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C95" w:rsidRPr="0094274C" w:rsidRDefault="00933C95" w:rsidP="00933C95">
      <w:pPr>
        <w:spacing w:after="0" w:line="240" w:lineRule="auto"/>
        <w:outlineLvl w:val="0"/>
        <w:rPr>
          <w:rFonts w:eastAsia="Calibri" w:cs="Times New Roman"/>
          <w:b/>
          <w:sz w:val="28"/>
          <w:szCs w:val="28"/>
          <w:lang w:val="en-GB"/>
        </w:rPr>
      </w:pPr>
      <w:bookmarkStart w:id="0" w:name="_Toc280276078"/>
      <w:r w:rsidRPr="0094274C">
        <w:rPr>
          <w:rFonts w:eastAsia="Calibri" w:cs="Times New Roman"/>
          <w:b/>
          <w:sz w:val="28"/>
          <w:szCs w:val="28"/>
          <w:lang w:val="en-GB"/>
        </w:rPr>
        <w:t>ERASMUS UNIVERSITY ROTTERDAM</w:t>
      </w:r>
    </w:p>
    <w:p w:rsidR="00933C95" w:rsidRPr="0094274C" w:rsidRDefault="00933C95" w:rsidP="00933C95">
      <w:pPr>
        <w:spacing w:after="0" w:line="240" w:lineRule="auto"/>
        <w:outlineLvl w:val="0"/>
        <w:rPr>
          <w:rFonts w:eastAsia="Calibri" w:cs="Times New Roman"/>
          <w:b/>
          <w:sz w:val="28"/>
          <w:szCs w:val="28"/>
          <w:lang w:val="en-GB"/>
        </w:rPr>
      </w:pPr>
      <w:r w:rsidRPr="0094274C">
        <w:rPr>
          <w:rFonts w:eastAsia="Calibri" w:cs="Times New Roman"/>
          <w:b/>
          <w:sz w:val="28"/>
          <w:szCs w:val="28"/>
          <w:lang w:val="en-GB"/>
        </w:rPr>
        <w:t>ERASMUS SCHOOL OF ECONOMICS</w:t>
      </w:r>
    </w:p>
    <w:p w:rsidR="00933C95" w:rsidRPr="0094274C" w:rsidRDefault="00933C95" w:rsidP="00933C95">
      <w:pPr>
        <w:spacing w:after="0" w:line="240" w:lineRule="auto"/>
        <w:outlineLvl w:val="0"/>
        <w:rPr>
          <w:rFonts w:eastAsia="Calibri" w:cs="Times New Roman"/>
          <w:b/>
          <w:sz w:val="28"/>
          <w:szCs w:val="28"/>
          <w:lang w:val="en-GB"/>
        </w:rPr>
      </w:pPr>
      <w:r w:rsidRPr="0094274C">
        <w:rPr>
          <w:rFonts w:eastAsia="Calibri" w:cs="Times New Roman"/>
          <w:b/>
          <w:sz w:val="28"/>
          <w:szCs w:val="28"/>
          <w:lang w:val="en-GB"/>
        </w:rPr>
        <w:t>MSc</w:t>
      </w:r>
      <w:r w:rsidR="00110817">
        <w:rPr>
          <w:rFonts w:eastAsia="Calibri" w:cs="Times New Roman"/>
          <w:b/>
          <w:sz w:val="28"/>
          <w:szCs w:val="28"/>
          <w:lang w:val="en-GB"/>
        </w:rPr>
        <w:t>.</w:t>
      </w:r>
      <w:r w:rsidRPr="0094274C">
        <w:rPr>
          <w:rFonts w:eastAsia="Calibri" w:cs="Times New Roman"/>
          <w:b/>
          <w:sz w:val="28"/>
          <w:szCs w:val="28"/>
          <w:lang w:val="en-GB"/>
        </w:rPr>
        <w:t xml:space="preserve"> Economics &amp; Business</w:t>
      </w:r>
    </w:p>
    <w:p w:rsidR="00933C95" w:rsidRDefault="00933C95" w:rsidP="00933C95">
      <w:pPr>
        <w:spacing w:after="0" w:line="240" w:lineRule="auto"/>
        <w:outlineLvl w:val="0"/>
        <w:rPr>
          <w:rFonts w:eastAsia="Calibri" w:cs="Times New Roman"/>
          <w:b/>
          <w:sz w:val="28"/>
          <w:szCs w:val="28"/>
          <w:lang w:val="en-GB"/>
        </w:rPr>
      </w:pPr>
      <w:r w:rsidRPr="0094274C">
        <w:rPr>
          <w:rFonts w:eastAsia="Calibri" w:cs="Times New Roman"/>
          <w:b/>
          <w:sz w:val="28"/>
          <w:szCs w:val="28"/>
          <w:lang w:val="en-GB"/>
        </w:rPr>
        <w:t>Master Specialisation Financial Economics</w:t>
      </w:r>
    </w:p>
    <w:p w:rsidR="00A21B22" w:rsidRDefault="00A21B22" w:rsidP="00933C95">
      <w:pPr>
        <w:spacing w:after="0" w:line="240" w:lineRule="auto"/>
        <w:outlineLvl w:val="0"/>
        <w:rPr>
          <w:rFonts w:eastAsia="Calibri" w:cs="Times New Roman"/>
          <w:b/>
          <w:sz w:val="28"/>
          <w:szCs w:val="28"/>
          <w:lang w:val="en-GB"/>
        </w:rPr>
      </w:pPr>
    </w:p>
    <w:p w:rsidR="00110817" w:rsidRDefault="00110817" w:rsidP="00933C95">
      <w:pPr>
        <w:spacing w:after="0" w:line="240" w:lineRule="auto"/>
        <w:outlineLvl w:val="0"/>
        <w:rPr>
          <w:rFonts w:eastAsia="Calibri" w:cs="Times New Roman"/>
          <w:b/>
          <w:sz w:val="28"/>
          <w:szCs w:val="28"/>
          <w:lang w:val="en-GB"/>
        </w:rPr>
      </w:pPr>
    </w:p>
    <w:p w:rsidR="00A21B22" w:rsidRPr="0094274C" w:rsidRDefault="00A21B22" w:rsidP="00933C95">
      <w:pPr>
        <w:spacing w:after="0" w:line="240" w:lineRule="auto"/>
        <w:outlineLvl w:val="0"/>
        <w:rPr>
          <w:rFonts w:eastAsia="Calibri" w:cs="Times New Roman"/>
          <w:b/>
          <w:sz w:val="28"/>
          <w:szCs w:val="28"/>
          <w:lang w:val="en-GB"/>
        </w:rPr>
      </w:pPr>
    </w:p>
    <w:p w:rsidR="00647E59" w:rsidRDefault="00A21B22" w:rsidP="00110817">
      <w:pPr>
        <w:spacing w:after="0" w:line="240" w:lineRule="auto"/>
        <w:jc w:val="center"/>
        <w:outlineLvl w:val="0"/>
        <w:rPr>
          <w:b/>
          <w:sz w:val="32"/>
          <w:szCs w:val="32"/>
          <w:lang w:val="en-US"/>
        </w:rPr>
      </w:pPr>
      <w:r w:rsidRPr="00A21B22">
        <w:rPr>
          <w:b/>
          <w:noProof/>
          <w:sz w:val="32"/>
          <w:szCs w:val="32"/>
          <w:lang w:val="en-US"/>
        </w:rPr>
        <w:drawing>
          <wp:inline distT="0" distB="0" distL="0" distR="0">
            <wp:extent cx="4029710" cy="1392555"/>
            <wp:effectExtent l="19050" t="0" r="889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029710" cy="1392555"/>
                    </a:xfrm>
                    <a:prstGeom prst="rect">
                      <a:avLst/>
                    </a:prstGeom>
                    <a:noFill/>
                    <a:ln w="9525">
                      <a:noFill/>
                      <a:miter lim="800000"/>
                      <a:headEnd/>
                      <a:tailEnd/>
                    </a:ln>
                  </pic:spPr>
                </pic:pic>
              </a:graphicData>
            </a:graphic>
          </wp:inline>
        </w:drawing>
      </w:r>
    </w:p>
    <w:p w:rsidR="00647E59" w:rsidRDefault="00647E59" w:rsidP="0084268B">
      <w:pPr>
        <w:spacing w:after="0" w:line="240" w:lineRule="auto"/>
        <w:jc w:val="center"/>
        <w:outlineLvl w:val="0"/>
        <w:rPr>
          <w:b/>
          <w:sz w:val="32"/>
          <w:szCs w:val="32"/>
          <w:lang w:val="en-US"/>
        </w:rPr>
      </w:pPr>
    </w:p>
    <w:p w:rsidR="00647E59" w:rsidRDefault="00647E59" w:rsidP="0084268B">
      <w:pPr>
        <w:spacing w:after="0" w:line="240" w:lineRule="auto"/>
        <w:jc w:val="center"/>
        <w:outlineLvl w:val="0"/>
        <w:rPr>
          <w:b/>
          <w:sz w:val="32"/>
          <w:szCs w:val="32"/>
          <w:lang w:val="en-US"/>
        </w:rPr>
      </w:pPr>
    </w:p>
    <w:p w:rsidR="00933C95" w:rsidRDefault="00933C95" w:rsidP="0084268B">
      <w:pPr>
        <w:spacing w:after="0" w:line="240" w:lineRule="auto"/>
        <w:jc w:val="center"/>
        <w:outlineLvl w:val="0"/>
        <w:rPr>
          <w:b/>
          <w:sz w:val="32"/>
          <w:szCs w:val="32"/>
          <w:lang w:val="en-US"/>
        </w:rPr>
      </w:pPr>
    </w:p>
    <w:p w:rsidR="0084268B" w:rsidRPr="00D92808" w:rsidRDefault="0030498B" w:rsidP="00110817">
      <w:pPr>
        <w:spacing w:after="0" w:line="240" w:lineRule="auto"/>
        <w:jc w:val="center"/>
        <w:outlineLvl w:val="0"/>
        <w:rPr>
          <w:b/>
          <w:sz w:val="32"/>
          <w:szCs w:val="32"/>
          <w:lang w:val="en-US"/>
        </w:rPr>
      </w:pPr>
      <w:r w:rsidRPr="00D92808">
        <w:rPr>
          <w:b/>
          <w:sz w:val="32"/>
          <w:szCs w:val="32"/>
          <w:lang w:val="en-US"/>
        </w:rPr>
        <w:t>IPO</w:t>
      </w:r>
      <w:r w:rsidR="007675A0" w:rsidRPr="00D92808">
        <w:rPr>
          <w:b/>
          <w:sz w:val="32"/>
          <w:szCs w:val="32"/>
          <w:lang w:val="en-US"/>
        </w:rPr>
        <w:t xml:space="preserve"> U</w:t>
      </w:r>
      <w:r w:rsidR="0084268B" w:rsidRPr="00D92808">
        <w:rPr>
          <w:b/>
          <w:sz w:val="32"/>
          <w:szCs w:val="32"/>
          <w:lang w:val="en-US"/>
        </w:rPr>
        <w:t>nderpricing</w:t>
      </w:r>
      <w:r w:rsidR="0094274C" w:rsidRPr="00D92808">
        <w:rPr>
          <w:b/>
          <w:sz w:val="32"/>
          <w:szCs w:val="32"/>
          <w:lang w:val="en-US"/>
        </w:rPr>
        <w:t>:</w:t>
      </w:r>
    </w:p>
    <w:p w:rsidR="007675A0" w:rsidRPr="00D92808" w:rsidRDefault="007675A0" w:rsidP="00110817">
      <w:pPr>
        <w:spacing w:after="0" w:line="240" w:lineRule="auto"/>
        <w:jc w:val="center"/>
        <w:outlineLvl w:val="0"/>
        <w:rPr>
          <w:i/>
          <w:sz w:val="32"/>
          <w:szCs w:val="32"/>
          <w:lang w:val="en-US"/>
        </w:rPr>
      </w:pPr>
      <w:r w:rsidRPr="00D92808">
        <w:rPr>
          <w:i/>
          <w:sz w:val="32"/>
          <w:szCs w:val="32"/>
          <w:lang w:val="en-US"/>
        </w:rPr>
        <w:t xml:space="preserve">A </w:t>
      </w:r>
      <w:r w:rsidR="009F25D4" w:rsidRPr="00D92808">
        <w:rPr>
          <w:i/>
          <w:sz w:val="32"/>
          <w:szCs w:val="32"/>
          <w:lang w:val="en-US"/>
        </w:rPr>
        <w:t>Meta</w:t>
      </w:r>
      <w:r w:rsidRPr="00D92808">
        <w:rPr>
          <w:i/>
          <w:sz w:val="32"/>
          <w:szCs w:val="32"/>
          <w:lang w:val="en-US"/>
        </w:rPr>
        <w:t xml:space="preserve"> analysis</w:t>
      </w:r>
      <w:bookmarkEnd w:id="0"/>
    </w:p>
    <w:p w:rsidR="007675A0" w:rsidRPr="00D92808" w:rsidRDefault="007675A0" w:rsidP="00110817">
      <w:pPr>
        <w:spacing w:after="0" w:line="240" w:lineRule="auto"/>
        <w:jc w:val="center"/>
        <w:rPr>
          <w:b/>
          <w:sz w:val="32"/>
          <w:szCs w:val="32"/>
          <w:lang w:val="en-US"/>
        </w:rPr>
      </w:pPr>
    </w:p>
    <w:p w:rsidR="007675A0" w:rsidRPr="00D92808" w:rsidRDefault="007675A0" w:rsidP="007675A0">
      <w:pPr>
        <w:spacing w:after="0" w:line="240" w:lineRule="auto"/>
        <w:jc w:val="center"/>
        <w:rPr>
          <w:b/>
          <w:sz w:val="32"/>
          <w:szCs w:val="32"/>
          <w:lang w:val="en-US"/>
        </w:rPr>
      </w:pPr>
    </w:p>
    <w:p w:rsidR="007675A0" w:rsidRPr="00D92808" w:rsidRDefault="007675A0" w:rsidP="007675A0">
      <w:pPr>
        <w:spacing w:after="0" w:line="240" w:lineRule="auto"/>
        <w:jc w:val="center"/>
        <w:rPr>
          <w:b/>
          <w:sz w:val="32"/>
          <w:szCs w:val="32"/>
          <w:lang w:val="en-US"/>
        </w:rPr>
      </w:pPr>
    </w:p>
    <w:p w:rsidR="006065D6" w:rsidRDefault="006065D6" w:rsidP="00A60924">
      <w:pPr>
        <w:spacing w:after="0" w:line="240" w:lineRule="auto"/>
        <w:rPr>
          <w:b/>
          <w:sz w:val="32"/>
          <w:szCs w:val="32"/>
          <w:lang w:val="en-US"/>
        </w:rPr>
      </w:pPr>
    </w:p>
    <w:p w:rsidR="003805A4" w:rsidRDefault="003805A4" w:rsidP="00A60924">
      <w:pPr>
        <w:spacing w:after="0" w:line="240" w:lineRule="auto"/>
        <w:rPr>
          <w:b/>
          <w:sz w:val="32"/>
          <w:szCs w:val="32"/>
          <w:lang w:val="en-US"/>
        </w:rPr>
      </w:pPr>
    </w:p>
    <w:p w:rsidR="003805A4" w:rsidRPr="00043ED2" w:rsidRDefault="003805A4" w:rsidP="00A60924">
      <w:pPr>
        <w:spacing w:after="0" w:line="240" w:lineRule="auto"/>
        <w:rPr>
          <w:b/>
          <w:sz w:val="32"/>
          <w:szCs w:val="32"/>
          <w:lang w:val="en-US"/>
        </w:rPr>
      </w:pPr>
    </w:p>
    <w:p w:rsidR="00A60924" w:rsidRDefault="00A60924" w:rsidP="007675A0">
      <w:pPr>
        <w:spacing w:after="0" w:line="240" w:lineRule="auto"/>
        <w:jc w:val="center"/>
        <w:rPr>
          <w:b/>
          <w:sz w:val="32"/>
          <w:szCs w:val="32"/>
          <w:lang w:val="en-US"/>
        </w:rPr>
      </w:pPr>
    </w:p>
    <w:p w:rsidR="00A60924" w:rsidRPr="00043ED2" w:rsidRDefault="00A60924" w:rsidP="007675A0">
      <w:pPr>
        <w:spacing w:after="0" w:line="240" w:lineRule="auto"/>
        <w:jc w:val="center"/>
        <w:rPr>
          <w:b/>
          <w:sz w:val="32"/>
          <w:szCs w:val="32"/>
          <w:lang w:val="en-US"/>
        </w:rPr>
      </w:pPr>
    </w:p>
    <w:p w:rsidR="00A60924" w:rsidRPr="00043ED2" w:rsidRDefault="00A60924" w:rsidP="007675A0">
      <w:pPr>
        <w:spacing w:after="0" w:line="240" w:lineRule="auto"/>
        <w:jc w:val="center"/>
        <w:rPr>
          <w:b/>
          <w:sz w:val="32"/>
          <w:szCs w:val="32"/>
          <w:lang w:val="en-US"/>
        </w:rPr>
      </w:pPr>
    </w:p>
    <w:p w:rsidR="00A60924" w:rsidRDefault="00A60924" w:rsidP="007675A0">
      <w:pPr>
        <w:spacing w:after="0" w:line="240" w:lineRule="auto"/>
        <w:jc w:val="center"/>
        <w:rPr>
          <w:b/>
          <w:sz w:val="32"/>
          <w:szCs w:val="32"/>
          <w:lang w:val="en-US"/>
        </w:rPr>
      </w:pPr>
    </w:p>
    <w:p w:rsidR="00647E59" w:rsidRPr="00043ED2" w:rsidRDefault="00647E59" w:rsidP="007675A0">
      <w:pPr>
        <w:spacing w:after="0" w:line="240" w:lineRule="auto"/>
        <w:jc w:val="center"/>
        <w:rPr>
          <w:b/>
          <w:sz w:val="32"/>
          <w:szCs w:val="32"/>
          <w:lang w:val="en-US"/>
        </w:rPr>
      </w:pPr>
    </w:p>
    <w:p w:rsidR="00043ED2" w:rsidRPr="00043ED2" w:rsidRDefault="00043ED2" w:rsidP="007675A0">
      <w:pPr>
        <w:spacing w:after="0" w:line="240" w:lineRule="auto"/>
        <w:jc w:val="center"/>
        <w:rPr>
          <w:b/>
          <w:sz w:val="32"/>
          <w:szCs w:val="32"/>
          <w:lang w:val="en-US"/>
        </w:rPr>
      </w:pPr>
    </w:p>
    <w:p w:rsidR="00681E14" w:rsidRPr="00043ED2" w:rsidRDefault="00681E14" w:rsidP="007675A0">
      <w:pPr>
        <w:spacing w:after="0" w:line="240" w:lineRule="auto"/>
        <w:jc w:val="center"/>
        <w:rPr>
          <w:b/>
          <w:sz w:val="32"/>
          <w:szCs w:val="32"/>
          <w:lang w:val="en-US"/>
        </w:rPr>
      </w:pPr>
    </w:p>
    <w:p w:rsidR="00681E14" w:rsidRPr="00043ED2" w:rsidRDefault="00681E14" w:rsidP="007675A0">
      <w:pPr>
        <w:spacing w:after="0" w:line="240" w:lineRule="auto"/>
        <w:jc w:val="center"/>
        <w:rPr>
          <w:b/>
          <w:sz w:val="32"/>
          <w:szCs w:val="32"/>
          <w:lang w:val="en-US"/>
        </w:rPr>
      </w:pPr>
    </w:p>
    <w:p w:rsidR="007675A0" w:rsidRPr="002E0446" w:rsidRDefault="00933C95" w:rsidP="007675A0">
      <w:pPr>
        <w:spacing w:after="0" w:line="240" w:lineRule="auto"/>
        <w:rPr>
          <w:sz w:val="24"/>
          <w:szCs w:val="24"/>
          <w:lang w:val="en-US"/>
        </w:rPr>
      </w:pPr>
      <w:r w:rsidRPr="002E0446">
        <w:rPr>
          <w:sz w:val="24"/>
          <w:szCs w:val="24"/>
          <w:lang w:val="en-US"/>
        </w:rPr>
        <w:t>Student:</w:t>
      </w:r>
      <w:r w:rsidRPr="002E0446">
        <w:rPr>
          <w:sz w:val="24"/>
          <w:szCs w:val="24"/>
          <w:lang w:val="en-US"/>
        </w:rPr>
        <w:tab/>
      </w:r>
      <w:r w:rsidRPr="002E0446">
        <w:rPr>
          <w:sz w:val="24"/>
          <w:szCs w:val="24"/>
          <w:lang w:val="en-US"/>
        </w:rPr>
        <w:tab/>
      </w:r>
      <w:r w:rsidRPr="002E0446">
        <w:rPr>
          <w:sz w:val="24"/>
          <w:szCs w:val="24"/>
          <w:lang w:val="en-US"/>
        </w:rPr>
        <w:tab/>
        <w:t>B.J.</w:t>
      </w:r>
      <w:r w:rsidR="007675A0" w:rsidRPr="002E0446">
        <w:rPr>
          <w:sz w:val="24"/>
          <w:szCs w:val="24"/>
          <w:lang w:val="en-US"/>
        </w:rPr>
        <w:t xml:space="preserve"> Lustenhouwer</w:t>
      </w:r>
      <w:r w:rsidRPr="002E0446">
        <w:rPr>
          <w:sz w:val="24"/>
          <w:szCs w:val="24"/>
          <w:lang w:val="en-US"/>
        </w:rPr>
        <w:t xml:space="preserve"> </w:t>
      </w:r>
      <w:r w:rsidR="00110817">
        <w:rPr>
          <w:sz w:val="24"/>
          <w:szCs w:val="24"/>
          <w:lang w:val="en-US"/>
        </w:rPr>
        <w:t>BSc.</w:t>
      </w:r>
    </w:p>
    <w:p w:rsidR="007675A0" w:rsidRPr="002E0446" w:rsidRDefault="007675A0" w:rsidP="007675A0">
      <w:pPr>
        <w:spacing w:after="0" w:line="240" w:lineRule="auto"/>
        <w:rPr>
          <w:sz w:val="24"/>
          <w:szCs w:val="24"/>
          <w:lang w:val="en-US"/>
        </w:rPr>
      </w:pPr>
      <w:r w:rsidRPr="002E0446">
        <w:rPr>
          <w:sz w:val="24"/>
          <w:szCs w:val="24"/>
          <w:lang w:val="en-US"/>
        </w:rPr>
        <w:t xml:space="preserve">Student number: </w:t>
      </w:r>
      <w:r w:rsidRPr="002E0446">
        <w:rPr>
          <w:sz w:val="24"/>
          <w:szCs w:val="24"/>
          <w:lang w:val="en-US"/>
        </w:rPr>
        <w:tab/>
      </w:r>
      <w:r w:rsidRPr="002E0446">
        <w:rPr>
          <w:sz w:val="24"/>
          <w:szCs w:val="24"/>
          <w:lang w:val="en-US"/>
        </w:rPr>
        <w:tab/>
        <w:t>293044</w:t>
      </w:r>
    </w:p>
    <w:p w:rsidR="00110817" w:rsidRDefault="007675A0" w:rsidP="007675A0">
      <w:pPr>
        <w:spacing w:after="0" w:line="240" w:lineRule="auto"/>
        <w:rPr>
          <w:sz w:val="24"/>
          <w:szCs w:val="24"/>
          <w:lang w:val="en-US"/>
        </w:rPr>
      </w:pPr>
      <w:r w:rsidRPr="00131D71">
        <w:rPr>
          <w:sz w:val="24"/>
          <w:szCs w:val="24"/>
          <w:lang w:val="en-US"/>
        </w:rPr>
        <w:t xml:space="preserve">First reader: </w:t>
      </w:r>
      <w:r w:rsidR="00110817">
        <w:rPr>
          <w:sz w:val="24"/>
          <w:szCs w:val="24"/>
          <w:lang w:val="en-US"/>
        </w:rPr>
        <w:tab/>
      </w:r>
      <w:r w:rsidR="00110817">
        <w:rPr>
          <w:sz w:val="24"/>
          <w:szCs w:val="24"/>
          <w:lang w:val="en-US"/>
        </w:rPr>
        <w:tab/>
      </w:r>
      <w:r w:rsidR="00110817">
        <w:rPr>
          <w:sz w:val="24"/>
          <w:szCs w:val="24"/>
          <w:lang w:val="en-US"/>
        </w:rPr>
        <w:tab/>
      </w:r>
      <w:r w:rsidR="00110817" w:rsidRPr="00131D71">
        <w:rPr>
          <w:sz w:val="24"/>
          <w:szCs w:val="24"/>
          <w:lang w:val="en-US"/>
        </w:rPr>
        <w:t>Mariska Douwens</w:t>
      </w:r>
      <w:r w:rsidR="00110817">
        <w:rPr>
          <w:sz w:val="24"/>
          <w:szCs w:val="24"/>
          <w:lang w:val="en-US"/>
        </w:rPr>
        <w:t xml:space="preserve"> MSc.</w:t>
      </w:r>
    </w:p>
    <w:p w:rsidR="007675A0" w:rsidRPr="00131D71" w:rsidRDefault="00110817" w:rsidP="007675A0">
      <w:pPr>
        <w:spacing w:after="0" w:line="240" w:lineRule="auto"/>
        <w:rPr>
          <w:sz w:val="24"/>
          <w:szCs w:val="24"/>
          <w:lang w:val="en-US"/>
        </w:rPr>
      </w:pPr>
      <w:r>
        <w:rPr>
          <w:sz w:val="24"/>
          <w:szCs w:val="24"/>
          <w:lang w:val="en-US"/>
        </w:rPr>
        <w:t>Second reader:</w:t>
      </w:r>
    </w:p>
    <w:p w:rsidR="007675A0" w:rsidRPr="00933C95" w:rsidRDefault="009D4228" w:rsidP="007675A0">
      <w:pPr>
        <w:spacing w:after="0" w:line="240" w:lineRule="auto"/>
        <w:rPr>
          <w:sz w:val="24"/>
          <w:szCs w:val="24"/>
          <w:lang w:val="en-US"/>
        </w:rPr>
      </w:pPr>
      <w:r>
        <w:rPr>
          <w:sz w:val="24"/>
          <w:szCs w:val="24"/>
          <w:lang w:val="en-US"/>
        </w:rPr>
        <w:t>Final v</w:t>
      </w:r>
      <w:r w:rsidR="0084268B">
        <w:rPr>
          <w:sz w:val="24"/>
          <w:szCs w:val="24"/>
          <w:lang w:val="en-US"/>
        </w:rPr>
        <w:t xml:space="preserve">ersion: </w:t>
      </w:r>
      <w:r w:rsidR="0084268B">
        <w:rPr>
          <w:sz w:val="24"/>
          <w:szCs w:val="24"/>
          <w:lang w:val="en-US"/>
        </w:rPr>
        <w:tab/>
      </w:r>
      <w:r w:rsidR="0084268B">
        <w:rPr>
          <w:sz w:val="24"/>
          <w:szCs w:val="24"/>
          <w:lang w:val="en-US"/>
        </w:rPr>
        <w:tab/>
      </w:r>
      <w:r w:rsidR="0084268B">
        <w:rPr>
          <w:sz w:val="24"/>
          <w:szCs w:val="24"/>
          <w:lang w:val="en-US"/>
        </w:rPr>
        <w:tab/>
      </w:r>
      <w:r>
        <w:rPr>
          <w:sz w:val="24"/>
          <w:szCs w:val="24"/>
          <w:lang w:val="en-US"/>
        </w:rPr>
        <w:t>April 13</w:t>
      </w:r>
      <w:r w:rsidR="008B12C8">
        <w:rPr>
          <w:sz w:val="24"/>
          <w:szCs w:val="24"/>
          <w:lang w:val="en-US"/>
        </w:rPr>
        <w:t>,</w:t>
      </w:r>
      <w:r w:rsidR="007675A0">
        <w:rPr>
          <w:sz w:val="24"/>
          <w:szCs w:val="24"/>
          <w:lang w:val="en-US"/>
        </w:rPr>
        <w:t xml:space="preserve"> </w:t>
      </w:r>
      <w:bookmarkStart w:id="1" w:name="_Toc280276079"/>
      <w:r w:rsidR="007675A0">
        <w:rPr>
          <w:sz w:val="24"/>
          <w:szCs w:val="24"/>
          <w:lang w:val="en-US"/>
        </w:rPr>
        <w:t>2011</w:t>
      </w:r>
      <w:r w:rsidR="007675A0">
        <w:rPr>
          <w:b/>
          <w:sz w:val="24"/>
          <w:szCs w:val="24"/>
          <w:lang w:val="en-US"/>
        </w:rPr>
        <w:br w:type="page"/>
      </w:r>
      <w:bookmarkEnd w:id="1"/>
    </w:p>
    <w:p w:rsidR="007F6AC9" w:rsidRDefault="001C6613">
      <w:pPr>
        <w:rPr>
          <w:lang w:val="en-GB"/>
        </w:rPr>
      </w:pPr>
      <w:r w:rsidRPr="001C6613">
        <w:rPr>
          <w:lang w:val="en-GB"/>
        </w:rPr>
      </w:r>
      <w:r>
        <w:rPr>
          <w:lang w:val="en-GB"/>
        </w:rPr>
        <w:pict>
          <v:shapetype id="_x0000_t202" coordsize="21600,21600" o:spt="202" path="m,l,21600r21600,l21600,xe">
            <v:stroke joinstyle="miter"/>
            <v:path gradientshapeok="t" o:connecttype="rect"/>
          </v:shapetype>
          <v:shape id="_x0000_s1026" type="#_x0000_t202" style="width:476.6pt;height:211.9pt;mso-left-percent:-10001;mso-top-percent:-10001;mso-position-horizontal:absolute;mso-position-horizontal-relative:char;mso-position-vertical:absolute;mso-position-vertical-relative:line;mso-left-percent:-10001;mso-top-percent:-10001">
            <v:textbox style="mso-next-textbox:#_x0000_s1026">
              <w:txbxContent>
                <w:p w:rsidR="009D4228" w:rsidRPr="00933C95" w:rsidRDefault="009D4228" w:rsidP="00933C95">
                  <w:pPr>
                    <w:rPr>
                      <w:sz w:val="20"/>
                      <w:szCs w:val="20"/>
                      <w:lang w:val="en-US"/>
                    </w:rPr>
                  </w:pPr>
                  <w:r w:rsidRPr="00933C95">
                    <w:rPr>
                      <w:sz w:val="20"/>
                      <w:szCs w:val="20"/>
                      <w:lang w:val="en-US"/>
                    </w:rPr>
                    <w:t>NON-PLAGIARISM STATEMENT</w:t>
                  </w:r>
                </w:p>
                <w:p w:rsidR="009D4228" w:rsidRPr="00933C95" w:rsidRDefault="009D4228" w:rsidP="00933C95">
                  <w:pPr>
                    <w:rPr>
                      <w:sz w:val="20"/>
                      <w:szCs w:val="20"/>
                      <w:lang w:val="en-US"/>
                    </w:rPr>
                  </w:pPr>
                  <w:r w:rsidRPr="00933C95">
                    <w:rPr>
                      <w:sz w:val="20"/>
                      <w:szCs w:val="20"/>
                      <w:lang w:val="en-US"/>
                    </w:rPr>
                    <w:t>By submitting this thesis the author declares to have written this thesis completely by himself/herself, and not to have used sources or resources other than the ones mentioned. All sources used, quotes and citations that were literally taken from publications, or that were in close accordance with the meaning of those publications, are indicated as such.</w:t>
                  </w:r>
                </w:p>
                <w:p w:rsidR="009D4228" w:rsidRPr="00933C95" w:rsidRDefault="009D4228" w:rsidP="00933C95">
                  <w:pPr>
                    <w:rPr>
                      <w:sz w:val="20"/>
                      <w:szCs w:val="20"/>
                      <w:lang w:val="en-US"/>
                    </w:rPr>
                  </w:pPr>
                  <w:r w:rsidRPr="00933C95">
                    <w:rPr>
                      <w:sz w:val="20"/>
                      <w:szCs w:val="20"/>
                      <w:lang w:val="en-US"/>
                    </w:rPr>
                    <w:t>COPYRIGHT STATEMENT</w:t>
                  </w:r>
                  <w:r w:rsidRPr="00933C95">
                    <w:rPr>
                      <w:sz w:val="20"/>
                      <w:szCs w:val="20"/>
                      <w:lang w:val="en-US"/>
                    </w:rPr>
                    <w:br/>
                    <w:t>The author has copyright of this thesis, but also acknowledges the intellectual copyright of contributions made by the thesis supervisor, which may include important research ideas and data. Author and thesis supervisor will have made clear agreements about issues such as confidentiality.</w:t>
                  </w:r>
                </w:p>
                <w:p w:rsidR="009D4228" w:rsidRPr="00933C95" w:rsidRDefault="009D4228" w:rsidP="00933C95">
                  <w:pPr>
                    <w:rPr>
                      <w:sz w:val="20"/>
                      <w:szCs w:val="20"/>
                      <w:lang w:val="en-US"/>
                    </w:rPr>
                  </w:pPr>
                  <w:r w:rsidRPr="00933C95">
                    <w:rPr>
                      <w:sz w:val="20"/>
                      <w:szCs w:val="20"/>
                      <w:lang w:val="en-US"/>
                    </w:rPr>
                    <w:t>Electronic versions of the thesis are in principle available for inclusion in any EUR thesis database and repository, such as the Master Thesis Repository of the Erasmus University Rotterdam</w:t>
                  </w:r>
                </w:p>
              </w:txbxContent>
            </v:textbox>
            <w10:wrap type="none"/>
            <w10:anchorlock/>
          </v:shape>
        </w:pict>
      </w:r>
    </w:p>
    <w:p w:rsidR="00933C95" w:rsidRPr="007F6AC9" w:rsidRDefault="00933C95">
      <w:r w:rsidRPr="007F6AC9">
        <w:rPr>
          <w:b/>
        </w:rPr>
        <w:br w:type="page"/>
      </w:r>
    </w:p>
    <w:p w:rsidR="00E52B7D" w:rsidRPr="007F6AC9" w:rsidRDefault="00E52B7D">
      <w:pPr>
        <w:rPr>
          <w:b/>
        </w:rPr>
      </w:pPr>
    </w:p>
    <w:p w:rsidR="0032496B" w:rsidRDefault="0032496B" w:rsidP="007210EF">
      <w:pPr>
        <w:jc w:val="both"/>
        <w:rPr>
          <w:lang w:val="en-US"/>
        </w:rPr>
      </w:pPr>
      <w:r w:rsidRPr="00E52B7D">
        <w:rPr>
          <w:b/>
          <w:lang w:val="en-US"/>
        </w:rPr>
        <w:t>Abstract:</w:t>
      </w:r>
      <w:r w:rsidRPr="00E52B7D">
        <w:rPr>
          <w:lang w:val="en-US"/>
        </w:rPr>
        <w:t xml:space="preserve"> In </w:t>
      </w:r>
      <w:r w:rsidR="00E52B7D">
        <w:rPr>
          <w:lang w:val="en-US"/>
        </w:rPr>
        <w:t xml:space="preserve">this </w:t>
      </w:r>
      <w:r w:rsidRPr="00E52B7D">
        <w:rPr>
          <w:lang w:val="en-US"/>
        </w:rPr>
        <w:t>thesis I use Meta Regression Analysis to test the effect of firm age, IPO proceeds and underwriter reputation on underpricing.</w:t>
      </w:r>
      <w:r w:rsidR="00E52B7D">
        <w:rPr>
          <w:lang w:val="en-US"/>
        </w:rPr>
        <w:t xml:space="preserve"> Several results and study characteristics from previous studies are included in a Meta dataset</w:t>
      </w:r>
      <w:r w:rsidR="006065D6">
        <w:rPr>
          <w:lang w:val="en-US"/>
        </w:rPr>
        <w:t>,</w:t>
      </w:r>
      <w:r w:rsidR="00E52B7D">
        <w:rPr>
          <w:lang w:val="en-US"/>
        </w:rPr>
        <w:t xml:space="preserve"> to find the</w:t>
      </w:r>
      <w:r w:rsidR="006065D6">
        <w:rPr>
          <w:lang w:val="en-US"/>
        </w:rPr>
        <w:t xml:space="preserve"> </w:t>
      </w:r>
      <w:r w:rsidR="00E52B7D">
        <w:rPr>
          <w:lang w:val="en-US"/>
        </w:rPr>
        <w:t>’true’ relation between the variables.</w:t>
      </w:r>
      <w:r w:rsidRPr="00E52B7D">
        <w:rPr>
          <w:lang w:val="en-US"/>
        </w:rPr>
        <w:t xml:space="preserve"> I find that </w:t>
      </w:r>
      <w:r w:rsidR="009A55F1" w:rsidRPr="00E52B7D">
        <w:rPr>
          <w:lang w:val="en-US"/>
        </w:rPr>
        <w:t>f</w:t>
      </w:r>
      <w:r w:rsidRPr="00E52B7D">
        <w:rPr>
          <w:lang w:val="en-US"/>
        </w:rPr>
        <w:t xml:space="preserve">irm age is negatively related to underpricing. This relation is less negative or biased upwards </w:t>
      </w:r>
      <w:r w:rsidR="009A55F1" w:rsidRPr="00E52B7D">
        <w:rPr>
          <w:lang w:val="en-US"/>
        </w:rPr>
        <w:t xml:space="preserve">when </w:t>
      </w:r>
      <w:r w:rsidR="00E52B7D" w:rsidRPr="00E52B7D">
        <w:rPr>
          <w:lang w:val="en-US"/>
        </w:rPr>
        <w:t>financial</w:t>
      </w:r>
      <w:r w:rsidR="009A55F1" w:rsidRPr="00E52B7D">
        <w:rPr>
          <w:lang w:val="en-US"/>
        </w:rPr>
        <w:t xml:space="preserve"> and/or small firms are excluded from the dataset.</w:t>
      </w:r>
      <w:r w:rsidR="00E52B7D">
        <w:rPr>
          <w:lang w:val="en-US"/>
        </w:rPr>
        <w:t xml:space="preserve"> </w:t>
      </w:r>
      <w:r w:rsidR="00E52B7D" w:rsidRPr="00E52B7D">
        <w:rPr>
          <w:lang w:val="en-US"/>
        </w:rPr>
        <w:t>The result is biased downwards when European data is used.</w:t>
      </w:r>
      <w:r w:rsidR="009A55F1" w:rsidRPr="00E52B7D">
        <w:rPr>
          <w:lang w:val="en-US"/>
        </w:rPr>
        <w:t xml:space="preserve"> </w:t>
      </w:r>
      <w:r w:rsidRPr="00E52B7D">
        <w:rPr>
          <w:lang w:val="en-US"/>
        </w:rPr>
        <w:t xml:space="preserve">I find no significant relation between IPO proceeds and underpricing. </w:t>
      </w:r>
      <w:r w:rsidR="00E52B7D" w:rsidRPr="00E52B7D">
        <w:rPr>
          <w:lang w:val="en-US"/>
        </w:rPr>
        <w:t xml:space="preserve">When European </w:t>
      </w:r>
      <w:r w:rsidR="004E097E">
        <w:rPr>
          <w:lang w:val="en-US"/>
        </w:rPr>
        <w:t>data</w:t>
      </w:r>
      <w:r w:rsidR="00E52B7D" w:rsidRPr="00E52B7D">
        <w:rPr>
          <w:lang w:val="en-US"/>
        </w:rPr>
        <w:t xml:space="preserve"> is used</w:t>
      </w:r>
      <w:r w:rsidR="008B12C8">
        <w:rPr>
          <w:lang w:val="en-US"/>
        </w:rPr>
        <w:t>,</w:t>
      </w:r>
      <w:r w:rsidR="006065D6">
        <w:rPr>
          <w:lang w:val="en-US"/>
        </w:rPr>
        <w:t xml:space="preserve"> the coefficient is biased upwards</w:t>
      </w:r>
      <w:r w:rsidR="007F6AC9">
        <w:rPr>
          <w:lang w:val="en-US"/>
        </w:rPr>
        <w:t>, while</w:t>
      </w:r>
      <w:r w:rsidR="00E52B7D" w:rsidRPr="00E52B7D">
        <w:rPr>
          <w:lang w:val="en-US"/>
        </w:rPr>
        <w:t xml:space="preserve"> </w:t>
      </w:r>
      <w:r w:rsidR="009D4228">
        <w:rPr>
          <w:lang w:val="en-US"/>
        </w:rPr>
        <w:t xml:space="preserve">the </w:t>
      </w:r>
      <w:r w:rsidR="00E52B7D" w:rsidRPr="00E52B7D">
        <w:rPr>
          <w:lang w:val="en-US"/>
        </w:rPr>
        <w:t>coefficient is biased downwards</w:t>
      </w:r>
      <w:r w:rsidR="004E097E">
        <w:rPr>
          <w:lang w:val="en-US"/>
        </w:rPr>
        <w:t xml:space="preserve"> when </w:t>
      </w:r>
      <w:r w:rsidR="009D4228">
        <w:rPr>
          <w:lang w:val="en-US"/>
        </w:rPr>
        <w:t>best e</w:t>
      </w:r>
      <w:r w:rsidR="00F60C96">
        <w:rPr>
          <w:lang w:val="en-US"/>
        </w:rPr>
        <w:t>fforts</w:t>
      </w:r>
      <w:r w:rsidR="004E097E">
        <w:rPr>
          <w:lang w:val="en-US"/>
        </w:rPr>
        <w:t xml:space="preserve"> contract</w:t>
      </w:r>
      <w:r w:rsidR="006065D6">
        <w:rPr>
          <w:lang w:val="en-US"/>
        </w:rPr>
        <w:t>s</w:t>
      </w:r>
      <w:r w:rsidR="004E097E">
        <w:rPr>
          <w:lang w:val="en-US"/>
        </w:rPr>
        <w:t xml:space="preserve"> or financial firms are excluded from the dataset</w:t>
      </w:r>
      <w:r w:rsidR="00E52B7D" w:rsidRPr="00E52B7D">
        <w:rPr>
          <w:lang w:val="en-US"/>
        </w:rPr>
        <w:t>.</w:t>
      </w:r>
      <w:r w:rsidR="00E52B7D">
        <w:rPr>
          <w:lang w:val="en-US"/>
        </w:rPr>
        <w:t xml:space="preserve"> </w:t>
      </w:r>
      <w:r w:rsidRPr="00E52B7D">
        <w:rPr>
          <w:lang w:val="en-US"/>
        </w:rPr>
        <w:t xml:space="preserve">I find </w:t>
      </w:r>
      <w:r w:rsidR="00E52B7D" w:rsidRPr="00E52B7D">
        <w:rPr>
          <w:lang w:val="en-US"/>
        </w:rPr>
        <w:t>a negative significant</w:t>
      </w:r>
      <w:r w:rsidRPr="00E52B7D">
        <w:rPr>
          <w:lang w:val="en-US"/>
        </w:rPr>
        <w:t xml:space="preserve"> relation between underwriter reputation and underpricing</w:t>
      </w:r>
      <w:r w:rsidR="007F6AC9">
        <w:rPr>
          <w:lang w:val="en-US"/>
        </w:rPr>
        <w:t>. T</w:t>
      </w:r>
      <w:r w:rsidRPr="00E52B7D">
        <w:rPr>
          <w:lang w:val="en-US"/>
        </w:rPr>
        <w:t>his result is biased upwards when data from th</w:t>
      </w:r>
      <w:r w:rsidR="00E52B7D">
        <w:rPr>
          <w:lang w:val="en-US"/>
        </w:rPr>
        <w:t xml:space="preserve">e </w:t>
      </w:r>
      <w:r w:rsidR="00CD3FB7">
        <w:rPr>
          <w:lang w:val="en-US"/>
        </w:rPr>
        <w:t>19</w:t>
      </w:r>
      <w:r w:rsidR="00E52B7D">
        <w:rPr>
          <w:lang w:val="en-US"/>
        </w:rPr>
        <w:t>90's/</w:t>
      </w:r>
      <w:r w:rsidRPr="00E52B7D">
        <w:rPr>
          <w:lang w:val="en-US"/>
        </w:rPr>
        <w:t>Internet bubble is used</w:t>
      </w:r>
      <w:r w:rsidR="00E52B7D" w:rsidRPr="00E52B7D">
        <w:rPr>
          <w:lang w:val="en-US"/>
        </w:rPr>
        <w:t xml:space="preserve">, </w:t>
      </w:r>
      <w:r w:rsidR="00CD3FB7">
        <w:rPr>
          <w:lang w:val="en-US"/>
        </w:rPr>
        <w:t xml:space="preserve">when </w:t>
      </w:r>
      <w:r w:rsidR="00E52B7D" w:rsidRPr="00E52B7D">
        <w:rPr>
          <w:lang w:val="en-US"/>
        </w:rPr>
        <w:t>small firms are excluded from the dataset and when the original regression did not contain the age variable</w:t>
      </w:r>
      <w:r w:rsidR="006065D6">
        <w:rPr>
          <w:lang w:val="en-US"/>
        </w:rPr>
        <w:t>.</w:t>
      </w:r>
      <w:r w:rsidR="007F6AC9">
        <w:rPr>
          <w:lang w:val="en-US"/>
        </w:rPr>
        <w:t xml:space="preserve"> Finally I test for publication and star journal bias in the literature on IPO underpricing. I do not </w:t>
      </w:r>
      <w:r w:rsidR="009D4228">
        <w:rPr>
          <w:lang w:val="en-US"/>
        </w:rPr>
        <w:t>accept</w:t>
      </w:r>
      <w:r w:rsidR="007F6AC9">
        <w:rPr>
          <w:lang w:val="en-US"/>
        </w:rPr>
        <w:t xml:space="preserve"> the hypothesis of no publication bias for firm age and underwrit</w:t>
      </w:r>
      <w:r w:rsidR="009D4228">
        <w:rPr>
          <w:lang w:val="en-US"/>
        </w:rPr>
        <w:t>er reputation, while I do accept</w:t>
      </w:r>
      <w:r w:rsidR="007F6AC9">
        <w:rPr>
          <w:lang w:val="en-US"/>
        </w:rPr>
        <w:t xml:space="preserve"> this hypothesis for IPO proceeds. I find no evidence of star journal bias in all three areas.</w:t>
      </w:r>
    </w:p>
    <w:p w:rsidR="006065D6" w:rsidRDefault="006065D6" w:rsidP="00F56015">
      <w:pPr>
        <w:jc w:val="center"/>
        <w:rPr>
          <w:lang w:val="en-US"/>
        </w:rPr>
      </w:pPr>
    </w:p>
    <w:p w:rsidR="006065D6" w:rsidRPr="00E52B7D" w:rsidRDefault="006065D6" w:rsidP="00F56015">
      <w:pPr>
        <w:jc w:val="center"/>
        <w:rPr>
          <w:lang w:val="en-US"/>
        </w:rPr>
      </w:pPr>
    </w:p>
    <w:p w:rsidR="00933C95" w:rsidRDefault="00933C95" w:rsidP="00933C95">
      <w:pPr>
        <w:rPr>
          <w:lang w:val="en-US"/>
        </w:rPr>
      </w:pPr>
      <w:r>
        <w:rPr>
          <w:b/>
          <w:lang w:val="en-US"/>
        </w:rPr>
        <w:t>K</w:t>
      </w:r>
      <w:r w:rsidRPr="00933C95">
        <w:rPr>
          <w:rFonts w:ascii="Calibri" w:eastAsia="Calibri" w:hAnsi="Calibri" w:cs="Times New Roman"/>
          <w:b/>
          <w:lang w:val="en-US"/>
        </w:rPr>
        <w:t xml:space="preserve">eywords: </w:t>
      </w:r>
      <w:r>
        <w:rPr>
          <w:b/>
          <w:lang w:val="en-US"/>
        </w:rPr>
        <w:t xml:space="preserve"> </w:t>
      </w:r>
      <w:r w:rsidRPr="00933C95">
        <w:rPr>
          <w:lang w:val="en-US"/>
        </w:rPr>
        <w:t>IPO underpricing, Meta regression analysis, Underwriter reputation, Initial public offering</w:t>
      </w:r>
      <w:r w:rsidR="00A34189">
        <w:rPr>
          <w:lang w:val="en-US"/>
        </w:rPr>
        <w:t xml:space="preserve">, </w:t>
      </w:r>
      <w:r w:rsidR="007F6AC9">
        <w:rPr>
          <w:lang w:val="en-US"/>
        </w:rPr>
        <w:t xml:space="preserve">publication bias, </w:t>
      </w:r>
      <w:r w:rsidR="00A34189">
        <w:rPr>
          <w:lang w:val="en-US"/>
        </w:rPr>
        <w:t>small firms, young firms</w:t>
      </w:r>
    </w:p>
    <w:p w:rsidR="0032496B" w:rsidRDefault="0032496B">
      <w:pPr>
        <w:rPr>
          <w:b/>
          <w:lang w:val="en-US"/>
        </w:rPr>
      </w:pPr>
    </w:p>
    <w:p w:rsidR="00933C95" w:rsidRPr="0032496B" w:rsidRDefault="00933C95">
      <w:pPr>
        <w:rPr>
          <w:b/>
          <w:lang w:val="en-US"/>
        </w:rPr>
      </w:pPr>
    </w:p>
    <w:p w:rsidR="00933C95" w:rsidRDefault="00933C95">
      <w:pPr>
        <w:rPr>
          <w:rFonts w:ascii="Calibri" w:eastAsia="Calibri" w:hAnsi="Calibri" w:cs="Times New Roman"/>
          <w:b/>
          <w:lang w:val="en-US"/>
        </w:rPr>
      </w:pPr>
      <w:r>
        <w:rPr>
          <w:b/>
          <w:lang w:val="en-US"/>
        </w:rPr>
        <w:br w:type="page"/>
      </w:r>
    </w:p>
    <w:p w:rsidR="001F083A" w:rsidRPr="001F083A" w:rsidRDefault="00E311C3" w:rsidP="001F083A">
      <w:pPr>
        <w:pStyle w:val="TOC1"/>
        <w:numPr>
          <w:ilvl w:val="0"/>
          <w:numId w:val="0"/>
        </w:numPr>
        <w:spacing w:before="160" w:line="240" w:lineRule="auto"/>
        <w:rPr>
          <w:b/>
          <w:lang w:val="en-US"/>
        </w:rPr>
      </w:pPr>
      <w:r w:rsidRPr="001F083A">
        <w:rPr>
          <w:b/>
          <w:lang w:val="en-US"/>
        </w:rPr>
        <w:lastRenderedPageBreak/>
        <w:t>Table of contents</w:t>
      </w:r>
    </w:p>
    <w:p w:rsidR="00E311C3" w:rsidRDefault="00E311C3" w:rsidP="00CD13B8">
      <w:pPr>
        <w:pStyle w:val="TOC1"/>
        <w:numPr>
          <w:ilvl w:val="0"/>
          <w:numId w:val="0"/>
        </w:numPr>
        <w:spacing w:before="60" w:after="0" w:line="240" w:lineRule="auto"/>
        <w:rPr>
          <w:lang w:val="en-US"/>
        </w:rPr>
      </w:pPr>
      <w:r w:rsidRPr="001F083A">
        <w:rPr>
          <w:lang w:val="en-US"/>
        </w:rPr>
        <w:t xml:space="preserve">1. </w:t>
      </w:r>
      <w:r w:rsidRPr="001F083A">
        <w:rPr>
          <w:b/>
          <w:lang w:val="en-US"/>
        </w:rPr>
        <w:t>Motivation</w:t>
      </w:r>
      <w:r w:rsidRPr="001F083A">
        <w:rPr>
          <w:lang w:val="en-US"/>
        </w:rPr>
        <w:ptab w:relativeTo="margin" w:alignment="right" w:leader="dot"/>
      </w:r>
      <w:r w:rsidR="009A55F1">
        <w:rPr>
          <w:lang w:val="en-US"/>
        </w:rPr>
        <w:t>4</w:t>
      </w:r>
    </w:p>
    <w:p w:rsidR="001F083A" w:rsidRDefault="001F083A" w:rsidP="00CD13B8">
      <w:pPr>
        <w:pStyle w:val="TOC1"/>
        <w:numPr>
          <w:ilvl w:val="0"/>
          <w:numId w:val="0"/>
        </w:numPr>
        <w:spacing w:before="60" w:after="0" w:line="240" w:lineRule="auto"/>
        <w:rPr>
          <w:lang w:val="en-US"/>
        </w:rPr>
      </w:pPr>
      <w:r w:rsidRPr="001F083A">
        <w:rPr>
          <w:lang w:val="en-US"/>
        </w:rPr>
        <w:t xml:space="preserve">2. </w:t>
      </w:r>
      <w:r w:rsidRPr="001F083A">
        <w:rPr>
          <w:b/>
          <w:lang w:val="en-US"/>
        </w:rPr>
        <w:t>Introduction</w:t>
      </w:r>
      <w:r w:rsidRPr="001F083A">
        <w:rPr>
          <w:lang w:val="en-US"/>
        </w:rPr>
        <w:ptab w:relativeTo="margin" w:alignment="right" w:leader="dot"/>
      </w:r>
      <w:r w:rsidR="009A55F1">
        <w:rPr>
          <w:lang w:val="en-US"/>
        </w:rPr>
        <w:t>5</w:t>
      </w:r>
    </w:p>
    <w:p w:rsidR="00E311C3" w:rsidRDefault="001F083A" w:rsidP="00CD13B8">
      <w:pPr>
        <w:pStyle w:val="TOC1"/>
        <w:numPr>
          <w:ilvl w:val="0"/>
          <w:numId w:val="0"/>
        </w:numPr>
        <w:spacing w:before="60" w:after="0" w:line="240" w:lineRule="auto"/>
        <w:rPr>
          <w:lang w:val="en-US"/>
        </w:rPr>
      </w:pPr>
      <w:r w:rsidRPr="001F083A">
        <w:rPr>
          <w:lang w:val="en-US"/>
        </w:rPr>
        <w:t>3</w:t>
      </w:r>
      <w:r w:rsidR="00E311C3" w:rsidRPr="001F083A">
        <w:rPr>
          <w:lang w:val="en-US"/>
        </w:rPr>
        <w:t xml:space="preserve">. </w:t>
      </w:r>
      <w:r w:rsidR="00E311C3" w:rsidRPr="001F083A">
        <w:rPr>
          <w:b/>
          <w:lang w:val="en-US"/>
        </w:rPr>
        <w:t>Literature review</w:t>
      </w:r>
      <w:r w:rsidR="00E311C3" w:rsidRPr="001F083A">
        <w:rPr>
          <w:lang w:val="en-US"/>
        </w:rPr>
        <w:t xml:space="preserve"> </w:t>
      </w:r>
      <w:r w:rsidR="00E311C3" w:rsidRPr="001F083A">
        <w:rPr>
          <w:lang w:val="en-US"/>
        </w:rPr>
        <w:ptab w:relativeTo="margin" w:alignment="right" w:leader="dot"/>
      </w:r>
      <w:r w:rsidR="00B8484D">
        <w:rPr>
          <w:lang w:val="en-US"/>
        </w:rPr>
        <w:t>10</w:t>
      </w:r>
    </w:p>
    <w:p w:rsidR="009C10C7" w:rsidRDefault="00E311C3" w:rsidP="00CD13B8">
      <w:pPr>
        <w:pStyle w:val="TOC1"/>
        <w:numPr>
          <w:ilvl w:val="0"/>
          <w:numId w:val="0"/>
        </w:numPr>
        <w:spacing w:before="60" w:after="0" w:line="240" w:lineRule="auto"/>
        <w:rPr>
          <w:lang w:val="en-US"/>
        </w:rPr>
      </w:pPr>
      <w:r>
        <w:rPr>
          <w:lang w:val="en-US"/>
        </w:rPr>
        <w:tab/>
      </w:r>
      <w:r w:rsidR="001F083A">
        <w:rPr>
          <w:lang w:val="en-US"/>
        </w:rPr>
        <w:t>3</w:t>
      </w:r>
      <w:r w:rsidRPr="001E2843">
        <w:rPr>
          <w:lang w:val="en-US"/>
        </w:rPr>
        <w:t xml:space="preserve">.1. </w:t>
      </w:r>
      <w:r w:rsidR="009C10C7">
        <w:rPr>
          <w:lang w:val="en-US"/>
        </w:rPr>
        <w:t>Introduction</w:t>
      </w:r>
      <w:r w:rsidRPr="001F083A">
        <w:rPr>
          <w:lang w:val="en-US"/>
        </w:rPr>
        <w:ptab w:relativeTo="margin" w:alignment="right" w:leader="dot"/>
      </w:r>
      <w:r w:rsidR="00B8484D">
        <w:rPr>
          <w:lang w:val="en-US"/>
        </w:rPr>
        <w:t>10</w:t>
      </w:r>
    </w:p>
    <w:p w:rsidR="00E311C3" w:rsidRPr="001E2843" w:rsidRDefault="009C10C7" w:rsidP="00CD13B8">
      <w:pPr>
        <w:pStyle w:val="TOC1"/>
        <w:numPr>
          <w:ilvl w:val="0"/>
          <w:numId w:val="0"/>
        </w:numPr>
        <w:spacing w:before="60" w:after="0" w:line="240" w:lineRule="auto"/>
        <w:rPr>
          <w:lang w:val="en-US"/>
        </w:rPr>
      </w:pPr>
      <w:r>
        <w:rPr>
          <w:lang w:val="en-US"/>
        </w:rPr>
        <w:tab/>
      </w:r>
      <w:r w:rsidR="003336C4">
        <w:rPr>
          <w:lang w:val="en-US"/>
        </w:rPr>
        <w:t>3</w:t>
      </w:r>
      <w:r w:rsidR="003336C4" w:rsidRPr="001E2843">
        <w:rPr>
          <w:lang w:val="en-US"/>
        </w:rPr>
        <w:t>.</w:t>
      </w:r>
      <w:r>
        <w:rPr>
          <w:lang w:val="en-US"/>
        </w:rPr>
        <w:t>2</w:t>
      </w:r>
      <w:r w:rsidR="003336C4" w:rsidRPr="001E2843">
        <w:rPr>
          <w:lang w:val="en-US"/>
        </w:rPr>
        <w:t xml:space="preserve">. </w:t>
      </w:r>
      <w:r w:rsidR="003336C4">
        <w:rPr>
          <w:lang w:val="en-US"/>
        </w:rPr>
        <w:t>Why do firms go public?</w:t>
      </w:r>
      <w:r w:rsidR="003336C4" w:rsidRPr="001F083A">
        <w:rPr>
          <w:lang w:val="en-US"/>
        </w:rPr>
        <w:ptab w:relativeTo="margin" w:alignment="right" w:leader="dot"/>
      </w:r>
      <w:r w:rsidR="00B8484D">
        <w:rPr>
          <w:lang w:val="en-US"/>
        </w:rPr>
        <w:t>10</w:t>
      </w:r>
    </w:p>
    <w:p w:rsidR="00E311C3" w:rsidRPr="001E2843" w:rsidRDefault="00E311C3" w:rsidP="00CD13B8">
      <w:pPr>
        <w:pStyle w:val="TOC1"/>
        <w:numPr>
          <w:ilvl w:val="0"/>
          <w:numId w:val="0"/>
        </w:numPr>
        <w:spacing w:before="60" w:after="0" w:line="240" w:lineRule="auto"/>
        <w:rPr>
          <w:lang w:val="en-US"/>
        </w:rPr>
      </w:pPr>
      <w:r w:rsidRPr="001E2843">
        <w:rPr>
          <w:lang w:val="en-US"/>
        </w:rPr>
        <w:tab/>
      </w:r>
      <w:r>
        <w:rPr>
          <w:lang w:val="en-US"/>
        </w:rPr>
        <w:tab/>
      </w:r>
      <w:r w:rsidR="001F083A">
        <w:rPr>
          <w:lang w:val="en-US"/>
        </w:rPr>
        <w:t>3</w:t>
      </w:r>
      <w:r w:rsidRPr="001E2843">
        <w:rPr>
          <w:lang w:val="en-US"/>
        </w:rPr>
        <w:t>.</w:t>
      </w:r>
      <w:r w:rsidR="009C10C7">
        <w:rPr>
          <w:lang w:val="en-US"/>
        </w:rPr>
        <w:t>2</w:t>
      </w:r>
      <w:r w:rsidRPr="001E2843">
        <w:rPr>
          <w:lang w:val="en-US"/>
        </w:rPr>
        <w:t>.1. The benefits of going public</w:t>
      </w:r>
      <w:r w:rsidRPr="001F083A">
        <w:rPr>
          <w:lang w:val="en-US"/>
        </w:rPr>
        <w:ptab w:relativeTo="margin" w:alignment="right" w:leader="dot"/>
      </w:r>
      <w:r w:rsidR="00B8484D">
        <w:rPr>
          <w:lang w:val="en-US"/>
        </w:rPr>
        <w:t>11</w:t>
      </w:r>
    </w:p>
    <w:p w:rsidR="00E311C3" w:rsidRDefault="00E311C3" w:rsidP="00CD13B8">
      <w:pPr>
        <w:pStyle w:val="TOC1"/>
        <w:numPr>
          <w:ilvl w:val="0"/>
          <w:numId w:val="0"/>
        </w:numPr>
        <w:spacing w:before="60" w:after="0" w:line="240" w:lineRule="auto"/>
        <w:rPr>
          <w:lang w:val="en-US"/>
        </w:rPr>
      </w:pPr>
      <w:r w:rsidRPr="001E2843">
        <w:rPr>
          <w:lang w:val="en-US"/>
        </w:rPr>
        <w:tab/>
      </w:r>
      <w:r w:rsidRPr="001E2843">
        <w:rPr>
          <w:lang w:val="en-US"/>
        </w:rPr>
        <w:tab/>
      </w:r>
      <w:r w:rsidR="001F083A">
        <w:rPr>
          <w:lang w:val="en-US"/>
        </w:rPr>
        <w:t>3</w:t>
      </w:r>
      <w:r w:rsidRPr="001E2843">
        <w:rPr>
          <w:lang w:val="en-US"/>
        </w:rPr>
        <w:t>.</w:t>
      </w:r>
      <w:r w:rsidR="009C10C7">
        <w:rPr>
          <w:lang w:val="en-US"/>
        </w:rPr>
        <w:t>2</w:t>
      </w:r>
      <w:r w:rsidRPr="001E2843">
        <w:rPr>
          <w:lang w:val="en-US"/>
        </w:rPr>
        <w:t>.2. The costs of going public</w:t>
      </w:r>
      <w:r w:rsidRPr="001F083A">
        <w:rPr>
          <w:lang w:val="en-US"/>
        </w:rPr>
        <w:ptab w:relativeTo="margin" w:alignment="right" w:leader="dot"/>
      </w:r>
      <w:r w:rsidR="007405E8">
        <w:rPr>
          <w:lang w:val="en-US"/>
        </w:rPr>
        <w:t>1</w:t>
      </w:r>
      <w:r w:rsidR="00B8484D">
        <w:rPr>
          <w:lang w:val="en-US"/>
        </w:rPr>
        <w:t>2</w:t>
      </w:r>
    </w:p>
    <w:p w:rsidR="00E311C3" w:rsidRPr="006B7BB4" w:rsidRDefault="00E311C3" w:rsidP="00CD13B8">
      <w:pPr>
        <w:pStyle w:val="TOC1"/>
        <w:numPr>
          <w:ilvl w:val="0"/>
          <w:numId w:val="0"/>
        </w:numPr>
        <w:spacing w:before="60" w:after="0" w:line="240" w:lineRule="auto"/>
        <w:rPr>
          <w:lang w:val="en-US"/>
        </w:rPr>
      </w:pPr>
      <w:r>
        <w:rPr>
          <w:lang w:val="en-US"/>
        </w:rPr>
        <w:tab/>
      </w:r>
      <w:r w:rsidR="001F083A">
        <w:rPr>
          <w:lang w:val="en-US"/>
        </w:rPr>
        <w:t>3</w:t>
      </w:r>
      <w:r>
        <w:rPr>
          <w:lang w:val="en-US"/>
        </w:rPr>
        <w:t>.</w:t>
      </w:r>
      <w:r w:rsidR="009C10C7">
        <w:rPr>
          <w:lang w:val="en-US"/>
        </w:rPr>
        <w:t>3</w:t>
      </w:r>
      <w:r w:rsidRPr="001E2843">
        <w:rPr>
          <w:lang w:val="en-US"/>
        </w:rPr>
        <w:t xml:space="preserve">. </w:t>
      </w:r>
      <w:r>
        <w:rPr>
          <w:lang w:val="en-US"/>
        </w:rPr>
        <w:t>The mechanisms of the initial public offering</w:t>
      </w:r>
      <w:r w:rsidRPr="001F083A">
        <w:rPr>
          <w:lang w:val="en-US"/>
        </w:rPr>
        <w:ptab w:relativeTo="margin" w:alignment="right" w:leader="dot"/>
      </w:r>
      <w:r w:rsidR="007405E8">
        <w:rPr>
          <w:lang w:val="en-US"/>
        </w:rPr>
        <w:t>1</w:t>
      </w:r>
      <w:r w:rsidR="00B8484D">
        <w:rPr>
          <w:lang w:val="en-US"/>
        </w:rPr>
        <w:t>3</w:t>
      </w:r>
    </w:p>
    <w:p w:rsidR="00E311C3" w:rsidRPr="001E2843" w:rsidRDefault="00E311C3" w:rsidP="00CD13B8">
      <w:pPr>
        <w:pStyle w:val="TOC1"/>
        <w:numPr>
          <w:ilvl w:val="0"/>
          <w:numId w:val="0"/>
        </w:numPr>
        <w:spacing w:before="60" w:after="0" w:line="240" w:lineRule="auto"/>
        <w:rPr>
          <w:lang w:val="en-US"/>
        </w:rPr>
      </w:pPr>
      <w:r w:rsidRPr="001E2843">
        <w:rPr>
          <w:lang w:val="en-US"/>
        </w:rPr>
        <w:tab/>
      </w:r>
      <w:r w:rsidR="001F083A">
        <w:rPr>
          <w:lang w:val="en-US"/>
        </w:rPr>
        <w:t>3</w:t>
      </w:r>
      <w:r w:rsidRPr="001E2843">
        <w:rPr>
          <w:lang w:val="en-US"/>
        </w:rPr>
        <w:t>.</w:t>
      </w:r>
      <w:r w:rsidR="009C10C7">
        <w:rPr>
          <w:lang w:val="en-US"/>
        </w:rPr>
        <w:t>4</w:t>
      </w:r>
      <w:r w:rsidRPr="001E2843">
        <w:rPr>
          <w:lang w:val="en-US"/>
        </w:rPr>
        <w:t>. Underpricing</w:t>
      </w:r>
      <w:r w:rsidRPr="001F083A">
        <w:rPr>
          <w:lang w:val="en-US"/>
        </w:rPr>
        <w:ptab w:relativeTo="margin" w:alignment="right" w:leader="dot"/>
      </w:r>
      <w:r w:rsidR="007405E8">
        <w:rPr>
          <w:lang w:val="en-US"/>
        </w:rPr>
        <w:t>1</w:t>
      </w:r>
      <w:r w:rsidR="00B8484D">
        <w:rPr>
          <w:lang w:val="en-US"/>
        </w:rPr>
        <w:t>6</w:t>
      </w:r>
    </w:p>
    <w:p w:rsidR="00E311C3" w:rsidRPr="001E2843" w:rsidRDefault="00E311C3" w:rsidP="00CD13B8">
      <w:pPr>
        <w:pStyle w:val="TOC1"/>
        <w:numPr>
          <w:ilvl w:val="0"/>
          <w:numId w:val="0"/>
        </w:numPr>
        <w:spacing w:before="60" w:after="0" w:line="240" w:lineRule="auto"/>
        <w:rPr>
          <w:lang w:val="en-US"/>
        </w:rPr>
      </w:pPr>
      <w:r w:rsidRPr="001E2843">
        <w:rPr>
          <w:lang w:val="en-US"/>
        </w:rPr>
        <w:tab/>
      </w:r>
      <w:r w:rsidRPr="001E2843">
        <w:rPr>
          <w:lang w:val="en-US"/>
        </w:rPr>
        <w:tab/>
      </w:r>
      <w:r w:rsidR="001F083A">
        <w:rPr>
          <w:lang w:val="en-US"/>
        </w:rPr>
        <w:t>3</w:t>
      </w:r>
      <w:r w:rsidRPr="001E2843">
        <w:rPr>
          <w:lang w:val="en-US"/>
        </w:rPr>
        <w:t>.</w:t>
      </w:r>
      <w:r w:rsidR="009C10C7">
        <w:rPr>
          <w:lang w:val="en-US"/>
        </w:rPr>
        <w:t>4</w:t>
      </w:r>
      <w:r w:rsidRPr="001E2843">
        <w:rPr>
          <w:lang w:val="en-US"/>
        </w:rPr>
        <w:t>.1. Theories based on information asymmetries</w:t>
      </w:r>
      <w:r w:rsidRPr="001F083A">
        <w:rPr>
          <w:lang w:val="en-US"/>
        </w:rPr>
        <w:ptab w:relativeTo="margin" w:alignment="right" w:leader="dot"/>
      </w:r>
      <w:r w:rsidR="00ED271E">
        <w:rPr>
          <w:lang w:val="en-US"/>
        </w:rPr>
        <w:t>1</w:t>
      </w:r>
      <w:r w:rsidR="00B8484D">
        <w:rPr>
          <w:lang w:val="en-US"/>
        </w:rPr>
        <w:t>6</w:t>
      </w:r>
    </w:p>
    <w:p w:rsidR="00E311C3" w:rsidRPr="001E2843" w:rsidRDefault="00E311C3" w:rsidP="00CD13B8">
      <w:pPr>
        <w:pStyle w:val="TOC1"/>
        <w:numPr>
          <w:ilvl w:val="0"/>
          <w:numId w:val="0"/>
        </w:numPr>
        <w:spacing w:before="60" w:after="0" w:line="240" w:lineRule="auto"/>
        <w:rPr>
          <w:lang w:val="en-US"/>
        </w:rPr>
      </w:pPr>
      <w:r w:rsidRPr="001E2843">
        <w:rPr>
          <w:lang w:val="en-US"/>
        </w:rPr>
        <w:tab/>
      </w:r>
      <w:r w:rsidRPr="001E2843">
        <w:rPr>
          <w:lang w:val="en-US"/>
        </w:rPr>
        <w:tab/>
      </w:r>
      <w:r w:rsidRPr="001E2843">
        <w:rPr>
          <w:lang w:val="en-US"/>
        </w:rPr>
        <w:tab/>
      </w:r>
      <w:r w:rsidR="001F083A">
        <w:rPr>
          <w:lang w:val="en-US"/>
        </w:rPr>
        <w:t>3</w:t>
      </w:r>
      <w:r w:rsidRPr="001E2843">
        <w:rPr>
          <w:lang w:val="en-US"/>
        </w:rPr>
        <w:t>.</w:t>
      </w:r>
      <w:r w:rsidR="009C10C7">
        <w:rPr>
          <w:lang w:val="en-US"/>
        </w:rPr>
        <w:t>4</w:t>
      </w:r>
      <w:r w:rsidRPr="001E2843">
        <w:rPr>
          <w:lang w:val="en-US"/>
        </w:rPr>
        <w:t xml:space="preserve">.1.1. Investors are less informed than issuers and underwriters </w:t>
      </w:r>
      <w:r w:rsidRPr="001E2843">
        <w:ptab w:relativeTo="margin" w:alignment="right" w:leader="dot"/>
      </w:r>
      <w:r w:rsidRPr="001E2843">
        <w:rPr>
          <w:lang w:val="en-US"/>
        </w:rPr>
        <w:t>1</w:t>
      </w:r>
      <w:r w:rsidR="00B8484D">
        <w:rPr>
          <w:lang w:val="en-US"/>
        </w:rPr>
        <w:t>7</w:t>
      </w:r>
    </w:p>
    <w:p w:rsidR="00E311C3" w:rsidRPr="003521FC" w:rsidRDefault="00E311C3" w:rsidP="00CD13B8">
      <w:pPr>
        <w:pStyle w:val="TOC1"/>
        <w:numPr>
          <w:ilvl w:val="0"/>
          <w:numId w:val="0"/>
        </w:numPr>
        <w:spacing w:before="60" w:after="0" w:line="240" w:lineRule="auto"/>
        <w:rPr>
          <w:lang w:val="en-US"/>
        </w:rPr>
      </w:pPr>
      <w:r>
        <w:rPr>
          <w:lang w:val="en-US"/>
        </w:rPr>
        <w:tab/>
      </w:r>
      <w:r>
        <w:rPr>
          <w:lang w:val="en-US"/>
        </w:rPr>
        <w:tab/>
      </w:r>
      <w:r>
        <w:rPr>
          <w:lang w:val="en-US"/>
        </w:rPr>
        <w:tab/>
      </w:r>
      <w:r w:rsidR="001F083A">
        <w:rPr>
          <w:lang w:val="en-US"/>
        </w:rPr>
        <w:t>3</w:t>
      </w:r>
      <w:r>
        <w:rPr>
          <w:lang w:val="en-US"/>
        </w:rPr>
        <w:t>.</w:t>
      </w:r>
      <w:r w:rsidR="009C10C7">
        <w:rPr>
          <w:lang w:val="en-US"/>
        </w:rPr>
        <w:t>4</w:t>
      </w:r>
      <w:r>
        <w:rPr>
          <w:lang w:val="en-US"/>
        </w:rPr>
        <w:t xml:space="preserve">.1.2. </w:t>
      </w:r>
      <w:r w:rsidRPr="00FE61D8">
        <w:rPr>
          <w:lang w:val="en-US"/>
        </w:rPr>
        <w:t>Inv</w:t>
      </w:r>
      <w:r>
        <w:rPr>
          <w:lang w:val="en-US"/>
        </w:rPr>
        <w:t>estors have superior information to issuers and underwriters</w:t>
      </w:r>
      <w:r>
        <w:ptab w:relativeTo="margin" w:alignment="right" w:leader="dot"/>
      </w:r>
      <w:r w:rsidR="007405E8">
        <w:rPr>
          <w:lang w:val="en-US"/>
        </w:rPr>
        <w:t>2</w:t>
      </w:r>
      <w:r w:rsidR="008B2A52">
        <w:rPr>
          <w:lang w:val="en-US"/>
        </w:rPr>
        <w:t>2</w:t>
      </w:r>
    </w:p>
    <w:p w:rsidR="00E311C3" w:rsidRPr="003521FC" w:rsidRDefault="00E311C3" w:rsidP="00CD13B8">
      <w:pPr>
        <w:pStyle w:val="TOC1"/>
        <w:numPr>
          <w:ilvl w:val="0"/>
          <w:numId w:val="0"/>
        </w:numPr>
        <w:spacing w:before="60" w:after="0" w:line="240" w:lineRule="auto"/>
        <w:rPr>
          <w:lang w:val="en-US"/>
        </w:rPr>
      </w:pPr>
      <w:r>
        <w:rPr>
          <w:lang w:val="en-US"/>
        </w:rPr>
        <w:tab/>
      </w:r>
      <w:r>
        <w:rPr>
          <w:lang w:val="en-US"/>
        </w:rPr>
        <w:tab/>
      </w:r>
      <w:r>
        <w:rPr>
          <w:lang w:val="en-US"/>
        </w:rPr>
        <w:tab/>
      </w:r>
      <w:r w:rsidR="001F083A">
        <w:rPr>
          <w:lang w:val="en-US"/>
        </w:rPr>
        <w:t>3</w:t>
      </w:r>
      <w:r>
        <w:rPr>
          <w:lang w:val="en-US"/>
        </w:rPr>
        <w:t>.</w:t>
      </w:r>
      <w:r w:rsidR="009C10C7">
        <w:rPr>
          <w:lang w:val="en-US"/>
        </w:rPr>
        <w:t>4</w:t>
      </w:r>
      <w:r>
        <w:rPr>
          <w:lang w:val="en-US"/>
        </w:rPr>
        <w:t xml:space="preserve">.1.3. </w:t>
      </w:r>
      <w:r w:rsidRPr="00FE61D8">
        <w:rPr>
          <w:lang w:val="en-US"/>
        </w:rPr>
        <w:t xml:space="preserve">Underwriters have superior information to issuers </w:t>
      </w:r>
      <w:r>
        <w:ptab w:relativeTo="margin" w:alignment="right" w:leader="dot"/>
      </w:r>
      <w:r w:rsidR="007405E8">
        <w:rPr>
          <w:lang w:val="en-US"/>
        </w:rPr>
        <w:t>2</w:t>
      </w:r>
      <w:r w:rsidR="008B2A52">
        <w:rPr>
          <w:lang w:val="en-US"/>
        </w:rPr>
        <w:t>4</w:t>
      </w:r>
    </w:p>
    <w:p w:rsidR="00E311C3" w:rsidRPr="003521FC" w:rsidRDefault="00E311C3" w:rsidP="00CD13B8">
      <w:pPr>
        <w:pStyle w:val="TOC1"/>
        <w:numPr>
          <w:ilvl w:val="0"/>
          <w:numId w:val="0"/>
        </w:numPr>
        <w:spacing w:before="60" w:after="0" w:line="240" w:lineRule="auto"/>
        <w:rPr>
          <w:lang w:val="en-US"/>
        </w:rPr>
      </w:pPr>
      <w:r>
        <w:rPr>
          <w:lang w:val="en-US"/>
        </w:rPr>
        <w:tab/>
      </w:r>
      <w:r>
        <w:rPr>
          <w:lang w:val="en-US"/>
        </w:rPr>
        <w:tab/>
      </w:r>
      <w:r w:rsidR="001F083A">
        <w:rPr>
          <w:lang w:val="en-US"/>
        </w:rPr>
        <w:t>3</w:t>
      </w:r>
      <w:r>
        <w:rPr>
          <w:lang w:val="en-US"/>
        </w:rPr>
        <w:t>.</w:t>
      </w:r>
      <w:r w:rsidR="009C10C7">
        <w:rPr>
          <w:lang w:val="en-US"/>
        </w:rPr>
        <w:t>4</w:t>
      </w:r>
      <w:r>
        <w:rPr>
          <w:lang w:val="en-US"/>
        </w:rPr>
        <w:t xml:space="preserve">.2. </w:t>
      </w:r>
      <w:r w:rsidRPr="00FE61D8">
        <w:rPr>
          <w:lang w:val="en-US"/>
        </w:rPr>
        <w:t xml:space="preserve">Why has </w:t>
      </w:r>
      <w:r w:rsidR="0030498B">
        <w:rPr>
          <w:lang w:val="en-US"/>
        </w:rPr>
        <w:t>IPO</w:t>
      </w:r>
      <w:r w:rsidRPr="00FE61D8">
        <w:rPr>
          <w:lang w:val="en-US"/>
        </w:rPr>
        <w:t xml:space="preserve"> underpricing changed over time?</w:t>
      </w:r>
      <w:r>
        <w:ptab w:relativeTo="margin" w:alignment="right" w:leader="dot"/>
      </w:r>
      <w:r w:rsidR="007405E8">
        <w:rPr>
          <w:lang w:val="en-US"/>
        </w:rPr>
        <w:t>2</w:t>
      </w:r>
      <w:r w:rsidR="008B2A52">
        <w:rPr>
          <w:lang w:val="en-US"/>
        </w:rPr>
        <w:t>5</w:t>
      </w:r>
    </w:p>
    <w:p w:rsidR="00E311C3" w:rsidRPr="003521FC" w:rsidRDefault="00E311C3" w:rsidP="00CD13B8">
      <w:pPr>
        <w:pStyle w:val="TOC1"/>
        <w:numPr>
          <w:ilvl w:val="0"/>
          <w:numId w:val="0"/>
        </w:numPr>
        <w:spacing w:before="60" w:after="0" w:line="240" w:lineRule="auto"/>
        <w:rPr>
          <w:lang w:val="en-US"/>
        </w:rPr>
      </w:pPr>
      <w:r>
        <w:rPr>
          <w:lang w:val="en-US"/>
        </w:rPr>
        <w:tab/>
      </w:r>
      <w:r>
        <w:rPr>
          <w:lang w:val="en-US"/>
        </w:rPr>
        <w:tab/>
      </w:r>
      <w:r>
        <w:rPr>
          <w:lang w:val="en-US"/>
        </w:rPr>
        <w:tab/>
      </w:r>
      <w:r w:rsidR="001F083A">
        <w:rPr>
          <w:lang w:val="en-US"/>
        </w:rPr>
        <w:t>3</w:t>
      </w:r>
      <w:r>
        <w:rPr>
          <w:lang w:val="en-US"/>
        </w:rPr>
        <w:t>.</w:t>
      </w:r>
      <w:r w:rsidR="009C10C7">
        <w:rPr>
          <w:lang w:val="en-US"/>
        </w:rPr>
        <w:t>4</w:t>
      </w:r>
      <w:r>
        <w:rPr>
          <w:lang w:val="en-US"/>
        </w:rPr>
        <w:t xml:space="preserve">.2.1. </w:t>
      </w:r>
      <w:r w:rsidRPr="00FE61D8">
        <w:rPr>
          <w:lang w:val="en-US"/>
        </w:rPr>
        <w:t>Ljungqvist and Wilhelm (2003)</w:t>
      </w:r>
      <w:r>
        <w:ptab w:relativeTo="margin" w:alignment="right" w:leader="dot"/>
      </w:r>
      <w:r w:rsidR="007405E8">
        <w:rPr>
          <w:lang w:val="en-US"/>
        </w:rPr>
        <w:t>2</w:t>
      </w:r>
      <w:r w:rsidR="008B2A52">
        <w:rPr>
          <w:lang w:val="en-US"/>
        </w:rPr>
        <w:t>6</w:t>
      </w:r>
    </w:p>
    <w:p w:rsidR="00E311C3" w:rsidRPr="003521FC" w:rsidRDefault="00E311C3" w:rsidP="00CD13B8">
      <w:pPr>
        <w:pStyle w:val="TOC1"/>
        <w:numPr>
          <w:ilvl w:val="0"/>
          <w:numId w:val="0"/>
        </w:numPr>
        <w:spacing w:before="60" w:after="0" w:line="240" w:lineRule="auto"/>
        <w:rPr>
          <w:lang w:val="en-US"/>
        </w:rPr>
      </w:pPr>
      <w:r>
        <w:rPr>
          <w:lang w:val="en-US"/>
        </w:rPr>
        <w:tab/>
      </w:r>
      <w:r>
        <w:rPr>
          <w:lang w:val="en-US"/>
        </w:rPr>
        <w:tab/>
      </w:r>
      <w:r>
        <w:rPr>
          <w:lang w:val="en-US"/>
        </w:rPr>
        <w:tab/>
      </w:r>
      <w:r w:rsidR="001F083A">
        <w:rPr>
          <w:lang w:val="en-US"/>
        </w:rPr>
        <w:t>3</w:t>
      </w:r>
      <w:r>
        <w:rPr>
          <w:lang w:val="en-US"/>
        </w:rPr>
        <w:t>.</w:t>
      </w:r>
      <w:r w:rsidR="009C10C7">
        <w:rPr>
          <w:lang w:val="en-US"/>
        </w:rPr>
        <w:t>4</w:t>
      </w:r>
      <w:r>
        <w:rPr>
          <w:lang w:val="en-US"/>
        </w:rPr>
        <w:t xml:space="preserve">.2.2. </w:t>
      </w:r>
      <w:r w:rsidRPr="00FE61D8">
        <w:rPr>
          <w:lang w:val="en-US"/>
        </w:rPr>
        <w:t>Loughran and Ritter (2004</w:t>
      </w:r>
      <w:r>
        <w:rPr>
          <w:lang w:val="en-US"/>
        </w:rPr>
        <w:t>)</w:t>
      </w:r>
      <w:r>
        <w:ptab w:relativeTo="margin" w:alignment="right" w:leader="dot"/>
      </w:r>
      <w:r w:rsidR="007405E8">
        <w:rPr>
          <w:lang w:val="en-US"/>
        </w:rPr>
        <w:t>2</w:t>
      </w:r>
      <w:r w:rsidR="008B2A52">
        <w:rPr>
          <w:lang w:val="en-US"/>
        </w:rPr>
        <w:t>7</w:t>
      </w:r>
    </w:p>
    <w:p w:rsidR="00E311C3" w:rsidRPr="003521FC" w:rsidRDefault="00E311C3" w:rsidP="00CD13B8">
      <w:pPr>
        <w:pStyle w:val="TOC1"/>
        <w:numPr>
          <w:ilvl w:val="0"/>
          <w:numId w:val="0"/>
        </w:numPr>
        <w:spacing w:before="60" w:after="0" w:line="240" w:lineRule="auto"/>
        <w:rPr>
          <w:lang w:val="en-US"/>
        </w:rPr>
      </w:pPr>
      <w:r>
        <w:rPr>
          <w:lang w:val="en-US"/>
        </w:rPr>
        <w:tab/>
      </w:r>
      <w:r>
        <w:rPr>
          <w:lang w:val="en-US"/>
        </w:rPr>
        <w:tab/>
      </w:r>
      <w:r>
        <w:rPr>
          <w:lang w:val="en-US"/>
        </w:rPr>
        <w:tab/>
      </w:r>
      <w:r w:rsidR="001F083A">
        <w:rPr>
          <w:lang w:val="en-US"/>
        </w:rPr>
        <w:t>3</w:t>
      </w:r>
      <w:r>
        <w:rPr>
          <w:lang w:val="en-US"/>
        </w:rPr>
        <w:t>.</w:t>
      </w:r>
      <w:r w:rsidR="009C10C7">
        <w:rPr>
          <w:lang w:val="en-US"/>
        </w:rPr>
        <w:t>4</w:t>
      </w:r>
      <w:r>
        <w:rPr>
          <w:lang w:val="en-US"/>
        </w:rPr>
        <w:t xml:space="preserve">.2.3. </w:t>
      </w:r>
      <w:r w:rsidR="003456D8">
        <w:rPr>
          <w:lang w:val="en-US"/>
        </w:rPr>
        <w:t>Ljungqvist &amp; Wilhelm and Loughran &amp;</w:t>
      </w:r>
      <w:r w:rsidRPr="00FE61D8">
        <w:rPr>
          <w:lang w:val="en-US"/>
        </w:rPr>
        <w:t xml:space="preserve"> Ritter</w:t>
      </w:r>
      <w:r w:rsidR="003456D8">
        <w:rPr>
          <w:lang w:val="en-US"/>
        </w:rPr>
        <w:t xml:space="preserve"> summarized</w:t>
      </w:r>
      <w:r>
        <w:ptab w:relativeTo="margin" w:alignment="right" w:leader="dot"/>
      </w:r>
      <w:r w:rsidR="007405E8">
        <w:rPr>
          <w:lang w:val="en-US"/>
        </w:rPr>
        <w:t>3</w:t>
      </w:r>
      <w:r w:rsidR="008B2A52">
        <w:rPr>
          <w:lang w:val="en-US"/>
        </w:rPr>
        <w:t>0</w:t>
      </w:r>
    </w:p>
    <w:p w:rsidR="00E311C3" w:rsidRPr="003521FC" w:rsidRDefault="00E311C3" w:rsidP="00CD13B8">
      <w:pPr>
        <w:pStyle w:val="TOC1"/>
        <w:numPr>
          <w:ilvl w:val="0"/>
          <w:numId w:val="0"/>
        </w:numPr>
        <w:spacing w:before="60" w:after="0" w:line="240" w:lineRule="auto"/>
        <w:rPr>
          <w:lang w:val="en-US"/>
        </w:rPr>
      </w:pPr>
      <w:r>
        <w:rPr>
          <w:lang w:val="en-US"/>
        </w:rPr>
        <w:tab/>
      </w:r>
      <w:r>
        <w:rPr>
          <w:lang w:val="en-US"/>
        </w:rPr>
        <w:tab/>
      </w:r>
      <w:r w:rsidR="001F083A">
        <w:rPr>
          <w:lang w:val="en-US"/>
        </w:rPr>
        <w:t>3</w:t>
      </w:r>
      <w:r>
        <w:rPr>
          <w:lang w:val="en-US"/>
        </w:rPr>
        <w:t>.</w:t>
      </w:r>
      <w:r w:rsidR="009C10C7">
        <w:rPr>
          <w:lang w:val="en-US"/>
        </w:rPr>
        <w:t>4</w:t>
      </w:r>
      <w:r>
        <w:rPr>
          <w:lang w:val="en-US"/>
        </w:rPr>
        <w:t xml:space="preserve">.3. </w:t>
      </w:r>
      <w:r w:rsidRPr="00FE61D8">
        <w:rPr>
          <w:lang w:val="en-US"/>
        </w:rPr>
        <w:t xml:space="preserve">Other explanations of </w:t>
      </w:r>
      <w:r w:rsidR="0030498B">
        <w:rPr>
          <w:lang w:val="en-US"/>
        </w:rPr>
        <w:t>IPO</w:t>
      </w:r>
      <w:r w:rsidRPr="00FE61D8">
        <w:rPr>
          <w:lang w:val="en-US"/>
        </w:rPr>
        <w:t xml:space="preserve"> underpricing</w:t>
      </w:r>
      <w:r>
        <w:ptab w:relativeTo="margin" w:alignment="right" w:leader="dot"/>
      </w:r>
      <w:r w:rsidR="007405E8">
        <w:rPr>
          <w:lang w:val="en-US"/>
        </w:rPr>
        <w:t>3</w:t>
      </w:r>
      <w:r w:rsidR="008B2A52">
        <w:rPr>
          <w:lang w:val="en-US"/>
        </w:rPr>
        <w:t>1</w:t>
      </w:r>
    </w:p>
    <w:p w:rsidR="00E311C3" w:rsidRPr="003521FC" w:rsidRDefault="00E311C3" w:rsidP="00CD13B8">
      <w:pPr>
        <w:pStyle w:val="TOC1"/>
        <w:numPr>
          <w:ilvl w:val="0"/>
          <w:numId w:val="0"/>
        </w:numPr>
        <w:spacing w:before="60" w:after="0" w:line="240" w:lineRule="auto"/>
        <w:rPr>
          <w:lang w:val="en-US"/>
        </w:rPr>
      </w:pPr>
      <w:r>
        <w:rPr>
          <w:lang w:val="en-US"/>
        </w:rPr>
        <w:tab/>
      </w:r>
      <w:r>
        <w:rPr>
          <w:lang w:val="en-US"/>
        </w:rPr>
        <w:tab/>
      </w:r>
      <w:r>
        <w:rPr>
          <w:lang w:val="en-US"/>
        </w:rPr>
        <w:tab/>
      </w:r>
      <w:r w:rsidR="001F083A">
        <w:rPr>
          <w:lang w:val="en-US"/>
        </w:rPr>
        <w:t>3</w:t>
      </w:r>
      <w:r>
        <w:rPr>
          <w:lang w:val="en-US"/>
        </w:rPr>
        <w:t>.</w:t>
      </w:r>
      <w:r w:rsidR="009C10C7">
        <w:rPr>
          <w:lang w:val="en-US"/>
        </w:rPr>
        <w:t>4</w:t>
      </w:r>
      <w:r>
        <w:rPr>
          <w:lang w:val="en-US"/>
        </w:rPr>
        <w:t xml:space="preserve">.3.1. </w:t>
      </w:r>
      <w:r w:rsidRPr="00FE61D8">
        <w:rPr>
          <w:lang w:val="en-US"/>
        </w:rPr>
        <w:t>The lawsuit avoidance hypothesis</w:t>
      </w:r>
      <w:r>
        <w:ptab w:relativeTo="margin" w:alignment="right" w:leader="dot"/>
      </w:r>
      <w:r w:rsidR="007405E8">
        <w:rPr>
          <w:lang w:val="en-US"/>
        </w:rPr>
        <w:t>3</w:t>
      </w:r>
      <w:r w:rsidR="008B2A52">
        <w:rPr>
          <w:lang w:val="en-US"/>
        </w:rPr>
        <w:t>1</w:t>
      </w:r>
    </w:p>
    <w:p w:rsidR="00E311C3" w:rsidRDefault="00E311C3" w:rsidP="00CD13B8">
      <w:pPr>
        <w:pStyle w:val="TOC1"/>
        <w:numPr>
          <w:ilvl w:val="0"/>
          <w:numId w:val="0"/>
        </w:numPr>
        <w:spacing w:before="60" w:after="0" w:line="240" w:lineRule="auto"/>
        <w:rPr>
          <w:lang w:val="en-US"/>
        </w:rPr>
      </w:pPr>
      <w:r>
        <w:rPr>
          <w:lang w:val="en-US"/>
        </w:rPr>
        <w:tab/>
      </w:r>
      <w:r>
        <w:rPr>
          <w:lang w:val="en-US"/>
        </w:rPr>
        <w:tab/>
      </w:r>
      <w:r>
        <w:rPr>
          <w:lang w:val="en-US"/>
        </w:rPr>
        <w:tab/>
      </w:r>
      <w:r w:rsidR="001F083A">
        <w:rPr>
          <w:lang w:val="en-US"/>
        </w:rPr>
        <w:t>3</w:t>
      </w:r>
      <w:r>
        <w:rPr>
          <w:lang w:val="en-US"/>
        </w:rPr>
        <w:t>.</w:t>
      </w:r>
      <w:r w:rsidR="009C10C7">
        <w:rPr>
          <w:lang w:val="en-US"/>
        </w:rPr>
        <w:t>4</w:t>
      </w:r>
      <w:r>
        <w:rPr>
          <w:lang w:val="en-US"/>
        </w:rPr>
        <w:t xml:space="preserve">.3.2. Underpricing and </w:t>
      </w:r>
      <w:r w:rsidR="0030498B">
        <w:rPr>
          <w:lang w:val="en-US"/>
        </w:rPr>
        <w:t>IPO</w:t>
      </w:r>
      <w:r>
        <w:rPr>
          <w:lang w:val="en-US"/>
        </w:rPr>
        <w:t xml:space="preserve"> trading profits</w:t>
      </w:r>
      <w:r>
        <w:ptab w:relativeTo="margin" w:alignment="right" w:leader="dot"/>
      </w:r>
      <w:r w:rsidR="007405E8">
        <w:rPr>
          <w:lang w:val="en-US"/>
        </w:rPr>
        <w:t>3</w:t>
      </w:r>
      <w:r w:rsidR="008B2A52">
        <w:rPr>
          <w:lang w:val="en-US"/>
        </w:rPr>
        <w:t>2</w:t>
      </w:r>
    </w:p>
    <w:p w:rsidR="00E311C3" w:rsidRPr="003521FC" w:rsidRDefault="00E311C3" w:rsidP="00CD13B8">
      <w:pPr>
        <w:pStyle w:val="TOC1"/>
        <w:numPr>
          <w:ilvl w:val="0"/>
          <w:numId w:val="0"/>
        </w:numPr>
        <w:spacing w:before="60" w:after="0" w:line="240" w:lineRule="auto"/>
        <w:rPr>
          <w:lang w:val="en-US"/>
        </w:rPr>
      </w:pPr>
      <w:r>
        <w:rPr>
          <w:lang w:val="en-US"/>
        </w:rPr>
        <w:tab/>
      </w:r>
      <w:r w:rsidR="001F083A">
        <w:rPr>
          <w:lang w:val="en-US"/>
        </w:rPr>
        <w:t>3</w:t>
      </w:r>
      <w:r>
        <w:rPr>
          <w:lang w:val="en-US"/>
        </w:rPr>
        <w:t>.</w:t>
      </w:r>
      <w:r w:rsidR="009C10C7">
        <w:rPr>
          <w:lang w:val="en-US"/>
        </w:rPr>
        <w:t>5</w:t>
      </w:r>
      <w:r w:rsidR="00C71D4F">
        <w:rPr>
          <w:lang w:val="en-US"/>
        </w:rPr>
        <w:t>. Criticism on the underpricing phenomenon</w:t>
      </w:r>
      <w:r>
        <w:ptab w:relativeTo="margin" w:alignment="right" w:leader="dot"/>
      </w:r>
      <w:r w:rsidR="007405E8">
        <w:rPr>
          <w:lang w:val="en-US"/>
        </w:rPr>
        <w:t>3</w:t>
      </w:r>
      <w:r w:rsidR="008B2A52">
        <w:rPr>
          <w:lang w:val="en-US"/>
        </w:rPr>
        <w:t>3</w:t>
      </w:r>
    </w:p>
    <w:p w:rsidR="00E311C3" w:rsidRPr="003521FC" w:rsidRDefault="00E311C3" w:rsidP="00CD13B8">
      <w:pPr>
        <w:pStyle w:val="TOC1"/>
        <w:numPr>
          <w:ilvl w:val="0"/>
          <w:numId w:val="0"/>
        </w:numPr>
        <w:spacing w:before="60" w:after="0" w:line="240" w:lineRule="auto"/>
        <w:rPr>
          <w:lang w:val="en-US"/>
        </w:rPr>
      </w:pPr>
      <w:r>
        <w:rPr>
          <w:lang w:val="en-US"/>
        </w:rPr>
        <w:tab/>
      </w:r>
      <w:r w:rsidR="001F083A">
        <w:rPr>
          <w:lang w:val="en-US"/>
        </w:rPr>
        <w:t>3</w:t>
      </w:r>
      <w:r>
        <w:rPr>
          <w:lang w:val="en-US"/>
        </w:rPr>
        <w:t>.</w:t>
      </w:r>
      <w:r w:rsidR="009C10C7">
        <w:rPr>
          <w:lang w:val="en-US"/>
        </w:rPr>
        <w:t>6</w:t>
      </w:r>
      <w:r w:rsidR="003A6D83">
        <w:rPr>
          <w:lang w:val="en-US"/>
        </w:rPr>
        <w:t>.</w:t>
      </w:r>
      <w:r>
        <w:rPr>
          <w:lang w:val="en-US"/>
        </w:rPr>
        <w:t xml:space="preserve"> Summary</w:t>
      </w:r>
      <w:r>
        <w:ptab w:relativeTo="margin" w:alignment="right" w:leader="dot"/>
      </w:r>
      <w:r w:rsidR="007405E8">
        <w:rPr>
          <w:lang w:val="en-US"/>
        </w:rPr>
        <w:t>3</w:t>
      </w:r>
      <w:r w:rsidR="008B2A52">
        <w:rPr>
          <w:lang w:val="en-US"/>
        </w:rPr>
        <w:t>4</w:t>
      </w:r>
    </w:p>
    <w:p w:rsidR="00E311C3" w:rsidRDefault="001F083A" w:rsidP="00CD13B8">
      <w:pPr>
        <w:pStyle w:val="TOC1"/>
        <w:numPr>
          <w:ilvl w:val="0"/>
          <w:numId w:val="0"/>
        </w:numPr>
        <w:spacing w:before="60" w:after="0" w:line="240" w:lineRule="auto"/>
        <w:rPr>
          <w:b/>
          <w:lang w:val="en-US"/>
        </w:rPr>
      </w:pPr>
      <w:r>
        <w:rPr>
          <w:b/>
          <w:lang w:val="en-US"/>
        </w:rPr>
        <w:t>4</w:t>
      </w:r>
      <w:r w:rsidR="00E311C3" w:rsidRPr="00D10B2D">
        <w:rPr>
          <w:b/>
          <w:lang w:val="en-US"/>
        </w:rPr>
        <w:t xml:space="preserve">. </w:t>
      </w:r>
      <w:r w:rsidR="009F25D4">
        <w:rPr>
          <w:b/>
          <w:lang w:val="en-US"/>
        </w:rPr>
        <w:t>Meta</w:t>
      </w:r>
      <w:r w:rsidR="00E311C3">
        <w:rPr>
          <w:b/>
          <w:lang w:val="en-US"/>
        </w:rPr>
        <w:t xml:space="preserve"> analysis</w:t>
      </w:r>
      <w:r w:rsidR="00E311C3" w:rsidRPr="00456683">
        <w:ptab w:relativeTo="margin" w:alignment="right" w:leader="dot"/>
      </w:r>
      <w:r w:rsidR="007405E8">
        <w:rPr>
          <w:lang w:val="en-US"/>
        </w:rPr>
        <w:t>4</w:t>
      </w:r>
      <w:r w:rsidR="00835DB9">
        <w:rPr>
          <w:lang w:val="en-US"/>
        </w:rPr>
        <w:t>0</w:t>
      </w:r>
      <w:r w:rsidR="00E311C3" w:rsidRPr="00D10B2D">
        <w:rPr>
          <w:b/>
          <w:lang w:val="en-US"/>
        </w:rPr>
        <w:t xml:space="preserve"> </w:t>
      </w:r>
    </w:p>
    <w:p w:rsidR="00E311C3" w:rsidRPr="0075403C" w:rsidRDefault="002C03F3" w:rsidP="00CD13B8">
      <w:pPr>
        <w:pStyle w:val="TOC1"/>
        <w:numPr>
          <w:ilvl w:val="0"/>
          <w:numId w:val="0"/>
        </w:numPr>
        <w:spacing w:before="60" w:after="0" w:line="240" w:lineRule="auto"/>
        <w:rPr>
          <w:lang w:val="en-US"/>
        </w:rPr>
      </w:pPr>
      <w:r>
        <w:rPr>
          <w:lang w:val="en-US"/>
        </w:rPr>
        <w:tab/>
      </w:r>
      <w:r w:rsidR="001F083A">
        <w:rPr>
          <w:lang w:val="en-US"/>
        </w:rPr>
        <w:t>4</w:t>
      </w:r>
      <w:r>
        <w:rPr>
          <w:lang w:val="en-US"/>
        </w:rPr>
        <w:t>.1</w:t>
      </w:r>
      <w:r w:rsidR="00E311C3">
        <w:rPr>
          <w:lang w:val="en-US"/>
        </w:rPr>
        <w:t xml:space="preserve">. Motivation for </w:t>
      </w:r>
      <w:r w:rsidR="009F25D4">
        <w:rPr>
          <w:lang w:val="en-US"/>
        </w:rPr>
        <w:t>Meta</w:t>
      </w:r>
      <w:r w:rsidR="00E311C3">
        <w:rPr>
          <w:lang w:val="en-US"/>
        </w:rPr>
        <w:t xml:space="preserve"> analysis</w:t>
      </w:r>
      <w:r w:rsidR="00E311C3" w:rsidRPr="0075403C">
        <w:ptab w:relativeTo="margin" w:alignment="right" w:leader="dot"/>
      </w:r>
      <w:r w:rsidR="007405E8">
        <w:rPr>
          <w:lang w:val="en-US"/>
        </w:rPr>
        <w:t>4</w:t>
      </w:r>
      <w:r w:rsidR="00835DB9">
        <w:rPr>
          <w:lang w:val="en-US"/>
        </w:rPr>
        <w:t>1</w:t>
      </w:r>
    </w:p>
    <w:p w:rsidR="00E311C3" w:rsidRDefault="00E311C3" w:rsidP="00CD13B8">
      <w:pPr>
        <w:pStyle w:val="TOC1"/>
        <w:numPr>
          <w:ilvl w:val="0"/>
          <w:numId w:val="0"/>
        </w:numPr>
        <w:spacing w:before="60" w:after="0" w:line="240" w:lineRule="auto"/>
        <w:rPr>
          <w:lang w:val="en-US"/>
        </w:rPr>
      </w:pPr>
      <w:r>
        <w:rPr>
          <w:lang w:val="en-US"/>
        </w:rPr>
        <w:tab/>
      </w:r>
      <w:r w:rsidR="001F083A">
        <w:rPr>
          <w:lang w:val="en-US"/>
        </w:rPr>
        <w:t>4</w:t>
      </w:r>
      <w:r w:rsidRPr="0075403C">
        <w:rPr>
          <w:lang w:val="en-US"/>
        </w:rPr>
        <w:t>.</w:t>
      </w:r>
      <w:r w:rsidR="002C03F3">
        <w:rPr>
          <w:lang w:val="en-US"/>
        </w:rPr>
        <w:t>2</w:t>
      </w:r>
      <w:r w:rsidR="003A6D83">
        <w:rPr>
          <w:lang w:val="en-US"/>
        </w:rPr>
        <w:t>.</w:t>
      </w:r>
      <w:r w:rsidRPr="0075403C">
        <w:rPr>
          <w:lang w:val="en-US"/>
        </w:rPr>
        <w:t xml:space="preserve"> </w:t>
      </w:r>
      <w:r>
        <w:rPr>
          <w:lang w:val="en-US"/>
        </w:rPr>
        <w:t>Hypotheses</w:t>
      </w:r>
      <w:r w:rsidRPr="0075403C">
        <w:ptab w:relativeTo="margin" w:alignment="right" w:leader="dot"/>
      </w:r>
      <w:r w:rsidR="007405E8">
        <w:rPr>
          <w:lang w:val="en-US"/>
        </w:rPr>
        <w:t>4</w:t>
      </w:r>
      <w:r w:rsidR="00835DB9">
        <w:rPr>
          <w:lang w:val="en-US"/>
        </w:rPr>
        <w:t>1</w:t>
      </w:r>
    </w:p>
    <w:p w:rsidR="00E311C3" w:rsidRDefault="001F083A" w:rsidP="00CD13B8">
      <w:pPr>
        <w:pStyle w:val="TOC1"/>
        <w:numPr>
          <w:ilvl w:val="0"/>
          <w:numId w:val="0"/>
        </w:numPr>
        <w:spacing w:before="60" w:after="0" w:line="240" w:lineRule="auto"/>
        <w:rPr>
          <w:lang w:val="en-US"/>
        </w:rPr>
      </w:pPr>
      <w:r>
        <w:rPr>
          <w:b/>
          <w:lang w:val="en-US"/>
        </w:rPr>
        <w:t>5</w:t>
      </w:r>
      <w:r w:rsidR="00E311C3" w:rsidRPr="00D10B2D">
        <w:rPr>
          <w:b/>
          <w:lang w:val="en-US"/>
        </w:rPr>
        <w:t xml:space="preserve">. </w:t>
      </w:r>
      <w:r w:rsidR="00E311C3">
        <w:rPr>
          <w:b/>
          <w:lang w:val="en-US"/>
        </w:rPr>
        <w:t>Data and methodology</w:t>
      </w:r>
      <w:r w:rsidR="00E311C3">
        <w:ptab w:relativeTo="margin" w:alignment="right" w:leader="dot"/>
      </w:r>
      <w:r w:rsidR="007405E8">
        <w:rPr>
          <w:lang w:val="en-US"/>
        </w:rPr>
        <w:t>4</w:t>
      </w:r>
      <w:r w:rsidR="00835DB9">
        <w:rPr>
          <w:lang w:val="en-US"/>
        </w:rPr>
        <w:t>6</w:t>
      </w:r>
    </w:p>
    <w:p w:rsidR="002C03F3" w:rsidRDefault="001F083A" w:rsidP="00CD13B8">
      <w:pPr>
        <w:pStyle w:val="TOC1"/>
        <w:numPr>
          <w:ilvl w:val="0"/>
          <w:numId w:val="0"/>
        </w:numPr>
        <w:spacing w:before="60" w:after="0" w:line="240" w:lineRule="auto"/>
        <w:ind w:firstLine="708"/>
        <w:rPr>
          <w:lang w:val="en-US"/>
        </w:rPr>
      </w:pPr>
      <w:r>
        <w:rPr>
          <w:lang w:val="en-US"/>
        </w:rPr>
        <w:t>5</w:t>
      </w:r>
      <w:r w:rsidR="00E311C3" w:rsidRPr="0075403C">
        <w:rPr>
          <w:lang w:val="en-US"/>
        </w:rPr>
        <w:t>.1</w:t>
      </w:r>
      <w:r w:rsidR="00E311C3">
        <w:rPr>
          <w:lang w:val="en-US"/>
        </w:rPr>
        <w:t>.</w:t>
      </w:r>
      <w:r w:rsidR="00E311C3" w:rsidRPr="0075403C">
        <w:rPr>
          <w:lang w:val="en-US"/>
        </w:rPr>
        <w:t xml:space="preserve"> </w:t>
      </w:r>
      <w:r w:rsidR="002C03F3">
        <w:rPr>
          <w:lang w:val="en-US"/>
        </w:rPr>
        <w:t>Meta regression analysis</w:t>
      </w:r>
      <w:r w:rsidR="00E311C3" w:rsidRPr="0075403C">
        <w:ptab w:relativeTo="margin" w:alignment="right" w:leader="dot"/>
      </w:r>
      <w:r w:rsidR="007405E8">
        <w:rPr>
          <w:lang w:val="en-US"/>
        </w:rPr>
        <w:t>4</w:t>
      </w:r>
      <w:r w:rsidR="00835DB9">
        <w:rPr>
          <w:lang w:val="en-US"/>
        </w:rPr>
        <w:t>6</w:t>
      </w:r>
    </w:p>
    <w:p w:rsidR="00E311C3" w:rsidRPr="008771B2" w:rsidRDefault="001F083A" w:rsidP="00CD13B8">
      <w:pPr>
        <w:pStyle w:val="TOC1"/>
        <w:numPr>
          <w:ilvl w:val="0"/>
          <w:numId w:val="0"/>
        </w:numPr>
        <w:spacing w:before="60" w:after="0" w:line="240" w:lineRule="auto"/>
        <w:ind w:firstLine="708"/>
        <w:rPr>
          <w:lang w:val="en-US"/>
        </w:rPr>
      </w:pPr>
      <w:r w:rsidRPr="008771B2">
        <w:rPr>
          <w:lang w:val="en-US"/>
        </w:rPr>
        <w:t>5</w:t>
      </w:r>
      <w:r w:rsidR="00E311C3" w:rsidRPr="008771B2">
        <w:rPr>
          <w:lang w:val="en-US"/>
        </w:rPr>
        <w:t>.</w:t>
      </w:r>
      <w:r w:rsidR="00293CC3" w:rsidRPr="008771B2">
        <w:rPr>
          <w:lang w:val="en-US"/>
        </w:rPr>
        <w:t>2</w:t>
      </w:r>
      <w:r w:rsidR="00E311C3" w:rsidRPr="008771B2">
        <w:rPr>
          <w:lang w:val="en-US"/>
        </w:rPr>
        <w:t>.</w:t>
      </w:r>
      <w:r w:rsidR="003A6D83" w:rsidRPr="008771B2">
        <w:rPr>
          <w:lang w:val="en-US"/>
        </w:rPr>
        <w:t xml:space="preserve"> </w:t>
      </w:r>
      <w:r w:rsidR="002C03F3" w:rsidRPr="008771B2">
        <w:rPr>
          <w:lang w:val="en-US"/>
        </w:rPr>
        <w:t>MRAs for three ‘effects’</w:t>
      </w:r>
      <w:r w:rsidR="00E311C3" w:rsidRPr="008771B2">
        <w:ptab w:relativeTo="margin" w:alignment="right" w:leader="dot"/>
      </w:r>
      <w:r w:rsidR="00835DB9">
        <w:rPr>
          <w:lang w:val="en-US"/>
        </w:rPr>
        <w:t>48</w:t>
      </w:r>
    </w:p>
    <w:p w:rsidR="00E311C3" w:rsidRDefault="001F083A" w:rsidP="00CD13B8">
      <w:pPr>
        <w:pStyle w:val="TOC1"/>
        <w:numPr>
          <w:ilvl w:val="0"/>
          <w:numId w:val="0"/>
        </w:numPr>
        <w:spacing w:before="60" w:after="0" w:line="240" w:lineRule="auto"/>
        <w:ind w:left="708" w:firstLine="708"/>
        <w:rPr>
          <w:lang w:val="en-US"/>
        </w:rPr>
      </w:pPr>
      <w:r>
        <w:rPr>
          <w:lang w:val="en-US"/>
        </w:rPr>
        <w:t>5</w:t>
      </w:r>
      <w:r w:rsidR="00E311C3" w:rsidRPr="0075403C">
        <w:rPr>
          <w:lang w:val="en-US"/>
        </w:rPr>
        <w:t>.</w:t>
      </w:r>
      <w:r w:rsidR="00293CC3">
        <w:rPr>
          <w:lang w:val="en-US"/>
        </w:rPr>
        <w:t>2</w:t>
      </w:r>
      <w:r w:rsidR="00E311C3">
        <w:rPr>
          <w:lang w:val="en-US"/>
        </w:rPr>
        <w:t>.1.</w:t>
      </w:r>
      <w:r w:rsidR="003A6D83">
        <w:rPr>
          <w:lang w:val="en-US"/>
        </w:rPr>
        <w:t xml:space="preserve"> </w:t>
      </w:r>
      <w:r w:rsidR="002C03F3">
        <w:rPr>
          <w:lang w:val="en-US"/>
        </w:rPr>
        <w:t>Firm age</w:t>
      </w:r>
      <w:r w:rsidR="00E311C3" w:rsidRPr="0075403C">
        <w:ptab w:relativeTo="margin" w:alignment="right" w:leader="dot"/>
      </w:r>
      <w:r w:rsidR="00835DB9">
        <w:rPr>
          <w:lang w:val="en-US"/>
        </w:rPr>
        <w:t>48</w:t>
      </w:r>
    </w:p>
    <w:p w:rsidR="002C03F3" w:rsidRPr="00883B77" w:rsidRDefault="001F083A" w:rsidP="00CD13B8">
      <w:pPr>
        <w:pStyle w:val="TOC1"/>
        <w:numPr>
          <w:ilvl w:val="0"/>
          <w:numId w:val="0"/>
        </w:numPr>
        <w:spacing w:before="60" w:after="0" w:line="240" w:lineRule="auto"/>
        <w:ind w:left="708" w:firstLine="708"/>
        <w:rPr>
          <w:lang w:val="en-US"/>
        </w:rPr>
      </w:pPr>
      <w:r>
        <w:rPr>
          <w:lang w:val="en-US"/>
        </w:rPr>
        <w:t>5</w:t>
      </w:r>
      <w:r w:rsidR="002C03F3" w:rsidRPr="0075403C">
        <w:rPr>
          <w:lang w:val="en-US"/>
        </w:rPr>
        <w:t>.</w:t>
      </w:r>
      <w:r w:rsidR="00293CC3">
        <w:rPr>
          <w:lang w:val="en-US"/>
        </w:rPr>
        <w:t>2</w:t>
      </w:r>
      <w:r w:rsidR="002C03F3">
        <w:rPr>
          <w:lang w:val="en-US"/>
        </w:rPr>
        <w:t>.</w:t>
      </w:r>
      <w:r w:rsidR="00BB06C6">
        <w:rPr>
          <w:lang w:val="en-US"/>
        </w:rPr>
        <w:t>2</w:t>
      </w:r>
      <w:r w:rsidR="002C03F3">
        <w:rPr>
          <w:lang w:val="en-US"/>
        </w:rPr>
        <w:t>. IPO proceeds</w:t>
      </w:r>
      <w:r w:rsidR="002C03F3" w:rsidRPr="0075403C">
        <w:ptab w:relativeTo="margin" w:alignment="right" w:leader="dot"/>
      </w:r>
      <w:r w:rsidR="007405E8">
        <w:rPr>
          <w:lang w:val="en-US"/>
        </w:rPr>
        <w:t>5</w:t>
      </w:r>
      <w:r w:rsidR="00835DB9">
        <w:rPr>
          <w:lang w:val="en-US"/>
        </w:rPr>
        <w:t>3</w:t>
      </w:r>
    </w:p>
    <w:p w:rsidR="002C03F3" w:rsidRDefault="001F083A" w:rsidP="00CD13B8">
      <w:pPr>
        <w:pStyle w:val="TOC1"/>
        <w:numPr>
          <w:ilvl w:val="0"/>
          <w:numId w:val="0"/>
        </w:numPr>
        <w:spacing w:before="60" w:after="0" w:line="240" w:lineRule="auto"/>
        <w:ind w:left="708" w:firstLine="708"/>
        <w:rPr>
          <w:lang w:val="en-US"/>
        </w:rPr>
      </w:pPr>
      <w:r>
        <w:rPr>
          <w:lang w:val="en-US"/>
        </w:rPr>
        <w:t>5</w:t>
      </w:r>
      <w:r w:rsidR="002C03F3" w:rsidRPr="0075403C">
        <w:rPr>
          <w:lang w:val="en-US"/>
        </w:rPr>
        <w:t>.</w:t>
      </w:r>
      <w:r w:rsidR="00293CC3">
        <w:rPr>
          <w:lang w:val="en-US"/>
        </w:rPr>
        <w:t>2</w:t>
      </w:r>
      <w:r w:rsidR="002C03F3">
        <w:rPr>
          <w:lang w:val="en-US"/>
        </w:rPr>
        <w:t>.</w:t>
      </w:r>
      <w:r w:rsidR="00BB06C6">
        <w:rPr>
          <w:lang w:val="en-US"/>
        </w:rPr>
        <w:t>3</w:t>
      </w:r>
      <w:r w:rsidR="002C03F3">
        <w:rPr>
          <w:lang w:val="en-US"/>
        </w:rPr>
        <w:t>. Underwriter reputation</w:t>
      </w:r>
      <w:r w:rsidR="002C03F3" w:rsidRPr="0075403C">
        <w:ptab w:relativeTo="margin" w:alignment="right" w:leader="dot"/>
      </w:r>
      <w:r w:rsidR="002C03F3">
        <w:rPr>
          <w:lang w:val="en-US"/>
        </w:rPr>
        <w:t>5</w:t>
      </w:r>
      <w:r w:rsidR="00835DB9">
        <w:rPr>
          <w:lang w:val="en-US"/>
        </w:rPr>
        <w:t>5</w:t>
      </w:r>
    </w:p>
    <w:p w:rsidR="00293CC3" w:rsidRPr="00293CC3" w:rsidRDefault="001F083A" w:rsidP="00CD13B8">
      <w:pPr>
        <w:pStyle w:val="TOC1"/>
        <w:numPr>
          <w:ilvl w:val="0"/>
          <w:numId w:val="0"/>
        </w:numPr>
        <w:spacing w:before="60" w:after="0" w:line="240" w:lineRule="auto"/>
        <w:ind w:firstLine="708"/>
        <w:rPr>
          <w:lang w:val="en-US"/>
        </w:rPr>
      </w:pPr>
      <w:r>
        <w:rPr>
          <w:lang w:val="en-US"/>
        </w:rPr>
        <w:t>5</w:t>
      </w:r>
      <w:r w:rsidR="00293CC3">
        <w:rPr>
          <w:lang w:val="en-US"/>
        </w:rPr>
        <w:t>.3.</w:t>
      </w:r>
      <w:r w:rsidR="00293CC3" w:rsidRPr="0075403C">
        <w:rPr>
          <w:lang w:val="en-US"/>
        </w:rPr>
        <w:t xml:space="preserve"> </w:t>
      </w:r>
      <w:r w:rsidR="00293CC3">
        <w:rPr>
          <w:lang w:val="en-US"/>
        </w:rPr>
        <w:t>Publication bias</w:t>
      </w:r>
      <w:r w:rsidR="00293CC3" w:rsidRPr="0075403C">
        <w:ptab w:relativeTo="margin" w:alignment="right" w:leader="dot"/>
      </w:r>
      <w:r w:rsidR="00835DB9">
        <w:rPr>
          <w:lang w:val="en-US"/>
        </w:rPr>
        <w:t>57</w:t>
      </w:r>
    </w:p>
    <w:p w:rsidR="00E311C3" w:rsidRPr="0075403C" w:rsidRDefault="001F083A" w:rsidP="00CD13B8">
      <w:pPr>
        <w:pStyle w:val="TOC1"/>
        <w:numPr>
          <w:ilvl w:val="0"/>
          <w:numId w:val="0"/>
        </w:numPr>
        <w:spacing w:before="60" w:after="0" w:line="240" w:lineRule="auto"/>
        <w:rPr>
          <w:lang w:val="en-US"/>
        </w:rPr>
      </w:pPr>
      <w:r>
        <w:rPr>
          <w:b/>
          <w:lang w:val="en-US"/>
        </w:rPr>
        <w:t>6</w:t>
      </w:r>
      <w:r w:rsidR="002C03F3" w:rsidRPr="002C03F3">
        <w:rPr>
          <w:b/>
          <w:lang w:val="en-US"/>
        </w:rPr>
        <w:t xml:space="preserve">. </w:t>
      </w:r>
      <w:r w:rsidR="00E311C3" w:rsidRPr="002C03F3">
        <w:rPr>
          <w:b/>
          <w:lang w:val="en-US"/>
        </w:rPr>
        <w:t xml:space="preserve"> </w:t>
      </w:r>
      <w:r w:rsidR="002C03F3" w:rsidRPr="002C03F3">
        <w:rPr>
          <w:b/>
          <w:lang w:val="en-US"/>
        </w:rPr>
        <w:t>Results</w:t>
      </w:r>
      <w:r w:rsidR="00E311C3" w:rsidRPr="0075403C">
        <w:ptab w:relativeTo="margin" w:alignment="right" w:leader="dot"/>
      </w:r>
      <w:r w:rsidR="00835DB9">
        <w:rPr>
          <w:lang w:val="en-US"/>
        </w:rPr>
        <w:t>59</w:t>
      </w:r>
    </w:p>
    <w:p w:rsidR="00E311C3" w:rsidRDefault="001F083A" w:rsidP="00CD13B8">
      <w:pPr>
        <w:pStyle w:val="TOC1"/>
        <w:numPr>
          <w:ilvl w:val="0"/>
          <w:numId w:val="0"/>
        </w:numPr>
        <w:spacing w:before="60" w:after="0" w:line="240" w:lineRule="auto"/>
        <w:ind w:firstLine="708"/>
        <w:rPr>
          <w:lang w:val="en-US"/>
        </w:rPr>
      </w:pPr>
      <w:r>
        <w:rPr>
          <w:lang w:val="en-US"/>
        </w:rPr>
        <w:t>6</w:t>
      </w:r>
      <w:r w:rsidR="00E311C3" w:rsidRPr="0075403C">
        <w:rPr>
          <w:lang w:val="en-US"/>
        </w:rPr>
        <w:t>.</w:t>
      </w:r>
      <w:r w:rsidR="002C03F3">
        <w:rPr>
          <w:lang w:val="en-US"/>
        </w:rPr>
        <w:t>1. Firm age</w:t>
      </w:r>
      <w:r w:rsidR="00E311C3" w:rsidRPr="0075403C">
        <w:ptab w:relativeTo="margin" w:alignment="right" w:leader="dot"/>
      </w:r>
      <w:r w:rsidR="00835DB9">
        <w:rPr>
          <w:lang w:val="en-US"/>
        </w:rPr>
        <w:t>59</w:t>
      </w:r>
    </w:p>
    <w:p w:rsidR="00DC34AB" w:rsidRDefault="001F083A" w:rsidP="00CD13B8">
      <w:pPr>
        <w:pStyle w:val="TOC1"/>
        <w:numPr>
          <w:ilvl w:val="0"/>
          <w:numId w:val="0"/>
        </w:numPr>
        <w:spacing w:before="60" w:after="0" w:line="240" w:lineRule="auto"/>
        <w:ind w:firstLine="708"/>
        <w:rPr>
          <w:lang w:val="en-US"/>
        </w:rPr>
      </w:pPr>
      <w:r>
        <w:rPr>
          <w:lang w:val="en-US"/>
        </w:rPr>
        <w:t>6</w:t>
      </w:r>
      <w:r w:rsidR="00DC34AB" w:rsidRPr="0075403C">
        <w:rPr>
          <w:lang w:val="en-US"/>
        </w:rPr>
        <w:t>.</w:t>
      </w:r>
      <w:r w:rsidR="00DC34AB">
        <w:rPr>
          <w:lang w:val="en-US"/>
        </w:rPr>
        <w:t>2. IPO proceeds</w:t>
      </w:r>
      <w:r w:rsidR="00DC34AB" w:rsidRPr="0075403C">
        <w:ptab w:relativeTo="margin" w:alignment="right" w:leader="dot"/>
      </w:r>
      <w:r w:rsidR="007405E8">
        <w:rPr>
          <w:lang w:val="en-US"/>
        </w:rPr>
        <w:t>6</w:t>
      </w:r>
      <w:r w:rsidR="00835DB9">
        <w:rPr>
          <w:lang w:val="en-US"/>
        </w:rPr>
        <w:t>2</w:t>
      </w:r>
    </w:p>
    <w:p w:rsidR="00DC34AB" w:rsidRDefault="001F083A" w:rsidP="00CD13B8">
      <w:pPr>
        <w:pStyle w:val="TOC1"/>
        <w:numPr>
          <w:ilvl w:val="0"/>
          <w:numId w:val="0"/>
        </w:numPr>
        <w:spacing w:before="60" w:after="0" w:line="240" w:lineRule="auto"/>
        <w:ind w:firstLine="708"/>
        <w:rPr>
          <w:lang w:val="en-US"/>
        </w:rPr>
      </w:pPr>
      <w:r>
        <w:rPr>
          <w:lang w:val="en-US"/>
        </w:rPr>
        <w:t>6</w:t>
      </w:r>
      <w:r w:rsidR="00DC34AB" w:rsidRPr="0075403C">
        <w:rPr>
          <w:lang w:val="en-US"/>
        </w:rPr>
        <w:t>.</w:t>
      </w:r>
      <w:r w:rsidR="00DC34AB">
        <w:rPr>
          <w:lang w:val="en-US"/>
        </w:rPr>
        <w:t>3. Underwriter reputation</w:t>
      </w:r>
      <w:r w:rsidR="00DC34AB" w:rsidRPr="0075403C">
        <w:ptab w:relativeTo="margin" w:alignment="right" w:leader="dot"/>
      </w:r>
      <w:r w:rsidR="007405E8">
        <w:rPr>
          <w:lang w:val="en-US"/>
        </w:rPr>
        <w:t>6</w:t>
      </w:r>
      <w:r w:rsidR="00835DB9">
        <w:rPr>
          <w:lang w:val="en-US"/>
        </w:rPr>
        <w:t>5</w:t>
      </w:r>
    </w:p>
    <w:p w:rsidR="001F083A" w:rsidRPr="001F083A" w:rsidRDefault="001F083A" w:rsidP="00CD13B8">
      <w:pPr>
        <w:pStyle w:val="TOC1"/>
        <w:numPr>
          <w:ilvl w:val="0"/>
          <w:numId w:val="0"/>
        </w:numPr>
        <w:spacing w:before="60" w:after="0" w:line="240" w:lineRule="auto"/>
        <w:ind w:firstLine="708"/>
        <w:rPr>
          <w:lang w:val="en-US"/>
        </w:rPr>
      </w:pPr>
      <w:r>
        <w:rPr>
          <w:lang w:val="en-US"/>
        </w:rPr>
        <w:t>6</w:t>
      </w:r>
      <w:r w:rsidRPr="0075403C">
        <w:rPr>
          <w:lang w:val="en-US"/>
        </w:rPr>
        <w:t>.</w:t>
      </w:r>
      <w:r w:rsidR="00A178B6">
        <w:rPr>
          <w:lang w:val="en-US"/>
        </w:rPr>
        <w:t>4</w:t>
      </w:r>
      <w:r>
        <w:rPr>
          <w:lang w:val="en-US"/>
        </w:rPr>
        <w:t>. Results summary</w:t>
      </w:r>
      <w:r w:rsidRPr="0075403C">
        <w:ptab w:relativeTo="margin" w:alignment="right" w:leader="dot"/>
      </w:r>
      <w:r w:rsidR="00835DB9">
        <w:rPr>
          <w:lang w:val="en-US"/>
        </w:rPr>
        <w:t>68</w:t>
      </w:r>
    </w:p>
    <w:p w:rsidR="001F083A" w:rsidRDefault="001F083A" w:rsidP="00CD13B8">
      <w:pPr>
        <w:pStyle w:val="TOC1"/>
        <w:numPr>
          <w:ilvl w:val="0"/>
          <w:numId w:val="0"/>
        </w:numPr>
        <w:spacing w:before="60" w:after="0" w:line="240" w:lineRule="auto"/>
        <w:rPr>
          <w:lang w:val="en-US"/>
        </w:rPr>
      </w:pPr>
      <w:r w:rsidRPr="000E4A51">
        <w:rPr>
          <w:b/>
          <w:lang w:val="en-US"/>
        </w:rPr>
        <w:t>7</w:t>
      </w:r>
      <w:r w:rsidR="00DC34AB" w:rsidRPr="000E4A51">
        <w:rPr>
          <w:b/>
          <w:lang w:val="en-US"/>
        </w:rPr>
        <w:t>.</w:t>
      </w:r>
      <w:r w:rsidR="00DC34AB">
        <w:rPr>
          <w:lang w:val="en-US"/>
        </w:rPr>
        <w:t xml:space="preserve"> </w:t>
      </w:r>
      <w:r w:rsidR="00DC34AB" w:rsidRPr="008C6EFC">
        <w:rPr>
          <w:b/>
          <w:lang w:val="en-US"/>
        </w:rPr>
        <w:t>Robustness checks</w:t>
      </w:r>
      <w:r w:rsidR="00DC34AB" w:rsidRPr="0075403C">
        <w:ptab w:relativeTo="margin" w:alignment="right" w:leader="dot"/>
      </w:r>
      <w:r w:rsidR="00835DB9">
        <w:rPr>
          <w:lang w:val="en-US"/>
        </w:rPr>
        <w:t>69</w:t>
      </w:r>
      <w:r>
        <w:rPr>
          <w:lang w:val="en-US"/>
        </w:rPr>
        <w:t xml:space="preserve"> </w:t>
      </w:r>
    </w:p>
    <w:p w:rsidR="00DC34AB" w:rsidRPr="0022564F" w:rsidRDefault="001F083A" w:rsidP="00CD13B8">
      <w:pPr>
        <w:pStyle w:val="TOC1"/>
        <w:numPr>
          <w:ilvl w:val="0"/>
          <w:numId w:val="0"/>
        </w:numPr>
        <w:spacing w:before="60" w:after="0" w:line="240" w:lineRule="auto"/>
        <w:rPr>
          <w:lang w:val="en-US"/>
        </w:rPr>
      </w:pPr>
      <w:r w:rsidRPr="000E4A51">
        <w:rPr>
          <w:b/>
          <w:lang w:val="en-US"/>
        </w:rPr>
        <w:t>8.</w:t>
      </w:r>
      <w:r>
        <w:rPr>
          <w:lang w:val="en-US"/>
        </w:rPr>
        <w:t xml:space="preserve"> </w:t>
      </w:r>
      <w:r>
        <w:rPr>
          <w:b/>
          <w:lang w:val="en-US"/>
        </w:rPr>
        <w:t>Conclusion</w:t>
      </w:r>
      <w:r w:rsidRPr="0075403C">
        <w:ptab w:relativeTo="margin" w:alignment="right" w:leader="dot"/>
      </w:r>
      <w:r w:rsidR="00184753">
        <w:rPr>
          <w:lang w:val="en-US"/>
        </w:rPr>
        <w:t>7</w:t>
      </w:r>
      <w:r w:rsidR="00835DB9">
        <w:rPr>
          <w:lang w:val="en-US"/>
        </w:rPr>
        <w:t>3</w:t>
      </w:r>
    </w:p>
    <w:p w:rsidR="001F083A" w:rsidRDefault="00E311C3" w:rsidP="00CD13B8">
      <w:pPr>
        <w:pStyle w:val="TOC1"/>
        <w:numPr>
          <w:ilvl w:val="0"/>
          <w:numId w:val="0"/>
        </w:numPr>
        <w:spacing w:before="60" w:after="0" w:line="240" w:lineRule="auto"/>
        <w:rPr>
          <w:lang w:val="en-US"/>
        </w:rPr>
      </w:pPr>
      <w:r w:rsidRPr="00456683">
        <w:rPr>
          <w:b/>
          <w:lang w:val="en-US"/>
        </w:rPr>
        <w:t>Literature</w:t>
      </w:r>
      <w:r w:rsidRPr="00456683">
        <w:ptab w:relativeTo="margin" w:alignment="right" w:leader="dot"/>
      </w:r>
      <w:r w:rsidR="00055A7F">
        <w:rPr>
          <w:lang w:val="en-US"/>
        </w:rPr>
        <w:t>7</w:t>
      </w:r>
      <w:r w:rsidR="00835DB9">
        <w:rPr>
          <w:lang w:val="en-US"/>
        </w:rPr>
        <w:t>5</w:t>
      </w:r>
    </w:p>
    <w:p w:rsidR="007675A0" w:rsidRDefault="001F083A" w:rsidP="00CD13B8">
      <w:pPr>
        <w:pStyle w:val="TOC1"/>
        <w:numPr>
          <w:ilvl w:val="0"/>
          <w:numId w:val="0"/>
        </w:numPr>
        <w:spacing w:before="60" w:after="0" w:line="240" w:lineRule="auto"/>
        <w:rPr>
          <w:lang w:val="en-US"/>
        </w:rPr>
      </w:pPr>
      <w:r>
        <w:rPr>
          <w:b/>
          <w:lang w:val="en-US"/>
        </w:rPr>
        <w:t>Appendix</w:t>
      </w:r>
      <w:r w:rsidRPr="00456683">
        <w:ptab w:relativeTo="margin" w:alignment="right" w:leader="dot"/>
      </w:r>
      <w:r w:rsidR="00F2713B">
        <w:rPr>
          <w:lang w:val="en-US"/>
        </w:rPr>
        <w:t>8</w:t>
      </w:r>
      <w:r w:rsidR="00835DB9">
        <w:rPr>
          <w:lang w:val="en-US"/>
        </w:rPr>
        <w:t>3</w:t>
      </w:r>
      <w:r w:rsidR="007675A0">
        <w:rPr>
          <w:lang w:val="en-US"/>
        </w:rPr>
        <w:br w:type="page"/>
      </w:r>
    </w:p>
    <w:p w:rsidR="007675A0" w:rsidRPr="002766DA" w:rsidRDefault="007675A0" w:rsidP="007675A0">
      <w:pPr>
        <w:pStyle w:val="ListParagraph"/>
        <w:numPr>
          <w:ilvl w:val="0"/>
          <w:numId w:val="36"/>
        </w:numPr>
        <w:spacing w:line="360" w:lineRule="auto"/>
        <w:ind w:left="1418" w:hanging="851"/>
        <w:rPr>
          <w:b/>
          <w:lang w:val="en-US"/>
        </w:rPr>
      </w:pPr>
      <w:r w:rsidRPr="00FB5A06">
        <w:rPr>
          <w:b/>
          <w:lang w:val="en-US"/>
        </w:rPr>
        <w:lastRenderedPageBreak/>
        <w:t>Motivation</w:t>
      </w:r>
    </w:p>
    <w:p w:rsidR="007675A0" w:rsidRDefault="007675A0" w:rsidP="007675A0">
      <w:pPr>
        <w:spacing w:line="360" w:lineRule="auto"/>
        <w:rPr>
          <w:lang w:val="en-US"/>
        </w:rPr>
      </w:pPr>
      <w:r>
        <w:rPr>
          <w:lang w:val="en-US"/>
        </w:rPr>
        <w:t>Writing a thesis can be a lengthy process. The problem is that you can easily lose your motivation and inspiration. This especially holds when you write about a subject that does not really hold your interest</w:t>
      </w:r>
      <w:r w:rsidR="00E34BCB">
        <w:rPr>
          <w:lang w:val="en-US"/>
        </w:rPr>
        <w:t xml:space="preserve">. </w:t>
      </w:r>
      <w:r>
        <w:rPr>
          <w:lang w:val="en-US"/>
        </w:rPr>
        <w:t xml:space="preserve"> </w:t>
      </w:r>
    </w:p>
    <w:p w:rsidR="007675A0" w:rsidRDefault="007675A0" w:rsidP="00660CEA">
      <w:pPr>
        <w:tabs>
          <w:tab w:val="left" w:pos="851"/>
        </w:tabs>
        <w:spacing w:line="360" w:lineRule="auto"/>
        <w:rPr>
          <w:lang w:val="en-US"/>
        </w:rPr>
      </w:pPr>
      <w:r>
        <w:rPr>
          <w:lang w:val="en-US"/>
        </w:rPr>
        <w:t xml:space="preserve">From April 2010 till July 2010 I worked at Kempen &amp; Co corporate </w:t>
      </w:r>
      <w:r w:rsidR="006065D6">
        <w:rPr>
          <w:lang w:val="en-US"/>
        </w:rPr>
        <w:t>f</w:t>
      </w:r>
      <w:r w:rsidR="00E174CF">
        <w:rPr>
          <w:lang w:val="en-US"/>
        </w:rPr>
        <w:t>inance as an i</w:t>
      </w:r>
      <w:r>
        <w:rPr>
          <w:lang w:val="en-US"/>
        </w:rPr>
        <w:t>ntern. During my internship I confirmed my presumption that I wanted to work in the field of corporate finance. Moreover</w:t>
      </w:r>
      <w:r w:rsidR="00660CEA">
        <w:rPr>
          <w:lang w:val="en-US"/>
        </w:rPr>
        <w:t>,</w:t>
      </w:r>
      <w:r>
        <w:rPr>
          <w:lang w:val="en-US"/>
        </w:rPr>
        <w:t xml:space="preserve"> I am especially interested in corporate valuation, corporate capital structure</w:t>
      </w:r>
      <w:r w:rsidR="009D4228">
        <w:rPr>
          <w:lang w:val="en-US"/>
        </w:rPr>
        <w:t>,</w:t>
      </w:r>
      <w:r>
        <w:rPr>
          <w:lang w:val="en-US"/>
        </w:rPr>
        <w:t xml:space="preserve"> an</w:t>
      </w:r>
      <w:r w:rsidR="006065D6">
        <w:rPr>
          <w:lang w:val="en-US"/>
        </w:rPr>
        <w:t>d mergers and acquisitions. W</w:t>
      </w:r>
      <w:r>
        <w:rPr>
          <w:lang w:val="en-US"/>
        </w:rPr>
        <w:t xml:space="preserve">hen I started to think about a thesis subject this summer, I wanted to find something to complement my interests. </w:t>
      </w:r>
    </w:p>
    <w:p w:rsidR="007675A0" w:rsidRDefault="007675A0" w:rsidP="007675A0">
      <w:pPr>
        <w:spacing w:line="360" w:lineRule="auto"/>
        <w:rPr>
          <w:lang w:val="en-US"/>
        </w:rPr>
      </w:pPr>
      <w:r>
        <w:rPr>
          <w:lang w:val="en-US"/>
        </w:rPr>
        <w:t>When a financ</w:t>
      </w:r>
      <w:r w:rsidR="006065D6">
        <w:rPr>
          <w:lang w:val="en-US"/>
        </w:rPr>
        <w:t>e student starts with his thesis</w:t>
      </w:r>
      <w:r w:rsidR="00E174CF">
        <w:rPr>
          <w:lang w:val="en-US"/>
        </w:rPr>
        <w:t>,</w:t>
      </w:r>
      <w:r w:rsidR="006065D6">
        <w:rPr>
          <w:lang w:val="en-US"/>
        </w:rPr>
        <w:t xml:space="preserve"> he</w:t>
      </w:r>
      <w:r>
        <w:rPr>
          <w:lang w:val="en-US"/>
        </w:rPr>
        <w:t xml:space="preserve"> is both blessed and cursed. The databases available to EUR students contain a vast amount of papers on a huge amount of subjects. Although this makes it easier to find literature for a literature review, it makes it harder to find an original subject that adds to the existing papers. </w:t>
      </w:r>
    </w:p>
    <w:p w:rsidR="007675A0" w:rsidRDefault="007675A0" w:rsidP="007675A0">
      <w:pPr>
        <w:spacing w:line="360" w:lineRule="auto"/>
        <w:rPr>
          <w:lang w:val="en-US"/>
        </w:rPr>
      </w:pPr>
      <w:r>
        <w:rPr>
          <w:lang w:val="en-US"/>
        </w:rPr>
        <w:t>While scanning the Erasmus thesis repository</w:t>
      </w:r>
      <w:r w:rsidR="00E174CF">
        <w:rPr>
          <w:lang w:val="en-US"/>
        </w:rPr>
        <w:t>,</w:t>
      </w:r>
      <w:r>
        <w:rPr>
          <w:lang w:val="en-US"/>
        </w:rPr>
        <w:t xml:space="preserve"> I stumbled upon a </w:t>
      </w:r>
      <w:r w:rsidR="0092640E">
        <w:rPr>
          <w:lang w:val="en-US"/>
        </w:rPr>
        <w:t>m</w:t>
      </w:r>
      <w:r>
        <w:rPr>
          <w:lang w:val="en-US"/>
        </w:rPr>
        <w:t xml:space="preserve">aster thesis about </w:t>
      </w:r>
      <w:r w:rsidR="006065D6">
        <w:rPr>
          <w:lang w:val="en-US"/>
        </w:rPr>
        <w:t>m</w:t>
      </w:r>
      <w:r>
        <w:rPr>
          <w:lang w:val="en-US"/>
        </w:rPr>
        <w:t xml:space="preserve">ergers and </w:t>
      </w:r>
      <w:r w:rsidR="006065D6">
        <w:rPr>
          <w:lang w:val="en-US"/>
        </w:rPr>
        <w:t>a</w:t>
      </w:r>
      <w:r>
        <w:rPr>
          <w:lang w:val="en-US"/>
        </w:rPr>
        <w:t>cquisitions</w:t>
      </w:r>
      <w:r w:rsidR="00E174CF">
        <w:rPr>
          <w:lang w:val="en-US"/>
        </w:rPr>
        <w:t>,</w:t>
      </w:r>
      <w:r>
        <w:rPr>
          <w:lang w:val="en-US"/>
        </w:rPr>
        <w:t xml:space="preserve"> in which the student used </w:t>
      </w:r>
      <w:r w:rsidR="009F25D4">
        <w:rPr>
          <w:lang w:val="en-US"/>
        </w:rPr>
        <w:t>Meta</w:t>
      </w:r>
      <w:r w:rsidR="006065D6">
        <w:rPr>
          <w:lang w:val="en-US"/>
        </w:rPr>
        <w:t xml:space="preserve"> regression analysis</w:t>
      </w:r>
      <w:r>
        <w:rPr>
          <w:lang w:val="en-US"/>
        </w:rPr>
        <w:t>. Although I am just an academic rookie, I have read quite some academic papers in the last year of my bachelor</w:t>
      </w:r>
      <w:r w:rsidR="003A6D83">
        <w:rPr>
          <w:lang w:val="en-US"/>
        </w:rPr>
        <w:t>’s</w:t>
      </w:r>
      <w:r>
        <w:rPr>
          <w:lang w:val="en-US"/>
        </w:rPr>
        <w:t xml:space="preserve"> and in my master’s and I have never encountered a paper using </w:t>
      </w:r>
      <w:r w:rsidR="009F25D4">
        <w:rPr>
          <w:lang w:val="en-US"/>
        </w:rPr>
        <w:t>Meta</w:t>
      </w:r>
      <w:r>
        <w:rPr>
          <w:lang w:val="en-US"/>
        </w:rPr>
        <w:t xml:space="preserve"> </w:t>
      </w:r>
      <w:r w:rsidR="009D4228">
        <w:rPr>
          <w:lang w:val="en-US"/>
        </w:rPr>
        <w:t xml:space="preserve">regression </w:t>
      </w:r>
      <w:r>
        <w:rPr>
          <w:lang w:val="en-US"/>
        </w:rPr>
        <w:t>analysis. This provided an opportunity for me to learn about a new research methodology and use an original approach. It might sound strange to choose your method</w:t>
      </w:r>
      <w:r w:rsidR="006065D6">
        <w:rPr>
          <w:lang w:val="en-US"/>
        </w:rPr>
        <w:t>ology first</w:t>
      </w:r>
      <w:r>
        <w:rPr>
          <w:lang w:val="en-US"/>
        </w:rPr>
        <w:t xml:space="preserve"> and then look for a subject, but for me this methodology could be the inspiration I needed to write a good thesis.</w:t>
      </w:r>
    </w:p>
    <w:p w:rsidR="007675A0" w:rsidRDefault="007675A0" w:rsidP="007675A0">
      <w:pPr>
        <w:spacing w:line="360" w:lineRule="auto"/>
        <w:contextualSpacing/>
        <w:rPr>
          <w:lang w:val="en-US"/>
        </w:rPr>
      </w:pPr>
      <w:r>
        <w:rPr>
          <w:lang w:val="en-US"/>
        </w:rPr>
        <w:t xml:space="preserve">While thinking about a subject I came across a paper by Ritter and Welch (2002) </w:t>
      </w:r>
      <w:r w:rsidRPr="00A7007D">
        <w:rPr>
          <w:i/>
          <w:lang w:val="en-US"/>
        </w:rPr>
        <w:t xml:space="preserve">A Review of </w:t>
      </w:r>
      <w:r w:rsidR="0030498B">
        <w:rPr>
          <w:i/>
          <w:lang w:val="en-US"/>
        </w:rPr>
        <w:t>IPO</w:t>
      </w:r>
      <w:r w:rsidRPr="00A7007D">
        <w:rPr>
          <w:i/>
          <w:lang w:val="en-US"/>
        </w:rPr>
        <w:t xml:space="preserve"> Activity, Pricing, and Allocations</w:t>
      </w:r>
      <w:r>
        <w:rPr>
          <w:i/>
          <w:lang w:val="en-US"/>
        </w:rPr>
        <w:t>.</w:t>
      </w:r>
      <w:r>
        <w:rPr>
          <w:lang w:val="en-US"/>
        </w:rPr>
        <w:t xml:space="preserve"> This paper shows that academics have not yet reached a general conclus</w:t>
      </w:r>
      <w:r w:rsidR="003A6D83">
        <w:rPr>
          <w:lang w:val="en-US"/>
        </w:rPr>
        <w:t>ion on what causes the phenomenon</w:t>
      </w:r>
      <w:r>
        <w:rPr>
          <w:lang w:val="en-US"/>
        </w:rPr>
        <w:t xml:space="preserve"> of </w:t>
      </w:r>
      <w:r w:rsidR="0030498B">
        <w:rPr>
          <w:lang w:val="en-US"/>
        </w:rPr>
        <w:t>IPO</w:t>
      </w:r>
      <w:r>
        <w:rPr>
          <w:lang w:val="en-US"/>
        </w:rPr>
        <w:t xml:space="preserve"> underpricing. Although several explanations have been proposed, authors seem to find conflicting evidence. This makes </w:t>
      </w:r>
      <w:r w:rsidR="0030498B">
        <w:rPr>
          <w:lang w:val="en-US"/>
        </w:rPr>
        <w:t>IPO</w:t>
      </w:r>
      <w:r>
        <w:rPr>
          <w:lang w:val="en-US"/>
        </w:rPr>
        <w:t xml:space="preserve"> underpricing the perfect </w:t>
      </w:r>
      <w:r w:rsidR="006065D6">
        <w:rPr>
          <w:lang w:val="en-US"/>
        </w:rPr>
        <w:t>candidate</w:t>
      </w:r>
      <w:r>
        <w:rPr>
          <w:lang w:val="en-US"/>
        </w:rPr>
        <w:t xml:space="preserve"> for a </w:t>
      </w:r>
      <w:r w:rsidR="009F25D4">
        <w:rPr>
          <w:lang w:val="en-US"/>
        </w:rPr>
        <w:t>Meta</w:t>
      </w:r>
      <w:r>
        <w:rPr>
          <w:lang w:val="en-US"/>
        </w:rPr>
        <w:t xml:space="preserve"> </w:t>
      </w:r>
      <w:r w:rsidR="009D4228">
        <w:rPr>
          <w:lang w:val="en-US"/>
        </w:rPr>
        <w:t xml:space="preserve">regression </w:t>
      </w:r>
      <w:r>
        <w:rPr>
          <w:lang w:val="en-US"/>
        </w:rPr>
        <w:t xml:space="preserve">analysis. </w:t>
      </w:r>
    </w:p>
    <w:p w:rsidR="005A303A" w:rsidRPr="005A303A" w:rsidRDefault="005A303A" w:rsidP="007675A0">
      <w:pPr>
        <w:spacing w:line="360" w:lineRule="auto"/>
        <w:contextualSpacing/>
        <w:rPr>
          <w:lang w:val="en-GB"/>
        </w:rPr>
      </w:pPr>
    </w:p>
    <w:p w:rsidR="007675A0" w:rsidRPr="005A448F" w:rsidRDefault="007675A0" w:rsidP="007675A0">
      <w:pPr>
        <w:spacing w:line="240" w:lineRule="auto"/>
        <w:contextualSpacing/>
        <w:rPr>
          <w:rFonts w:eastAsiaTheme="minorEastAsia"/>
          <w:b/>
          <w:lang w:val="en-US"/>
        </w:rPr>
      </w:pPr>
      <w:r>
        <w:rPr>
          <w:b/>
          <w:lang w:val="en-US"/>
        </w:rPr>
        <w:br w:type="page"/>
      </w:r>
    </w:p>
    <w:p w:rsidR="0094274C" w:rsidRDefault="0094274C" w:rsidP="0094274C">
      <w:pPr>
        <w:pStyle w:val="ListParagraph"/>
        <w:numPr>
          <w:ilvl w:val="0"/>
          <w:numId w:val="36"/>
        </w:numPr>
        <w:rPr>
          <w:b/>
          <w:lang w:val="en-US"/>
        </w:rPr>
      </w:pPr>
      <w:r w:rsidRPr="0094274C">
        <w:rPr>
          <w:b/>
          <w:lang w:val="en-US"/>
        </w:rPr>
        <w:lastRenderedPageBreak/>
        <w:t>Introduction</w:t>
      </w:r>
    </w:p>
    <w:p w:rsidR="00F555BA" w:rsidRPr="00F555BA" w:rsidRDefault="00F555BA" w:rsidP="00F555BA">
      <w:pPr>
        <w:rPr>
          <w:i/>
          <w:lang w:val="en-US"/>
        </w:rPr>
      </w:pPr>
      <w:r w:rsidRPr="00F555BA">
        <w:rPr>
          <w:i/>
          <w:lang w:val="en-US"/>
        </w:rPr>
        <w:t>The initial public offering</w:t>
      </w:r>
    </w:p>
    <w:p w:rsidR="006065D6" w:rsidRDefault="00B70DE9" w:rsidP="00B70DE9">
      <w:pPr>
        <w:spacing w:line="360" w:lineRule="auto"/>
        <w:rPr>
          <w:lang w:val="en-US"/>
        </w:rPr>
      </w:pPr>
      <w:r>
        <w:rPr>
          <w:lang w:val="en-US"/>
        </w:rPr>
        <w:t xml:space="preserve">Going public marks an important milestone for many corporations. The initial public offering (IPO) allows companies to gain access to capital markets. Publicly traded shares are more liquid than privately held shares, so the IPO allows owners to diversify their holdings. Furthermore, a liquid share base can reduce the cost of capital. Another benefit of </w:t>
      </w:r>
      <w:r w:rsidR="006065D6">
        <w:rPr>
          <w:lang w:val="en-US"/>
        </w:rPr>
        <w:t>going public</w:t>
      </w:r>
      <w:r>
        <w:rPr>
          <w:lang w:val="en-US"/>
        </w:rPr>
        <w:t xml:space="preserve"> is the publicity created around the event, putting the company in the spotlights. </w:t>
      </w:r>
    </w:p>
    <w:p w:rsidR="00070467" w:rsidRPr="00070467" w:rsidRDefault="00070467" w:rsidP="00B70DE9">
      <w:pPr>
        <w:spacing w:line="360" w:lineRule="auto"/>
        <w:rPr>
          <w:i/>
          <w:lang w:val="en-US"/>
        </w:rPr>
      </w:pPr>
      <w:r w:rsidRPr="00070467">
        <w:rPr>
          <w:i/>
          <w:lang w:val="en-US"/>
        </w:rPr>
        <w:t>IPO underpricing</w:t>
      </w:r>
    </w:p>
    <w:p w:rsidR="00B70DE9" w:rsidRDefault="00B70DE9" w:rsidP="00B70DE9">
      <w:pPr>
        <w:spacing w:line="360" w:lineRule="auto"/>
        <w:rPr>
          <w:lang w:val="en-US"/>
        </w:rPr>
      </w:pPr>
      <w:r>
        <w:rPr>
          <w:lang w:val="en-US"/>
        </w:rPr>
        <w:t xml:space="preserve">Obviously </w:t>
      </w:r>
      <w:r w:rsidR="007F6AC9">
        <w:rPr>
          <w:lang w:val="en-US"/>
        </w:rPr>
        <w:t>going public also entails costs comprising of,</w:t>
      </w:r>
      <w:r>
        <w:rPr>
          <w:lang w:val="en-US"/>
        </w:rPr>
        <w:t xml:space="preserve"> the direct costs of underwriter and legal fees and indirect costs such as underpricing.</w:t>
      </w:r>
      <w:r w:rsidR="006065D6">
        <w:rPr>
          <w:lang w:val="en-US"/>
        </w:rPr>
        <w:t xml:space="preserve"> </w:t>
      </w:r>
      <w:r>
        <w:rPr>
          <w:lang w:val="en-US"/>
        </w:rPr>
        <w:t>IPO underpricing is money left on the table in an IPO (Ritter, 1987). If during the first day of trading the newly issued share</w:t>
      </w:r>
      <w:r w:rsidR="0003240E">
        <w:rPr>
          <w:lang w:val="en-US"/>
        </w:rPr>
        <w:t>s rise</w:t>
      </w:r>
      <w:r>
        <w:rPr>
          <w:lang w:val="en-US"/>
        </w:rPr>
        <w:t xml:space="preserve"> in price, the</w:t>
      </w:r>
      <w:r w:rsidR="006065D6">
        <w:rPr>
          <w:lang w:val="en-US"/>
        </w:rPr>
        <w:t>y</w:t>
      </w:r>
      <w:r>
        <w:rPr>
          <w:lang w:val="en-US"/>
        </w:rPr>
        <w:t xml:space="preserve"> might have been offered at a price b</w:t>
      </w:r>
      <w:r w:rsidR="00E174CF">
        <w:rPr>
          <w:lang w:val="en-US"/>
        </w:rPr>
        <w:t>elow the intrinsic</w:t>
      </w:r>
      <w:r>
        <w:rPr>
          <w:lang w:val="en-US"/>
        </w:rPr>
        <w:t xml:space="preserve"> value. This leaves the issuing firm with losses, since they could have sol</w:t>
      </w:r>
      <w:r w:rsidR="006065D6">
        <w:rPr>
          <w:lang w:val="en-US"/>
        </w:rPr>
        <w:t>d the shares at a higher price.</w:t>
      </w:r>
      <w:r w:rsidR="00F4283D">
        <w:rPr>
          <w:lang w:val="en-US"/>
        </w:rPr>
        <w:t xml:space="preserve"> </w:t>
      </w:r>
      <w:r w:rsidR="0003240E">
        <w:rPr>
          <w:lang w:val="en-US"/>
        </w:rPr>
        <w:t>Several authors made the</w:t>
      </w:r>
      <w:r w:rsidR="00F4283D">
        <w:rPr>
          <w:lang w:val="en-US"/>
        </w:rPr>
        <w:t xml:space="preserve"> observation that on</w:t>
      </w:r>
      <w:r w:rsidR="005C7CDC">
        <w:rPr>
          <w:lang w:val="en-US"/>
        </w:rPr>
        <w:t xml:space="preserve"> average shares are underpriced. F</w:t>
      </w:r>
      <w:r w:rsidR="00F4283D">
        <w:rPr>
          <w:lang w:val="en-US"/>
        </w:rPr>
        <w:t xml:space="preserve">or instance Ritter and Welch (2002) note that between 1980 and 2001 newly issued shares tended to be underpriced by 18.8% on average. Some IPOs were underpriced by extreme proportions, </w:t>
      </w:r>
      <w:r w:rsidR="009D4228">
        <w:rPr>
          <w:lang w:val="en-US"/>
        </w:rPr>
        <w:t>such as</w:t>
      </w:r>
      <w:r w:rsidR="007F6AC9">
        <w:rPr>
          <w:lang w:val="en-US"/>
        </w:rPr>
        <w:t xml:space="preserve"> theGlobe.com</w:t>
      </w:r>
      <w:r w:rsidR="00F4283D">
        <w:rPr>
          <w:lang w:val="en-US"/>
        </w:rPr>
        <w:t xml:space="preserve"> in 1998 </w:t>
      </w:r>
      <w:r w:rsidR="007F6AC9">
        <w:rPr>
          <w:lang w:val="en-US"/>
        </w:rPr>
        <w:t>when underpricing amounted to</w:t>
      </w:r>
      <w:r w:rsidR="00F4283D">
        <w:rPr>
          <w:lang w:val="en-US"/>
        </w:rPr>
        <w:t xml:space="preserve"> 606%.</w:t>
      </w:r>
    </w:p>
    <w:p w:rsidR="00F4283D" w:rsidRDefault="00F4283D" w:rsidP="00B70DE9">
      <w:pPr>
        <w:spacing w:line="360" w:lineRule="auto"/>
        <w:rPr>
          <w:lang w:val="en-US"/>
        </w:rPr>
      </w:pPr>
      <w:r>
        <w:rPr>
          <w:lang w:val="en-US"/>
        </w:rPr>
        <w:t>So why do companies leave so much money on the table? In the last few decades</w:t>
      </w:r>
      <w:r w:rsidR="007F6AC9">
        <w:rPr>
          <w:lang w:val="en-US"/>
        </w:rPr>
        <w:t>,</w:t>
      </w:r>
      <w:r>
        <w:rPr>
          <w:lang w:val="en-US"/>
        </w:rPr>
        <w:t xml:space="preserve"> several authors have tried to explain underpricing. </w:t>
      </w:r>
      <w:r w:rsidR="005A303A">
        <w:rPr>
          <w:lang w:val="en-US"/>
        </w:rPr>
        <w:t>These models differ in their underlying assumptions, but most of them are based o</w:t>
      </w:r>
      <w:r w:rsidR="007F6AC9">
        <w:rPr>
          <w:lang w:val="en-US"/>
        </w:rPr>
        <w:t>n information asymmetry</w:t>
      </w:r>
      <w:r w:rsidR="005A303A">
        <w:rPr>
          <w:lang w:val="en-US"/>
        </w:rPr>
        <w:t xml:space="preserve">. </w:t>
      </w:r>
      <w:r w:rsidR="007F6AC9">
        <w:rPr>
          <w:lang w:val="en-US"/>
        </w:rPr>
        <w:t>One of the most cited articles is that of</w:t>
      </w:r>
      <w:r w:rsidR="001731F3">
        <w:rPr>
          <w:lang w:val="en-US"/>
        </w:rPr>
        <w:t xml:space="preserve"> Rock (1986)</w:t>
      </w:r>
      <w:r w:rsidR="007F6AC9">
        <w:rPr>
          <w:lang w:val="en-US"/>
        </w:rPr>
        <w:t xml:space="preserve"> in which he defines a model of informed and uninformed investors</w:t>
      </w:r>
      <w:r w:rsidR="005A303A">
        <w:rPr>
          <w:lang w:val="en-US"/>
        </w:rPr>
        <w:t xml:space="preserve">. Since uninformed investors are rationed when the IPO is oversubscribed (and hence </w:t>
      </w:r>
      <w:r w:rsidR="001731F3">
        <w:rPr>
          <w:lang w:val="en-US"/>
        </w:rPr>
        <w:t xml:space="preserve">underpriced and thus </w:t>
      </w:r>
      <w:r w:rsidR="005A303A">
        <w:rPr>
          <w:lang w:val="en-US"/>
        </w:rPr>
        <w:t xml:space="preserve">profitable) and receive their full order when IPOs are undersubscribed (and hence </w:t>
      </w:r>
      <w:r w:rsidR="009D4228">
        <w:rPr>
          <w:lang w:val="en-US"/>
        </w:rPr>
        <w:t>overpriced and thus not profitable</w:t>
      </w:r>
      <w:r w:rsidR="005A303A">
        <w:rPr>
          <w:lang w:val="en-US"/>
        </w:rPr>
        <w:t xml:space="preserve">), the uninformed investors face a </w:t>
      </w:r>
      <w:r w:rsidR="00E174CF">
        <w:rPr>
          <w:lang w:val="en-US"/>
        </w:rPr>
        <w:t>Winner’s Curse</w:t>
      </w:r>
      <w:r w:rsidR="009D4228">
        <w:rPr>
          <w:lang w:val="en-US"/>
        </w:rPr>
        <w:t xml:space="preserve"> in order to induce uninformed investors to invest</w:t>
      </w:r>
      <w:r w:rsidR="005A303A">
        <w:rPr>
          <w:lang w:val="en-US"/>
        </w:rPr>
        <w:t xml:space="preserve">. In Rock’s model, underpricing can be seen as compensation for the </w:t>
      </w:r>
      <w:r w:rsidR="00E174CF">
        <w:rPr>
          <w:lang w:val="en-US"/>
        </w:rPr>
        <w:t>Winner’s Curse</w:t>
      </w:r>
      <w:r w:rsidR="005A303A">
        <w:rPr>
          <w:lang w:val="en-US"/>
        </w:rPr>
        <w:t xml:space="preserve">. Since the information asymmetry between informed and uninformed investors increases with the risk of the IPO, Rock’s model can be tested using risk proxies. </w:t>
      </w:r>
    </w:p>
    <w:p w:rsidR="00070467" w:rsidRDefault="00070467">
      <w:pPr>
        <w:rPr>
          <w:lang w:val="en-US"/>
        </w:rPr>
      </w:pPr>
      <w:r>
        <w:rPr>
          <w:lang w:val="en-US"/>
        </w:rPr>
        <w:br w:type="page"/>
      </w:r>
    </w:p>
    <w:p w:rsidR="005A303A" w:rsidRPr="005A303A" w:rsidRDefault="005A303A" w:rsidP="005A303A">
      <w:pPr>
        <w:spacing w:line="360" w:lineRule="auto"/>
        <w:rPr>
          <w:lang w:val="en-US"/>
        </w:rPr>
      </w:pPr>
      <w:r w:rsidRPr="000A3ACA">
        <w:rPr>
          <w:lang w:val="en-US"/>
        </w:rPr>
        <w:lastRenderedPageBreak/>
        <w:t xml:space="preserve">Carter and Manaster (1990) </w:t>
      </w:r>
      <w:r>
        <w:rPr>
          <w:lang w:val="en-US"/>
        </w:rPr>
        <w:t>state</w:t>
      </w:r>
      <w:r w:rsidRPr="000A3ACA">
        <w:rPr>
          <w:lang w:val="en-US"/>
        </w:rPr>
        <w:t xml:space="preserve"> that investors have limited resources with regards to information gathering and that informed investors mostly cluster around risky IPOs. They state that this gives issuers</w:t>
      </w:r>
      <w:r w:rsidR="00E174CF">
        <w:rPr>
          <w:lang w:val="en-US"/>
        </w:rPr>
        <w:t xml:space="preserve"> </w:t>
      </w:r>
      <w:r w:rsidR="00E174CF" w:rsidRPr="000A3ACA">
        <w:rPr>
          <w:lang w:val="en-US"/>
        </w:rPr>
        <w:t>an incentive</w:t>
      </w:r>
      <w:r w:rsidRPr="000A3ACA">
        <w:rPr>
          <w:lang w:val="en-US"/>
        </w:rPr>
        <w:t xml:space="preserve"> to signal low riskiness. Issuers can signal </w:t>
      </w:r>
      <w:r w:rsidR="005C7CDC">
        <w:rPr>
          <w:lang w:val="en-US"/>
        </w:rPr>
        <w:t>low risk</w:t>
      </w:r>
      <w:r w:rsidRPr="000A3ACA">
        <w:rPr>
          <w:lang w:val="en-US"/>
        </w:rPr>
        <w:t xml:space="preserve"> by hiring top tier investment banks. Carter and Manaster th</w:t>
      </w:r>
      <w:r w:rsidR="001731F3">
        <w:rPr>
          <w:lang w:val="en-US"/>
        </w:rPr>
        <w:t>erefore state that prestigious</w:t>
      </w:r>
      <w:r w:rsidRPr="000A3ACA">
        <w:rPr>
          <w:lang w:val="en-US"/>
        </w:rPr>
        <w:t xml:space="preserve"> investment banks should be associated with less underpricing. </w:t>
      </w:r>
    </w:p>
    <w:p w:rsidR="005A303A" w:rsidRPr="002C0864" w:rsidRDefault="001C5A57" w:rsidP="005A303A">
      <w:pPr>
        <w:spacing w:line="360" w:lineRule="auto"/>
        <w:rPr>
          <w:lang w:val="en-US"/>
        </w:rPr>
      </w:pPr>
      <w:r w:rsidRPr="001C5A57">
        <w:rPr>
          <w:lang w:val="en-US"/>
        </w:rPr>
        <w:t xml:space="preserve">During the </w:t>
      </w:r>
      <w:r>
        <w:rPr>
          <w:lang w:val="en-US"/>
        </w:rPr>
        <w:t>Internet bubble</w:t>
      </w:r>
      <w:r w:rsidR="00545F15">
        <w:rPr>
          <w:lang w:val="en-US"/>
        </w:rPr>
        <w:t>,</w:t>
      </w:r>
      <w:r w:rsidR="002C0864" w:rsidRPr="001C5A57">
        <w:rPr>
          <w:lang w:val="en-US"/>
        </w:rPr>
        <w:t xml:space="preserve"> IPO underpricing</w:t>
      </w:r>
      <w:r>
        <w:rPr>
          <w:lang w:val="en-US"/>
        </w:rPr>
        <w:t xml:space="preserve"> rose to </w:t>
      </w:r>
      <w:r w:rsidRPr="001C5A57">
        <w:rPr>
          <w:lang w:val="en-US"/>
        </w:rPr>
        <w:t>65% on average (</w:t>
      </w:r>
      <w:r>
        <w:rPr>
          <w:lang w:val="en-US"/>
        </w:rPr>
        <w:t>Loughran &amp; Ritter,</w:t>
      </w:r>
      <w:r w:rsidRPr="001C5A57">
        <w:rPr>
          <w:lang w:val="en-US"/>
        </w:rPr>
        <w:t xml:space="preserve"> </w:t>
      </w:r>
      <w:r>
        <w:rPr>
          <w:lang w:val="en-US"/>
        </w:rPr>
        <w:t>2004</w:t>
      </w:r>
      <w:r w:rsidRPr="001C5A57">
        <w:rPr>
          <w:lang w:val="en-US"/>
        </w:rPr>
        <w:t>)</w:t>
      </w:r>
      <w:r w:rsidR="002C0864" w:rsidRPr="001C5A57">
        <w:rPr>
          <w:lang w:val="en-US"/>
        </w:rPr>
        <w:t>.</w:t>
      </w:r>
      <w:r w:rsidR="002C0864">
        <w:rPr>
          <w:lang w:val="en-US"/>
        </w:rPr>
        <w:t xml:space="preserve"> </w:t>
      </w:r>
      <w:r w:rsidR="005A303A" w:rsidRPr="00AC5941">
        <w:rPr>
          <w:lang w:val="en-US"/>
        </w:rPr>
        <w:t>Ljungqvist and Wilhelm (2003) and</w:t>
      </w:r>
      <w:r w:rsidR="005A303A">
        <w:rPr>
          <w:lang w:val="en-US"/>
        </w:rPr>
        <w:t xml:space="preserve"> Loughran and Ritter (2004)</w:t>
      </w:r>
      <w:r w:rsidR="005A303A" w:rsidRPr="00AC5941">
        <w:rPr>
          <w:lang w:val="en-US"/>
        </w:rPr>
        <w:t xml:space="preserve"> try to explain why underpricing changed over time. Ljungqvist and Wilhelm state that </w:t>
      </w:r>
      <w:r w:rsidR="002C0864">
        <w:rPr>
          <w:lang w:val="en-US"/>
        </w:rPr>
        <w:t xml:space="preserve">during the nineties, </w:t>
      </w:r>
      <w:r w:rsidR="005A303A" w:rsidRPr="00AC5941">
        <w:rPr>
          <w:lang w:val="en-US"/>
        </w:rPr>
        <w:t>reduced ownership, reduced amounts of secondary sa</w:t>
      </w:r>
      <w:r w:rsidR="005C7CDC">
        <w:rPr>
          <w:lang w:val="en-US"/>
        </w:rPr>
        <w:t xml:space="preserve">les and directed share </w:t>
      </w:r>
      <w:proofErr w:type="gramStart"/>
      <w:r w:rsidR="005C7CDC">
        <w:rPr>
          <w:lang w:val="en-US"/>
        </w:rPr>
        <w:t>programs,</w:t>
      </w:r>
      <w:proofErr w:type="gramEnd"/>
      <w:r w:rsidR="005A303A" w:rsidRPr="00AC5941">
        <w:rPr>
          <w:lang w:val="en-US"/>
        </w:rPr>
        <w:t xml:space="preserve"> reduced the opportunity cost of underpricing. This led to less monitoring by issuers and hence more under</w:t>
      </w:r>
      <w:r w:rsidR="005C7CDC">
        <w:rPr>
          <w:lang w:val="en-US"/>
        </w:rPr>
        <w:t>pricing. Loughran and Ritter state</w:t>
      </w:r>
      <w:r w:rsidR="005A303A" w:rsidRPr="00AC5941">
        <w:rPr>
          <w:lang w:val="en-US"/>
        </w:rPr>
        <w:t xml:space="preserve"> </w:t>
      </w:r>
      <w:r w:rsidR="002C0864">
        <w:rPr>
          <w:lang w:val="en-US"/>
        </w:rPr>
        <w:t>th</w:t>
      </w:r>
      <w:r w:rsidR="004C4869">
        <w:rPr>
          <w:lang w:val="en-US"/>
        </w:rPr>
        <w:t>at spinning</w:t>
      </w:r>
      <w:r w:rsidR="002C0864">
        <w:rPr>
          <w:lang w:val="en-US"/>
        </w:rPr>
        <w:t xml:space="preserve"> and analyst lust allowed un</w:t>
      </w:r>
      <w:r w:rsidR="005C7CDC">
        <w:rPr>
          <w:lang w:val="en-US"/>
        </w:rPr>
        <w:t>derwriters to underprice more. S</w:t>
      </w:r>
      <w:r w:rsidR="002C0864">
        <w:rPr>
          <w:lang w:val="en-US"/>
        </w:rPr>
        <w:t>ince high ranking investment banks have prestigious analyst programs and spinning possibilities, these underwriters underpriced more during the nineties.</w:t>
      </w:r>
    </w:p>
    <w:p w:rsidR="002C0864" w:rsidRDefault="002C0864" w:rsidP="002C0864">
      <w:pPr>
        <w:spacing w:line="360" w:lineRule="auto"/>
        <w:rPr>
          <w:lang w:val="en-US"/>
        </w:rPr>
      </w:pPr>
      <w:r>
        <w:rPr>
          <w:lang w:val="en-US"/>
        </w:rPr>
        <w:t>Some authors like Ruud (1993)</w:t>
      </w:r>
      <w:r w:rsidR="004C4869">
        <w:rPr>
          <w:lang w:val="en-US"/>
        </w:rPr>
        <w:t xml:space="preserve"> and </w:t>
      </w:r>
      <w:r>
        <w:rPr>
          <w:lang w:val="en-US"/>
        </w:rPr>
        <w:t>Derrien (2005) state that IPO</w:t>
      </w:r>
      <w:r w:rsidR="001731F3">
        <w:rPr>
          <w:lang w:val="en-US"/>
        </w:rPr>
        <w:t>s</w:t>
      </w:r>
      <w:r>
        <w:rPr>
          <w:lang w:val="en-US"/>
        </w:rPr>
        <w:t xml:space="preserve"> are in fact not underpriced</w:t>
      </w:r>
      <w:r w:rsidR="005C7CDC">
        <w:rPr>
          <w:lang w:val="en-US"/>
        </w:rPr>
        <w:t xml:space="preserve"> on average at all</w:t>
      </w:r>
      <w:r>
        <w:rPr>
          <w:lang w:val="en-US"/>
        </w:rPr>
        <w:t>. These authors state that price support and failed IPOs give a distorted image.</w:t>
      </w:r>
    </w:p>
    <w:p w:rsidR="00B46523" w:rsidRDefault="002C0864" w:rsidP="00070467">
      <w:pPr>
        <w:spacing w:before="200" w:line="360" w:lineRule="auto"/>
        <w:rPr>
          <w:lang w:val="en-US"/>
        </w:rPr>
      </w:pPr>
      <w:r>
        <w:rPr>
          <w:lang w:val="en-US"/>
        </w:rPr>
        <w:t>Test</w:t>
      </w:r>
      <w:r w:rsidR="00D90854">
        <w:rPr>
          <w:lang w:val="en-US"/>
        </w:rPr>
        <w:t>s</w:t>
      </w:r>
      <w:r>
        <w:rPr>
          <w:lang w:val="en-US"/>
        </w:rPr>
        <w:t xml:space="preserve"> of information asymmetry </w:t>
      </w:r>
      <w:r w:rsidR="00D90854">
        <w:rPr>
          <w:lang w:val="en-US"/>
        </w:rPr>
        <w:t xml:space="preserve">models, </w:t>
      </w:r>
      <w:r>
        <w:rPr>
          <w:lang w:val="en-US"/>
        </w:rPr>
        <w:t>spinning</w:t>
      </w:r>
      <w:r w:rsidR="009D4228">
        <w:rPr>
          <w:lang w:val="en-US"/>
        </w:rPr>
        <w:t>,</w:t>
      </w:r>
      <w:r>
        <w:rPr>
          <w:lang w:val="en-US"/>
        </w:rPr>
        <w:t xml:space="preserve"> and analyst lust explanations have been </w:t>
      </w:r>
      <w:r w:rsidR="00545F15">
        <w:rPr>
          <w:lang w:val="en-US"/>
        </w:rPr>
        <w:t>widely conducte</w:t>
      </w:r>
      <w:r w:rsidR="009D4228">
        <w:rPr>
          <w:lang w:val="en-US"/>
        </w:rPr>
        <w:t>d</w:t>
      </w:r>
      <w:r>
        <w:rPr>
          <w:lang w:val="en-US"/>
        </w:rPr>
        <w:t xml:space="preserve">. </w:t>
      </w:r>
      <w:r w:rsidR="00545F15">
        <w:rPr>
          <w:lang w:val="en-US"/>
        </w:rPr>
        <w:t>Most of these are</w:t>
      </w:r>
      <w:r>
        <w:rPr>
          <w:lang w:val="en-US"/>
        </w:rPr>
        <w:t xml:space="preserve"> regression analyses explaining underpricing by using risk proxies and underwriter reputati</w:t>
      </w:r>
      <w:r w:rsidR="001731F3">
        <w:rPr>
          <w:lang w:val="en-US"/>
        </w:rPr>
        <w:t>on as independent variables. Two o</w:t>
      </w:r>
      <w:r>
        <w:rPr>
          <w:lang w:val="en-US"/>
        </w:rPr>
        <w:t xml:space="preserve">f the most common risk proxies used </w:t>
      </w:r>
      <w:proofErr w:type="gramStart"/>
      <w:r>
        <w:rPr>
          <w:lang w:val="en-US"/>
        </w:rPr>
        <w:t>are</w:t>
      </w:r>
      <w:proofErr w:type="gramEnd"/>
      <w:r>
        <w:rPr>
          <w:lang w:val="en-US"/>
        </w:rPr>
        <w:t xml:space="preserve"> firm age and IPO proce</w:t>
      </w:r>
      <w:r w:rsidR="00545F15">
        <w:rPr>
          <w:lang w:val="en-US"/>
        </w:rPr>
        <w:t>eds. The general consensus i</w:t>
      </w:r>
      <w:r>
        <w:rPr>
          <w:lang w:val="en-US"/>
        </w:rPr>
        <w:t>s that firm age, IPO proceeds</w:t>
      </w:r>
      <w:r w:rsidR="009D4228">
        <w:rPr>
          <w:lang w:val="en-US"/>
        </w:rPr>
        <w:t>,</w:t>
      </w:r>
      <w:r>
        <w:rPr>
          <w:lang w:val="en-US"/>
        </w:rPr>
        <w:t xml:space="preserve"> and underwriter reputation </w:t>
      </w:r>
      <w:r w:rsidR="00D90854">
        <w:rPr>
          <w:lang w:val="en-US"/>
        </w:rPr>
        <w:t>are</w:t>
      </w:r>
      <w:r>
        <w:rPr>
          <w:lang w:val="en-US"/>
        </w:rPr>
        <w:t xml:space="preserve"> negatively related to underpricing. </w:t>
      </w:r>
      <w:r w:rsidRPr="001C5A57">
        <w:rPr>
          <w:lang w:val="en-US"/>
        </w:rPr>
        <w:t>To test the true relation</w:t>
      </w:r>
      <w:r w:rsidR="001731F3">
        <w:rPr>
          <w:lang w:val="en-US"/>
        </w:rPr>
        <w:t xml:space="preserve">, </w:t>
      </w:r>
      <w:r>
        <w:rPr>
          <w:lang w:val="en-US"/>
        </w:rPr>
        <w:t>I use Meta regression analysis (MRA).</w:t>
      </w:r>
      <w:r w:rsidR="00D90854">
        <w:rPr>
          <w:lang w:val="en-US"/>
        </w:rPr>
        <w:t xml:space="preserve"> </w:t>
      </w:r>
      <w:r w:rsidR="00B46523">
        <w:rPr>
          <w:lang w:val="en-US"/>
        </w:rPr>
        <w:t xml:space="preserve">The following hypotheses are tested. </w:t>
      </w:r>
    </w:p>
    <w:p w:rsidR="00B46523" w:rsidRPr="00170749" w:rsidRDefault="00B46523" w:rsidP="00B46523">
      <w:pPr>
        <w:pStyle w:val="ListParagraph"/>
        <w:numPr>
          <w:ilvl w:val="0"/>
          <w:numId w:val="29"/>
        </w:numPr>
        <w:spacing w:before="200" w:line="360" w:lineRule="auto"/>
        <w:ind w:left="714" w:hanging="357"/>
        <w:contextualSpacing w:val="0"/>
        <w:rPr>
          <w:i/>
          <w:lang w:val="en-US"/>
        </w:rPr>
      </w:pPr>
      <w:r>
        <w:rPr>
          <w:i/>
          <w:lang w:val="en-US"/>
        </w:rPr>
        <w:t>H1</w:t>
      </w:r>
      <w:r w:rsidRPr="00625DA7">
        <w:rPr>
          <w:i/>
          <w:lang w:val="en-US"/>
        </w:rPr>
        <w:t>: Firm age is negatively related to underpricing</w:t>
      </w:r>
    </w:p>
    <w:p w:rsidR="00B46523" w:rsidRPr="00B46523" w:rsidRDefault="00B46523" w:rsidP="00B46523">
      <w:pPr>
        <w:pStyle w:val="ListParagraph"/>
        <w:numPr>
          <w:ilvl w:val="0"/>
          <w:numId w:val="29"/>
        </w:numPr>
        <w:spacing w:before="200" w:line="360" w:lineRule="auto"/>
        <w:ind w:left="714" w:hanging="357"/>
        <w:contextualSpacing w:val="0"/>
        <w:rPr>
          <w:i/>
          <w:lang w:val="en-US"/>
        </w:rPr>
      </w:pPr>
      <w:r>
        <w:rPr>
          <w:i/>
          <w:lang w:val="en-US"/>
        </w:rPr>
        <w:t>H2</w:t>
      </w:r>
      <w:r w:rsidRPr="00625DA7">
        <w:rPr>
          <w:i/>
          <w:lang w:val="en-US"/>
        </w:rPr>
        <w:t xml:space="preserve">: </w:t>
      </w:r>
      <w:r>
        <w:rPr>
          <w:i/>
          <w:lang w:val="en-US"/>
        </w:rPr>
        <w:t>IPO</w:t>
      </w:r>
      <w:r w:rsidRPr="00625DA7">
        <w:rPr>
          <w:i/>
          <w:lang w:val="en-US"/>
        </w:rPr>
        <w:t xml:space="preserve"> proceeds are negatively related to underpricing</w:t>
      </w:r>
    </w:p>
    <w:p w:rsidR="00B46523" w:rsidRPr="00B46523" w:rsidRDefault="00B46523" w:rsidP="00B46523">
      <w:pPr>
        <w:pStyle w:val="ListParagraph"/>
        <w:numPr>
          <w:ilvl w:val="0"/>
          <w:numId w:val="30"/>
        </w:numPr>
        <w:spacing w:before="200" w:line="360" w:lineRule="auto"/>
        <w:ind w:left="714" w:hanging="357"/>
        <w:contextualSpacing w:val="0"/>
        <w:rPr>
          <w:i/>
          <w:lang w:val="en-US"/>
        </w:rPr>
      </w:pPr>
      <w:r w:rsidRPr="00625DA7">
        <w:rPr>
          <w:i/>
          <w:lang w:val="en-US"/>
        </w:rPr>
        <w:t>H3A: Underwriter reputation is negatively related to underpricing</w:t>
      </w:r>
    </w:p>
    <w:p w:rsidR="00B8484D" w:rsidRDefault="00B46523" w:rsidP="00B8484D">
      <w:pPr>
        <w:pStyle w:val="ListParagraph"/>
        <w:numPr>
          <w:ilvl w:val="0"/>
          <w:numId w:val="30"/>
        </w:numPr>
        <w:spacing w:before="200" w:line="360" w:lineRule="auto"/>
        <w:ind w:left="714" w:hanging="357"/>
        <w:contextualSpacing w:val="0"/>
        <w:rPr>
          <w:i/>
          <w:lang w:val="en-US"/>
        </w:rPr>
      </w:pPr>
      <w:r w:rsidRPr="00625DA7">
        <w:rPr>
          <w:i/>
          <w:lang w:val="en-US"/>
        </w:rPr>
        <w:t xml:space="preserve">H3B: Underwriter reputation was positively related to underpricing during the </w:t>
      </w:r>
      <w:r>
        <w:rPr>
          <w:i/>
          <w:lang w:val="en-US"/>
        </w:rPr>
        <w:t>1990’s</w:t>
      </w:r>
    </w:p>
    <w:p w:rsidR="00B8484D" w:rsidRPr="00B8484D" w:rsidRDefault="00B8484D" w:rsidP="00B8484D">
      <w:pPr>
        <w:spacing w:before="200" w:line="360" w:lineRule="auto"/>
        <w:rPr>
          <w:lang w:val="en-US"/>
        </w:rPr>
      </w:pPr>
      <w:r w:rsidRPr="00B8484D">
        <w:rPr>
          <w:lang w:val="en-US"/>
        </w:rPr>
        <w:t>Furthermore, publication bias is tested using the following pypotheses</w:t>
      </w:r>
      <w:r>
        <w:rPr>
          <w:lang w:val="en-US"/>
        </w:rPr>
        <w:t>.</w:t>
      </w:r>
    </w:p>
    <w:p w:rsidR="00B8484D" w:rsidRDefault="00B8484D" w:rsidP="00B46523">
      <w:pPr>
        <w:pStyle w:val="ListParagraph"/>
        <w:numPr>
          <w:ilvl w:val="0"/>
          <w:numId w:val="30"/>
        </w:numPr>
        <w:spacing w:before="200" w:line="360" w:lineRule="auto"/>
        <w:ind w:left="714" w:hanging="357"/>
        <w:contextualSpacing w:val="0"/>
        <w:rPr>
          <w:i/>
          <w:lang w:val="en-US"/>
        </w:rPr>
      </w:pPr>
      <w:r>
        <w:rPr>
          <w:i/>
          <w:lang w:val="en-US"/>
        </w:rPr>
        <w:t xml:space="preserve">H4A: Publication bias is </w:t>
      </w:r>
      <w:r w:rsidR="00A178B6" w:rsidRPr="00A178B6">
        <w:rPr>
          <w:i/>
          <w:u w:val="single"/>
          <w:lang w:val="en-US"/>
        </w:rPr>
        <w:t>not</w:t>
      </w:r>
      <w:r w:rsidR="00A178B6">
        <w:rPr>
          <w:i/>
          <w:lang w:val="en-US"/>
        </w:rPr>
        <w:t xml:space="preserve"> </w:t>
      </w:r>
      <w:r>
        <w:rPr>
          <w:i/>
          <w:lang w:val="en-US"/>
        </w:rPr>
        <w:t>present in underpricing literature</w:t>
      </w:r>
    </w:p>
    <w:p w:rsidR="00B8484D" w:rsidRPr="00625DA7" w:rsidRDefault="00B8484D" w:rsidP="00B46523">
      <w:pPr>
        <w:pStyle w:val="ListParagraph"/>
        <w:numPr>
          <w:ilvl w:val="0"/>
          <w:numId w:val="30"/>
        </w:numPr>
        <w:spacing w:before="200" w:line="360" w:lineRule="auto"/>
        <w:ind w:left="714" w:hanging="357"/>
        <w:contextualSpacing w:val="0"/>
        <w:rPr>
          <w:i/>
          <w:lang w:val="en-US"/>
        </w:rPr>
      </w:pPr>
      <w:r>
        <w:rPr>
          <w:i/>
          <w:lang w:val="en-US"/>
        </w:rPr>
        <w:t>H4B:Star journal bias is present in underpricing literature</w:t>
      </w:r>
    </w:p>
    <w:p w:rsidR="00B8484D" w:rsidRDefault="00B8484D">
      <w:pPr>
        <w:rPr>
          <w:lang w:val="en-US"/>
        </w:rPr>
      </w:pPr>
      <w:r>
        <w:rPr>
          <w:lang w:val="en-US"/>
        </w:rPr>
        <w:br w:type="page"/>
      </w:r>
    </w:p>
    <w:p w:rsidR="00C835F2" w:rsidRDefault="00C835F2" w:rsidP="00B46523">
      <w:pPr>
        <w:spacing w:line="360" w:lineRule="auto"/>
        <w:rPr>
          <w:lang w:val="en-US"/>
        </w:rPr>
      </w:pPr>
      <w:r>
        <w:rPr>
          <w:lang w:val="en-US"/>
        </w:rPr>
        <w:lastRenderedPageBreak/>
        <w:t>Meta analysis is the analysis of analyses; it is an objective and empirical metho</w:t>
      </w:r>
      <w:r w:rsidR="00545F15">
        <w:rPr>
          <w:lang w:val="en-US"/>
        </w:rPr>
        <w:t xml:space="preserve">d to summarize previous studies. In a Meta </w:t>
      </w:r>
      <w:r w:rsidR="009D4228">
        <w:rPr>
          <w:lang w:val="en-US"/>
        </w:rPr>
        <w:t xml:space="preserve">regression </w:t>
      </w:r>
      <w:r w:rsidR="00545F15">
        <w:rPr>
          <w:lang w:val="en-US"/>
        </w:rPr>
        <w:t>analysis</w:t>
      </w:r>
      <w:r w:rsidR="009D4228">
        <w:rPr>
          <w:lang w:val="en-US"/>
        </w:rPr>
        <w:t xml:space="preserve"> (MRA)</w:t>
      </w:r>
      <w:r w:rsidR="00545F15">
        <w:rPr>
          <w:lang w:val="en-US"/>
        </w:rPr>
        <w:t xml:space="preserve"> the coefficients from regression equations are used in a new dataset. </w:t>
      </w:r>
      <w:r>
        <w:rPr>
          <w:lang w:val="en-US"/>
        </w:rPr>
        <w:t xml:space="preserve">Meta regression analysis </w:t>
      </w:r>
      <w:r w:rsidR="00545F15">
        <w:rPr>
          <w:lang w:val="en-US"/>
        </w:rPr>
        <w:t xml:space="preserve">has not been commonly used in economics </w:t>
      </w:r>
      <w:r>
        <w:rPr>
          <w:lang w:val="en-US"/>
        </w:rPr>
        <w:t>s</w:t>
      </w:r>
      <w:r w:rsidR="00545F15">
        <w:rPr>
          <w:lang w:val="en-US"/>
        </w:rPr>
        <w:t>o</w:t>
      </w:r>
      <w:r>
        <w:rPr>
          <w:lang w:val="en-US"/>
        </w:rPr>
        <w:t xml:space="preserve"> far</w:t>
      </w:r>
      <w:r w:rsidR="005905D7">
        <w:rPr>
          <w:lang w:val="en-US"/>
        </w:rPr>
        <w:t xml:space="preserve"> and therefore this thesis is a pioneering study</w:t>
      </w:r>
      <w:r>
        <w:rPr>
          <w:lang w:val="en-US"/>
        </w:rPr>
        <w:t>. Although it is a very suitable method to summarize and explain variations in reported findings, the method is very time consuming and difficult to implement</w:t>
      </w:r>
      <w:r w:rsidR="00545F15">
        <w:rPr>
          <w:lang w:val="en-US"/>
        </w:rPr>
        <w:t xml:space="preserve">. </w:t>
      </w:r>
      <w:r w:rsidR="0054219B">
        <w:rPr>
          <w:lang w:val="en-US"/>
        </w:rPr>
        <w:t>In this thesis I use three coefficients</w:t>
      </w:r>
      <w:r w:rsidR="00BE424C">
        <w:rPr>
          <w:lang w:val="en-US"/>
        </w:rPr>
        <w:t>: firm age, IPO proceeds and underwriter reputation,</w:t>
      </w:r>
      <w:r w:rsidR="0054219B">
        <w:rPr>
          <w:lang w:val="en-US"/>
        </w:rPr>
        <w:t xml:space="preserve"> obtained from regression equations explaining underpricing</w:t>
      </w:r>
      <w:r w:rsidR="00BE424C">
        <w:rPr>
          <w:lang w:val="en-US"/>
        </w:rPr>
        <w:t xml:space="preserve">. </w:t>
      </w:r>
      <w:r w:rsidR="005905D7">
        <w:rPr>
          <w:lang w:val="en-US"/>
        </w:rPr>
        <w:t>Because the coefficient</w:t>
      </w:r>
      <w:r w:rsidR="00E47875">
        <w:rPr>
          <w:lang w:val="en-US"/>
        </w:rPr>
        <w:t>s</w:t>
      </w:r>
      <w:r w:rsidR="005905D7">
        <w:rPr>
          <w:lang w:val="en-US"/>
        </w:rPr>
        <w:t xml:space="preserve"> have to be comparable</w:t>
      </w:r>
      <w:r w:rsidR="00E47875">
        <w:rPr>
          <w:lang w:val="en-US"/>
        </w:rPr>
        <w:t>,</w:t>
      </w:r>
      <w:r w:rsidR="005905D7">
        <w:rPr>
          <w:lang w:val="en-US"/>
        </w:rPr>
        <w:t xml:space="preserve"> the number of observations is limited. For instance, studies using </w:t>
      </w:r>
      <w:r w:rsidR="00E47875">
        <w:rPr>
          <w:lang w:val="en-US"/>
        </w:rPr>
        <w:t>the natural logarithm of firm age</w:t>
      </w:r>
      <w:r w:rsidR="005905D7">
        <w:rPr>
          <w:lang w:val="en-US"/>
        </w:rPr>
        <w:t xml:space="preserve"> and studies that </w:t>
      </w:r>
      <w:r w:rsidR="00E47875">
        <w:rPr>
          <w:lang w:val="en-US"/>
        </w:rPr>
        <w:t xml:space="preserve">use the untransformed variable firm </w:t>
      </w:r>
      <w:proofErr w:type="gramStart"/>
      <w:r w:rsidR="00E47875">
        <w:rPr>
          <w:lang w:val="en-US"/>
        </w:rPr>
        <w:t>age,</w:t>
      </w:r>
      <w:proofErr w:type="gramEnd"/>
      <w:r w:rsidR="00E47875">
        <w:rPr>
          <w:lang w:val="en-US"/>
        </w:rPr>
        <w:t xml:space="preserve"> </w:t>
      </w:r>
      <w:r w:rsidR="005905D7">
        <w:rPr>
          <w:lang w:val="en-US"/>
        </w:rPr>
        <w:t>cannot be included in the same MRA.</w:t>
      </w:r>
      <w:r w:rsidR="0054219B">
        <w:rPr>
          <w:lang w:val="en-US"/>
        </w:rPr>
        <w:t xml:space="preserve"> All studies includ</w:t>
      </w:r>
      <w:r w:rsidR="00E47875">
        <w:rPr>
          <w:lang w:val="en-US"/>
        </w:rPr>
        <w:t>ed in the Meta</w:t>
      </w:r>
      <w:r w:rsidR="00545F15">
        <w:rPr>
          <w:lang w:val="en-US"/>
        </w:rPr>
        <w:t xml:space="preserve"> regression</w:t>
      </w:r>
      <w:r w:rsidR="00E47875">
        <w:rPr>
          <w:lang w:val="en-US"/>
        </w:rPr>
        <w:t xml:space="preserve"> analysis are</w:t>
      </w:r>
      <w:r w:rsidR="0054219B">
        <w:rPr>
          <w:lang w:val="en-US"/>
        </w:rPr>
        <w:t xml:space="preserve"> scanned for study characteristics, which are used to construct dummy variables. </w:t>
      </w:r>
      <w:r w:rsidR="005905D7">
        <w:rPr>
          <w:lang w:val="en-US"/>
        </w:rPr>
        <w:t>The following data</w:t>
      </w:r>
      <w:r w:rsidR="0054219B">
        <w:rPr>
          <w:lang w:val="en-US"/>
        </w:rPr>
        <w:t xml:space="preserve"> characteristic</w:t>
      </w:r>
      <w:r w:rsidR="005905D7">
        <w:rPr>
          <w:lang w:val="en-US"/>
        </w:rPr>
        <w:t>s were used in the</w:t>
      </w:r>
      <w:r w:rsidR="009D4228">
        <w:rPr>
          <w:lang w:val="en-US"/>
        </w:rPr>
        <w:t xml:space="preserve"> three</w:t>
      </w:r>
      <w:r w:rsidR="005905D7">
        <w:rPr>
          <w:lang w:val="en-US"/>
        </w:rPr>
        <w:t xml:space="preserve"> MRAs: time dummies</w:t>
      </w:r>
      <w:r w:rsidR="0054219B">
        <w:rPr>
          <w:lang w:val="en-US"/>
        </w:rPr>
        <w:t>, region dummies and dummies that indicate whether some observations were excluded from the dataset. Other dummies describe model characteristics</w:t>
      </w:r>
      <w:r w:rsidR="00E47875">
        <w:rPr>
          <w:lang w:val="en-US"/>
        </w:rPr>
        <w:t xml:space="preserve"> such as: </w:t>
      </w:r>
      <w:r w:rsidR="00545F15">
        <w:rPr>
          <w:lang w:val="en-US"/>
        </w:rPr>
        <w:t>how</w:t>
      </w:r>
      <w:r w:rsidR="005905D7">
        <w:rPr>
          <w:lang w:val="en-US"/>
        </w:rPr>
        <w:t xml:space="preserve"> underpricing was calculated in the original regression models and dummies that describe whether certain variables were excluded from the original model. The search f</w:t>
      </w:r>
      <w:r w:rsidR="00E47875">
        <w:rPr>
          <w:lang w:val="en-US"/>
        </w:rPr>
        <w:t>or suitable studies</w:t>
      </w:r>
      <w:r w:rsidR="005905D7">
        <w:rPr>
          <w:lang w:val="en-US"/>
        </w:rPr>
        <w:t xml:space="preserve"> and the construction of the Meta dataset is time consuming, but the dataset can reveal interesting results.</w:t>
      </w:r>
    </w:p>
    <w:p w:rsidR="003F24EB" w:rsidRDefault="003F24EB" w:rsidP="00070467">
      <w:pPr>
        <w:spacing w:before="200" w:line="360" w:lineRule="auto"/>
        <w:rPr>
          <w:i/>
          <w:lang w:val="en-US"/>
        </w:rPr>
      </w:pPr>
      <w:r w:rsidRPr="003F24EB">
        <w:rPr>
          <w:i/>
          <w:lang w:val="en-US"/>
        </w:rPr>
        <w:t>Relevance</w:t>
      </w:r>
    </w:p>
    <w:p w:rsidR="002C0864" w:rsidRDefault="003F24EB" w:rsidP="002C0864">
      <w:pPr>
        <w:spacing w:line="360" w:lineRule="auto"/>
        <w:rPr>
          <w:lang w:val="en-US"/>
        </w:rPr>
      </w:pPr>
      <w:r w:rsidRPr="00F555BA">
        <w:rPr>
          <w:lang w:val="en-US"/>
        </w:rPr>
        <w:t>The a</w:t>
      </w:r>
      <w:r w:rsidR="00421559">
        <w:rPr>
          <w:lang w:val="en-US"/>
        </w:rPr>
        <w:t>dded value of this thesis is three</w:t>
      </w:r>
      <w:r w:rsidRPr="00F555BA">
        <w:rPr>
          <w:lang w:val="en-US"/>
        </w:rPr>
        <w:t xml:space="preserve">fold. </w:t>
      </w:r>
      <w:r w:rsidR="00647E3B" w:rsidRPr="00F555BA">
        <w:rPr>
          <w:lang w:val="en-US"/>
        </w:rPr>
        <w:t>First,</w:t>
      </w:r>
      <w:r w:rsidR="00545F15">
        <w:rPr>
          <w:lang w:val="en-US"/>
        </w:rPr>
        <w:t xml:space="preserve"> MRA allowed me to estimate the true effect of firm age, IPO proceeds and underwriter reputation on underpricing. T</w:t>
      </w:r>
      <w:r w:rsidR="00647E3B" w:rsidRPr="00F555BA">
        <w:rPr>
          <w:lang w:val="en-US"/>
        </w:rPr>
        <w:t xml:space="preserve">he effect of firm age, IPO proceeds and underwriter reputation on underpricing is well documented throughout the literature. However, researchers </w:t>
      </w:r>
      <w:r w:rsidR="00F555BA">
        <w:rPr>
          <w:lang w:val="en-US"/>
        </w:rPr>
        <w:t>have not yet reached a general</w:t>
      </w:r>
      <w:r w:rsidR="00647E3B" w:rsidRPr="00F555BA">
        <w:rPr>
          <w:lang w:val="en-US"/>
        </w:rPr>
        <w:t xml:space="preserve"> conclusion on the true relationships. Furthermore, no paper that I know of has tried to explain the variations in the reported findings on the subject. Since the relation between</w:t>
      </w:r>
      <w:r w:rsidR="00647E3B">
        <w:rPr>
          <w:lang w:val="en-US"/>
        </w:rPr>
        <w:t xml:space="preserve"> underpricing and the three variables mentioned above can differ between countries, throughout time and due </w:t>
      </w:r>
      <w:r w:rsidR="00070467">
        <w:rPr>
          <w:lang w:val="en-US"/>
        </w:rPr>
        <w:t xml:space="preserve">to </w:t>
      </w:r>
      <w:r w:rsidR="00647E3B">
        <w:rPr>
          <w:lang w:val="en-US"/>
        </w:rPr>
        <w:t xml:space="preserve">other study characteristics, an MRA explaining </w:t>
      </w:r>
      <w:r w:rsidR="00F555BA">
        <w:rPr>
          <w:lang w:val="en-US"/>
        </w:rPr>
        <w:t>these variations can add value to the existing literature</w:t>
      </w:r>
      <w:r w:rsidR="00545F15">
        <w:rPr>
          <w:lang w:val="en-US"/>
        </w:rPr>
        <w:t xml:space="preserve">. </w:t>
      </w:r>
      <w:r w:rsidR="00647E3B">
        <w:rPr>
          <w:lang w:val="en-US"/>
        </w:rPr>
        <w:t>Moreover</w:t>
      </w:r>
      <w:r w:rsidR="001731F3">
        <w:rPr>
          <w:lang w:val="en-US"/>
        </w:rPr>
        <w:t>, the MRA results provide evidence on what model and data specifications</w:t>
      </w:r>
      <w:r w:rsidR="003336C4">
        <w:rPr>
          <w:lang w:val="en-US"/>
        </w:rPr>
        <w:t xml:space="preserve"> can</w:t>
      </w:r>
      <w:r w:rsidR="001731F3">
        <w:rPr>
          <w:lang w:val="en-US"/>
        </w:rPr>
        <w:t xml:space="preserve"> </w:t>
      </w:r>
      <w:r w:rsidR="005C7CDC">
        <w:rPr>
          <w:lang w:val="en-US"/>
        </w:rPr>
        <w:t>cause biased results</w:t>
      </w:r>
      <w:r w:rsidR="001731F3">
        <w:rPr>
          <w:lang w:val="en-US"/>
        </w:rPr>
        <w:t>.</w:t>
      </w:r>
    </w:p>
    <w:p w:rsidR="00647E3B" w:rsidRDefault="00545F15" w:rsidP="00B46523">
      <w:pPr>
        <w:spacing w:line="360" w:lineRule="auto"/>
        <w:rPr>
          <w:lang w:val="en-US"/>
        </w:rPr>
      </w:pPr>
      <w:r>
        <w:rPr>
          <w:lang w:val="en-US"/>
        </w:rPr>
        <w:t>Second</w:t>
      </w:r>
      <w:r w:rsidR="00647E3B">
        <w:rPr>
          <w:lang w:val="en-US"/>
        </w:rPr>
        <w:t>, since Meta regression analysis is still uncommon in economic literature, this thesis can be seen as a showcase of the appliance of MRA.</w:t>
      </w:r>
    </w:p>
    <w:p w:rsidR="00421559" w:rsidRDefault="00421559" w:rsidP="00B46523">
      <w:pPr>
        <w:spacing w:line="360" w:lineRule="auto"/>
        <w:rPr>
          <w:lang w:val="en-US"/>
        </w:rPr>
      </w:pPr>
      <w:r w:rsidRPr="00421559">
        <w:rPr>
          <w:lang w:val="en-US"/>
        </w:rPr>
        <w:t xml:space="preserve">Third, I explicitly test for publication bias. Publication bias occurs when statistically significant, or commonly accepted results are more likely to get published. </w:t>
      </w:r>
    </w:p>
    <w:p w:rsidR="00B8484D" w:rsidRDefault="00B8484D">
      <w:pPr>
        <w:rPr>
          <w:i/>
          <w:lang w:val="en-US"/>
        </w:rPr>
      </w:pPr>
      <w:r>
        <w:rPr>
          <w:i/>
          <w:lang w:val="en-US"/>
        </w:rPr>
        <w:br w:type="page"/>
      </w:r>
    </w:p>
    <w:p w:rsidR="00F555BA" w:rsidRPr="00F555BA" w:rsidRDefault="00F555BA" w:rsidP="00B46523">
      <w:pPr>
        <w:spacing w:line="360" w:lineRule="auto"/>
        <w:rPr>
          <w:i/>
          <w:lang w:val="en-US"/>
        </w:rPr>
      </w:pPr>
      <w:r w:rsidRPr="00F555BA">
        <w:rPr>
          <w:i/>
          <w:lang w:val="en-US"/>
        </w:rPr>
        <w:lastRenderedPageBreak/>
        <w:t>Results</w:t>
      </w:r>
    </w:p>
    <w:p w:rsidR="004C4869" w:rsidRDefault="00D90854" w:rsidP="00B46523">
      <w:pPr>
        <w:spacing w:line="360" w:lineRule="auto"/>
        <w:rPr>
          <w:lang w:val="en-US"/>
        </w:rPr>
      </w:pPr>
      <w:r w:rsidRPr="005D4D95">
        <w:rPr>
          <w:lang w:val="en-US"/>
        </w:rPr>
        <w:t>The results show that firm age is indeed negatively related to underpricing.</w:t>
      </w:r>
      <w:r w:rsidR="00B46523">
        <w:rPr>
          <w:lang w:val="en-US"/>
        </w:rPr>
        <w:t xml:space="preserve"> Therefore, I accept hypothesis 1.</w:t>
      </w:r>
      <w:r w:rsidRPr="005D4D95">
        <w:rPr>
          <w:lang w:val="en-US"/>
        </w:rPr>
        <w:t xml:space="preserve"> </w:t>
      </w:r>
      <w:r w:rsidR="00E47875">
        <w:rPr>
          <w:lang w:val="en-US"/>
        </w:rPr>
        <w:t>This result is in line with information asymme</w:t>
      </w:r>
      <w:r w:rsidR="00545F15">
        <w:rPr>
          <w:lang w:val="en-US"/>
        </w:rPr>
        <w:t>try models, such as Rock’s (1986</w:t>
      </w:r>
      <w:r w:rsidR="00E47875">
        <w:rPr>
          <w:lang w:val="en-US"/>
        </w:rPr>
        <w:t xml:space="preserve">) model. </w:t>
      </w:r>
      <w:r w:rsidR="000C1A2B">
        <w:rPr>
          <w:lang w:val="en-US"/>
        </w:rPr>
        <w:t>I find four</w:t>
      </w:r>
      <w:r w:rsidR="005D4D95" w:rsidRPr="005D4D95">
        <w:rPr>
          <w:lang w:val="en-US"/>
        </w:rPr>
        <w:t xml:space="preserve"> biasing effects. </w:t>
      </w:r>
      <w:r w:rsidR="00B8484D">
        <w:rPr>
          <w:lang w:val="en-US"/>
        </w:rPr>
        <w:t>T</w:t>
      </w:r>
      <w:r w:rsidR="005D4D95" w:rsidRPr="005D4D95">
        <w:rPr>
          <w:lang w:val="en-US"/>
        </w:rPr>
        <w:t xml:space="preserve">he age coefficient is biased upwards when financial </w:t>
      </w:r>
      <w:r w:rsidR="00B8484D">
        <w:rPr>
          <w:lang w:val="en-US"/>
        </w:rPr>
        <w:t xml:space="preserve">or small </w:t>
      </w:r>
      <w:r w:rsidR="005D4D95" w:rsidRPr="005D4D95">
        <w:rPr>
          <w:lang w:val="en-US"/>
        </w:rPr>
        <w:t>firms are exc</w:t>
      </w:r>
      <w:r w:rsidR="005C7CDC">
        <w:rPr>
          <w:lang w:val="en-US"/>
        </w:rPr>
        <w:t>luded from the original dataset</w:t>
      </w:r>
      <w:proofErr w:type="gramStart"/>
      <w:r w:rsidR="00421559">
        <w:rPr>
          <w:lang w:val="en-US"/>
        </w:rPr>
        <w:t>,</w:t>
      </w:r>
      <w:r w:rsidR="00B8484D">
        <w:rPr>
          <w:lang w:val="en-US"/>
        </w:rPr>
        <w:t>and</w:t>
      </w:r>
      <w:proofErr w:type="gramEnd"/>
      <w:r w:rsidR="00B8484D">
        <w:rPr>
          <w:lang w:val="en-US"/>
        </w:rPr>
        <w:t xml:space="preserve"> when</w:t>
      </w:r>
      <w:r w:rsidR="005D4D95" w:rsidRPr="005D4D95">
        <w:rPr>
          <w:lang w:val="en-US"/>
        </w:rPr>
        <w:t xml:space="preserve"> the proceeds coefficient was excluded from the original regression</w:t>
      </w:r>
      <w:r w:rsidR="00B8484D">
        <w:rPr>
          <w:lang w:val="en-US"/>
        </w:rPr>
        <w:t>. T</w:t>
      </w:r>
      <w:r w:rsidR="005D4D95" w:rsidRPr="005D4D95">
        <w:rPr>
          <w:lang w:val="en-US"/>
        </w:rPr>
        <w:t xml:space="preserve">he age coefficient is biased downwards if European data is used. A bias upwards weakens the negative relation between age and underpricing and a bias downwards makes the negative relation stronger. </w:t>
      </w:r>
    </w:p>
    <w:p w:rsidR="00D90854" w:rsidRPr="005D4D95" w:rsidRDefault="00D90854" w:rsidP="00B46523">
      <w:pPr>
        <w:spacing w:line="360" w:lineRule="auto"/>
        <w:rPr>
          <w:rFonts w:ascii="Calibri" w:eastAsia="Times New Roman" w:hAnsi="Calibri" w:cs="Times New Roman"/>
          <w:lang w:val="en-US" w:eastAsia="nl-NL"/>
        </w:rPr>
      </w:pPr>
      <w:r w:rsidRPr="005D4D95">
        <w:rPr>
          <w:rFonts w:ascii="Calibri" w:eastAsia="Times New Roman" w:hAnsi="Calibri" w:cs="Times New Roman"/>
          <w:lang w:val="en-US" w:eastAsia="nl-NL"/>
        </w:rPr>
        <w:t>Remarkably</w:t>
      </w:r>
      <w:r w:rsidR="003336C4">
        <w:rPr>
          <w:rFonts w:ascii="Calibri" w:eastAsia="Times New Roman" w:hAnsi="Calibri" w:cs="Times New Roman"/>
          <w:lang w:val="en-US" w:eastAsia="nl-NL"/>
        </w:rPr>
        <w:t>,</w:t>
      </w:r>
      <w:r w:rsidRPr="005D4D95">
        <w:rPr>
          <w:rFonts w:ascii="Calibri" w:eastAsia="Times New Roman" w:hAnsi="Calibri" w:cs="Times New Roman"/>
          <w:lang w:val="en-US" w:eastAsia="nl-NL"/>
        </w:rPr>
        <w:t xml:space="preserve"> the </w:t>
      </w:r>
      <w:r w:rsidR="00B8484D">
        <w:rPr>
          <w:rFonts w:ascii="Calibri" w:eastAsia="Times New Roman" w:hAnsi="Calibri" w:cs="Times New Roman"/>
          <w:lang w:val="en-US" w:eastAsia="nl-NL"/>
        </w:rPr>
        <w:t xml:space="preserve">results of the </w:t>
      </w:r>
      <w:r w:rsidRPr="005D4D95">
        <w:rPr>
          <w:rFonts w:ascii="Calibri" w:eastAsia="Times New Roman" w:hAnsi="Calibri" w:cs="Times New Roman"/>
          <w:lang w:val="en-US" w:eastAsia="nl-NL"/>
        </w:rPr>
        <w:t xml:space="preserve">IPO proceeds MRA </w:t>
      </w:r>
      <w:r w:rsidR="00B8484D">
        <w:rPr>
          <w:rFonts w:ascii="Calibri" w:eastAsia="Times New Roman" w:hAnsi="Calibri" w:cs="Times New Roman"/>
          <w:lang w:val="en-US" w:eastAsia="nl-NL"/>
        </w:rPr>
        <w:t>are inconclusive</w:t>
      </w:r>
      <w:r w:rsidRPr="005D4D95">
        <w:rPr>
          <w:rFonts w:ascii="Calibri" w:eastAsia="Times New Roman" w:hAnsi="Calibri" w:cs="Times New Roman"/>
          <w:lang w:val="en-US" w:eastAsia="nl-NL"/>
        </w:rPr>
        <w:t xml:space="preserve">. </w:t>
      </w:r>
      <w:r w:rsidR="00B46523">
        <w:rPr>
          <w:rFonts w:ascii="Calibri" w:eastAsia="Times New Roman" w:hAnsi="Calibri" w:cs="Times New Roman"/>
          <w:lang w:val="en-US" w:eastAsia="nl-NL"/>
        </w:rPr>
        <w:t>Therefore</w:t>
      </w:r>
      <w:r w:rsidR="00AB6A5B">
        <w:rPr>
          <w:rFonts w:ascii="Calibri" w:eastAsia="Times New Roman" w:hAnsi="Calibri" w:cs="Times New Roman"/>
          <w:lang w:val="en-US" w:eastAsia="nl-NL"/>
        </w:rPr>
        <w:t>,</w:t>
      </w:r>
      <w:r w:rsidR="00B46523">
        <w:rPr>
          <w:rFonts w:ascii="Calibri" w:eastAsia="Times New Roman" w:hAnsi="Calibri" w:cs="Times New Roman"/>
          <w:lang w:val="en-US" w:eastAsia="nl-NL"/>
        </w:rPr>
        <w:t xml:space="preserve"> I do not accept hypothesis 2. </w:t>
      </w:r>
      <w:r w:rsidRPr="005D4D95">
        <w:rPr>
          <w:rFonts w:ascii="Calibri" w:eastAsia="Times New Roman" w:hAnsi="Calibri" w:cs="Times New Roman"/>
          <w:lang w:val="en-US" w:eastAsia="nl-NL"/>
        </w:rPr>
        <w:t>T</w:t>
      </w:r>
      <w:r w:rsidR="00FF2A69" w:rsidRPr="005D4D95">
        <w:rPr>
          <w:rFonts w:ascii="Calibri" w:eastAsia="Times New Roman" w:hAnsi="Calibri" w:cs="Times New Roman"/>
          <w:lang w:val="en-US" w:eastAsia="nl-NL"/>
        </w:rPr>
        <w:t xml:space="preserve">he </w:t>
      </w:r>
      <w:r w:rsidR="001731F3" w:rsidRPr="005D4D95">
        <w:rPr>
          <w:rFonts w:ascii="Calibri" w:eastAsia="Times New Roman" w:hAnsi="Calibri" w:cs="Times New Roman"/>
          <w:lang w:val="en-US" w:eastAsia="nl-NL"/>
        </w:rPr>
        <w:t>coefficient is</w:t>
      </w:r>
      <w:r w:rsidRPr="005D4D95">
        <w:rPr>
          <w:rFonts w:ascii="Calibri" w:eastAsia="Times New Roman" w:hAnsi="Calibri" w:cs="Times New Roman"/>
          <w:lang w:val="en-US" w:eastAsia="nl-NL"/>
        </w:rPr>
        <w:t xml:space="preserve"> biased </w:t>
      </w:r>
      <w:r w:rsidR="004E097E">
        <w:rPr>
          <w:rFonts w:ascii="Calibri" w:eastAsia="Times New Roman" w:hAnsi="Calibri" w:cs="Times New Roman"/>
          <w:lang w:val="en-US" w:eastAsia="nl-NL"/>
        </w:rPr>
        <w:t>upwards</w:t>
      </w:r>
      <w:r w:rsidR="003336C4">
        <w:rPr>
          <w:rFonts w:ascii="Calibri" w:eastAsia="Times New Roman" w:hAnsi="Calibri" w:cs="Times New Roman"/>
          <w:lang w:val="en-US" w:eastAsia="nl-NL"/>
        </w:rPr>
        <w:t xml:space="preserve"> when</w:t>
      </w:r>
      <w:r w:rsidRPr="005D4D95">
        <w:rPr>
          <w:rFonts w:ascii="Calibri" w:eastAsia="Times New Roman" w:hAnsi="Calibri" w:cs="Times New Roman"/>
          <w:lang w:val="en-US" w:eastAsia="nl-NL"/>
        </w:rPr>
        <w:t xml:space="preserve"> European data </w:t>
      </w:r>
      <w:r w:rsidR="004E097E">
        <w:rPr>
          <w:rFonts w:ascii="Calibri" w:eastAsia="Times New Roman" w:hAnsi="Calibri" w:cs="Times New Roman"/>
          <w:lang w:val="en-US" w:eastAsia="nl-NL"/>
        </w:rPr>
        <w:t xml:space="preserve">is </w:t>
      </w:r>
      <w:r w:rsidRPr="005D4D95">
        <w:rPr>
          <w:rFonts w:ascii="Calibri" w:eastAsia="Times New Roman" w:hAnsi="Calibri" w:cs="Times New Roman"/>
          <w:lang w:val="en-US" w:eastAsia="nl-NL"/>
        </w:rPr>
        <w:t>used</w:t>
      </w:r>
      <w:r w:rsidR="00FF2A69" w:rsidRPr="005D4D95">
        <w:rPr>
          <w:rFonts w:ascii="Calibri" w:eastAsia="Times New Roman" w:hAnsi="Calibri" w:cs="Times New Roman"/>
          <w:lang w:val="en-US" w:eastAsia="nl-NL"/>
        </w:rPr>
        <w:t xml:space="preserve">. The result is biased </w:t>
      </w:r>
      <w:r w:rsidR="004E097E">
        <w:rPr>
          <w:rFonts w:ascii="Calibri" w:eastAsia="Times New Roman" w:hAnsi="Calibri" w:cs="Times New Roman"/>
          <w:lang w:val="en-US" w:eastAsia="nl-NL"/>
        </w:rPr>
        <w:t>downwards</w:t>
      </w:r>
      <w:r w:rsidR="005C7CDC">
        <w:rPr>
          <w:rFonts w:ascii="Calibri" w:eastAsia="Times New Roman" w:hAnsi="Calibri" w:cs="Times New Roman"/>
          <w:lang w:val="en-US" w:eastAsia="nl-NL"/>
        </w:rPr>
        <w:t xml:space="preserve"> when financial firms</w:t>
      </w:r>
      <w:r w:rsidR="00FF2A69" w:rsidRPr="005D4D95">
        <w:rPr>
          <w:rFonts w:ascii="Calibri" w:eastAsia="Times New Roman" w:hAnsi="Calibri" w:cs="Times New Roman"/>
          <w:lang w:val="en-US" w:eastAsia="nl-NL"/>
        </w:rPr>
        <w:t xml:space="preserve"> </w:t>
      </w:r>
      <w:r w:rsidR="004E097E">
        <w:rPr>
          <w:rFonts w:ascii="Calibri" w:eastAsia="Times New Roman" w:hAnsi="Calibri" w:cs="Times New Roman"/>
          <w:lang w:val="en-US" w:eastAsia="nl-NL"/>
        </w:rPr>
        <w:t xml:space="preserve">or </w:t>
      </w:r>
      <w:r w:rsidR="00F60C96">
        <w:rPr>
          <w:rFonts w:ascii="Calibri" w:eastAsia="Times New Roman" w:hAnsi="Calibri" w:cs="Times New Roman"/>
          <w:lang w:val="en-US" w:eastAsia="nl-NL"/>
        </w:rPr>
        <w:t>Best Efforts</w:t>
      </w:r>
      <w:r w:rsidR="004E097E">
        <w:rPr>
          <w:rFonts w:ascii="Calibri" w:eastAsia="Times New Roman" w:hAnsi="Calibri" w:cs="Times New Roman"/>
          <w:lang w:val="en-US" w:eastAsia="nl-NL"/>
        </w:rPr>
        <w:t xml:space="preserve"> contracts are </w:t>
      </w:r>
      <w:r w:rsidR="00FF2A69" w:rsidRPr="005D4D95">
        <w:rPr>
          <w:rFonts w:ascii="Calibri" w:eastAsia="Times New Roman" w:hAnsi="Calibri" w:cs="Times New Roman"/>
          <w:lang w:val="en-US" w:eastAsia="nl-NL"/>
        </w:rPr>
        <w:t>excluded from the dataset.</w:t>
      </w:r>
    </w:p>
    <w:p w:rsidR="00FF2A69" w:rsidRDefault="00FF2A69" w:rsidP="00B46523">
      <w:pPr>
        <w:spacing w:line="360" w:lineRule="auto"/>
        <w:rPr>
          <w:lang w:val="en-US"/>
        </w:rPr>
      </w:pPr>
      <w:r w:rsidRPr="005D4D95">
        <w:rPr>
          <w:lang w:val="en-US"/>
        </w:rPr>
        <w:t xml:space="preserve">The MRA testing the relation between underpricing and underwriter reputation </w:t>
      </w:r>
      <w:r w:rsidR="005D4D95" w:rsidRPr="005D4D95">
        <w:rPr>
          <w:lang w:val="en-US"/>
        </w:rPr>
        <w:t xml:space="preserve">shows a </w:t>
      </w:r>
      <w:r w:rsidR="003336C4">
        <w:rPr>
          <w:lang w:val="en-US"/>
        </w:rPr>
        <w:t>significant negative</w:t>
      </w:r>
      <w:r w:rsidR="005D4D95" w:rsidRPr="005D4D95">
        <w:rPr>
          <w:lang w:val="en-US"/>
        </w:rPr>
        <w:t xml:space="preserve"> relation between</w:t>
      </w:r>
      <w:r w:rsidRPr="005D4D95">
        <w:rPr>
          <w:lang w:val="en-US"/>
        </w:rPr>
        <w:t xml:space="preserve"> underwriter prestige and IPO underpricing. </w:t>
      </w:r>
      <w:r w:rsidR="00B46523">
        <w:rPr>
          <w:lang w:val="en-US"/>
        </w:rPr>
        <w:t>Therefore</w:t>
      </w:r>
      <w:r w:rsidR="00AB6A5B">
        <w:rPr>
          <w:lang w:val="en-US"/>
        </w:rPr>
        <w:t>,</w:t>
      </w:r>
      <w:r w:rsidR="00B46523">
        <w:rPr>
          <w:lang w:val="en-US"/>
        </w:rPr>
        <w:t xml:space="preserve"> I accept hypothesis 3A. </w:t>
      </w:r>
      <w:r w:rsidR="005D4D95" w:rsidRPr="005D4D95">
        <w:rPr>
          <w:lang w:val="en-US"/>
        </w:rPr>
        <w:t>Furthermore,</w:t>
      </w:r>
      <w:r w:rsidRPr="005D4D95">
        <w:rPr>
          <w:lang w:val="en-US"/>
        </w:rPr>
        <w:t xml:space="preserve"> in accordance with the analyst lust and spinning explanatio</w:t>
      </w:r>
      <w:r w:rsidR="001731F3" w:rsidRPr="005D4D95">
        <w:rPr>
          <w:lang w:val="en-US"/>
        </w:rPr>
        <w:t>n</w:t>
      </w:r>
      <w:r w:rsidR="009D4228">
        <w:rPr>
          <w:lang w:val="en-US"/>
        </w:rPr>
        <w:t>s</w:t>
      </w:r>
      <w:r w:rsidR="001731F3" w:rsidRPr="005D4D95">
        <w:rPr>
          <w:lang w:val="en-US"/>
        </w:rPr>
        <w:t xml:space="preserve"> </w:t>
      </w:r>
      <w:r w:rsidR="00B8484D">
        <w:rPr>
          <w:lang w:val="en-US"/>
        </w:rPr>
        <w:t>defined</w:t>
      </w:r>
      <w:r w:rsidR="001731F3" w:rsidRPr="005D4D95">
        <w:rPr>
          <w:lang w:val="en-US"/>
        </w:rPr>
        <w:t xml:space="preserve"> by Loughran and Ritter, th</w:t>
      </w:r>
      <w:r w:rsidRPr="005D4D95">
        <w:rPr>
          <w:lang w:val="en-US"/>
        </w:rPr>
        <w:t xml:space="preserve">e </w:t>
      </w:r>
      <w:r w:rsidR="003336C4">
        <w:rPr>
          <w:lang w:val="en-US"/>
        </w:rPr>
        <w:t>coefficient is biased upwards when</w:t>
      </w:r>
      <w:r w:rsidRPr="005D4D95">
        <w:rPr>
          <w:lang w:val="en-US"/>
        </w:rPr>
        <w:t xml:space="preserve"> data from the </w:t>
      </w:r>
      <w:r w:rsidR="00E47875">
        <w:rPr>
          <w:lang w:val="en-US"/>
        </w:rPr>
        <w:t>19</w:t>
      </w:r>
      <w:r w:rsidRPr="005D4D95">
        <w:rPr>
          <w:lang w:val="en-US"/>
        </w:rPr>
        <w:t xml:space="preserve">90’s is used. This result indicates that </w:t>
      </w:r>
      <w:r w:rsidR="00A60924">
        <w:rPr>
          <w:lang w:val="en-US"/>
        </w:rPr>
        <w:t xml:space="preserve">the negative relation between underwriter reputation and underpricing may have flipped sign during the nineties. </w:t>
      </w:r>
      <w:r w:rsidR="00B46523">
        <w:rPr>
          <w:lang w:val="en-US"/>
        </w:rPr>
        <w:t>This result corroborates hypothesis 3B.</w:t>
      </w:r>
    </w:p>
    <w:p w:rsidR="00F555BA" w:rsidRDefault="00F555BA" w:rsidP="00B46523">
      <w:pPr>
        <w:spacing w:line="360" w:lineRule="auto"/>
        <w:rPr>
          <w:lang w:val="en-US"/>
        </w:rPr>
      </w:pPr>
      <w:r>
        <w:rPr>
          <w:lang w:val="en-US"/>
        </w:rPr>
        <w:t>Note that throughout this thesis</w:t>
      </w:r>
      <w:r w:rsidR="00B8484D">
        <w:rPr>
          <w:lang w:val="en-US"/>
        </w:rPr>
        <w:t>,</w:t>
      </w:r>
      <w:r>
        <w:rPr>
          <w:lang w:val="en-US"/>
        </w:rPr>
        <w:t xml:space="preserve"> I use the term misspecification bias. For instance, if a study excluded financial firms from the dataset, the relation between</w:t>
      </w:r>
      <w:r w:rsidR="009D4228">
        <w:rPr>
          <w:lang w:val="en-US"/>
        </w:rPr>
        <w:t xml:space="preserve"> firm</w:t>
      </w:r>
      <w:r>
        <w:rPr>
          <w:lang w:val="en-US"/>
        </w:rPr>
        <w:t xml:space="preserve"> age and underpricing could be prone to misspecification bias. I use this term since this term is commonly used in the academic literature on Meta regression analysis. However, one has to be cautious interpreting this term. If a researcher excludes financial firms from the dataset, he or she might be interested in the relation between firm </w:t>
      </w:r>
      <w:proofErr w:type="gramStart"/>
      <w:r>
        <w:rPr>
          <w:lang w:val="en-US"/>
        </w:rPr>
        <w:t>age</w:t>
      </w:r>
      <w:proofErr w:type="gramEnd"/>
      <w:r>
        <w:rPr>
          <w:lang w:val="en-US"/>
        </w:rPr>
        <w:t xml:space="preserve"> and underpricing for non financial firms. It does not have to be the case that the researcher produced biased results. However in this thesis</w:t>
      </w:r>
      <w:r w:rsidR="00B8484D">
        <w:rPr>
          <w:lang w:val="en-US"/>
        </w:rPr>
        <w:t>,</w:t>
      </w:r>
      <w:r>
        <w:rPr>
          <w:lang w:val="en-US"/>
        </w:rPr>
        <w:t xml:space="preserve"> the term misspecification bias indicates that a certain study characteristic can influence the results. For instance</w:t>
      </w:r>
      <w:r w:rsidR="00B8484D">
        <w:rPr>
          <w:lang w:val="en-US"/>
        </w:rPr>
        <w:t>,</w:t>
      </w:r>
      <w:r>
        <w:rPr>
          <w:lang w:val="en-US"/>
        </w:rPr>
        <w:t xml:space="preserve"> excluding financial firms can influence the results of the ‘firm age’ coefficient in a regression explaining underpricing</w:t>
      </w:r>
      <w:r w:rsidR="009D4228">
        <w:rPr>
          <w:rStyle w:val="FootnoteReference"/>
          <w:lang w:val="en-US"/>
        </w:rPr>
        <w:footnoteReference w:id="1"/>
      </w:r>
      <w:r>
        <w:rPr>
          <w:lang w:val="en-US"/>
        </w:rPr>
        <w:t>.</w:t>
      </w:r>
    </w:p>
    <w:p w:rsidR="00B8484D" w:rsidRDefault="00B8484D">
      <w:pPr>
        <w:rPr>
          <w:lang w:val="en-US"/>
        </w:rPr>
      </w:pPr>
      <w:r>
        <w:rPr>
          <w:lang w:val="en-US"/>
        </w:rPr>
        <w:br w:type="page"/>
      </w:r>
    </w:p>
    <w:p w:rsidR="00E47875" w:rsidRPr="00E47875" w:rsidRDefault="00E47875" w:rsidP="00E47875">
      <w:pPr>
        <w:spacing w:line="360" w:lineRule="auto"/>
        <w:rPr>
          <w:color w:val="FF0000"/>
          <w:lang w:val="en-US"/>
        </w:rPr>
      </w:pPr>
      <w:r>
        <w:rPr>
          <w:lang w:val="en-US"/>
        </w:rPr>
        <w:lastRenderedPageBreak/>
        <w:t xml:space="preserve">A second test conducted in this thesis is the test for publication bias. Publication bias can occur when the chance of publication </w:t>
      </w:r>
      <w:r w:rsidR="009D4228">
        <w:rPr>
          <w:lang w:val="en-US"/>
        </w:rPr>
        <w:t>is influenced by the size or</w:t>
      </w:r>
      <w:r>
        <w:rPr>
          <w:lang w:val="en-US"/>
        </w:rPr>
        <w:t xml:space="preserve"> signifi</w:t>
      </w:r>
      <w:r w:rsidR="0095028A">
        <w:rPr>
          <w:lang w:val="en-US"/>
        </w:rPr>
        <w:t xml:space="preserve">cance of the reported findings. </w:t>
      </w:r>
      <w:r>
        <w:rPr>
          <w:lang w:val="en-US"/>
        </w:rPr>
        <w:t xml:space="preserve"> </w:t>
      </w:r>
      <w:r w:rsidR="0095028A">
        <w:rPr>
          <w:lang w:val="en-US"/>
        </w:rPr>
        <w:t xml:space="preserve">If this is the case, the published results could be biased in a certain direction, </w:t>
      </w:r>
      <w:r w:rsidR="00B8484D">
        <w:rPr>
          <w:lang w:val="en-US"/>
        </w:rPr>
        <w:t xml:space="preserve">thus </w:t>
      </w:r>
      <w:r w:rsidR="0095028A">
        <w:rPr>
          <w:lang w:val="en-US"/>
        </w:rPr>
        <w:t xml:space="preserve">giving a distorted image of the true relation between certain variables. </w:t>
      </w:r>
      <w:r>
        <w:rPr>
          <w:lang w:val="en-US"/>
        </w:rPr>
        <w:t>The test for publication bias is incon</w:t>
      </w:r>
      <w:r w:rsidR="009D4228">
        <w:rPr>
          <w:lang w:val="en-US"/>
        </w:rPr>
        <w:t>clusive for the firm age and</w:t>
      </w:r>
      <w:r>
        <w:rPr>
          <w:lang w:val="en-US"/>
        </w:rPr>
        <w:t xml:space="preserve"> underwriter reputation MR</w:t>
      </w:r>
      <w:r w:rsidR="009D4228">
        <w:rPr>
          <w:lang w:val="en-US"/>
        </w:rPr>
        <w:t>A. The</w:t>
      </w:r>
      <w:r>
        <w:rPr>
          <w:lang w:val="en-US"/>
        </w:rPr>
        <w:t xml:space="preserve"> hypothesis of </w:t>
      </w:r>
      <w:r w:rsidR="009D4228">
        <w:rPr>
          <w:lang w:val="en-US"/>
        </w:rPr>
        <w:t xml:space="preserve">no </w:t>
      </w:r>
      <w:r>
        <w:rPr>
          <w:lang w:val="en-US"/>
        </w:rPr>
        <w:t>publ</w:t>
      </w:r>
      <w:r w:rsidR="009D4228">
        <w:rPr>
          <w:lang w:val="en-US"/>
        </w:rPr>
        <w:t>ication bias is however accepted</w:t>
      </w:r>
      <w:r>
        <w:rPr>
          <w:lang w:val="en-US"/>
        </w:rPr>
        <w:t xml:space="preserve"> for the IPO proceeds MRA. So the results of the firm age and underwriter reputation MRA could be prone to publication bias.</w:t>
      </w:r>
    </w:p>
    <w:p w:rsidR="00FF2A69" w:rsidRPr="005D4D95" w:rsidRDefault="00FF2A69" w:rsidP="002C0864">
      <w:pPr>
        <w:spacing w:line="360" w:lineRule="auto"/>
        <w:rPr>
          <w:lang w:val="en-US"/>
        </w:rPr>
      </w:pPr>
      <w:r w:rsidRPr="005D4D95">
        <w:rPr>
          <w:lang w:val="en-US"/>
        </w:rPr>
        <w:t xml:space="preserve">This thesis is </w:t>
      </w:r>
      <w:r w:rsidR="001731F3" w:rsidRPr="005D4D95">
        <w:rPr>
          <w:lang w:val="en-US"/>
        </w:rPr>
        <w:t>constructed</w:t>
      </w:r>
      <w:r w:rsidRPr="005D4D95">
        <w:rPr>
          <w:lang w:val="en-US"/>
        </w:rPr>
        <w:t xml:space="preserve"> as follows: Section 3 discusses the literature on IPO underpricing, section </w:t>
      </w:r>
      <w:r w:rsidR="001731F3" w:rsidRPr="005D4D95">
        <w:rPr>
          <w:lang w:val="en-US"/>
        </w:rPr>
        <w:t xml:space="preserve">4 </w:t>
      </w:r>
      <w:r w:rsidRPr="005D4D95">
        <w:rPr>
          <w:lang w:val="en-US"/>
        </w:rPr>
        <w:t>provides a motivation for Meta analysis, section 5 describes the methodology and data used in this thesis, section 6 discusses the results, section 7 discusses the robustness of the results and section 8 concludes.</w:t>
      </w:r>
    </w:p>
    <w:p w:rsidR="00D90854" w:rsidRDefault="00D90854">
      <w:pPr>
        <w:rPr>
          <w:rFonts w:ascii="Calibri" w:eastAsia="Calibri" w:hAnsi="Calibri" w:cs="Times New Roman"/>
          <w:b/>
          <w:lang w:val="en-US"/>
        </w:rPr>
      </w:pPr>
      <w:r>
        <w:rPr>
          <w:b/>
          <w:lang w:val="en-US"/>
        </w:rPr>
        <w:br w:type="page"/>
      </w:r>
    </w:p>
    <w:p w:rsidR="009C10C7" w:rsidRDefault="007675A0" w:rsidP="009C10C7">
      <w:pPr>
        <w:pStyle w:val="ListParagraph"/>
        <w:numPr>
          <w:ilvl w:val="0"/>
          <w:numId w:val="36"/>
        </w:numPr>
        <w:spacing w:line="360" w:lineRule="auto"/>
        <w:ind w:left="1418" w:hanging="851"/>
        <w:rPr>
          <w:b/>
          <w:lang w:val="en-US"/>
        </w:rPr>
      </w:pPr>
      <w:r w:rsidRPr="00A7007D">
        <w:rPr>
          <w:b/>
          <w:lang w:val="en-US"/>
        </w:rPr>
        <w:lastRenderedPageBreak/>
        <w:t>Literature review</w:t>
      </w:r>
    </w:p>
    <w:p w:rsidR="007675A0" w:rsidRPr="009C10C7" w:rsidRDefault="009C10C7" w:rsidP="009C10C7">
      <w:pPr>
        <w:pStyle w:val="ListParagraph"/>
        <w:spacing w:line="360" w:lineRule="auto"/>
        <w:ind w:left="1418" w:hanging="851"/>
        <w:rPr>
          <w:b/>
          <w:lang w:val="en-US"/>
        </w:rPr>
      </w:pPr>
      <w:r w:rsidRPr="009C10C7">
        <w:rPr>
          <w:b/>
          <w:lang w:val="en-US"/>
        </w:rPr>
        <w:t>3.1.</w:t>
      </w:r>
      <w:r w:rsidRPr="009C10C7">
        <w:rPr>
          <w:b/>
          <w:lang w:val="en-US"/>
        </w:rPr>
        <w:tab/>
        <w:t>Introduction</w:t>
      </w:r>
      <w:r w:rsidR="007675A0" w:rsidRPr="009C10C7">
        <w:rPr>
          <w:b/>
          <w:lang w:val="en-US"/>
        </w:rPr>
        <w:t xml:space="preserve"> </w:t>
      </w:r>
    </w:p>
    <w:p w:rsidR="007675A0" w:rsidRDefault="007675A0" w:rsidP="007675A0">
      <w:pPr>
        <w:spacing w:line="360" w:lineRule="auto"/>
        <w:rPr>
          <w:lang w:val="en-US"/>
        </w:rPr>
      </w:pPr>
      <w:r>
        <w:rPr>
          <w:lang w:val="en-US"/>
        </w:rPr>
        <w:t>On November 13</w:t>
      </w:r>
      <w:r w:rsidRPr="008923AF">
        <w:rPr>
          <w:vertAlign w:val="superscript"/>
          <w:lang w:val="en-US"/>
        </w:rPr>
        <w:t>th</w:t>
      </w:r>
      <w:r w:rsidR="004C4869">
        <w:rPr>
          <w:lang w:val="en-US"/>
        </w:rPr>
        <w:t xml:space="preserve"> 1998, theGlobe.com</w:t>
      </w:r>
      <w:r>
        <w:rPr>
          <w:lang w:val="en-US"/>
        </w:rPr>
        <w:t xml:space="preserve"> an </w:t>
      </w:r>
      <w:r w:rsidR="009C2F54">
        <w:rPr>
          <w:lang w:val="en-US"/>
        </w:rPr>
        <w:t>Internet</w:t>
      </w:r>
      <w:r>
        <w:rPr>
          <w:lang w:val="en-US"/>
        </w:rPr>
        <w:t xml:space="preserve"> social networking and media </w:t>
      </w:r>
      <w:proofErr w:type="gramStart"/>
      <w:r>
        <w:rPr>
          <w:lang w:val="en-US"/>
        </w:rPr>
        <w:t>company,</w:t>
      </w:r>
      <w:proofErr w:type="gramEnd"/>
      <w:r>
        <w:rPr>
          <w:lang w:val="en-US"/>
        </w:rPr>
        <w:t xml:space="preserve"> went public. The company issued its shares at </w:t>
      </w:r>
      <w:r w:rsidRPr="008923AF">
        <w:rPr>
          <w:lang w:val="en-US"/>
        </w:rPr>
        <w:t>$</w:t>
      </w:r>
      <w:r>
        <w:rPr>
          <w:lang w:val="en-US"/>
        </w:rPr>
        <w:t xml:space="preserve">9.00. During the first day the stock traded at an astonishing </w:t>
      </w:r>
      <w:r w:rsidRPr="008923AF">
        <w:rPr>
          <w:lang w:val="en-US"/>
        </w:rPr>
        <w:t>$97</w:t>
      </w:r>
      <w:r>
        <w:rPr>
          <w:lang w:val="en-US"/>
        </w:rPr>
        <w:t xml:space="preserve"> per share,</w:t>
      </w:r>
      <w:r w:rsidRPr="008923AF">
        <w:rPr>
          <w:lang w:val="en-US"/>
        </w:rPr>
        <w:t xml:space="preserve"> before dropping to a closing price of $6</w:t>
      </w:r>
      <w:r>
        <w:rPr>
          <w:lang w:val="en-US"/>
        </w:rPr>
        <w:t xml:space="preserve">3.50. With a first day return of 606% percent, theGlobe.com is one of the most extreme examples of </w:t>
      </w:r>
      <w:r w:rsidR="0030498B">
        <w:rPr>
          <w:lang w:val="en-US"/>
        </w:rPr>
        <w:t>IPO</w:t>
      </w:r>
      <w:r>
        <w:rPr>
          <w:lang w:val="en-US"/>
        </w:rPr>
        <w:t xml:space="preserve"> underpricing. TheGlobe.com was founded by two college students, who practically became millionaires over night. At the end of the first trading day their retained shares </w:t>
      </w:r>
      <w:r w:rsidR="00F60D5F">
        <w:rPr>
          <w:lang w:val="en-US"/>
        </w:rPr>
        <w:t>were</w:t>
      </w:r>
      <w:r>
        <w:rPr>
          <w:lang w:val="en-US"/>
        </w:rPr>
        <w:t xml:space="preserve"> worth $200 million. Although this probably made them pretty happy, they could have done even better. The company issued 3.1 million shares, raising </w:t>
      </w:r>
      <w:r w:rsidRPr="008923AF">
        <w:rPr>
          <w:lang w:val="en-US"/>
        </w:rPr>
        <w:t>$</w:t>
      </w:r>
      <w:r w:rsidR="00387C23">
        <w:rPr>
          <w:lang w:val="en-US"/>
        </w:rPr>
        <w:t>27.9 million.</w:t>
      </w:r>
      <w:r>
        <w:rPr>
          <w:lang w:val="en-US"/>
        </w:rPr>
        <w:t xml:space="preserve"> </w:t>
      </w:r>
      <w:r w:rsidR="00387C23">
        <w:rPr>
          <w:lang w:val="en-US"/>
        </w:rPr>
        <w:t>H</w:t>
      </w:r>
      <w:r w:rsidR="00660CEA">
        <w:rPr>
          <w:lang w:val="en-US"/>
        </w:rPr>
        <w:t>owever,</w:t>
      </w:r>
      <w:r>
        <w:rPr>
          <w:lang w:val="en-US"/>
        </w:rPr>
        <w:t xml:space="preserve"> the first day closing price was </w:t>
      </w:r>
      <w:r w:rsidRPr="008923AF">
        <w:rPr>
          <w:lang w:val="en-US"/>
        </w:rPr>
        <w:t>$6</w:t>
      </w:r>
      <w:r>
        <w:rPr>
          <w:lang w:val="en-US"/>
        </w:rPr>
        <w:t xml:space="preserve">3.50, so these 3.1 million shares </w:t>
      </w:r>
      <w:r w:rsidR="00F60D5F">
        <w:rPr>
          <w:lang w:val="en-US"/>
        </w:rPr>
        <w:t>were</w:t>
      </w:r>
      <w:r>
        <w:rPr>
          <w:lang w:val="en-US"/>
        </w:rPr>
        <w:t xml:space="preserve"> worth $196.85 million according to the market. Therefore</w:t>
      </w:r>
      <w:r w:rsidR="00660CEA">
        <w:rPr>
          <w:lang w:val="en-US"/>
        </w:rPr>
        <w:t>,</w:t>
      </w:r>
      <w:r>
        <w:rPr>
          <w:lang w:val="en-US"/>
        </w:rPr>
        <w:t xml:space="preserve"> theGlobe.com left $168.95 million on the table</w:t>
      </w:r>
      <w:r>
        <w:rPr>
          <w:rStyle w:val="FootnoteReference"/>
          <w:lang w:val="en-US"/>
        </w:rPr>
        <w:footnoteReference w:id="2"/>
      </w:r>
      <w:r>
        <w:rPr>
          <w:lang w:val="en-US"/>
        </w:rPr>
        <w:t xml:space="preserve">. </w:t>
      </w:r>
    </w:p>
    <w:p w:rsidR="007675A0" w:rsidRDefault="007675A0" w:rsidP="007675A0">
      <w:pPr>
        <w:spacing w:line="360" w:lineRule="auto"/>
        <w:rPr>
          <w:lang w:val="en-US"/>
        </w:rPr>
      </w:pPr>
      <w:r>
        <w:rPr>
          <w:lang w:val="en-US"/>
        </w:rPr>
        <w:t xml:space="preserve">In the last few decades a vast amount of literature has emerged on </w:t>
      </w:r>
      <w:r w:rsidR="0030498B">
        <w:rPr>
          <w:lang w:val="en-US"/>
        </w:rPr>
        <w:t>IPO</w:t>
      </w:r>
      <w:r w:rsidR="00225AE1">
        <w:rPr>
          <w:lang w:val="en-US"/>
        </w:rPr>
        <w:t xml:space="preserve"> underpricing. In this chapter </w:t>
      </w:r>
      <w:r>
        <w:rPr>
          <w:lang w:val="en-US"/>
        </w:rPr>
        <w:t>some o</w:t>
      </w:r>
      <w:r w:rsidR="009D4228">
        <w:rPr>
          <w:lang w:val="en-US"/>
        </w:rPr>
        <w:t>f the most important papers</w:t>
      </w:r>
      <w:r w:rsidR="00225AE1">
        <w:rPr>
          <w:lang w:val="en-US"/>
        </w:rPr>
        <w:t xml:space="preserve"> are discussed</w:t>
      </w:r>
      <w:r>
        <w:rPr>
          <w:lang w:val="en-US"/>
        </w:rPr>
        <w:t>.</w:t>
      </w:r>
    </w:p>
    <w:p w:rsidR="007675A0" w:rsidRPr="002766DA" w:rsidRDefault="0094274C" w:rsidP="007675A0">
      <w:pPr>
        <w:spacing w:line="360" w:lineRule="auto"/>
        <w:ind w:left="1418" w:hanging="851"/>
        <w:rPr>
          <w:lang w:val="en-US"/>
        </w:rPr>
      </w:pPr>
      <w:r>
        <w:rPr>
          <w:b/>
          <w:lang w:val="en-US"/>
        </w:rPr>
        <w:t>3</w:t>
      </w:r>
      <w:r w:rsidR="007675A0" w:rsidRPr="002766DA">
        <w:rPr>
          <w:b/>
          <w:lang w:val="en-US"/>
        </w:rPr>
        <w:t>.</w:t>
      </w:r>
      <w:r w:rsidR="009C10C7">
        <w:rPr>
          <w:b/>
          <w:lang w:val="en-US"/>
        </w:rPr>
        <w:t>2</w:t>
      </w:r>
      <w:r w:rsidR="004C4869">
        <w:rPr>
          <w:b/>
          <w:lang w:val="en-US"/>
        </w:rPr>
        <w:t>.</w:t>
      </w:r>
      <w:r w:rsidR="004C4869">
        <w:rPr>
          <w:b/>
          <w:lang w:val="en-US"/>
        </w:rPr>
        <w:tab/>
      </w:r>
      <w:r w:rsidR="007675A0" w:rsidRPr="002766DA">
        <w:rPr>
          <w:b/>
          <w:lang w:val="en-US"/>
        </w:rPr>
        <w:t>Why do firms go public</w:t>
      </w:r>
      <w:r w:rsidR="00FD2569">
        <w:rPr>
          <w:b/>
          <w:lang w:val="en-US"/>
        </w:rPr>
        <w:t>?</w:t>
      </w:r>
    </w:p>
    <w:p w:rsidR="007675A0" w:rsidRPr="002766DA" w:rsidRDefault="007675A0" w:rsidP="007675A0">
      <w:pPr>
        <w:spacing w:line="360" w:lineRule="auto"/>
        <w:rPr>
          <w:lang w:val="en-US"/>
        </w:rPr>
      </w:pPr>
      <w:r w:rsidRPr="002766DA">
        <w:rPr>
          <w:lang w:val="en-US"/>
        </w:rPr>
        <w:t xml:space="preserve">The process of selling a security of a company to the general public for the first time is called an Initial Public Offering or </w:t>
      </w:r>
      <w:r w:rsidR="0030498B">
        <w:rPr>
          <w:lang w:val="en-US"/>
        </w:rPr>
        <w:t>IPO</w:t>
      </w:r>
      <w:r w:rsidRPr="002766DA">
        <w:rPr>
          <w:lang w:val="en-US"/>
        </w:rPr>
        <w:t xml:space="preserve">. Although </w:t>
      </w:r>
      <w:r w:rsidR="0030498B">
        <w:rPr>
          <w:lang w:val="en-US"/>
        </w:rPr>
        <w:t>IPO</w:t>
      </w:r>
      <w:r w:rsidRPr="002766DA">
        <w:rPr>
          <w:lang w:val="en-US"/>
        </w:rPr>
        <w:t>s can contain both debt and equity</w:t>
      </w:r>
      <w:r w:rsidR="00850BDB">
        <w:rPr>
          <w:lang w:val="en-US"/>
        </w:rPr>
        <w:t>,</w:t>
      </w:r>
      <w:r w:rsidRPr="002766DA">
        <w:rPr>
          <w:lang w:val="en-US"/>
        </w:rPr>
        <w:t xml:space="preserve"> I </w:t>
      </w:r>
      <w:r w:rsidR="00850BDB">
        <w:rPr>
          <w:lang w:val="en-US"/>
        </w:rPr>
        <w:t xml:space="preserve">refer to </w:t>
      </w:r>
      <w:r w:rsidRPr="002766DA">
        <w:rPr>
          <w:lang w:val="en-US"/>
        </w:rPr>
        <w:t>an equity issuance</w:t>
      </w:r>
      <w:r w:rsidR="00850BDB">
        <w:rPr>
          <w:lang w:val="en-US"/>
        </w:rPr>
        <w:t xml:space="preserve"> in this thesis</w:t>
      </w:r>
      <w:r w:rsidRPr="002766DA">
        <w:rPr>
          <w:lang w:val="en-US"/>
        </w:rPr>
        <w:t xml:space="preserve">. In an </w:t>
      </w:r>
      <w:r w:rsidR="0030498B">
        <w:rPr>
          <w:lang w:val="en-US"/>
        </w:rPr>
        <w:t>IPO</w:t>
      </w:r>
      <w:r w:rsidR="00850BDB">
        <w:rPr>
          <w:lang w:val="en-US"/>
        </w:rPr>
        <w:t>,</w:t>
      </w:r>
      <w:r w:rsidRPr="002766DA">
        <w:rPr>
          <w:lang w:val="en-US"/>
        </w:rPr>
        <w:t xml:space="preserve"> the issuing company usually sells 20-40% of its stock to the public (Ritter, 1998).  </w:t>
      </w:r>
    </w:p>
    <w:p w:rsidR="007675A0" w:rsidRDefault="007675A0" w:rsidP="007675A0">
      <w:pPr>
        <w:spacing w:line="360" w:lineRule="auto"/>
        <w:rPr>
          <w:lang w:val="en-US"/>
        </w:rPr>
      </w:pPr>
      <w:r>
        <w:rPr>
          <w:lang w:val="en-US"/>
        </w:rPr>
        <w:t xml:space="preserve">The decision to go public has not been well documented in academic literature until the </w:t>
      </w:r>
      <w:r w:rsidR="006917E1">
        <w:rPr>
          <w:lang w:val="en-US"/>
        </w:rPr>
        <w:t>1990’s</w:t>
      </w:r>
      <w:r>
        <w:rPr>
          <w:lang w:val="en-US"/>
        </w:rPr>
        <w:t xml:space="preserve"> (Zingales, 1995;</w:t>
      </w:r>
      <w:r w:rsidRPr="00F57571">
        <w:rPr>
          <w:bCs/>
          <w:lang w:val="en-US"/>
        </w:rPr>
        <w:t xml:space="preserve"> </w:t>
      </w:r>
      <w:r>
        <w:rPr>
          <w:bCs/>
          <w:lang w:val="en-US"/>
        </w:rPr>
        <w:t xml:space="preserve">Chemmanur &amp; </w:t>
      </w:r>
      <w:r w:rsidRPr="002D70C0">
        <w:rPr>
          <w:bCs/>
          <w:lang w:val="en-US"/>
        </w:rPr>
        <w:t>Fulghieri,</w:t>
      </w:r>
      <w:r>
        <w:rPr>
          <w:bCs/>
          <w:lang w:val="en-US"/>
        </w:rPr>
        <w:t xml:space="preserve"> </w:t>
      </w:r>
      <w:r w:rsidRPr="002D70C0">
        <w:rPr>
          <w:bCs/>
          <w:lang w:val="en-US"/>
        </w:rPr>
        <w:t>1999</w:t>
      </w:r>
      <w:r>
        <w:rPr>
          <w:lang w:val="en-US"/>
        </w:rPr>
        <w:t>). Until then</w:t>
      </w:r>
      <w:r w:rsidR="00850BDB">
        <w:rPr>
          <w:lang w:val="en-US"/>
        </w:rPr>
        <w:t>,</w:t>
      </w:r>
      <w:r>
        <w:rPr>
          <w:lang w:val="en-US"/>
        </w:rPr>
        <w:t xml:space="preserve"> conventional wisdom was that going public is simply a stage in the </w:t>
      </w:r>
      <w:r w:rsidR="00850BDB">
        <w:rPr>
          <w:lang w:val="en-US"/>
        </w:rPr>
        <w:t>life cycle</w:t>
      </w:r>
      <w:r>
        <w:rPr>
          <w:lang w:val="en-US"/>
        </w:rPr>
        <w:t xml:space="preserve"> of the company. Although there is some empirical evidence for this theory (Pagano et al. 1998), </w:t>
      </w:r>
      <w:r w:rsidR="003A6D83">
        <w:rPr>
          <w:lang w:val="en-US"/>
        </w:rPr>
        <w:t>the theory is far from complete</w:t>
      </w:r>
      <w:r>
        <w:rPr>
          <w:lang w:val="en-US"/>
        </w:rPr>
        <w:t xml:space="preserve"> since it cannot explain cross country and time series variation in IPOs. </w:t>
      </w:r>
      <w:proofErr w:type="gramStart"/>
      <w:r>
        <w:rPr>
          <w:lang w:val="en-US"/>
        </w:rPr>
        <w:t>For instance Pagano (1993) notes that Italy had more publicly traded companies in 1929 than in 1979.</w:t>
      </w:r>
      <w:proofErr w:type="gramEnd"/>
      <w:r>
        <w:rPr>
          <w:lang w:val="en-US"/>
        </w:rPr>
        <w:t xml:space="preserve"> Pagano also remarks that countries that are in the same stage of economic </w:t>
      </w:r>
      <w:proofErr w:type="gramStart"/>
      <w:r>
        <w:rPr>
          <w:lang w:val="en-US"/>
        </w:rPr>
        <w:t>development</w:t>
      </w:r>
      <w:r w:rsidR="00850BDB">
        <w:rPr>
          <w:lang w:val="en-US"/>
        </w:rPr>
        <w:t>,</w:t>
      </w:r>
      <w:proofErr w:type="gramEnd"/>
      <w:r>
        <w:rPr>
          <w:lang w:val="en-US"/>
        </w:rPr>
        <w:t xml:space="preserve"> can have substantial differences in stock market size, even after correcting for the size of the economy.</w:t>
      </w:r>
    </w:p>
    <w:p w:rsidR="007675A0" w:rsidRDefault="007675A0" w:rsidP="007675A0">
      <w:pPr>
        <w:spacing w:line="360" w:lineRule="auto"/>
        <w:rPr>
          <w:lang w:val="en-US"/>
        </w:rPr>
      </w:pPr>
      <w:r>
        <w:rPr>
          <w:lang w:val="en-US"/>
        </w:rPr>
        <w:t>Most papers on the going public decision view the decision as an optimization problem, in which entrepreneurs outweigh the costs and benefits of going public (</w:t>
      </w:r>
      <w:r w:rsidRPr="006D2AC6">
        <w:rPr>
          <w:lang w:val="en-US"/>
        </w:rPr>
        <w:t xml:space="preserve">Ritter </w:t>
      </w:r>
      <w:r>
        <w:rPr>
          <w:lang w:val="en-US"/>
        </w:rPr>
        <w:t xml:space="preserve">and </w:t>
      </w:r>
      <w:r w:rsidRPr="006D2AC6">
        <w:rPr>
          <w:lang w:val="en-US"/>
        </w:rPr>
        <w:t>Welch</w:t>
      </w:r>
      <w:r>
        <w:rPr>
          <w:lang w:val="en-US"/>
        </w:rPr>
        <w:t>,</w:t>
      </w:r>
      <w:r w:rsidRPr="006D2AC6">
        <w:rPr>
          <w:lang w:val="en-US"/>
        </w:rPr>
        <w:t xml:space="preserve"> 2002</w:t>
      </w:r>
      <w:r>
        <w:rPr>
          <w:lang w:val="en-US"/>
        </w:rPr>
        <w:t>; Ritter, 1987; Pagano</w:t>
      </w:r>
      <w:r w:rsidR="00CC5043">
        <w:rPr>
          <w:lang w:val="en-US"/>
        </w:rPr>
        <w:t>,</w:t>
      </w:r>
      <w:r>
        <w:rPr>
          <w:lang w:val="en-US"/>
        </w:rPr>
        <w:t xml:space="preserve"> 1993).</w:t>
      </w:r>
      <w:r w:rsidR="009D77FA">
        <w:rPr>
          <w:lang w:val="en-US"/>
        </w:rPr>
        <w:t xml:space="preserve"> I will discuss the costs and benefits of going public in the next section.</w:t>
      </w:r>
    </w:p>
    <w:p w:rsidR="007675A0" w:rsidRDefault="007675A0" w:rsidP="007675A0">
      <w:pPr>
        <w:spacing w:line="360" w:lineRule="auto"/>
        <w:rPr>
          <w:lang w:val="en-US"/>
        </w:rPr>
      </w:pPr>
    </w:p>
    <w:p w:rsidR="007675A0" w:rsidRPr="009C10C7" w:rsidRDefault="009C10C7" w:rsidP="009C10C7">
      <w:pPr>
        <w:spacing w:line="360" w:lineRule="auto"/>
        <w:ind w:left="360"/>
        <w:outlineLvl w:val="0"/>
        <w:rPr>
          <w:b/>
          <w:lang w:val="en-US"/>
        </w:rPr>
      </w:pPr>
      <w:bookmarkStart w:id="2" w:name="_Toc280276091"/>
      <w:r>
        <w:rPr>
          <w:b/>
          <w:lang w:val="en-US"/>
        </w:rPr>
        <w:lastRenderedPageBreak/>
        <w:t>3.2.1</w:t>
      </w:r>
      <w:r>
        <w:rPr>
          <w:b/>
          <w:lang w:val="en-US"/>
        </w:rPr>
        <w:tab/>
      </w:r>
      <w:r w:rsidR="007675A0" w:rsidRPr="009C10C7">
        <w:rPr>
          <w:b/>
          <w:lang w:val="en-US"/>
        </w:rPr>
        <w:t>The benefits of going public</w:t>
      </w:r>
      <w:bookmarkEnd w:id="2"/>
    </w:p>
    <w:p w:rsidR="007675A0" w:rsidRDefault="007675A0" w:rsidP="007675A0">
      <w:pPr>
        <w:spacing w:line="360" w:lineRule="auto"/>
        <w:rPr>
          <w:lang w:val="en-US"/>
        </w:rPr>
      </w:pPr>
      <w:r>
        <w:rPr>
          <w:lang w:val="en-US"/>
        </w:rPr>
        <w:t>The most obvious benefits of going public are the ability to diversify holdings and raise capital (Roell, 1996; Ritter &amp; Welch, 2002). When the stock of a company becomes publicly traded</w:t>
      </w:r>
      <w:r w:rsidR="003A6D83">
        <w:rPr>
          <w:lang w:val="en-US"/>
        </w:rPr>
        <w:t>,</w:t>
      </w:r>
      <w:r>
        <w:rPr>
          <w:lang w:val="en-US"/>
        </w:rPr>
        <w:t xml:space="preserve"> the owners obtain the ability to ‘cash in’ on their holdings and have easier access to capital markets (H</w:t>
      </w:r>
      <w:r w:rsidRPr="00FE530D">
        <w:rPr>
          <w:lang w:val="en-GB"/>
        </w:rPr>
        <w:t>ö</w:t>
      </w:r>
      <w:r>
        <w:rPr>
          <w:lang w:val="en-US"/>
        </w:rPr>
        <w:t>lmstrum &amp; Tirole, 1993). The increased liquidity of the company’s shares is often bolstered by analyst coverage (Bradley et al. 2003). After the underwriting process, the investment bank usually supports the share</w:t>
      </w:r>
      <w:r w:rsidR="00387C23">
        <w:rPr>
          <w:lang w:val="en-US"/>
        </w:rPr>
        <w:t>’s liquidity by issuing analyst</w:t>
      </w:r>
      <w:r>
        <w:rPr>
          <w:lang w:val="en-US"/>
        </w:rPr>
        <w:t xml:space="preserve"> reports. These reports usually give very optimistic (biased) recommendations (Rajan &amp; Servaes</w:t>
      </w:r>
      <w:r w:rsidR="00387C23">
        <w:rPr>
          <w:lang w:val="en-US"/>
        </w:rPr>
        <w:t>,</w:t>
      </w:r>
      <w:r>
        <w:rPr>
          <w:lang w:val="en-US"/>
        </w:rPr>
        <w:t xml:space="preserve"> 1997; Dunbar</w:t>
      </w:r>
      <w:r w:rsidR="00387C23">
        <w:rPr>
          <w:lang w:val="en-US"/>
        </w:rPr>
        <w:t>,</w:t>
      </w:r>
      <w:r>
        <w:rPr>
          <w:lang w:val="en-US"/>
        </w:rPr>
        <w:t xml:space="preserve"> 2000)</w:t>
      </w:r>
      <w:r w:rsidR="003A6D83">
        <w:rPr>
          <w:lang w:val="en-US"/>
        </w:rPr>
        <w:t>.</w:t>
      </w:r>
      <w:r>
        <w:rPr>
          <w:lang w:val="en-US"/>
        </w:rPr>
        <w:t xml:space="preserve"> </w:t>
      </w:r>
    </w:p>
    <w:p w:rsidR="007675A0" w:rsidRDefault="007675A0" w:rsidP="007675A0">
      <w:pPr>
        <w:spacing w:line="360" w:lineRule="auto"/>
        <w:rPr>
          <w:lang w:val="en-US"/>
        </w:rPr>
      </w:pPr>
      <w:r>
        <w:rPr>
          <w:lang w:val="en-US"/>
        </w:rPr>
        <w:t>Ritter and Welch (2002) report that going public can increase publicity. Maksimovic and Pichler (2001) make similar statements by reporting that public trading can be good for the firm’s reputation and reduce the cost of debt. H</w:t>
      </w:r>
      <w:r w:rsidRPr="00FE530D">
        <w:rPr>
          <w:lang w:val="en-GB"/>
        </w:rPr>
        <w:t>ö</w:t>
      </w:r>
      <w:r>
        <w:rPr>
          <w:lang w:val="en-US"/>
        </w:rPr>
        <w:t>lmstrum and Tirole (1993) add that a publicly traded stock can be used to create bonus incentive schemes for employees.</w:t>
      </w:r>
    </w:p>
    <w:p w:rsidR="007675A0" w:rsidRDefault="007675A0" w:rsidP="00660CEA">
      <w:pPr>
        <w:tabs>
          <w:tab w:val="left" w:pos="3969"/>
        </w:tabs>
        <w:spacing w:line="360" w:lineRule="auto"/>
        <w:rPr>
          <w:bCs/>
          <w:lang w:val="en-US"/>
        </w:rPr>
      </w:pPr>
      <w:r>
        <w:rPr>
          <w:bCs/>
          <w:lang w:val="en-US"/>
        </w:rPr>
        <w:t xml:space="preserve">Another benefit of going public is the ability to take advantage of bullish markets. Firms might sell their shares in an </w:t>
      </w:r>
      <w:r w:rsidR="0030498B">
        <w:rPr>
          <w:bCs/>
          <w:lang w:val="en-US"/>
        </w:rPr>
        <w:t>IPO</w:t>
      </w:r>
      <w:r>
        <w:rPr>
          <w:bCs/>
          <w:lang w:val="en-US"/>
        </w:rPr>
        <w:t xml:space="preserve"> to benefit from (temporary) overvaluation. This theory is called market timing</w:t>
      </w:r>
      <w:r w:rsidR="009D77FA">
        <w:rPr>
          <w:bCs/>
          <w:lang w:val="en-US"/>
        </w:rPr>
        <w:t xml:space="preserve"> </w:t>
      </w:r>
      <w:r w:rsidR="00387C23">
        <w:rPr>
          <w:bCs/>
          <w:lang w:val="en-US"/>
        </w:rPr>
        <w:t>(</w:t>
      </w:r>
      <w:r w:rsidR="009D77FA">
        <w:rPr>
          <w:bCs/>
          <w:lang w:val="en-US"/>
        </w:rPr>
        <w:t>Baker &amp; Wurgler, 2002)</w:t>
      </w:r>
      <w:r>
        <w:rPr>
          <w:bCs/>
          <w:lang w:val="en-US"/>
        </w:rPr>
        <w:t xml:space="preserve">. If firms use market timing in their decision to go public, this should result in IPOs clustering together. </w:t>
      </w:r>
      <w:r w:rsidRPr="0012244E">
        <w:rPr>
          <w:bCs/>
          <w:lang w:val="en-US"/>
        </w:rPr>
        <w:t xml:space="preserve">Lowry </w:t>
      </w:r>
      <w:r>
        <w:rPr>
          <w:bCs/>
          <w:lang w:val="en-US"/>
        </w:rPr>
        <w:t>(</w:t>
      </w:r>
      <w:r w:rsidRPr="0012244E">
        <w:rPr>
          <w:bCs/>
          <w:lang w:val="en-US"/>
        </w:rPr>
        <w:t>2002</w:t>
      </w:r>
      <w:r>
        <w:rPr>
          <w:bCs/>
          <w:lang w:val="en-US"/>
        </w:rPr>
        <w:t xml:space="preserve">) and </w:t>
      </w:r>
      <w:r w:rsidR="00850BDB">
        <w:rPr>
          <w:bCs/>
          <w:lang w:val="en-US"/>
        </w:rPr>
        <w:t>Lerner (1994</w:t>
      </w:r>
      <w:r>
        <w:rPr>
          <w:bCs/>
          <w:lang w:val="en-US"/>
        </w:rPr>
        <w:t>) report several</w:t>
      </w:r>
      <w:r w:rsidRPr="0012244E">
        <w:rPr>
          <w:bCs/>
          <w:lang w:val="en-US"/>
        </w:rPr>
        <w:t xml:space="preserve"> periods in which IPOs are clustered. </w:t>
      </w:r>
      <w:r>
        <w:rPr>
          <w:bCs/>
          <w:lang w:val="en-US"/>
        </w:rPr>
        <w:t>Lowry</w:t>
      </w:r>
      <w:r w:rsidRPr="0012244E">
        <w:rPr>
          <w:bCs/>
          <w:lang w:val="en-US"/>
        </w:rPr>
        <w:t xml:space="preserve"> finds evidence that more firms tend to go public when market to book ratios are high</w:t>
      </w:r>
      <w:r>
        <w:rPr>
          <w:bCs/>
          <w:lang w:val="en-US"/>
        </w:rPr>
        <w:t>,</w:t>
      </w:r>
      <w:r w:rsidRPr="0012244E">
        <w:rPr>
          <w:bCs/>
          <w:lang w:val="en-US"/>
        </w:rPr>
        <w:t xml:space="preserve"> indicating that firms time their IPOs. She also finds that </w:t>
      </w:r>
      <w:r w:rsidR="0030498B">
        <w:rPr>
          <w:bCs/>
          <w:lang w:val="en-US"/>
        </w:rPr>
        <w:t>IPO</w:t>
      </w:r>
      <w:r w:rsidRPr="0012244E">
        <w:rPr>
          <w:bCs/>
          <w:lang w:val="en-US"/>
        </w:rPr>
        <w:t xml:space="preserve"> volume tends to move with the business cycle and IPOs tend to be more </w:t>
      </w:r>
      <w:r>
        <w:rPr>
          <w:bCs/>
          <w:lang w:val="en-US"/>
        </w:rPr>
        <w:t>frequent</w:t>
      </w:r>
      <w:r w:rsidRPr="0012244E">
        <w:rPr>
          <w:bCs/>
          <w:lang w:val="en-US"/>
        </w:rPr>
        <w:t xml:space="preserve"> when stock markets are more volatile. </w:t>
      </w:r>
      <w:r>
        <w:rPr>
          <w:bCs/>
          <w:lang w:val="en-US"/>
        </w:rPr>
        <w:t xml:space="preserve">Lerner (1994) uses a sample of 350 venture capital backed biotech firms between 1978 and 1992. He shows that companies tend to go public when equity valuations are high and use private forms of financing when equity valuations are low. </w:t>
      </w:r>
      <w:r w:rsidRPr="00773FB3">
        <w:rPr>
          <w:bCs/>
          <w:lang w:val="en-US"/>
        </w:rPr>
        <w:t xml:space="preserve">Lowry and Schwert (2002) </w:t>
      </w:r>
      <w:r>
        <w:rPr>
          <w:bCs/>
          <w:lang w:val="en-US"/>
        </w:rPr>
        <w:t>add to these findings</w:t>
      </w:r>
      <w:r w:rsidRPr="00773FB3">
        <w:rPr>
          <w:bCs/>
          <w:lang w:val="en-US"/>
        </w:rPr>
        <w:t xml:space="preserve"> that companies </w:t>
      </w:r>
      <w:r>
        <w:rPr>
          <w:bCs/>
          <w:lang w:val="en-US"/>
        </w:rPr>
        <w:t xml:space="preserve">also </w:t>
      </w:r>
      <w:r w:rsidRPr="00773FB3">
        <w:rPr>
          <w:bCs/>
          <w:lang w:val="en-US"/>
        </w:rPr>
        <w:t xml:space="preserve">tend to withdraw their IPOs after </w:t>
      </w:r>
      <w:r>
        <w:rPr>
          <w:bCs/>
          <w:lang w:val="en-US"/>
        </w:rPr>
        <w:t>a stock market decline</w:t>
      </w:r>
      <w:r w:rsidRPr="00773FB3">
        <w:rPr>
          <w:bCs/>
          <w:lang w:val="en-US"/>
        </w:rPr>
        <w:t>.</w:t>
      </w:r>
      <w:r w:rsidR="009D77FA">
        <w:rPr>
          <w:bCs/>
          <w:lang w:val="en-US"/>
        </w:rPr>
        <w:t xml:space="preserve"> </w:t>
      </w:r>
      <w:r>
        <w:rPr>
          <w:bCs/>
          <w:lang w:val="en-US"/>
        </w:rPr>
        <w:t>Ritter and Welch (2002) suggest that entrepreneurs mostly base the valuation of their firms on an internal perspective and less so on information from the public stock market. Therefore</w:t>
      </w:r>
      <w:r w:rsidR="00660CEA">
        <w:rPr>
          <w:bCs/>
          <w:lang w:val="en-US"/>
        </w:rPr>
        <w:t>,</w:t>
      </w:r>
      <w:r>
        <w:rPr>
          <w:bCs/>
          <w:lang w:val="en-US"/>
        </w:rPr>
        <w:t xml:space="preserve"> sudden changes in the stock market are not quickly absorbed</w:t>
      </w:r>
      <w:r w:rsidR="003A6D83">
        <w:rPr>
          <w:bCs/>
          <w:lang w:val="en-US"/>
        </w:rPr>
        <w:t>,</w:t>
      </w:r>
      <w:r>
        <w:rPr>
          <w:bCs/>
          <w:lang w:val="en-US"/>
        </w:rPr>
        <w:t xml:space="preserve"> thus causing lags between share issuance and periods of strong market rallies. In further support of the market timing theory Pagano et al. </w:t>
      </w:r>
      <w:r w:rsidRPr="003C4107">
        <w:rPr>
          <w:bCs/>
          <w:lang w:val="en-US"/>
        </w:rPr>
        <w:t xml:space="preserve">(1998) find that the likelihood of an </w:t>
      </w:r>
      <w:r w:rsidR="0030498B">
        <w:rPr>
          <w:bCs/>
          <w:lang w:val="en-US"/>
        </w:rPr>
        <w:t>IPO</w:t>
      </w:r>
      <w:r w:rsidRPr="003C4107">
        <w:rPr>
          <w:bCs/>
          <w:lang w:val="en-US"/>
        </w:rPr>
        <w:t xml:space="preserve"> is positively related to the company’s size and the </w:t>
      </w:r>
      <w:r w:rsidR="003A6D83">
        <w:rPr>
          <w:bCs/>
          <w:lang w:val="en-US"/>
        </w:rPr>
        <w:t>industry’s market to book ratio</w:t>
      </w:r>
      <w:r w:rsidRPr="003C4107">
        <w:rPr>
          <w:bCs/>
          <w:lang w:val="en-US"/>
        </w:rPr>
        <w:t xml:space="preserve">. They also find that companies do not go public to finance future growth, but that they restructure the balance sheet after a period of high investment. </w:t>
      </w:r>
    </w:p>
    <w:p w:rsidR="009D77FA" w:rsidRDefault="009D77FA">
      <w:pPr>
        <w:rPr>
          <w:rFonts w:ascii="Calibri" w:eastAsia="Calibri" w:hAnsi="Calibri" w:cs="Times New Roman"/>
          <w:b/>
          <w:lang w:val="en-US"/>
        </w:rPr>
      </w:pPr>
      <w:r>
        <w:rPr>
          <w:b/>
          <w:lang w:val="en-US"/>
        </w:rPr>
        <w:br w:type="page"/>
      </w:r>
    </w:p>
    <w:p w:rsidR="007675A0" w:rsidRPr="009C10C7" w:rsidRDefault="009C10C7" w:rsidP="009C10C7">
      <w:pPr>
        <w:spacing w:line="360" w:lineRule="auto"/>
        <w:ind w:left="1418" w:hanging="1058"/>
        <w:outlineLvl w:val="0"/>
        <w:rPr>
          <w:b/>
          <w:lang w:val="en-US"/>
        </w:rPr>
      </w:pPr>
      <w:r>
        <w:rPr>
          <w:b/>
          <w:lang w:val="en-US"/>
        </w:rPr>
        <w:lastRenderedPageBreak/>
        <w:t>3.2.2</w:t>
      </w:r>
      <w:r>
        <w:rPr>
          <w:b/>
          <w:lang w:val="en-US"/>
        </w:rPr>
        <w:tab/>
      </w:r>
      <w:r w:rsidR="007675A0" w:rsidRPr="009C10C7">
        <w:rPr>
          <w:b/>
          <w:lang w:val="en-US"/>
        </w:rPr>
        <w:t xml:space="preserve">The </w:t>
      </w:r>
      <w:bookmarkStart w:id="3" w:name="_Toc280276092"/>
      <w:r w:rsidR="007675A0" w:rsidRPr="009C10C7">
        <w:rPr>
          <w:b/>
          <w:lang w:val="en-US"/>
        </w:rPr>
        <w:t>costs of going public</w:t>
      </w:r>
      <w:bookmarkEnd w:id="3"/>
    </w:p>
    <w:p w:rsidR="007675A0" w:rsidRDefault="007675A0" w:rsidP="007675A0">
      <w:pPr>
        <w:spacing w:line="360" w:lineRule="auto"/>
        <w:rPr>
          <w:lang w:val="en-US"/>
        </w:rPr>
      </w:pPr>
      <w:r w:rsidRPr="00AE6830">
        <w:rPr>
          <w:lang w:val="en-US"/>
        </w:rPr>
        <w:t>The costs of going public can be divided into direct costs and indirect costs. Direct costs consist of mana</w:t>
      </w:r>
      <w:r w:rsidR="00CC5043">
        <w:rPr>
          <w:lang w:val="en-US"/>
        </w:rPr>
        <w:t>gement, underwriting and legal</w:t>
      </w:r>
      <w:r w:rsidRPr="00AE6830">
        <w:rPr>
          <w:lang w:val="en-US"/>
        </w:rPr>
        <w:t xml:space="preserve"> fees. These fees are paid </w:t>
      </w:r>
      <w:r>
        <w:rPr>
          <w:lang w:val="en-US"/>
        </w:rPr>
        <w:t>to the participating</w:t>
      </w:r>
      <w:r w:rsidRPr="00AE6830">
        <w:rPr>
          <w:lang w:val="en-US"/>
        </w:rPr>
        <w:t xml:space="preserve"> </w:t>
      </w:r>
      <w:r w:rsidR="00850BDB">
        <w:rPr>
          <w:lang w:val="en-US"/>
        </w:rPr>
        <w:t>banks and legal firms</w:t>
      </w:r>
      <w:r w:rsidRPr="00AE6830">
        <w:rPr>
          <w:lang w:val="en-US"/>
        </w:rPr>
        <w:t xml:space="preserve"> in the syndicate (Ang &amp; Brau 2002). Barry </w:t>
      </w:r>
      <w:r>
        <w:rPr>
          <w:lang w:val="en-US"/>
        </w:rPr>
        <w:t>et</w:t>
      </w:r>
      <w:r w:rsidRPr="00AE6830">
        <w:rPr>
          <w:lang w:val="en-US"/>
        </w:rPr>
        <w:t xml:space="preserve"> al. (1991) and Chen </w:t>
      </w:r>
      <w:r w:rsidR="00387C23">
        <w:rPr>
          <w:lang w:val="en-US"/>
        </w:rPr>
        <w:t>and</w:t>
      </w:r>
      <w:r w:rsidRPr="00AE6830">
        <w:rPr>
          <w:lang w:val="en-US"/>
        </w:rPr>
        <w:t xml:space="preserve"> Ritter (2000) find that these costs tend to be around 7% of the offered share value.  Apart from the spread, the issuing firm also incurs legal and other administrative expenses, which can range from around 2</w:t>
      </w:r>
      <w:r w:rsidR="00387C23">
        <w:rPr>
          <w:lang w:val="en-US"/>
        </w:rPr>
        <w:t>%</w:t>
      </w:r>
      <w:r w:rsidRPr="00AE6830">
        <w:rPr>
          <w:lang w:val="en-US"/>
        </w:rPr>
        <w:t xml:space="preserve"> to 14% </w:t>
      </w:r>
      <w:r>
        <w:rPr>
          <w:lang w:val="en-US"/>
        </w:rPr>
        <w:t>of the gross proceeds (Ritter</w:t>
      </w:r>
      <w:r w:rsidR="00387C23">
        <w:rPr>
          <w:lang w:val="en-US"/>
        </w:rPr>
        <w:t>,</w:t>
      </w:r>
      <w:r>
        <w:rPr>
          <w:lang w:val="en-US"/>
        </w:rPr>
        <w:t xml:space="preserve"> 1987;</w:t>
      </w:r>
      <w:r w:rsidRPr="00AE6830">
        <w:rPr>
          <w:lang w:val="en-US"/>
        </w:rPr>
        <w:t xml:space="preserve"> Barry</w:t>
      </w:r>
      <w:r>
        <w:rPr>
          <w:lang w:val="en-US"/>
        </w:rPr>
        <w:t xml:space="preserve"> et al.</w:t>
      </w:r>
      <w:r w:rsidR="00387C23">
        <w:rPr>
          <w:lang w:val="en-US"/>
        </w:rPr>
        <w:t>,</w:t>
      </w:r>
      <w:r>
        <w:rPr>
          <w:lang w:val="en-US"/>
        </w:rPr>
        <w:t xml:space="preserve"> </w:t>
      </w:r>
      <w:r w:rsidRPr="00AE6830">
        <w:rPr>
          <w:lang w:val="en-US"/>
        </w:rPr>
        <w:t xml:space="preserve">1991). </w:t>
      </w:r>
    </w:p>
    <w:p w:rsidR="007675A0" w:rsidRDefault="007675A0" w:rsidP="007675A0">
      <w:pPr>
        <w:spacing w:line="360" w:lineRule="auto"/>
        <w:rPr>
          <w:lang w:val="en-US"/>
        </w:rPr>
      </w:pPr>
      <w:r>
        <w:rPr>
          <w:lang w:val="en-US"/>
        </w:rPr>
        <w:t>An indirect cost to the issuing firm is the loss of confidentiality. Public firms are required to publish more information than private firms and competitors could benefit from this information (</w:t>
      </w:r>
      <w:r>
        <w:rPr>
          <w:bCs/>
          <w:lang w:val="en-US"/>
        </w:rPr>
        <w:t xml:space="preserve">Maksimovic &amp; Pichler, </w:t>
      </w:r>
      <w:r w:rsidRPr="002D70C0">
        <w:rPr>
          <w:bCs/>
          <w:lang w:val="en-US"/>
        </w:rPr>
        <w:t>2001</w:t>
      </w:r>
      <w:r>
        <w:rPr>
          <w:bCs/>
          <w:lang w:val="en-US"/>
        </w:rPr>
        <w:t>).</w:t>
      </w:r>
      <w:r>
        <w:rPr>
          <w:lang w:val="en-US"/>
        </w:rPr>
        <w:t xml:space="preserve"> In the</w:t>
      </w:r>
      <w:r w:rsidR="0097241C">
        <w:rPr>
          <w:lang w:val="en-US"/>
        </w:rPr>
        <w:t>ir CFO survey Brau et al.</w:t>
      </w:r>
      <w:r w:rsidRPr="00552648">
        <w:rPr>
          <w:lang w:val="en-US"/>
        </w:rPr>
        <w:t xml:space="preserve"> (2006) find that CFOs are more concerned with matters of confidentiality than the direct costs of the </w:t>
      </w:r>
      <w:r w:rsidR="0030498B">
        <w:rPr>
          <w:lang w:val="en-US"/>
        </w:rPr>
        <w:t>IPO</w:t>
      </w:r>
      <w:r w:rsidRPr="00552648">
        <w:rPr>
          <w:lang w:val="en-US"/>
        </w:rPr>
        <w:t>.</w:t>
      </w:r>
    </w:p>
    <w:p w:rsidR="007675A0" w:rsidRDefault="007675A0" w:rsidP="007675A0">
      <w:pPr>
        <w:spacing w:line="360" w:lineRule="auto"/>
        <w:rPr>
          <w:lang w:val="en-US"/>
        </w:rPr>
      </w:pPr>
      <w:r>
        <w:rPr>
          <w:lang w:val="en-US"/>
        </w:rPr>
        <w:t xml:space="preserve">After an </w:t>
      </w:r>
      <w:r w:rsidR="0030498B">
        <w:rPr>
          <w:lang w:val="en-US"/>
        </w:rPr>
        <w:t>IPO</w:t>
      </w:r>
      <w:r w:rsidR="009D77FA">
        <w:rPr>
          <w:lang w:val="en-US"/>
        </w:rPr>
        <w:t>,</w:t>
      </w:r>
      <w:r>
        <w:rPr>
          <w:lang w:val="en-US"/>
        </w:rPr>
        <w:t xml:space="preserve"> the share of </w:t>
      </w:r>
      <w:r w:rsidR="00CC5043">
        <w:rPr>
          <w:lang w:val="en-US"/>
        </w:rPr>
        <w:t>the company’s equity held by</w:t>
      </w:r>
      <w:r>
        <w:rPr>
          <w:lang w:val="en-US"/>
        </w:rPr>
        <w:t xml:space="preserve"> management usually declines. This separation between ownership and control could lead to an increase in agency costs (Jensen &amp; Meckling 1976). To test this hypothesis</w:t>
      </w:r>
      <w:r w:rsidR="009C10C7">
        <w:rPr>
          <w:lang w:val="en-US"/>
        </w:rPr>
        <w:t>,</w:t>
      </w:r>
      <w:r>
        <w:rPr>
          <w:lang w:val="en-US"/>
        </w:rPr>
        <w:t xml:space="preserve"> Mikkelson</w:t>
      </w:r>
      <w:r w:rsidR="0097241C">
        <w:rPr>
          <w:lang w:val="en-US"/>
        </w:rPr>
        <w:t xml:space="preserve"> et al.</w:t>
      </w:r>
      <w:r>
        <w:rPr>
          <w:lang w:val="en-US"/>
        </w:rPr>
        <w:t xml:space="preserve"> (1997) use a sample of 283 IPOs from the US between 1980 and 1983. They find that median insider ownership stakes decline significantly after firms go public</w:t>
      </w:r>
      <w:r w:rsidR="003A6D83">
        <w:rPr>
          <w:lang w:val="en-US"/>
        </w:rPr>
        <w:t>,</w:t>
      </w:r>
      <w:r>
        <w:rPr>
          <w:lang w:val="en-US"/>
        </w:rPr>
        <w:t xml:space="preserve"> from 67.9% before the </w:t>
      </w:r>
      <w:r w:rsidR="0030498B">
        <w:rPr>
          <w:lang w:val="en-US"/>
        </w:rPr>
        <w:t>IPO</w:t>
      </w:r>
      <w:r>
        <w:rPr>
          <w:lang w:val="en-US"/>
        </w:rPr>
        <w:t xml:space="preserve"> to 43.7% immediately after the </w:t>
      </w:r>
      <w:r w:rsidR="0030498B">
        <w:rPr>
          <w:lang w:val="en-US"/>
        </w:rPr>
        <w:t>IPO</w:t>
      </w:r>
      <w:r>
        <w:rPr>
          <w:lang w:val="en-US"/>
        </w:rPr>
        <w:t xml:space="preserve">. After ten years the median stake in their sample had declined to 17.9%. Although the median operating return declines in the first year after the </w:t>
      </w:r>
      <w:r w:rsidR="0030498B">
        <w:rPr>
          <w:lang w:val="en-US"/>
        </w:rPr>
        <w:t>IPO</w:t>
      </w:r>
      <w:r>
        <w:rPr>
          <w:lang w:val="en-US"/>
        </w:rPr>
        <w:t xml:space="preserve">, the authors find no significant relationship between the management’s ownership stake and any change in performance. </w:t>
      </w:r>
    </w:p>
    <w:p w:rsidR="007675A0" w:rsidRPr="00AC7BB3" w:rsidRDefault="007675A0" w:rsidP="007675A0">
      <w:pPr>
        <w:spacing w:line="360" w:lineRule="auto"/>
        <w:rPr>
          <w:bCs/>
          <w:lang w:val="en-US"/>
        </w:rPr>
      </w:pPr>
      <w:r w:rsidRPr="0079549A">
        <w:rPr>
          <w:lang w:val="en-US"/>
        </w:rPr>
        <w:t xml:space="preserve">The most </w:t>
      </w:r>
      <w:r>
        <w:rPr>
          <w:lang w:val="en-US"/>
        </w:rPr>
        <w:t>obvious indirect cost</w:t>
      </w:r>
      <w:r w:rsidRPr="0079549A">
        <w:rPr>
          <w:lang w:val="en-US"/>
        </w:rPr>
        <w:t xml:space="preserve"> of </w:t>
      </w:r>
      <w:r>
        <w:rPr>
          <w:lang w:val="en-US"/>
        </w:rPr>
        <w:t xml:space="preserve">an </w:t>
      </w:r>
      <w:r w:rsidR="0030498B">
        <w:rPr>
          <w:lang w:val="en-US"/>
        </w:rPr>
        <w:t>IPO</w:t>
      </w:r>
      <w:r>
        <w:rPr>
          <w:lang w:val="en-US"/>
        </w:rPr>
        <w:t xml:space="preserve"> is money left on the table </w:t>
      </w:r>
      <w:r w:rsidR="009C10C7">
        <w:rPr>
          <w:lang w:val="en-US"/>
        </w:rPr>
        <w:t>due to</w:t>
      </w:r>
      <w:r w:rsidRPr="0079549A">
        <w:rPr>
          <w:lang w:val="en-US"/>
        </w:rPr>
        <w:t xml:space="preserve"> </w:t>
      </w:r>
      <w:r w:rsidRPr="007E7CF4">
        <w:rPr>
          <w:lang w:val="en-US"/>
        </w:rPr>
        <w:t>underpricing</w:t>
      </w:r>
      <w:r w:rsidRPr="007E7CF4">
        <w:rPr>
          <w:b/>
          <w:lang w:val="en-US"/>
        </w:rPr>
        <w:t xml:space="preserve"> </w:t>
      </w:r>
      <w:r w:rsidRPr="004938F6">
        <w:rPr>
          <w:lang w:val="en-US"/>
        </w:rPr>
        <w:t>(Ritter</w:t>
      </w:r>
      <w:r w:rsidR="0097241C">
        <w:rPr>
          <w:lang w:val="en-US"/>
        </w:rPr>
        <w:t>,</w:t>
      </w:r>
      <w:r w:rsidRPr="004938F6">
        <w:rPr>
          <w:lang w:val="en-US"/>
        </w:rPr>
        <w:t xml:space="preserve"> 1987</w:t>
      </w:r>
      <w:r w:rsidR="0097241C">
        <w:rPr>
          <w:b/>
          <w:lang w:val="en-US"/>
        </w:rPr>
        <w:t>;</w:t>
      </w:r>
      <w:r w:rsidRPr="007E7CF4">
        <w:rPr>
          <w:b/>
          <w:lang w:val="en-US"/>
        </w:rPr>
        <w:t xml:space="preserve"> </w:t>
      </w:r>
      <w:r w:rsidR="0097241C">
        <w:rPr>
          <w:bCs/>
          <w:lang w:val="en-US"/>
        </w:rPr>
        <w:t>Maug, 2001; Loughran &amp; Ritter,</w:t>
      </w:r>
      <w:r w:rsidRPr="007E7CF4">
        <w:rPr>
          <w:bCs/>
          <w:lang w:val="en-US"/>
        </w:rPr>
        <w:t xml:space="preserve"> 2002).</w:t>
      </w:r>
      <w:r>
        <w:rPr>
          <w:bCs/>
          <w:lang w:val="en-US"/>
        </w:rPr>
        <w:t xml:space="preserve"> When shares are underpriced</w:t>
      </w:r>
      <w:r w:rsidR="009C10C7">
        <w:rPr>
          <w:bCs/>
          <w:lang w:val="en-US"/>
        </w:rPr>
        <w:t>,</w:t>
      </w:r>
      <w:r>
        <w:rPr>
          <w:bCs/>
          <w:lang w:val="en-US"/>
        </w:rPr>
        <w:t xml:space="preserve"> issuers leave money on the </w:t>
      </w:r>
      <w:proofErr w:type="gramStart"/>
      <w:r>
        <w:rPr>
          <w:bCs/>
          <w:lang w:val="en-US"/>
        </w:rPr>
        <w:t>table,</w:t>
      </w:r>
      <w:proofErr w:type="gramEnd"/>
      <w:r>
        <w:rPr>
          <w:bCs/>
          <w:lang w:val="en-US"/>
        </w:rPr>
        <w:t xml:space="preserve"> this is an indirect cost to the issuing firm</w:t>
      </w:r>
      <w:r>
        <w:rPr>
          <w:rStyle w:val="FootnoteReference"/>
          <w:bCs/>
          <w:lang w:val="en-US"/>
        </w:rPr>
        <w:footnoteReference w:id="3"/>
      </w:r>
      <w:r>
        <w:rPr>
          <w:bCs/>
          <w:lang w:val="en-US"/>
        </w:rPr>
        <w:t xml:space="preserve">. I will discuss the literature on the underpricing phenomenon in </w:t>
      </w:r>
      <w:r w:rsidRPr="004961E2">
        <w:rPr>
          <w:bCs/>
          <w:lang w:val="en-US"/>
        </w:rPr>
        <w:t xml:space="preserve">section </w:t>
      </w:r>
      <w:r w:rsidR="00F60C96">
        <w:rPr>
          <w:bCs/>
          <w:lang w:val="en-US"/>
        </w:rPr>
        <w:t>3</w:t>
      </w:r>
      <w:r w:rsidRPr="004961E2">
        <w:rPr>
          <w:bCs/>
          <w:lang w:val="en-US"/>
        </w:rPr>
        <w:t>.</w:t>
      </w:r>
      <w:r w:rsidR="00CC5043">
        <w:rPr>
          <w:bCs/>
          <w:lang w:val="en-US"/>
        </w:rPr>
        <w:t>4</w:t>
      </w:r>
      <w:r w:rsidRPr="004961E2">
        <w:rPr>
          <w:bCs/>
          <w:lang w:val="en-US"/>
        </w:rPr>
        <w:t>.</w:t>
      </w:r>
    </w:p>
    <w:p w:rsidR="009D77FA" w:rsidRDefault="009D77FA">
      <w:pPr>
        <w:rPr>
          <w:b/>
          <w:lang w:val="en-US"/>
        </w:rPr>
      </w:pPr>
      <w:r>
        <w:rPr>
          <w:b/>
          <w:lang w:val="en-US"/>
        </w:rPr>
        <w:br w:type="page"/>
      </w:r>
    </w:p>
    <w:p w:rsidR="007675A0" w:rsidRPr="003A6D83" w:rsidRDefault="0094274C" w:rsidP="003A6D83">
      <w:pPr>
        <w:spacing w:line="360" w:lineRule="auto"/>
        <w:ind w:left="1418" w:hanging="851"/>
        <w:rPr>
          <w:lang w:val="en-US"/>
        </w:rPr>
      </w:pPr>
      <w:r>
        <w:rPr>
          <w:b/>
          <w:lang w:val="en-US"/>
        </w:rPr>
        <w:lastRenderedPageBreak/>
        <w:t>3</w:t>
      </w:r>
      <w:r w:rsidR="007675A0">
        <w:rPr>
          <w:b/>
          <w:lang w:val="en-US"/>
        </w:rPr>
        <w:t>.</w:t>
      </w:r>
      <w:r w:rsidR="009C10C7">
        <w:rPr>
          <w:b/>
          <w:lang w:val="en-US"/>
        </w:rPr>
        <w:t>3</w:t>
      </w:r>
      <w:r w:rsidR="007675A0">
        <w:rPr>
          <w:b/>
          <w:lang w:val="en-US"/>
        </w:rPr>
        <w:t>.</w:t>
      </w:r>
      <w:r w:rsidR="007675A0">
        <w:rPr>
          <w:b/>
          <w:lang w:val="en-US"/>
        </w:rPr>
        <w:tab/>
      </w:r>
      <w:r w:rsidR="007675A0" w:rsidRPr="00596923">
        <w:rPr>
          <w:b/>
          <w:lang w:val="en-US"/>
        </w:rPr>
        <w:t>The mechanisms of the initial public offering</w:t>
      </w:r>
    </w:p>
    <w:p w:rsidR="007675A0" w:rsidRDefault="007675A0" w:rsidP="007675A0">
      <w:pPr>
        <w:spacing w:line="360" w:lineRule="auto"/>
        <w:rPr>
          <w:lang w:val="en-US"/>
        </w:rPr>
      </w:pPr>
      <w:r>
        <w:rPr>
          <w:lang w:val="en-US"/>
        </w:rPr>
        <w:t xml:space="preserve">When a company wants to sell its securities to the general public, it first needs regulatory approval, for instance from the Securities and Exchange Committee (SEC) in the US. The SEC requires companies to supply information such as audited financial statements and information on what the issuer plans to do with the proceeds of the </w:t>
      </w:r>
      <w:r w:rsidR="0030498B">
        <w:rPr>
          <w:lang w:val="en-US"/>
        </w:rPr>
        <w:t>IPO</w:t>
      </w:r>
      <w:r>
        <w:rPr>
          <w:lang w:val="en-US"/>
        </w:rPr>
        <w:t xml:space="preserve">. </w:t>
      </w:r>
    </w:p>
    <w:p w:rsidR="007675A0" w:rsidRDefault="007675A0" w:rsidP="007675A0">
      <w:pPr>
        <w:spacing w:line="360" w:lineRule="auto"/>
        <w:rPr>
          <w:lang w:val="en-US"/>
        </w:rPr>
      </w:pPr>
      <w:r>
        <w:rPr>
          <w:lang w:val="en-US"/>
        </w:rPr>
        <w:t>To assist the issuing company in setting an offer price and produce the documents required by the regulatory authorities, most fi</w:t>
      </w:r>
      <w:r w:rsidR="003A6D83">
        <w:rPr>
          <w:lang w:val="en-US"/>
        </w:rPr>
        <w:t>rms hire an investment bank or</w:t>
      </w:r>
      <w:r>
        <w:rPr>
          <w:lang w:val="en-US"/>
        </w:rPr>
        <w:t xml:space="preserve"> syndicate of investment banks. IPOs that are large are usually underwritten by a syndicate in which several investments banks participate. One investment bank is chosen as a lead underwriter or book-runner and the other banks act as co-managers (Ellis et al. 1999). The lead underwriter is usually a bank with a good reputation (Jain &amp; Kini</w:t>
      </w:r>
      <w:r w:rsidR="00CC5043">
        <w:rPr>
          <w:lang w:val="en-US"/>
        </w:rPr>
        <w:t>,</w:t>
      </w:r>
      <w:r>
        <w:rPr>
          <w:lang w:val="en-US"/>
        </w:rPr>
        <w:t xml:space="preserve"> 1999). Brau and Fawcett (2006) published a survey among 336 CFOs and found that the underwriters overall reputation or status is the most important factor when selecting an investment bank. Most </w:t>
      </w:r>
      <w:r w:rsidR="0030498B">
        <w:rPr>
          <w:lang w:val="en-US"/>
        </w:rPr>
        <w:t>IPO</w:t>
      </w:r>
      <w:r>
        <w:rPr>
          <w:lang w:val="en-US"/>
        </w:rPr>
        <w:t xml:space="preserve"> syndicates also hire an auditor performing the due diligence</w:t>
      </w:r>
      <w:r>
        <w:rPr>
          <w:rStyle w:val="FootnoteReference"/>
          <w:lang w:val="en-US"/>
        </w:rPr>
        <w:footnoteReference w:id="4"/>
      </w:r>
      <w:r>
        <w:rPr>
          <w:lang w:val="en-US"/>
        </w:rPr>
        <w:t xml:space="preserve"> of the issuing firm.</w:t>
      </w:r>
    </w:p>
    <w:p w:rsidR="00C10DC2" w:rsidRDefault="00C10DC2" w:rsidP="007675A0">
      <w:pPr>
        <w:spacing w:line="360" w:lineRule="auto"/>
        <w:rPr>
          <w:lang w:val="en-US"/>
        </w:rPr>
      </w:pPr>
      <w:r w:rsidRPr="00676F4A">
        <w:rPr>
          <w:lang w:val="en-US"/>
        </w:rPr>
        <w:t xml:space="preserve">An </w:t>
      </w:r>
      <w:r w:rsidR="0030498B">
        <w:rPr>
          <w:lang w:val="en-US"/>
        </w:rPr>
        <w:t>IPO</w:t>
      </w:r>
      <w:r w:rsidRPr="00676F4A">
        <w:rPr>
          <w:lang w:val="en-US"/>
        </w:rPr>
        <w:t xml:space="preserve"> can be a lengthy process and can take months to complete. One of the reasons is that investment bankers need to market the </w:t>
      </w:r>
      <w:r w:rsidR="0030498B">
        <w:rPr>
          <w:lang w:val="en-US"/>
        </w:rPr>
        <w:t>IPO</w:t>
      </w:r>
      <w:r w:rsidRPr="00676F4A">
        <w:rPr>
          <w:lang w:val="en-US"/>
        </w:rPr>
        <w:t xml:space="preserve"> with potential investors. </w:t>
      </w:r>
      <w:r>
        <w:rPr>
          <w:lang w:val="en-US"/>
        </w:rPr>
        <w:t xml:space="preserve">The investment bank first registers the </w:t>
      </w:r>
      <w:r w:rsidR="0030498B">
        <w:rPr>
          <w:lang w:val="en-US"/>
        </w:rPr>
        <w:t>IPO</w:t>
      </w:r>
      <w:r>
        <w:rPr>
          <w:lang w:val="en-US"/>
        </w:rPr>
        <w:t xml:space="preserve"> with the regulatory authorities and then issues a preliminary prospectus</w:t>
      </w:r>
      <w:r>
        <w:rPr>
          <w:rStyle w:val="FootnoteReference"/>
          <w:lang w:val="en-US"/>
        </w:rPr>
        <w:footnoteReference w:id="5"/>
      </w:r>
      <w:r>
        <w:rPr>
          <w:lang w:val="en-US"/>
        </w:rPr>
        <w:t xml:space="preserve"> to solicit interest from investors (Ritter, 1998). The preliminary prospectus contains an initial price range and information about firm</w:t>
      </w:r>
      <w:r w:rsidRPr="00676F4A">
        <w:rPr>
          <w:lang w:val="en-US"/>
        </w:rPr>
        <w:t xml:space="preserve"> characteristics such as operations, products, services and firm management (Daily </w:t>
      </w:r>
      <w:r>
        <w:rPr>
          <w:lang w:val="en-US"/>
        </w:rPr>
        <w:t>et al.</w:t>
      </w:r>
      <w:r w:rsidRPr="00676F4A">
        <w:rPr>
          <w:lang w:val="en-US"/>
        </w:rPr>
        <w:t>, 2003)</w:t>
      </w:r>
      <w:r>
        <w:rPr>
          <w:lang w:val="en-US"/>
        </w:rPr>
        <w:t>.</w:t>
      </w:r>
      <w:r w:rsidR="009C10C7">
        <w:rPr>
          <w:lang w:val="en-US"/>
        </w:rPr>
        <w:t xml:space="preserve"> </w:t>
      </w:r>
      <w:r w:rsidRPr="00676F4A">
        <w:rPr>
          <w:lang w:val="en-US"/>
        </w:rPr>
        <w:t xml:space="preserve">To market an </w:t>
      </w:r>
      <w:r w:rsidR="0030498B">
        <w:rPr>
          <w:lang w:val="en-US"/>
        </w:rPr>
        <w:t>IPO</w:t>
      </w:r>
      <w:r>
        <w:rPr>
          <w:lang w:val="en-US"/>
        </w:rPr>
        <w:t>,</w:t>
      </w:r>
      <w:r w:rsidRPr="00676F4A">
        <w:rPr>
          <w:lang w:val="en-US"/>
        </w:rPr>
        <w:t xml:space="preserve"> invest</w:t>
      </w:r>
      <w:r>
        <w:rPr>
          <w:lang w:val="en-US"/>
        </w:rPr>
        <w:t>ment bankers usually go on a so-</w:t>
      </w:r>
      <w:r w:rsidRPr="00676F4A">
        <w:rPr>
          <w:lang w:val="en-US"/>
        </w:rPr>
        <w:t>called ‘Road Show’ (Ritter</w:t>
      </w:r>
      <w:r>
        <w:rPr>
          <w:lang w:val="en-US"/>
        </w:rPr>
        <w:t>,</w:t>
      </w:r>
      <w:r w:rsidRPr="00676F4A">
        <w:rPr>
          <w:lang w:val="en-US"/>
        </w:rPr>
        <w:t xml:space="preserve"> 1998). In a </w:t>
      </w:r>
      <w:r>
        <w:rPr>
          <w:lang w:val="en-US"/>
        </w:rPr>
        <w:t>R</w:t>
      </w:r>
      <w:r w:rsidRPr="00676F4A">
        <w:rPr>
          <w:lang w:val="en-US"/>
        </w:rPr>
        <w:t xml:space="preserve">oad </w:t>
      </w:r>
      <w:r>
        <w:rPr>
          <w:lang w:val="en-US"/>
        </w:rPr>
        <w:t>S</w:t>
      </w:r>
      <w:r w:rsidRPr="00676F4A">
        <w:rPr>
          <w:lang w:val="en-US"/>
        </w:rPr>
        <w:t>how</w:t>
      </w:r>
      <w:r>
        <w:rPr>
          <w:lang w:val="en-US"/>
        </w:rPr>
        <w:t>,</w:t>
      </w:r>
      <w:r w:rsidRPr="00676F4A">
        <w:rPr>
          <w:lang w:val="en-US"/>
        </w:rPr>
        <w:t xml:space="preserve"> underwriters and managers of the issuing firm present the </w:t>
      </w:r>
      <w:r w:rsidR="0030498B">
        <w:rPr>
          <w:lang w:val="en-US"/>
        </w:rPr>
        <w:t>IPO</w:t>
      </w:r>
      <w:r w:rsidRPr="00676F4A">
        <w:rPr>
          <w:lang w:val="en-US"/>
        </w:rPr>
        <w:t xml:space="preserve"> to potential </w:t>
      </w:r>
      <w:r>
        <w:rPr>
          <w:lang w:val="en-US"/>
        </w:rPr>
        <w:t xml:space="preserve">investors. The process of receiving information about investor preferences is called </w:t>
      </w:r>
      <w:r w:rsidR="00660CEA">
        <w:rPr>
          <w:lang w:val="en-US"/>
        </w:rPr>
        <w:t>Book Building</w:t>
      </w:r>
      <w:r>
        <w:rPr>
          <w:lang w:val="en-US"/>
        </w:rPr>
        <w:t xml:space="preserve">. The investment bank uses the feedback from its </w:t>
      </w:r>
      <w:r w:rsidR="00660CEA">
        <w:rPr>
          <w:lang w:val="en-US"/>
        </w:rPr>
        <w:t>Book Building</w:t>
      </w:r>
      <w:r>
        <w:rPr>
          <w:lang w:val="en-US"/>
        </w:rPr>
        <w:t xml:space="preserve"> efforts, combined with information from valuation techniques</w:t>
      </w:r>
      <w:r>
        <w:rPr>
          <w:rStyle w:val="FootnoteReference"/>
          <w:lang w:val="en-US"/>
        </w:rPr>
        <w:footnoteReference w:id="6"/>
      </w:r>
      <w:r>
        <w:rPr>
          <w:lang w:val="en-US"/>
        </w:rPr>
        <w:t xml:space="preserve"> to value the shares. After the </w:t>
      </w:r>
      <w:r w:rsidR="0030498B">
        <w:rPr>
          <w:lang w:val="en-US"/>
        </w:rPr>
        <w:t>IPO</w:t>
      </w:r>
      <w:r>
        <w:rPr>
          <w:lang w:val="en-US"/>
        </w:rPr>
        <w:t xml:space="preserve"> receives approval from the SEC, the issuer and the investment bank hold a meeting at which the price and the amount of shares to be offered are agreed upon.</w:t>
      </w:r>
    </w:p>
    <w:p w:rsidR="00D25B76" w:rsidRDefault="00D25B76">
      <w:pPr>
        <w:rPr>
          <w:lang w:val="en-US"/>
        </w:rPr>
      </w:pPr>
      <w:r>
        <w:rPr>
          <w:lang w:val="en-US"/>
        </w:rPr>
        <w:br w:type="page"/>
      </w:r>
    </w:p>
    <w:p w:rsidR="007675A0" w:rsidRPr="00541109" w:rsidRDefault="007675A0" w:rsidP="007675A0">
      <w:pPr>
        <w:spacing w:line="360" w:lineRule="auto"/>
        <w:rPr>
          <w:lang w:val="en-US"/>
        </w:rPr>
      </w:pPr>
      <w:r>
        <w:rPr>
          <w:lang w:val="en-US"/>
        </w:rPr>
        <w:lastRenderedPageBreak/>
        <w:t xml:space="preserve">The issuing firm and the investment bank(s) can choose to engage in several types of contracts such as a Best Efforts contract, a Firm Commitment contract, or a Dutch </w:t>
      </w:r>
      <w:proofErr w:type="gramStart"/>
      <w:r>
        <w:rPr>
          <w:lang w:val="en-US"/>
        </w:rPr>
        <w:t>Auction</w:t>
      </w:r>
      <w:proofErr w:type="gramEnd"/>
      <w:r>
        <w:rPr>
          <w:lang w:val="en-US"/>
        </w:rPr>
        <w:t xml:space="preserve"> contract.  </w:t>
      </w:r>
      <w:r w:rsidR="00C10DC2">
        <w:rPr>
          <w:lang w:val="en-US"/>
        </w:rPr>
        <w:t>The most common type</w:t>
      </w:r>
      <w:r>
        <w:rPr>
          <w:lang w:val="en-US"/>
        </w:rPr>
        <w:t xml:space="preserve"> is the </w:t>
      </w:r>
      <w:r w:rsidR="00F60C96">
        <w:rPr>
          <w:lang w:val="en-US"/>
        </w:rPr>
        <w:t>Firm Commitment</w:t>
      </w:r>
      <w:r>
        <w:rPr>
          <w:lang w:val="en-US"/>
        </w:rPr>
        <w:t xml:space="preserve"> contract (Ellis et al., 1999). In a </w:t>
      </w:r>
      <w:r w:rsidR="00F60C96">
        <w:rPr>
          <w:lang w:val="en-US"/>
        </w:rPr>
        <w:t>Firm Commitment</w:t>
      </w:r>
      <w:r>
        <w:rPr>
          <w:lang w:val="en-US"/>
        </w:rPr>
        <w:t xml:space="preserve"> contract, the investment bank guarantees to purchase all the shares from the company and resells them at a slightly higher price to the public.</w:t>
      </w:r>
      <w:r w:rsidR="009C2F54">
        <w:rPr>
          <w:lang w:val="en-US"/>
        </w:rPr>
        <w:t xml:space="preserve"> </w:t>
      </w:r>
      <w:r w:rsidR="009C2F54" w:rsidRPr="000A3ACA">
        <w:rPr>
          <w:lang w:val="en-US"/>
        </w:rPr>
        <w:t>The spr</w:t>
      </w:r>
      <w:r w:rsidR="009C2F54">
        <w:rPr>
          <w:lang w:val="en-US"/>
        </w:rPr>
        <w:t>ead between these two prices is</w:t>
      </w:r>
      <w:r w:rsidR="00CC5043">
        <w:rPr>
          <w:lang w:val="en-US"/>
        </w:rPr>
        <w:t xml:space="preserve"> the fee</w:t>
      </w:r>
      <w:r w:rsidR="009C2F54" w:rsidRPr="000A3ACA">
        <w:rPr>
          <w:lang w:val="en-US"/>
        </w:rPr>
        <w:t xml:space="preserve"> for the investment </w:t>
      </w:r>
      <w:r w:rsidR="00A02FE1">
        <w:rPr>
          <w:lang w:val="en-US"/>
        </w:rPr>
        <w:t xml:space="preserve">bank </w:t>
      </w:r>
      <w:r>
        <w:rPr>
          <w:lang w:val="en-US"/>
        </w:rPr>
        <w:t>and is usually set at 7% of the offer price (Chen and Ritter, 2000; Barry et al., 1991</w:t>
      </w:r>
      <w:r w:rsidRPr="00A92358">
        <w:rPr>
          <w:lang w:val="en-US"/>
        </w:rPr>
        <w:t>).</w:t>
      </w:r>
      <w:r>
        <w:rPr>
          <w:lang w:val="en-US"/>
        </w:rPr>
        <w:t xml:space="preserve"> From this point on the offering price is fixed and cannot be altered regardless of any under or over subscription. The only exception is when an investment bank breaks the syndicate and sells the shares below the offer price.</w:t>
      </w:r>
    </w:p>
    <w:p w:rsidR="007675A0" w:rsidRPr="007A6A51" w:rsidRDefault="00C10DC2" w:rsidP="007675A0">
      <w:pPr>
        <w:spacing w:line="360" w:lineRule="auto"/>
        <w:rPr>
          <w:lang w:val="en-US"/>
        </w:rPr>
      </w:pPr>
      <w:r>
        <w:rPr>
          <w:lang w:val="en-US"/>
        </w:rPr>
        <w:t xml:space="preserve">A common phenomenon in a </w:t>
      </w:r>
      <w:r w:rsidR="00F60C96">
        <w:rPr>
          <w:lang w:val="en-US"/>
        </w:rPr>
        <w:t>Firm Commitment</w:t>
      </w:r>
      <w:r>
        <w:rPr>
          <w:lang w:val="en-US"/>
        </w:rPr>
        <w:t xml:space="preserve"> contract is the so-</w:t>
      </w:r>
      <w:r w:rsidR="007675A0">
        <w:rPr>
          <w:lang w:val="en-US"/>
        </w:rPr>
        <w:t>called ‘Green Shoe’</w:t>
      </w:r>
      <w:r w:rsidR="007675A0">
        <w:rPr>
          <w:rStyle w:val="FootnoteReference"/>
          <w:lang w:val="en-US"/>
        </w:rPr>
        <w:footnoteReference w:id="7"/>
      </w:r>
      <w:r w:rsidR="007675A0">
        <w:rPr>
          <w:lang w:val="en-US"/>
        </w:rPr>
        <w:t xml:space="preserve"> or overallotment option. A Green Shoe option allows underwriters to purchase up to an additional 15% of the shares issued at the offer price </w:t>
      </w:r>
      <w:r w:rsidR="007675A0" w:rsidRPr="00D27B59">
        <w:rPr>
          <w:lang w:val="en-US"/>
        </w:rPr>
        <w:t>(Ritter &amp; Welch 2002)</w:t>
      </w:r>
      <w:r w:rsidR="007675A0">
        <w:rPr>
          <w:lang w:val="en-US"/>
        </w:rPr>
        <w:t>. The Green Shoe option enables investment banks to stabilize the price when trading begins. First the investment bank oversells the shares by 15</w:t>
      </w:r>
      <w:r>
        <w:rPr>
          <w:lang w:val="en-US"/>
        </w:rPr>
        <w:t xml:space="preserve">%. This way the bank has a </w:t>
      </w:r>
      <w:r w:rsidR="007675A0">
        <w:rPr>
          <w:lang w:val="en-US"/>
        </w:rPr>
        <w:t xml:space="preserve">short position in the shares. When the price drops after the </w:t>
      </w:r>
      <w:r w:rsidR="0030498B">
        <w:rPr>
          <w:lang w:val="en-US"/>
        </w:rPr>
        <w:t>IPO</w:t>
      </w:r>
      <w:r w:rsidR="007675A0">
        <w:rPr>
          <w:lang w:val="en-US"/>
        </w:rPr>
        <w:t xml:space="preserve">, the investment bank can buy back the shares to increase demand and support the price. </w:t>
      </w:r>
      <w:r w:rsidR="00660CEA">
        <w:rPr>
          <w:lang w:val="en-US"/>
        </w:rPr>
        <w:t>However,</w:t>
      </w:r>
      <w:r w:rsidR="007675A0">
        <w:rPr>
          <w:lang w:val="en-US"/>
        </w:rPr>
        <w:t xml:space="preserve"> if the price rises, the bank makes a loss on its short position. By exercising the Green Shoe option the investment bank is able to cover this loss </w:t>
      </w:r>
      <w:r w:rsidR="007675A0" w:rsidRPr="00695FD2">
        <w:rPr>
          <w:lang w:val="en-US"/>
        </w:rPr>
        <w:t>(</w:t>
      </w:r>
      <w:r w:rsidR="007675A0">
        <w:rPr>
          <w:lang w:val="en-US"/>
        </w:rPr>
        <w:t>Aggarwal, 2000;</w:t>
      </w:r>
      <w:r w:rsidR="007675A0" w:rsidRPr="00541109">
        <w:rPr>
          <w:lang w:val="en-US"/>
        </w:rPr>
        <w:t xml:space="preserve"> Zhang</w:t>
      </w:r>
      <w:r w:rsidR="0097241C">
        <w:rPr>
          <w:lang w:val="en-US"/>
        </w:rPr>
        <w:t>,</w:t>
      </w:r>
      <w:r w:rsidR="007675A0" w:rsidRPr="00541109">
        <w:rPr>
          <w:lang w:val="en-US"/>
        </w:rPr>
        <w:t xml:space="preserve"> 2001).</w:t>
      </w:r>
      <w:r w:rsidR="007675A0">
        <w:rPr>
          <w:lang w:val="en-US"/>
        </w:rPr>
        <w:t xml:space="preserve"> The price stabilization activities of investment banks are the only exception the SEC makes with regards to price manipulation (Ritter &amp; Welch 2002).</w:t>
      </w:r>
    </w:p>
    <w:p w:rsidR="007675A0" w:rsidRDefault="007675A0" w:rsidP="007675A0">
      <w:pPr>
        <w:spacing w:line="360" w:lineRule="auto"/>
        <w:rPr>
          <w:lang w:val="en-US"/>
        </w:rPr>
      </w:pPr>
      <w:r w:rsidRPr="00D2051D">
        <w:rPr>
          <w:lang w:val="en-US"/>
        </w:rPr>
        <w:t xml:space="preserve">In a </w:t>
      </w:r>
      <w:r w:rsidR="00F60C96">
        <w:rPr>
          <w:lang w:val="en-US"/>
        </w:rPr>
        <w:t>Best Efforts</w:t>
      </w:r>
      <w:r w:rsidRPr="00D2051D">
        <w:rPr>
          <w:lang w:val="en-US"/>
        </w:rPr>
        <w:t xml:space="preserve"> contract </w:t>
      </w:r>
      <w:r>
        <w:rPr>
          <w:lang w:val="en-US"/>
        </w:rPr>
        <w:t xml:space="preserve">the issuer and the investment bank agree upon a price and amount of shares to be issued. After the </w:t>
      </w:r>
      <w:r w:rsidR="0030498B">
        <w:rPr>
          <w:lang w:val="en-US"/>
        </w:rPr>
        <w:t>IPO</w:t>
      </w:r>
      <w:r>
        <w:rPr>
          <w:lang w:val="en-US"/>
        </w:rPr>
        <w:t xml:space="preserve"> receives SEC approval, the investment banker issues a prospectus and makes its ‘</w:t>
      </w:r>
      <w:r w:rsidR="00F60C96">
        <w:rPr>
          <w:lang w:val="en-US"/>
        </w:rPr>
        <w:t>Best Efforts</w:t>
      </w:r>
      <w:r>
        <w:rPr>
          <w:lang w:val="en-US"/>
        </w:rPr>
        <w:t>’ to sell the shares within a certain time frame, usually 90 days (Ritter</w:t>
      </w:r>
      <w:r w:rsidR="00CC5043">
        <w:rPr>
          <w:lang w:val="en-US"/>
        </w:rPr>
        <w:t>,</w:t>
      </w:r>
      <w:r>
        <w:rPr>
          <w:lang w:val="en-US"/>
        </w:rPr>
        <w:t xml:space="preserve"> 1987).  Interested investors deposit money w</w:t>
      </w:r>
      <w:r w:rsidR="00D754A0">
        <w:rPr>
          <w:lang w:val="en-US"/>
        </w:rPr>
        <w:t>ith the investment bank on a so-</w:t>
      </w:r>
      <w:r>
        <w:rPr>
          <w:lang w:val="en-US"/>
        </w:rPr>
        <w:t xml:space="preserve">called escrow account. If the minimum amount of shares cannot be sold within the time frame, the </w:t>
      </w:r>
      <w:r w:rsidR="0030498B">
        <w:rPr>
          <w:lang w:val="en-US"/>
        </w:rPr>
        <w:t>IPO</w:t>
      </w:r>
      <w:r>
        <w:rPr>
          <w:lang w:val="en-US"/>
        </w:rPr>
        <w:t xml:space="preserve"> fails and the investors’ money is refunded. </w:t>
      </w:r>
    </w:p>
    <w:p w:rsidR="00ED271E" w:rsidRDefault="00ED271E">
      <w:pPr>
        <w:rPr>
          <w:lang w:val="en-US"/>
        </w:rPr>
      </w:pPr>
      <w:r>
        <w:rPr>
          <w:lang w:val="en-US"/>
        </w:rPr>
        <w:br w:type="page"/>
      </w:r>
    </w:p>
    <w:p w:rsidR="007675A0" w:rsidRDefault="007675A0" w:rsidP="007675A0">
      <w:pPr>
        <w:spacing w:line="360" w:lineRule="auto"/>
        <w:rPr>
          <w:lang w:val="en-US"/>
        </w:rPr>
      </w:pPr>
      <w:r>
        <w:rPr>
          <w:lang w:val="en-US"/>
        </w:rPr>
        <w:lastRenderedPageBreak/>
        <w:t>The Dutch auction</w:t>
      </w:r>
      <w:r>
        <w:rPr>
          <w:rStyle w:val="FootnoteReference"/>
          <w:lang w:val="en-US"/>
        </w:rPr>
        <w:footnoteReference w:id="8"/>
      </w:r>
      <w:r>
        <w:rPr>
          <w:lang w:val="en-US"/>
        </w:rPr>
        <w:t xml:space="preserve"> contract (also called openIPO) was first used by the WR Hambrecht + Co investment bank in 1999. In a Dutch auction</w:t>
      </w:r>
      <w:r w:rsidR="00003C7F">
        <w:rPr>
          <w:lang w:val="en-US"/>
        </w:rPr>
        <w:t>,</w:t>
      </w:r>
      <w:r>
        <w:rPr>
          <w:lang w:val="en-US"/>
        </w:rPr>
        <w:t xml:space="preserve"> the underwriter and the issuer set a price range and the number of shares to be offered</w:t>
      </w:r>
      <w:r>
        <w:rPr>
          <w:rStyle w:val="FootnoteReference"/>
          <w:lang w:val="en-US"/>
        </w:rPr>
        <w:footnoteReference w:id="9"/>
      </w:r>
      <w:r>
        <w:rPr>
          <w:lang w:val="en-US"/>
        </w:rPr>
        <w:t>. After the price range is set, investors can indicate how many shares they are willing to buy at a certain price within</w:t>
      </w:r>
      <w:r w:rsidR="00CC5043">
        <w:rPr>
          <w:lang w:val="en-US"/>
        </w:rPr>
        <w:t xml:space="preserve"> the range. The underwriters the</w:t>
      </w:r>
      <w:r>
        <w:rPr>
          <w:lang w:val="en-US"/>
        </w:rPr>
        <w:t xml:space="preserve">n collect the bids starting with the highest price and counting down until they reach the amount of shares being issued (Rhyne, 2007; </w:t>
      </w:r>
      <w:r w:rsidRPr="0035142D">
        <w:rPr>
          <w:lang w:val="en-US"/>
        </w:rPr>
        <w:t xml:space="preserve">Derrien </w:t>
      </w:r>
      <w:r>
        <w:rPr>
          <w:lang w:val="en-US"/>
        </w:rPr>
        <w:t>&amp;</w:t>
      </w:r>
      <w:r w:rsidRPr="0035142D">
        <w:rPr>
          <w:lang w:val="en-US"/>
        </w:rPr>
        <w:t xml:space="preserve"> Womack</w:t>
      </w:r>
      <w:r>
        <w:rPr>
          <w:lang w:val="en-US"/>
        </w:rPr>
        <w:t>, 2003). Let’s say the initial price range is set at $25</w:t>
      </w:r>
      <w:r w:rsidR="003A6D83">
        <w:rPr>
          <w:lang w:val="en-US"/>
        </w:rPr>
        <w:t>.00</w:t>
      </w:r>
      <w:r>
        <w:rPr>
          <w:lang w:val="en-US"/>
        </w:rPr>
        <w:t>-$21</w:t>
      </w:r>
      <w:r w:rsidR="003A6D83">
        <w:rPr>
          <w:lang w:val="en-US"/>
        </w:rPr>
        <w:t>.00</w:t>
      </w:r>
      <w:r>
        <w:rPr>
          <w:lang w:val="en-US"/>
        </w:rPr>
        <w:t xml:space="preserve"> and the amount of shares to be sold is 5 million. The underwriter receives the following bids, 1.8 million shares at $25</w:t>
      </w:r>
      <w:r w:rsidR="003A6D83">
        <w:rPr>
          <w:lang w:val="en-US"/>
        </w:rPr>
        <w:t>.00</w:t>
      </w:r>
      <w:r>
        <w:rPr>
          <w:lang w:val="en-US"/>
        </w:rPr>
        <w:t xml:space="preserve"> per share, 2.6 million shares at $24</w:t>
      </w:r>
      <w:r w:rsidR="003A6D83">
        <w:rPr>
          <w:lang w:val="en-US"/>
        </w:rPr>
        <w:t>.00</w:t>
      </w:r>
      <w:r>
        <w:rPr>
          <w:lang w:val="en-US"/>
        </w:rPr>
        <w:t xml:space="preserve"> per share, 3.6 million shares at $23</w:t>
      </w:r>
      <w:r w:rsidR="003A6D83">
        <w:rPr>
          <w:lang w:val="en-US"/>
        </w:rPr>
        <w:t>.00</w:t>
      </w:r>
      <w:r>
        <w:rPr>
          <w:lang w:val="en-US"/>
        </w:rPr>
        <w:t xml:space="preserve"> per share and 2.4 million shares at $22</w:t>
      </w:r>
      <w:r w:rsidR="003A6D83">
        <w:rPr>
          <w:lang w:val="en-US"/>
        </w:rPr>
        <w:t>.00</w:t>
      </w:r>
      <w:r>
        <w:rPr>
          <w:lang w:val="en-US"/>
        </w:rPr>
        <w:t xml:space="preserve"> per share. Adding the highest, second highest and third highest priced bids, the underwriter reaches the 5 million shares that are being issued. Therefore</w:t>
      </w:r>
      <w:r w:rsidR="00660CEA">
        <w:rPr>
          <w:lang w:val="en-US"/>
        </w:rPr>
        <w:t>,</w:t>
      </w:r>
      <w:r>
        <w:rPr>
          <w:lang w:val="en-US"/>
        </w:rPr>
        <w:t xml:space="preserve"> the investors that bid $25</w:t>
      </w:r>
      <w:r w:rsidR="003A6D83">
        <w:rPr>
          <w:lang w:val="en-US"/>
        </w:rPr>
        <w:t>.00</w:t>
      </w:r>
      <w:r>
        <w:rPr>
          <w:lang w:val="en-US"/>
        </w:rPr>
        <w:t xml:space="preserve"> and $24</w:t>
      </w:r>
      <w:r w:rsidR="003A6D83">
        <w:rPr>
          <w:lang w:val="en-US"/>
        </w:rPr>
        <w:t>.00</w:t>
      </w:r>
      <w:r>
        <w:rPr>
          <w:lang w:val="en-US"/>
        </w:rPr>
        <w:t xml:space="preserve"> receive their 4.4 million shares at $23</w:t>
      </w:r>
      <w:r w:rsidR="003A6D83">
        <w:rPr>
          <w:lang w:val="en-US"/>
        </w:rPr>
        <w:t>.00</w:t>
      </w:r>
      <w:r>
        <w:rPr>
          <w:lang w:val="en-US"/>
        </w:rPr>
        <w:t xml:space="preserve"> per share. The investors that bid $23</w:t>
      </w:r>
      <w:r w:rsidR="003A6D83">
        <w:rPr>
          <w:lang w:val="en-US"/>
        </w:rPr>
        <w:t>.00</w:t>
      </w:r>
      <w:r>
        <w:rPr>
          <w:lang w:val="en-US"/>
        </w:rPr>
        <w:t xml:space="preserve"> per share also receive their shares at $23</w:t>
      </w:r>
      <w:r w:rsidR="003A6D83">
        <w:rPr>
          <w:lang w:val="en-US"/>
        </w:rPr>
        <w:t>.00</w:t>
      </w:r>
      <w:r>
        <w:rPr>
          <w:lang w:val="en-US"/>
        </w:rPr>
        <w:t xml:space="preserve"> but the 3.6 million shares order cannot be filled, therefore these investors will be rationed</w:t>
      </w:r>
      <w:r>
        <w:rPr>
          <w:rStyle w:val="FootnoteReference"/>
          <w:lang w:val="en-US"/>
        </w:rPr>
        <w:footnoteReference w:id="10"/>
      </w:r>
      <w:r w:rsidR="00DD770F">
        <w:rPr>
          <w:lang w:val="en-US"/>
        </w:rPr>
        <w:t>.</w:t>
      </w:r>
      <w:r>
        <w:rPr>
          <w:lang w:val="en-US"/>
        </w:rPr>
        <w:t xml:space="preserve"> One of the most famous examples of an </w:t>
      </w:r>
      <w:r w:rsidR="0030498B">
        <w:rPr>
          <w:lang w:val="en-US"/>
        </w:rPr>
        <w:t>IPO</w:t>
      </w:r>
      <w:r>
        <w:rPr>
          <w:lang w:val="en-US"/>
        </w:rPr>
        <w:t xml:space="preserve"> in which a Dutch auction was used is the </w:t>
      </w:r>
      <w:r w:rsidR="0030498B">
        <w:rPr>
          <w:lang w:val="en-US"/>
        </w:rPr>
        <w:t>IPO</w:t>
      </w:r>
      <w:r>
        <w:rPr>
          <w:lang w:val="en-US"/>
        </w:rPr>
        <w:t xml:space="preserve"> of Google (</w:t>
      </w:r>
      <w:r w:rsidRPr="008118A9">
        <w:rPr>
          <w:bCs/>
          <w:lang w:val="en-US"/>
        </w:rPr>
        <w:t>Robicheaux</w:t>
      </w:r>
      <w:r>
        <w:rPr>
          <w:lang w:val="en-US"/>
        </w:rPr>
        <w:t xml:space="preserve"> &amp; </w:t>
      </w:r>
      <w:r>
        <w:rPr>
          <w:bCs/>
          <w:lang w:val="en-US"/>
        </w:rPr>
        <w:t xml:space="preserve">Herrington, </w:t>
      </w:r>
      <w:r>
        <w:rPr>
          <w:lang w:val="en-US"/>
        </w:rPr>
        <w:t xml:space="preserve">2007). </w:t>
      </w:r>
    </w:p>
    <w:p w:rsidR="00ED271E" w:rsidRDefault="00ED271E">
      <w:pPr>
        <w:rPr>
          <w:b/>
          <w:lang w:val="en-US"/>
        </w:rPr>
      </w:pPr>
      <w:r>
        <w:rPr>
          <w:b/>
          <w:lang w:val="en-US"/>
        </w:rPr>
        <w:br w:type="page"/>
      </w:r>
    </w:p>
    <w:p w:rsidR="007675A0" w:rsidRPr="0094274C" w:rsidRDefault="0094274C" w:rsidP="004762BD">
      <w:pPr>
        <w:spacing w:before="200" w:after="0" w:line="240" w:lineRule="auto"/>
        <w:ind w:left="1418" w:hanging="851"/>
        <w:rPr>
          <w:b/>
          <w:lang w:val="en-US"/>
        </w:rPr>
      </w:pPr>
      <w:r>
        <w:rPr>
          <w:b/>
          <w:lang w:val="en-US"/>
        </w:rPr>
        <w:lastRenderedPageBreak/>
        <w:t>3.</w:t>
      </w:r>
      <w:r w:rsidR="009C10C7">
        <w:rPr>
          <w:b/>
          <w:lang w:val="en-US"/>
        </w:rPr>
        <w:t>4</w:t>
      </w:r>
      <w:r>
        <w:rPr>
          <w:b/>
          <w:lang w:val="en-US"/>
        </w:rPr>
        <w:t>.</w:t>
      </w:r>
      <w:r>
        <w:rPr>
          <w:b/>
          <w:lang w:val="en-US"/>
        </w:rPr>
        <w:tab/>
      </w:r>
      <w:r w:rsidR="007675A0" w:rsidRPr="0094274C">
        <w:rPr>
          <w:b/>
          <w:lang w:val="en-US"/>
        </w:rPr>
        <w:t xml:space="preserve"> </w:t>
      </w:r>
      <w:bookmarkStart w:id="4" w:name="_Toc280276095"/>
      <w:r w:rsidR="007675A0" w:rsidRPr="0094274C">
        <w:rPr>
          <w:b/>
          <w:lang w:val="en-US"/>
        </w:rPr>
        <w:t>Underpricing</w:t>
      </w:r>
      <w:bookmarkEnd w:id="4"/>
      <w:r w:rsidR="007675A0" w:rsidRPr="0094274C">
        <w:rPr>
          <w:b/>
          <w:lang w:val="en-US"/>
        </w:rPr>
        <w:t xml:space="preserve"> </w:t>
      </w:r>
    </w:p>
    <w:p w:rsidR="007675A0" w:rsidRDefault="007675A0" w:rsidP="001C5A57">
      <w:pPr>
        <w:spacing w:before="200" w:line="360" w:lineRule="auto"/>
        <w:rPr>
          <w:lang w:val="en-US"/>
        </w:rPr>
      </w:pPr>
      <w:r w:rsidRPr="00C115CF">
        <w:rPr>
          <w:lang w:val="en-US"/>
        </w:rPr>
        <w:t xml:space="preserve">The underpricing phenomenon has been well documented throughout academic literature </w:t>
      </w:r>
      <w:r>
        <w:rPr>
          <w:lang w:val="en-US"/>
        </w:rPr>
        <w:t>(Ibbotson</w:t>
      </w:r>
      <w:r w:rsidR="003A6D83">
        <w:rPr>
          <w:lang w:val="en-US"/>
        </w:rPr>
        <w:t xml:space="preserve">, </w:t>
      </w:r>
      <w:r>
        <w:rPr>
          <w:lang w:val="en-US"/>
        </w:rPr>
        <w:t>1975;</w:t>
      </w:r>
      <w:r w:rsidRPr="00DA61E4">
        <w:rPr>
          <w:lang w:val="en-US"/>
        </w:rPr>
        <w:t xml:space="preserve"> Ri</w:t>
      </w:r>
      <w:r>
        <w:rPr>
          <w:lang w:val="en-US"/>
        </w:rPr>
        <w:t>tter</w:t>
      </w:r>
      <w:r w:rsidR="003A6D83">
        <w:rPr>
          <w:lang w:val="en-US"/>
        </w:rPr>
        <w:t>,</w:t>
      </w:r>
      <w:r>
        <w:rPr>
          <w:lang w:val="en-US"/>
        </w:rPr>
        <w:t xml:space="preserve"> 1998; Ritter &amp; Welch</w:t>
      </w:r>
      <w:r w:rsidR="003A6D83">
        <w:rPr>
          <w:lang w:val="en-US"/>
        </w:rPr>
        <w:t>,</w:t>
      </w:r>
      <w:r>
        <w:rPr>
          <w:lang w:val="en-US"/>
        </w:rPr>
        <w:t xml:space="preserve"> 2002</w:t>
      </w:r>
      <w:r w:rsidR="00003C7F">
        <w:rPr>
          <w:lang w:val="en-US"/>
        </w:rPr>
        <w:t>; Loughran &amp; Ritter, 2004</w:t>
      </w:r>
      <w:r w:rsidRPr="00DA61E4">
        <w:rPr>
          <w:lang w:val="en-US"/>
        </w:rPr>
        <w:t>).</w:t>
      </w:r>
      <w:r w:rsidRPr="00645049">
        <w:rPr>
          <w:color w:val="FF0000"/>
          <w:lang w:val="en-US"/>
        </w:rPr>
        <w:t xml:space="preserve"> </w:t>
      </w:r>
      <w:r w:rsidRPr="00C47479">
        <w:rPr>
          <w:lang w:val="en-US"/>
        </w:rPr>
        <w:t xml:space="preserve">Loughran </w:t>
      </w:r>
      <w:r w:rsidRPr="00760773">
        <w:rPr>
          <w:lang w:val="en-US"/>
        </w:rPr>
        <w:t>and Ritter</w:t>
      </w:r>
      <w:r>
        <w:rPr>
          <w:lang w:val="en-US"/>
        </w:rPr>
        <w:t xml:space="preserve"> (2004)</w:t>
      </w:r>
      <w:r w:rsidRPr="00760773">
        <w:rPr>
          <w:lang w:val="en-US"/>
        </w:rPr>
        <w:t xml:space="preserve"> show that underpricing varied through time.</w:t>
      </w:r>
      <w:r>
        <w:rPr>
          <w:lang w:val="en-US"/>
        </w:rPr>
        <w:t xml:space="preserve"> In the 1980’s IPOs </w:t>
      </w:r>
      <w:r w:rsidR="00F60D5F">
        <w:rPr>
          <w:lang w:val="en-US"/>
        </w:rPr>
        <w:t>were</w:t>
      </w:r>
      <w:r>
        <w:rPr>
          <w:lang w:val="en-US"/>
        </w:rPr>
        <w:t xml:space="preserve"> underpriced by 7% on average, whereas in the period between 1990 and 1998 underpricing rose to about 15%. During the </w:t>
      </w:r>
      <w:r w:rsidR="009C2F54">
        <w:rPr>
          <w:lang w:val="en-US"/>
        </w:rPr>
        <w:t>Internet</w:t>
      </w:r>
      <w:r>
        <w:rPr>
          <w:lang w:val="en-US"/>
        </w:rPr>
        <w:t xml:space="preserve"> bubble (1999-2000) underpricing rose to a staggering 65% on average, </w:t>
      </w:r>
      <w:r w:rsidR="00850BDB">
        <w:rPr>
          <w:lang w:val="en-US"/>
        </w:rPr>
        <w:t>while dropping</w:t>
      </w:r>
      <w:r>
        <w:rPr>
          <w:lang w:val="en-US"/>
        </w:rPr>
        <w:t xml:space="preserve"> to about 12%</w:t>
      </w:r>
      <w:r>
        <w:rPr>
          <w:rStyle w:val="FootnoteReference"/>
          <w:lang w:val="en-US"/>
        </w:rPr>
        <w:footnoteReference w:id="11"/>
      </w:r>
      <w:r w:rsidR="00850BDB">
        <w:rPr>
          <w:lang w:val="en-US"/>
        </w:rPr>
        <w:t xml:space="preserve"> after this period</w:t>
      </w:r>
      <w:r>
        <w:rPr>
          <w:lang w:val="en-US"/>
        </w:rPr>
        <w:t xml:space="preserve">. </w:t>
      </w:r>
    </w:p>
    <w:p w:rsidR="007675A0" w:rsidRDefault="007675A0" w:rsidP="007675A0">
      <w:pPr>
        <w:spacing w:line="360" w:lineRule="auto"/>
        <w:rPr>
          <w:lang w:val="en-US"/>
        </w:rPr>
      </w:pPr>
      <w:r>
        <w:rPr>
          <w:lang w:val="en-US"/>
        </w:rPr>
        <w:t>Underpricing is money left on the table and can be considered a loss for issuing companies</w:t>
      </w:r>
      <w:r>
        <w:rPr>
          <w:rStyle w:val="FootnoteReference"/>
          <w:lang w:val="en-US"/>
        </w:rPr>
        <w:footnoteReference w:id="12"/>
      </w:r>
      <w:r>
        <w:rPr>
          <w:lang w:val="en-US"/>
        </w:rPr>
        <w:t>. Ritter and Welch (2002) show that between 1980 and 2001</w:t>
      </w:r>
      <w:r w:rsidR="00003C7F">
        <w:rPr>
          <w:lang w:val="en-US"/>
        </w:rPr>
        <w:t>,</w:t>
      </w:r>
      <w:r>
        <w:rPr>
          <w:lang w:val="en-US"/>
        </w:rPr>
        <w:t xml:space="preserve"> 6,249 IPOs lost $106 billion or $78 million per deal due to underpricing. The authors state that the average underpricing of 18.8% between 1980 and 2001 cannot simply be explained by mispricing or risk premia alone. So why are issuers and underwriters unable to sell unseasoned shares at a value that better resembles the market value? Or do underwriters and/or issuers use underpricing as </w:t>
      </w:r>
      <w:r w:rsidR="00850BDB">
        <w:rPr>
          <w:lang w:val="en-US"/>
        </w:rPr>
        <w:t>a mean</w:t>
      </w:r>
      <w:r>
        <w:rPr>
          <w:lang w:val="en-US"/>
        </w:rPr>
        <w:t xml:space="preserve"> to a certain end? </w:t>
      </w:r>
      <w:r w:rsidR="00003C7F">
        <w:rPr>
          <w:lang w:val="en-US"/>
        </w:rPr>
        <w:t xml:space="preserve"> The next section discusses literature on the underpricing phenomenon.</w:t>
      </w:r>
    </w:p>
    <w:p w:rsidR="007675A0" w:rsidRPr="00F4283D" w:rsidRDefault="0094274C" w:rsidP="00F4283D">
      <w:pPr>
        <w:spacing w:line="360" w:lineRule="auto"/>
        <w:ind w:left="1418" w:hanging="851"/>
        <w:rPr>
          <w:b/>
          <w:lang w:val="en-US"/>
        </w:rPr>
      </w:pPr>
      <w:bookmarkStart w:id="5" w:name="_Toc280276096"/>
      <w:r>
        <w:rPr>
          <w:b/>
          <w:lang w:val="en-US"/>
        </w:rPr>
        <w:t>3</w:t>
      </w:r>
      <w:r w:rsidR="00A34189">
        <w:rPr>
          <w:b/>
          <w:lang w:val="en-US"/>
        </w:rPr>
        <w:t>.4</w:t>
      </w:r>
      <w:r w:rsidR="007675A0">
        <w:rPr>
          <w:b/>
          <w:lang w:val="en-US"/>
        </w:rPr>
        <w:t xml:space="preserve">.1. </w:t>
      </w:r>
      <w:r w:rsidR="007675A0">
        <w:rPr>
          <w:b/>
          <w:lang w:val="en-US"/>
        </w:rPr>
        <w:tab/>
      </w:r>
      <w:r w:rsidR="007675A0" w:rsidRPr="00D16106">
        <w:rPr>
          <w:b/>
          <w:lang w:val="en-US"/>
        </w:rPr>
        <w:t>Theories based on information asymmetries</w:t>
      </w:r>
      <w:bookmarkEnd w:id="5"/>
    </w:p>
    <w:p w:rsidR="007675A0" w:rsidRPr="00C92A14" w:rsidRDefault="00A34189" w:rsidP="00F4283D">
      <w:pPr>
        <w:spacing w:line="360" w:lineRule="auto"/>
        <w:rPr>
          <w:lang w:val="en-US"/>
        </w:rPr>
      </w:pPr>
      <w:r>
        <w:rPr>
          <w:lang w:val="en-US"/>
        </w:rPr>
        <w:t>Some theories on underpricin</w:t>
      </w:r>
      <w:r w:rsidR="007675A0" w:rsidRPr="00C92A14">
        <w:rPr>
          <w:lang w:val="en-US"/>
        </w:rPr>
        <w:t xml:space="preserve">g assume that underpricing is needed due to information asymmetries (Beatty </w:t>
      </w:r>
      <w:r w:rsidR="007675A0">
        <w:rPr>
          <w:lang w:val="en-US"/>
        </w:rPr>
        <w:t xml:space="preserve">&amp; </w:t>
      </w:r>
      <w:r w:rsidR="007675A0" w:rsidRPr="00C92A14">
        <w:rPr>
          <w:lang w:val="en-US"/>
        </w:rPr>
        <w:t xml:space="preserve">Ritter </w:t>
      </w:r>
      <w:r w:rsidR="007675A0">
        <w:rPr>
          <w:lang w:val="en-US"/>
        </w:rPr>
        <w:t>1986;</w:t>
      </w:r>
      <w:r w:rsidR="00DD770F">
        <w:rPr>
          <w:lang w:val="en-US"/>
        </w:rPr>
        <w:t xml:space="preserve"> Rock</w:t>
      </w:r>
      <w:r w:rsidR="007675A0">
        <w:rPr>
          <w:lang w:val="en-US"/>
        </w:rPr>
        <w:t>,</w:t>
      </w:r>
      <w:r w:rsidR="007675A0" w:rsidRPr="00C92A14">
        <w:rPr>
          <w:lang w:val="en-US"/>
        </w:rPr>
        <w:t xml:space="preserve"> </w:t>
      </w:r>
      <w:r w:rsidR="00DD770F">
        <w:rPr>
          <w:lang w:val="en-US"/>
        </w:rPr>
        <w:t>1986</w:t>
      </w:r>
      <w:r w:rsidR="007675A0">
        <w:rPr>
          <w:lang w:val="en-US"/>
        </w:rPr>
        <w:t>;</w:t>
      </w:r>
      <w:r w:rsidR="007675A0" w:rsidRPr="00C92A14">
        <w:rPr>
          <w:lang w:val="en-US"/>
        </w:rPr>
        <w:t xml:space="preserve"> Ritter</w:t>
      </w:r>
      <w:r w:rsidR="007675A0">
        <w:rPr>
          <w:lang w:val="en-US"/>
        </w:rPr>
        <w:t xml:space="preserve"> &amp;</w:t>
      </w:r>
      <w:r w:rsidR="007675A0" w:rsidRPr="00C92A14">
        <w:rPr>
          <w:lang w:val="en-US"/>
        </w:rPr>
        <w:t xml:space="preserve"> Welch</w:t>
      </w:r>
      <w:r w:rsidR="007675A0">
        <w:rPr>
          <w:lang w:val="en-US"/>
        </w:rPr>
        <w:t>,</w:t>
      </w:r>
      <w:r w:rsidR="007675A0" w:rsidRPr="00C92A14">
        <w:rPr>
          <w:lang w:val="en-US"/>
        </w:rPr>
        <w:t xml:space="preserve"> </w:t>
      </w:r>
      <w:r w:rsidR="007675A0">
        <w:rPr>
          <w:lang w:val="en-US"/>
        </w:rPr>
        <w:t>20</w:t>
      </w:r>
      <w:r w:rsidR="007675A0" w:rsidRPr="00C92A14">
        <w:rPr>
          <w:lang w:val="en-US"/>
        </w:rPr>
        <w:t xml:space="preserve">02). These theories differ in the direction of information asymmetry. </w:t>
      </w:r>
    </w:p>
    <w:p w:rsidR="00F4283D" w:rsidRDefault="00F4283D">
      <w:pPr>
        <w:rPr>
          <w:b/>
          <w:lang w:val="en-US"/>
        </w:rPr>
      </w:pPr>
      <w:r>
        <w:rPr>
          <w:b/>
          <w:lang w:val="en-US"/>
        </w:rPr>
        <w:br w:type="page"/>
      </w:r>
    </w:p>
    <w:p w:rsidR="00302FE0" w:rsidRPr="0094274C" w:rsidRDefault="00302FE0" w:rsidP="00302FE0">
      <w:pPr>
        <w:tabs>
          <w:tab w:val="left" w:pos="0"/>
        </w:tabs>
        <w:spacing w:line="360" w:lineRule="auto"/>
        <w:ind w:left="1418" w:hanging="851"/>
        <w:outlineLvl w:val="0"/>
        <w:rPr>
          <w:b/>
          <w:lang w:val="en-US"/>
        </w:rPr>
      </w:pPr>
      <w:r>
        <w:rPr>
          <w:b/>
          <w:lang w:val="en-US"/>
        </w:rPr>
        <w:lastRenderedPageBreak/>
        <w:t>3.4.1.1.</w:t>
      </w:r>
      <w:r>
        <w:rPr>
          <w:b/>
          <w:lang w:val="en-US"/>
        </w:rPr>
        <w:tab/>
      </w:r>
      <w:r w:rsidRPr="0094274C">
        <w:rPr>
          <w:b/>
          <w:lang w:val="en-US"/>
        </w:rPr>
        <w:t xml:space="preserve"> </w:t>
      </w:r>
      <w:bookmarkStart w:id="6" w:name="_Toc280276097"/>
      <w:r w:rsidRPr="0094274C">
        <w:rPr>
          <w:b/>
          <w:lang w:val="en-US"/>
        </w:rPr>
        <w:t>Investors are less informed than issuers and underwriters</w:t>
      </w:r>
      <w:bookmarkEnd w:id="6"/>
      <w:r w:rsidRPr="0094274C">
        <w:rPr>
          <w:b/>
          <w:lang w:val="en-US"/>
        </w:rPr>
        <w:t xml:space="preserve"> </w:t>
      </w:r>
    </w:p>
    <w:p w:rsidR="00302FE0" w:rsidRDefault="00302FE0" w:rsidP="00302FE0">
      <w:pPr>
        <w:spacing w:line="360" w:lineRule="auto"/>
        <w:rPr>
          <w:lang w:val="en-US"/>
        </w:rPr>
      </w:pPr>
      <w:r>
        <w:rPr>
          <w:lang w:val="en-US"/>
        </w:rPr>
        <w:t xml:space="preserve">Since corporate insiders such as venture capitalists and managers have better access to the firm, these insiders might have superior information when it comes to valuing the firm.  Most theories that assign superior information to insiders use Rock’s model (Rock 1986) as a starting point. </w:t>
      </w:r>
    </w:p>
    <w:p w:rsidR="00302FE0" w:rsidRPr="00BE3A78" w:rsidRDefault="00302FE0" w:rsidP="00302FE0">
      <w:pPr>
        <w:spacing w:line="360" w:lineRule="auto"/>
        <w:rPr>
          <w:i/>
          <w:lang w:val="en-US"/>
        </w:rPr>
      </w:pPr>
      <w:r w:rsidRPr="00BE3A78">
        <w:rPr>
          <w:i/>
          <w:lang w:val="en-US"/>
        </w:rPr>
        <w:t>Rock’s model and extensions</w:t>
      </w:r>
    </w:p>
    <w:p w:rsidR="00302FE0" w:rsidRDefault="00302FE0" w:rsidP="00302FE0">
      <w:pPr>
        <w:spacing w:line="360" w:lineRule="auto"/>
        <w:rPr>
          <w:lang w:val="en-US"/>
        </w:rPr>
      </w:pPr>
      <w:r>
        <w:rPr>
          <w:lang w:val="en-US"/>
        </w:rPr>
        <w:t>Rock (1986) assumes that there are informed and uninformed investors. Informed investors have more information about the demand for a certain IPO. If the informed investor expects oversubscription, he places an order with the investment bank. Uninformed investors do not have any information about demand and they randomly assign their orders. When IPOs are oversubscribed, investments banks use rationing and therefore there is a chance that investors do not receive their full order (or no shares at all). However, when an IPO is undersubscribed or fully subscribed, investors receive their entire order. On average, oversubscribed IPOs are underpriced and undersubscribed IPOs are overpriced</w:t>
      </w:r>
      <w:r>
        <w:rPr>
          <w:rStyle w:val="FootnoteReference"/>
          <w:lang w:val="en-US"/>
        </w:rPr>
        <w:footnoteReference w:id="13"/>
      </w:r>
      <w:r>
        <w:rPr>
          <w:lang w:val="en-US"/>
        </w:rPr>
        <w:t xml:space="preserve">. So uninformed investors get their full subscription when their investment loses money and they get rationed when their investment turns a profit. This problem is called the ‘Winner’s Curse’ problem (Ritter 1998). Because uninformed investors understand this adverse selection problem, they have to be rewarded in order to induce them to </w:t>
      </w:r>
      <w:r w:rsidR="00CC5043">
        <w:rPr>
          <w:lang w:val="en-US"/>
        </w:rPr>
        <w:t>participat</w:t>
      </w:r>
      <w:r>
        <w:rPr>
          <w:lang w:val="en-US"/>
        </w:rPr>
        <w:t xml:space="preserve">e in IPOs. Therefore, underpricing can be seen as compensation for the information asymmetry problem that uninformed investors face. In Rock’s framework, IPOs should be underpriced just enough to make an uninformed investment strategy break even. </w:t>
      </w:r>
    </w:p>
    <w:p w:rsidR="00302FE0" w:rsidRDefault="00302FE0" w:rsidP="00302FE0">
      <w:pPr>
        <w:spacing w:line="360" w:lineRule="auto"/>
        <w:rPr>
          <w:lang w:val="en-US"/>
        </w:rPr>
      </w:pPr>
      <w:r>
        <w:rPr>
          <w:lang w:val="en-US"/>
        </w:rPr>
        <w:t xml:space="preserve">Beatty and Ritter (1986) extend Rock’s model by stating that investors can acquire information at a cost. Some investors choose to seek information and some investors try to get a free rider’s pass, </w:t>
      </w:r>
      <w:r w:rsidR="00850BDB">
        <w:rPr>
          <w:lang w:val="en-US"/>
        </w:rPr>
        <w:t xml:space="preserve">thus </w:t>
      </w:r>
      <w:r>
        <w:rPr>
          <w:lang w:val="en-US"/>
        </w:rPr>
        <w:t>creating the info</w:t>
      </w:r>
      <w:r w:rsidR="00CC5043">
        <w:rPr>
          <w:lang w:val="en-US"/>
        </w:rPr>
        <w:t>rmed and uninformed investors from</w:t>
      </w:r>
      <w:r>
        <w:rPr>
          <w:lang w:val="en-US"/>
        </w:rPr>
        <w:t xml:space="preserve"> Rock’s model. Just like in Rock’s model, uninformed investors need to be compensated with underpricing, due to the Winner’s Curse problem. Although IPOs are underpriced on average, not all IPOs are underp</w:t>
      </w:r>
      <w:r w:rsidR="00CC5043">
        <w:rPr>
          <w:lang w:val="en-US"/>
        </w:rPr>
        <w:t>riced. The authors call this ex-</w:t>
      </w:r>
      <w:r>
        <w:rPr>
          <w:lang w:val="en-US"/>
        </w:rPr>
        <w:t>ante uncertainty. Beatty an</w:t>
      </w:r>
      <w:r w:rsidR="00CC5043">
        <w:rPr>
          <w:lang w:val="en-US"/>
        </w:rPr>
        <w:t>d Ritter state that when the ex-</w:t>
      </w:r>
      <w:r>
        <w:rPr>
          <w:lang w:val="en-US"/>
        </w:rPr>
        <w:t xml:space="preserve">ante uncertainty about the firm’s value is large, the Winner’s Curse problem is intensified and therefore the IPO requires a larger amount of underpricing. The question that arises is how equilibrium underpricing is enforced. What keeps issuers from cheating and setting a higher offer price? According to Beatty and Ritter the answer lies with the underwriting investment bank. Because investment banks perform many IPOs over time, they develop a reputation. If investment banks were to cheat and set higher offer prices, uninformed investors would not be willing to do business with these banks anymore. However, if </w:t>
      </w:r>
      <w:r>
        <w:rPr>
          <w:lang w:val="en-US"/>
        </w:rPr>
        <w:lastRenderedPageBreak/>
        <w:t xml:space="preserve">underwriters set the offering price too low, issuers will leave too much money on the table and this will discourage other issuers from hiring the investment bank. To test the implications described above, the authors use a dataset of 1,028 IPOs between 1977 and 1982. </w:t>
      </w:r>
      <w:r w:rsidR="00CC5043">
        <w:rPr>
          <w:lang w:val="en-US"/>
        </w:rPr>
        <w:t>They use two proxies for ex-</w:t>
      </w:r>
      <w:r w:rsidRPr="00D614D9">
        <w:rPr>
          <w:lang w:val="en-US"/>
        </w:rPr>
        <w:t xml:space="preserve">ante uncertainty to explain the level of </w:t>
      </w:r>
      <w:proofErr w:type="gramStart"/>
      <w:r w:rsidRPr="00D614D9">
        <w:rPr>
          <w:lang w:val="en-US"/>
        </w:rPr>
        <w:t>underpricing,</w:t>
      </w:r>
      <w:proofErr w:type="gramEnd"/>
      <w:r w:rsidRPr="00D614D9">
        <w:rPr>
          <w:lang w:val="en-US"/>
        </w:rPr>
        <w:t xml:space="preserve"> the first is ‘the number of uses of proceeds’ and the </w:t>
      </w:r>
      <w:r>
        <w:rPr>
          <w:lang w:val="en-US"/>
        </w:rPr>
        <w:t>second is the ‘reciprocal of IPO</w:t>
      </w:r>
      <w:r w:rsidRPr="00D614D9">
        <w:rPr>
          <w:lang w:val="en-US"/>
        </w:rPr>
        <w:t xml:space="preserve"> gross proceeds’.</w:t>
      </w:r>
      <w:r w:rsidRPr="00707332">
        <w:rPr>
          <w:color w:val="FF0000"/>
          <w:lang w:val="en-US"/>
        </w:rPr>
        <w:t xml:space="preserve"> </w:t>
      </w:r>
      <w:r>
        <w:rPr>
          <w:lang w:val="en-US"/>
        </w:rPr>
        <w:t>The SEC requires more speculative issuers to provide more information on uses of proceeds than more established issuers</w:t>
      </w:r>
      <w:r>
        <w:rPr>
          <w:rStyle w:val="FootnoteReference"/>
          <w:lang w:val="en-US"/>
        </w:rPr>
        <w:footnoteReference w:id="14"/>
      </w:r>
      <w:r>
        <w:rPr>
          <w:lang w:val="en-US"/>
        </w:rPr>
        <w:t>. Smaller offerings tend to be more speculative (Ritter 1985). The results of their regression show positive significant coefficients for b</w:t>
      </w:r>
      <w:r w:rsidR="00CC5043">
        <w:rPr>
          <w:lang w:val="en-US"/>
        </w:rPr>
        <w:t>oth proxies, indicating that ex-</w:t>
      </w:r>
      <w:r>
        <w:rPr>
          <w:lang w:val="en-US"/>
        </w:rPr>
        <w:t xml:space="preserve">ante uncertainty is positively related to underpricing. The authors also test the proposition that banks that cheat by underpricing too much or too little lose subsequent market share. They use their results from the regression described above to estimate the level of underpricing, given the level of </w:t>
      </w:r>
      <w:r w:rsidR="00CC5043">
        <w:rPr>
          <w:lang w:val="en-US"/>
        </w:rPr>
        <w:t>ex-ante</w:t>
      </w:r>
      <w:r>
        <w:rPr>
          <w:lang w:val="en-US"/>
        </w:rPr>
        <w:t xml:space="preserve"> uncertainty. They then calculate a residual level of underpricing by subtracting the expected level of underpricing from the observed level of underpricing. Beatty and Ritter show that banks with the largest levels of residual underpricing (they underprice too much) tend to lose market share in the subsequent period. Dunbar (2000) finds evidence similar to Beatty and Ritter. Like Beatty and Ritter, Dunbar also calculates an expected level of underpricing using regression estimates. His method differs in the variables used to estimate the expected level of underpricing. In his first regression, he estimates the predicted level of underpricing using gross proceeds, the natural logarithm of gross proceeds</w:t>
      </w:r>
      <w:r>
        <w:rPr>
          <w:rStyle w:val="FootnoteReference"/>
          <w:lang w:val="en-US"/>
        </w:rPr>
        <w:footnoteReference w:id="15"/>
      </w:r>
      <w:r>
        <w:rPr>
          <w:lang w:val="en-US"/>
        </w:rPr>
        <w:t xml:space="preserve"> and dummies for whether the offering price was below or above the initial price range. In the second regression, Dunbar finds that residual underpricing is negatively related to the underwriter’s market share in the following year.</w:t>
      </w:r>
    </w:p>
    <w:p w:rsidR="00302FE0" w:rsidRDefault="00302FE0" w:rsidP="00302FE0">
      <w:pPr>
        <w:spacing w:line="360" w:lineRule="auto"/>
        <w:rPr>
          <w:lang w:val="en-US"/>
        </w:rPr>
      </w:pPr>
      <w:r>
        <w:rPr>
          <w:lang w:val="en-US"/>
        </w:rPr>
        <w:t>Carter and Manaster (1990) extend the reasoning provided by Beatty and Ritter. According to Carter and Manaster</w:t>
      </w:r>
      <w:r w:rsidR="00850BDB">
        <w:rPr>
          <w:lang w:val="en-US"/>
        </w:rPr>
        <w:t>,</w:t>
      </w:r>
      <w:r>
        <w:rPr>
          <w:lang w:val="en-US"/>
        </w:rPr>
        <w:t xml:space="preserve"> investors have limited resources with regards to information gathering. Therefore, investors will </w:t>
      </w:r>
      <w:r w:rsidR="00850BDB">
        <w:rPr>
          <w:lang w:val="en-US"/>
        </w:rPr>
        <w:t>focus on</w:t>
      </w:r>
      <w:r>
        <w:rPr>
          <w:lang w:val="en-US"/>
        </w:rPr>
        <w:t xml:space="preserve"> the most risky IPOs and hence informed capital will concentrate at these IPOs.  Beatty and Ritter (1986) propose that IPOs with larger </w:t>
      </w:r>
      <w:r w:rsidR="00CC5043">
        <w:rPr>
          <w:lang w:val="en-US"/>
        </w:rPr>
        <w:t>ex-ante</w:t>
      </w:r>
      <w:r>
        <w:rPr>
          <w:lang w:val="en-US"/>
        </w:rPr>
        <w:t xml:space="preserve"> uncertainty required more underpricing because of an intensified Winner’s Curse. Carter and Manaster add that this problem becomes even bigger because informed investors tend to invest in risky IPOs, </w:t>
      </w:r>
      <w:r w:rsidR="00850BDB">
        <w:rPr>
          <w:lang w:val="en-US"/>
        </w:rPr>
        <w:t>thus</w:t>
      </w:r>
      <w:r>
        <w:rPr>
          <w:lang w:val="en-US"/>
        </w:rPr>
        <w:t xml:space="preserve"> further increasing the adverse selection problem for uninforme</w:t>
      </w:r>
      <w:r w:rsidR="00850BDB">
        <w:rPr>
          <w:lang w:val="en-US"/>
        </w:rPr>
        <w:t>d investors and hence</w:t>
      </w:r>
      <w:r>
        <w:rPr>
          <w:lang w:val="en-US"/>
        </w:rPr>
        <w:t xml:space="preserve"> the amount of necessary underpricing.  The problem described above gives low risk firms an incentive to signal their riskiness to the market. According to Carter and Manaster, firms signal low risk by selecting prestigious investment banks. They use empirical data to test this hypothesis. The authors find a negative </w:t>
      </w:r>
      <w:r>
        <w:rPr>
          <w:lang w:val="en-US"/>
        </w:rPr>
        <w:lastRenderedPageBreak/>
        <w:t>relation between the dispersion of underpricing and underwriter prestige</w:t>
      </w:r>
      <w:r>
        <w:rPr>
          <w:rStyle w:val="FootnoteReference"/>
          <w:lang w:val="en-US"/>
        </w:rPr>
        <w:footnoteReference w:id="16"/>
      </w:r>
      <w:r>
        <w:rPr>
          <w:lang w:val="en-US"/>
        </w:rPr>
        <w:t xml:space="preserve">. This relation between the low standard deviation of underpricing and underwriter reputation supports the hypothesis that prestigious underwriters tend to underwrite low risk firms. Furthermore the authors find (in support of their signaling theory) that underpricing is negatively related to underwriter reputation. </w:t>
      </w:r>
      <w:r w:rsidRPr="00C97B40">
        <w:rPr>
          <w:lang w:val="en-US"/>
        </w:rPr>
        <w:t>Ljungqvist and Wilhelm (2003) state that the choice of underwriter could be endogenous, leading to biased results.</w:t>
      </w:r>
      <w:r>
        <w:rPr>
          <w:color w:val="FF0000"/>
          <w:lang w:val="en-US"/>
        </w:rPr>
        <w:t xml:space="preserve"> </w:t>
      </w:r>
      <w:r w:rsidRPr="00800873">
        <w:rPr>
          <w:lang w:val="en-US"/>
        </w:rPr>
        <w:t xml:space="preserve">They correct for this endogeneity problem using two stage least squares (2sls). </w:t>
      </w:r>
      <w:r>
        <w:rPr>
          <w:lang w:val="en-US"/>
        </w:rPr>
        <w:t>I discus</w:t>
      </w:r>
      <w:r w:rsidR="00CC5043">
        <w:rPr>
          <w:lang w:val="en-US"/>
        </w:rPr>
        <w:t>s their results in section 3.4.2</w:t>
      </w:r>
      <w:r>
        <w:rPr>
          <w:lang w:val="en-US"/>
        </w:rPr>
        <w:t xml:space="preserve">. </w:t>
      </w:r>
    </w:p>
    <w:p w:rsidR="00302FE0" w:rsidRPr="00906CC5" w:rsidRDefault="00302FE0" w:rsidP="00302FE0">
      <w:pPr>
        <w:spacing w:line="360" w:lineRule="auto"/>
        <w:rPr>
          <w:color w:val="FF0000"/>
          <w:lang w:val="en-US"/>
        </w:rPr>
      </w:pPr>
      <w:r>
        <w:rPr>
          <w:lang w:val="en-US"/>
        </w:rPr>
        <w:t>Welch (1989</w:t>
      </w:r>
      <w:r w:rsidRPr="00104579">
        <w:rPr>
          <w:lang w:val="en-US"/>
        </w:rPr>
        <w:t>) state</w:t>
      </w:r>
      <w:r>
        <w:rPr>
          <w:lang w:val="en-US"/>
        </w:rPr>
        <w:t>s</w:t>
      </w:r>
      <w:r w:rsidRPr="00104579">
        <w:rPr>
          <w:lang w:val="en-US"/>
        </w:rPr>
        <w:t xml:space="preserve"> that issue</w:t>
      </w:r>
      <w:r>
        <w:rPr>
          <w:lang w:val="en-US"/>
        </w:rPr>
        <w:t>rs might</w:t>
      </w:r>
      <w:r w:rsidRPr="00104579">
        <w:rPr>
          <w:lang w:val="en-US"/>
        </w:rPr>
        <w:t xml:space="preserve"> deliberately underprice shares</w:t>
      </w:r>
      <w:r>
        <w:rPr>
          <w:lang w:val="en-US"/>
        </w:rPr>
        <w:t xml:space="preserve"> to</w:t>
      </w:r>
      <w:r w:rsidRPr="00104579">
        <w:rPr>
          <w:lang w:val="en-US"/>
        </w:rPr>
        <w:t xml:space="preserve"> </w:t>
      </w:r>
      <w:r>
        <w:rPr>
          <w:lang w:val="en-US"/>
        </w:rPr>
        <w:t>signal good firm quality</w:t>
      </w:r>
      <w:r w:rsidRPr="00104579">
        <w:rPr>
          <w:lang w:val="en-US"/>
        </w:rPr>
        <w:t xml:space="preserve">. </w:t>
      </w:r>
      <w:r>
        <w:rPr>
          <w:lang w:val="en-US"/>
        </w:rPr>
        <w:t xml:space="preserve">The profit made by investors leaves </w:t>
      </w:r>
      <w:r w:rsidRPr="0051143F">
        <w:rPr>
          <w:i/>
          <w:lang w:val="en-US"/>
        </w:rPr>
        <w:t>‘‘a good taste in their mouth</w:t>
      </w:r>
      <w:r>
        <w:rPr>
          <w:lang w:val="en-US"/>
        </w:rPr>
        <w:t xml:space="preserve">s’’. This can be useful when the issuer issues a subsequent seasoned equity offer (SEO). The loss from underpricing should then be offset by the gain of making an SEO at a price that is higher than without the good quality signal.  Jegadeesh et al. (1993) find evidence that supports this theory. Their empirical tests show that firms that underprice </w:t>
      </w:r>
      <w:proofErr w:type="gramStart"/>
      <w:r>
        <w:rPr>
          <w:lang w:val="en-US"/>
        </w:rPr>
        <w:t>more,</w:t>
      </w:r>
      <w:proofErr w:type="gramEnd"/>
      <w:r>
        <w:rPr>
          <w:lang w:val="en-US"/>
        </w:rPr>
        <w:t xml:space="preserve"> are more likely to issue subsequent seasoned equity and their SEOs are larger. These firms also face less severe price drops when SEOs are announced</w:t>
      </w:r>
      <w:r>
        <w:rPr>
          <w:rStyle w:val="FootnoteReference"/>
          <w:lang w:val="en-US"/>
        </w:rPr>
        <w:footnoteReference w:id="17"/>
      </w:r>
      <w:r>
        <w:rPr>
          <w:lang w:val="en-US"/>
        </w:rPr>
        <w:t xml:space="preserve">, indicating that they successfully signaled their quality in the IPO. Although the findings are statistically significant, the authors question their economic significance. 15.6% of the firms in the lowest underpricing quantile issued seasoned equity, whereas 23.9% of firms in the highest underpricing quantile issued seasoned equity. This relatively small difference undermines the explanatory power of the signaling hypothesis. The authors believe that a better explanation of the observed pattern is the market feedback hypothesis in which investors </w:t>
      </w:r>
      <w:proofErr w:type="gramStart"/>
      <w:r>
        <w:rPr>
          <w:lang w:val="en-US"/>
        </w:rPr>
        <w:t>have</w:t>
      </w:r>
      <w:proofErr w:type="gramEnd"/>
      <w:r>
        <w:rPr>
          <w:lang w:val="en-US"/>
        </w:rPr>
        <w:t xml:space="preserve"> more information than the issuer. </w:t>
      </w:r>
      <w:r w:rsidRPr="00DE50A6">
        <w:rPr>
          <w:lang w:val="en-US"/>
        </w:rPr>
        <w:t xml:space="preserve">The market feedback hypothesis will be discussed </w:t>
      </w:r>
      <w:r>
        <w:rPr>
          <w:lang w:val="en-US"/>
        </w:rPr>
        <w:t xml:space="preserve">in </w:t>
      </w:r>
      <w:r w:rsidRPr="00DE50A6">
        <w:rPr>
          <w:lang w:val="en-US"/>
        </w:rPr>
        <w:t>section</w:t>
      </w:r>
      <w:r>
        <w:rPr>
          <w:color w:val="FF0000"/>
          <w:lang w:val="en-US"/>
        </w:rPr>
        <w:t xml:space="preserve"> </w:t>
      </w:r>
      <w:r>
        <w:rPr>
          <w:lang w:val="en-US"/>
        </w:rPr>
        <w:t>3</w:t>
      </w:r>
      <w:r w:rsidRPr="00265DD4">
        <w:rPr>
          <w:lang w:val="en-US"/>
        </w:rPr>
        <w:t>.</w:t>
      </w:r>
      <w:r>
        <w:rPr>
          <w:lang w:val="en-US"/>
        </w:rPr>
        <w:t>4</w:t>
      </w:r>
      <w:r w:rsidRPr="00265DD4">
        <w:rPr>
          <w:lang w:val="en-US"/>
        </w:rPr>
        <w:t>.1.2.</w:t>
      </w:r>
      <w:r>
        <w:rPr>
          <w:color w:val="FF0000"/>
          <w:lang w:val="en-US"/>
        </w:rPr>
        <w:t xml:space="preserve"> </w:t>
      </w:r>
    </w:p>
    <w:p w:rsidR="00302FE0" w:rsidRDefault="00302FE0" w:rsidP="00302FE0">
      <w:pPr>
        <w:spacing w:line="360" w:lineRule="auto"/>
        <w:rPr>
          <w:lang w:val="en-US"/>
        </w:rPr>
      </w:pPr>
      <w:r w:rsidRPr="00717C65">
        <w:rPr>
          <w:lang w:val="en-US"/>
        </w:rPr>
        <w:t xml:space="preserve">Habib and Ljungqvist (2001) base their theory on the same adverse selection problem used in Rock’s model. They state </w:t>
      </w:r>
      <w:r>
        <w:rPr>
          <w:lang w:val="en-US"/>
        </w:rPr>
        <w:t>however,</w:t>
      </w:r>
      <w:r w:rsidRPr="00717C65">
        <w:rPr>
          <w:lang w:val="en-US"/>
        </w:rPr>
        <w:t xml:space="preserve"> that issuers can promote the </w:t>
      </w:r>
      <w:r>
        <w:rPr>
          <w:lang w:val="en-US"/>
        </w:rPr>
        <w:t>IPO</w:t>
      </w:r>
      <w:r w:rsidRPr="00717C65">
        <w:rPr>
          <w:lang w:val="en-US"/>
        </w:rPr>
        <w:t xml:space="preserve"> at a cost in order to inform investors and decrease the necessary amount of underpricing. Because larger IPOs suffer more (in dollar value) when IPOs are underpriced, issuer</w:t>
      </w:r>
      <w:r>
        <w:rPr>
          <w:lang w:val="en-US"/>
        </w:rPr>
        <w:t>s will put in</w:t>
      </w:r>
      <w:r w:rsidRPr="00717C65">
        <w:rPr>
          <w:lang w:val="en-US"/>
        </w:rPr>
        <w:t xml:space="preserve"> greater promotion efforts. Furthermore</w:t>
      </w:r>
      <w:r>
        <w:rPr>
          <w:lang w:val="en-US"/>
        </w:rPr>
        <w:t>,</w:t>
      </w:r>
      <w:r w:rsidRPr="00717C65">
        <w:rPr>
          <w:lang w:val="en-US"/>
        </w:rPr>
        <w:t xml:space="preserve"> the authors state that if the proportion of insider selling is high, management has an incentive to spend more on promotion</w:t>
      </w:r>
      <w:r>
        <w:rPr>
          <w:lang w:val="en-US"/>
        </w:rPr>
        <w:t xml:space="preserve"> and reduce the need for underpricing</w:t>
      </w:r>
      <w:r w:rsidRPr="00717C65">
        <w:rPr>
          <w:lang w:val="en-US"/>
        </w:rPr>
        <w:t>. The authors test</w:t>
      </w:r>
      <w:r>
        <w:rPr>
          <w:lang w:val="en-US"/>
        </w:rPr>
        <w:t xml:space="preserve"> </w:t>
      </w:r>
      <w:r w:rsidRPr="00717C65">
        <w:rPr>
          <w:lang w:val="en-US"/>
        </w:rPr>
        <w:t>three predictions of the model</w:t>
      </w:r>
      <w:r>
        <w:rPr>
          <w:lang w:val="en-US"/>
        </w:rPr>
        <w:t>, i.e. u</w:t>
      </w:r>
      <w:r w:rsidRPr="00717C65">
        <w:rPr>
          <w:lang w:val="en-US"/>
        </w:rPr>
        <w:t>nderpricing is negatively related to promotion</w:t>
      </w:r>
      <w:r>
        <w:rPr>
          <w:lang w:val="en-US"/>
        </w:rPr>
        <w:t xml:space="preserve"> costs, p</w:t>
      </w:r>
      <w:r w:rsidRPr="00717C65">
        <w:rPr>
          <w:lang w:val="en-US"/>
        </w:rPr>
        <w:t>romotion costs are positively related to the</w:t>
      </w:r>
      <w:r>
        <w:rPr>
          <w:lang w:val="en-US"/>
        </w:rPr>
        <w:t xml:space="preserve"> size of the IPO and u</w:t>
      </w:r>
      <w:r w:rsidRPr="00717C65">
        <w:rPr>
          <w:lang w:val="en-US"/>
        </w:rPr>
        <w:t>nderpricing is negatively related to insider selling.</w:t>
      </w:r>
      <w:r>
        <w:rPr>
          <w:lang w:val="en-US"/>
        </w:rPr>
        <w:t xml:space="preserve"> T</w:t>
      </w:r>
      <w:r w:rsidRPr="00717C65">
        <w:rPr>
          <w:lang w:val="en-US"/>
        </w:rPr>
        <w:t>heir large dataset of US IPOs between 1991 and 1995 provides evi</w:t>
      </w:r>
      <w:r>
        <w:rPr>
          <w:lang w:val="en-US"/>
        </w:rPr>
        <w:t>dence for all three predictions.</w:t>
      </w:r>
      <w:r w:rsidRPr="00717C65">
        <w:rPr>
          <w:lang w:val="en-US"/>
        </w:rPr>
        <w:t xml:space="preserve"> </w:t>
      </w:r>
      <w:r>
        <w:rPr>
          <w:lang w:val="en-US"/>
        </w:rPr>
        <w:t xml:space="preserve">The authors also find that </w:t>
      </w:r>
      <w:r>
        <w:rPr>
          <w:lang w:val="en-US"/>
        </w:rPr>
        <w:lastRenderedPageBreak/>
        <w:t>the marginal dollar spend on promotion reduces marginal underpricing by 98 cents. This evidence supports the hypothesis that managers optimize the amount of promotion.</w:t>
      </w:r>
    </w:p>
    <w:p w:rsidR="00302FE0" w:rsidRDefault="00302FE0" w:rsidP="00302FE0">
      <w:pPr>
        <w:spacing w:line="360" w:lineRule="auto"/>
        <w:rPr>
          <w:i/>
          <w:lang w:val="en-US"/>
        </w:rPr>
      </w:pPr>
      <w:r w:rsidRPr="00BE3A78">
        <w:rPr>
          <w:i/>
          <w:lang w:val="en-US"/>
        </w:rPr>
        <w:t>Further empirical test</w:t>
      </w:r>
      <w:r>
        <w:rPr>
          <w:i/>
          <w:lang w:val="en-US"/>
        </w:rPr>
        <w:t>s</w:t>
      </w:r>
      <w:r w:rsidRPr="00BE3A78">
        <w:rPr>
          <w:i/>
          <w:lang w:val="en-US"/>
        </w:rPr>
        <w:t xml:space="preserve"> on Rock’s model and extensions</w:t>
      </w:r>
    </w:p>
    <w:p w:rsidR="00302FE0" w:rsidRDefault="00302FE0" w:rsidP="00302FE0">
      <w:pPr>
        <w:spacing w:line="360" w:lineRule="auto"/>
        <w:rPr>
          <w:lang w:val="en-US"/>
        </w:rPr>
      </w:pPr>
      <w:r w:rsidRPr="00411B28">
        <w:rPr>
          <w:lang w:val="en-US"/>
        </w:rPr>
        <w:t>Michaely and Shaw (199</w:t>
      </w:r>
      <w:r>
        <w:rPr>
          <w:lang w:val="en-US"/>
        </w:rPr>
        <w:t>4</w:t>
      </w:r>
      <w:r w:rsidRPr="00411B28">
        <w:rPr>
          <w:lang w:val="en-US"/>
        </w:rPr>
        <w:t>) test the empirical implications of some of the models described above</w:t>
      </w:r>
      <w:r>
        <w:rPr>
          <w:lang w:val="en-US"/>
        </w:rPr>
        <w:t xml:space="preserve">. </w:t>
      </w:r>
      <w:r w:rsidRPr="00411B28">
        <w:rPr>
          <w:lang w:val="en-US"/>
        </w:rPr>
        <w:t>Michaely and Shaw</w:t>
      </w:r>
      <w:r>
        <w:rPr>
          <w:lang w:val="en-US"/>
        </w:rPr>
        <w:t xml:space="preserve"> state that the group of informed investors</w:t>
      </w:r>
      <w:r w:rsidR="00850BDB">
        <w:rPr>
          <w:lang w:val="en-US"/>
        </w:rPr>
        <w:t xml:space="preserve"> in Rock’s model</w:t>
      </w:r>
      <w:r>
        <w:rPr>
          <w:lang w:val="en-US"/>
        </w:rPr>
        <w:t xml:space="preserve"> is mostly formed by institutional investors. Therefore, they divide their dataset in two samples, one sample of ’regular’ IPOs in which both institutional</w:t>
      </w:r>
      <w:r w:rsidR="00CC5043">
        <w:rPr>
          <w:lang w:val="en-US"/>
        </w:rPr>
        <w:t xml:space="preserve"> (informed)</w:t>
      </w:r>
      <w:r>
        <w:rPr>
          <w:lang w:val="en-US"/>
        </w:rPr>
        <w:t xml:space="preserve"> investors and retail (uninformed) investors participate and a sample of master limited partner</w:t>
      </w:r>
      <w:r>
        <w:rPr>
          <w:rStyle w:val="FootnoteReference"/>
          <w:lang w:val="en-US"/>
        </w:rPr>
        <w:footnoteReference w:id="18"/>
      </w:r>
      <w:r>
        <w:rPr>
          <w:lang w:val="en-US"/>
        </w:rPr>
        <w:t xml:space="preserve"> (MPL) IPOs in which only retail investors participate. The evidence in this paper shows that IPOs had a statistically significant first day return of 8.5% whereas the IPOs in the MPL group had a statically insignificant first day return of only -0.04%. These results are consistent with the Winner’s Curse problem in Rock’s model. </w:t>
      </w:r>
      <w:r w:rsidRPr="00411B28">
        <w:rPr>
          <w:lang w:val="en-US"/>
        </w:rPr>
        <w:t>Michaely and Shaw</w:t>
      </w:r>
      <w:r>
        <w:rPr>
          <w:lang w:val="en-US"/>
        </w:rPr>
        <w:t xml:space="preserve"> also show that underwriters with a good reputation are associated with less underpricing, consistent with Carter and Manaster (1990). The authors find a positive relation between issue </w:t>
      </w:r>
      <w:proofErr w:type="gramStart"/>
      <w:r>
        <w:rPr>
          <w:lang w:val="en-US"/>
        </w:rPr>
        <w:t>size</w:t>
      </w:r>
      <w:proofErr w:type="gramEnd"/>
      <w:r>
        <w:rPr>
          <w:lang w:val="en-US"/>
        </w:rPr>
        <w:t xml:space="preserve"> and underpricing, so bigger issues are associated with more underpricing. This is inconsistent with Beatty and Ritter (1986). Finally</w:t>
      </w:r>
      <w:r w:rsidR="00850BDB">
        <w:rPr>
          <w:lang w:val="en-US"/>
        </w:rPr>
        <w:t>,</w:t>
      </w:r>
      <w:r>
        <w:rPr>
          <w:lang w:val="en-US"/>
        </w:rPr>
        <w:t xml:space="preserve"> </w:t>
      </w:r>
      <w:r w:rsidRPr="00411B28">
        <w:rPr>
          <w:lang w:val="en-US"/>
        </w:rPr>
        <w:t>Michaely and Shaw</w:t>
      </w:r>
      <w:r>
        <w:rPr>
          <w:lang w:val="en-US"/>
        </w:rPr>
        <w:t xml:space="preserve"> test the signaling hypothesis proposed by Welch (1989). Their evidence contradicts the signaling hypothesis in two ways. First, they find that firms that underpr</w:t>
      </w:r>
      <w:r w:rsidR="00CF7709">
        <w:rPr>
          <w:lang w:val="en-US"/>
        </w:rPr>
        <w:t>ice more, less frequently issue</w:t>
      </w:r>
      <w:r>
        <w:rPr>
          <w:lang w:val="en-US"/>
        </w:rPr>
        <w:t xml:space="preserve"> SEOs</w:t>
      </w:r>
      <w:r w:rsidR="00CF7709">
        <w:rPr>
          <w:lang w:val="en-US"/>
        </w:rPr>
        <w:t>. S</w:t>
      </w:r>
      <w:r>
        <w:rPr>
          <w:lang w:val="en-US"/>
        </w:rPr>
        <w:t>econd</w:t>
      </w:r>
      <w:r w:rsidR="00CF7709">
        <w:rPr>
          <w:lang w:val="en-US"/>
        </w:rPr>
        <w:t>,</w:t>
      </w:r>
      <w:r>
        <w:rPr>
          <w:lang w:val="en-US"/>
        </w:rPr>
        <w:t xml:space="preserve"> firms </w:t>
      </w:r>
      <w:proofErr w:type="gramStart"/>
      <w:r>
        <w:rPr>
          <w:lang w:val="en-US"/>
        </w:rPr>
        <w:t>that underpr</w:t>
      </w:r>
      <w:r w:rsidR="00CF7709">
        <w:rPr>
          <w:lang w:val="en-US"/>
        </w:rPr>
        <w:t>ice</w:t>
      </w:r>
      <w:proofErr w:type="gramEnd"/>
      <w:r w:rsidR="00CF7709">
        <w:rPr>
          <w:lang w:val="en-US"/>
        </w:rPr>
        <w:t xml:space="preserve"> less</w:t>
      </w:r>
      <w:r>
        <w:rPr>
          <w:lang w:val="en-US"/>
        </w:rPr>
        <w:t xml:space="preserve"> experience higher earnings and pay more dividend, implying better firm quality. </w:t>
      </w:r>
    </w:p>
    <w:p w:rsidR="00302FE0" w:rsidRPr="00750B8D" w:rsidRDefault="00302FE0" w:rsidP="00302FE0">
      <w:pPr>
        <w:spacing w:line="360" w:lineRule="auto"/>
        <w:rPr>
          <w:lang w:val="en-US"/>
        </w:rPr>
      </w:pPr>
      <w:r w:rsidRPr="00750B8D">
        <w:rPr>
          <w:lang w:val="en-US"/>
        </w:rPr>
        <w:t>Other tests of Rock’s model also check whether there are informed and uninformed investors and whether underpricing is indeed a compensation for the Winner’s Curse. Hanley and Wilhelm (1995), show that in the US, between 1983 and 1988, institutional investors were allocated 70% of the shares in underpriced issues. However, the authors state that institutional investors received similar sized stakes in overpriced issues. This evidence suggests that institutional investors indeed receive a big share of the money left on the table, but this is not because they have better information</w:t>
      </w:r>
      <w:r w:rsidRPr="00750B8D">
        <w:rPr>
          <w:rStyle w:val="FootnoteReference"/>
          <w:lang w:val="en-US"/>
        </w:rPr>
        <w:footnoteReference w:id="19"/>
      </w:r>
      <w:r w:rsidRPr="00750B8D">
        <w:rPr>
          <w:lang w:val="en-US"/>
        </w:rPr>
        <w:t xml:space="preserve">. </w:t>
      </w:r>
    </w:p>
    <w:p w:rsidR="00302FE0" w:rsidRDefault="00302FE0">
      <w:pPr>
        <w:rPr>
          <w:lang w:val="en-US"/>
        </w:rPr>
      </w:pPr>
      <w:r>
        <w:rPr>
          <w:lang w:val="en-US"/>
        </w:rPr>
        <w:br w:type="page"/>
      </w:r>
    </w:p>
    <w:p w:rsidR="00302FE0" w:rsidRPr="008173A0" w:rsidRDefault="00302FE0" w:rsidP="00302FE0">
      <w:pPr>
        <w:spacing w:line="360" w:lineRule="auto"/>
        <w:rPr>
          <w:lang w:val="en-US"/>
        </w:rPr>
      </w:pPr>
      <w:r>
        <w:rPr>
          <w:lang w:val="en-US"/>
        </w:rPr>
        <w:lastRenderedPageBreak/>
        <w:t xml:space="preserve">Lee et al. (1999) criticize the findings of Hanley and Wilhelm (1995). They state that although institutional investors received similar sized allocations in under- and overpriced issues, they might have requested more allocations in underpriced issues. Unfortunately, data on the allocation process in the US is not available. Lee et al. use a dataset from the Stock Exchange of Singapore to show that there are in fact informed and uninformed investors. In Singapore, data regarding oversubscription is published making this data especially useful. The authors show that large investors place significantly bigger orders in IPOs that are underpriced, indicating that these large investors have superior information. </w:t>
      </w:r>
      <w:r w:rsidRPr="00850971">
        <w:rPr>
          <w:lang w:val="en-US"/>
        </w:rPr>
        <w:t>The authors also state that in Singapore</w:t>
      </w:r>
      <w:r>
        <w:rPr>
          <w:lang w:val="en-US"/>
        </w:rPr>
        <w:t>,</w:t>
      </w:r>
      <w:r w:rsidRPr="00850971">
        <w:rPr>
          <w:lang w:val="en-US"/>
        </w:rPr>
        <w:t xml:space="preserve"> the final allocation of shares is different from the initial</w:t>
      </w:r>
      <w:r>
        <w:rPr>
          <w:lang w:val="en-US"/>
        </w:rPr>
        <w:t xml:space="preserve"> distribution of orders, since large investors are discriminated against. Therefore, it is important to draw conclusions from the application strategies and not the final allocations. </w:t>
      </w:r>
      <w:r w:rsidRPr="008173A0">
        <w:rPr>
          <w:lang w:val="en-US"/>
        </w:rPr>
        <w:t xml:space="preserve">Chowdry and Sherman (1996) use their model to show that discrimination against large investors can reduce the </w:t>
      </w:r>
      <w:r>
        <w:rPr>
          <w:lang w:val="en-US"/>
        </w:rPr>
        <w:t>Winner’s Curse</w:t>
      </w:r>
      <w:r w:rsidRPr="008173A0">
        <w:rPr>
          <w:lang w:val="en-US"/>
        </w:rPr>
        <w:t xml:space="preserve"> problem. </w:t>
      </w:r>
      <w:r>
        <w:rPr>
          <w:lang w:val="en-US"/>
        </w:rPr>
        <w:t xml:space="preserve"> Koh and Walter (1989) also use data from the Singaporean stock market. The authors find that in Singapore</w:t>
      </w:r>
      <w:r w:rsidR="00CF7709">
        <w:rPr>
          <w:lang w:val="en-US"/>
        </w:rPr>
        <w:t>,</w:t>
      </w:r>
      <w:r>
        <w:rPr>
          <w:lang w:val="en-US"/>
        </w:rPr>
        <w:t xml:space="preserve"> an uninformed</w:t>
      </w:r>
      <w:r>
        <w:rPr>
          <w:rStyle w:val="FootnoteReference"/>
          <w:lang w:val="en-US"/>
        </w:rPr>
        <w:footnoteReference w:id="20"/>
      </w:r>
      <w:r>
        <w:rPr>
          <w:lang w:val="en-US"/>
        </w:rPr>
        <w:t xml:space="preserve"> investment strategy earned the risk free rate of return on average</w:t>
      </w:r>
      <w:r>
        <w:rPr>
          <w:rStyle w:val="FootnoteReference"/>
          <w:lang w:val="en-US"/>
        </w:rPr>
        <w:footnoteReference w:id="21"/>
      </w:r>
      <w:r>
        <w:rPr>
          <w:lang w:val="en-US"/>
        </w:rPr>
        <w:t xml:space="preserve">. This evidence indicates that IPOs in Singapore were underpriced by the amount predicted by Rock’s model. </w:t>
      </w:r>
    </w:p>
    <w:p w:rsidR="00302FE0" w:rsidRPr="00260C88" w:rsidRDefault="00302FE0" w:rsidP="00302FE0">
      <w:pPr>
        <w:autoSpaceDE w:val="0"/>
        <w:autoSpaceDN w:val="0"/>
        <w:adjustRightInd w:val="0"/>
        <w:spacing w:line="360" w:lineRule="auto"/>
        <w:rPr>
          <w:lang w:val="en-US"/>
        </w:rPr>
      </w:pPr>
      <w:r>
        <w:rPr>
          <w:lang w:val="en-US"/>
        </w:rPr>
        <w:t>Aggarwal et al.</w:t>
      </w:r>
      <w:r w:rsidRPr="00DE4B6E">
        <w:rPr>
          <w:lang w:val="en-US"/>
        </w:rPr>
        <w:t xml:space="preserve"> (2002) </w:t>
      </w:r>
      <w:r>
        <w:rPr>
          <w:lang w:val="en-US"/>
        </w:rPr>
        <w:t xml:space="preserve">also </w:t>
      </w:r>
      <w:r w:rsidRPr="00DE4B6E">
        <w:rPr>
          <w:lang w:val="en-US"/>
        </w:rPr>
        <w:t>find evidence on allocations</w:t>
      </w:r>
      <w:r w:rsidR="00CF7709">
        <w:rPr>
          <w:lang w:val="en-US"/>
        </w:rPr>
        <w:t>. Their data</w:t>
      </w:r>
      <w:r>
        <w:rPr>
          <w:lang w:val="en-US"/>
        </w:rPr>
        <w:t xml:space="preserve"> of I</w:t>
      </w:r>
      <w:r w:rsidR="00CF7709">
        <w:rPr>
          <w:lang w:val="en-US"/>
        </w:rPr>
        <w:t xml:space="preserve">POs between 1997 and </w:t>
      </w:r>
      <w:proofErr w:type="gramStart"/>
      <w:r w:rsidR="00CF7709">
        <w:rPr>
          <w:lang w:val="en-US"/>
        </w:rPr>
        <w:t>1998,</w:t>
      </w:r>
      <w:proofErr w:type="gramEnd"/>
      <w:r w:rsidR="00CF7709">
        <w:rPr>
          <w:lang w:val="en-US"/>
        </w:rPr>
        <w:t xml:space="preserve"> show</w:t>
      </w:r>
      <w:r w:rsidR="00CC5043">
        <w:rPr>
          <w:lang w:val="en-US"/>
        </w:rPr>
        <w:t>s</w:t>
      </w:r>
      <w:r>
        <w:rPr>
          <w:lang w:val="en-US"/>
        </w:rPr>
        <w:t xml:space="preserve"> that underpricing is positively related to the size of institutional investors’ allocations. This can be seen as evidence in favor of Rock’s model. However, this evidence is also consistent with Book Building theories described in </w:t>
      </w:r>
      <w:r w:rsidRPr="00265DD4">
        <w:rPr>
          <w:lang w:val="en-US"/>
        </w:rPr>
        <w:t xml:space="preserve">section </w:t>
      </w:r>
      <w:r w:rsidR="00CC5043">
        <w:rPr>
          <w:lang w:val="en-US"/>
        </w:rPr>
        <w:t>3.4</w:t>
      </w:r>
      <w:r>
        <w:rPr>
          <w:lang w:val="en-US"/>
        </w:rPr>
        <w:t>.1.2 and with the realignment of incentives hyp</w:t>
      </w:r>
      <w:r w:rsidR="00CC5043">
        <w:rPr>
          <w:lang w:val="en-US"/>
        </w:rPr>
        <w:t>othesis described in section 3.4</w:t>
      </w:r>
      <w:r>
        <w:rPr>
          <w:lang w:val="en-US"/>
        </w:rPr>
        <w:t>.3</w:t>
      </w:r>
      <w:r w:rsidR="008B2A52">
        <w:rPr>
          <w:lang w:val="en-US"/>
        </w:rPr>
        <w:t>.</w:t>
      </w:r>
      <w:r>
        <w:rPr>
          <w:lang w:val="en-US"/>
        </w:rPr>
        <w:t xml:space="preserve"> </w:t>
      </w:r>
    </w:p>
    <w:p w:rsidR="00302FE0" w:rsidRPr="00BE3A78" w:rsidRDefault="00302FE0" w:rsidP="00302FE0">
      <w:pPr>
        <w:spacing w:line="360" w:lineRule="auto"/>
        <w:rPr>
          <w:lang w:val="en-US"/>
        </w:rPr>
      </w:pPr>
      <w:r>
        <w:rPr>
          <w:lang w:val="en-GB"/>
        </w:rPr>
        <w:t xml:space="preserve">Amihud et al. </w:t>
      </w:r>
      <w:r w:rsidRPr="0011028E">
        <w:rPr>
          <w:lang w:val="en-GB"/>
        </w:rPr>
        <w:t>(2003) also test Rock’s model, using data from the Tel-Aviv stock Exchange</w:t>
      </w:r>
      <w:r>
        <w:rPr>
          <w:lang w:val="en-GB"/>
        </w:rPr>
        <w:t xml:space="preserve"> between 1989 and 1993</w:t>
      </w:r>
      <w:r w:rsidRPr="0011028E">
        <w:rPr>
          <w:lang w:val="en-GB"/>
        </w:rPr>
        <w:t>.</w:t>
      </w:r>
      <w:r>
        <w:rPr>
          <w:lang w:val="en-GB"/>
        </w:rPr>
        <w:t xml:space="preserve"> Whereas in the US allocation rates are at the discretion of investment banks,</w:t>
      </w:r>
      <w:r w:rsidRPr="0011028E">
        <w:rPr>
          <w:lang w:val="en-GB"/>
        </w:rPr>
        <w:t xml:space="preserve"> </w:t>
      </w:r>
      <w:r>
        <w:rPr>
          <w:lang w:val="en-GB"/>
        </w:rPr>
        <w:t>in Israel all investors in an IPO receive an equal proportion of their order. Furthermore</w:t>
      </w:r>
      <w:r w:rsidR="00CF7709">
        <w:rPr>
          <w:lang w:val="en-GB"/>
        </w:rPr>
        <w:t>,</w:t>
      </w:r>
      <w:r>
        <w:rPr>
          <w:lang w:val="en-GB"/>
        </w:rPr>
        <w:t xml:space="preserve"> this figure is made public. This allowed the authors to test two </w:t>
      </w:r>
      <w:r>
        <w:rPr>
          <w:lang w:val="en-US"/>
        </w:rPr>
        <w:t>predictions</w:t>
      </w:r>
      <w:r>
        <w:rPr>
          <w:lang w:val="en-GB"/>
        </w:rPr>
        <w:t xml:space="preserve"> of Rock’s model: First, the allocation rate is negatively related to first day returns (underpricing) and second, an uninformed strategy breaks even, indicating that underpricing is just enough to compensate for the Winner’s Curse.  Amihud et al. find evidence for the first prediction. Furthermore the authors find that non- rationed investment in their sample would have generated a return of 12%. An unin</w:t>
      </w:r>
      <w:r w:rsidR="00CC5043">
        <w:rPr>
          <w:lang w:val="en-GB"/>
        </w:rPr>
        <w:t xml:space="preserve">formed investment strategy made </w:t>
      </w:r>
      <w:r>
        <w:rPr>
          <w:lang w:val="en-GB"/>
        </w:rPr>
        <w:t>1.18% due to rationing. These results provide evidence for Rock’s model. The authors also state that price support is not allowed in Israel. Since price support can reduce the Winner’s Curse,</w:t>
      </w:r>
      <w:r w:rsidRPr="007449D5">
        <w:rPr>
          <w:color w:val="FF0000"/>
          <w:lang w:val="en-GB"/>
        </w:rPr>
        <w:t xml:space="preserve"> </w:t>
      </w:r>
      <w:r>
        <w:rPr>
          <w:lang w:val="en-GB"/>
        </w:rPr>
        <w:t xml:space="preserve">the Winner’s Curse problem could be bigger in Israel than in the </w:t>
      </w:r>
      <w:proofErr w:type="gramStart"/>
      <w:r>
        <w:rPr>
          <w:lang w:val="en-GB"/>
        </w:rPr>
        <w:t>U.S..</w:t>
      </w:r>
      <w:proofErr w:type="gramEnd"/>
      <w:r>
        <w:rPr>
          <w:lang w:val="en-GB"/>
        </w:rPr>
        <w:t xml:space="preserve"> Amihud et al. also state that in </w:t>
      </w:r>
      <w:r>
        <w:rPr>
          <w:lang w:val="en-GB"/>
        </w:rPr>
        <w:lastRenderedPageBreak/>
        <w:t>Israel between 1989 and 1993, the demand for an IPO was either extremely high, or the IPO was undersubscribed. The authors state that this can be seen as evidence in favor of the information cascade or bandwagon hypothesis (</w:t>
      </w:r>
      <w:r>
        <w:rPr>
          <w:lang w:val="en-US"/>
        </w:rPr>
        <w:t xml:space="preserve">Bikhchandani et al., </w:t>
      </w:r>
      <w:r w:rsidRPr="007709AF">
        <w:rPr>
          <w:lang w:val="en-US"/>
        </w:rPr>
        <w:t>1992</w:t>
      </w:r>
      <w:r>
        <w:rPr>
          <w:lang w:val="en-US"/>
        </w:rPr>
        <w:t xml:space="preserve">; </w:t>
      </w:r>
      <w:r>
        <w:rPr>
          <w:lang w:val="en-GB"/>
        </w:rPr>
        <w:t xml:space="preserve">Ritter, 1998) </w:t>
      </w:r>
      <w:proofErr w:type="gramStart"/>
      <w:r>
        <w:rPr>
          <w:lang w:val="en-US"/>
        </w:rPr>
        <w:t>These</w:t>
      </w:r>
      <w:proofErr w:type="gramEnd"/>
      <w:r>
        <w:rPr>
          <w:lang w:val="en-US"/>
        </w:rPr>
        <w:t xml:space="preserve"> theories state that investors observe the behavior of other investors. If some investors place an order in an IPO, other investors will follow suit. Underwriters may therefore underprice an IPO in order to induce the first few investors to place an order. </w:t>
      </w:r>
      <w:proofErr w:type="gramStart"/>
      <w:r>
        <w:rPr>
          <w:lang w:val="en-US"/>
        </w:rPr>
        <w:t>This ‘herding behavior’ results</w:t>
      </w:r>
      <w:proofErr w:type="gramEnd"/>
      <w:r>
        <w:rPr>
          <w:lang w:val="en-US"/>
        </w:rPr>
        <w:t xml:space="preserve"> in either heavily oversubscribed or undersubscribed IPOs.</w:t>
      </w:r>
    </w:p>
    <w:p w:rsidR="00302FE0" w:rsidRPr="008F2B40" w:rsidRDefault="00302FE0" w:rsidP="00302FE0">
      <w:pPr>
        <w:spacing w:line="360" w:lineRule="auto"/>
        <w:rPr>
          <w:lang w:val="en-US"/>
        </w:rPr>
      </w:pPr>
      <w:r w:rsidRPr="008F2B40">
        <w:rPr>
          <w:bCs/>
          <w:lang w:val="en-US"/>
        </w:rPr>
        <w:t>Section 3.3 described how investment banks oversell the IPO and cover this short position with the Green Shoe option. Overselling allows underwriters to buy back shares at the offering price and hereby support the share price. In the framework described by Rock, informed investors only bid for shares that are underpriced and uninformed investors bid for both under- and overpriced shares. The ability to sell the shares back to the underwriter at the offer price is therefore not valuable to informed investors, but can be seen as a put option for uninformed investors. According to Chowdhry and Nanda (1996) price stabilization reduces the Winner’s Curse</w:t>
      </w:r>
      <w:r w:rsidR="00CF7709" w:rsidRPr="008F2B40">
        <w:rPr>
          <w:bCs/>
          <w:lang w:val="en-US"/>
        </w:rPr>
        <w:t xml:space="preserve"> problem and hence</w:t>
      </w:r>
      <w:r w:rsidRPr="008F2B40">
        <w:rPr>
          <w:bCs/>
          <w:lang w:val="en-US"/>
        </w:rPr>
        <w:t xml:space="preserve"> the need for underpricing. Chowd</w:t>
      </w:r>
      <w:r w:rsidR="008F2B40" w:rsidRPr="008F2B40">
        <w:rPr>
          <w:bCs/>
          <w:lang w:val="en-US"/>
        </w:rPr>
        <w:t>h</w:t>
      </w:r>
      <w:r w:rsidRPr="008F2B40">
        <w:rPr>
          <w:bCs/>
          <w:lang w:val="en-US"/>
        </w:rPr>
        <w:t xml:space="preserve">ry and Nanda do however state that any price stabilization beyond the 15% covered by the Green Shoe option can be costly to the investment bank. </w:t>
      </w:r>
      <w:r w:rsidRPr="008F2B40">
        <w:rPr>
          <w:lang w:val="en-US"/>
        </w:rPr>
        <w:t>Ellis et al. (2000) state that price stabilization and the role of prime market maker is actually profitable for the underwriter (see section 3.4.3.2).</w:t>
      </w:r>
    </w:p>
    <w:p w:rsidR="007675A0" w:rsidRPr="0094274C" w:rsidRDefault="0094274C" w:rsidP="0094274C">
      <w:pPr>
        <w:spacing w:after="0" w:line="240" w:lineRule="auto"/>
        <w:ind w:left="1418" w:hanging="851"/>
        <w:outlineLvl w:val="0"/>
        <w:rPr>
          <w:b/>
          <w:lang w:val="en-US"/>
        </w:rPr>
      </w:pPr>
      <w:r>
        <w:rPr>
          <w:b/>
          <w:lang w:val="en-US"/>
        </w:rPr>
        <w:t>3.</w:t>
      </w:r>
      <w:r w:rsidR="009C10C7">
        <w:rPr>
          <w:b/>
          <w:lang w:val="en-US"/>
        </w:rPr>
        <w:t>4</w:t>
      </w:r>
      <w:r>
        <w:rPr>
          <w:b/>
          <w:lang w:val="en-US"/>
        </w:rPr>
        <w:t>.1.2.</w:t>
      </w:r>
      <w:r>
        <w:rPr>
          <w:b/>
          <w:lang w:val="en-US"/>
        </w:rPr>
        <w:tab/>
      </w:r>
      <w:r w:rsidR="007675A0" w:rsidRPr="0094274C">
        <w:rPr>
          <w:b/>
          <w:lang w:val="en-US"/>
        </w:rPr>
        <w:t xml:space="preserve"> </w:t>
      </w:r>
      <w:bookmarkStart w:id="7" w:name="_Toc280276098"/>
      <w:r w:rsidR="007675A0" w:rsidRPr="0094274C">
        <w:rPr>
          <w:b/>
          <w:lang w:val="en-US"/>
        </w:rPr>
        <w:t>Investors have superior information</w:t>
      </w:r>
      <w:bookmarkEnd w:id="7"/>
      <w:r w:rsidR="007675A0" w:rsidRPr="0094274C">
        <w:rPr>
          <w:b/>
          <w:lang w:val="en-US"/>
        </w:rPr>
        <w:t xml:space="preserve"> to issuers and underwriters</w:t>
      </w:r>
    </w:p>
    <w:p w:rsidR="007675A0" w:rsidRPr="00873C18" w:rsidRDefault="007675A0" w:rsidP="007675A0">
      <w:pPr>
        <w:spacing w:after="0" w:line="240" w:lineRule="auto"/>
        <w:rPr>
          <w:color w:val="FF0000"/>
          <w:lang w:val="en-US"/>
        </w:rPr>
      </w:pPr>
    </w:p>
    <w:p w:rsidR="007675A0" w:rsidRDefault="007675A0" w:rsidP="007675A0">
      <w:pPr>
        <w:spacing w:line="360" w:lineRule="auto"/>
        <w:rPr>
          <w:lang w:val="en-US"/>
        </w:rPr>
      </w:pPr>
      <w:r>
        <w:rPr>
          <w:lang w:val="en-US"/>
        </w:rPr>
        <w:t xml:space="preserve">As noted </w:t>
      </w:r>
      <w:r w:rsidRPr="004E23B2">
        <w:rPr>
          <w:lang w:val="en-US"/>
        </w:rPr>
        <w:t xml:space="preserve">in section </w:t>
      </w:r>
      <w:r w:rsidR="003456D8">
        <w:rPr>
          <w:lang w:val="en-US"/>
        </w:rPr>
        <w:t>3.3</w:t>
      </w:r>
      <w:r w:rsidR="00CF7709">
        <w:rPr>
          <w:lang w:val="en-US"/>
        </w:rPr>
        <w:t>,</w:t>
      </w:r>
      <w:r>
        <w:rPr>
          <w:color w:val="FF0000"/>
          <w:lang w:val="en-US"/>
        </w:rPr>
        <w:t xml:space="preserve"> </w:t>
      </w:r>
      <w:r w:rsidR="0082075D">
        <w:rPr>
          <w:lang w:val="en-US"/>
        </w:rPr>
        <w:t xml:space="preserve">underwriters use </w:t>
      </w:r>
      <w:r w:rsidR="00660CEA">
        <w:rPr>
          <w:lang w:val="en-US"/>
        </w:rPr>
        <w:t>Book Building</w:t>
      </w:r>
      <w:r>
        <w:rPr>
          <w:lang w:val="en-US"/>
        </w:rPr>
        <w:t xml:space="preserve"> to solicit information from investors. </w:t>
      </w:r>
      <w:r w:rsidRPr="002B30F3">
        <w:rPr>
          <w:lang w:val="en-US"/>
        </w:rPr>
        <w:t>Benveniste and Spindt (1989)</w:t>
      </w:r>
      <w:r w:rsidRPr="00C7554E">
        <w:rPr>
          <w:color w:val="FF6600"/>
          <w:lang w:val="en-US"/>
        </w:rPr>
        <w:t xml:space="preserve"> </w:t>
      </w:r>
      <w:r w:rsidR="0082075D">
        <w:rPr>
          <w:lang w:val="en-US"/>
        </w:rPr>
        <w:t xml:space="preserve">argue that </w:t>
      </w:r>
      <w:r w:rsidR="00660CEA">
        <w:rPr>
          <w:lang w:val="en-US"/>
        </w:rPr>
        <w:t>Book Building</w:t>
      </w:r>
      <w:r>
        <w:rPr>
          <w:lang w:val="en-US"/>
        </w:rPr>
        <w:t xml:space="preserve"> allows underwriters to gather information on the investors’ demand curve. If investors indicate strong demand, the offering price will be higher. Therefore</w:t>
      </w:r>
      <w:r w:rsidR="00660CEA">
        <w:rPr>
          <w:lang w:val="en-US"/>
        </w:rPr>
        <w:t>,</w:t>
      </w:r>
      <w:r>
        <w:rPr>
          <w:lang w:val="en-US"/>
        </w:rPr>
        <w:t xml:space="preserve"> investors have an incentive to ‘low ball’ their initial offers. In order to reduce this problem</w:t>
      </w:r>
      <w:r w:rsidR="0082075D">
        <w:rPr>
          <w:lang w:val="en-US"/>
        </w:rPr>
        <w:t>,</w:t>
      </w:r>
      <w:r>
        <w:rPr>
          <w:lang w:val="en-US"/>
        </w:rPr>
        <w:t xml:space="preserve"> investment banks can utilize an important competitive advantage. Since underwriters deal regularly in IPOs</w:t>
      </w:r>
      <w:r w:rsidR="0082075D">
        <w:rPr>
          <w:lang w:val="en-US"/>
        </w:rPr>
        <w:t>,</w:t>
      </w:r>
      <w:r>
        <w:rPr>
          <w:lang w:val="en-US"/>
        </w:rPr>
        <w:t xml:space="preserve"> they can reward investors’ honesty with subsequent allocations.  When investors provide positive information about the value of the issuing firm, underwriters adjust the price upwards. </w:t>
      </w:r>
      <w:r w:rsidR="00660CEA">
        <w:rPr>
          <w:lang w:val="en-US"/>
        </w:rPr>
        <w:t>However,</w:t>
      </w:r>
      <w:r>
        <w:rPr>
          <w:lang w:val="en-US"/>
        </w:rPr>
        <w:t xml:space="preserve"> in order to be able to reward investors, the price is not revised to the full extent of the provided information. Underwriters use the remaining underpricing to reward investors. Because the investors that provided information receive larger allocations, they are better off revealing their positive information (Sherman</w:t>
      </w:r>
      <w:r w:rsidR="00237351">
        <w:rPr>
          <w:lang w:val="en-US"/>
        </w:rPr>
        <w:t>,</w:t>
      </w:r>
      <w:r>
        <w:rPr>
          <w:lang w:val="en-US"/>
        </w:rPr>
        <w:t xml:space="preserve"> 2000). </w:t>
      </w:r>
      <w:r w:rsidRPr="00C33590">
        <w:rPr>
          <w:lang w:val="en-US"/>
        </w:rPr>
        <w:t>Benveniste and Spindt also argue that prestigious underwriters are better at extracting information</w:t>
      </w:r>
      <w:r>
        <w:rPr>
          <w:lang w:val="en-US"/>
        </w:rPr>
        <w:t xml:space="preserve"> and hence underwriter reputation should be negatively related to underpricing</w:t>
      </w:r>
      <w:r w:rsidRPr="00C33590">
        <w:rPr>
          <w:lang w:val="en-US"/>
        </w:rPr>
        <w:t>.</w:t>
      </w:r>
    </w:p>
    <w:p w:rsidR="007675A0" w:rsidRDefault="007675A0" w:rsidP="00302FE0">
      <w:pPr>
        <w:spacing w:line="360" w:lineRule="auto"/>
        <w:rPr>
          <w:lang w:val="en-US"/>
        </w:rPr>
      </w:pPr>
      <w:r w:rsidRPr="00636D03">
        <w:rPr>
          <w:lang w:val="en-US"/>
        </w:rPr>
        <w:lastRenderedPageBreak/>
        <w:t xml:space="preserve">Benveniste and Wilhelm (1990) state that </w:t>
      </w:r>
      <w:r w:rsidR="00660CEA">
        <w:rPr>
          <w:lang w:val="en-US"/>
        </w:rPr>
        <w:t>Book Building</w:t>
      </w:r>
      <w:r w:rsidRPr="00636D03">
        <w:rPr>
          <w:lang w:val="en-US"/>
        </w:rPr>
        <w:t xml:space="preserve"> practices</w:t>
      </w:r>
      <w:r w:rsidR="00F06F55">
        <w:rPr>
          <w:lang w:val="en-US"/>
        </w:rPr>
        <w:t>,</w:t>
      </w:r>
      <w:r>
        <w:rPr>
          <w:lang w:val="en-US"/>
        </w:rPr>
        <w:t xml:space="preserve"> as</w:t>
      </w:r>
      <w:r w:rsidRPr="00636D03">
        <w:rPr>
          <w:lang w:val="en-US"/>
        </w:rPr>
        <w:t xml:space="preserve"> described</w:t>
      </w:r>
      <w:r>
        <w:rPr>
          <w:lang w:val="en-US"/>
        </w:rPr>
        <w:t xml:space="preserve"> by Benveniste and Spindt</w:t>
      </w:r>
      <w:r w:rsidR="00F06F55">
        <w:rPr>
          <w:lang w:val="en-US"/>
        </w:rPr>
        <w:t>,</w:t>
      </w:r>
      <w:r>
        <w:rPr>
          <w:lang w:val="en-US"/>
        </w:rPr>
        <w:t xml:space="preserve"> allow</w:t>
      </w:r>
      <w:r w:rsidRPr="00636D03">
        <w:rPr>
          <w:lang w:val="en-US"/>
        </w:rPr>
        <w:t xml:space="preserve"> banks to extract </w:t>
      </w:r>
      <w:r>
        <w:rPr>
          <w:lang w:val="en-US"/>
        </w:rPr>
        <w:t>information and hence reduce Rock’s</w:t>
      </w:r>
      <w:r w:rsidRPr="00636D03">
        <w:rPr>
          <w:lang w:val="en-US"/>
        </w:rPr>
        <w:t xml:space="preserve"> </w:t>
      </w:r>
      <w:r w:rsidR="00E174CF">
        <w:rPr>
          <w:lang w:val="en-US"/>
        </w:rPr>
        <w:t>Winner’s Curse</w:t>
      </w:r>
      <w:r>
        <w:rPr>
          <w:lang w:val="en-US"/>
        </w:rPr>
        <w:t xml:space="preserve"> problem</w:t>
      </w:r>
      <w:r w:rsidRPr="00636D03">
        <w:rPr>
          <w:lang w:val="en-US"/>
        </w:rPr>
        <w:t xml:space="preserve">. </w:t>
      </w:r>
      <w:r>
        <w:rPr>
          <w:lang w:val="en-US"/>
        </w:rPr>
        <w:t xml:space="preserve">The authors believe that higher levels of underpricing in Singapore compared to the </w:t>
      </w:r>
      <w:proofErr w:type="gramStart"/>
      <w:r>
        <w:rPr>
          <w:lang w:val="en-US"/>
        </w:rPr>
        <w:t>US,</w:t>
      </w:r>
      <w:proofErr w:type="gramEnd"/>
      <w:r>
        <w:rPr>
          <w:lang w:val="en-US"/>
        </w:rPr>
        <w:t xml:space="preserve"> can be explained by the fact that underwriters have less discretion with regards to the allocation process in Singapore. </w:t>
      </w:r>
    </w:p>
    <w:p w:rsidR="007675A0" w:rsidRDefault="007675A0" w:rsidP="007675A0">
      <w:pPr>
        <w:spacing w:line="360" w:lineRule="auto"/>
        <w:rPr>
          <w:lang w:val="en-US"/>
        </w:rPr>
      </w:pPr>
      <w:r>
        <w:rPr>
          <w:lang w:val="en-US"/>
        </w:rPr>
        <w:t xml:space="preserve">Hanley (1993) finds that investment banks do not fully adjust prices upwards when they receive favorable information. Her empirical evidence shows that IPOs tend to be underpriced by an above average amount when the share price was revised upwards. Ritter and Welch (2002) report that this pattern is consistent throughout 1980 to 2001. When the offer price </w:t>
      </w:r>
      <w:r w:rsidR="003456D8">
        <w:rPr>
          <w:lang w:val="en-US"/>
        </w:rPr>
        <w:t>was</w:t>
      </w:r>
      <w:r>
        <w:rPr>
          <w:lang w:val="en-US"/>
        </w:rPr>
        <w:t xml:space="preserve"> higher than the maximum of the initial price range, ave</w:t>
      </w:r>
      <w:r w:rsidR="003456D8">
        <w:rPr>
          <w:lang w:val="en-US"/>
        </w:rPr>
        <w:t>rage underpricing amounted</w:t>
      </w:r>
      <w:r>
        <w:rPr>
          <w:lang w:val="en-US"/>
        </w:rPr>
        <w:t xml:space="preserve"> to 53%. For IPOs that issued shares within the initial price range</w:t>
      </w:r>
      <w:r w:rsidR="00237351">
        <w:rPr>
          <w:lang w:val="en-US"/>
        </w:rPr>
        <w:t>,</w:t>
      </w:r>
      <w:r>
        <w:rPr>
          <w:lang w:val="en-US"/>
        </w:rPr>
        <w:t xml:space="preserve"> average under</w:t>
      </w:r>
      <w:r w:rsidR="00237351">
        <w:rPr>
          <w:lang w:val="en-US"/>
        </w:rPr>
        <w:t>pricing was significantly lower at</w:t>
      </w:r>
      <w:r>
        <w:rPr>
          <w:lang w:val="en-US"/>
        </w:rPr>
        <w:t xml:space="preserve"> 12%. IPOs that adjusted their price downwards are underpriced even less, with an average of only 3%. </w:t>
      </w:r>
    </w:p>
    <w:p w:rsidR="007675A0" w:rsidRDefault="007675A0" w:rsidP="007675A0">
      <w:pPr>
        <w:spacing w:line="360" w:lineRule="auto"/>
        <w:rPr>
          <w:color w:val="FF6600"/>
          <w:lang w:val="en-US"/>
        </w:rPr>
      </w:pPr>
      <w:r w:rsidRPr="00DA00D9">
        <w:rPr>
          <w:lang w:val="en-US"/>
        </w:rPr>
        <w:t xml:space="preserve">More evidence for </w:t>
      </w:r>
      <w:r w:rsidR="00660CEA">
        <w:rPr>
          <w:lang w:val="en-US"/>
        </w:rPr>
        <w:t>Book Building</w:t>
      </w:r>
      <w:r w:rsidRPr="00DA00D9">
        <w:rPr>
          <w:lang w:val="en-US"/>
        </w:rPr>
        <w:t xml:space="preserve"> theories is provided by Cornelli and Goldreich (2001). The authors use a dataset of 39 internat</w:t>
      </w:r>
      <w:r w:rsidR="0082075D">
        <w:rPr>
          <w:lang w:val="en-US"/>
        </w:rPr>
        <w:t xml:space="preserve">ional IPOs. They show that </w:t>
      </w:r>
      <w:r w:rsidR="00237351">
        <w:rPr>
          <w:lang w:val="en-US"/>
        </w:rPr>
        <w:t>investors,</w:t>
      </w:r>
      <w:r w:rsidRPr="00DA00D9">
        <w:rPr>
          <w:lang w:val="en-US"/>
        </w:rPr>
        <w:t xml:space="preserve"> who solely provided information about quantities demanded</w:t>
      </w:r>
      <w:r>
        <w:rPr>
          <w:lang w:val="en-US"/>
        </w:rPr>
        <w:t>, w</w:t>
      </w:r>
      <w:r w:rsidRPr="00DA00D9">
        <w:rPr>
          <w:lang w:val="en-US"/>
        </w:rPr>
        <w:t>ere</w:t>
      </w:r>
      <w:r w:rsidR="0082075D">
        <w:rPr>
          <w:lang w:val="en-US"/>
        </w:rPr>
        <w:t xml:space="preserve"> rewarded less shares than investors</w:t>
      </w:r>
      <w:r w:rsidRPr="00DA00D9">
        <w:rPr>
          <w:lang w:val="en-US"/>
        </w:rPr>
        <w:t xml:space="preserve"> that also specified limit prices. </w:t>
      </w:r>
      <w:r w:rsidR="00D754A0">
        <w:rPr>
          <w:lang w:val="en-US"/>
        </w:rPr>
        <w:t>Therefore, investors</w:t>
      </w:r>
      <w:r w:rsidRPr="00DA00D9">
        <w:rPr>
          <w:lang w:val="en-US"/>
        </w:rPr>
        <w:t xml:space="preserve"> that revealed more inform</w:t>
      </w:r>
      <w:r>
        <w:rPr>
          <w:lang w:val="en-US"/>
        </w:rPr>
        <w:t>ation about their preferences w</w:t>
      </w:r>
      <w:r w:rsidRPr="00DA00D9">
        <w:rPr>
          <w:lang w:val="en-US"/>
        </w:rPr>
        <w:t>ere rewarded with bigger allocations</w:t>
      </w:r>
      <w:r>
        <w:rPr>
          <w:lang w:val="en-US"/>
        </w:rPr>
        <w:t>. The authors also find that frequent bidders are rewarded more allocations. This is in line with Benveniste and Spindt (1989), who argue that frequent buyers are rewarded with underpriced allocation</w:t>
      </w:r>
      <w:r w:rsidR="00237351">
        <w:rPr>
          <w:lang w:val="en-US"/>
        </w:rPr>
        <w:t>s</w:t>
      </w:r>
      <w:r>
        <w:rPr>
          <w:lang w:val="en-US"/>
        </w:rPr>
        <w:t xml:space="preserve"> to compensate them for participating in overpriced issues. </w:t>
      </w:r>
      <w:r w:rsidRPr="00053A73">
        <w:rPr>
          <w:lang w:val="en-US"/>
        </w:rPr>
        <w:t>Although Ritter</w:t>
      </w:r>
      <w:r w:rsidR="0082075D">
        <w:rPr>
          <w:lang w:val="en-US"/>
        </w:rPr>
        <w:t xml:space="preserve"> and Welch (2002) believe that </w:t>
      </w:r>
      <w:r w:rsidR="00660CEA">
        <w:rPr>
          <w:lang w:val="en-US"/>
        </w:rPr>
        <w:t>Book Building</w:t>
      </w:r>
      <w:r w:rsidRPr="00053A73">
        <w:rPr>
          <w:lang w:val="en-US"/>
        </w:rPr>
        <w:t xml:space="preserve"> theory can explain unde</w:t>
      </w:r>
      <w:r>
        <w:rPr>
          <w:lang w:val="en-US"/>
        </w:rPr>
        <w:t>rpricing of a few percent, t</w:t>
      </w:r>
      <w:r w:rsidRPr="00053A73">
        <w:rPr>
          <w:lang w:val="en-US"/>
        </w:rPr>
        <w:t xml:space="preserve">hey believe that the </w:t>
      </w:r>
      <w:r>
        <w:rPr>
          <w:lang w:val="en-US"/>
        </w:rPr>
        <w:t xml:space="preserve">observed size of average underpricing is too </w:t>
      </w:r>
      <w:r w:rsidRPr="00053A73">
        <w:rPr>
          <w:lang w:val="en-US"/>
        </w:rPr>
        <w:t>large to be fully explained as compensation for revealing information.</w:t>
      </w:r>
      <w:r>
        <w:rPr>
          <w:color w:val="FF6600"/>
          <w:lang w:val="en-US"/>
        </w:rPr>
        <w:t xml:space="preserve"> </w:t>
      </w:r>
    </w:p>
    <w:p w:rsidR="007675A0" w:rsidRDefault="007675A0" w:rsidP="007675A0">
      <w:pPr>
        <w:spacing w:line="360" w:lineRule="auto"/>
        <w:rPr>
          <w:color w:val="FF0000"/>
          <w:lang w:val="en-US"/>
        </w:rPr>
      </w:pPr>
      <w:r w:rsidRPr="00244B11">
        <w:rPr>
          <w:lang w:val="en-US"/>
        </w:rPr>
        <w:t>Loughran and Ritter (2</w:t>
      </w:r>
      <w:r w:rsidR="00A932F1">
        <w:rPr>
          <w:lang w:val="en-US"/>
        </w:rPr>
        <w:t>004</w:t>
      </w:r>
      <w:r>
        <w:rPr>
          <w:lang w:val="en-US"/>
        </w:rPr>
        <w:t xml:space="preserve">) provide an explanation </w:t>
      </w:r>
      <w:r w:rsidRPr="00244B11">
        <w:rPr>
          <w:lang w:val="en-US"/>
        </w:rPr>
        <w:t>why prices are not fully revised upwards when new information becomes available</w:t>
      </w:r>
      <w:r>
        <w:rPr>
          <w:lang w:val="en-US"/>
        </w:rPr>
        <w:t>, that differs from B</w:t>
      </w:r>
      <w:r w:rsidRPr="00244B11">
        <w:rPr>
          <w:lang w:val="en-US"/>
        </w:rPr>
        <w:t>enveniste and Spindt’s argument</w:t>
      </w:r>
      <w:r w:rsidR="00787065">
        <w:rPr>
          <w:lang w:val="en-US"/>
        </w:rPr>
        <w:t>, called prospect theory</w:t>
      </w:r>
      <w:r w:rsidRPr="00244B11">
        <w:rPr>
          <w:lang w:val="en-US"/>
        </w:rPr>
        <w:t xml:space="preserve">. </w:t>
      </w:r>
      <w:r>
        <w:rPr>
          <w:lang w:val="en-US"/>
        </w:rPr>
        <w:t>Loughran and Ritter argue that issuers are less concerned about underpricing when offer prices are revised upwards, since their personal wealth has also increased due to a higher offer price and a higher value of their retained shares. Underwriters understand this and take the opportunity to underprice more.  Loughran and Ritter (2004) argue that underpricing is beneficial to investment banks for two reasons. First</w:t>
      </w:r>
      <w:r w:rsidR="0082075D">
        <w:rPr>
          <w:lang w:val="en-US"/>
        </w:rPr>
        <w:t>,</w:t>
      </w:r>
      <w:r>
        <w:rPr>
          <w:lang w:val="en-US"/>
        </w:rPr>
        <w:t xml:space="preserve"> underpriced shares are easier to market and second</w:t>
      </w:r>
      <w:r w:rsidR="0082075D">
        <w:rPr>
          <w:lang w:val="en-US"/>
        </w:rPr>
        <w:t>,</w:t>
      </w:r>
      <w:r>
        <w:rPr>
          <w:lang w:val="en-US"/>
        </w:rPr>
        <w:t xml:space="preserve"> i</w:t>
      </w:r>
      <w:r w:rsidRPr="00107B0E">
        <w:rPr>
          <w:lang w:val="en-US"/>
        </w:rPr>
        <w:t>nvestors who receive allocations of underpriced shares reward investment banks with business such as trading commissions and SEOs.</w:t>
      </w:r>
      <w:r>
        <w:rPr>
          <w:lang w:val="en-US"/>
        </w:rPr>
        <w:t xml:space="preserve"> Loughran and Ritter support this reasoning by showing that prices are not fully revised upwards when new favorable public information becomes available. The authors show that</w:t>
      </w:r>
      <w:r w:rsidRPr="001542B6">
        <w:rPr>
          <w:lang w:val="en-US"/>
        </w:rPr>
        <w:t xml:space="preserve"> </w:t>
      </w:r>
      <w:r>
        <w:rPr>
          <w:lang w:val="en-US"/>
        </w:rPr>
        <w:t>positive</w:t>
      </w:r>
      <w:r w:rsidRPr="00107B0E">
        <w:rPr>
          <w:lang w:val="en-US"/>
        </w:rPr>
        <w:t xml:space="preserve"> </w:t>
      </w:r>
      <w:r w:rsidRPr="009E7CED">
        <w:rPr>
          <w:lang w:val="en-US"/>
        </w:rPr>
        <w:t>market</w:t>
      </w:r>
      <w:r>
        <w:rPr>
          <w:lang w:val="en-US"/>
        </w:rPr>
        <w:t xml:space="preserve"> </w:t>
      </w:r>
      <w:r w:rsidRPr="009E7CED">
        <w:rPr>
          <w:lang w:val="en-US"/>
        </w:rPr>
        <w:t xml:space="preserve">returns in the weeks leading up to the </w:t>
      </w:r>
      <w:r w:rsidR="0030498B">
        <w:rPr>
          <w:lang w:val="en-US"/>
        </w:rPr>
        <w:t>IPO</w:t>
      </w:r>
      <w:r w:rsidRPr="009E7CED">
        <w:rPr>
          <w:lang w:val="en-US"/>
        </w:rPr>
        <w:t xml:space="preserve"> can predict underpricing</w:t>
      </w:r>
      <w:r w:rsidRPr="00772A60">
        <w:rPr>
          <w:lang w:val="en-US"/>
        </w:rPr>
        <w:t xml:space="preserve">. </w:t>
      </w:r>
      <w:r w:rsidRPr="004F39C5">
        <w:rPr>
          <w:lang w:val="en-US"/>
        </w:rPr>
        <w:t>Since public information is available to everyone, investors do not have to be compen</w:t>
      </w:r>
      <w:r w:rsidR="00D754A0">
        <w:rPr>
          <w:lang w:val="en-US"/>
        </w:rPr>
        <w:t xml:space="preserve">sated with </w:t>
      </w:r>
      <w:r w:rsidR="00D754A0">
        <w:rPr>
          <w:lang w:val="en-US"/>
        </w:rPr>
        <w:lastRenderedPageBreak/>
        <w:t>underpricing. T</w:t>
      </w:r>
      <w:r>
        <w:rPr>
          <w:lang w:val="en-US"/>
        </w:rPr>
        <w:t xml:space="preserve">his can be seen as evidence against the explanations given by </w:t>
      </w:r>
      <w:r w:rsidRPr="004F39C5">
        <w:rPr>
          <w:lang w:val="en-US"/>
        </w:rPr>
        <w:t>Benveniste and Spi</w:t>
      </w:r>
      <w:r>
        <w:rPr>
          <w:lang w:val="en-US"/>
        </w:rPr>
        <w:t>ndt (1989)</w:t>
      </w:r>
      <w:r w:rsidRPr="004F39C5">
        <w:rPr>
          <w:lang w:val="en-US"/>
        </w:rPr>
        <w:t xml:space="preserve">. </w:t>
      </w:r>
      <w:r w:rsidRPr="00014A8A">
        <w:rPr>
          <w:lang w:val="en-US"/>
        </w:rPr>
        <w:t xml:space="preserve">Loughran and Ritter also state that their findings can explain so called hot markets. </w:t>
      </w:r>
      <w:r>
        <w:rPr>
          <w:lang w:val="en-US"/>
        </w:rPr>
        <w:t>They</w:t>
      </w:r>
      <w:r w:rsidRPr="00014A8A">
        <w:rPr>
          <w:lang w:val="en-US"/>
        </w:rPr>
        <w:t xml:space="preserve"> show that the </w:t>
      </w:r>
      <w:r>
        <w:rPr>
          <w:lang w:val="en-US"/>
        </w:rPr>
        <w:t>degree</w:t>
      </w:r>
      <w:r w:rsidRPr="00014A8A">
        <w:rPr>
          <w:lang w:val="en-US"/>
        </w:rPr>
        <w:t xml:space="preserve"> of underpricing shows cyclical patterns creating period</w:t>
      </w:r>
      <w:r>
        <w:rPr>
          <w:lang w:val="en-US"/>
        </w:rPr>
        <w:t>s</w:t>
      </w:r>
      <w:r w:rsidRPr="00014A8A">
        <w:rPr>
          <w:lang w:val="en-US"/>
        </w:rPr>
        <w:t xml:space="preserve"> of hot (above average underpricing) and cold (below average underpricing) markets</w:t>
      </w:r>
      <w:r w:rsidR="00A932F1">
        <w:rPr>
          <w:lang w:val="en-US"/>
        </w:rPr>
        <w:t>.</w:t>
      </w:r>
      <w:r>
        <w:rPr>
          <w:color w:val="FF0000"/>
          <w:lang w:val="en-US"/>
        </w:rPr>
        <w:t xml:space="preserve"> </w:t>
      </w:r>
    </w:p>
    <w:p w:rsidR="007675A0" w:rsidRPr="008F2B40" w:rsidRDefault="0094274C" w:rsidP="008F2B40">
      <w:pPr>
        <w:ind w:left="1418" w:hanging="851"/>
        <w:rPr>
          <w:b/>
          <w:lang w:val="en-US"/>
        </w:rPr>
      </w:pPr>
      <w:r>
        <w:rPr>
          <w:b/>
          <w:lang w:val="en-US"/>
        </w:rPr>
        <w:t>3.</w:t>
      </w:r>
      <w:r w:rsidR="009C10C7">
        <w:rPr>
          <w:b/>
          <w:lang w:val="en-US"/>
        </w:rPr>
        <w:t>4</w:t>
      </w:r>
      <w:bookmarkStart w:id="8" w:name="_Toc280276099"/>
      <w:r w:rsidR="00302FE0">
        <w:rPr>
          <w:b/>
          <w:lang w:val="en-US"/>
        </w:rPr>
        <w:t>.1.3.</w:t>
      </w:r>
      <w:r w:rsidR="00302FE0">
        <w:rPr>
          <w:b/>
          <w:lang w:val="en-US"/>
        </w:rPr>
        <w:tab/>
      </w:r>
      <w:r w:rsidR="007675A0" w:rsidRPr="0094274C">
        <w:rPr>
          <w:b/>
          <w:lang w:val="en-US"/>
        </w:rPr>
        <w:t>Underwriters have superior information to issuers</w:t>
      </w:r>
      <w:bookmarkEnd w:id="8"/>
    </w:p>
    <w:p w:rsidR="007675A0" w:rsidRPr="00ED2DCE" w:rsidRDefault="007675A0" w:rsidP="007675A0">
      <w:pPr>
        <w:spacing w:line="360" w:lineRule="auto"/>
        <w:outlineLvl w:val="0"/>
        <w:rPr>
          <w:lang w:val="en-US"/>
        </w:rPr>
      </w:pPr>
      <w:r w:rsidRPr="00ED2DCE">
        <w:rPr>
          <w:lang w:val="en-US"/>
        </w:rPr>
        <w:t xml:space="preserve">The following theories are based on </w:t>
      </w:r>
      <w:r w:rsidR="00237351">
        <w:rPr>
          <w:lang w:val="en-US"/>
        </w:rPr>
        <w:t>the presumption</w:t>
      </w:r>
      <w:r w:rsidR="00EC4F34">
        <w:rPr>
          <w:lang w:val="en-US"/>
        </w:rPr>
        <w:t xml:space="preserve"> that underwriters have superior information to issuers. T</w:t>
      </w:r>
      <w:r w:rsidRPr="00ED2DCE">
        <w:rPr>
          <w:lang w:val="en-US"/>
        </w:rPr>
        <w:t xml:space="preserve">his type of information asymmetry can create agency problems between underwriters and issuers. </w:t>
      </w:r>
    </w:p>
    <w:p w:rsidR="007675A0" w:rsidRPr="00EC4F34" w:rsidRDefault="00EC4F34" w:rsidP="007675A0">
      <w:pPr>
        <w:spacing w:line="360" w:lineRule="auto"/>
        <w:rPr>
          <w:lang w:val="en-US"/>
        </w:rPr>
      </w:pPr>
      <w:r>
        <w:rPr>
          <w:lang w:val="en-US"/>
        </w:rPr>
        <w:t xml:space="preserve">In </w:t>
      </w:r>
      <w:r w:rsidR="00660CEA">
        <w:rPr>
          <w:lang w:val="en-US"/>
        </w:rPr>
        <w:t>Book Building</w:t>
      </w:r>
      <w:r w:rsidR="007675A0" w:rsidRPr="0028252B">
        <w:rPr>
          <w:lang w:val="en-US"/>
        </w:rPr>
        <w:t xml:space="preserve"> theories</w:t>
      </w:r>
      <w:r w:rsidR="009906BE">
        <w:rPr>
          <w:lang w:val="en-US"/>
        </w:rPr>
        <w:t>,</w:t>
      </w:r>
      <w:r w:rsidR="007675A0" w:rsidRPr="0028252B">
        <w:rPr>
          <w:lang w:val="en-US"/>
        </w:rPr>
        <w:t xml:space="preserve"> investors have superior knowledge to issuers and underwriters, </w:t>
      </w:r>
      <w:r>
        <w:rPr>
          <w:lang w:val="en-US"/>
        </w:rPr>
        <w:t xml:space="preserve">while </w:t>
      </w:r>
      <w:r w:rsidR="007675A0" w:rsidRPr="0028252B">
        <w:rPr>
          <w:lang w:val="en-US"/>
        </w:rPr>
        <w:t>in Baron’s model (Baron</w:t>
      </w:r>
      <w:r w:rsidR="00141086">
        <w:rPr>
          <w:lang w:val="en-US"/>
        </w:rPr>
        <w:t>,</w:t>
      </w:r>
      <w:r w:rsidR="007675A0" w:rsidRPr="0028252B">
        <w:rPr>
          <w:lang w:val="en-US"/>
        </w:rPr>
        <w:t xml:space="preserve"> 1982) issuers have less information than underwriters. Baron states that investment banks provide three services to issuers: </w:t>
      </w:r>
      <w:r w:rsidR="009906BE">
        <w:rPr>
          <w:lang w:val="en-US"/>
        </w:rPr>
        <w:t>d</w:t>
      </w:r>
      <w:r w:rsidR="007675A0" w:rsidRPr="0028252B">
        <w:rPr>
          <w:lang w:val="en-US"/>
        </w:rPr>
        <w:t xml:space="preserve">istribution, price setting and underwriting. If issuers </w:t>
      </w:r>
      <w:r w:rsidR="00F60D5F">
        <w:rPr>
          <w:lang w:val="en-US"/>
        </w:rPr>
        <w:t>were</w:t>
      </w:r>
      <w:r w:rsidR="007675A0" w:rsidRPr="0028252B">
        <w:rPr>
          <w:lang w:val="en-US"/>
        </w:rPr>
        <w:t xml:space="preserve"> perfectly informed about the capital market, a pure distribution </w:t>
      </w:r>
      <w:r w:rsidR="00F06F55">
        <w:rPr>
          <w:lang w:val="en-US"/>
        </w:rPr>
        <w:t>contract would be optimal and the</w:t>
      </w:r>
      <w:r w:rsidR="007675A0" w:rsidRPr="0028252B">
        <w:rPr>
          <w:lang w:val="en-US"/>
        </w:rPr>
        <w:t xml:space="preserve"> issuer would set its own price. </w:t>
      </w:r>
      <w:r w:rsidR="00660CEA">
        <w:rPr>
          <w:lang w:val="en-US"/>
        </w:rPr>
        <w:t>However,</w:t>
      </w:r>
      <w:r w:rsidR="007675A0" w:rsidRPr="0028252B">
        <w:rPr>
          <w:lang w:val="en-US"/>
        </w:rPr>
        <w:t xml:space="preserve"> since underwriters have superior information about the capital market, issuers delegate the task of price setting to the underwriter. Investment bankers have an incentive to underprice shares, since underpriced shares are easier to market. Issuers can monitor the underwriter at a cost. Issuers therefore face a tradeoff between underpricing and monitoring the underwriter. Underwriters use promotional efforts to cr</w:t>
      </w:r>
      <w:r>
        <w:rPr>
          <w:lang w:val="en-US"/>
        </w:rPr>
        <w:t xml:space="preserve">eate demand for the </w:t>
      </w:r>
      <w:r w:rsidR="0030498B">
        <w:rPr>
          <w:lang w:val="en-US"/>
        </w:rPr>
        <w:t>IPO</w:t>
      </w:r>
      <w:r>
        <w:rPr>
          <w:lang w:val="en-US"/>
        </w:rPr>
        <w:t>, but</w:t>
      </w:r>
      <w:r w:rsidR="007675A0" w:rsidRPr="0028252B">
        <w:rPr>
          <w:lang w:val="en-US"/>
        </w:rPr>
        <w:t xml:space="preserve"> these efforts are costly for a bank. In order to make sure</w:t>
      </w:r>
      <w:r>
        <w:rPr>
          <w:lang w:val="en-US"/>
        </w:rPr>
        <w:t xml:space="preserve"> that </w:t>
      </w:r>
      <w:r w:rsidR="007675A0" w:rsidRPr="0028252B">
        <w:rPr>
          <w:lang w:val="en-US"/>
        </w:rPr>
        <w:t xml:space="preserve">the investment bank puts in the right amount </w:t>
      </w:r>
      <w:r w:rsidR="007675A0" w:rsidRPr="00EC4F34">
        <w:rPr>
          <w:lang w:val="en-US"/>
        </w:rPr>
        <w:t xml:space="preserve">of effort in marketing the shares, the issuer may allow some underpricing. </w:t>
      </w:r>
    </w:p>
    <w:p w:rsidR="007675A0" w:rsidRDefault="007675A0" w:rsidP="007675A0">
      <w:pPr>
        <w:spacing w:line="360" w:lineRule="auto"/>
        <w:rPr>
          <w:lang w:val="en-US"/>
        </w:rPr>
      </w:pPr>
      <w:r>
        <w:rPr>
          <w:lang w:val="en-US"/>
        </w:rPr>
        <w:t>Muscarella</w:t>
      </w:r>
      <w:r w:rsidRPr="009A2108">
        <w:rPr>
          <w:lang w:val="en-US"/>
        </w:rPr>
        <w:t xml:space="preserve"> and Vetsuypens</w:t>
      </w:r>
      <w:r>
        <w:rPr>
          <w:lang w:val="en-US"/>
        </w:rPr>
        <w:t xml:space="preserve"> (1989)</w:t>
      </w:r>
      <w:r w:rsidRPr="009A2108">
        <w:rPr>
          <w:lang w:val="en-US"/>
        </w:rPr>
        <w:t xml:space="preserve"> find that if investment banks themselves go public</w:t>
      </w:r>
      <w:r w:rsidR="00F06F55">
        <w:rPr>
          <w:lang w:val="en-US"/>
        </w:rPr>
        <w:t>, they</w:t>
      </w:r>
      <w:r w:rsidRPr="009A2108">
        <w:rPr>
          <w:lang w:val="en-US"/>
        </w:rPr>
        <w:t xml:space="preserve"> tend to be underpriced by </w:t>
      </w:r>
      <w:r w:rsidR="00F06F55">
        <w:rPr>
          <w:lang w:val="en-US"/>
        </w:rPr>
        <w:t xml:space="preserve">amounts </w:t>
      </w:r>
      <w:r w:rsidRPr="009A2108">
        <w:rPr>
          <w:lang w:val="en-US"/>
        </w:rPr>
        <w:t xml:space="preserve">similar </w:t>
      </w:r>
      <w:r w:rsidR="00F06F55">
        <w:rPr>
          <w:lang w:val="en-US"/>
        </w:rPr>
        <w:t>to regular firms.</w:t>
      </w:r>
      <w:r w:rsidRPr="009A2108">
        <w:rPr>
          <w:lang w:val="en-US"/>
        </w:rPr>
        <w:t xml:space="preserve"> One has to be cautious to interpret this as evidence against Baron’s model</w:t>
      </w:r>
      <w:r w:rsidR="00F06F55">
        <w:rPr>
          <w:lang w:val="en-US"/>
        </w:rPr>
        <w:t>,</w:t>
      </w:r>
      <w:r w:rsidRPr="009A2108">
        <w:rPr>
          <w:lang w:val="en-US"/>
        </w:rPr>
        <w:t xml:space="preserve"> since investment bankers could deliberately underprice their shares in order to signal that underpricing is an unavoidable phenomenon (Ritter &amp; Welch</w:t>
      </w:r>
      <w:r w:rsidR="00EC5AEF">
        <w:rPr>
          <w:lang w:val="en-US"/>
        </w:rPr>
        <w:t>,</w:t>
      </w:r>
      <w:r w:rsidRPr="009A2108">
        <w:rPr>
          <w:lang w:val="en-US"/>
        </w:rPr>
        <w:t xml:space="preserve"> 2002). Furthermore when investment banks offer their own shares</w:t>
      </w:r>
      <w:r w:rsidR="00F06F55">
        <w:rPr>
          <w:lang w:val="en-US"/>
        </w:rPr>
        <w:t>,</w:t>
      </w:r>
      <w:r w:rsidRPr="009A2108">
        <w:rPr>
          <w:lang w:val="en-US"/>
        </w:rPr>
        <w:t xml:space="preserve"> they still have to undergo costly marketing efforts and it could be optimal for the investment bank to allow some underpricing (</w:t>
      </w:r>
      <w:r>
        <w:rPr>
          <w:bCs/>
          <w:lang w:val="en-US"/>
        </w:rPr>
        <w:t xml:space="preserve">Habib &amp; Ljungqvist, </w:t>
      </w:r>
      <w:r w:rsidRPr="009A2108">
        <w:rPr>
          <w:bCs/>
          <w:lang w:val="en-US"/>
        </w:rPr>
        <w:t>2001)</w:t>
      </w:r>
      <w:r w:rsidRPr="009A2108">
        <w:rPr>
          <w:lang w:val="en-US"/>
        </w:rPr>
        <w:t>.</w:t>
      </w:r>
    </w:p>
    <w:p w:rsidR="00302FE0" w:rsidRDefault="00302FE0">
      <w:pPr>
        <w:rPr>
          <w:lang w:val="en-US"/>
        </w:rPr>
      </w:pPr>
      <w:r>
        <w:rPr>
          <w:lang w:val="en-US"/>
        </w:rPr>
        <w:br w:type="page"/>
      </w:r>
    </w:p>
    <w:p w:rsidR="007675A0" w:rsidRPr="009C10C7" w:rsidRDefault="009C10C7" w:rsidP="009C10C7">
      <w:pPr>
        <w:spacing w:line="360" w:lineRule="auto"/>
        <w:ind w:left="1418" w:hanging="851"/>
        <w:outlineLvl w:val="0"/>
        <w:rPr>
          <w:b/>
          <w:lang w:val="en-US"/>
        </w:rPr>
      </w:pPr>
      <w:r>
        <w:rPr>
          <w:b/>
          <w:lang w:val="en-US"/>
        </w:rPr>
        <w:lastRenderedPageBreak/>
        <w:t>3.4.2.</w:t>
      </w:r>
      <w:r>
        <w:rPr>
          <w:b/>
          <w:lang w:val="en-US"/>
        </w:rPr>
        <w:tab/>
      </w:r>
      <w:r w:rsidR="007675A0" w:rsidRPr="009C10C7">
        <w:rPr>
          <w:b/>
          <w:lang w:val="en-US"/>
        </w:rPr>
        <w:t xml:space="preserve"> </w:t>
      </w:r>
      <w:bookmarkStart w:id="9" w:name="_Toc280276101"/>
      <w:r w:rsidR="007675A0" w:rsidRPr="009C10C7">
        <w:rPr>
          <w:b/>
          <w:lang w:val="en-US"/>
        </w:rPr>
        <w:t xml:space="preserve">Why has </w:t>
      </w:r>
      <w:r w:rsidR="0030498B" w:rsidRPr="009C10C7">
        <w:rPr>
          <w:b/>
          <w:lang w:val="en-US"/>
        </w:rPr>
        <w:t>IPO</w:t>
      </w:r>
      <w:r w:rsidR="007675A0" w:rsidRPr="009C10C7">
        <w:rPr>
          <w:b/>
          <w:lang w:val="en-US"/>
        </w:rPr>
        <w:t xml:space="preserve"> underpricing changed over time?</w:t>
      </w:r>
      <w:bookmarkEnd w:id="9"/>
    </w:p>
    <w:p w:rsidR="007675A0" w:rsidRDefault="007675A0" w:rsidP="007675A0">
      <w:pPr>
        <w:spacing w:line="360" w:lineRule="auto"/>
        <w:rPr>
          <w:lang w:val="en-US"/>
        </w:rPr>
      </w:pPr>
      <w:r>
        <w:rPr>
          <w:lang w:val="en-US"/>
        </w:rPr>
        <w:t xml:space="preserve">To answer the question why </w:t>
      </w:r>
      <w:r w:rsidR="0030498B">
        <w:rPr>
          <w:lang w:val="en-US"/>
        </w:rPr>
        <w:t>IPO</w:t>
      </w:r>
      <w:r>
        <w:rPr>
          <w:lang w:val="en-US"/>
        </w:rPr>
        <w:t xml:space="preserve"> underpricing changed over time and was especially high during the </w:t>
      </w:r>
      <w:r w:rsidR="009C2F54">
        <w:rPr>
          <w:lang w:val="en-US"/>
        </w:rPr>
        <w:t>Internet</w:t>
      </w:r>
      <w:r>
        <w:rPr>
          <w:lang w:val="en-US"/>
        </w:rPr>
        <w:t xml:space="preserve"> bubble</w:t>
      </w:r>
      <w:r w:rsidR="00F06F55">
        <w:rPr>
          <w:lang w:val="en-US"/>
        </w:rPr>
        <w:t>,</w:t>
      </w:r>
      <w:r>
        <w:rPr>
          <w:lang w:val="en-US"/>
        </w:rPr>
        <w:t xml:space="preserve"> I will discuss two papers. The first paper is by </w:t>
      </w:r>
      <w:r w:rsidRPr="00877DBE">
        <w:rPr>
          <w:lang w:val="en-US"/>
        </w:rPr>
        <w:t xml:space="preserve">Ljungqvist </w:t>
      </w:r>
      <w:r>
        <w:rPr>
          <w:lang w:val="en-US"/>
        </w:rPr>
        <w:t xml:space="preserve">and Wilhelm </w:t>
      </w:r>
      <w:r w:rsidRPr="00877DBE">
        <w:rPr>
          <w:lang w:val="en-US"/>
        </w:rPr>
        <w:t>(2003)</w:t>
      </w:r>
      <w:r>
        <w:rPr>
          <w:lang w:val="en-US"/>
        </w:rPr>
        <w:t xml:space="preserve"> </w:t>
      </w:r>
      <w:r w:rsidRPr="003A57BD">
        <w:rPr>
          <w:i/>
          <w:lang w:val="en-US"/>
        </w:rPr>
        <w:t>‘’</w:t>
      </w:r>
      <w:r w:rsidR="0030498B">
        <w:rPr>
          <w:i/>
          <w:lang w:val="en-US"/>
        </w:rPr>
        <w:t>IPO</w:t>
      </w:r>
      <w:r w:rsidRPr="003A57BD">
        <w:rPr>
          <w:i/>
          <w:lang w:val="en-US"/>
        </w:rPr>
        <w:t xml:space="preserve"> Pricing in the Dot-com Bubble’’</w:t>
      </w:r>
      <w:r>
        <w:rPr>
          <w:i/>
          <w:lang w:val="en-US"/>
        </w:rPr>
        <w:t xml:space="preserve"> </w:t>
      </w:r>
      <w:r w:rsidRPr="003A57BD">
        <w:rPr>
          <w:lang w:val="en-US"/>
        </w:rPr>
        <w:t>and the second paper is</w:t>
      </w:r>
      <w:r>
        <w:rPr>
          <w:i/>
          <w:lang w:val="en-US"/>
        </w:rPr>
        <w:t xml:space="preserve"> </w:t>
      </w:r>
      <w:r w:rsidRPr="0020579D">
        <w:rPr>
          <w:i/>
          <w:lang w:val="en-US"/>
        </w:rPr>
        <w:t xml:space="preserve">‘’ Why has </w:t>
      </w:r>
      <w:r w:rsidR="0030498B">
        <w:rPr>
          <w:i/>
          <w:lang w:val="en-US"/>
        </w:rPr>
        <w:t>IPO</w:t>
      </w:r>
      <w:r w:rsidRPr="0020579D">
        <w:rPr>
          <w:i/>
          <w:lang w:val="en-US"/>
        </w:rPr>
        <w:t xml:space="preserve"> underpricing changed over </w:t>
      </w:r>
      <w:proofErr w:type="gramStart"/>
      <w:r w:rsidRPr="0020579D">
        <w:rPr>
          <w:i/>
          <w:lang w:val="en-US"/>
        </w:rPr>
        <w:t xml:space="preserve">time’’ </w:t>
      </w:r>
      <w:r>
        <w:rPr>
          <w:i/>
          <w:lang w:val="en-US"/>
        </w:rPr>
        <w:t xml:space="preserve"> </w:t>
      </w:r>
      <w:r w:rsidRPr="003A57BD">
        <w:rPr>
          <w:lang w:val="en-US"/>
        </w:rPr>
        <w:t>by</w:t>
      </w:r>
      <w:proofErr w:type="gramEnd"/>
      <w:r>
        <w:rPr>
          <w:i/>
          <w:lang w:val="en-US"/>
        </w:rPr>
        <w:t xml:space="preserve"> </w:t>
      </w:r>
      <w:r>
        <w:rPr>
          <w:lang w:val="en-US"/>
        </w:rPr>
        <w:t xml:space="preserve">Loughran and Ritter (2004).  </w:t>
      </w:r>
      <w:r w:rsidR="0030498B">
        <w:rPr>
          <w:lang w:val="en-US"/>
        </w:rPr>
        <w:t>IPO</w:t>
      </w:r>
      <w:r>
        <w:rPr>
          <w:lang w:val="en-US"/>
        </w:rPr>
        <w:t xml:space="preserve"> underpricing increased from 7% in the </w:t>
      </w:r>
      <w:r w:rsidR="006917E1">
        <w:rPr>
          <w:lang w:val="en-US"/>
        </w:rPr>
        <w:t>1980’s</w:t>
      </w:r>
      <w:r w:rsidR="00F06F55">
        <w:rPr>
          <w:lang w:val="en-US"/>
        </w:rPr>
        <w:t>,</w:t>
      </w:r>
      <w:r>
        <w:rPr>
          <w:lang w:val="en-US"/>
        </w:rPr>
        <w:t xml:space="preserve"> to 15% in the </w:t>
      </w:r>
      <w:r w:rsidR="006917E1">
        <w:rPr>
          <w:lang w:val="en-US"/>
        </w:rPr>
        <w:t>1990’s</w:t>
      </w:r>
      <w:r w:rsidR="00F06F55">
        <w:rPr>
          <w:lang w:val="en-US"/>
        </w:rPr>
        <w:t>,</w:t>
      </w:r>
      <w:r>
        <w:rPr>
          <w:lang w:val="en-US"/>
        </w:rPr>
        <w:t xml:space="preserve"> to 65% during the </w:t>
      </w:r>
      <w:r w:rsidR="009C2F54">
        <w:rPr>
          <w:lang w:val="en-US"/>
        </w:rPr>
        <w:t>Internet</w:t>
      </w:r>
      <w:r>
        <w:rPr>
          <w:lang w:val="en-US"/>
        </w:rPr>
        <w:t xml:space="preserve"> bubble (1999-2000) and decreased back to 12% in the post </w:t>
      </w:r>
      <w:r w:rsidR="00D40B32">
        <w:rPr>
          <w:lang w:val="en-US"/>
        </w:rPr>
        <w:t xml:space="preserve">Internet </w:t>
      </w:r>
      <w:r>
        <w:rPr>
          <w:lang w:val="en-US"/>
        </w:rPr>
        <w:t xml:space="preserve">bubble period (2001-2003). The extreme underpricing during the </w:t>
      </w:r>
      <w:r w:rsidR="00D40B32">
        <w:rPr>
          <w:lang w:val="en-US"/>
        </w:rPr>
        <w:t xml:space="preserve">Internet </w:t>
      </w:r>
      <w:r>
        <w:rPr>
          <w:lang w:val="en-US"/>
        </w:rPr>
        <w:t xml:space="preserve">bubble period makes this period especially interesting for </w:t>
      </w:r>
      <w:r w:rsidR="0030498B">
        <w:rPr>
          <w:lang w:val="en-US"/>
        </w:rPr>
        <w:t>IPO</w:t>
      </w:r>
      <w:r>
        <w:rPr>
          <w:lang w:val="en-US"/>
        </w:rPr>
        <w:t xml:space="preserve"> research.</w:t>
      </w:r>
    </w:p>
    <w:p w:rsidR="007675A0" w:rsidRPr="00302FE0" w:rsidRDefault="009C10C7" w:rsidP="00302FE0">
      <w:pPr>
        <w:ind w:left="1418" w:hanging="851"/>
        <w:rPr>
          <w:rFonts w:ascii="Calibri" w:eastAsia="Calibri" w:hAnsi="Calibri" w:cs="Times New Roman"/>
          <w:b/>
          <w:lang w:val="en-US"/>
        </w:rPr>
      </w:pPr>
      <w:r>
        <w:rPr>
          <w:b/>
          <w:lang w:val="en-US"/>
        </w:rPr>
        <w:t>3.4.2.1.</w:t>
      </w:r>
      <w:r>
        <w:rPr>
          <w:b/>
          <w:lang w:val="en-US"/>
        </w:rPr>
        <w:tab/>
      </w:r>
      <w:r w:rsidR="007675A0" w:rsidRPr="009C10C7">
        <w:rPr>
          <w:b/>
          <w:lang w:val="en-US"/>
        </w:rPr>
        <w:t xml:space="preserve"> </w:t>
      </w:r>
      <w:bookmarkStart w:id="10" w:name="_Toc280276102"/>
      <w:r w:rsidR="007675A0" w:rsidRPr="009C10C7">
        <w:rPr>
          <w:b/>
          <w:lang w:val="en-US"/>
        </w:rPr>
        <w:t>Ljungqvist and Wilhelm (2003)</w:t>
      </w:r>
      <w:bookmarkEnd w:id="10"/>
    </w:p>
    <w:p w:rsidR="007675A0" w:rsidRDefault="007675A0" w:rsidP="007675A0">
      <w:pPr>
        <w:spacing w:line="360" w:lineRule="auto"/>
        <w:rPr>
          <w:lang w:val="en-US"/>
        </w:rPr>
      </w:pPr>
      <w:r w:rsidRPr="00F4102E">
        <w:rPr>
          <w:lang w:val="en-US"/>
        </w:rPr>
        <w:t xml:space="preserve">Ljungqvist and </w:t>
      </w:r>
      <w:r>
        <w:rPr>
          <w:lang w:val="en-US"/>
        </w:rPr>
        <w:t>Wilhelm argue that underpricing is caused by agency conflicts in line with Baron’s model (Baron, 1982)</w:t>
      </w:r>
      <w:r w:rsidRPr="0019493C">
        <w:rPr>
          <w:color w:val="FF0000"/>
          <w:lang w:val="en-US"/>
        </w:rPr>
        <w:t xml:space="preserve"> </w:t>
      </w:r>
      <w:r>
        <w:rPr>
          <w:lang w:val="en-US"/>
        </w:rPr>
        <w:t>and Habib and Ljungqvist (2001)</w:t>
      </w:r>
      <w:r w:rsidRPr="002514A8">
        <w:rPr>
          <w:lang w:val="en-US"/>
        </w:rPr>
        <w:t>.</w:t>
      </w:r>
      <w:r>
        <w:rPr>
          <w:color w:val="FF0000"/>
          <w:lang w:val="en-US"/>
        </w:rPr>
        <w:t xml:space="preserve"> </w:t>
      </w:r>
      <w:r>
        <w:rPr>
          <w:lang w:val="en-US"/>
        </w:rPr>
        <w:t>The authors argue that changes in issuer incentives caused a reduction in monitoring by these issuers, which led to increased underpricing and less price revisions. The authors state that</w:t>
      </w:r>
      <w:r w:rsidR="00CF7709">
        <w:rPr>
          <w:lang w:val="en-US"/>
        </w:rPr>
        <w:t xml:space="preserve"> pre-IPO</w:t>
      </w:r>
      <w:r>
        <w:rPr>
          <w:lang w:val="en-US"/>
        </w:rPr>
        <w:t xml:space="preserve"> insider equity stakes declined during the </w:t>
      </w:r>
      <w:r w:rsidR="006917E1">
        <w:rPr>
          <w:lang w:val="en-US"/>
        </w:rPr>
        <w:t>1990’s</w:t>
      </w:r>
      <w:r>
        <w:rPr>
          <w:lang w:val="en-US"/>
        </w:rPr>
        <w:t>. For example</w:t>
      </w:r>
      <w:r w:rsidR="00302FE0">
        <w:rPr>
          <w:lang w:val="en-US"/>
        </w:rPr>
        <w:t>,</w:t>
      </w:r>
      <w:r>
        <w:rPr>
          <w:lang w:val="en-US"/>
        </w:rPr>
        <w:t xml:space="preserve"> in 1996 inside ownership stakes before the </w:t>
      </w:r>
      <w:r w:rsidR="0030498B">
        <w:rPr>
          <w:lang w:val="en-US"/>
        </w:rPr>
        <w:t>IPO</w:t>
      </w:r>
      <w:r>
        <w:rPr>
          <w:lang w:val="en-US"/>
        </w:rPr>
        <w:t xml:space="preserve"> averaged at 63.9% while in 2000 this </w:t>
      </w:r>
      <w:r w:rsidR="0041181C">
        <w:rPr>
          <w:lang w:val="en-US"/>
        </w:rPr>
        <w:t>number had fallen to 51.8%. Pre-</w:t>
      </w:r>
      <w:r w:rsidR="0030498B">
        <w:rPr>
          <w:lang w:val="en-US"/>
        </w:rPr>
        <w:t>IPO</w:t>
      </w:r>
      <w:r>
        <w:rPr>
          <w:lang w:val="en-US"/>
        </w:rPr>
        <w:t xml:space="preserve"> CEO ownership stakes also declined from 22.7% in 1996 to 11.6% in the year 2000. Apart from the changes in ownership structure, the amount of secondary share</w:t>
      </w:r>
      <w:r>
        <w:rPr>
          <w:rStyle w:val="FootnoteReference"/>
          <w:lang w:val="en-US"/>
        </w:rPr>
        <w:footnoteReference w:id="22"/>
      </w:r>
      <w:r>
        <w:rPr>
          <w:lang w:val="en-US"/>
        </w:rPr>
        <w:t xml:space="preserve"> offerings also declined. While the decline in secondary share offerings was substantial for all pre </w:t>
      </w:r>
      <w:r w:rsidR="0030498B">
        <w:rPr>
          <w:lang w:val="en-US"/>
        </w:rPr>
        <w:t>IPO</w:t>
      </w:r>
      <w:r>
        <w:rPr>
          <w:lang w:val="en-US"/>
        </w:rPr>
        <w:t xml:space="preserve"> shareholders, the relationship was especially strong for CEOs. The authors also state that during the </w:t>
      </w:r>
      <w:r w:rsidR="006917E1">
        <w:rPr>
          <w:lang w:val="en-US"/>
        </w:rPr>
        <w:t>1990’s</w:t>
      </w:r>
      <w:r w:rsidR="008F5D0B">
        <w:rPr>
          <w:lang w:val="en-US"/>
        </w:rPr>
        <w:t>,</w:t>
      </w:r>
      <w:r>
        <w:rPr>
          <w:lang w:val="en-US"/>
        </w:rPr>
        <w:t xml:space="preserve"> directed share programs increased in size. Directed share programs allocate shares to individuals who </w:t>
      </w:r>
      <w:r w:rsidR="008F5D0B">
        <w:rPr>
          <w:lang w:val="en-US"/>
        </w:rPr>
        <w:t>are close to managers such as f</w:t>
      </w:r>
      <w:r>
        <w:rPr>
          <w:lang w:val="en-US"/>
        </w:rPr>
        <w:t xml:space="preserve">amily members, friends, employees, suppliers and venture capitalists. </w:t>
      </w:r>
      <w:r w:rsidR="00302FE0">
        <w:rPr>
          <w:lang w:val="en-US"/>
        </w:rPr>
        <w:t>These kinds of programs provide</w:t>
      </w:r>
      <w:r>
        <w:rPr>
          <w:lang w:val="en-US"/>
        </w:rPr>
        <w:t xml:space="preserve"> an incentive for decision makers to seek rather than avoid underpricing. In 1996 only 24.7% of all IPOs included a directed share program, this number increased to 79.2% in 1999 and 92.6% in 2000. </w:t>
      </w:r>
    </w:p>
    <w:p w:rsidR="00E60748" w:rsidRDefault="007675A0" w:rsidP="007675A0">
      <w:pPr>
        <w:spacing w:line="360" w:lineRule="auto"/>
        <w:rPr>
          <w:lang w:val="en-US"/>
        </w:rPr>
      </w:pPr>
      <w:r w:rsidRPr="0041181C">
        <w:rPr>
          <w:color w:val="000000" w:themeColor="text1"/>
          <w:lang w:val="en-US"/>
        </w:rPr>
        <w:t>The authors test the hypothesis that</w:t>
      </w:r>
      <w:r w:rsidR="00C71D4F">
        <w:rPr>
          <w:color w:val="000000" w:themeColor="text1"/>
          <w:lang w:val="en-US"/>
        </w:rPr>
        <w:t xml:space="preserve"> pre-IPO</w:t>
      </w:r>
      <w:r w:rsidRPr="0041181C">
        <w:rPr>
          <w:color w:val="000000" w:themeColor="text1"/>
          <w:lang w:val="en-US"/>
        </w:rPr>
        <w:t xml:space="preserve"> inside ownership and insider sales are negatively related to underpricing. </w:t>
      </w:r>
      <w:r w:rsidR="00E60748">
        <w:rPr>
          <w:lang w:val="en-US"/>
        </w:rPr>
        <w:t xml:space="preserve">Insider stakes are defined as the percentage of the firm’s shares owned by insiders. Insider sales are defined as the percentage of shares offered in the </w:t>
      </w:r>
      <w:r w:rsidR="0030498B">
        <w:rPr>
          <w:lang w:val="en-US"/>
        </w:rPr>
        <w:t>IPO</w:t>
      </w:r>
      <w:r w:rsidR="00E60748">
        <w:rPr>
          <w:lang w:val="en-US"/>
        </w:rPr>
        <w:t xml:space="preserve"> that originate from inside shareholders. </w:t>
      </w:r>
      <w:r w:rsidR="00E60748" w:rsidRPr="00E60748">
        <w:rPr>
          <w:lang w:val="en-US"/>
        </w:rPr>
        <w:t>The authors</w:t>
      </w:r>
      <w:r w:rsidR="00E60748">
        <w:rPr>
          <w:lang w:val="en-US"/>
        </w:rPr>
        <w:t xml:space="preserve"> also</w:t>
      </w:r>
      <w:r w:rsidR="00E60748" w:rsidRPr="00E60748">
        <w:rPr>
          <w:lang w:val="en-US"/>
        </w:rPr>
        <w:t xml:space="preserve"> include the relative amount of primary share offerings in the regression model</w:t>
      </w:r>
      <w:r w:rsidR="00C71D4F">
        <w:rPr>
          <w:lang w:val="en-US"/>
        </w:rPr>
        <w:t>,</w:t>
      </w:r>
      <w:r w:rsidR="00E60748" w:rsidRPr="00E60748">
        <w:rPr>
          <w:lang w:val="en-US"/>
        </w:rPr>
        <w:t xml:space="preserve"> called the dilution factor. This variable is defined as the amount of primary shares offered in the </w:t>
      </w:r>
      <w:r w:rsidR="0030498B">
        <w:rPr>
          <w:lang w:val="en-US"/>
        </w:rPr>
        <w:t>IPO</w:t>
      </w:r>
      <w:r w:rsidR="00E60748" w:rsidRPr="00E60748">
        <w:rPr>
          <w:lang w:val="en-US"/>
        </w:rPr>
        <w:t xml:space="preserve">, normalized by the amount of shares outstanding before the </w:t>
      </w:r>
      <w:r w:rsidR="0030498B">
        <w:rPr>
          <w:lang w:val="en-US"/>
        </w:rPr>
        <w:t>IPO</w:t>
      </w:r>
      <w:r w:rsidR="00E60748" w:rsidRPr="00E60748">
        <w:rPr>
          <w:lang w:val="en-US"/>
        </w:rPr>
        <w:t xml:space="preserve">. </w:t>
      </w:r>
      <w:proofErr w:type="gramStart"/>
      <w:r w:rsidR="00E60748" w:rsidRPr="00E60748">
        <w:rPr>
          <w:lang w:val="en-US"/>
        </w:rPr>
        <w:t>The dilution effect of underpricing hurts selling shareholders more than shareholders that retain their shares.</w:t>
      </w:r>
      <w:proofErr w:type="gramEnd"/>
      <w:r w:rsidR="00E60748" w:rsidRPr="00E60748">
        <w:rPr>
          <w:lang w:val="en-US"/>
        </w:rPr>
        <w:t xml:space="preserve"> Therefore, insiders that sell secondary instead of primary </w:t>
      </w:r>
      <w:proofErr w:type="gramStart"/>
      <w:r w:rsidR="00E60748" w:rsidRPr="00E60748">
        <w:rPr>
          <w:lang w:val="en-US"/>
        </w:rPr>
        <w:t>shares,</w:t>
      </w:r>
      <w:proofErr w:type="gramEnd"/>
      <w:r w:rsidR="00E60748" w:rsidRPr="00E60748">
        <w:rPr>
          <w:lang w:val="en-US"/>
        </w:rPr>
        <w:t xml:space="preserve"> should be more concerned with </w:t>
      </w:r>
      <w:r w:rsidR="00E60748" w:rsidRPr="00E60748">
        <w:rPr>
          <w:lang w:val="en-US"/>
        </w:rPr>
        <w:lastRenderedPageBreak/>
        <w:t>underpricing and increase their monitoring. Greater amounts of primary shares (and thus less secondary shares) sold should therefore be positively related to underpricing.</w:t>
      </w:r>
    </w:p>
    <w:p w:rsidR="00251BB2" w:rsidRPr="00251BB2" w:rsidRDefault="00251BB2" w:rsidP="007675A0">
      <w:pPr>
        <w:spacing w:line="360" w:lineRule="auto"/>
        <w:rPr>
          <w:i/>
          <w:lang w:val="en-US"/>
        </w:rPr>
      </w:pPr>
      <w:r w:rsidRPr="00251BB2">
        <w:rPr>
          <w:i/>
          <w:lang w:val="en-US"/>
        </w:rPr>
        <w:t>Results</w:t>
      </w:r>
    </w:p>
    <w:p w:rsidR="007675A0" w:rsidRPr="003918B6" w:rsidRDefault="00E60748" w:rsidP="007675A0">
      <w:pPr>
        <w:spacing w:line="360" w:lineRule="auto"/>
        <w:rPr>
          <w:lang w:val="en-US"/>
        </w:rPr>
      </w:pPr>
      <w:r>
        <w:rPr>
          <w:color w:val="000000" w:themeColor="text1"/>
          <w:lang w:val="en-US"/>
        </w:rPr>
        <w:t>Consistent with the</w:t>
      </w:r>
      <w:r w:rsidR="007675A0" w:rsidRPr="0041181C">
        <w:rPr>
          <w:color w:val="000000" w:themeColor="text1"/>
          <w:lang w:val="en-US"/>
        </w:rPr>
        <w:t xml:space="preserve"> hypothesis, the authors find that pre </w:t>
      </w:r>
      <w:r w:rsidR="0030498B">
        <w:rPr>
          <w:color w:val="000000" w:themeColor="text1"/>
          <w:lang w:val="en-US"/>
        </w:rPr>
        <w:t>IPO</w:t>
      </w:r>
      <w:r w:rsidR="007675A0" w:rsidRPr="0041181C">
        <w:rPr>
          <w:color w:val="000000" w:themeColor="text1"/>
          <w:lang w:val="en-US"/>
        </w:rPr>
        <w:t xml:space="preserve"> </w:t>
      </w:r>
      <w:r w:rsidR="0041181C">
        <w:rPr>
          <w:color w:val="000000" w:themeColor="text1"/>
          <w:lang w:val="en-US"/>
        </w:rPr>
        <w:t xml:space="preserve">inside ownership by </w:t>
      </w:r>
      <w:r w:rsidR="007675A0" w:rsidRPr="0041181C">
        <w:rPr>
          <w:color w:val="000000" w:themeColor="text1"/>
          <w:lang w:val="en-US"/>
        </w:rPr>
        <w:t>venture capital</w:t>
      </w:r>
      <w:r w:rsidR="0041181C">
        <w:rPr>
          <w:color w:val="000000" w:themeColor="text1"/>
          <w:lang w:val="en-US"/>
        </w:rPr>
        <w:t>ists</w:t>
      </w:r>
      <w:r w:rsidR="007675A0" w:rsidRPr="0041181C">
        <w:rPr>
          <w:color w:val="000000" w:themeColor="text1"/>
          <w:lang w:val="en-US"/>
        </w:rPr>
        <w:t>,</w:t>
      </w:r>
      <w:r w:rsidR="007675A0">
        <w:rPr>
          <w:lang w:val="en-US"/>
        </w:rPr>
        <w:t xml:space="preserve"> investment bank</w:t>
      </w:r>
      <w:r w:rsidR="0041181C">
        <w:rPr>
          <w:lang w:val="en-US"/>
        </w:rPr>
        <w:t>s and other corporations</w:t>
      </w:r>
      <w:r w:rsidR="007675A0">
        <w:rPr>
          <w:lang w:val="en-US"/>
        </w:rPr>
        <w:t xml:space="preserve"> is negatively related to underpricing. </w:t>
      </w:r>
      <w:r w:rsidR="00660CEA">
        <w:rPr>
          <w:lang w:val="en-US"/>
        </w:rPr>
        <w:t>However,</w:t>
      </w:r>
      <w:r w:rsidR="007675A0">
        <w:rPr>
          <w:lang w:val="en-US"/>
        </w:rPr>
        <w:t xml:space="preserve"> the equity stake of CEOs has the right sign</w:t>
      </w:r>
      <w:r w:rsidR="00F06F55">
        <w:rPr>
          <w:lang w:val="en-US"/>
        </w:rPr>
        <w:t>,</w:t>
      </w:r>
      <w:r w:rsidR="007675A0">
        <w:rPr>
          <w:lang w:val="en-US"/>
        </w:rPr>
        <w:t xml:space="preserve"> but is not statistically significant (t = 1.51). An interaction variable ‘</w:t>
      </w:r>
      <w:r w:rsidR="009C2F54">
        <w:rPr>
          <w:lang w:val="en-US"/>
        </w:rPr>
        <w:t>Internet</w:t>
      </w:r>
      <w:r w:rsidR="007675A0">
        <w:rPr>
          <w:lang w:val="en-US"/>
        </w:rPr>
        <w:t xml:space="preserve"> dummy* CEO sta</w:t>
      </w:r>
      <w:r w:rsidR="00F06F55">
        <w:rPr>
          <w:lang w:val="en-US"/>
        </w:rPr>
        <w:t>ke’ is negative and significant. T</w:t>
      </w:r>
      <w:r w:rsidR="007675A0">
        <w:rPr>
          <w:lang w:val="en-US"/>
        </w:rPr>
        <w:t xml:space="preserve">his result indicates that CEO ownership stakes in </w:t>
      </w:r>
      <w:r w:rsidR="009C2F54">
        <w:rPr>
          <w:lang w:val="en-US"/>
        </w:rPr>
        <w:t>Internet</w:t>
      </w:r>
      <w:r w:rsidR="007675A0">
        <w:rPr>
          <w:lang w:val="en-US"/>
        </w:rPr>
        <w:t xml:space="preserve"> firms are negatively related to underpricing. </w:t>
      </w:r>
      <w:r w:rsidR="00F06F55">
        <w:rPr>
          <w:lang w:val="en-US"/>
        </w:rPr>
        <w:t xml:space="preserve"> </w:t>
      </w:r>
      <w:r w:rsidR="0041181C">
        <w:rPr>
          <w:lang w:val="en-US"/>
        </w:rPr>
        <w:t xml:space="preserve">The size of insider sales by CEOs, investment banks and other corporations </w:t>
      </w:r>
      <w:r w:rsidR="007675A0" w:rsidRPr="0041181C">
        <w:rPr>
          <w:color w:val="000000" w:themeColor="text1"/>
          <w:lang w:val="en-US"/>
        </w:rPr>
        <w:t>all have the expected negative sign, but these coefficients are not significant. The</w:t>
      </w:r>
      <w:r w:rsidR="007675A0">
        <w:rPr>
          <w:lang w:val="en-US"/>
        </w:rPr>
        <w:t xml:space="preserve"> size of the venture capital stake sold in the </w:t>
      </w:r>
      <w:r w:rsidR="0030498B">
        <w:rPr>
          <w:lang w:val="en-US"/>
        </w:rPr>
        <w:t>IPO</w:t>
      </w:r>
      <w:r w:rsidR="007675A0">
        <w:rPr>
          <w:lang w:val="en-US"/>
        </w:rPr>
        <w:t xml:space="preserve"> is </w:t>
      </w:r>
      <w:r w:rsidR="00660CEA">
        <w:rPr>
          <w:lang w:val="en-US"/>
        </w:rPr>
        <w:t>however</w:t>
      </w:r>
      <w:r w:rsidR="007675A0">
        <w:rPr>
          <w:lang w:val="en-US"/>
        </w:rPr>
        <w:t xml:space="preserve"> significant and has the expected negative sign. Price revisions are significant and positively related to underpricing, </w:t>
      </w:r>
      <w:r w:rsidR="00C71D4F">
        <w:rPr>
          <w:lang w:val="en-US"/>
        </w:rPr>
        <w:t>a</w:t>
      </w:r>
      <w:r w:rsidR="007675A0">
        <w:rPr>
          <w:lang w:val="en-US"/>
        </w:rPr>
        <w:t xml:space="preserve"> </w:t>
      </w:r>
      <w:proofErr w:type="gramStart"/>
      <w:r w:rsidR="007675A0">
        <w:rPr>
          <w:lang w:val="en-US"/>
        </w:rPr>
        <w:t xml:space="preserve">relationship </w:t>
      </w:r>
      <w:r w:rsidR="00C71D4F">
        <w:rPr>
          <w:lang w:val="en-US"/>
        </w:rPr>
        <w:t xml:space="preserve"> that</w:t>
      </w:r>
      <w:proofErr w:type="gramEnd"/>
      <w:r w:rsidR="00C71D4F">
        <w:rPr>
          <w:lang w:val="en-US"/>
        </w:rPr>
        <w:t xml:space="preserve"> </w:t>
      </w:r>
      <w:r w:rsidR="007675A0">
        <w:rPr>
          <w:lang w:val="en-US"/>
        </w:rPr>
        <w:t xml:space="preserve">also holds for directed share programs. </w:t>
      </w:r>
      <w:r w:rsidR="007675A0" w:rsidRPr="00762873">
        <w:rPr>
          <w:lang w:val="en-US"/>
        </w:rPr>
        <w:t>Ljungqvist and Wilhelm also find that underwrite</w:t>
      </w:r>
      <w:r w:rsidR="008F5D0B">
        <w:rPr>
          <w:lang w:val="en-US"/>
        </w:rPr>
        <w:t>r reputation is not significant</w:t>
      </w:r>
      <w:r>
        <w:rPr>
          <w:lang w:val="en-US"/>
        </w:rPr>
        <w:t>ly related to underpricing</w:t>
      </w:r>
      <w:r w:rsidR="008F5D0B">
        <w:rPr>
          <w:lang w:val="en-US"/>
        </w:rPr>
        <w:t xml:space="preserve">. </w:t>
      </w:r>
      <w:r w:rsidR="00660CEA">
        <w:rPr>
          <w:lang w:val="en-US"/>
        </w:rPr>
        <w:t>However,</w:t>
      </w:r>
      <w:r w:rsidR="008F5D0B">
        <w:rPr>
          <w:lang w:val="en-US"/>
        </w:rPr>
        <w:t xml:space="preserve"> during the </w:t>
      </w:r>
      <w:r w:rsidR="009C2F54">
        <w:rPr>
          <w:lang w:val="en-US"/>
        </w:rPr>
        <w:t>Internet</w:t>
      </w:r>
      <w:r w:rsidR="007675A0" w:rsidRPr="00762873">
        <w:rPr>
          <w:lang w:val="en-US"/>
        </w:rPr>
        <w:t xml:space="preserve"> bubble</w:t>
      </w:r>
      <w:r w:rsidR="00F06F55">
        <w:rPr>
          <w:lang w:val="en-US"/>
        </w:rPr>
        <w:t>,</w:t>
      </w:r>
      <w:r w:rsidR="007675A0" w:rsidRPr="00762873">
        <w:rPr>
          <w:lang w:val="en-US"/>
        </w:rPr>
        <w:t xml:space="preserve"> prestigious underwriters did seem to underprice more, as shown by</w:t>
      </w:r>
      <w:r w:rsidR="007675A0">
        <w:rPr>
          <w:lang w:val="en-US"/>
        </w:rPr>
        <w:t xml:space="preserve"> the</w:t>
      </w:r>
      <w:r w:rsidR="007675A0" w:rsidRPr="00762873">
        <w:rPr>
          <w:lang w:val="en-US"/>
        </w:rPr>
        <w:t xml:space="preserve"> significant positive sign of the interaction variable ‘</w:t>
      </w:r>
      <w:r w:rsidR="009C2F54">
        <w:rPr>
          <w:lang w:val="en-US"/>
        </w:rPr>
        <w:t>Internet</w:t>
      </w:r>
      <w:r w:rsidR="007675A0" w:rsidRPr="00762873">
        <w:rPr>
          <w:lang w:val="en-US"/>
        </w:rPr>
        <w:t xml:space="preserve"> </w:t>
      </w:r>
      <w:r w:rsidR="007675A0">
        <w:rPr>
          <w:lang w:val="en-US"/>
        </w:rPr>
        <w:t xml:space="preserve">Dummy * Underwriter reputation’. </w:t>
      </w:r>
      <w:r w:rsidR="0041181C">
        <w:rPr>
          <w:lang w:val="en-US"/>
        </w:rPr>
        <w:t xml:space="preserve"> </w:t>
      </w:r>
      <w:r w:rsidR="007675A0" w:rsidRPr="00E60748">
        <w:rPr>
          <w:lang w:val="en-US"/>
        </w:rPr>
        <w:t>The authors find a negative and significant effect for the dilution factor.</w:t>
      </w:r>
      <w:r w:rsidRPr="00E60748">
        <w:rPr>
          <w:lang w:val="en-US"/>
        </w:rPr>
        <w:t xml:space="preserve"> This is inconsistent with the hypothesis that insiders selling secondary shares are more concerned with underpricing, since the result indicates that selling secondary shares does not lead to r</w:t>
      </w:r>
      <w:r w:rsidR="00206B6C">
        <w:rPr>
          <w:lang w:val="en-US"/>
        </w:rPr>
        <w:t>educed underpricing</w:t>
      </w:r>
      <w:r w:rsidRPr="00E60748">
        <w:rPr>
          <w:lang w:val="en-US"/>
        </w:rPr>
        <w:t xml:space="preserve">. </w:t>
      </w:r>
      <w:r w:rsidR="007675A0" w:rsidRPr="00E60748">
        <w:rPr>
          <w:lang w:val="en-US"/>
        </w:rPr>
        <w:t xml:space="preserve"> A final interesting result of Ljungqvist and Wilhelm is the change in size of the </w:t>
      </w:r>
      <w:r w:rsidR="009C2F54">
        <w:rPr>
          <w:lang w:val="en-US"/>
        </w:rPr>
        <w:t>Internet</w:t>
      </w:r>
      <w:r w:rsidR="007675A0" w:rsidRPr="00E60748">
        <w:rPr>
          <w:lang w:val="en-US"/>
        </w:rPr>
        <w:t xml:space="preserve"> dummy coefficient. The au</w:t>
      </w:r>
      <w:r w:rsidR="007675A0">
        <w:rPr>
          <w:lang w:val="en-US"/>
        </w:rPr>
        <w:t xml:space="preserve">thors first run a simple regression with underpricing as the dependent and a high-tech dummy, an </w:t>
      </w:r>
      <w:r w:rsidR="009C2F54">
        <w:rPr>
          <w:lang w:val="en-US"/>
        </w:rPr>
        <w:t>Internet</w:t>
      </w:r>
      <w:r w:rsidR="007675A0">
        <w:rPr>
          <w:lang w:val="en-US"/>
        </w:rPr>
        <w:t xml:space="preserve"> </w:t>
      </w:r>
      <w:r w:rsidR="003456D8">
        <w:rPr>
          <w:lang w:val="en-US"/>
        </w:rPr>
        <w:t xml:space="preserve">firm </w:t>
      </w:r>
      <w:r w:rsidR="007675A0">
        <w:rPr>
          <w:lang w:val="en-US"/>
        </w:rPr>
        <w:t>dummy and a</w:t>
      </w:r>
      <w:r w:rsidR="0063534D">
        <w:rPr>
          <w:lang w:val="en-US"/>
        </w:rPr>
        <w:t>n</w:t>
      </w:r>
      <w:r w:rsidR="00206B6C">
        <w:rPr>
          <w:lang w:val="en-US"/>
        </w:rPr>
        <w:t xml:space="preserve"> Internet</w:t>
      </w:r>
      <w:r w:rsidR="00C71D4F">
        <w:rPr>
          <w:lang w:val="en-US"/>
        </w:rPr>
        <w:t xml:space="preserve"> bubble dummy as independent variables</w:t>
      </w:r>
      <w:r w:rsidR="007675A0">
        <w:rPr>
          <w:lang w:val="en-US"/>
        </w:rPr>
        <w:t xml:space="preserve">. The </w:t>
      </w:r>
      <w:r w:rsidR="003456D8">
        <w:rPr>
          <w:lang w:val="en-US"/>
        </w:rPr>
        <w:t xml:space="preserve">Internet </w:t>
      </w:r>
      <w:r w:rsidR="007675A0">
        <w:rPr>
          <w:lang w:val="en-US"/>
        </w:rPr>
        <w:t>bubble dummy was positive and significant and measured up to 0.303, indicating that during the</w:t>
      </w:r>
      <w:r w:rsidR="00206B6C">
        <w:rPr>
          <w:lang w:val="en-US"/>
        </w:rPr>
        <w:t xml:space="preserve"> Internet bubble</w:t>
      </w:r>
      <w:r w:rsidR="007675A0">
        <w:rPr>
          <w:lang w:val="en-US"/>
        </w:rPr>
        <w:t xml:space="preserve"> firms were underpriced 30% more on average than during other periods. </w:t>
      </w:r>
      <w:r w:rsidR="007675A0" w:rsidRPr="00762873">
        <w:rPr>
          <w:lang w:val="en-US"/>
        </w:rPr>
        <w:t>Ljungqvist and Wilhelm</w:t>
      </w:r>
      <w:r w:rsidR="007675A0">
        <w:rPr>
          <w:lang w:val="en-US"/>
        </w:rPr>
        <w:t xml:space="preserve"> show that the size of the </w:t>
      </w:r>
      <w:r w:rsidR="009C2F54">
        <w:rPr>
          <w:lang w:val="en-US"/>
        </w:rPr>
        <w:t>Internet</w:t>
      </w:r>
      <w:r w:rsidR="007675A0">
        <w:rPr>
          <w:lang w:val="en-US"/>
        </w:rPr>
        <w:t xml:space="preserve"> bubble coefficient drops to 0.144 in their complete model (the coefficient is still significant). The drop in size indicates that the size of insider stakes can account for much of the increased underpricing during the </w:t>
      </w:r>
      <w:r w:rsidR="009C2F54">
        <w:rPr>
          <w:lang w:val="en-US"/>
        </w:rPr>
        <w:t>Internet</w:t>
      </w:r>
      <w:r w:rsidR="007675A0">
        <w:rPr>
          <w:lang w:val="en-US"/>
        </w:rPr>
        <w:t xml:space="preserve"> bubble.</w:t>
      </w:r>
    </w:p>
    <w:p w:rsidR="00D25B76" w:rsidRDefault="00D25B76">
      <w:pPr>
        <w:rPr>
          <w:b/>
          <w:lang w:val="en-US"/>
        </w:rPr>
      </w:pPr>
      <w:r>
        <w:rPr>
          <w:b/>
          <w:lang w:val="en-US"/>
        </w:rPr>
        <w:br w:type="page"/>
      </w:r>
    </w:p>
    <w:p w:rsidR="007675A0" w:rsidRPr="009C10C7" w:rsidRDefault="009C10C7" w:rsidP="009C10C7">
      <w:pPr>
        <w:spacing w:line="360" w:lineRule="auto"/>
        <w:ind w:left="1418" w:hanging="851"/>
        <w:outlineLvl w:val="0"/>
        <w:rPr>
          <w:b/>
          <w:lang w:val="en-US"/>
        </w:rPr>
      </w:pPr>
      <w:r>
        <w:rPr>
          <w:b/>
          <w:lang w:val="en-US"/>
        </w:rPr>
        <w:lastRenderedPageBreak/>
        <w:t>3.4.2.2.</w:t>
      </w:r>
      <w:r>
        <w:rPr>
          <w:b/>
          <w:lang w:val="en-US"/>
        </w:rPr>
        <w:tab/>
      </w:r>
      <w:bookmarkStart w:id="11" w:name="_Toc280276103"/>
      <w:r w:rsidRPr="009C10C7">
        <w:rPr>
          <w:b/>
          <w:lang w:val="en-US"/>
        </w:rPr>
        <w:t>Loughran and Ritter (2004</w:t>
      </w:r>
      <w:bookmarkEnd w:id="11"/>
      <w:r w:rsidRPr="009C10C7">
        <w:rPr>
          <w:b/>
          <w:lang w:val="en-US"/>
        </w:rPr>
        <w:t>)</w:t>
      </w:r>
    </w:p>
    <w:p w:rsidR="007675A0" w:rsidRPr="003A57BD" w:rsidRDefault="007675A0" w:rsidP="007675A0">
      <w:pPr>
        <w:spacing w:line="360" w:lineRule="auto"/>
        <w:rPr>
          <w:i/>
          <w:lang w:val="en-US"/>
        </w:rPr>
      </w:pPr>
      <w:r>
        <w:rPr>
          <w:lang w:val="en-US"/>
        </w:rPr>
        <w:t>Loughran and Ritter</w:t>
      </w:r>
      <w:r w:rsidR="00206B6C">
        <w:rPr>
          <w:lang w:val="en-US"/>
        </w:rPr>
        <w:t xml:space="preserve"> (2004) test three hypotheses</w:t>
      </w:r>
      <w:r w:rsidR="009906BE">
        <w:rPr>
          <w:lang w:val="en-US"/>
        </w:rPr>
        <w:t xml:space="preserve"> to account for time differences in underpricing</w:t>
      </w:r>
      <w:r w:rsidR="00206B6C">
        <w:rPr>
          <w:lang w:val="en-US"/>
        </w:rPr>
        <w:t>: T</w:t>
      </w:r>
      <w:r>
        <w:rPr>
          <w:lang w:val="en-US"/>
        </w:rPr>
        <w:t xml:space="preserve">he changing risk composition hypothesis, the realignment of incentives hypothesis and the changing issuer objective function hypothesis. </w:t>
      </w:r>
    </w:p>
    <w:p w:rsidR="007675A0" w:rsidRPr="00967B4E" w:rsidRDefault="007675A0" w:rsidP="007675A0">
      <w:pPr>
        <w:spacing w:line="360" w:lineRule="auto"/>
        <w:rPr>
          <w:lang w:val="en-US"/>
        </w:rPr>
      </w:pPr>
      <w:r w:rsidRPr="008E71E2">
        <w:rPr>
          <w:lang w:val="en-US"/>
        </w:rPr>
        <w:t>The changing risk composition hypothesis</w:t>
      </w:r>
      <w:r>
        <w:rPr>
          <w:lang w:val="en-US"/>
        </w:rPr>
        <w:t xml:space="preserve"> states that investors require</w:t>
      </w:r>
      <w:r w:rsidR="00F06F55">
        <w:rPr>
          <w:lang w:val="en-US"/>
        </w:rPr>
        <w:t>d</w:t>
      </w:r>
      <w:r>
        <w:rPr>
          <w:lang w:val="en-US"/>
        </w:rPr>
        <w:t xml:space="preserve"> more underp</w:t>
      </w:r>
      <w:r w:rsidR="0089334E">
        <w:rPr>
          <w:lang w:val="en-US"/>
        </w:rPr>
        <w:t xml:space="preserve">ricing during the </w:t>
      </w:r>
      <w:r w:rsidR="006917E1">
        <w:rPr>
          <w:lang w:val="en-US"/>
        </w:rPr>
        <w:t>1990’s</w:t>
      </w:r>
      <w:r w:rsidR="0089334E">
        <w:rPr>
          <w:lang w:val="en-US"/>
        </w:rPr>
        <w:t xml:space="preserve"> and the </w:t>
      </w:r>
      <w:r w:rsidR="009C2F54">
        <w:rPr>
          <w:lang w:val="en-US"/>
        </w:rPr>
        <w:t>Internet</w:t>
      </w:r>
      <w:r>
        <w:rPr>
          <w:lang w:val="en-US"/>
        </w:rPr>
        <w:t xml:space="preserve"> bubble, because firms that went public </w:t>
      </w:r>
      <w:r w:rsidR="00F60D5F">
        <w:rPr>
          <w:lang w:val="en-US"/>
        </w:rPr>
        <w:t>were</w:t>
      </w:r>
      <w:r>
        <w:rPr>
          <w:lang w:val="en-US"/>
        </w:rPr>
        <w:t xml:space="preserve"> more risky. This type of reasoning is based on the information asymmetry models described </w:t>
      </w:r>
      <w:r w:rsidR="003456D8">
        <w:rPr>
          <w:lang w:val="en-US"/>
        </w:rPr>
        <w:t>in section 3.4.1.1</w:t>
      </w:r>
      <w:r>
        <w:rPr>
          <w:lang w:val="en-US"/>
        </w:rPr>
        <w:t xml:space="preserve">. Increased </w:t>
      </w:r>
      <w:r w:rsidR="00CC5043">
        <w:rPr>
          <w:lang w:val="en-US"/>
        </w:rPr>
        <w:t>ex-ante</w:t>
      </w:r>
      <w:r>
        <w:rPr>
          <w:lang w:val="en-US"/>
        </w:rPr>
        <w:t xml:space="preserve"> uncertainty about firm value increases the </w:t>
      </w:r>
      <w:r w:rsidR="00E174CF">
        <w:rPr>
          <w:lang w:val="en-US"/>
        </w:rPr>
        <w:t>Winner’s Curse</w:t>
      </w:r>
      <w:r>
        <w:rPr>
          <w:lang w:val="en-US"/>
        </w:rPr>
        <w:t xml:space="preserve"> in Rock’s model (also see Beatty &amp; Ritter</w:t>
      </w:r>
      <w:r w:rsidR="00206B6C">
        <w:rPr>
          <w:lang w:val="en-US"/>
        </w:rPr>
        <w:t>,</w:t>
      </w:r>
      <w:r>
        <w:rPr>
          <w:lang w:val="en-US"/>
        </w:rPr>
        <w:t xml:space="preserve"> 1986 and Carter &amp; Manaster</w:t>
      </w:r>
      <w:r w:rsidR="00206B6C">
        <w:rPr>
          <w:lang w:val="en-US"/>
        </w:rPr>
        <w:t>,</w:t>
      </w:r>
      <w:r>
        <w:rPr>
          <w:lang w:val="en-US"/>
        </w:rPr>
        <w:t xml:space="preserve"> 1990). </w:t>
      </w:r>
      <w:r w:rsidR="00206B6C">
        <w:rPr>
          <w:lang w:val="en-US"/>
        </w:rPr>
        <w:t>More</w:t>
      </w:r>
      <w:r>
        <w:rPr>
          <w:lang w:val="en-US"/>
        </w:rPr>
        <w:t xml:space="preserve"> uncertainty is also consistent with more underpricing in Baron’s model (Baron, 1982) and the explanations provided by Jegadeesh</w:t>
      </w:r>
      <w:r w:rsidR="00206B6C">
        <w:rPr>
          <w:lang w:val="en-US"/>
        </w:rPr>
        <w:t xml:space="preserve"> et al.</w:t>
      </w:r>
      <w:r>
        <w:rPr>
          <w:lang w:val="en-US"/>
        </w:rPr>
        <w:t xml:space="preserve"> (1993).</w:t>
      </w:r>
    </w:p>
    <w:p w:rsidR="002144DC" w:rsidRDefault="007675A0" w:rsidP="007675A0">
      <w:pPr>
        <w:spacing w:line="360" w:lineRule="auto"/>
        <w:rPr>
          <w:lang w:val="en-US"/>
        </w:rPr>
      </w:pPr>
      <w:r>
        <w:rPr>
          <w:lang w:val="en-US"/>
        </w:rPr>
        <w:t xml:space="preserve">The realignment of incentives hypothesis states that underpricing increased during the </w:t>
      </w:r>
      <w:r w:rsidR="006917E1">
        <w:rPr>
          <w:lang w:val="en-US"/>
        </w:rPr>
        <w:t>1990’s</w:t>
      </w:r>
      <w:r>
        <w:rPr>
          <w:lang w:val="en-US"/>
        </w:rPr>
        <w:t xml:space="preserve"> because issuers cared less about underpricing due to smaller CEO ownership stakes and a higher fraction of IPOs with no secondary shares. The realignment of incentive hypothesis is the main hypothesis used by </w:t>
      </w:r>
      <w:r w:rsidRPr="00762873">
        <w:rPr>
          <w:lang w:val="en-US"/>
        </w:rPr>
        <w:t>Ljungqvist and Wilhelm</w:t>
      </w:r>
      <w:r>
        <w:rPr>
          <w:lang w:val="en-US"/>
        </w:rPr>
        <w:t xml:space="preserve"> (2002) described earlier.</w:t>
      </w:r>
    </w:p>
    <w:p w:rsidR="007675A0" w:rsidRDefault="007675A0" w:rsidP="00F64CC7">
      <w:pPr>
        <w:spacing w:line="360" w:lineRule="auto"/>
        <w:rPr>
          <w:lang w:val="en-US"/>
        </w:rPr>
      </w:pPr>
      <w:r w:rsidRPr="00C05A6A">
        <w:rPr>
          <w:lang w:val="en-US"/>
        </w:rPr>
        <w:t>The changing issuer objective function hypothesis</w:t>
      </w:r>
      <w:r>
        <w:rPr>
          <w:lang w:val="en-US"/>
        </w:rPr>
        <w:t xml:space="preserve"> states that because issuers became less worried about underpricing and more about other factors, they allowed </w:t>
      </w:r>
      <w:r w:rsidR="0051724D">
        <w:rPr>
          <w:lang w:val="en-US"/>
        </w:rPr>
        <w:t>underwriters to underprice</w:t>
      </w:r>
      <w:r>
        <w:rPr>
          <w:lang w:val="en-US"/>
        </w:rPr>
        <w:t xml:space="preserve"> IPOs to a larger extent. Loughran and Ritter divide the </w:t>
      </w:r>
      <w:r w:rsidRPr="00C05A6A">
        <w:rPr>
          <w:lang w:val="en-US"/>
        </w:rPr>
        <w:t>changing issuer objective function hypothesis</w:t>
      </w:r>
      <w:r>
        <w:rPr>
          <w:lang w:val="en-US"/>
        </w:rPr>
        <w:t xml:space="preserve"> into two separate hypotheses: The analyst lust hypothesis and the </w:t>
      </w:r>
      <w:r w:rsidR="00660CEA">
        <w:rPr>
          <w:lang w:val="en-US"/>
        </w:rPr>
        <w:t>Spinning</w:t>
      </w:r>
      <w:r>
        <w:rPr>
          <w:lang w:val="en-US"/>
        </w:rPr>
        <w:t xml:space="preserve"> hypothesis.</w:t>
      </w:r>
    </w:p>
    <w:p w:rsidR="003456D8" w:rsidRDefault="007675A0" w:rsidP="007675A0">
      <w:pPr>
        <w:spacing w:line="360" w:lineRule="auto"/>
        <w:rPr>
          <w:lang w:val="en-US"/>
        </w:rPr>
      </w:pPr>
      <w:r>
        <w:rPr>
          <w:lang w:val="en-US"/>
        </w:rPr>
        <w:t>The analyst lust hypothesis states that issuing firms choose their underwriting bank mostly based on the quality of the research department of the bank.</w:t>
      </w:r>
      <w:r w:rsidR="0051724D">
        <w:rPr>
          <w:lang w:val="en-US"/>
        </w:rPr>
        <w:t xml:space="preserve"> In the 1970’s some of the most prestigious underwriters, like Morgan Stanley, hardly had any research business. This changed rapidly throughout the </w:t>
      </w:r>
      <w:r w:rsidR="006917E1">
        <w:rPr>
          <w:lang w:val="en-US"/>
        </w:rPr>
        <w:t>1990’s</w:t>
      </w:r>
      <w:r w:rsidR="0051724D">
        <w:rPr>
          <w:lang w:val="en-US"/>
        </w:rPr>
        <w:t>.</w:t>
      </w:r>
      <w:r>
        <w:rPr>
          <w:lang w:val="en-US"/>
        </w:rPr>
        <w:t xml:space="preserve"> Analyst research is very costly for banks, but banks are willing to bear these costs in order to attract </w:t>
      </w:r>
      <w:r w:rsidR="003456D8">
        <w:rPr>
          <w:lang w:val="en-US"/>
        </w:rPr>
        <w:t>other business such as IPOs</w:t>
      </w:r>
      <w:r>
        <w:rPr>
          <w:lang w:val="en-US"/>
        </w:rPr>
        <w:t>. Loughran and Ritter give several explanations why analyst coverage in</w:t>
      </w:r>
      <w:r w:rsidR="0051724D">
        <w:rPr>
          <w:lang w:val="en-US"/>
        </w:rPr>
        <w:t>creased in importance over time</w:t>
      </w:r>
      <w:r w:rsidR="00F64CC7">
        <w:rPr>
          <w:lang w:val="en-US"/>
        </w:rPr>
        <w:t>. First</w:t>
      </w:r>
      <w:r w:rsidR="00C71D4F">
        <w:rPr>
          <w:lang w:val="en-US"/>
        </w:rPr>
        <w:t>,</w:t>
      </w:r>
      <w:r>
        <w:rPr>
          <w:lang w:val="en-US"/>
        </w:rPr>
        <w:t xml:space="preserve"> the size of </w:t>
      </w:r>
      <w:r w:rsidR="0030498B">
        <w:rPr>
          <w:lang w:val="en-US"/>
        </w:rPr>
        <w:t>IPO</w:t>
      </w:r>
      <w:r>
        <w:rPr>
          <w:lang w:val="en-US"/>
        </w:rPr>
        <w:t xml:space="preserve"> syndicates has greatly increased over time and some co-managers are sometimes not even invited to road shows and pricing meetings, but almost exclusively hired to provide research coverage. Second</w:t>
      </w:r>
      <w:r w:rsidR="00C71D4F">
        <w:rPr>
          <w:lang w:val="en-US"/>
        </w:rPr>
        <w:t>,</w:t>
      </w:r>
      <w:r>
        <w:rPr>
          <w:lang w:val="en-US"/>
        </w:rPr>
        <w:t xml:space="preserve"> the authors state that growth opportunities are becoming a bigger part of firm value. Since the value of these growth opportunities is more uncertain than the value of assets in place, firms find analyst coverage ever more important. Another reason for the importance of analyst coverage is increased visibility because of the </w:t>
      </w:r>
      <w:r w:rsidR="009C2F54">
        <w:rPr>
          <w:lang w:val="en-US"/>
        </w:rPr>
        <w:t>Internet</w:t>
      </w:r>
      <w:r>
        <w:rPr>
          <w:lang w:val="en-US"/>
        </w:rPr>
        <w:t xml:space="preserve"> and TV stations such as CNBC. </w:t>
      </w:r>
      <w:r w:rsidR="003456D8">
        <w:rPr>
          <w:lang w:val="en-US"/>
        </w:rPr>
        <w:t xml:space="preserve">Loughran and Ritter state that during the late </w:t>
      </w:r>
      <w:r w:rsidR="003456D8">
        <w:rPr>
          <w:lang w:val="en-US"/>
        </w:rPr>
        <w:lastRenderedPageBreak/>
        <w:t>nineties t</w:t>
      </w:r>
      <w:r>
        <w:rPr>
          <w:lang w:val="en-US"/>
        </w:rPr>
        <w:t xml:space="preserve">rading volume on </w:t>
      </w:r>
      <w:proofErr w:type="gramStart"/>
      <w:r>
        <w:rPr>
          <w:lang w:val="en-US"/>
        </w:rPr>
        <w:t>Nasdaq</w:t>
      </w:r>
      <w:proofErr w:type="gramEnd"/>
      <w:r>
        <w:rPr>
          <w:lang w:val="en-US"/>
        </w:rPr>
        <w:t xml:space="preserve"> stocks increased by an average of 300,000 shares after an analyst provided a positive recommen</w:t>
      </w:r>
      <w:r w:rsidR="0051724D">
        <w:rPr>
          <w:lang w:val="en-US"/>
        </w:rPr>
        <w:t>dation on CNBC’s midday c</w:t>
      </w:r>
      <w:r>
        <w:rPr>
          <w:lang w:val="en-US"/>
        </w:rPr>
        <w:t xml:space="preserve">all segment. </w:t>
      </w:r>
    </w:p>
    <w:p w:rsidR="007675A0" w:rsidRDefault="007675A0" w:rsidP="007675A0">
      <w:pPr>
        <w:spacing w:line="360" w:lineRule="auto"/>
        <w:rPr>
          <w:lang w:val="en-US"/>
        </w:rPr>
      </w:pPr>
      <w:r>
        <w:rPr>
          <w:lang w:val="en-US"/>
        </w:rPr>
        <w:t xml:space="preserve">The authors provide information about papers that find evidence in support of the analyst lust hypothesis. Dunbar (2000) shows a positive relation between </w:t>
      </w:r>
      <w:r w:rsidR="0030498B">
        <w:rPr>
          <w:lang w:val="en-US"/>
        </w:rPr>
        <w:t>IPO</w:t>
      </w:r>
      <w:r>
        <w:rPr>
          <w:lang w:val="en-US"/>
        </w:rPr>
        <w:t xml:space="preserve"> market share and the presence of a highly ranked </w:t>
      </w:r>
      <w:r>
        <w:rPr>
          <w:i/>
          <w:lang w:val="en-US"/>
        </w:rPr>
        <w:t>Instituti</w:t>
      </w:r>
      <w:r w:rsidR="0051724D">
        <w:rPr>
          <w:i/>
          <w:lang w:val="en-US"/>
        </w:rPr>
        <w:t>onal I</w:t>
      </w:r>
      <w:r>
        <w:rPr>
          <w:i/>
          <w:lang w:val="en-US"/>
        </w:rPr>
        <w:t>nvestor</w:t>
      </w:r>
      <w:r w:rsidR="002144DC">
        <w:rPr>
          <w:rStyle w:val="FootnoteReference"/>
          <w:i/>
          <w:lang w:val="en-US"/>
        </w:rPr>
        <w:footnoteReference w:id="23"/>
      </w:r>
      <w:r>
        <w:rPr>
          <w:i/>
          <w:lang w:val="en-US"/>
        </w:rPr>
        <w:t xml:space="preserve"> </w:t>
      </w:r>
      <w:r>
        <w:rPr>
          <w:lang w:val="en-US"/>
        </w:rPr>
        <w:t xml:space="preserve">analyst. Cliff and Denis (2004) show that firms are </w:t>
      </w:r>
      <w:r w:rsidRPr="00021D6C">
        <w:rPr>
          <w:lang w:val="en-US"/>
        </w:rPr>
        <w:t>less</w:t>
      </w:r>
      <w:r>
        <w:rPr>
          <w:lang w:val="en-US"/>
        </w:rPr>
        <w:t xml:space="preserve"> likely to switch underwriters for subsequent SEOs, if there was more underpricing </w:t>
      </w:r>
      <w:r w:rsidRPr="00885159">
        <w:rPr>
          <w:lang w:val="en-US"/>
        </w:rPr>
        <w:t>and if the underwriter</w:t>
      </w:r>
      <w:r>
        <w:rPr>
          <w:lang w:val="en-US"/>
        </w:rPr>
        <w:t>’</w:t>
      </w:r>
      <w:r w:rsidRPr="00885159">
        <w:rPr>
          <w:lang w:val="en-US"/>
        </w:rPr>
        <w:t xml:space="preserve">s analyst was still covering the firm one year after the </w:t>
      </w:r>
      <w:r w:rsidR="0030498B">
        <w:rPr>
          <w:lang w:val="en-US"/>
        </w:rPr>
        <w:t>IPO</w:t>
      </w:r>
      <w:r w:rsidRPr="00885159">
        <w:rPr>
          <w:lang w:val="en-US"/>
        </w:rPr>
        <w:t>.</w:t>
      </w:r>
    </w:p>
    <w:p w:rsidR="002144DC" w:rsidRDefault="007675A0" w:rsidP="002144DC">
      <w:pPr>
        <w:spacing w:line="360" w:lineRule="auto"/>
        <w:rPr>
          <w:lang w:val="en-US"/>
        </w:rPr>
      </w:pPr>
      <w:r>
        <w:rPr>
          <w:lang w:val="en-US"/>
        </w:rPr>
        <w:t xml:space="preserve">The other explanation of the </w:t>
      </w:r>
      <w:r w:rsidRPr="009D7F5F">
        <w:rPr>
          <w:lang w:val="en-US"/>
        </w:rPr>
        <w:t>changing issuer objective function hypothesis</w:t>
      </w:r>
      <w:r w:rsidR="0089334E">
        <w:rPr>
          <w:lang w:val="en-US"/>
        </w:rPr>
        <w:t xml:space="preserve"> is the </w:t>
      </w:r>
      <w:r w:rsidR="00660CEA">
        <w:rPr>
          <w:lang w:val="en-US"/>
        </w:rPr>
        <w:t>Spinning</w:t>
      </w:r>
      <w:r>
        <w:rPr>
          <w:lang w:val="en-US"/>
        </w:rPr>
        <w:t xml:space="preserve"> explanation of underpricing. The </w:t>
      </w:r>
      <w:r w:rsidR="00660CEA">
        <w:rPr>
          <w:lang w:val="en-US"/>
        </w:rPr>
        <w:t>Spinning</w:t>
      </w:r>
      <w:r>
        <w:rPr>
          <w:lang w:val="en-US"/>
        </w:rPr>
        <w:t xml:space="preserve"> hypothesis states that investment banks might allocate underpriced shares to investors (venture capitalists) who reward the investment bank with subsequent IPOs. The investors in this case are decision makers (managers and ventures capitalist) at other firms. This gives managers an incentive to seek underwriters with a reputation for underpricing and creates an agency problem between decision makers and other pre-</w:t>
      </w:r>
      <w:r w:rsidR="0030498B">
        <w:rPr>
          <w:lang w:val="en-US"/>
        </w:rPr>
        <w:t>IPO</w:t>
      </w:r>
      <w:r>
        <w:rPr>
          <w:lang w:val="en-US"/>
        </w:rPr>
        <w:t xml:space="preserve"> s</w:t>
      </w:r>
      <w:r w:rsidR="0051724D">
        <w:rPr>
          <w:lang w:val="en-US"/>
        </w:rPr>
        <w:t xml:space="preserve">hareholders. A good example of </w:t>
      </w:r>
      <w:r w:rsidR="00660CEA">
        <w:rPr>
          <w:lang w:val="en-US"/>
        </w:rPr>
        <w:t>Spinning</w:t>
      </w:r>
      <w:r>
        <w:rPr>
          <w:lang w:val="en-US"/>
        </w:rPr>
        <w:t xml:space="preserve"> is the Friends of Frank account created by Frank Quattrone. Frank Quattrone was head of technology investment banking at Credit Suisse First Boston (CSFB). </w:t>
      </w:r>
      <w:proofErr w:type="gramStart"/>
      <w:r>
        <w:rPr>
          <w:lang w:val="en-US"/>
        </w:rPr>
        <w:t>Managers and v</w:t>
      </w:r>
      <w:r w:rsidR="00F02B37">
        <w:rPr>
          <w:lang w:val="en-US"/>
        </w:rPr>
        <w:t>enture capitalists</w:t>
      </w:r>
      <w:r w:rsidR="008C49FD">
        <w:rPr>
          <w:lang w:val="en-US"/>
        </w:rPr>
        <w:t xml:space="preserve"> of firms </w:t>
      </w:r>
      <w:r w:rsidR="00F02B37">
        <w:rPr>
          <w:lang w:val="en-US"/>
        </w:rPr>
        <w:t>that</w:t>
      </w:r>
      <w:r>
        <w:rPr>
          <w:lang w:val="en-US"/>
        </w:rPr>
        <w:t xml:space="preserve"> were about to go public, opened an account with CSFB.</w:t>
      </w:r>
      <w:proofErr w:type="gramEnd"/>
      <w:r>
        <w:rPr>
          <w:lang w:val="en-US"/>
        </w:rPr>
        <w:t xml:space="preserve"> This account was used to allocate underpriced IPOs</w:t>
      </w:r>
      <w:r w:rsidR="0051724D">
        <w:rPr>
          <w:lang w:val="en-US"/>
        </w:rPr>
        <w:t>,</w:t>
      </w:r>
      <w:r>
        <w:rPr>
          <w:lang w:val="en-US"/>
        </w:rPr>
        <w:t xml:space="preserve"> which were sold short</w:t>
      </w:r>
      <w:r w:rsidR="0051724D">
        <w:rPr>
          <w:lang w:val="en-US"/>
        </w:rPr>
        <w:t>ly</w:t>
      </w:r>
      <w:r>
        <w:rPr>
          <w:lang w:val="en-US"/>
        </w:rPr>
        <w:t xml:space="preserve"> after the </w:t>
      </w:r>
      <w:r w:rsidR="0030498B">
        <w:rPr>
          <w:lang w:val="en-US"/>
        </w:rPr>
        <w:t>IPO</w:t>
      </w:r>
      <w:r w:rsidR="0051724D">
        <w:rPr>
          <w:lang w:val="en-US"/>
        </w:rPr>
        <w:t>,</w:t>
      </w:r>
      <w:r w:rsidR="008C49FD">
        <w:rPr>
          <w:lang w:val="en-US"/>
        </w:rPr>
        <w:t xml:space="preserve"> thus</w:t>
      </w:r>
      <w:r>
        <w:rPr>
          <w:lang w:val="en-US"/>
        </w:rPr>
        <w:t xml:space="preserve"> creating a quick profit. </w:t>
      </w:r>
    </w:p>
    <w:p w:rsidR="0089334E" w:rsidRPr="002144DC" w:rsidRDefault="0089334E" w:rsidP="002144DC">
      <w:pPr>
        <w:spacing w:line="360" w:lineRule="auto"/>
        <w:rPr>
          <w:lang w:val="en-US"/>
        </w:rPr>
      </w:pPr>
      <w:r>
        <w:rPr>
          <w:i/>
          <w:lang w:val="en-US"/>
        </w:rPr>
        <w:t>Data and methodology</w:t>
      </w:r>
    </w:p>
    <w:p w:rsidR="007675A0" w:rsidRDefault="007675A0" w:rsidP="002144DC">
      <w:pPr>
        <w:spacing w:line="360" w:lineRule="auto"/>
        <w:rPr>
          <w:lang w:val="en-US"/>
        </w:rPr>
      </w:pPr>
      <w:r>
        <w:rPr>
          <w:lang w:val="en-US"/>
        </w:rPr>
        <w:t>To test the hypotheses described above</w:t>
      </w:r>
      <w:r w:rsidR="00F02B37">
        <w:rPr>
          <w:lang w:val="en-US"/>
        </w:rPr>
        <w:t>,</w:t>
      </w:r>
      <w:r>
        <w:rPr>
          <w:lang w:val="en-US"/>
        </w:rPr>
        <w:t xml:space="preserve"> Loughran and Ritter use a dataset of 6,391 IPOs between 1980 and 2003. They estimate the following regression equation:</w:t>
      </w:r>
    </w:p>
    <w:p w:rsidR="008C49FD" w:rsidRPr="008C49FD" w:rsidRDefault="008C49FD" w:rsidP="007675A0">
      <w:pPr>
        <w:spacing w:line="360" w:lineRule="auto"/>
        <w:rPr>
          <w:rFonts w:ascii="Cambria Math" w:hAnsi="Cambria Math"/>
          <w:i/>
          <w:lang w:val="en-GB"/>
        </w:rPr>
      </w:pPr>
      <m:oMath>
        <m:r>
          <w:rPr>
            <w:rFonts w:ascii="Cambria Math" w:hAnsi="Cambria Math"/>
            <w:lang w:val="en-GB"/>
          </w:rPr>
          <m:t xml:space="preserve">First Day Return=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0</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1</m:t>
            </m:r>
          </m:sub>
        </m:sSub>
        <m:r>
          <w:rPr>
            <w:rFonts w:ascii="Cambria Math" w:hAnsi="Cambria Math"/>
            <w:lang w:val="en-GB"/>
          </w:rPr>
          <m:t>*Top-Tier Underwriter Dummy+</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2</m:t>
            </m:r>
          </m:sub>
        </m:sSub>
        <m:r>
          <w:rPr>
            <w:rFonts w:ascii="Cambria Math" w:hAnsi="Cambria Math"/>
            <w:lang w:val="en-GB"/>
          </w:rPr>
          <m:t xml:space="preserve"> ln(Assets)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3</m:t>
            </m:r>
          </m:sub>
        </m:sSub>
        <m:r>
          <w:rPr>
            <w:rFonts w:ascii="Cambria Math" w:hAnsi="Cambria Math"/>
            <w:lang w:val="en-GB"/>
          </w:rPr>
          <m:t xml:space="preserve">*Tech Dummy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4</m:t>
            </m:r>
          </m:sub>
        </m:sSub>
        <m:r>
          <w:rPr>
            <w:rFonts w:ascii="Cambria Math" w:hAnsi="Cambria Math"/>
            <w:lang w:val="en-GB"/>
          </w:rPr>
          <m:t>*Internet Dummy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5</m:t>
            </m:r>
          </m:sub>
        </m:sSub>
        <m:r>
          <w:rPr>
            <w:rFonts w:ascii="Cambria Math" w:hAnsi="Cambria Math"/>
            <w:lang w:val="en-GB"/>
          </w:rPr>
          <m:t xml:space="preserve">*ln(1 + Age)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6</m:t>
            </m:r>
          </m:sub>
        </m:sSub>
        <m:r>
          <w:rPr>
            <w:rFonts w:ascii="Cambria Math" w:hAnsi="Cambria Math"/>
            <w:lang w:val="en-GB"/>
          </w:rPr>
          <m:t xml:space="preserve">*Overhang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7</m:t>
            </m:r>
          </m:sub>
        </m:sSub>
        <m:r>
          <w:rPr>
            <w:rFonts w:ascii="Cambria Math" w:hAnsi="Cambria Math"/>
            <w:lang w:val="en-GB"/>
          </w:rPr>
          <m:t xml:space="preserve">*VC Dummy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8</m:t>
            </m:r>
          </m:sub>
        </m:sSub>
        <m:r>
          <w:rPr>
            <w:rFonts w:ascii="Cambria Math" w:hAnsi="Cambria Math"/>
            <w:lang w:val="en-GB"/>
          </w:rPr>
          <m:t xml:space="preserve">*Pure Primary Dummy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9</m:t>
            </m:r>
          </m:sub>
        </m:sSub>
        <m:r>
          <w:rPr>
            <w:rFonts w:ascii="Cambria Math" w:hAnsi="Cambria Math"/>
            <w:lang w:val="en-GB"/>
          </w:rPr>
          <m:t>ln*(Sa</m:t>
        </m:r>
        <m:r>
          <w:rPr>
            <w:rFonts w:ascii="Cambria Math" w:hAnsi="Cambria Math"/>
            <w:lang w:val="en-GB"/>
          </w:rPr>
          <m:t xml:space="preserve">les)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10</m:t>
            </m:r>
          </m:sub>
        </m:sSub>
        <m:r>
          <w:rPr>
            <w:rFonts w:ascii="Cambria Math" w:hAnsi="Cambria Math"/>
            <w:lang w:val="en-GB"/>
          </w:rPr>
          <m:t xml:space="preserve">*Top-Tier Dummy*Nineties Dummy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11</m:t>
            </m:r>
          </m:sub>
        </m:sSub>
        <m:r>
          <w:rPr>
            <w:rFonts w:ascii="Cambria Math" w:hAnsi="Cambria Math"/>
            <w:lang w:val="en-GB"/>
          </w:rPr>
          <m:t xml:space="preserve">*Top-Tier Dummy*Bubble Dummy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12</m:t>
            </m:r>
          </m:sub>
        </m:sSub>
        <m:r>
          <w:rPr>
            <w:rFonts w:ascii="Cambria Math" w:hAnsi="Cambria Math"/>
            <w:lang w:val="en-GB"/>
          </w:rPr>
          <m:t xml:space="preserve">*Top-Tier Dummy*Post Dummy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13</m:t>
            </m:r>
          </m:sub>
        </m:sSub>
        <m:r>
          <w:rPr>
            <w:rFonts w:ascii="Cambria Math" w:hAnsi="Cambria Math"/>
            <w:lang w:val="en-GB"/>
          </w:rPr>
          <m:t xml:space="preserve">*Nineties Dummy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14</m:t>
            </m:r>
          </m:sub>
        </m:sSub>
        <m:r>
          <w:rPr>
            <w:rFonts w:ascii="Cambria Math" w:hAnsi="Cambria Math"/>
            <w:lang w:val="en-GB"/>
          </w:rPr>
          <m:t xml:space="preserve">*Bubble Dummy + </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15</m:t>
            </m:r>
          </m:sub>
        </m:sSub>
        <m:r>
          <w:rPr>
            <w:rFonts w:ascii="Cambria Math" w:hAnsi="Cambria Math"/>
            <w:lang w:val="en-GB"/>
          </w:rPr>
          <m:t xml:space="preserve">*Post Dummy + </m:t>
        </m:r>
        <m:sSub>
          <m:sSubPr>
            <m:ctrlPr>
              <w:rPr>
                <w:rFonts w:ascii="Cambria Math" w:hAnsi="Cambria Math"/>
                <w:i/>
                <w:lang w:val="en-GB"/>
              </w:rPr>
            </m:ctrlPr>
          </m:sSubPr>
          <m:e>
            <m:r>
              <w:rPr>
                <w:rFonts w:ascii="Cambria Math" w:hAnsi="Cambria Math"/>
                <w:lang w:val="en-GB"/>
              </w:rPr>
              <m:t>ϵ</m:t>
            </m:r>
          </m:e>
          <m:sub>
            <m:r>
              <w:rPr>
                <w:rFonts w:ascii="Cambria Math" w:hAnsi="Cambria Math"/>
                <w:lang w:val="en-GB"/>
              </w:rPr>
              <m:t>i</m:t>
            </m:r>
          </m:sub>
        </m:sSub>
        <m:r>
          <w:rPr>
            <w:rFonts w:ascii="Cambria Math" w:hAnsi="Cambria Math"/>
            <w:lang w:val="en-GB"/>
          </w:rPr>
          <m:t xml:space="preserve">  </m:t>
        </m:r>
      </m:oMath>
      <w:r w:rsidRPr="008C49FD">
        <w:rPr>
          <w:rFonts w:ascii="Cambria Math" w:eastAsiaTheme="minorEastAsia" w:hAnsi="Cambria Math"/>
          <w:i/>
          <w:lang w:val="en-GB"/>
        </w:rPr>
        <w:t xml:space="preserve"> </w:t>
      </w:r>
    </w:p>
    <w:p w:rsidR="007675A0" w:rsidRDefault="007675A0" w:rsidP="007675A0">
      <w:pPr>
        <w:spacing w:line="360" w:lineRule="auto"/>
        <w:rPr>
          <w:lang w:val="en-GB"/>
        </w:rPr>
      </w:pPr>
      <w:r>
        <w:rPr>
          <w:lang w:val="en-GB"/>
        </w:rPr>
        <w:t>The authors run six different regressions: Two for the whole period 1980-2003 (with and without the interaction variables</w:t>
      </w:r>
      <w:r>
        <w:rPr>
          <w:rStyle w:val="FootnoteReference"/>
          <w:lang w:val="en-GB"/>
        </w:rPr>
        <w:footnoteReference w:id="24"/>
      </w:r>
      <w:r>
        <w:rPr>
          <w:lang w:val="en-GB"/>
        </w:rPr>
        <w:t>), and four regressions for the subsamples 1980-1989, 1990-1998, 1</w:t>
      </w:r>
      <w:r w:rsidR="00EC5539">
        <w:rPr>
          <w:lang w:val="en-GB"/>
        </w:rPr>
        <w:t>999-2000 and 2001-2003. In the latter</w:t>
      </w:r>
      <w:r>
        <w:rPr>
          <w:lang w:val="en-GB"/>
        </w:rPr>
        <w:t xml:space="preserve"> reg</w:t>
      </w:r>
      <w:r w:rsidR="00EC5539">
        <w:rPr>
          <w:lang w:val="en-GB"/>
        </w:rPr>
        <w:t>ressions they do not include</w:t>
      </w:r>
      <w:r>
        <w:rPr>
          <w:lang w:val="en-GB"/>
        </w:rPr>
        <w:t xml:space="preserve"> interaction effects a</w:t>
      </w:r>
      <w:r w:rsidR="00EC5539">
        <w:rPr>
          <w:lang w:val="en-GB"/>
        </w:rPr>
        <w:t>nd obviously they a do not include</w:t>
      </w:r>
      <w:r>
        <w:rPr>
          <w:lang w:val="en-GB"/>
        </w:rPr>
        <w:t xml:space="preserve"> time period dummies</w:t>
      </w:r>
      <w:r w:rsidR="00EC5539">
        <w:rPr>
          <w:lang w:val="en-GB"/>
        </w:rPr>
        <w:t xml:space="preserve"> either</w:t>
      </w:r>
      <w:r>
        <w:rPr>
          <w:lang w:val="en-GB"/>
        </w:rPr>
        <w:t xml:space="preserve">. </w:t>
      </w:r>
    </w:p>
    <w:p w:rsidR="007675A0" w:rsidRPr="00E457EF" w:rsidRDefault="007675A0" w:rsidP="007675A0">
      <w:pPr>
        <w:spacing w:line="360" w:lineRule="auto"/>
        <w:rPr>
          <w:color w:val="FF0000"/>
          <w:lang w:val="en-GB"/>
        </w:rPr>
      </w:pPr>
      <w:r>
        <w:rPr>
          <w:lang w:val="en-GB"/>
        </w:rPr>
        <w:lastRenderedPageBreak/>
        <w:t>Overhang is the ratio of retained shares to the amount of shares issued</w:t>
      </w:r>
      <w:r>
        <w:rPr>
          <w:rStyle w:val="FootnoteReference"/>
          <w:lang w:val="en-GB"/>
        </w:rPr>
        <w:footnoteReference w:id="25"/>
      </w:r>
      <w:r>
        <w:rPr>
          <w:lang w:val="en-GB"/>
        </w:rPr>
        <w:t xml:space="preserve">. The share overhang coefficient is positive and significant for all subsamples. This result is consistent with all three hypotheses, since a </w:t>
      </w:r>
      <w:r w:rsidR="00EC5539">
        <w:rPr>
          <w:lang w:val="en-GB"/>
        </w:rPr>
        <w:t>lower fraction of the firm sold</w:t>
      </w:r>
      <w:r>
        <w:rPr>
          <w:lang w:val="en-GB"/>
        </w:rPr>
        <w:t xml:space="preserve"> reduces the opportunity costs of underpricing.</w:t>
      </w:r>
    </w:p>
    <w:p w:rsidR="000059E8" w:rsidRDefault="007675A0" w:rsidP="007675A0">
      <w:pPr>
        <w:spacing w:line="360" w:lineRule="auto"/>
        <w:rPr>
          <w:lang w:val="en-GB"/>
        </w:rPr>
      </w:pPr>
      <w:r>
        <w:rPr>
          <w:lang w:val="en-GB"/>
        </w:rPr>
        <w:t xml:space="preserve">The variables </w:t>
      </w:r>
      <w:proofErr w:type="gramStart"/>
      <w:r w:rsidR="00043ED2">
        <w:rPr>
          <w:lang w:val="en-GB"/>
        </w:rPr>
        <w:t>LN</w:t>
      </w:r>
      <w:r>
        <w:rPr>
          <w:lang w:val="en-GB"/>
        </w:rPr>
        <w:t>(</w:t>
      </w:r>
      <w:proofErr w:type="gramEnd"/>
      <w:r>
        <w:rPr>
          <w:lang w:val="en-GB"/>
        </w:rPr>
        <w:t xml:space="preserve">Assets), Tech Dummy, </w:t>
      </w:r>
      <w:r w:rsidR="009C2F54">
        <w:rPr>
          <w:lang w:val="en-GB"/>
        </w:rPr>
        <w:t>Internet</w:t>
      </w:r>
      <w:r>
        <w:rPr>
          <w:lang w:val="en-GB"/>
        </w:rPr>
        <w:t xml:space="preserve"> Dummy, </w:t>
      </w:r>
      <w:r w:rsidR="00043ED2">
        <w:rPr>
          <w:lang w:val="en-GB"/>
        </w:rPr>
        <w:t>LN</w:t>
      </w:r>
      <w:r>
        <w:rPr>
          <w:lang w:val="en-GB"/>
        </w:rPr>
        <w:t>(1+Age) and</w:t>
      </w:r>
      <w:r w:rsidR="003456D8">
        <w:rPr>
          <w:lang w:val="en-GB"/>
        </w:rPr>
        <w:t>,</w:t>
      </w:r>
      <w:r>
        <w:rPr>
          <w:lang w:val="en-GB"/>
        </w:rPr>
        <w:t xml:space="preserve"> </w:t>
      </w:r>
      <w:r w:rsidR="00043ED2">
        <w:rPr>
          <w:lang w:val="en-GB"/>
        </w:rPr>
        <w:t>LN</w:t>
      </w:r>
      <w:r>
        <w:rPr>
          <w:lang w:val="en-GB"/>
        </w:rPr>
        <w:t>(sales), test the changing risk composition hypothesis. Older and bigger firms are assumed to be less risky. Furthermore the authors assume that</w:t>
      </w:r>
      <w:r w:rsidR="00EC5539">
        <w:rPr>
          <w:lang w:val="en-GB"/>
        </w:rPr>
        <w:t xml:space="preserve"> high tech and </w:t>
      </w:r>
      <w:r w:rsidR="009C2F54">
        <w:rPr>
          <w:lang w:val="en-GB"/>
        </w:rPr>
        <w:t>Internet</w:t>
      </w:r>
      <w:r>
        <w:rPr>
          <w:lang w:val="en-GB"/>
        </w:rPr>
        <w:t xml:space="preserve"> firms are more risky</w:t>
      </w:r>
      <w:r w:rsidR="00A977D7">
        <w:rPr>
          <w:lang w:val="en-GB"/>
        </w:rPr>
        <w:t>, as</w:t>
      </w:r>
      <w:r>
        <w:rPr>
          <w:lang w:val="en-GB"/>
        </w:rPr>
        <w:t xml:space="preserve"> the value of these firms depends mostly on growth options. </w:t>
      </w:r>
    </w:p>
    <w:p w:rsidR="000059E8" w:rsidRDefault="007675A0" w:rsidP="007675A0">
      <w:pPr>
        <w:spacing w:line="360" w:lineRule="auto"/>
        <w:rPr>
          <w:lang w:val="en-GB"/>
        </w:rPr>
      </w:pPr>
      <w:r>
        <w:rPr>
          <w:lang w:val="en-GB"/>
        </w:rPr>
        <w:t xml:space="preserve">The pure primary dummy is a test for the realignment of incentives hypotheses. The pure primary dummy takes the value of one if the </w:t>
      </w:r>
      <w:r w:rsidR="0030498B">
        <w:rPr>
          <w:lang w:val="en-GB"/>
        </w:rPr>
        <w:t>IPO</w:t>
      </w:r>
      <w:r>
        <w:rPr>
          <w:lang w:val="en-GB"/>
        </w:rPr>
        <w:t xml:space="preserve"> only included primary shares. The hypothesized relation between primary share offerings is similar to the hypothesized relation used by Ljungqvist and Wilhelm</w:t>
      </w:r>
      <w:r w:rsidRPr="004E23B2">
        <w:rPr>
          <w:lang w:val="en-GB"/>
        </w:rPr>
        <w:t xml:space="preserve"> (2002)</w:t>
      </w:r>
      <w:r w:rsidR="000059E8">
        <w:rPr>
          <w:lang w:val="en-GB"/>
        </w:rPr>
        <w:t>.</w:t>
      </w:r>
      <w:r>
        <w:rPr>
          <w:lang w:val="en-GB"/>
        </w:rPr>
        <w:t xml:space="preserve"> </w:t>
      </w:r>
    </w:p>
    <w:p w:rsidR="00A977D7" w:rsidRDefault="00A977D7" w:rsidP="007675A0">
      <w:pPr>
        <w:spacing w:line="360" w:lineRule="auto"/>
        <w:rPr>
          <w:i/>
          <w:lang w:val="en-GB"/>
        </w:rPr>
      </w:pPr>
      <w:r w:rsidRPr="00A977D7">
        <w:rPr>
          <w:i/>
          <w:lang w:val="en-GB"/>
        </w:rPr>
        <w:t>Results</w:t>
      </w:r>
    </w:p>
    <w:p w:rsidR="000059E8" w:rsidRDefault="000059E8" w:rsidP="000059E8">
      <w:pPr>
        <w:spacing w:line="360" w:lineRule="auto"/>
        <w:rPr>
          <w:lang w:val="en-GB"/>
        </w:rPr>
      </w:pPr>
      <w:r>
        <w:rPr>
          <w:lang w:val="en-GB"/>
        </w:rPr>
        <w:t xml:space="preserve">As hypothesized, </w:t>
      </w:r>
      <w:proofErr w:type="gramStart"/>
      <w:r w:rsidR="00043ED2">
        <w:rPr>
          <w:lang w:val="en-GB"/>
        </w:rPr>
        <w:t>LN</w:t>
      </w:r>
      <w:r>
        <w:rPr>
          <w:lang w:val="en-GB"/>
        </w:rPr>
        <w:t>(</w:t>
      </w:r>
      <w:proofErr w:type="gramEnd"/>
      <w:r>
        <w:rPr>
          <w:lang w:val="en-GB"/>
        </w:rPr>
        <w:t xml:space="preserve">Assets) and </w:t>
      </w:r>
      <w:r w:rsidR="00043ED2">
        <w:rPr>
          <w:lang w:val="en-GB"/>
        </w:rPr>
        <w:t>LN</w:t>
      </w:r>
      <w:r>
        <w:rPr>
          <w:lang w:val="en-GB"/>
        </w:rPr>
        <w:t xml:space="preserve">(1+Age) are negatively related to underpricing, so older and bigger firms tend to be underpriced less. However, the relation between age and underpricing is not significant in the separate regressions for the </w:t>
      </w:r>
      <w:r w:rsidR="00D40B32">
        <w:rPr>
          <w:lang w:val="en-GB"/>
        </w:rPr>
        <w:t xml:space="preserve">Internet </w:t>
      </w:r>
      <w:r>
        <w:rPr>
          <w:lang w:val="en-GB"/>
        </w:rPr>
        <w:t xml:space="preserve">bubble and early 2000’s subsamples. </w:t>
      </w:r>
      <w:proofErr w:type="gramStart"/>
      <w:r w:rsidR="00043ED2">
        <w:rPr>
          <w:lang w:val="en-GB"/>
        </w:rPr>
        <w:t>LN</w:t>
      </w:r>
      <w:r>
        <w:rPr>
          <w:lang w:val="en-GB"/>
        </w:rPr>
        <w:t>(</w:t>
      </w:r>
      <w:proofErr w:type="gramEnd"/>
      <w:r>
        <w:rPr>
          <w:lang w:val="en-GB"/>
        </w:rPr>
        <w:t xml:space="preserve">sales) is only significant in the early 2000’s subsample and has a positive sign, which is opposite of what was expected. The authors also show that high-tech and Internet firms are associated with more underpricing. Overall this can be seen as strong evidence in </w:t>
      </w:r>
      <w:r w:rsidRPr="00A977D7">
        <w:rPr>
          <w:lang w:val="en-US"/>
        </w:rPr>
        <w:t>favor</w:t>
      </w:r>
      <w:r>
        <w:rPr>
          <w:lang w:val="en-GB"/>
        </w:rPr>
        <w:t xml:space="preserve"> of the changing risk composition hypothesis, indicating that underpricing increased during the Internet bubble because issuing firms became more risky. </w:t>
      </w:r>
    </w:p>
    <w:p w:rsidR="000059E8" w:rsidRPr="000059E8" w:rsidRDefault="000059E8" w:rsidP="007675A0">
      <w:pPr>
        <w:spacing w:line="360" w:lineRule="auto"/>
        <w:rPr>
          <w:color w:val="FF0000"/>
          <w:lang w:val="en-GB"/>
        </w:rPr>
      </w:pPr>
      <w:r>
        <w:rPr>
          <w:lang w:val="en-GB"/>
        </w:rPr>
        <w:t xml:space="preserve">The Pure primary dummy is negative and significant for the whole period and for the 1990-1998 </w:t>
      </w:r>
      <w:proofErr w:type="gramStart"/>
      <w:r>
        <w:rPr>
          <w:lang w:val="en-GB"/>
        </w:rPr>
        <w:t>subperiod</w:t>
      </w:r>
      <w:proofErr w:type="gramEnd"/>
      <w:r w:rsidRPr="00FC090D">
        <w:rPr>
          <w:lang w:val="en-GB"/>
        </w:rPr>
        <w:t>.</w:t>
      </w:r>
      <w:r>
        <w:rPr>
          <w:lang w:val="en-GB"/>
        </w:rPr>
        <w:t xml:space="preserve"> In the other four regressions the coefficient is not significant.</w:t>
      </w:r>
      <w:r w:rsidRPr="00FC090D">
        <w:rPr>
          <w:lang w:val="en-GB"/>
        </w:rPr>
        <w:t xml:space="preserve"> </w:t>
      </w:r>
      <w:r w:rsidRPr="00267042">
        <w:rPr>
          <w:lang w:val="en-GB"/>
        </w:rPr>
        <w:t>The negative coefficient of the pure primary dummy is not consistent with the realignment of incentives hypothesis</w:t>
      </w:r>
      <w:r>
        <w:rPr>
          <w:lang w:val="en-GB"/>
        </w:rPr>
        <w:t xml:space="preserve"> since the selling of primary shares should be positively associated with underpricing.</w:t>
      </w:r>
    </w:p>
    <w:p w:rsidR="00C72939" w:rsidRPr="00ED271E" w:rsidRDefault="007675A0" w:rsidP="000669DC">
      <w:pPr>
        <w:spacing w:line="360" w:lineRule="auto"/>
        <w:rPr>
          <w:lang w:val="en-GB"/>
        </w:rPr>
      </w:pPr>
      <w:r>
        <w:rPr>
          <w:lang w:val="en-GB"/>
        </w:rPr>
        <w:t>The most important evidence is given by the interaction effects and the top-tier underwriter dummy. When the interaction effects were not included, the dummies for the three subperiods</w:t>
      </w:r>
      <w:r>
        <w:rPr>
          <w:rStyle w:val="FootnoteReference"/>
          <w:lang w:val="en-GB"/>
        </w:rPr>
        <w:footnoteReference w:id="26"/>
      </w:r>
      <w:r>
        <w:rPr>
          <w:lang w:val="en-GB"/>
        </w:rPr>
        <w:t xml:space="preserve"> were all positive and significant, indicating that the other </w:t>
      </w:r>
      <w:r w:rsidR="005C56F6">
        <w:rPr>
          <w:lang w:val="en-GB"/>
        </w:rPr>
        <w:t>variables cannot explain all</w:t>
      </w:r>
      <w:r>
        <w:rPr>
          <w:lang w:val="en-GB"/>
        </w:rPr>
        <w:t xml:space="preserve"> variation in underpricing through time. When the interacti</w:t>
      </w:r>
      <w:r w:rsidR="005C56F6">
        <w:rPr>
          <w:lang w:val="en-GB"/>
        </w:rPr>
        <w:t xml:space="preserve">on variables are included, the </w:t>
      </w:r>
      <w:r w:rsidR="009C2F54">
        <w:rPr>
          <w:lang w:val="en-GB"/>
        </w:rPr>
        <w:t>Internet</w:t>
      </w:r>
      <w:r w:rsidR="005C56F6">
        <w:rPr>
          <w:lang w:val="en-GB"/>
        </w:rPr>
        <w:t xml:space="preserve"> bubble and post </w:t>
      </w:r>
      <w:r w:rsidR="009C2F54">
        <w:rPr>
          <w:lang w:val="en-GB"/>
        </w:rPr>
        <w:t>Internet</w:t>
      </w:r>
      <w:r>
        <w:rPr>
          <w:lang w:val="en-GB"/>
        </w:rPr>
        <w:t xml:space="preserve"> bubble </w:t>
      </w:r>
      <w:r w:rsidR="005C56F6">
        <w:rPr>
          <w:lang w:val="en-GB"/>
        </w:rPr>
        <w:t>dummies become insignificant but</w:t>
      </w:r>
      <w:r>
        <w:rPr>
          <w:lang w:val="en-GB"/>
        </w:rPr>
        <w:t xml:space="preserve"> the interaction effects top tier * </w:t>
      </w:r>
      <w:r w:rsidR="006917E1">
        <w:rPr>
          <w:lang w:val="en-GB"/>
        </w:rPr>
        <w:t>1990’s</w:t>
      </w:r>
      <w:r>
        <w:rPr>
          <w:lang w:val="en-GB"/>
        </w:rPr>
        <w:t xml:space="preserve"> and top tier * bubble are positive and significant. This indicates that most of the increased underpricing in these </w:t>
      </w:r>
      <w:r>
        <w:rPr>
          <w:lang w:val="en-GB"/>
        </w:rPr>
        <w:lastRenderedPageBreak/>
        <w:t xml:space="preserve">periods is associated with the choice of a top tier investment bank. Similar evidence is provided by the regressions for </w:t>
      </w:r>
      <w:r w:rsidR="004778F4">
        <w:rPr>
          <w:lang w:val="en-GB"/>
        </w:rPr>
        <w:t>the different sub periods. The t</w:t>
      </w:r>
      <w:r>
        <w:rPr>
          <w:lang w:val="en-GB"/>
        </w:rPr>
        <w:t xml:space="preserve">op-tier underwriter dummy is negative and significant for the 1980’s, positive and significant for the </w:t>
      </w:r>
      <w:r w:rsidR="006917E1">
        <w:rPr>
          <w:lang w:val="en-GB"/>
        </w:rPr>
        <w:t>1990’s</w:t>
      </w:r>
      <w:r>
        <w:rPr>
          <w:lang w:val="en-GB"/>
        </w:rPr>
        <w:t xml:space="preserve"> and positive and significant in the </w:t>
      </w:r>
      <w:r w:rsidR="009C2F54">
        <w:rPr>
          <w:lang w:val="en-GB"/>
        </w:rPr>
        <w:t>Internet</w:t>
      </w:r>
      <w:r>
        <w:rPr>
          <w:lang w:val="en-GB"/>
        </w:rPr>
        <w:t xml:space="preserve"> bubble sub period. The size of the coefficient indicates that top tier underwriters </w:t>
      </w:r>
      <w:r w:rsidR="00F60D5F">
        <w:rPr>
          <w:lang w:val="en-GB"/>
        </w:rPr>
        <w:t>were</w:t>
      </w:r>
      <w:r>
        <w:rPr>
          <w:lang w:val="en-GB"/>
        </w:rPr>
        <w:t xml:space="preserve"> associated with 3% more underpricing during the </w:t>
      </w:r>
      <w:r w:rsidR="006917E1">
        <w:rPr>
          <w:lang w:val="en-GB"/>
        </w:rPr>
        <w:t>1990’s</w:t>
      </w:r>
      <w:r>
        <w:rPr>
          <w:lang w:val="en-GB"/>
        </w:rPr>
        <w:t xml:space="preserve"> and 21% more underpricing during the </w:t>
      </w:r>
      <w:r w:rsidR="00D40B32">
        <w:rPr>
          <w:lang w:val="en-GB"/>
        </w:rPr>
        <w:t xml:space="preserve">Internet </w:t>
      </w:r>
      <w:r>
        <w:rPr>
          <w:lang w:val="en-GB"/>
        </w:rPr>
        <w:t xml:space="preserve">bubble period. This evidence is consistent with both the </w:t>
      </w:r>
      <w:r w:rsidR="00660CEA">
        <w:rPr>
          <w:lang w:val="en-GB"/>
        </w:rPr>
        <w:t>Spinning</w:t>
      </w:r>
      <w:r>
        <w:rPr>
          <w:lang w:val="en-GB"/>
        </w:rPr>
        <w:t xml:space="preserve"> and analyst lust explanations of the </w:t>
      </w:r>
      <w:r w:rsidRPr="00156800">
        <w:rPr>
          <w:lang w:val="en-GB"/>
        </w:rPr>
        <w:t>changing issuer objective function hypothesis</w:t>
      </w:r>
      <w:r>
        <w:rPr>
          <w:lang w:val="en-GB"/>
        </w:rPr>
        <w:t xml:space="preserve"> since the authors use the </w:t>
      </w:r>
      <w:r w:rsidRPr="00267042">
        <w:rPr>
          <w:lang w:val="en-GB"/>
        </w:rPr>
        <w:t xml:space="preserve">top tier Carter and Manaster </w:t>
      </w:r>
      <w:r>
        <w:rPr>
          <w:lang w:val="en-GB"/>
        </w:rPr>
        <w:t>rank</w:t>
      </w:r>
      <w:r>
        <w:rPr>
          <w:rStyle w:val="FootnoteReference"/>
          <w:lang w:val="en-GB"/>
        </w:rPr>
        <w:footnoteReference w:id="27"/>
      </w:r>
      <w:r>
        <w:rPr>
          <w:lang w:val="en-GB"/>
        </w:rPr>
        <w:t xml:space="preserve"> (</w:t>
      </w:r>
      <w:r w:rsidRPr="00642A56">
        <w:rPr>
          <w:lang w:val="en-GB"/>
        </w:rPr>
        <w:t>Carter &amp; Manaster, 1990)</w:t>
      </w:r>
      <w:r>
        <w:rPr>
          <w:lang w:val="en-GB"/>
        </w:rPr>
        <w:t xml:space="preserve"> </w:t>
      </w:r>
      <w:r w:rsidRPr="00267042">
        <w:rPr>
          <w:lang w:val="en-GB"/>
        </w:rPr>
        <w:t>as a proxy for</w:t>
      </w:r>
      <w:r w:rsidR="0051724D">
        <w:rPr>
          <w:lang w:val="en-GB"/>
        </w:rPr>
        <w:t xml:space="preserve"> the </w:t>
      </w:r>
      <w:r w:rsidRPr="00267042">
        <w:rPr>
          <w:lang w:val="en-GB"/>
        </w:rPr>
        <w:t>presence of a star analyst and the willingness to spin.</w:t>
      </w:r>
    </w:p>
    <w:p w:rsidR="000669DC" w:rsidRDefault="004778F4" w:rsidP="000669DC">
      <w:pPr>
        <w:spacing w:line="360" w:lineRule="auto"/>
        <w:rPr>
          <w:i/>
          <w:color w:val="FF0000"/>
          <w:lang w:val="en-GB"/>
        </w:rPr>
      </w:pPr>
      <w:r w:rsidRPr="004778F4">
        <w:rPr>
          <w:i/>
          <w:lang w:val="en-GB"/>
        </w:rPr>
        <w:t>Robustness checks</w:t>
      </w:r>
    </w:p>
    <w:p w:rsidR="007675A0" w:rsidRPr="000669DC" w:rsidRDefault="007675A0" w:rsidP="000669DC">
      <w:pPr>
        <w:spacing w:line="360" w:lineRule="auto"/>
        <w:rPr>
          <w:i/>
          <w:color w:val="FF0000"/>
          <w:lang w:val="en-GB"/>
        </w:rPr>
      </w:pPr>
      <w:r w:rsidRPr="00A318F9">
        <w:rPr>
          <w:lang w:val="en-GB"/>
        </w:rPr>
        <w:t>Underwriter reputation might be endogenous in a regression with underpricing</w:t>
      </w:r>
      <w:r>
        <w:rPr>
          <w:lang w:val="en-GB"/>
        </w:rPr>
        <w:t xml:space="preserve"> as the dependent</w:t>
      </w:r>
      <w:r w:rsidRPr="00A318F9">
        <w:rPr>
          <w:lang w:val="en-GB"/>
        </w:rPr>
        <w:t>. The authors account for this by running a two stage regression. In the first stage underwriter prestige is estimated and this estimate is used in the second stage. The results of these tests are very similar to the results described above and do not alter any conclusions.</w:t>
      </w:r>
    </w:p>
    <w:p w:rsidR="007675A0" w:rsidRPr="009C10C7" w:rsidRDefault="009C10C7" w:rsidP="009C10C7">
      <w:pPr>
        <w:spacing w:after="0" w:line="240" w:lineRule="auto"/>
        <w:ind w:left="1418" w:hanging="851"/>
        <w:outlineLvl w:val="0"/>
        <w:rPr>
          <w:b/>
          <w:lang w:val="en-GB"/>
        </w:rPr>
      </w:pPr>
      <w:bookmarkStart w:id="12" w:name="_Toc280276108"/>
      <w:r>
        <w:rPr>
          <w:b/>
          <w:lang w:val="en-US"/>
        </w:rPr>
        <w:t>3.4.2.3.</w:t>
      </w:r>
      <w:r>
        <w:rPr>
          <w:b/>
          <w:lang w:val="en-US"/>
        </w:rPr>
        <w:tab/>
      </w:r>
      <w:r w:rsidR="003456D8">
        <w:rPr>
          <w:b/>
          <w:lang w:val="en-US"/>
        </w:rPr>
        <w:t>Ljungqvist &amp; Wilhelm and Loughran &amp;</w:t>
      </w:r>
      <w:r w:rsidR="007675A0" w:rsidRPr="009C10C7">
        <w:rPr>
          <w:b/>
          <w:lang w:val="en-US"/>
        </w:rPr>
        <w:t xml:space="preserve"> Ritter</w:t>
      </w:r>
      <w:bookmarkEnd w:id="12"/>
      <w:r w:rsidR="003456D8">
        <w:rPr>
          <w:b/>
          <w:lang w:val="en-US"/>
        </w:rPr>
        <w:t xml:space="preserve"> summarized </w:t>
      </w:r>
    </w:p>
    <w:p w:rsidR="007675A0" w:rsidRPr="00081535" w:rsidRDefault="007675A0" w:rsidP="007675A0">
      <w:pPr>
        <w:spacing w:after="0" w:line="240" w:lineRule="auto"/>
        <w:rPr>
          <w:b/>
          <w:lang w:val="en-GB"/>
        </w:rPr>
      </w:pPr>
    </w:p>
    <w:p w:rsidR="007675A0" w:rsidRDefault="007675A0" w:rsidP="007675A0">
      <w:pPr>
        <w:spacing w:line="360" w:lineRule="auto"/>
        <w:rPr>
          <w:b/>
          <w:lang w:val="en-US"/>
        </w:rPr>
      </w:pPr>
      <w:r w:rsidRPr="00D97684">
        <w:rPr>
          <w:lang w:val="en-US"/>
        </w:rPr>
        <w:t>Lj</w:t>
      </w:r>
      <w:r>
        <w:rPr>
          <w:lang w:val="en-US"/>
        </w:rPr>
        <w:t>ungqvist and Wilhelm</w:t>
      </w:r>
      <w:r w:rsidRPr="00D97684">
        <w:rPr>
          <w:lang w:val="en-US"/>
        </w:rPr>
        <w:t xml:space="preserve"> test the realignment of incentives hypothesis to explain extreme underpricing during the </w:t>
      </w:r>
      <w:r w:rsidR="009C2F54">
        <w:rPr>
          <w:lang w:val="en-US"/>
        </w:rPr>
        <w:t>Internet</w:t>
      </w:r>
      <w:r w:rsidRPr="00D97684">
        <w:rPr>
          <w:lang w:val="en-US"/>
        </w:rPr>
        <w:t xml:space="preserve"> Bubble.</w:t>
      </w:r>
      <w:r>
        <w:rPr>
          <w:lang w:val="en-US"/>
        </w:rPr>
        <w:t xml:space="preserve"> The authors state that reduced ownership, reduced amounts of secondary sales and directed share programs, reduced the opportunity cost of underpricing. This led to less monitoring by issuers and hence more underpricing. Loughran and Ritter also test this hypothesis, but they add the changing risk composition hypothesis and t</w:t>
      </w:r>
      <w:r w:rsidRPr="00081535">
        <w:rPr>
          <w:lang w:val="en-US"/>
        </w:rPr>
        <w:t>he changing issuer objective function hypothesis</w:t>
      </w:r>
      <w:r>
        <w:rPr>
          <w:lang w:val="en-US"/>
        </w:rPr>
        <w:t xml:space="preserve">. The changing risk composition hypothesis states that firms became riskier during the </w:t>
      </w:r>
      <w:r w:rsidR="006917E1">
        <w:rPr>
          <w:lang w:val="en-US"/>
        </w:rPr>
        <w:t>1990’s</w:t>
      </w:r>
      <w:r>
        <w:rPr>
          <w:lang w:val="en-US"/>
        </w:rPr>
        <w:t xml:space="preserve"> and </w:t>
      </w:r>
      <w:r w:rsidR="00C71D4F">
        <w:rPr>
          <w:lang w:val="en-US"/>
        </w:rPr>
        <w:t xml:space="preserve">Internet </w:t>
      </w:r>
      <w:r>
        <w:rPr>
          <w:lang w:val="en-US"/>
        </w:rPr>
        <w:t>bubble period and hence more underpricing was needed to compensate investors. T</w:t>
      </w:r>
      <w:r w:rsidRPr="00081535">
        <w:rPr>
          <w:lang w:val="en-US"/>
        </w:rPr>
        <w:t>he changing issuer objective function hypothesis</w:t>
      </w:r>
      <w:r>
        <w:rPr>
          <w:lang w:val="en-US"/>
        </w:rPr>
        <w:t xml:space="preserve"> is similar to </w:t>
      </w:r>
      <w:r w:rsidRPr="00D97684">
        <w:rPr>
          <w:lang w:val="en-US"/>
        </w:rPr>
        <w:t>the realignment of incentives hypothesis</w:t>
      </w:r>
      <w:r w:rsidR="00C71D4F">
        <w:rPr>
          <w:lang w:val="en-US"/>
        </w:rPr>
        <w:t xml:space="preserve"> in that it also implies </w:t>
      </w:r>
      <w:r>
        <w:rPr>
          <w:lang w:val="en-US"/>
        </w:rPr>
        <w:t xml:space="preserve">that the opportunity costs of underpricing </w:t>
      </w:r>
      <w:r w:rsidR="00F60D5F">
        <w:rPr>
          <w:lang w:val="en-US"/>
        </w:rPr>
        <w:t>were</w:t>
      </w:r>
      <w:r>
        <w:rPr>
          <w:lang w:val="en-US"/>
        </w:rPr>
        <w:t xml:space="preserve"> lower during the </w:t>
      </w:r>
      <w:r w:rsidR="00D40B32">
        <w:rPr>
          <w:lang w:val="en-US"/>
        </w:rPr>
        <w:t xml:space="preserve">Internet </w:t>
      </w:r>
      <w:r>
        <w:rPr>
          <w:lang w:val="en-US"/>
        </w:rPr>
        <w:t xml:space="preserve">bubble period. </w:t>
      </w:r>
      <w:r w:rsidR="00660CEA">
        <w:rPr>
          <w:lang w:val="en-US"/>
        </w:rPr>
        <w:t>However,</w:t>
      </w:r>
      <w:r>
        <w:rPr>
          <w:lang w:val="en-US"/>
        </w:rPr>
        <w:t xml:space="preserve"> this is due to analyst lust and the </w:t>
      </w:r>
      <w:r w:rsidR="00660CEA">
        <w:rPr>
          <w:lang w:val="en-US"/>
        </w:rPr>
        <w:t>Spinning</w:t>
      </w:r>
      <w:r>
        <w:rPr>
          <w:lang w:val="en-US"/>
        </w:rPr>
        <w:t xml:space="preserve"> hypothesis instead of smaller insider equity stakes. </w:t>
      </w:r>
    </w:p>
    <w:p w:rsidR="007675A0" w:rsidRPr="00B14D79" w:rsidRDefault="007675A0" w:rsidP="007675A0">
      <w:pPr>
        <w:spacing w:line="360" w:lineRule="auto"/>
        <w:rPr>
          <w:lang w:val="en-US"/>
        </w:rPr>
      </w:pPr>
      <w:r w:rsidRPr="00081535">
        <w:rPr>
          <w:lang w:val="en-US"/>
        </w:rPr>
        <w:t>Loughran and Ritter</w:t>
      </w:r>
      <w:r w:rsidR="003456D8">
        <w:rPr>
          <w:lang w:val="en-US"/>
        </w:rPr>
        <w:t xml:space="preserve"> criticize the realignment of incentives hypothesis</w:t>
      </w:r>
      <w:r>
        <w:rPr>
          <w:lang w:val="en-US"/>
        </w:rPr>
        <w:t>,</w:t>
      </w:r>
      <w:r w:rsidR="00835DB9">
        <w:rPr>
          <w:lang w:val="en-US"/>
        </w:rPr>
        <w:t xml:space="preserve"> </w:t>
      </w:r>
      <w:r w:rsidR="003456D8">
        <w:rPr>
          <w:lang w:val="en-US"/>
        </w:rPr>
        <w:t xml:space="preserve">by stating </w:t>
      </w:r>
      <w:r w:rsidRPr="00081535">
        <w:rPr>
          <w:lang w:val="en-US"/>
        </w:rPr>
        <w:t>that CEO stake</w:t>
      </w:r>
      <w:r>
        <w:rPr>
          <w:lang w:val="en-US"/>
        </w:rPr>
        <w:t>s</w:t>
      </w:r>
      <w:r w:rsidRPr="00081535">
        <w:rPr>
          <w:lang w:val="en-US"/>
        </w:rPr>
        <w:t xml:space="preserve"> </w:t>
      </w:r>
      <w:r w:rsidR="00F60D5F">
        <w:rPr>
          <w:lang w:val="en-US"/>
        </w:rPr>
        <w:t>were</w:t>
      </w:r>
      <w:r w:rsidR="003456D8">
        <w:rPr>
          <w:lang w:val="en-US"/>
        </w:rPr>
        <w:t xml:space="preserve"> not</w:t>
      </w:r>
      <w:r w:rsidRPr="00081535">
        <w:rPr>
          <w:lang w:val="en-US"/>
        </w:rPr>
        <w:t xml:space="preserve"> smaller during the </w:t>
      </w:r>
      <w:r w:rsidR="00C71D4F">
        <w:rPr>
          <w:lang w:val="en-US"/>
        </w:rPr>
        <w:t xml:space="preserve">Internet </w:t>
      </w:r>
      <w:r w:rsidRPr="00081535">
        <w:rPr>
          <w:lang w:val="en-US"/>
        </w:rPr>
        <w:t>bubble period. Although the fraction</w:t>
      </w:r>
      <w:r>
        <w:rPr>
          <w:lang w:val="en-US"/>
        </w:rPr>
        <w:t xml:space="preserve">al ownership of these stakes </w:t>
      </w:r>
      <w:r w:rsidR="002144DC">
        <w:rPr>
          <w:lang w:val="en-US"/>
        </w:rPr>
        <w:t>was</w:t>
      </w:r>
      <w:r w:rsidRPr="00081535">
        <w:rPr>
          <w:lang w:val="en-US"/>
        </w:rPr>
        <w:t xml:space="preserve"> smaller, the actual dollar value was higher according to Loughran and Ritter. </w:t>
      </w:r>
      <w:r w:rsidR="002144DC" w:rsidRPr="00081535">
        <w:rPr>
          <w:lang w:val="en-US"/>
        </w:rPr>
        <w:t xml:space="preserve">Loughran and Ritter </w:t>
      </w:r>
      <w:r w:rsidRPr="00081535">
        <w:rPr>
          <w:lang w:val="en-US"/>
        </w:rPr>
        <w:t>therefor</w:t>
      </w:r>
      <w:r>
        <w:rPr>
          <w:lang w:val="en-US"/>
        </w:rPr>
        <w:t xml:space="preserve">e state that if the hypothesis </w:t>
      </w:r>
      <w:r w:rsidRPr="00081535">
        <w:rPr>
          <w:lang w:val="en-US"/>
        </w:rPr>
        <w:t>explain</w:t>
      </w:r>
      <w:r>
        <w:rPr>
          <w:lang w:val="en-US"/>
        </w:rPr>
        <w:t>s</w:t>
      </w:r>
      <w:r w:rsidRPr="00081535">
        <w:rPr>
          <w:lang w:val="en-US"/>
        </w:rPr>
        <w:t xml:space="preserve"> the variation in underpricing through time, underpricing should have actually been lower during the </w:t>
      </w:r>
      <w:r w:rsidR="00C71D4F">
        <w:rPr>
          <w:lang w:val="en-US"/>
        </w:rPr>
        <w:t xml:space="preserve">Internet </w:t>
      </w:r>
      <w:r w:rsidRPr="00081535">
        <w:rPr>
          <w:lang w:val="en-US"/>
        </w:rPr>
        <w:t>bubble period</w:t>
      </w:r>
      <w:r>
        <w:rPr>
          <w:lang w:val="en-US"/>
        </w:rPr>
        <w:t xml:space="preserve">. Combining this </w:t>
      </w:r>
      <w:r>
        <w:rPr>
          <w:lang w:val="en-US"/>
        </w:rPr>
        <w:lastRenderedPageBreak/>
        <w:t>reasoning with the fact</w:t>
      </w:r>
      <w:r w:rsidR="009C2F54">
        <w:rPr>
          <w:lang w:val="en-US"/>
        </w:rPr>
        <w:t>s</w:t>
      </w:r>
      <w:r>
        <w:rPr>
          <w:lang w:val="en-US"/>
        </w:rPr>
        <w:t xml:space="preserve"> that </w:t>
      </w:r>
      <w:r w:rsidRPr="00081535">
        <w:rPr>
          <w:lang w:val="en-US"/>
        </w:rPr>
        <w:t>Ljungqvist and Wilhelm</w:t>
      </w:r>
      <w:r>
        <w:rPr>
          <w:lang w:val="en-US"/>
        </w:rPr>
        <w:t xml:space="preserve"> were unable to find a significant relation between CEO ow</w:t>
      </w:r>
      <w:r w:rsidR="009C2F54">
        <w:rPr>
          <w:lang w:val="en-US"/>
        </w:rPr>
        <w:t>nership and underpricing and found an</w:t>
      </w:r>
      <w:r>
        <w:rPr>
          <w:lang w:val="en-US"/>
        </w:rPr>
        <w:t xml:space="preserve"> opposite sign of the dilution factor</w:t>
      </w:r>
      <w:r w:rsidR="009C2F54">
        <w:rPr>
          <w:lang w:val="en-US"/>
        </w:rPr>
        <w:t>,</w:t>
      </w:r>
      <w:r>
        <w:rPr>
          <w:lang w:val="en-US"/>
        </w:rPr>
        <w:t xml:space="preserve"> sheds serious doubt on the </w:t>
      </w:r>
      <w:r w:rsidRPr="00D97684">
        <w:rPr>
          <w:lang w:val="en-US"/>
        </w:rPr>
        <w:t>realignment of incentives hypothesis</w:t>
      </w:r>
      <w:r>
        <w:rPr>
          <w:lang w:val="en-US"/>
        </w:rPr>
        <w:t>. It could</w:t>
      </w:r>
      <w:r w:rsidR="009C2F54">
        <w:rPr>
          <w:lang w:val="en-US"/>
        </w:rPr>
        <w:t>,</w:t>
      </w:r>
      <w:r>
        <w:rPr>
          <w:lang w:val="en-US"/>
        </w:rPr>
        <w:t xml:space="preserve"> </w:t>
      </w:r>
      <w:r w:rsidR="00660CEA">
        <w:rPr>
          <w:lang w:val="en-US"/>
        </w:rPr>
        <w:t>however,</w:t>
      </w:r>
      <w:r>
        <w:rPr>
          <w:lang w:val="en-US"/>
        </w:rPr>
        <w:t xml:space="preserve"> be the case that the role of monitoring is mostly a role for other important inside shareholders such as venture capitalists, corporate insiders and investment banks. If this is the case, the negative significant relation between </w:t>
      </w:r>
      <w:r w:rsidR="00C71D4F">
        <w:rPr>
          <w:lang w:val="en-US"/>
        </w:rPr>
        <w:t>venture capitalists’ holdings</w:t>
      </w:r>
      <w:r>
        <w:rPr>
          <w:lang w:val="en-US"/>
        </w:rPr>
        <w:t xml:space="preserve"> and underpricing</w:t>
      </w:r>
      <w:r w:rsidR="0051724D">
        <w:rPr>
          <w:lang w:val="en-US"/>
        </w:rPr>
        <w:t>,</w:t>
      </w:r>
      <w:r>
        <w:rPr>
          <w:lang w:val="en-US"/>
        </w:rPr>
        <w:t xml:space="preserve"> provides evidence for the </w:t>
      </w:r>
      <w:r w:rsidRPr="00D97684">
        <w:rPr>
          <w:lang w:val="en-US"/>
        </w:rPr>
        <w:t>realignment of incentives hypothesis</w:t>
      </w:r>
      <w:r w:rsidRPr="001A0BCF">
        <w:rPr>
          <w:i/>
          <w:lang w:val="en-US"/>
        </w:rPr>
        <w:t>.</w:t>
      </w:r>
      <w:r w:rsidRPr="00640560">
        <w:rPr>
          <w:b/>
          <w:lang w:val="en-US"/>
        </w:rPr>
        <w:t xml:space="preserve"> </w:t>
      </w:r>
      <w:r w:rsidRPr="00640560">
        <w:rPr>
          <w:lang w:val="en-US"/>
        </w:rPr>
        <w:t xml:space="preserve">Loughran and Ritter believe the analyst lust hypothesis and </w:t>
      </w:r>
      <w:r w:rsidR="00660CEA">
        <w:rPr>
          <w:lang w:val="en-US"/>
        </w:rPr>
        <w:t>Spinning</w:t>
      </w:r>
      <w:r w:rsidRPr="00640560">
        <w:rPr>
          <w:lang w:val="en-US"/>
        </w:rPr>
        <w:t xml:space="preserve"> hypothesis can better explain the observed variation in underpricing. </w:t>
      </w:r>
      <w:r>
        <w:rPr>
          <w:lang w:val="en-US"/>
        </w:rPr>
        <w:t>They base this on the fact that prestigious underwriters seemed to be positively related to un</w:t>
      </w:r>
      <w:r w:rsidR="009C2F54">
        <w:rPr>
          <w:lang w:val="en-US"/>
        </w:rPr>
        <w:t xml:space="preserve">derpricing during the </w:t>
      </w:r>
      <w:r w:rsidR="006917E1">
        <w:rPr>
          <w:lang w:val="en-US"/>
        </w:rPr>
        <w:t>1990’s</w:t>
      </w:r>
      <w:r w:rsidR="009C2F54">
        <w:rPr>
          <w:lang w:val="en-US"/>
        </w:rPr>
        <w:t xml:space="preserve"> and Internet</w:t>
      </w:r>
      <w:r>
        <w:rPr>
          <w:lang w:val="en-US"/>
        </w:rPr>
        <w:t xml:space="preserve"> Bubble. The authors</w:t>
      </w:r>
      <w:r w:rsidRPr="0051697F">
        <w:rPr>
          <w:lang w:val="en-GB"/>
        </w:rPr>
        <w:t xml:space="preserve"> </w:t>
      </w:r>
      <w:r>
        <w:rPr>
          <w:lang w:val="en-GB"/>
        </w:rPr>
        <w:t xml:space="preserve">use investment bank reputation </w:t>
      </w:r>
      <w:r w:rsidRPr="00267042">
        <w:rPr>
          <w:lang w:val="en-GB"/>
        </w:rPr>
        <w:t>as a proxy for</w:t>
      </w:r>
      <w:r>
        <w:rPr>
          <w:lang w:val="en-GB"/>
        </w:rPr>
        <w:t xml:space="preserve"> the</w:t>
      </w:r>
      <w:r w:rsidRPr="00267042">
        <w:rPr>
          <w:lang w:val="en-GB"/>
        </w:rPr>
        <w:t xml:space="preserve"> presence of a star analyst and the willingness to spin</w:t>
      </w:r>
      <w:r>
        <w:rPr>
          <w:lang w:val="en-GB"/>
        </w:rPr>
        <w:t xml:space="preserve">. </w:t>
      </w:r>
      <w:r w:rsidRPr="0051697F">
        <w:rPr>
          <w:lang w:val="en-US"/>
        </w:rPr>
        <w:t xml:space="preserve">Ljungqvist and Wilhelm state that they do not find a relation between underpricing and underwriter reputation, except for the </w:t>
      </w:r>
      <w:r w:rsidR="00C71D4F">
        <w:rPr>
          <w:lang w:val="en-US"/>
        </w:rPr>
        <w:t xml:space="preserve">Internet </w:t>
      </w:r>
      <w:r w:rsidRPr="0051697F">
        <w:rPr>
          <w:lang w:val="en-US"/>
        </w:rPr>
        <w:t>bubble period.</w:t>
      </w:r>
      <w:r w:rsidR="0051724D">
        <w:rPr>
          <w:lang w:val="en-US"/>
        </w:rPr>
        <w:t xml:space="preserve"> </w:t>
      </w:r>
    </w:p>
    <w:p w:rsidR="007675A0" w:rsidRPr="003D419C" w:rsidRDefault="00C72939" w:rsidP="007675A0">
      <w:pPr>
        <w:spacing w:after="0" w:line="240" w:lineRule="auto"/>
        <w:ind w:left="1418" w:hanging="851"/>
        <w:outlineLvl w:val="0"/>
        <w:rPr>
          <w:b/>
          <w:lang w:val="en-US"/>
        </w:rPr>
      </w:pPr>
      <w:r>
        <w:rPr>
          <w:b/>
          <w:lang w:val="en-US"/>
        </w:rPr>
        <w:t>3</w:t>
      </w:r>
      <w:r w:rsidR="007675A0">
        <w:rPr>
          <w:b/>
          <w:lang w:val="en-US"/>
        </w:rPr>
        <w:t>.</w:t>
      </w:r>
      <w:r w:rsidR="009C10C7">
        <w:rPr>
          <w:b/>
          <w:lang w:val="en-US"/>
        </w:rPr>
        <w:t>4</w:t>
      </w:r>
      <w:r w:rsidR="007675A0">
        <w:rPr>
          <w:b/>
          <w:lang w:val="en-US"/>
        </w:rPr>
        <w:t>.3.</w:t>
      </w:r>
      <w:r w:rsidR="007675A0" w:rsidRPr="003D419C">
        <w:rPr>
          <w:b/>
          <w:lang w:val="en-US"/>
        </w:rPr>
        <w:t xml:space="preserve"> </w:t>
      </w:r>
      <w:bookmarkStart w:id="13" w:name="_Toc280276109"/>
      <w:r w:rsidR="007675A0">
        <w:rPr>
          <w:b/>
          <w:lang w:val="en-US"/>
        </w:rPr>
        <w:tab/>
      </w:r>
      <w:r w:rsidR="007675A0" w:rsidRPr="003D419C">
        <w:rPr>
          <w:b/>
          <w:lang w:val="en-US"/>
        </w:rPr>
        <w:t xml:space="preserve">Other explanations of </w:t>
      </w:r>
      <w:r w:rsidR="0030498B">
        <w:rPr>
          <w:b/>
          <w:lang w:val="en-US"/>
        </w:rPr>
        <w:t>IPO</w:t>
      </w:r>
      <w:r w:rsidR="007675A0" w:rsidRPr="003D419C">
        <w:rPr>
          <w:b/>
          <w:lang w:val="en-US"/>
        </w:rPr>
        <w:t xml:space="preserve"> underpricing</w:t>
      </w:r>
      <w:bookmarkEnd w:id="13"/>
    </w:p>
    <w:p w:rsidR="007675A0" w:rsidRDefault="007675A0" w:rsidP="007675A0">
      <w:pPr>
        <w:spacing w:after="0" w:line="240" w:lineRule="auto"/>
        <w:outlineLvl w:val="0"/>
        <w:rPr>
          <w:b/>
          <w:lang w:val="en-US"/>
        </w:rPr>
      </w:pPr>
    </w:p>
    <w:p w:rsidR="007675A0" w:rsidRPr="00131D71" w:rsidRDefault="007675A0" w:rsidP="007675A0">
      <w:pPr>
        <w:spacing w:after="0" w:line="360" w:lineRule="auto"/>
        <w:outlineLvl w:val="0"/>
        <w:rPr>
          <w:lang w:val="en-US"/>
        </w:rPr>
      </w:pPr>
      <w:r>
        <w:rPr>
          <w:lang w:val="en-US"/>
        </w:rPr>
        <w:t>Two</w:t>
      </w:r>
      <w:r w:rsidRPr="00131D71">
        <w:rPr>
          <w:lang w:val="en-US"/>
        </w:rPr>
        <w:t xml:space="preserve"> other explanations of </w:t>
      </w:r>
      <w:r w:rsidR="0030498B">
        <w:rPr>
          <w:lang w:val="en-US"/>
        </w:rPr>
        <w:t>IPO</w:t>
      </w:r>
      <w:r w:rsidRPr="00131D71">
        <w:rPr>
          <w:lang w:val="en-US"/>
        </w:rPr>
        <w:t xml:space="preserve"> underpricing are the Lawsuit Avoidance Hypothesis and post </w:t>
      </w:r>
      <w:r w:rsidR="0030498B">
        <w:rPr>
          <w:lang w:val="en-US"/>
        </w:rPr>
        <w:t>IPO</w:t>
      </w:r>
      <w:r w:rsidRPr="00131D71">
        <w:rPr>
          <w:lang w:val="en-US"/>
        </w:rPr>
        <w:t xml:space="preserve"> trading profits.</w:t>
      </w:r>
    </w:p>
    <w:p w:rsidR="007675A0" w:rsidRDefault="007675A0" w:rsidP="007675A0">
      <w:pPr>
        <w:spacing w:after="0" w:line="240" w:lineRule="auto"/>
        <w:rPr>
          <w:b/>
          <w:lang w:val="en-US"/>
        </w:rPr>
      </w:pPr>
    </w:p>
    <w:p w:rsidR="007675A0" w:rsidRPr="003D419C" w:rsidRDefault="00C72939" w:rsidP="007675A0">
      <w:pPr>
        <w:spacing w:after="0" w:line="240" w:lineRule="auto"/>
        <w:ind w:left="1418" w:hanging="851"/>
        <w:outlineLvl w:val="0"/>
        <w:rPr>
          <w:b/>
          <w:lang w:val="en-US"/>
        </w:rPr>
      </w:pPr>
      <w:r>
        <w:rPr>
          <w:b/>
          <w:lang w:val="en-US"/>
        </w:rPr>
        <w:t>3</w:t>
      </w:r>
      <w:r w:rsidR="007675A0">
        <w:rPr>
          <w:b/>
          <w:lang w:val="en-US"/>
        </w:rPr>
        <w:t>.</w:t>
      </w:r>
      <w:r w:rsidR="009C10C7">
        <w:rPr>
          <w:b/>
          <w:lang w:val="en-US"/>
        </w:rPr>
        <w:t>4</w:t>
      </w:r>
      <w:r w:rsidR="007675A0">
        <w:rPr>
          <w:b/>
          <w:lang w:val="en-US"/>
        </w:rPr>
        <w:t xml:space="preserve">.3.1. </w:t>
      </w:r>
      <w:bookmarkStart w:id="14" w:name="_Toc280276110"/>
      <w:r w:rsidR="007675A0">
        <w:rPr>
          <w:b/>
          <w:lang w:val="en-US"/>
        </w:rPr>
        <w:tab/>
      </w:r>
      <w:r w:rsidR="007675A0" w:rsidRPr="003D419C">
        <w:rPr>
          <w:b/>
          <w:lang w:val="en-US"/>
        </w:rPr>
        <w:t>The lawsuit Avoidance Hypothesis</w:t>
      </w:r>
      <w:bookmarkEnd w:id="14"/>
    </w:p>
    <w:p w:rsidR="007675A0" w:rsidRDefault="007675A0" w:rsidP="007675A0">
      <w:pPr>
        <w:spacing w:after="0" w:line="240" w:lineRule="auto"/>
        <w:rPr>
          <w:b/>
          <w:lang w:val="en-US"/>
        </w:rPr>
      </w:pPr>
      <w:r>
        <w:rPr>
          <w:b/>
          <w:lang w:val="en-US"/>
        </w:rPr>
        <w:tab/>
      </w:r>
    </w:p>
    <w:p w:rsidR="007675A0" w:rsidRPr="00B14D79" w:rsidRDefault="000059E8" w:rsidP="007675A0">
      <w:pPr>
        <w:spacing w:line="360" w:lineRule="auto"/>
        <w:contextualSpacing/>
        <w:rPr>
          <w:lang w:val="en-GB"/>
        </w:rPr>
      </w:pPr>
      <w:r>
        <w:rPr>
          <w:lang w:val="en-GB"/>
        </w:rPr>
        <w:t>Some authors argue that underpricing might be</w:t>
      </w:r>
      <w:r w:rsidR="007675A0" w:rsidRPr="00A57D29">
        <w:rPr>
          <w:lang w:val="en-GB"/>
        </w:rPr>
        <w:t xml:space="preserve"> a tool against legal liabilities. If underwriters</w:t>
      </w:r>
      <w:r w:rsidR="0051724D">
        <w:rPr>
          <w:lang w:val="en-GB"/>
        </w:rPr>
        <w:t xml:space="preserve"> or issuers</w:t>
      </w:r>
      <w:r w:rsidR="007675A0" w:rsidRPr="00A57D29">
        <w:rPr>
          <w:lang w:val="en-GB"/>
        </w:rPr>
        <w:t xml:space="preserve"> forgo on providing essential information to investors or make other mistakes, they are prone to legal action. Investors can sue underwriters </w:t>
      </w:r>
      <w:r w:rsidR="0051724D">
        <w:rPr>
          <w:lang w:val="en-GB"/>
        </w:rPr>
        <w:t xml:space="preserve">and issuers </w:t>
      </w:r>
      <w:r w:rsidR="007675A0" w:rsidRPr="00A57D29">
        <w:rPr>
          <w:lang w:val="en-GB"/>
        </w:rPr>
        <w:t>in order to be compensated for any potential loss</w:t>
      </w:r>
      <w:r>
        <w:rPr>
          <w:lang w:val="en-GB"/>
        </w:rPr>
        <w:t>es</w:t>
      </w:r>
      <w:r w:rsidR="007675A0" w:rsidRPr="00A57D29">
        <w:rPr>
          <w:lang w:val="en-GB"/>
        </w:rPr>
        <w:t xml:space="preserve"> from investing in the </w:t>
      </w:r>
      <w:r w:rsidR="0030498B">
        <w:rPr>
          <w:lang w:val="en-GB"/>
        </w:rPr>
        <w:t>IPO</w:t>
      </w:r>
      <w:r w:rsidR="007675A0" w:rsidRPr="00A57D29">
        <w:rPr>
          <w:lang w:val="en-GB"/>
        </w:rPr>
        <w:t xml:space="preserve">. </w:t>
      </w:r>
      <w:r w:rsidR="007675A0">
        <w:rPr>
          <w:lang w:val="en-GB"/>
        </w:rPr>
        <w:t>Investment banks</w:t>
      </w:r>
      <w:r w:rsidR="007675A0" w:rsidRPr="00A57D29">
        <w:rPr>
          <w:lang w:val="en-GB"/>
        </w:rPr>
        <w:t xml:space="preserve"> understand this problem and they might deliberately underprice an </w:t>
      </w:r>
      <w:r w:rsidR="0030498B">
        <w:rPr>
          <w:lang w:val="en-GB"/>
        </w:rPr>
        <w:t>IPO</w:t>
      </w:r>
      <w:r w:rsidR="007675A0" w:rsidRPr="00A57D29">
        <w:rPr>
          <w:lang w:val="en-GB"/>
        </w:rPr>
        <w:t xml:space="preserve"> to insure</w:t>
      </w:r>
      <w:r w:rsidR="007675A0">
        <w:rPr>
          <w:lang w:val="en-GB"/>
        </w:rPr>
        <w:t xml:space="preserve"> them against legal damag</w:t>
      </w:r>
      <w:r w:rsidR="0051724D">
        <w:rPr>
          <w:lang w:val="en-GB"/>
        </w:rPr>
        <w:t xml:space="preserve">es. If an </w:t>
      </w:r>
      <w:r w:rsidR="0030498B">
        <w:rPr>
          <w:lang w:val="en-GB"/>
        </w:rPr>
        <w:t>IPO</w:t>
      </w:r>
      <w:r w:rsidR="0051724D">
        <w:rPr>
          <w:lang w:val="en-GB"/>
        </w:rPr>
        <w:t xml:space="preserve"> is underpriced, the firm’s share price is less likely to drop below the</w:t>
      </w:r>
      <w:r w:rsidR="007675A0">
        <w:rPr>
          <w:lang w:val="en-GB"/>
        </w:rPr>
        <w:t xml:space="preserve"> offering</w:t>
      </w:r>
      <w:r w:rsidR="0051724D">
        <w:rPr>
          <w:lang w:val="en-GB"/>
        </w:rPr>
        <w:t xml:space="preserve"> share</w:t>
      </w:r>
      <w:r w:rsidR="007675A0">
        <w:rPr>
          <w:lang w:val="en-GB"/>
        </w:rPr>
        <w:t xml:space="preserve"> price</w:t>
      </w:r>
      <w:r w:rsidR="0051724D">
        <w:rPr>
          <w:lang w:val="en-GB"/>
        </w:rPr>
        <w:t>,</w:t>
      </w:r>
      <w:r w:rsidR="007675A0">
        <w:rPr>
          <w:lang w:val="en-GB"/>
        </w:rPr>
        <w:t xml:space="preserve"> when harmful information comes to light. Therefore</w:t>
      </w:r>
      <w:r w:rsidR="00660CEA">
        <w:rPr>
          <w:lang w:val="en-GB"/>
        </w:rPr>
        <w:t>,</w:t>
      </w:r>
      <w:r w:rsidR="007675A0">
        <w:rPr>
          <w:lang w:val="en-GB"/>
        </w:rPr>
        <w:t xml:space="preserve"> underwriters that underprice might get sued less, moreover if they get sued, the potential damages could be smaller. Lowry and Shu (2002) find that firms that underpriced </w:t>
      </w:r>
      <w:proofErr w:type="gramStart"/>
      <w:r w:rsidR="007675A0">
        <w:rPr>
          <w:lang w:val="en-GB"/>
        </w:rPr>
        <w:t>more,</w:t>
      </w:r>
      <w:proofErr w:type="gramEnd"/>
      <w:r w:rsidR="007675A0">
        <w:rPr>
          <w:lang w:val="en-GB"/>
        </w:rPr>
        <w:t xml:space="preserve"> </w:t>
      </w:r>
      <w:r w:rsidR="00F60D5F">
        <w:rPr>
          <w:lang w:val="en-GB"/>
        </w:rPr>
        <w:t>were</w:t>
      </w:r>
      <w:r w:rsidR="007675A0">
        <w:rPr>
          <w:lang w:val="en-GB"/>
        </w:rPr>
        <w:t xml:space="preserve"> less likely to get sued. Drake and </w:t>
      </w:r>
      <w:r w:rsidR="007675A0" w:rsidRPr="00513FD2">
        <w:rPr>
          <w:lang w:val="en-GB"/>
        </w:rPr>
        <w:t>Vetsuypens</w:t>
      </w:r>
      <w:r w:rsidR="007675A0">
        <w:rPr>
          <w:lang w:val="en-GB"/>
        </w:rPr>
        <w:t xml:space="preserve"> (1993) also test the ‘lawsuit avoidance </w:t>
      </w:r>
      <w:proofErr w:type="gramStart"/>
      <w:r w:rsidR="007675A0">
        <w:rPr>
          <w:lang w:val="en-GB"/>
        </w:rPr>
        <w:t>hypothesis’</w:t>
      </w:r>
      <w:proofErr w:type="gramEnd"/>
      <w:r w:rsidR="007675A0">
        <w:rPr>
          <w:lang w:val="en-GB"/>
        </w:rPr>
        <w:t xml:space="preserve">. The authors compose a dataset of 93 </w:t>
      </w:r>
      <w:r w:rsidR="0030498B">
        <w:rPr>
          <w:lang w:val="en-GB"/>
        </w:rPr>
        <w:t>IPO</w:t>
      </w:r>
      <w:r w:rsidR="007675A0">
        <w:rPr>
          <w:lang w:val="en-GB"/>
        </w:rPr>
        <w:t xml:space="preserve"> firms that </w:t>
      </w:r>
      <w:r w:rsidR="00F60D5F">
        <w:rPr>
          <w:lang w:val="en-GB"/>
        </w:rPr>
        <w:t>were</w:t>
      </w:r>
      <w:r w:rsidR="007675A0">
        <w:rPr>
          <w:lang w:val="en-GB"/>
        </w:rPr>
        <w:t xml:space="preserve"> sued during the </w:t>
      </w:r>
      <w:r w:rsidR="006917E1">
        <w:rPr>
          <w:lang w:val="en-GB"/>
        </w:rPr>
        <w:t>1980’s</w:t>
      </w:r>
      <w:r w:rsidR="007675A0">
        <w:rPr>
          <w:lang w:val="en-GB"/>
        </w:rPr>
        <w:t xml:space="preserve"> and add a dataset of 1,114 </w:t>
      </w:r>
      <w:proofErr w:type="gramStart"/>
      <w:r w:rsidR="007675A0">
        <w:rPr>
          <w:lang w:val="en-GB"/>
        </w:rPr>
        <w:t>non</w:t>
      </w:r>
      <w:proofErr w:type="gramEnd"/>
      <w:r w:rsidR="007675A0">
        <w:rPr>
          <w:lang w:val="en-GB"/>
        </w:rPr>
        <w:t xml:space="preserve"> sued IPOs. The lawsuit avoidance hypothesis predicts that underpricing provides insurance against lawsuits and hence sued firms should be underpriced less than non sued IPOs</w:t>
      </w:r>
      <w:r w:rsidR="007675A0">
        <w:rPr>
          <w:rStyle w:val="FootnoteReference"/>
          <w:lang w:val="en-GB"/>
        </w:rPr>
        <w:footnoteReference w:id="28"/>
      </w:r>
      <w:r w:rsidR="007675A0">
        <w:rPr>
          <w:lang w:val="en-GB"/>
        </w:rPr>
        <w:t xml:space="preserve">. Drake and Vetsuypens find that the firms in their sample do not significantly differ in the amount of underpricing from non sued IPOs. The authors also perform a second test by dividing their sample in three groups based on the amount of underpricing. The lawsuit avoidance hypothesis </w:t>
      </w:r>
      <w:r w:rsidR="007675A0">
        <w:rPr>
          <w:lang w:val="en-GB"/>
        </w:rPr>
        <w:lastRenderedPageBreak/>
        <w:t xml:space="preserve">predicts that the group with the smallest amount of underpricing should have the highest proportion of sued IPOs. </w:t>
      </w:r>
      <w:r w:rsidR="00660CEA">
        <w:rPr>
          <w:lang w:val="en-GB"/>
        </w:rPr>
        <w:t>However,</w:t>
      </w:r>
      <w:r w:rsidR="007675A0">
        <w:rPr>
          <w:lang w:val="en-GB"/>
        </w:rPr>
        <w:t xml:space="preserve"> the authors find no significant relation between the proportion of sued IPOs and the amount of underpricing. The authors also add that if the lawsuit avoidance hypothesis holds</w:t>
      </w:r>
      <w:r w:rsidR="00BB0DBC">
        <w:rPr>
          <w:lang w:val="en-GB"/>
        </w:rPr>
        <w:t>,</w:t>
      </w:r>
      <w:r w:rsidR="007675A0">
        <w:rPr>
          <w:lang w:val="en-GB"/>
        </w:rPr>
        <w:t xml:space="preserve"> there should be a relationship between investor protection rights and underpricing. If investor protection rights are </w:t>
      </w:r>
      <w:r w:rsidR="007675A0" w:rsidRPr="002852BE">
        <w:rPr>
          <w:lang w:val="en-GB"/>
        </w:rPr>
        <w:t>weak, the chance of getting sued is less and hence</w:t>
      </w:r>
      <w:r w:rsidR="00BB0DBC">
        <w:rPr>
          <w:lang w:val="en-GB"/>
        </w:rPr>
        <w:t xml:space="preserve"> the need for underpricing should</w:t>
      </w:r>
      <w:r w:rsidR="007675A0" w:rsidRPr="002852BE">
        <w:rPr>
          <w:lang w:val="en-GB"/>
        </w:rPr>
        <w:t xml:space="preserve"> be less. The authors test this implication but find no support for this hypothesis. </w:t>
      </w:r>
      <w:r w:rsidR="007675A0">
        <w:rPr>
          <w:lang w:val="en-GB"/>
        </w:rPr>
        <w:t xml:space="preserve">The findings described above are not in </w:t>
      </w:r>
      <w:r w:rsidR="009C2F54">
        <w:rPr>
          <w:lang w:val="en-GB"/>
        </w:rPr>
        <w:t>favor</w:t>
      </w:r>
      <w:r w:rsidR="007675A0">
        <w:rPr>
          <w:lang w:val="en-GB"/>
        </w:rPr>
        <w:t xml:space="preserve"> of the lawsuit avoidance hypothesis and therefore the authors question its explanatory power</w:t>
      </w:r>
      <w:r w:rsidR="007675A0">
        <w:rPr>
          <w:rStyle w:val="FootnoteReference"/>
          <w:lang w:val="en-GB"/>
        </w:rPr>
        <w:footnoteReference w:id="29"/>
      </w:r>
      <w:r w:rsidR="007675A0">
        <w:rPr>
          <w:lang w:val="en-GB"/>
        </w:rPr>
        <w:t>. The authors do not reject the hypothesis altog</w:t>
      </w:r>
      <w:r w:rsidR="009C2F54">
        <w:rPr>
          <w:lang w:val="en-GB"/>
        </w:rPr>
        <w:t>ether since they cannot reject</w:t>
      </w:r>
      <w:r w:rsidR="007675A0">
        <w:rPr>
          <w:lang w:val="en-GB"/>
        </w:rPr>
        <w:t xml:space="preserve"> whether some firms would have been sued if they had not been underpriced. </w:t>
      </w:r>
    </w:p>
    <w:p w:rsidR="007675A0" w:rsidRPr="00606927" w:rsidRDefault="00C72939" w:rsidP="007675A0">
      <w:pPr>
        <w:pStyle w:val="ListParagraph"/>
        <w:spacing w:line="360" w:lineRule="auto"/>
        <w:ind w:left="1418" w:hanging="851"/>
        <w:outlineLvl w:val="0"/>
        <w:rPr>
          <w:lang w:val="en-GB"/>
        </w:rPr>
      </w:pPr>
      <w:bookmarkStart w:id="15" w:name="_Toc280276111"/>
      <w:r>
        <w:rPr>
          <w:b/>
          <w:lang w:val="en-US"/>
        </w:rPr>
        <w:t>3</w:t>
      </w:r>
      <w:r w:rsidR="007675A0">
        <w:rPr>
          <w:b/>
          <w:lang w:val="en-US"/>
        </w:rPr>
        <w:t>.</w:t>
      </w:r>
      <w:r w:rsidR="009C10C7">
        <w:rPr>
          <w:b/>
          <w:lang w:val="en-US"/>
        </w:rPr>
        <w:t>4</w:t>
      </w:r>
      <w:r w:rsidR="007675A0">
        <w:rPr>
          <w:b/>
          <w:lang w:val="en-US"/>
        </w:rPr>
        <w:t xml:space="preserve">.3.2. </w:t>
      </w:r>
      <w:r w:rsidR="007675A0">
        <w:rPr>
          <w:b/>
          <w:lang w:val="en-US"/>
        </w:rPr>
        <w:tab/>
      </w:r>
      <w:r w:rsidR="007675A0" w:rsidRPr="00BF5A54">
        <w:rPr>
          <w:b/>
          <w:lang w:val="en-US"/>
        </w:rPr>
        <w:t xml:space="preserve">Underpricing and post </w:t>
      </w:r>
      <w:r w:rsidR="0030498B">
        <w:rPr>
          <w:b/>
          <w:lang w:val="en-US"/>
        </w:rPr>
        <w:t>IPO</w:t>
      </w:r>
      <w:r w:rsidR="007675A0" w:rsidRPr="00BF5A54">
        <w:rPr>
          <w:b/>
          <w:lang w:val="en-US"/>
        </w:rPr>
        <w:t xml:space="preserve"> trading profits</w:t>
      </w:r>
      <w:bookmarkEnd w:id="15"/>
    </w:p>
    <w:p w:rsidR="007675A0" w:rsidRPr="00064C68" w:rsidRDefault="007675A0" w:rsidP="00064C68">
      <w:pPr>
        <w:spacing w:line="360" w:lineRule="auto"/>
        <w:contextualSpacing/>
        <w:rPr>
          <w:lang w:val="en-US"/>
        </w:rPr>
      </w:pPr>
      <w:r>
        <w:rPr>
          <w:lang w:val="en-US"/>
        </w:rPr>
        <w:t>Ellis et al.</w:t>
      </w:r>
      <w:r w:rsidRPr="000B30A1">
        <w:rPr>
          <w:lang w:val="en-US"/>
        </w:rPr>
        <w:t xml:space="preserve"> (</w:t>
      </w:r>
      <w:r>
        <w:rPr>
          <w:lang w:val="en-US"/>
        </w:rPr>
        <w:t xml:space="preserve">2000) state that underpricing is positively related to post </w:t>
      </w:r>
      <w:r w:rsidR="0030498B">
        <w:rPr>
          <w:lang w:val="en-US"/>
        </w:rPr>
        <w:t>IPO</w:t>
      </w:r>
      <w:r>
        <w:rPr>
          <w:lang w:val="en-US"/>
        </w:rPr>
        <w:t xml:space="preserve"> profits from trading. The authors show that the lead underwriter always becomes the main liquidity provider for the newly issued stock. Over the first few months of trading, about 50% of all trades are execu</w:t>
      </w:r>
      <w:r w:rsidR="009C2F54">
        <w:rPr>
          <w:lang w:val="en-US"/>
        </w:rPr>
        <w:t>ted by the lead underwriter. Co-</w:t>
      </w:r>
      <w:r>
        <w:rPr>
          <w:lang w:val="en-US"/>
        </w:rPr>
        <w:t xml:space="preserve">writers do not seem to perform a significant role in post </w:t>
      </w:r>
      <w:r w:rsidR="0030498B">
        <w:rPr>
          <w:lang w:val="en-US"/>
        </w:rPr>
        <w:t>IPO</w:t>
      </w:r>
      <w:r>
        <w:rPr>
          <w:lang w:val="en-US"/>
        </w:rPr>
        <w:t xml:space="preserve"> trading. Furthermore the lead underwriter usually builds up a substantial inventory of the stock after the first day of trading. This behavior is especially present when IPOs are overpriced and can reach levels of over 20% of the issued shares. This creates substantial price risk for the investment bank, but this risk is reduced when a Green Shoe option is available. Ellis et al. show that the first three months of post </w:t>
      </w:r>
      <w:r w:rsidR="0030498B">
        <w:rPr>
          <w:lang w:val="en-US"/>
        </w:rPr>
        <w:t>IPO</w:t>
      </w:r>
      <w:r>
        <w:rPr>
          <w:lang w:val="en-US"/>
        </w:rPr>
        <w:t xml:space="preserve"> trading creates trading profits that amount to 23% of all profits made from the </w:t>
      </w:r>
      <w:r w:rsidR="0030498B">
        <w:rPr>
          <w:lang w:val="en-US"/>
        </w:rPr>
        <w:t>IPO</w:t>
      </w:r>
      <w:r>
        <w:rPr>
          <w:lang w:val="en-US"/>
        </w:rPr>
        <w:t xml:space="preserve">. According to the authors this result is inconsistent with Chowdhry and Nanda (1996) (see section </w:t>
      </w:r>
      <w:r w:rsidR="00655A29">
        <w:rPr>
          <w:lang w:val="en-US"/>
        </w:rPr>
        <w:t>3</w:t>
      </w:r>
      <w:r w:rsidR="00835DB9">
        <w:rPr>
          <w:lang w:val="en-US"/>
        </w:rPr>
        <w:t>.4</w:t>
      </w:r>
      <w:r>
        <w:rPr>
          <w:lang w:val="en-US"/>
        </w:rPr>
        <w:t>.1.1.), who state that price stabilization is costly to the investment bank. More importantly</w:t>
      </w:r>
      <w:r w:rsidR="009C2F54">
        <w:rPr>
          <w:lang w:val="en-US"/>
        </w:rPr>
        <w:t>,</w:t>
      </w:r>
      <w:r>
        <w:rPr>
          <w:lang w:val="en-US"/>
        </w:rPr>
        <w:t xml:space="preserve"> the authors find that the amount of underpricing is positively related to the volume of post </w:t>
      </w:r>
      <w:r w:rsidR="0030498B">
        <w:rPr>
          <w:lang w:val="en-US"/>
        </w:rPr>
        <w:t>IPO</w:t>
      </w:r>
      <w:r>
        <w:rPr>
          <w:lang w:val="en-US"/>
        </w:rPr>
        <w:t xml:space="preserve"> trading</w:t>
      </w:r>
      <w:r>
        <w:rPr>
          <w:rStyle w:val="FootnoteReference"/>
          <w:lang w:val="en-US"/>
        </w:rPr>
        <w:footnoteReference w:id="30"/>
      </w:r>
      <w:r>
        <w:rPr>
          <w:lang w:val="en-US"/>
        </w:rPr>
        <w:t xml:space="preserve">. </w:t>
      </w:r>
    </w:p>
    <w:p w:rsidR="007675A0" w:rsidRDefault="007675A0" w:rsidP="007675A0">
      <w:pPr>
        <w:spacing w:after="0" w:line="240" w:lineRule="auto"/>
        <w:rPr>
          <w:b/>
          <w:lang w:val="en-US"/>
        </w:rPr>
      </w:pPr>
    </w:p>
    <w:p w:rsidR="00BB0DBC" w:rsidRDefault="00BB0DBC">
      <w:pPr>
        <w:rPr>
          <w:rFonts w:ascii="Calibri" w:eastAsia="Calibri" w:hAnsi="Calibri" w:cs="Times New Roman"/>
          <w:b/>
          <w:lang w:val="en-US"/>
        </w:rPr>
      </w:pPr>
      <w:r>
        <w:rPr>
          <w:b/>
          <w:lang w:val="en-US"/>
        </w:rPr>
        <w:br w:type="page"/>
      </w:r>
    </w:p>
    <w:p w:rsidR="007675A0" w:rsidRPr="009C10C7" w:rsidRDefault="009C10C7" w:rsidP="009C10C7">
      <w:pPr>
        <w:spacing w:after="0" w:line="240" w:lineRule="auto"/>
        <w:ind w:left="426"/>
        <w:rPr>
          <w:lang w:val="en-US"/>
        </w:rPr>
      </w:pPr>
      <w:r>
        <w:rPr>
          <w:b/>
          <w:lang w:val="en-US"/>
        </w:rPr>
        <w:lastRenderedPageBreak/>
        <w:t>3.5.</w:t>
      </w:r>
      <w:r>
        <w:rPr>
          <w:b/>
          <w:lang w:val="en-US"/>
        </w:rPr>
        <w:tab/>
      </w:r>
      <w:r w:rsidR="007675A0" w:rsidRPr="009C10C7">
        <w:rPr>
          <w:b/>
          <w:lang w:val="en-US"/>
        </w:rPr>
        <w:t xml:space="preserve"> </w:t>
      </w:r>
      <w:r w:rsidR="00C71D4F">
        <w:rPr>
          <w:b/>
          <w:lang w:val="en-US"/>
        </w:rPr>
        <w:t xml:space="preserve">Criticism on the underpricing phenomenon </w:t>
      </w:r>
    </w:p>
    <w:p w:rsidR="007675A0" w:rsidRDefault="007675A0" w:rsidP="007675A0">
      <w:pPr>
        <w:spacing w:after="0" w:line="240" w:lineRule="auto"/>
        <w:rPr>
          <w:b/>
          <w:lang w:val="en-US"/>
        </w:rPr>
      </w:pPr>
    </w:p>
    <w:p w:rsidR="007675A0" w:rsidRDefault="007675A0" w:rsidP="007675A0">
      <w:pPr>
        <w:spacing w:line="360" w:lineRule="auto"/>
        <w:rPr>
          <w:lang w:val="en-US"/>
        </w:rPr>
      </w:pPr>
      <w:r>
        <w:rPr>
          <w:lang w:val="en-US"/>
        </w:rPr>
        <w:t xml:space="preserve">Apart from underpricing, IPOs are associated with long </w:t>
      </w:r>
      <w:r w:rsidR="00BB0DBC">
        <w:rPr>
          <w:lang w:val="en-US"/>
        </w:rPr>
        <w:t>run underperformance (Ritter &amp;</w:t>
      </w:r>
      <w:r>
        <w:rPr>
          <w:lang w:val="en-US"/>
        </w:rPr>
        <w:t xml:space="preserve"> We</w:t>
      </w:r>
      <w:r w:rsidR="00BB0DBC">
        <w:rPr>
          <w:lang w:val="en-US"/>
        </w:rPr>
        <w:t>lch, 2002)</w:t>
      </w:r>
      <w:r>
        <w:rPr>
          <w:lang w:val="en-US"/>
        </w:rPr>
        <w:t xml:space="preserve">. Ritter and Welch use a Fama and French framework to show that during the </w:t>
      </w:r>
      <w:r w:rsidR="006917E1">
        <w:rPr>
          <w:lang w:val="en-US"/>
        </w:rPr>
        <w:t>1980’s</w:t>
      </w:r>
      <w:r>
        <w:rPr>
          <w:lang w:val="en-US"/>
        </w:rPr>
        <w:t xml:space="preserve">, </w:t>
      </w:r>
      <w:r w:rsidR="006917E1">
        <w:rPr>
          <w:lang w:val="en-US"/>
        </w:rPr>
        <w:t>1990’s</w:t>
      </w:r>
      <w:r>
        <w:rPr>
          <w:lang w:val="en-US"/>
        </w:rPr>
        <w:t xml:space="preserve"> and especia</w:t>
      </w:r>
      <w:r w:rsidR="009C2F54">
        <w:rPr>
          <w:lang w:val="en-US"/>
        </w:rPr>
        <w:t>lly during the collapse of the Internet</w:t>
      </w:r>
      <w:r>
        <w:rPr>
          <w:lang w:val="en-US"/>
        </w:rPr>
        <w:t xml:space="preserve"> bubble, </w:t>
      </w:r>
      <w:r w:rsidR="0030498B">
        <w:rPr>
          <w:lang w:val="en-US"/>
        </w:rPr>
        <w:t>IPO</w:t>
      </w:r>
      <w:r>
        <w:rPr>
          <w:lang w:val="en-US"/>
        </w:rPr>
        <w:t xml:space="preserve"> stocks significantly underperformed their peers.  </w:t>
      </w:r>
    </w:p>
    <w:p w:rsidR="007675A0" w:rsidRPr="00BB0DBC" w:rsidRDefault="007675A0" w:rsidP="00BB0DBC">
      <w:pPr>
        <w:spacing w:line="360" w:lineRule="auto"/>
        <w:rPr>
          <w:lang w:val="en-US"/>
        </w:rPr>
      </w:pPr>
      <w:r>
        <w:rPr>
          <w:lang w:val="en-US"/>
        </w:rPr>
        <w:t xml:space="preserve">Ruud (1993) states that if IPOs </w:t>
      </w:r>
      <w:r w:rsidR="00F60D5F">
        <w:rPr>
          <w:lang w:val="en-US"/>
        </w:rPr>
        <w:t>were</w:t>
      </w:r>
      <w:r>
        <w:rPr>
          <w:lang w:val="en-US"/>
        </w:rPr>
        <w:t xml:space="preserve"> underpriced deliberately, like in Rock’s model or signaling models, the amount of underpricing for al</w:t>
      </w:r>
      <w:r w:rsidR="009C2F54">
        <w:rPr>
          <w:lang w:val="en-US"/>
        </w:rPr>
        <w:t>l IPOs should form a normal</w:t>
      </w:r>
      <w:r>
        <w:rPr>
          <w:lang w:val="en-US"/>
        </w:rPr>
        <w:t xml:space="preserve"> distribution around a positive mean. Ruud </w:t>
      </w:r>
      <w:r w:rsidR="00660CEA">
        <w:rPr>
          <w:lang w:val="en-US"/>
        </w:rPr>
        <w:t>however</w:t>
      </w:r>
      <w:r>
        <w:rPr>
          <w:lang w:val="en-US"/>
        </w:rPr>
        <w:t xml:space="preserve"> states that the observed distribution peaks around zero and hardly has a left tail. She states that price support after the </w:t>
      </w:r>
      <w:r w:rsidR="0030498B">
        <w:rPr>
          <w:lang w:val="en-US"/>
        </w:rPr>
        <w:t>IPO</w:t>
      </w:r>
      <w:r>
        <w:rPr>
          <w:lang w:val="en-US"/>
        </w:rPr>
        <w:t>, keeps IPOs from earning negative first day returns. Ruud therefore states that price support can cause positive underpricing on average even if underwriters price issuing firms at their true value on average. The data used by Ruud show</w:t>
      </w:r>
      <w:r w:rsidR="00655A29">
        <w:rPr>
          <w:lang w:val="en-US"/>
        </w:rPr>
        <w:t>s</w:t>
      </w:r>
      <w:r>
        <w:rPr>
          <w:lang w:val="en-US"/>
        </w:rPr>
        <w:t xml:space="preserve"> that in the long run (when price support stops)</w:t>
      </w:r>
      <w:r w:rsidR="00655A29">
        <w:rPr>
          <w:lang w:val="en-US"/>
        </w:rPr>
        <w:t>,</w:t>
      </w:r>
      <w:r>
        <w:rPr>
          <w:lang w:val="en-US"/>
        </w:rPr>
        <w:t xml:space="preserve"> the distribution of the returns takes on the expected bell shaped form, with its peak at zero. According to </w:t>
      </w:r>
      <w:r w:rsidR="00835DB9">
        <w:rPr>
          <w:lang w:val="en-US"/>
        </w:rPr>
        <w:t xml:space="preserve">Ruud the </w:t>
      </w:r>
      <w:r>
        <w:rPr>
          <w:lang w:val="en-US"/>
        </w:rPr>
        <w:t xml:space="preserve">evidence disputes the common knowledge that </w:t>
      </w:r>
      <w:r w:rsidR="00835DB9">
        <w:rPr>
          <w:lang w:val="en-US"/>
        </w:rPr>
        <w:t>IPOs are underpriced on average and explains why IPOs underperform in the long run.</w:t>
      </w:r>
    </w:p>
    <w:p w:rsidR="007675A0" w:rsidRPr="00440001" w:rsidRDefault="007675A0" w:rsidP="007675A0">
      <w:pPr>
        <w:spacing w:after="0" w:line="360" w:lineRule="auto"/>
        <w:rPr>
          <w:lang w:val="en-US"/>
        </w:rPr>
      </w:pPr>
      <w:r w:rsidRPr="00601DDB">
        <w:rPr>
          <w:lang w:val="en-US"/>
        </w:rPr>
        <w:t>Derrien (2005) also states that IPOs might not be underpriced</w:t>
      </w:r>
      <w:r w:rsidR="00C27C73">
        <w:rPr>
          <w:lang w:val="en-US"/>
        </w:rPr>
        <w:t xml:space="preserve"> in the long run</w:t>
      </w:r>
      <w:r>
        <w:rPr>
          <w:lang w:val="en-US"/>
        </w:rPr>
        <w:t xml:space="preserve">. He proposes a model in which underwriters state the offer price between the intrinsic value of the company and the price bullish investors are willing to pay. Since </w:t>
      </w:r>
      <w:r w:rsidR="0030498B">
        <w:rPr>
          <w:lang w:val="en-US"/>
        </w:rPr>
        <w:t>IPO</w:t>
      </w:r>
      <w:r>
        <w:rPr>
          <w:lang w:val="en-US"/>
        </w:rPr>
        <w:t xml:space="preserve"> stocks are constraint in short selling, the overoptimistic sentiment cannot be immediately corrected in the aftermarket. Derrien believes that this situation is beneficial to informed traders who flip their </w:t>
      </w:r>
      <w:r w:rsidR="0030498B">
        <w:rPr>
          <w:lang w:val="en-US"/>
        </w:rPr>
        <w:t>IPO</w:t>
      </w:r>
      <w:r>
        <w:rPr>
          <w:lang w:val="en-US"/>
        </w:rPr>
        <w:t xml:space="preserve"> in the aftermarket. In this framework</w:t>
      </w:r>
      <w:r w:rsidR="009C2F54">
        <w:rPr>
          <w:lang w:val="en-US"/>
        </w:rPr>
        <w:t>,</w:t>
      </w:r>
      <w:r>
        <w:rPr>
          <w:lang w:val="en-US"/>
        </w:rPr>
        <w:t xml:space="preserve"> money left on the table is a burden for bullish investors who hold on to their shares. Derrien uses a dataset of Fre</w:t>
      </w:r>
      <w:r w:rsidR="00BB0DBC">
        <w:rPr>
          <w:lang w:val="en-US"/>
        </w:rPr>
        <w:t>nch IPOs to show that retail</w:t>
      </w:r>
      <w:r>
        <w:rPr>
          <w:lang w:val="en-US"/>
        </w:rPr>
        <w:t xml:space="preserve"> (non institutional, so uninformed) investor demand is positively related to first day returns and negatively related to long run performance. This evidence supports Derrien’s model.</w:t>
      </w:r>
      <w:r>
        <w:rPr>
          <w:b/>
          <w:bCs/>
          <w:sz w:val="20"/>
          <w:szCs w:val="20"/>
          <w:lang w:val="en-US"/>
        </w:rPr>
        <w:br w:type="page"/>
      </w:r>
    </w:p>
    <w:p w:rsidR="007675A0" w:rsidRPr="009C10C7" w:rsidRDefault="009C10C7" w:rsidP="009C10C7">
      <w:pPr>
        <w:ind w:left="426"/>
        <w:outlineLvl w:val="0"/>
        <w:rPr>
          <w:b/>
          <w:lang w:val="en-US"/>
        </w:rPr>
      </w:pPr>
      <w:r>
        <w:rPr>
          <w:b/>
          <w:lang w:val="en-US"/>
        </w:rPr>
        <w:lastRenderedPageBreak/>
        <w:t>3.6.</w:t>
      </w:r>
      <w:r>
        <w:rPr>
          <w:b/>
          <w:lang w:val="en-US"/>
        </w:rPr>
        <w:tab/>
      </w:r>
      <w:r w:rsidR="007675A0" w:rsidRPr="009C10C7">
        <w:rPr>
          <w:b/>
          <w:lang w:val="en-US"/>
        </w:rPr>
        <w:t xml:space="preserve"> </w:t>
      </w:r>
      <w:bookmarkStart w:id="16" w:name="_Toc280276113"/>
      <w:r w:rsidR="007675A0" w:rsidRPr="009C10C7">
        <w:rPr>
          <w:b/>
          <w:lang w:val="en-US"/>
        </w:rPr>
        <w:t>Summary</w:t>
      </w:r>
      <w:bookmarkEnd w:id="16"/>
    </w:p>
    <w:p w:rsidR="007675A0" w:rsidRDefault="007675A0" w:rsidP="007675A0">
      <w:pPr>
        <w:spacing w:line="360" w:lineRule="auto"/>
        <w:rPr>
          <w:lang w:val="en-US"/>
        </w:rPr>
      </w:pPr>
      <w:r w:rsidRPr="004B5746">
        <w:rPr>
          <w:lang w:val="en-US"/>
        </w:rPr>
        <w:t>Firms go public to</w:t>
      </w:r>
      <w:r>
        <w:rPr>
          <w:lang w:val="en-US"/>
        </w:rPr>
        <w:t xml:space="preserve"> diversify their holdings, raise capital, cash in on their investments, create a liquid market for their shares, create publicity for the firm and finance growth. Recent surveys show that especially the last two reasons provide strong incentives to go public.</w:t>
      </w:r>
    </w:p>
    <w:p w:rsidR="007675A0" w:rsidRPr="000A3ACA" w:rsidRDefault="007675A0" w:rsidP="007675A0">
      <w:pPr>
        <w:spacing w:line="360" w:lineRule="auto"/>
        <w:rPr>
          <w:lang w:val="en-US"/>
        </w:rPr>
      </w:pPr>
      <w:r>
        <w:rPr>
          <w:lang w:val="en-US"/>
        </w:rPr>
        <w:t xml:space="preserve">To assist firms in going public, firms hire (an) investment bank(s). The most common contract between a </w:t>
      </w:r>
      <w:r w:rsidRPr="000A3ACA">
        <w:rPr>
          <w:lang w:val="en-US"/>
        </w:rPr>
        <w:t xml:space="preserve">bank and an issuing firm is the </w:t>
      </w:r>
      <w:r w:rsidR="00F60C96">
        <w:rPr>
          <w:lang w:val="en-US"/>
        </w:rPr>
        <w:t>Firm Commitment</w:t>
      </w:r>
      <w:r w:rsidRPr="000A3ACA">
        <w:rPr>
          <w:lang w:val="en-US"/>
        </w:rPr>
        <w:t xml:space="preserve"> contract. In a </w:t>
      </w:r>
      <w:r w:rsidR="00F60C96">
        <w:rPr>
          <w:lang w:val="en-US"/>
        </w:rPr>
        <w:t>Firm Commitment</w:t>
      </w:r>
      <w:r w:rsidRPr="000A3ACA">
        <w:rPr>
          <w:lang w:val="en-US"/>
        </w:rPr>
        <w:t xml:space="preserve"> contract the und</w:t>
      </w:r>
      <w:r>
        <w:rPr>
          <w:lang w:val="en-US"/>
        </w:rPr>
        <w:t>erwriter(s) agree(s) to purchase</w:t>
      </w:r>
      <w:r w:rsidRPr="000A3ACA">
        <w:rPr>
          <w:lang w:val="en-US"/>
        </w:rPr>
        <w:t xml:space="preserve"> all the shares at a price slightly below the offering price. The spr</w:t>
      </w:r>
      <w:r w:rsidR="009C2F54">
        <w:rPr>
          <w:lang w:val="en-US"/>
        </w:rPr>
        <w:t>ead between these two prices is</w:t>
      </w:r>
      <w:r w:rsidRPr="000A3ACA">
        <w:rPr>
          <w:lang w:val="en-US"/>
        </w:rPr>
        <w:t xml:space="preserve"> the profit for the investment </w:t>
      </w:r>
      <w:r>
        <w:rPr>
          <w:lang w:val="en-US"/>
        </w:rPr>
        <w:t xml:space="preserve">bank. The investment bank uses </w:t>
      </w:r>
      <w:r w:rsidR="00660CEA">
        <w:rPr>
          <w:lang w:val="en-US"/>
        </w:rPr>
        <w:t>Book Building</w:t>
      </w:r>
      <w:r w:rsidRPr="000A3ACA">
        <w:rPr>
          <w:lang w:val="en-US"/>
        </w:rPr>
        <w:t xml:space="preserve"> and </w:t>
      </w:r>
      <w:r>
        <w:rPr>
          <w:lang w:val="en-US"/>
        </w:rPr>
        <w:t>R</w:t>
      </w:r>
      <w:r w:rsidRPr="000A3ACA">
        <w:rPr>
          <w:lang w:val="en-US"/>
        </w:rPr>
        <w:t>oad</w:t>
      </w:r>
      <w:r>
        <w:rPr>
          <w:lang w:val="en-US"/>
        </w:rPr>
        <w:t xml:space="preserve"> S</w:t>
      </w:r>
      <w:r w:rsidRPr="000A3ACA">
        <w:rPr>
          <w:lang w:val="en-US"/>
        </w:rPr>
        <w:t xml:space="preserve">hows to solicit information from investors. </w:t>
      </w:r>
    </w:p>
    <w:p w:rsidR="007675A0" w:rsidRPr="000A3ACA" w:rsidRDefault="007675A0" w:rsidP="007675A0">
      <w:pPr>
        <w:spacing w:line="360" w:lineRule="auto"/>
        <w:rPr>
          <w:lang w:val="en-US"/>
        </w:rPr>
      </w:pPr>
      <w:r w:rsidRPr="000A3ACA">
        <w:rPr>
          <w:lang w:val="en-US"/>
        </w:rPr>
        <w:t xml:space="preserve">Underpricing is a common phenomenon in </w:t>
      </w:r>
      <w:r w:rsidR="0030498B">
        <w:rPr>
          <w:lang w:val="en-US"/>
        </w:rPr>
        <w:t>IPO</w:t>
      </w:r>
      <w:r w:rsidRPr="000A3ACA">
        <w:rPr>
          <w:lang w:val="en-US"/>
        </w:rPr>
        <w:t xml:space="preserve"> literature. Underpricing is money left on the table for pre-</w:t>
      </w:r>
      <w:r w:rsidR="0030498B">
        <w:rPr>
          <w:lang w:val="en-US"/>
        </w:rPr>
        <w:t>IPO</w:t>
      </w:r>
      <w:r w:rsidRPr="000A3ACA">
        <w:rPr>
          <w:lang w:val="en-US"/>
        </w:rPr>
        <w:t xml:space="preserve"> shareholders. The amount of underpricing was 18.8% on average in the last decades and was especially high during the </w:t>
      </w:r>
      <w:r w:rsidR="009C2F54">
        <w:rPr>
          <w:lang w:val="en-US"/>
        </w:rPr>
        <w:t>Internet</w:t>
      </w:r>
      <w:r w:rsidRPr="000A3ACA">
        <w:rPr>
          <w:lang w:val="en-US"/>
        </w:rPr>
        <w:t xml:space="preserve"> bubble. </w:t>
      </w:r>
    </w:p>
    <w:p w:rsidR="007675A0" w:rsidRDefault="007675A0" w:rsidP="007675A0">
      <w:pPr>
        <w:spacing w:line="360" w:lineRule="auto"/>
        <w:rPr>
          <w:lang w:val="en-US"/>
        </w:rPr>
      </w:pPr>
      <w:r>
        <w:rPr>
          <w:lang w:val="en-US"/>
        </w:rPr>
        <w:t>The literature review discusses</w:t>
      </w:r>
      <w:r w:rsidRPr="000A3ACA">
        <w:rPr>
          <w:lang w:val="en-US"/>
        </w:rPr>
        <w:t xml:space="preserve"> several papers that try to explain why IPOs are underpriced. Most of these models base their basic assumptions on Rock’s</w:t>
      </w:r>
      <w:r>
        <w:rPr>
          <w:lang w:val="en-US"/>
        </w:rPr>
        <w:t xml:space="preserve"> (Rock, 1986)</w:t>
      </w:r>
      <w:r w:rsidRPr="000A3ACA">
        <w:rPr>
          <w:lang w:val="en-US"/>
        </w:rPr>
        <w:t xml:space="preserve"> model. In Rock’s model investors face a so called </w:t>
      </w:r>
      <w:r w:rsidR="00E174CF">
        <w:rPr>
          <w:lang w:val="en-US"/>
        </w:rPr>
        <w:t>Winner’s Curse</w:t>
      </w:r>
      <w:r w:rsidRPr="000A3ACA">
        <w:rPr>
          <w:lang w:val="en-US"/>
        </w:rPr>
        <w:t xml:space="preserve"> in whic</w:t>
      </w:r>
      <w:r>
        <w:rPr>
          <w:lang w:val="en-US"/>
        </w:rPr>
        <w:t>h uninformed investors</w:t>
      </w:r>
      <w:r w:rsidRPr="000A3ACA">
        <w:rPr>
          <w:lang w:val="en-US"/>
        </w:rPr>
        <w:t xml:space="preserve"> get rationed when shares are underpriced, but get their full order when shares are overpriced. Underpricing acts as compensation for this adverse selection problem. Carter and Manaster (1990) extend this reasoning by stating that investors have limited resources with regards to information gathering and that informed investors mostly cluster around risky IPOs. They state that this gives an incentive to issuers to signal low riskiness. Issuers can signal this by hiring top tier investment banks. Carter and Manaster therefore state that top tier investment banks should be associated with less underpricing. </w:t>
      </w:r>
    </w:p>
    <w:p w:rsidR="007675A0" w:rsidRDefault="007675A0" w:rsidP="007675A0">
      <w:pPr>
        <w:spacing w:line="360" w:lineRule="auto"/>
        <w:rPr>
          <w:lang w:val="en-US"/>
        </w:rPr>
      </w:pPr>
      <w:r w:rsidRPr="00717C65">
        <w:rPr>
          <w:lang w:val="en-US"/>
        </w:rPr>
        <w:t>Habib and Ljungqvist (2001)</w:t>
      </w:r>
      <w:r>
        <w:rPr>
          <w:lang w:val="en-US"/>
        </w:rPr>
        <w:t xml:space="preserve"> also base their statement on Rock’s information asymmetry problem. They state </w:t>
      </w:r>
      <w:r w:rsidR="00660CEA">
        <w:rPr>
          <w:lang w:val="en-US"/>
        </w:rPr>
        <w:t>however,</w:t>
      </w:r>
      <w:r>
        <w:rPr>
          <w:lang w:val="en-US"/>
        </w:rPr>
        <w:t xml:space="preserve"> that the asymmetry can be reduced with promotion. The authors tests and find </w:t>
      </w:r>
      <w:r w:rsidR="00BB0DBC">
        <w:rPr>
          <w:lang w:val="en-US"/>
        </w:rPr>
        <w:t xml:space="preserve">evidence </w:t>
      </w:r>
      <w:r w:rsidR="00C27C73">
        <w:rPr>
          <w:lang w:val="en-US"/>
        </w:rPr>
        <w:t>that u</w:t>
      </w:r>
      <w:r w:rsidRPr="00717C65">
        <w:rPr>
          <w:lang w:val="en-US"/>
        </w:rPr>
        <w:t>nderpricing is neg</w:t>
      </w:r>
      <w:r w:rsidR="00BB0DBC">
        <w:rPr>
          <w:lang w:val="en-US"/>
        </w:rPr>
        <w:t>atively related to promotion, p</w:t>
      </w:r>
      <w:r w:rsidRPr="00717C65">
        <w:rPr>
          <w:lang w:val="en-US"/>
        </w:rPr>
        <w:t>romotion costs are positively rel</w:t>
      </w:r>
      <w:r w:rsidR="00BB0DBC">
        <w:rPr>
          <w:lang w:val="en-US"/>
        </w:rPr>
        <w:t xml:space="preserve">ated to the size of the </w:t>
      </w:r>
      <w:r w:rsidR="0030498B">
        <w:rPr>
          <w:lang w:val="en-US"/>
        </w:rPr>
        <w:t>IPO</w:t>
      </w:r>
      <w:r w:rsidR="00BB0DBC">
        <w:rPr>
          <w:lang w:val="en-US"/>
        </w:rPr>
        <w:t xml:space="preserve"> and u</w:t>
      </w:r>
      <w:r w:rsidRPr="00717C65">
        <w:rPr>
          <w:lang w:val="en-US"/>
        </w:rPr>
        <w:t>nderpricing is negatively related to insider selling.</w:t>
      </w:r>
      <w:r>
        <w:rPr>
          <w:lang w:val="en-US"/>
        </w:rPr>
        <w:t xml:space="preserve"> </w:t>
      </w:r>
    </w:p>
    <w:p w:rsidR="007675A0" w:rsidRPr="00717C65" w:rsidRDefault="007675A0" w:rsidP="007675A0">
      <w:pPr>
        <w:spacing w:line="360" w:lineRule="auto"/>
        <w:rPr>
          <w:lang w:val="en-US"/>
        </w:rPr>
      </w:pPr>
      <w:r>
        <w:rPr>
          <w:lang w:val="en-US"/>
        </w:rPr>
        <w:t>Welch (1989</w:t>
      </w:r>
      <w:r w:rsidRPr="00104579">
        <w:rPr>
          <w:lang w:val="en-US"/>
        </w:rPr>
        <w:t>) state</w:t>
      </w:r>
      <w:r>
        <w:rPr>
          <w:lang w:val="en-US"/>
        </w:rPr>
        <w:t>s</w:t>
      </w:r>
      <w:r w:rsidRPr="00104579">
        <w:rPr>
          <w:lang w:val="en-US"/>
        </w:rPr>
        <w:t xml:space="preserve"> that issue</w:t>
      </w:r>
      <w:r>
        <w:rPr>
          <w:lang w:val="en-US"/>
        </w:rPr>
        <w:t>rs might</w:t>
      </w:r>
      <w:r w:rsidRPr="00104579">
        <w:rPr>
          <w:lang w:val="en-US"/>
        </w:rPr>
        <w:t xml:space="preserve"> deliberately underprice shares</w:t>
      </w:r>
      <w:r>
        <w:rPr>
          <w:lang w:val="en-US"/>
        </w:rPr>
        <w:t xml:space="preserve"> to</w:t>
      </w:r>
      <w:r w:rsidRPr="00104579">
        <w:rPr>
          <w:lang w:val="en-US"/>
        </w:rPr>
        <w:t xml:space="preserve"> </w:t>
      </w:r>
      <w:r>
        <w:rPr>
          <w:lang w:val="en-US"/>
        </w:rPr>
        <w:t>signal good firm quality</w:t>
      </w:r>
      <w:r w:rsidRPr="00104579">
        <w:rPr>
          <w:lang w:val="en-US"/>
        </w:rPr>
        <w:t>.</w:t>
      </w:r>
      <w:r>
        <w:rPr>
          <w:lang w:val="en-US"/>
        </w:rPr>
        <w:t xml:space="preserve"> </w:t>
      </w:r>
      <w:r w:rsidR="00660CEA">
        <w:rPr>
          <w:lang w:val="en-US"/>
        </w:rPr>
        <w:t>However,</w:t>
      </w:r>
      <w:r>
        <w:rPr>
          <w:lang w:val="en-US"/>
        </w:rPr>
        <w:t xml:space="preserve"> the evidence in support of this theory is mixed. </w:t>
      </w:r>
    </w:p>
    <w:p w:rsidR="007675A0" w:rsidRDefault="007675A0" w:rsidP="007675A0">
      <w:pPr>
        <w:spacing w:line="360" w:lineRule="auto"/>
        <w:rPr>
          <w:lang w:val="en-US"/>
        </w:rPr>
      </w:pPr>
      <w:r w:rsidRPr="00411B28">
        <w:rPr>
          <w:lang w:val="en-US"/>
        </w:rPr>
        <w:t>Michaely and Shaw (199</w:t>
      </w:r>
      <w:r>
        <w:rPr>
          <w:lang w:val="en-US"/>
        </w:rPr>
        <w:t>4</w:t>
      </w:r>
      <w:r w:rsidRPr="00411B28">
        <w:rPr>
          <w:lang w:val="en-US"/>
        </w:rPr>
        <w:t xml:space="preserve">) test the empirical implications of some of the models described </w:t>
      </w:r>
      <w:r>
        <w:rPr>
          <w:lang w:val="en-US"/>
        </w:rPr>
        <w:t>in the literature review. They find evidence for Rock’s model by showing that in the absence of informed investors, underpricing is not present. They also show that firms that underpr</w:t>
      </w:r>
      <w:r w:rsidR="00A02FE1">
        <w:rPr>
          <w:lang w:val="en-US"/>
        </w:rPr>
        <w:t xml:space="preserve">ice more, less </w:t>
      </w:r>
      <w:r w:rsidR="00A02FE1">
        <w:rPr>
          <w:lang w:val="en-US"/>
        </w:rPr>
        <w:lastRenderedPageBreak/>
        <w:t>frequently issue</w:t>
      </w:r>
      <w:r>
        <w:rPr>
          <w:lang w:val="en-US"/>
        </w:rPr>
        <w:t xml:space="preserve"> SEOs and firms that underprice less, experience higher earnings and pay more dividend, which is inconsistent with Welch’ signaling hypothesis.</w:t>
      </w:r>
    </w:p>
    <w:p w:rsidR="007675A0" w:rsidRDefault="007675A0" w:rsidP="007675A0">
      <w:pPr>
        <w:spacing w:line="360" w:lineRule="auto"/>
        <w:rPr>
          <w:lang w:val="en-US"/>
        </w:rPr>
      </w:pPr>
      <w:r w:rsidRPr="002B30F3">
        <w:rPr>
          <w:lang w:val="en-US"/>
        </w:rPr>
        <w:t>Benveniste and Spindt (1989)</w:t>
      </w:r>
      <w:r w:rsidRPr="00C7554E">
        <w:rPr>
          <w:color w:val="FF6600"/>
          <w:lang w:val="en-US"/>
        </w:rPr>
        <w:t xml:space="preserve"> </w:t>
      </w:r>
      <w:r>
        <w:rPr>
          <w:lang w:val="en-US"/>
        </w:rPr>
        <w:t xml:space="preserve">argue that investors might have superior information and that </w:t>
      </w:r>
      <w:r w:rsidR="00660CEA">
        <w:rPr>
          <w:lang w:val="en-US"/>
        </w:rPr>
        <w:t>Book Building</w:t>
      </w:r>
      <w:r>
        <w:rPr>
          <w:lang w:val="en-US"/>
        </w:rPr>
        <w:t xml:space="preserve"> allows underwriters to gather information on the investors’ demand curve. If investors indicate strong demand, the offering price will be higher. Therefore</w:t>
      </w:r>
      <w:r w:rsidR="00660CEA">
        <w:rPr>
          <w:lang w:val="en-US"/>
        </w:rPr>
        <w:t>,</w:t>
      </w:r>
      <w:r>
        <w:rPr>
          <w:lang w:val="en-US"/>
        </w:rPr>
        <w:t xml:space="preserve"> investors have an incentive to ‘low ball’ their initial offers. In order to reduce this problem investment banks reward investors’ honesty with subsequent allocations and underpricing.</w:t>
      </w:r>
    </w:p>
    <w:p w:rsidR="007675A0" w:rsidRPr="00C27C73" w:rsidRDefault="007675A0" w:rsidP="007675A0">
      <w:pPr>
        <w:spacing w:line="360" w:lineRule="auto"/>
        <w:rPr>
          <w:lang w:val="en-US"/>
        </w:rPr>
      </w:pPr>
      <w:r>
        <w:rPr>
          <w:lang w:val="en-US"/>
        </w:rPr>
        <w:t xml:space="preserve">According </w:t>
      </w:r>
      <w:r w:rsidR="00BB0DBC">
        <w:rPr>
          <w:lang w:val="en-US"/>
        </w:rPr>
        <w:t xml:space="preserve">to Ritter and Welch (2002), </w:t>
      </w:r>
      <w:r w:rsidR="00660CEA">
        <w:rPr>
          <w:lang w:val="en-US"/>
        </w:rPr>
        <w:t>Book Building</w:t>
      </w:r>
      <w:r>
        <w:rPr>
          <w:lang w:val="en-US"/>
        </w:rPr>
        <w:t xml:space="preserve"> theories fit the empirical data very well. Hanley (1993) finds that investment banks do not fully adjust prices upwards when they receive favorable information. Her empirical evidence shows that IPOs tend to be underpriced by an above average amount when the share price was revised upwards. </w:t>
      </w:r>
      <w:proofErr w:type="gramStart"/>
      <w:r>
        <w:rPr>
          <w:lang w:val="en-US"/>
        </w:rPr>
        <w:t>Ritter and Welch</w:t>
      </w:r>
      <w:r w:rsidR="00A02FE1">
        <w:rPr>
          <w:lang w:val="en-US"/>
        </w:rPr>
        <w:t xml:space="preserve"> (2002)</w:t>
      </w:r>
      <w:r>
        <w:rPr>
          <w:lang w:val="en-US"/>
        </w:rPr>
        <w:t xml:space="preserve"> report that this pattern is consistent throughout the </w:t>
      </w:r>
      <w:r w:rsidR="006917E1">
        <w:rPr>
          <w:lang w:val="en-US"/>
        </w:rPr>
        <w:t>1980’s</w:t>
      </w:r>
      <w:r>
        <w:rPr>
          <w:lang w:val="en-US"/>
        </w:rPr>
        <w:t xml:space="preserve"> and </w:t>
      </w:r>
      <w:r w:rsidR="006917E1">
        <w:rPr>
          <w:lang w:val="en-US"/>
        </w:rPr>
        <w:t>1990’s</w:t>
      </w:r>
      <w:r>
        <w:rPr>
          <w:lang w:val="en-US"/>
        </w:rPr>
        <w:t>.</w:t>
      </w:r>
      <w:proofErr w:type="gramEnd"/>
      <w:r w:rsidR="00C27C73">
        <w:rPr>
          <w:lang w:val="en-US"/>
        </w:rPr>
        <w:t xml:space="preserve"> </w:t>
      </w:r>
      <w:r w:rsidR="00A02FE1">
        <w:rPr>
          <w:lang w:val="en-US"/>
        </w:rPr>
        <w:t>Conversly,</w:t>
      </w:r>
      <w:r w:rsidRPr="00053A73">
        <w:rPr>
          <w:lang w:val="en-US"/>
        </w:rPr>
        <w:t xml:space="preserve"> Ritter and Welch (2002) believe that </w:t>
      </w:r>
      <w:r w:rsidR="00660CEA">
        <w:rPr>
          <w:lang w:val="en-US"/>
        </w:rPr>
        <w:t>Book Building</w:t>
      </w:r>
      <w:r w:rsidRPr="00053A73">
        <w:rPr>
          <w:lang w:val="en-US"/>
        </w:rPr>
        <w:t xml:space="preserve"> theory can explain underpricing of a few percent. They believe that the </w:t>
      </w:r>
      <w:r>
        <w:rPr>
          <w:lang w:val="en-US"/>
        </w:rPr>
        <w:t xml:space="preserve">observed size of average underpricing is too </w:t>
      </w:r>
      <w:r w:rsidRPr="00053A73">
        <w:rPr>
          <w:lang w:val="en-US"/>
        </w:rPr>
        <w:t>large to be fully explained as compensation for revealing information.</w:t>
      </w:r>
      <w:r>
        <w:rPr>
          <w:color w:val="FF6600"/>
          <w:lang w:val="en-US"/>
        </w:rPr>
        <w:t xml:space="preserve"> </w:t>
      </w:r>
    </w:p>
    <w:p w:rsidR="007675A0" w:rsidRPr="00C27C73" w:rsidRDefault="007675A0" w:rsidP="007675A0">
      <w:pPr>
        <w:spacing w:line="360" w:lineRule="auto"/>
        <w:rPr>
          <w:lang w:val="en-US"/>
        </w:rPr>
      </w:pPr>
      <w:r w:rsidRPr="00244B11">
        <w:rPr>
          <w:lang w:val="en-US"/>
        </w:rPr>
        <w:t>Loughran and Ritter (2002</w:t>
      </w:r>
      <w:r w:rsidR="00BB0DBC">
        <w:rPr>
          <w:lang w:val="en-US"/>
        </w:rPr>
        <w:t xml:space="preserve">) provide an </w:t>
      </w:r>
      <w:r w:rsidR="00C27C73">
        <w:rPr>
          <w:lang w:val="en-US"/>
        </w:rPr>
        <w:t xml:space="preserve">alternative </w:t>
      </w:r>
      <w:r w:rsidR="00BB0DBC">
        <w:rPr>
          <w:lang w:val="en-US"/>
        </w:rPr>
        <w:t>explanation why</w:t>
      </w:r>
      <w:r w:rsidRPr="00244B11">
        <w:rPr>
          <w:lang w:val="en-US"/>
        </w:rPr>
        <w:t xml:space="preserve"> prices are not fully revised upwards when new information becomes available</w:t>
      </w:r>
      <w:r>
        <w:rPr>
          <w:lang w:val="en-US"/>
        </w:rPr>
        <w:t>, called prospect theory</w:t>
      </w:r>
      <w:r w:rsidRPr="00244B11">
        <w:rPr>
          <w:lang w:val="en-US"/>
        </w:rPr>
        <w:t>.</w:t>
      </w:r>
      <w:r>
        <w:rPr>
          <w:lang w:val="en-US"/>
        </w:rPr>
        <w:t xml:space="preserve"> Loughran and Ritter argue that issuers are less concerned about underpricing when offer prices are revised upwards, since their personal wealth has also increased</w:t>
      </w:r>
      <w:r w:rsidR="009D77FA">
        <w:rPr>
          <w:lang w:val="en-US"/>
        </w:rPr>
        <w:t>,</w:t>
      </w:r>
      <w:r>
        <w:rPr>
          <w:lang w:val="en-US"/>
        </w:rPr>
        <w:t xml:space="preserve"> due to a higher value of their retained shares. Therefore</w:t>
      </w:r>
      <w:r w:rsidR="00660CEA">
        <w:rPr>
          <w:lang w:val="en-US"/>
        </w:rPr>
        <w:t>,</w:t>
      </w:r>
      <w:r>
        <w:rPr>
          <w:lang w:val="en-US"/>
        </w:rPr>
        <w:t xml:space="preserve"> they reduce their monitoring behavior</w:t>
      </w:r>
      <w:r w:rsidR="00A02FE1">
        <w:rPr>
          <w:lang w:val="en-US"/>
        </w:rPr>
        <w:t>, thus</w:t>
      </w:r>
      <w:r>
        <w:rPr>
          <w:lang w:val="en-US"/>
        </w:rPr>
        <w:t xml:space="preserve"> allowing underwriters to underprice more.</w:t>
      </w:r>
      <w:r w:rsidR="00A02FE1">
        <w:rPr>
          <w:lang w:val="en-US"/>
        </w:rPr>
        <w:t xml:space="preserve"> </w:t>
      </w:r>
      <w:proofErr w:type="gramStart"/>
      <w:r w:rsidR="00A02FE1" w:rsidRPr="00107B0E">
        <w:rPr>
          <w:lang w:val="en-US"/>
        </w:rPr>
        <w:t xml:space="preserve">Loughran and Ritter (2002) state that </w:t>
      </w:r>
      <w:r w:rsidR="00A02FE1">
        <w:rPr>
          <w:lang w:val="en-US"/>
        </w:rPr>
        <w:t>u</w:t>
      </w:r>
      <w:r w:rsidR="00A02FE1" w:rsidRPr="00107B0E">
        <w:rPr>
          <w:lang w:val="en-US"/>
        </w:rPr>
        <w:t>nderwriters might leave substantial amounts of money on the table to benefit some investors.</w:t>
      </w:r>
      <w:proofErr w:type="gramEnd"/>
      <w:r w:rsidR="00A02FE1" w:rsidRPr="00107B0E">
        <w:rPr>
          <w:lang w:val="en-US"/>
        </w:rPr>
        <w:t xml:space="preserve"> Investors who receive allocations of underpriced shares reward investment banks with business such </w:t>
      </w:r>
      <w:r w:rsidR="00C27C73">
        <w:rPr>
          <w:lang w:val="en-US"/>
        </w:rPr>
        <w:t>as trading commissions,</w:t>
      </w:r>
      <w:r w:rsidR="00A02FE1">
        <w:rPr>
          <w:lang w:val="en-US"/>
        </w:rPr>
        <w:t xml:space="preserve"> SEOs</w:t>
      </w:r>
      <w:r w:rsidR="00C27C73">
        <w:rPr>
          <w:lang w:val="en-US"/>
        </w:rPr>
        <w:t xml:space="preserve"> and subsequent IPOs</w:t>
      </w:r>
      <w:r w:rsidR="00A02FE1">
        <w:rPr>
          <w:lang w:val="en-US"/>
        </w:rPr>
        <w:t>.</w:t>
      </w:r>
    </w:p>
    <w:p w:rsidR="007675A0" w:rsidRDefault="00A02FE1" w:rsidP="007675A0">
      <w:pPr>
        <w:spacing w:line="360" w:lineRule="auto"/>
        <w:rPr>
          <w:lang w:val="en-US"/>
        </w:rPr>
      </w:pPr>
      <w:r>
        <w:rPr>
          <w:lang w:val="en-US"/>
        </w:rPr>
        <w:t>In Baron’s model (</w:t>
      </w:r>
      <w:r w:rsidR="000171F4">
        <w:rPr>
          <w:lang w:val="en-US"/>
        </w:rPr>
        <w:t xml:space="preserve">Baron, </w:t>
      </w:r>
      <w:r>
        <w:rPr>
          <w:lang w:val="en-US"/>
        </w:rPr>
        <w:t>1982), i</w:t>
      </w:r>
      <w:r w:rsidR="007675A0">
        <w:rPr>
          <w:lang w:val="en-US"/>
        </w:rPr>
        <w:t xml:space="preserve">ssuers </w:t>
      </w:r>
      <w:r w:rsidR="007675A0" w:rsidRPr="009A2108">
        <w:rPr>
          <w:lang w:val="en-US"/>
        </w:rPr>
        <w:t xml:space="preserve">face a tradeoff between underpricing and monitoring the underwriter. Underwriters use promotional efforts to create demand for the </w:t>
      </w:r>
      <w:r w:rsidR="0030498B">
        <w:rPr>
          <w:lang w:val="en-US"/>
        </w:rPr>
        <w:t>IPO</w:t>
      </w:r>
      <w:r w:rsidR="007675A0" w:rsidRPr="009A2108">
        <w:rPr>
          <w:lang w:val="en-US"/>
        </w:rPr>
        <w:t xml:space="preserve">, </w:t>
      </w:r>
      <w:r>
        <w:rPr>
          <w:lang w:val="en-US"/>
        </w:rPr>
        <w:t>but</w:t>
      </w:r>
      <w:r w:rsidR="007675A0" w:rsidRPr="009A2108">
        <w:rPr>
          <w:lang w:val="en-US"/>
        </w:rPr>
        <w:t xml:space="preserve"> these efforts are costly for a bank. In order to make sure</w:t>
      </w:r>
      <w:r>
        <w:rPr>
          <w:lang w:val="en-US"/>
        </w:rPr>
        <w:t xml:space="preserve"> that</w:t>
      </w:r>
      <w:r w:rsidR="007675A0" w:rsidRPr="009A2108">
        <w:rPr>
          <w:lang w:val="en-US"/>
        </w:rPr>
        <w:t xml:space="preserve"> the investment bank puts in the right amount of effort in marketing the shares, the issuer </w:t>
      </w:r>
      <w:r w:rsidR="007675A0">
        <w:rPr>
          <w:lang w:val="en-US"/>
        </w:rPr>
        <w:t xml:space="preserve">monitors the underwriter. Because this monitoring is costly, the issuer </w:t>
      </w:r>
      <w:r w:rsidR="007675A0" w:rsidRPr="009A2108">
        <w:rPr>
          <w:lang w:val="en-US"/>
        </w:rPr>
        <w:t>may all</w:t>
      </w:r>
      <w:r w:rsidR="007675A0">
        <w:rPr>
          <w:lang w:val="en-US"/>
        </w:rPr>
        <w:t xml:space="preserve">ow some underpricing. </w:t>
      </w:r>
    </w:p>
    <w:p w:rsidR="009C2F54" w:rsidRPr="00835DB9" w:rsidRDefault="007675A0" w:rsidP="00835DB9">
      <w:pPr>
        <w:spacing w:line="360" w:lineRule="auto"/>
        <w:rPr>
          <w:lang w:val="en-US"/>
        </w:rPr>
      </w:pPr>
      <w:r w:rsidRPr="009C358C">
        <w:rPr>
          <w:lang w:val="en-US"/>
        </w:rPr>
        <w:t xml:space="preserve">Other explanations of </w:t>
      </w:r>
      <w:r w:rsidR="0030498B">
        <w:rPr>
          <w:lang w:val="en-US"/>
        </w:rPr>
        <w:t>IPO</w:t>
      </w:r>
      <w:r w:rsidRPr="009C358C">
        <w:rPr>
          <w:lang w:val="en-US"/>
        </w:rPr>
        <w:t xml:space="preserve"> underpricing include the lawsuit avoidance hypothesis and the incentive investment bankers get from post </w:t>
      </w:r>
      <w:r w:rsidR="0030498B">
        <w:rPr>
          <w:lang w:val="en-US"/>
        </w:rPr>
        <w:t>IPO</w:t>
      </w:r>
      <w:r w:rsidRPr="009C358C">
        <w:rPr>
          <w:lang w:val="en-US"/>
        </w:rPr>
        <w:t xml:space="preserve"> trading profits.</w:t>
      </w:r>
      <w:r w:rsidR="00AB185F">
        <w:rPr>
          <w:lang w:val="en-GB"/>
        </w:rPr>
        <w:t>Table 1 gives an overview of the literature review.</w:t>
      </w:r>
    </w:p>
    <w:p w:rsidR="009C2F54" w:rsidRDefault="009C2F54">
      <w:pPr>
        <w:rPr>
          <w:lang w:val="en-GB"/>
        </w:rPr>
      </w:pPr>
      <w:r>
        <w:rPr>
          <w:lang w:val="en-GB"/>
        </w:rPr>
        <w:br w:type="page"/>
      </w:r>
    </w:p>
    <w:tbl>
      <w:tblPr>
        <w:tblpPr w:leftFromText="141" w:rightFromText="141" w:vertAnchor="text" w:horzAnchor="margin" w:tblpXSpec="right" w:tblpY="24"/>
        <w:tblW w:w="8520" w:type="dxa"/>
        <w:tblCellMar>
          <w:left w:w="70" w:type="dxa"/>
          <w:right w:w="70" w:type="dxa"/>
        </w:tblCellMar>
        <w:tblLook w:val="04A0"/>
      </w:tblPr>
      <w:tblGrid>
        <w:gridCol w:w="1380"/>
        <w:gridCol w:w="1569"/>
        <w:gridCol w:w="1459"/>
        <w:gridCol w:w="1380"/>
        <w:gridCol w:w="1380"/>
        <w:gridCol w:w="372"/>
        <w:gridCol w:w="500"/>
        <w:gridCol w:w="480"/>
      </w:tblGrid>
      <w:tr w:rsidR="009D3AFC" w:rsidRPr="00D57252" w:rsidTr="009D3AFC">
        <w:trPr>
          <w:trHeight w:val="1065"/>
        </w:trPr>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lastRenderedPageBreak/>
              <w:t xml:space="preserve">Habib &amp; Ljungqvist, </w:t>
            </w:r>
            <w:r w:rsidRPr="00D57252">
              <w:rPr>
                <w:rFonts w:ascii="Calibri" w:eastAsia="Times New Roman" w:hAnsi="Calibri" w:cs="Calibri"/>
                <w:color w:val="000000"/>
                <w:sz w:val="18"/>
                <w:szCs w:val="18"/>
                <w:lang w:eastAsia="nl-NL"/>
              </w:rPr>
              <w:br/>
              <w:t>2001</w:t>
            </w:r>
          </w:p>
        </w:tc>
        <w:tc>
          <w:tcPr>
            <w:tcW w:w="156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Hanley &amp; Wilhelm,</w:t>
            </w:r>
            <w:r w:rsidRPr="00D57252">
              <w:rPr>
                <w:rFonts w:ascii="Calibri" w:eastAsia="Times New Roman" w:hAnsi="Calibri" w:cs="Calibri"/>
                <w:color w:val="000000"/>
                <w:sz w:val="18"/>
                <w:szCs w:val="18"/>
                <w:lang w:eastAsia="nl-NL"/>
              </w:rPr>
              <w:br/>
              <w:t>1995</w:t>
            </w:r>
          </w:p>
        </w:tc>
        <w:tc>
          <w:tcPr>
            <w:tcW w:w="145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Carter &amp; Manaster,</w:t>
            </w:r>
            <w:r w:rsidRPr="00D57252">
              <w:rPr>
                <w:rFonts w:ascii="Calibri" w:eastAsia="Times New Roman" w:hAnsi="Calibri" w:cs="Calibri"/>
                <w:color w:val="000000"/>
                <w:sz w:val="18"/>
                <w:szCs w:val="18"/>
                <w:lang w:eastAsia="nl-NL"/>
              </w:rPr>
              <w:br/>
              <w:t>1990</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Beatty &amp; Ritter,</w:t>
            </w:r>
            <w:r w:rsidRPr="00D57252">
              <w:rPr>
                <w:rFonts w:ascii="Calibri" w:eastAsia="Times New Roman" w:hAnsi="Calibri" w:cs="Calibri"/>
                <w:color w:val="000000"/>
                <w:sz w:val="18"/>
                <w:szCs w:val="18"/>
                <w:lang w:eastAsia="nl-NL"/>
              </w:rPr>
              <w:br/>
              <w:t>1986</w:t>
            </w:r>
          </w:p>
        </w:tc>
        <w:tc>
          <w:tcPr>
            <w:tcW w:w="1380"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Rock, 1986</w:t>
            </w:r>
          </w:p>
        </w:tc>
        <w:tc>
          <w:tcPr>
            <w:tcW w:w="372"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Author</w:t>
            </w:r>
          </w:p>
        </w:tc>
        <w:tc>
          <w:tcPr>
            <w:tcW w:w="500" w:type="dxa"/>
            <w:vMerge w:val="restart"/>
            <w:tcBorders>
              <w:top w:val="nil"/>
              <w:left w:val="double" w:sz="6" w:space="0" w:color="auto"/>
              <w:bottom w:val="nil"/>
              <w:right w:val="single" w:sz="4" w:space="0" w:color="auto"/>
            </w:tcBorders>
            <w:shd w:val="clear" w:color="000000" w:fill="FFFFFF"/>
            <w:noWrap/>
            <w:textDirection w:val="tbRl"/>
            <w:vAlign w:val="center"/>
            <w:hideMark/>
          </w:tcPr>
          <w:p w:rsidR="009D3AFC" w:rsidRPr="00D57252" w:rsidRDefault="009D3AFC" w:rsidP="009D3AFC">
            <w:pPr>
              <w:spacing w:after="0" w:line="240" w:lineRule="auto"/>
              <w:jc w:val="center"/>
              <w:rPr>
                <w:rFonts w:ascii="Calibri" w:eastAsia="Times New Roman" w:hAnsi="Calibri" w:cs="Calibri"/>
                <w:b/>
                <w:bCs/>
                <w:color w:val="000000"/>
                <w:sz w:val="20"/>
                <w:szCs w:val="20"/>
                <w:lang w:val="en-US" w:eastAsia="nl-NL"/>
              </w:rPr>
            </w:pPr>
            <w:r w:rsidRPr="00D57252">
              <w:rPr>
                <w:rFonts w:ascii="Calibri" w:eastAsia="Times New Roman" w:hAnsi="Calibri" w:cs="Calibri"/>
                <w:b/>
                <w:bCs/>
                <w:color w:val="000000"/>
                <w:sz w:val="20"/>
                <w:szCs w:val="20"/>
                <w:lang w:val="en-US" w:eastAsia="nl-NL"/>
              </w:rPr>
              <w:t>Information asymmetry: Investors are less informed</w:t>
            </w:r>
          </w:p>
        </w:tc>
        <w:tc>
          <w:tcPr>
            <w:tcW w:w="480" w:type="dxa"/>
            <w:vMerge w:val="restart"/>
            <w:tcBorders>
              <w:top w:val="nil"/>
              <w:left w:val="nil"/>
              <w:bottom w:val="nil"/>
              <w:right w:val="nil"/>
            </w:tcBorders>
            <w:shd w:val="clear" w:color="000000" w:fill="FFFFFF"/>
            <w:noWrap/>
            <w:textDirection w:val="tbRl"/>
            <w:vAlign w:val="center"/>
            <w:hideMark/>
          </w:tcPr>
          <w:p w:rsidR="009D3AFC" w:rsidRPr="00D57252" w:rsidRDefault="009D3AFC" w:rsidP="009D3AFC">
            <w:pPr>
              <w:spacing w:after="0" w:line="240" w:lineRule="auto"/>
              <w:jc w:val="center"/>
              <w:rPr>
                <w:rFonts w:ascii="Calibri" w:eastAsia="Times New Roman" w:hAnsi="Calibri" w:cs="Calibri"/>
                <w:b/>
                <w:bCs/>
                <w:color w:val="000000"/>
                <w:lang w:eastAsia="nl-NL"/>
              </w:rPr>
            </w:pPr>
            <w:r w:rsidRPr="00D57252">
              <w:rPr>
                <w:rFonts w:ascii="Calibri" w:eastAsia="Times New Roman" w:hAnsi="Calibri" w:cs="Calibri"/>
                <w:b/>
                <w:bCs/>
                <w:color w:val="000000"/>
                <w:lang w:eastAsia="nl-NL"/>
              </w:rPr>
              <w:t xml:space="preserve">Table 1: </w:t>
            </w:r>
            <w:r>
              <w:rPr>
                <w:rFonts w:ascii="Calibri" w:eastAsia="Times New Roman" w:hAnsi="Calibri" w:cs="Calibri"/>
                <w:b/>
                <w:bCs/>
                <w:color w:val="000000"/>
                <w:lang w:eastAsia="nl-NL"/>
              </w:rPr>
              <w:t>IPO</w:t>
            </w:r>
            <w:r w:rsidRPr="00D57252">
              <w:rPr>
                <w:rFonts w:ascii="Calibri" w:eastAsia="Times New Roman" w:hAnsi="Calibri" w:cs="Calibri"/>
                <w:b/>
                <w:bCs/>
                <w:color w:val="000000"/>
                <w:lang w:eastAsia="nl-NL"/>
              </w:rPr>
              <w:t xml:space="preserve"> underpricing theories</w:t>
            </w:r>
          </w:p>
        </w:tc>
      </w:tr>
      <w:tr w:rsidR="009D3AFC" w:rsidRPr="00D57252" w:rsidTr="009D3AFC">
        <w:trPr>
          <w:trHeight w:val="135"/>
        </w:trPr>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56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45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380"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9D3AFC" w:rsidRPr="00D57252" w:rsidRDefault="009D3AFC" w:rsidP="009D3AFC">
            <w:pPr>
              <w:spacing w:after="0" w:line="240" w:lineRule="auto"/>
              <w:rPr>
                <w:rFonts w:ascii="Calibri" w:eastAsia="Times New Roman" w:hAnsi="Calibri" w:cs="Calibri"/>
                <w:b/>
                <w:bCs/>
                <w:color w:val="000000"/>
                <w:sz w:val="20"/>
                <w:szCs w:val="20"/>
                <w:lang w:eastAsia="nl-NL"/>
              </w:rPr>
            </w:pPr>
          </w:p>
        </w:tc>
        <w:tc>
          <w:tcPr>
            <w:tcW w:w="480" w:type="dxa"/>
            <w:vMerge/>
            <w:tcBorders>
              <w:top w:val="nil"/>
              <w:left w:val="nil"/>
              <w:bottom w:val="nil"/>
              <w:right w:val="nil"/>
            </w:tcBorders>
            <w:vAlign w:val="center"/>
            <w:hideMark/>
          </w:tcPr>
          <w:p w:rsidR="009D3AFC" w:rsidRPr="00D57252" w:rsidRDefault="009D3AFC" w:rsidP="009D3AFC">
            <w:pPr>
              <w:spacing w:after="0" w:line="240" w:lineRule="auto"/>
              <w:rPr>
                <w:rFonts w:ascii="Calibri" w:eastAsia="Times New Roman" w:hAnsi="Calibri" w:cs="Calibri"/>
                <w:b/>
                <w:bCs/>
                <w:color w:val="000000"/>
                <w:lang w:eastAsia="nl-NL"/>
              </w:rPr>
            </w:pPr>
          </w:p>
        </w:tc>
      </w:tr>
      <w:tr w:rsidR="009D3AFC" w:rsidRPr="00D57252" w:rsidTr="009D3AFC">
        <w:trPr>
          <w:trHeight w:val="1725"/>
        </w:trPr>
        <w:tc>
          <w:tcPr>
            <w:tcW w:w="1380" w:type="dxa"/>
            <w:tcBorders>
              <w:top w:val="nil"/>
              <w:left w:val="nil"/>
              <w:bottom w:val="nil"/>
              <w:right w:val="nil"/>
            </w:tcBorders>
            <w:shd w:val="clear" w:color="000000" w:fill="FFFFFF"/>
            <w:textDirection w:val="tbRl"/>
            <w:hideMark/>
          </w:tcPr>
          <w:p w:rsidR="009D3AFC" w:rsidRPr="00D57252" w:rsidRDefault="00E174CF"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Winner’s Curse</w:t>
            </w:r>
            <w:r w:rsidR="009D3AFC" w:rsidRPr="00D57252">
              <w:rPr>
                <w:rFonts w:ascii="Calibri" w:eastAsia="Times New Roman" w:hAnsi="Calibri" w:cs="Calibri"/>
                <w:color w:val="000000"/>
                <w:sz w:val="18"/>
                <w:szCs w:val="18"/>
                <w:lang w:val="en-US" w:eastAsia="nl-NL"/>
              </w:rPr>
              <w:t>/Realignment of incentives</w:t>
            </w:r>
          </w:p>
        </w:tc>
        <w:tc>
          <w:tcPr>
            <w:tcW w:w="1569" w:type="dxa"/>
            <w:tcBorders>
              <w:top w:val="nil"/>
              <w:left w:val="nil"/>
              <w:bottom w:val="nil"/>
              <w:right w:val="nil"/>
            </w:tcBorders>
            <w:shd w:val="clear" w:color="000000" w:fill="FFFFFF"/>
            <w:textDirection w:val="tbRl"/>
            <w:hideMark/>
          </w:tcPr>
          <w:p w:rsidR="009D3AFC" w:rsidRPr="00D57252" w:rsidRDefault="00E174CF"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Winner’s Curse</w:t>
            </w:r>
            <w:r w:rsidR="009D3AFC" w:rsidRPr="00D57252">
              <w:rPr>
                <w:rFonts w:ascii="Calibri" w:eastAsia="Times New Roman" w:hAnsi="Calibri" w:cs="Calibri"/>
                <w:color w:val="000000"/>
                <w:sz w:val="18"/>
                <w:szCs w:val="18"/>
                <w:lang w:val="en-US" w:eastAsia="nl-NL"/>
              </w:rPr>
              <w:t xml:space="preserve">, uninformed </w:t>
            </w:r>
            <w:r w:rsidR="009D3AFC" w:rsidRPr="00D57252">
              <w:rPr>
                <w:rFonts w:ascii="Calibri" w:eastAsia="Times New Roman" w:hAnsi="Calibri" w:cs="Calibri"/>
                <w:color w:val="000000"/>
                <w:sz w:val="18"/>
                <w:szCs w:val="18"/>
                <w:lang w:val="en-US" w:eastAsia="nl-NL"/>
              </w:rPr>
              <w:br/>
              <w:t>investors need to be compensated with underpricing</w:t>
            </w:r>
          </w:p>
        </w:tc>
        <w:tc>
          <w:tcPr>
            <w:tcW w:w="1459" w:type="dxa"/>
            <w:tcBorders>
              <w:top w:val="nil"/>
              <w:left w:val="nil"/>
              <w:bottom w:val="nil"/>
              <w:right w:val="nil"/>
            </w:tcBorders>
            <w:shd w:val="clear" w:color="000000" w:fill="FFFFFF"/>
            <w:textDirection w:val="tbRl"/>
            <w:hideMark/>
          </w:tcPr>
          <w:p w:rsidR="009D3AFC" w:rsidRPr="00D57252" w:rsidRDefault="00E174CF"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Winner’s Curse</w:t>
            </w:r>
            <w:r w:rsidR="009D3AFC" w:rsidRPr="00D57252">
              <w:rPr>
                <w:rFonts w:ascii="Calibri" w:eastAsia="Times New Roman" w:hAnsi="Calibri" w:cs="Calibri"/>
                <w:color w:val="000000"/>
                <w:sz w:val="18"/>
                <w:szCs w:val="18"/>
                <w:lang w:val="en-US" w:eastAsia="nl-NL"/>
              </w:rPr>
              <w:t xml:space="preserve">, uninformed </w:t>
            </w:r>
            <w:r w:rsidR="009D3AFC" w:rsidRPr="00D57252">
              <w:rPr>
                <w:rFonts w:ascii="Calibri" w:eastAsia="Times New Roman" w:hAnsi="Calibri" w:cs="Calibri"/>
                <w:color w:val="000000"/>
                <w:sz w:val="18"/>
                <w:szCs w:val="18"/>
                <w:lang w:val="en-US" w:eastAsia="nl-NL"/>
              </w:rPr>
              <w:br/>
              <w:t>investors need to be compensated with underpricing</w:t>
            </w:r>
          </w:p>
        </w:tc>
        <w:tc>
          <w:tcPr>
            <w:tcW w:w="1380" w:type="dxa"/>
            <w:tcBorders>
              <w:top w:val="nil"/>
              <w:left w:val="nil"/>
              <w:bottom w:val="nil"/>
              <w:right w:val="nil"/>
            </w:tcBorders>
            <w:shd w:val="clear" w:color="000000" w:fill="FFFFFF"/>
            <w:textDirection w:val="tbRl"/>
            <w:hideMark/>
          </w:tcPr>
          <w:p w:rsidR="009D3AFC" w:rsidRPr="00D57252" w:rsidRDefault="00E174CF"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Winner’s Curse</w:t>
            </w:r>
            <w:r w:rsidR="009D3AFC">
              <w:rPr>
                <w:rFonts w:ascii="Calibri" w:eastAsia="Times New Roman" w:hAnsi="Calibri" w:cs="Calibri"/>
                <w:color w:val="000000"/>
                <w:sz w:val="18"/>
                <w:szCs w:val="18"/>
                <w:lang w:val="en-US" w:eastAsia="nl-NL"/>
              </w:rPr>
              <w:t>, uninformed</w:t>
            </w:r>
            <w:r w:rsidR="009D3AFC">
              <w:rPr>
                <w:rFonts w:ascii="Calibri" w:eastAsia="Times New Roman" w:hAnsi="Calibri" w:cs="Calibri"/>
                <w:color w:val="000000"/>
                <w:sz w:val="18"/>
                <w:szCs w:val="18"/>
                <w:lang w:val="en-US" w:eastAsia="nl-NL"/>
              </w:rPr>
              <w:br/>
            </w:r>
            <w:r w:rsidR="009D3AFC" w:rsidRPr="00D57252">
              <w:rPr>
                <w:rFonts w:ascii="Calibri" w:eastAsia="Times New Roman" w:hAnsi="Calibri" w:cs="Calibri"/>
                <w:color w:val="000000"/>
                <w:sz w:val="18"/>
                <w:szCs w:val="18"/>
                <w:lang w:val="en-US" w:eastAsia="nl-NL"/>
              </w:rPr>
              <w:t>investors need to be compensated with underpricing</w:t>
            </w:r>
          </w:p>
        </w:tc>
        <w:tc>
          <w:tcPr>
            <w:tcW w:w="1380" w:type="dxa"/>
            <w:tcBorders>
              <w:top w:val="nil"/>
              <w:left w:val="nil"/>
              <w:bottom w:val="nil"/>
              <w:right w:val="nil"/>
            </w:tcBorders>
            <w:shd w:val="clear" w:color="000000" w:fill="FFFFFF"/>
            <w:textDirection w:val="tbRl"/>
            <w:hideMark/>
          </w:tcPr>
          <w:p w:rsidR="009D3AFC" w:rsidRPr="00D57252" w:rsidRDefault="00E174CF"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Winner’s Curse</w:t>
            </w:r>
            <w:r w:rsidR="009D3AFC">
              <w:rPr>
                <w:rFonts w:ascii="Calibri" w:eastAsia="Times New Roman" w:hAnsi="Calibri" w:cs="Calibri"/>
                <w:color w:val="000000"/>
                <w:sz w:val="18"/>
                <w:szCs w:val="18"/>
                <w:lang w:val="en-US" w:eastAsia="nl-NL"/>
              </w:rPr>
              <w:t>: Uninformed</w:t>
            </w:r>
            <w:r w:rsidR="009D3AFC">
              <w:rPr>
                <w:rFonts w:ascii="Calibri" w:eastAsia="Times New Roman" w:hAnsi="Calibri" w:cs="Calibri"/>
                <w:color w:val="000000"/>
                <w:sz w:val="18"/>
                <w:szCs w:val="18"/>
                <w:lang w:val="en-US" w:eastAsia="nl-NL"/>
              </w:rPr>
              <w:br/>
            </w:r>
            <w:r w:rsidR="009D3AFC" w:rsidRPr="00D57252">
              <w:rPr>
                <w:rFonts w:ascii="Calibri" w:eastAsia="Times New Roman" w:hAnsi="Calibri" w:cs="Calibri"/>
                <w:color w:val="000000"/>
                <w:sz w:val="18"/>
                <w:szCs w:val="18"/>
                <w:lang w:val="en-US" w:eastAsia="nl-NL"/>
              </w:rPr>
              <w:t>investors need to be compensated with underpricing</w:t>
            </w:r>
          </w:p>
        </w:tc>
        <w:tc>
          <w:tcPr>
            <w:tcW w:w="372"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Theory</w:t>
            </w:r>
          </w:p>
        </w:tc>
        <w:tc>
          <w:tcPr>
            <w:tcW w:w="500" w:type="dxa"/>
            <w:vMerge/>
            <w:tcBorders>
              <w:top w:val="nil"/>
              <w:left w:val="double" w:sz="6" w:space="0" w:color="auto"/>
              <w:bottom w:val="nil"/>
              <w:right w:val="single" w:sz="4" w:space="0" w:color="auto"/>
            </w:tcBorders>
            <w:vAlign w:val="center"/>
            <w:hideMark/>
          </w:tcPr>
          <w:p w:rsidR="009D3AFC" w:rsidRPr="00D57252" w:rsidRDefault="009D3AFC" w:rsidP="009D3AFC">
            <w:pPr>
              <w:spacing w:after="0" w:line="240" w:lineRule="auto"/>
              <w:rPr>
                <w:rFonts w:ascii="Calibri" w:eastAsia="Times New Roman" w:hAnsi="Calibri" w:cs="Calibri"/>
                <w:b/>
                <w:bCs/>
                <w:color w:val="000000"/>
                <w:sz w:val="20"/>
                <w:szCs w:val="20"/>
                <w:lang w:eastAsia="nl-NL"/>
              </w:rPr>
            </w:pPr>
          </w:p>
        </w:tc>
        <w:tc>
          <w:tcPr>
            <w:tcW w:w="480" w:type="dxa"/>
            <w:vMerge/>
            <w:tcBorders>
              <w:top w:val="nil"/>
              <w:left w:val="nil"/>
              <w:bottom w:val="nil"/>
              <w:right w:val="nil"/>
            </w:tcBorders>
            <w:vAlign w:val="center"/>
            <w:hideMark/>
          </w:tcPr>
          <w:p w:rsidR="009D3AFC" w:rsidRPr="00D57252" w:rsidRDefault="009D3AFC" w:rsidP="009D3AFC">
            <w:pPr>
              <w:spacing w:after="0" w:line="240" w:lineRule="auto"/>
              <w:rPr>
                <w:rFonts w:ascii="Calibri" w:eastAsia="Times New Roman" w:hAnsi="Calibri" w:cs="Calibri"/>
                <w:b/>
                <w:bCs/>
                <w:color w:val="000000"/>
                <w:lang w:eastAsia="nl-NL"/>
              </w:rPr>
            </w:pPr>
          </w:p>
        </w:tc>
      </w:tr>
      <w:tr w:rsidR="009D3AFC" w:rsidRPr="00D57252" w:rsidTr="009D3AFC">
        <w:trPr>
          <w:trHeight w:val="192"/>
        </w:trPr>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56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45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9D3AFC" w:rsidRPr="00D57252" w:rsidRDefault="009D3AFC" w:rsidP="009D3AFC">
            <w:pPr>
              <w:spacing w:after="0" w:line="240" w:lineRule="auto"/>
              <w:rPr>
                <w:rFonts w:ascii="Calibri" w:eastAsia="Times New Roman" w:hAnsi="Calibri" w:cs="Calibri"/>
                <w:b/>
                <w:bCs/>
                <w:color w:val="000000"/>
                <w:sz w:val="20"/>
                <w:szCs w:val="20"/>
                <w:lang w:eastAsia="nl-NL"/>
              </w:rPr>
            </w:pPr>
          </w:p>
        </w:tc>
        <w:tc>
          <w:tcPr>
            <w:tcW w:w="480" w:type="dxa"/>
            <w:vMerge/>
            <w:tcBorders>
              <w:top w:val="nil"/>
              <w:left w:val="nil"/>
              <w:bottom w:val="nil"/>
              <w:right w:val="nil"/>
            </w:tcBorders>
            <w:vAlign w:val="center"/>
            <w:hideMark/>
          </w:tcPr>
          <w:p w:rsidR="009D3AFC" w:rsidRPr="00D57252" w:rsidRDefault="009D3AFC" w:rsidP="009D3AFC">
            <w:pPr>
              <w:spacing w:after="0" w:line="240" w:lineRule="auto"/>
              <w:rPr>
                <w:rFonts w:ascii="Calibri" w:eastAsia="Times New Roman" w:hAnsi="Calibri" w:cs="Calibri"/>
                <w:b/>
                <w:bCs/>
                <w:color w:val="000000"/>
                <w:lang w:eastAsia="nl-NL"/>
              </w:rPr>
            </w:pPr>
          </w:p>
        </w:tc>
      </w:tr>
      <w:tr w:rsidR="009D3AFC" w:rsidRPr="00D57252" w:rsidTr="009D3AFC">
        <w:trPr>
          <w:trHeight w:val="2640"/>
        </w:trPr>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Firms promote the issue </w:t>
            </w:r>
            <w:r w:rsidRPr="00D57252">
              <w:rPr>
                <w:rFonts w:ascii="Calibri" w:eastAsia="Times New Roman" w:hAnsi="Calibri" w:cs="Calibri"/>
                <w:color w:val="000000"/>
                <w:sz w:val="18"/>
                <w:szCs w:val="18"/>
                <w:lang w:val="en-US" w:eastAsia="nl-NL"/>
              </w:rPr>
              <w:br/>
              <w:t>to reduce the need for underpricing</w:t>
            </w:r>
          </w:p>
        </w:tc>
        <w:tc>
          <w:tcPr>
            <w:tcW w:w="156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Institutional (informed) </w:t>
            </w:r>
            <w:r w:rsidRPr="00D57252">
              <w:rPr>
                <w:rFonts w:ascii="Calibri" w:eastAsia="Times New Roman" w:hAnsi="Calibri" w:cs="Calibri"/>
                <w:color w:val="000000"/>
                <w:sz w:val="18"/>
                <w:szCs w:val="18"/>
                <w:lang w:val="en-US" w:eastAsia="nl-NL"/>
              </w:rPr>
              <w:br/>
              <w:t>investors receive more allocations in underpriced shares</w:t>
            </w:r>
          </w:p>
        </w:tc>
        <w:tc>
          <w:tcPr>
            <w:tcW w:w="145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Firms signal firm quality</w:t>
            </w:r>
            <w:r>
              <w:rPr>
                <w:rFonts w:ascii="Calibri" w:eastAsia="Times New Roman" w:hAnsi="Calibri" w:cs="Calibri"/>
                <w:color w:val="000000"/>
                <w:sz w:val="18"/>
                <w:szCs w:val="18"/>
                <w:lang w:val="en-US" w:eastAsia="nl-NL"/>
              </w:rPr>
              <w:br/>
            </w:r>
            <w:r w:rsidRPr="00D57252">
              <w:rPr>
                <w:rFonts w:ascii="Calibri" w:eastAsia="Times New Roman" w:hAnsi="Calibri" w:cs="Calibri"/>
                <w:color w:val="000000"/>
                <w:sz w:val="18"/>
                <w:szCs w:val="18"/>
                <w:lang w:val="en-US" w:eastAsia="nl-NL"/>
              </w:rPr>
              <w:t>by selecting prestigious underwriters</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Underwrit</w:t>
            </w:r>
            <w:r>
              <w:rPr>
                <w:rFonts w:ascii="Calibri" w:eastAsia="Times New Roman" w:hAnsi="Calibri" w:cs="Calibri"/>
                <w:color w:val="000000"/>
                <w:sz w:val="18"/>
                <w:szCs w:val="18"/>
                <w:lang w:val="en-US" w:eastAsia="nl-NL"/>
              </w:rPr>
              <w:t xml:space="preserve">ers that </w:t>
            </w:r>
            <w:r>
              <w:rPr>
                <w:rFonts w:ascii="Calibri" w:eastAsia="Times New Roman" w:hAnsi="Calibri" w:cs="Calibri"/>
                <w:color w:val="000000"/>
                <w:sz w:val="18"/>
                <w:szCs w:val="18"/>
                <w:lang w:val="en-US" w:eastAsia="nl-NL"/>
              </w:rPr>
              <w:br/>
              <w:t>underprice too much</w:t>
            </w:r>
            <w:r w:rsidR="00C27C73">
              <w:rPr>
                <w:rFonts w:ascii="Calibri" w:eastAsia="Times New Roman" w:hAnsi="Calibri" w:cs="Calibri"/>
                <w:color w:val="000000"/>
                <w:sz w:val="18"/>
                <w:szCs w:val="18"/>
                <w:lang w:val="en-US" w:eastAsia="nl-NL"/>
              </w:rPr>
              <w:t xml:space="preserve"> or too little</w:t>
            </w:r>
            <w:r>
              <w:rPr>
                <w:rFonts w:ascii="Calibri" w:eastAsia="Times New Roman" w:hAnsi="Calibri" w:cs="Calibri"/>
                <w:color w:val="000000"/>
                <w:sz w:val="18"/>
                <w:szCs w:val="18"/>
                <w:lang w:val="en-US" w:eastAsia="nl-NL"/>
              </w:rPr>
              <w:t xml:space="preserve"> lo</w:t>
            </w:r>
            <w:r w:rsidRPr="00D57252">
              <w:rPr>
                <w:rFonts w:ascii="Calibri" w:eastAsia="Times New Roman" w:hAnsi="Calibri" w:cs="Calibri"/>
                <w:color w:val="000000"/>
                <w:sz w:val="18"/>
                <w:szCs w:val="18"/>
                <w:lang w:val="en-US" w:eastAsia="nl-NL"/>
              </w:rPr>
              <w:t>se market share</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Underpr</w:t>
            </w:r>
            <w:r>
              <w:rPr>
                <w:rFonts w:ascii="Calibri" w:eastAsia="Times New Roman" w:hAnsi="Calibri" w:cs="Calibri"/>
                <w:color w:val="000000"/>
                <w:sz w:val="18"/>
                <w:szCs w:val="18"/>
                <w:lang w:val="en-US" w:eastAsia="nl-NL"/>
              </w:rPr>
              <w:t>icing is positively</w:t>
            </w:r>
            <w:r>
              <w:rPr>
                <w:rFonts w:ascii="Calibri" w:eastAsia="Times New Roman" w:hAnsi="Calibri" w:cs="Calibri"/>
                <w:color w:val="000000"/>
                <w:sz w:val="18"/>
                <w:szCs w:val="18"/>
                <w:lang w:val="en-US" w:eastAsia="nl-NL"/>
              </w:rPr>
              <w:br/>
            </w:r>
            <w:r w:rsidRPr="00D57252">
              <w:rPr>
                <w:rFonts w:ascii="Calibri" w:eastAsia="Times New Roman" w:hAnsi="Calibri" w:cs="Calibri"/>
                <w:color w:val="000000"/>
                <w:sz w:val="18"/>
                <w:szCs w:val="18"/>
                <w:lang w:val="en-US" w:eastAsia="nl-NL"/>
              </w:rPr>
              <w:t>related to risk</w:t>
            </w:r>
          </w:p>
        </w:tc>
        <w:tc>
          <w:tcPr>
            <w:tcW w:w="372"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Relation</w:t>
            </w:r>
          </w:p>
        </w:tc>
        <w:tc>
          <w:tcPr>
            <w:tcW w:w="500" w:type="dxa"/>
            <w:vMerge/>
            <w:tcBorders>
              <w:top w:val="nil"/>
              <w:left w:val="double" w:sz="6" w:space="0" w:color="auto"/>
              <w:bottom w:val="nil"/>
              <w:right w:val="single" w:sz="4" w:space="0" w:color="auto"/>
            </w:tcBorders>
            <w:vAlign w:val="center"/>
            <w:hideMark/>
          </w:tcPr>
          <w:p w:rsidR="009D3AFC" w:rsidRPr="00D57252" w:rsidRDefault="009D3AFC" w:rsidP="009D3AFC">
            <w:pPr>
              <w:spacing w:after="0" w:line="240" w:lineRule="auto"/>
              <w:rPr>
                <w:rFonts w:ascii="Calibri" w:eastAsia="Times New Roman" w:hAnsi="Calibri" w:cs="Calibri"/>
                <w:b/>
                <w:bCs/>
                <w:color w:val="000000"/>
                <w:sz w:val="20"/>
                <w:szCs w:val="20"/>
                <w:lang w:eastAsia="nl-NL"/>
              </w:rPr>
            </w:pPr>
          </w:p>
        </w:tc>
        <w:tc>
          <w:tcPr>
            <w:tcW w:w="480" w:type="dxa"/>
            <w:vMerge/>
            <w:tcBorders>
              <w:top w:val="nil"/>
              <w:left w:val="nil"/>
              <w:bottom w:val="nil"/>
              <w:right w:val="nil"/>
            </w:tcBorders>
            <w:vAlign w:val="center"/>
            <w:hideMark/>
          </w:tcPr>
          <w:p w:rsidR="009D3AFC" w:rsidRPr="00D57252" w:rsidRDefault="009D3AFC" w:rsidP="009D3AFC">
            <w:pPr>
              <w:spacing w:after="0" w:line="240" w:lineRule="auto"/>
              <w:rPr>
                <w:rFonts w:ascii="Calibri" w:eastAsia="Times New Roman" w:hAnsi="Calibri" w:cs="Calibri"/>
                <w:b/>
                <w:bCs/>
                <w:color w:val="000000"/>
                <w:lang w:eastAsia="nl-NL"/>
              </w:rPr>
            </w:pPr>
          </w:p>
        </w:tc>
      </w:tr>
      <w:tr w:rsidR="009D3AFC" w:rsidRPr="00D57252" w:rsidTr="009D3AFC">
        <w:trPr>
          <w:trHeight w:val="120"/>
        </w:trPr>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56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45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9D3AFC" w:rsidRPr="00D57252" w:rsidRDefault="009D3AFC" w:rsidP="009D3AFC">
            <w:pPr>
              <w:spacing w:after="0" w:line="240" w:lineRule="auto"/>
              <w:rPr>
                <w:rFonts w:ascii="Calibri" w:eastAsia="Times New Roman" w:hAnsi="Calibri" w:cs="Calibri"/>
                <w:b/>
                <w:bCs/>
                <w:color w:val="000000"/>
                <w:sz w:val="20"/>
                <w:szCs w:val="20"/>
                <w:lang w:eastAsia="nl-NL"/>
              </w:rPr>
            </w:pPr>
          </w:p>
        </w:tc>
        <w:tc>
          <w:tcPr>
            <w:tcW w:w="480" w:type="dxa"/>
            <w:vMerge/>
            <w:tcBorders>
              <w:top w:val="nil"/>
              <w:left w:val="nil"/>
              <w:bottom w:val="nil"/>
              <w:right w:val="nil"/>
            </w:tcBorders>
            <w:vAlign w:val="center"/>
            <w:hideMark/>
          </w:tcPr>
          <w:p w:rsidR="009D3AFC" w:rsidRPr="00D57252" w:rsidRDefault="009D3AFC" w:rsidP="009D3AFC">
            <w:pPr>
              <w:spacing w:after="0" w:line="240" w:lineRule="auto"/>
              <w:rPr>
                <w:rFonts w:ascii="Calibri" w:eastAsia="Times New Roman" w:hAnsi="Calibri" w:cs="Calibri"/>
                <w:b/>
                <w:bCs/>
                <w:color w:val="000000"/>
                <w:lang w:eastAsia="nl-NL"/>
              </w:rPr>
            </w:pPr>
          </w:p>
        </w:tc>
      </w:tr>
      <w:tr w:rsidR="009D3AFC" w:rsidRPr="000171F4" w:rsidTr="009D3AFC">
        <w:trPr>
          <w:trHeight w:val="2970"/>
        </w:trPr>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Underpricing is negativ</w:t>
            </w:r>
            <w:r w:rsidR="000171F4">
              <w:rPr>
                <w:rFonts w:ascii="Calibri" w:eastAsia="Times New Roman" w:hAnsi="Calibri" w:cs="Calibri"/>
                <w:color w:val="000000"/>
                <w:sz w:val="18"/>
                <w:szCs w:val="18"/>
                <w:lang w:val="en-US" w:eastAsia="nl-NL"/>
              </w:rPr>
              <w:t xml:space="preserve">ely related to </w:t>
            </w:r>
            <w:r w:rsidR="000171F4">
              <w:rPr>
                <w:rFonts w:ascii="Calibri" w:eastAsia="Times New Roman" w:hAnsi="Calibri" w:cs="Calibri"/>
                <w:color w:val="000000"/>
                <w:sz w:val="18"/>
                <w:szCs w:val="18"/>
                <w:lang w:val="en-US" w:eastAsia="nl-NL"/>
              </w:rPr>
              <w:br/>
              <w:t>promotion costs.</w:t>
            </w:r>
            <w:r w:rsidRPr="00D57252">
              <w:rPr>
                <w:rFonts w:ascii="Calibri" w:eastAsia="Times New Roman" w:hAnsi="Calibri" w:cs="Calibri"/>
                <w:color w:val="000000"/>
                <w:sz w:val="18"/>
                <w:szCs w:val="18"/>
                <w:lang w:val="en-US" w:eastAsia="nl-NL"/>
              </w:rPr>
              <w:t xml:space="preserve"> Promotion costs are positively related to the size of the </w:t>
            </w:r>
            <w:r>
              <w:rPr>
                <w:rFonts w:ascii="Calibri" w:eastAsia="Times New Roman" w:hAnsi="Calibri" w:cs="Calibri"/>
                <w:color w:val="000000"/>
                <w:sz w:val="18"/>
                <w:szCs w:val="18"/>
                <w:lang w:val="en-US" w:eastAsia="nl-NL"/>
              </w:rPr>
              <w:t>IPO</w:t>
            </w:r>
            <w:r w:rsidR="000171F4">
              <w:rPr>
                <w:rFonts w:ascii="Calibri" w:eastAsia="Times New Roman" w:hAnsi="Calibri" w:cs="Calibri"/>
                <w:color w:val="000000"/>
                <w:sz w:val="18"/>
                <w:szCs w:val="18"/>
                <w:lang w:val="en-US" w:eastAsia="nl-NL"/>
              </w:rPr>
              <w:t xml:space="preserve">. </w:t>
            </w:r>
            <w:r w:rsidRPr="00D57252">
              <w:rPr>
                <w:rFonts w:ascii="Calibri" w:eastAsia="Times New Roman" w:hAnsi="Calibri" w:cs="Calibri"/>
                <w:color w:val="000000"/>
                <w:sz w:val="18"/>
                <w:szCs w:val="18"/>
                <w:lang w:val="en-US" w:eastAsia="nl-NL"/>
              </w:rPr>
              <w:t>Underpricing is negatively related to insider selling</w:t>
            </w:r>
          </w:p>
        </w:tc>
        <w:tc>
          <w:tcPr>
            <w:tcW w:w="156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Positive relation between </w:t>
            </w:r>
            <w:r w:rsidRPr="00D57252">
              <w:rPr>
                <w:rFonts w:ascii="Calibri" w:eastAsia="Times New Roman" w:hAnsi="Calibri" w:cs="Calibri"/>
                <w:color w:val="000000"/>
                <w:sz w:val="18"/>
                <w:szCs w:val="18"/>
                <w:lang w:val="en-US" w:eastAsia="nl-NL"/>
              </w:rPr>
              <w:br/>
              <w:t>underpricing and institutional allocations</w:t>
            </w:r>
          </w:p>
        </w:tc>
        <w:tc>
          <w:tcPr>
            <w:tcW w:w="145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Underwriter reputation is negatively </w:t>
            </w:r>
            <w:r w:rsidRPr="00D57252">
              <w:rPr>
                <w:rFonts w:ascii="Calibri" w:eastAsia="Times New Roman" w:hAnsi="Calibri" w:cs="Calibri"/>
                <w:color w:val="000000"/>
                <w:sz w:val="18"/>
                <w:szCs w:val="18"/>
                <w:lang w:val="en-US" w:eastAsia="nl-NL"/>
              </w:rPr>
              <w:br/>
              <w:t>related to underpricing</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Residual underpricing (Both positive and negative) is negatively </w:t>
            </w:r>
            <w:r w:rsidRPr="00D57252">
              <w:rPr>
                <w:rFonts w:ascii="Calibri" w:eastAsia="Times New Roman" w:hAnsi="Calibri" w:cs="Calibri"/>
                <w:color w:val="000000"/>
                <w:sz w:val="18"/>
                <w:szCs w:val="18"/>
                <w:lang w:val="en-US" w:eastAsia="nl-NL"/>
              </w:rPr>
              <w:br/>
              <w:t>related to underwriter market share</w:t>
            </w:r>
          </w:p>
        </w:tc>
        <w:tc>
          <w:tcPr>
            <w:tcW w:w="1380" w:type="dxa"/>
            <w:tcBorders>
              <w:top w:val="nil"/>
              <w:left w:val="nil"/>
              <w:bottom w:val="nil"/>
              <w:right w:val="nil"/>
            </w:tcBorders>
            <w:shd w:val="clear" w:color="000000" w:fill="FFFFFF"/>
            <w:textDirection w:val="tbRl"/>
            <w:hideMark/>
          </w:tcPr>
          <w:p w:rsidR="009D3AFC" w:rsidRPr="00D57252" w:rsidRDefault="00C27C73" w:rsidP="00C27C73">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 xml:space="preserve">Underpricing </w:t>
            </w:r>
            <w:r w:rsidR="009D3AFC">
              <w:rPr>
                <w:rFonts w:ascii="Calibri" w:eastAsia="Times New Roman" w:hAnsi="Calibri" w:cs="Calibri"/>
                <w:color w:val="000000"/>
                <w:sz w:val="18"/>
                <w:szCs w:val="18"/>
                <w:lang w:val="en-US" w:eastAsia="nl-NL"/>
              </w:rPr>
              <w:t>is positively related to</w:t>
            </w:r>
            <w:r>
              <w:rPr>
                <w:rFonts w:ascii="Calibri" w:eastAsia="Times New Roman" w:hAnsi="Calibri" w:cs="Calibri"/>
                <w:color w:val="000000"/>
                <w:sz w:val="18"/>
                <w:szCs w:val="18"/>
                <w:lang w:val="en-US" w:eastAsia="nl-NL"/>
              </w:rPr>
              <w:t xml:space="preserve"> risk</w:t>
            </w:r>
            <w:r w:rsidR="009D3AFC">
              <w:rPr>
                <w:rFonts w:ascii="Calibri" w:eastAsia="Times New Roman" w:hAnsi="Calibri" w:cs="Calibri"/>
                <w:color w:val="000000"/>
                <w:sz w:val="18"/>
                <w:szCs w:val="18"/>
                <w:lang w:val="en-US" w:eastAsia="nl-NL"/>
              </w:rPr>
              <w:t xml:space="preserve">. </w:t>
            </w:r>
            <w:r w:rsidR="009D3AFC" w:rsidRPr="00D57252">
              <w:rPr>
                <w:rFonts w:ascii="Calibri" w:eastAsia="Times New Roman" w:hAnsi="Calibri" w:cs="Calibri"/>
                <w:color w:val="000000"/>
                <w:sz w:val="18"/>
                <w:szCs w:val="18"/>
                <w:lang w:val="en-US" w:eastAsia="nl-NL"/>
              </w:rPr>
              <w:t>Risk proxies</w:t>
            </w:r>
            <w:r w:rsidR="009D3AFC">
              <w:rPr>
                <w:rFonts w:ascii="Calibri" w:eastAsia="Times New Roman" w:hAnsi="Calibri" w:cs="Calibri"/>
                <w:color w:val="000000"/>
                <w:sz w:val="18"/>
                <w:szCs w:val="18"/>
                <w:lang w:val="en-US" w:eastAsia="nl-NL"/>
              </w:rPr>
              <w:t xml:space="preserve"> are</w:t>
            </w:r>
            <w:r w:rsidR="000171F4">
              <w:rPr>
                <w:rFonts w:ascii="Calibri" w:eastAsia="Times New Roman" w:hAnsi="Calibri" w:cs="Calibri"/>
                <w:color w:val="000000"/>
                <w:sz w:val="18"/>
                <w:szCs w:val="18"/>
                <w:lang w:val="en-US" w:eastAsia="nl-NL"/>
              </w:rPr>
              <w:t xml:space="preserve">, firm size, </w:t>
            </w:r>
            <w:r w:rsidR="000171F4">
              <w:rPr>
                <w:rFonts w:ascii="Calibri" w:eastAsia="Times New Roman" w:hAnsi="Calibri" w:cs="Calibri"/>
                <w:color w:val="000000"/>
                <w:sz w:val="18"/>
                <w:szCs w:val="18"/>
                <w:lang w:val="en-US" w:eastAsia="nl-NL"/>
              </w:rPr>
              <w:br/>
              <w:t>f</w:t>
            </w:r>
            <w:r w:rsidR="009D3AFC" w:rsidRPr="00D57252">
              <w:rPr>
                <w:rFonts w:ascii="Calibri" w:eastAsia="Times New Roman" w:hAnsi="Calibri" w:cs="Calibri"/>
                <w:color w:val="000000"/>
                <w:sz w:val="18"/>
                <w:szCs w:val="18"/>
                <w:lang w:val="en-US" w:eastAsia="nl-NL"/>
              </w:rPr>
              <w:t xml:space="preserve">irm age, </w:t>
            </w:r>
            <w:r w:rsidR="009D3AFC">
              <w:rPr>
                <w:rFonts w:ascii="Calibri" w:eastAsia="Times New Roman" w:hAnsi="Calibri" w:cs="Calibri"/>
                <w:color w:val="000000"/>
                <w:sz w:val="18"/>
                <w:szCs w:val="18"/>
                <w:lang w:val="en-US" w:eastAsia="nl-NL"/>
              </w:rPr>
              <w:t>IPO</w:t>
            </w:r>
            <w:r w:rsidR="009D3AFC" w:rsidRPr="00D57252">
              <w:rPr>
                <w:rFonts w:ascii="Calibri" w:eastAsia="Times New Roman" w:hAnsi="Calibri" w:cs="Calibri"/>
                <w:color w:val="000000"/>
                <w:sz w:val="18"/>
                <w:szCs w:val="18"/>
                <w:lang w:val="en-US" w:eastAsia="nl-NL"/>
              </w:rPr>
              <w:t xml:space="preserve"> size</w:t>
            </w:r>
            <w:r w:rsidR="009D3AFC">
              <w:rPr>
                <w:rFonts w:ascii="Calibri" w:eastAsia="Times New Roman" w:hAnsi="Calibri" w:cs="Calibri"/>
                <w:color w:val="000000"/>
                <w:sz w:val="18"/>
                <w:szCs w:val="18"/>
                <w:lang w:val="en-US" w:eastAsia="nl-NL"/>
              </w:rPr>
              <w:t>, etc.</w:t>
            </w:r>
          </w:p>
        </w:tc>
        <w:tc>
          <w:tcPr>
            <w:tcW w:w="372" w:type="dxa"/>
            <w:tcBorders>
              <w:top w:val="nil"/>
              <w:left w:val="nil"/>
              <w:bottom w:val="nil"/>
              <w:right w:val="nil"/>
            </w:tcBorders>
            <w:shd w:val="clear" w:color="000000" w:fill="FFFFFF"/>
            <w:noWrap/>
            <w:textDirection w:val="tbRl"/>
            <w:hideMark/>
          </w:tcPr>
          <w:p w:rsidR="009D3AFC" w:rsidRPr="000171F4" w:rsidRDefault="009D3AFC" w:rsidP="009D3AFC">
            <w:pPr>
              <w:spacing w:after="0" w:line="240" w:lineRule="auto"/>
              <w:rPr>
                <w:rFonts w:ascii="Calibri" w:eastAsia="Times New Roman" w:hAnsi="Calibri" w:cs="Calibri"/>
                <w:b/>
                <w:bCs/>
                <w:color w:val="000000"/>
                <w:sz w:val="18"/>
                <w:szCs w:val="18"/>
                <w:lang w:val="en-US" w:eastAsia="nl-NL"/>
              </w:rPr>
            </w:pPr>
            <w:r w:rsidRPr="000171F4">
              <w:rPr>
                <w:rFonts w:ascii="Calibri" w:eastAsia="Times New Roman" w:hAnsi="Calibri" w:cs="Calibri"/>
                <w:b/>
                <w:bCs/>
                <w:color w:val="000000"/>
                <w:sz w:val="18"/>
                <w:szCs w:val="18"/>
                <w:lang w:val="en-US" w:eastAsia="nl-NL"/>
              </w:rPr>
              <w:t>Testable implications</w:t>
            </w:r>
          </w:p>
        </w:tc>
        <w:tc>
          <w:tcPr>
            <w:tcW w:w="500" w:type="dxa"/>
            <w:vMerge/>
            <w:tcBorders>
              <w:top w:val="nil"/>
              <w:left w:val="double" w:sz="6" w:space="0" w:color="auto"/>
              <w:bottom w:val="nil"/>
              <w:right w:val="single" w:sz="4" w:space="0" w:color="auto"/>
            </w:tcBorders>
            <w:vAlign w:val="center"/>
            <w:hideMark/>
          </w:tcPr>
          <w:p w:rsidR="009D3AFC" w:rsidRPr="000171F4" w:rsidRDefault="009D3AFC" w:rsidP="009D3AFC">
            <w:pPr>
              <w:spacing w:after="0" w:line="240" w:lineRule="auto"/>
              <w:rPr>
                <w:rFonts w:ascii="Calibri" w:eastAsia="Times New Roman" w:hAnsi="Calibri" w:cs="Calibri"/>
                <w:b/>
                <w:bCs/>
                <w:color w:val="000000"/>
                <w:sz w:val="20"/>
                <w:szCs w:val="20"/>
                <w:lang w:val="en-US" w:eastAsia="nl-NL"/>
              </w:rPr>
            </w:pPr>
          </w:p>
        </w:tc>
        <w:tc>
          <w:tcPr>
            <w:tcW w:w="480" w:type="dxa"/>
            <w:vMerge/>
            <w:tcBorders>
              <w:top w:val="nil"/>
              <w:left w:val="nil"/>
              <w:bottom w:val="nil"/>
              <w:right w:val="nil"/>
            </w:tcBorders>
            <w:vAlign w:val="center"/>
            <w:hideMark/>
          </w:tcPr>
          <w:p w:rsidR="009D3AFC" w:rsidRPr="000171F4" w:rsidRDefault="009D3AFC" w:rsidP="009D3AFC">
            <w:pPr>
              <w:spacing w:after="0" w:line="240" w:lineRule="auto"/>
              <w:rPr>
                <w:rFonts w:ascii="Calibri" w:eastAsia="Times New Roman" w:hAnsi="Calibri" w:cs="Calibri"/>
                <w:b/>
                <w:bCs/>
                <w:color w:val="000000"/>
                <w:lang w:val="en-US" w:eastAsia="nl-NL"/>
              </w:rPr>
            </w:pPr>
          </w:p>
        </w:tc>
      </w:tr>
      <w:tr w:rsidR="009D3AFC" w:rsidRPr="000171F4" w:rsidTr="009D3AFC">
        <w:trPr>
          <w:trHeight w:val="120"/>
        </w:trPr>
        <w:tc>
          <w:tcPr>
            <w:tcW w:w="1380" w:type="dxa"/>
            <w:tcBorders>
              <w:top w:val="nil"/>
              <w:left w:val="nil"/>
              <w:bottom w:val="nil"/>
              <w:right w:val="nil"/>
            </w:tcBorders>
            <w:shd w:val="clear" w:color="000000" w:fill="FFFFFF"/>
            <w:textDirection w:val="tbRl"/>
            <w:hideMark/>
          </w:tcPr>
          <w:p w:rsidR="009D3AFC" w:rsidRPr="000171F4" w:rsidRDefault="009D3AFC" w:rsidP="009D3AFC">
            <w:pPr>
              <w:spacing w:after="0" w:line="240" w:lineRule="auto"/>
              <w:rPr>
                <w:rFonts w:ascii="Calibri" w:eastAsia="Times New Roman" w:hAnsi="Calibri" w:cs="Calibri"/>
                <w:color w:val="000000"/>
                <w:sz w:val="18"/>
                <w:szCs w:val="18"/>
                <w:lang w:val="en-US" w:eastAsia="nl-NL"/>
              </w:rPr>
            </w:pPr>
            <w:r w:rsidRPr="000171F4">
              <w:rPr>
                <w:rFonts w:ascii="Calibri" w:eastAsia="Times New Roman" w:hAnsi="Calibri" w:cs="Calibri"/>
                <w:color w:val="000000"/>
                <w:sz w:val="18"/>
                <w:szCs w:val="18"/>
                <w:lang w:val="en-US" w:eastAsia="nl-NL"/>
              </w:rPr>
              <w:t> </w:t>
            </w:r>
          </w:p>
        </w:tc>
        <w:tc>
          <w:tcPr>
            <w:tcW w:w="1569" w:type="dxa"/>
            <w:tcBorders>
              <w:top w:val="nil"/>
              <w:left w:val="nil"/>
              <w:bottom w:val="nil"/>
              <w:right w:val="nil"/>
            </w:tcBorders>
            <w:shd w:val="clear" w:color="000000" w:fill="FFFFFF"/>
            <w:textDirection w:val="tbRl"/>
            <w:hideMark/>
          </w:tcPr>
          <w:p w:rsidR="009D3AFC" w:rsidRPr="000171F4" w:rsidRDefault="009D3AFC" w:rsidP="009D3AFC">
            <w:pPr>
              <w:spacing w:after="0" w:line="240" w:lineRule="auto"/>
              <w:rPr>
                <w:rFonts w:ascii="Calibri" w:eastAsia="Times New Roman" w:hAnsi="Calibri" w:cs="Calibri"/>
                <w:color w:val="000000"/>
                <w:sz w:val="18"/>
                <w:szCs w:val="18"/>
                <w:lang w:val="en-US" w:eastAsia="nl-NL"/>
              </w:rPr>
            </w:pPr>
            <w:r w:rsidRPr="000171F4">
              <w:rPr>
                <w:rFonts w:ascii="Calibri" w:eastAsia="Times New Roman" w:hAnsi="Calibri" w:cs="Calibri"/>
                <w:color w:val="000000"/>
                <w:sz w:val="18"/>
                <w:szCs w:val="18"/>
                <w:lang w:val="en-US" w:eastAsia="nl-NL"/>
              </w:rPr>
              <w:t> </w:t>
            </w:r>
          </w:p>
        </w:tc>
        <w:tc>
          <w:tcPr>
            <w:tcW w:w="1459" w:type="dxa"/>
            <w:tcBorders>
              <w:top w:val="nil"/>
              <w:left w:val="nil"/>
              <w:bottom w:val="nil"/>
              <w:right w:val="nil"/>
            </w:tcBorders>
            <w:shd w:val="clear" w:color="000000" w:fill="FFFFFF"/>
            <w:textDirection w:val="tbRl"/>
            <w:hideMark/>
          </w:tcPr>
          <w:p w:rsidR="009D3AFC" w:rsidRPr="000171F4" w:rsidRDefault="009D3AFC" w:rsidP="009D3AFC">
            <w:pPr>
              <w:spacing w:after="0" w:line="240" w:lineRule="auto"/>
              <w:rPr>
                <w:rFonts w:ascii="Calibri" w:eastAsia="Times New Roman" w:hAnsi="Calibri" w:cs="Calibri"/>
                <w:color w:val="000000"/>
                <w:sz w:val="18"/>
                <w:szCs w:val="18"/>
                <w:lang w:val="en-US" w:eastAsia="nl-NL"/>
              </w:rPr>
            </w:pPr>
            <w:r w:rsidRPr="000171F4">
              <w:rPr>
                <w:rFonts w:ascii="Calibri" w:eastAsia="Times New Roman" w:hAnsi="Calibri" w:cs="Calibri"/>
                <w:color w:val="000000"/>
                <w:sz w:val="18"/>
                <w:szCs w:val="18"/>
                <w:lang w:val="en-US" w:eastAsia="nl-NL"/>
              </w:rPr>
              <w:t> </w:t>
            </w:r>
          </w:p>
        </w:tc>
        <w:tc>
          <w:tcPr>
            <w:tcW w:w="1380" w:type="dxa"/>
            <w:tcBorders>
              <w:top w:val="nil"/>
              <w:left w:val="nil"/>
              <w:bottom w:val="nil"/>
              <w:right w:val="nil"/>
            </w:tcBorders>
            <w:shd w:val="clear" w:color="000000" w:fill="FFFFFF"/>
            <w:textDirection w:val="tbRl"/>
            <w:hideMark/>
          </w:tcPr>
          <w:p w:rsidR="009D3AFC" w:rsidRPr="000171F4" w:rsidRDefault="009D3AFC" w:rsidP="009D3AFC">
            <w:pPr>
              <w:spacing w:after="0" w:line="240" w:lineRule="auto"/>
              <w:rPr>
                <w:rFonts w:ascii="Calibri" w:eastAsia="Times New Roman" w:hAnsi="Calibri" w:cs="Calibri"/>
                <w:color w:val="000000"/>
                <w:sz w:val="18"/>
                <w:szCs w:val="18"/>
                <w:lang w:val="en-US" w:eastAsia="nl-NL"/>
              </w:rPr>
            </w:pPr>
            <w:r w:rsidRPr="000171F4">
              <w:rPr>
                <w:rFonts w:ascii="Calibri" w:eastAsia="Times New Roman" w:hAnsi="Calibri" w:cs="Calibri"/>
                <w:color w:val="000000"/>
                <w:sz w:val="18"/>
                <w:szCs w:val="18"/>
                <w:lang w:val="en-US" w:eastAsia="nl-NL"/>
              </w:rPr>
              <w:t> </w:t>
            </w:r>
          </w:p>
        </w:tc>
        <w:tc>
          <w:tcPr>
            <w:tcW w:w="1380" w:type="dxa"/>
            <w:tcBorders>
              <w:top w:val="nil"/>
              <w:left w:val="nil"/>
              <w:bottom w:val="nil"/>
              <w:right w:val="nil"/>
            </w:tcBorders>
            <w:shd w:val="clear" w:color="000000" w:fill="FFFFFF"/>
            <w:textDirection w:val="tbRl"/>
            <w:hideMark/>
          </w:tcPr>
          <w:p w:rsidR="009D3AFC" w:rsidRPr="000171F4" w:rsidRDefault="009D3AFC" w:rsidP="009D3AFC">
            <w:pPr>
              <w:spacing w:after="0" w:line="240" w:lineRule="auto"/>
              <w:rPr>
                <w:rFonts w:ascii="Calibri" w:eastAsia="Times New Roman" w:hAnsi="Calibri" w:cs="Calibri"/>
                <w:color w:val="000000"/>
                <w:sz w:val="18"/>
                <w:szCs w:val="18"/>
                <w:lang w:val="en-US" w:eastAsia="nl-NL"/>
              </w:rPr>
            </w:pPr>
            <w:r w:rsidRPr="000171F4">
              <w:rPr>
                <w:rFonts w:ascii="Calibri" w:eastAsia="Times New Roman" w:hAnsi="Calibri" w:cs="Calibri"/>
                <w:color w:val="000000"/>
                <w:sz w:val="18"/>
                <w:szCs w:val="18"/>
                <w:lang w:val="en-US" w:eastAsia="nl-NL"/>
              </w:rPr>
              <w:t> </w:t>
            </w:r>
          </w:p>
        </w:tc>
        <w:tc>
          <w:tcPr>
            <w:tcW w:w="372" w:type="dxa"/>
            <w:tcBorders>
              <w:top w:val="nil"/>
              <w:left w:val="nil"/>
              <w:bottom w:val="nil"/>
              <w:right w:val="nil"/>
            </w:tcBorders>
            <w:shd w:val="clear" w:color="000000" w:fill="FFFFFF"/>
            <w:noWrap/>
            <w:textDirection w:val="tbRl"/>
            <w:hideMark/>
          </w:tcPr>
          <w:p w:rsidR="009D3AFC" w:rsidRPr="000171F4" w:rsidRDefault="009D3AFC" w:rsidP="009D3AFC">
            <w:pPr>
              <w:spacing w:after="0" w:line="240" w:lineRule="auto"/>
              <w:rPr>
                <w:rFonts w:ascii="Calibri" w:eastAsia="Times New Roman" w:hAnsi="Calibri" w:cs="Calibri"/>
                <w:b/>
                <w:bCs/>
                <w:color w:val="000000"/>
                <w:sz w:val="18"/>
                <w:szCs w:val="18"/>
                <w:lang w:val="en-US" w:eastAsia="nl-NL"/>
              </w:rPr>
            </w:pPr>
            <w:r w:rsidRPr="000171F4">
              <w:rPr>
                <w:rFonts w:ascii="Calibri" w:eastAsia="Times New Roman" w:hAnsi="Calibri" w:cs="Calibri"/>
                <w:b/>
                <w:bCs/>
                <w:color w:val="000000"/>
                <w:sz w:val="18"/>
                <w:szCs w:val="18"/>
                <w:lang w:val="en-US" w:eastAsia="nl-NL"/>
              </w:rPr>
              <w:t> </w:t>
            </w:r>
          </w:p>
        </w:tc>
        <w:tc>
          <w:tcPr>
            <w:tcW w:w="500" w:type="dxa"/>
            <w:vMerge/>
            <w:tcBorders>
              <w:top w:val="nil"/>
              <w:left w:val="double" w:sz="6" w:space="0" w:color="auto"/>
              <w:bottom w:val="nil"/>
              <w:right w:val="single" w:sz="4" w:space="0" w:color="auto"/>
            </w:tcBorders>
            <w:vAlign w:val="center"/>
            <w:hideMark/>
          </w:tcPr>
          <w:p w:rsidR="009D3AFC" w:rsidRPr="000171F4" w:rsidRDefault="009D3AFC" w:rsidP="009D3AFC">
            <w:pPr>
              <w:spacing w:after="0" w:line="240" w:lineRule="auto"/>
              <w:rPr>
                <w:rFonts w:ascii="Calibri" w:eastAsia="Times New Roman" w:hAnsi="Calibri" w:cs="Calibri"/>
                <w:b/>
                <w:bCs/>
                <w:color w:val="000000"/>
                <w:sz w:val="20"/>
                <w:szCs w:val="20"/>
                <w:lang w:val="en-US" w:eastAsia="nl-NL"/>
              </w:rPr>
            </w:pPr>
          </w:p>
        </w:tc>
        <w:tc>
          <w:tcPr>
            <w:tcW w:w="480" w:type="dxa"/>
            <w:vMerge/>
            <w:tcBorders>
              <w:top w:val="nil"/>
              <w:left w:val="nil"/>
              <w:bottom w:val="nil"/>
              <w:right w:val="nil"/>
            </w:tcBorders>
            <w:vAlign w:val="center"/>
            <w:hideMark/>
          </w:tcPr>
          <w:p w:rsidR="009D3AFC" w:rsidRPr="000171F4" w:rsidRDefault="009D3AFC" w:rsidP="009D3AFC">
            <w:pPr>
              <w:spacing w:after="0" w:line="240" w:lineRule="auto"/>
              <w:rPr>
                <w:rFonts w:ascii="Calibri" w:eastAsia="Times New Roman" w:hAnsi="Calibri" w:cs="Calibri"/>
                <w:b/>
                <w:bCs/>
                <w:color w:val="000000"/>
                <w:lang w:val="en-US" w:eastAsia="nl-NL"/>
              </w:rPr>
            </w:pPr>
          </w:p>
        </w:tc>
      </w:tr>
      <w:tr w:rsidR="009D3AFC" w:rsidRPr="00D57252" w:rsidTr="009D3AFC">
        <w:trPr>
          <w:trHeight w:val="2445"/>
        </w:trPr>
        <w:tc>
          <w:tcPr>
            <w:tcW w:w="1380" w:type="dxa"/>
            <w:tcBorders>
              <w:top w:val="nil"/>
              <w:left w:val="nil"/>
              <w:bottom w:val="nil"/>
              <w:right w:val="nil"/>
            </w:tcBorders>
            <w:shd w:val="clear" w:color="000000" w:fill="FFFFFF"/>
            <w:noWrap/>
            <w:textDirection w:val="tbRl"/>
            <w:hideMark/>
          </w:tcPr>
          <w:p w:rsidR="009D3AFC" w:rsidRPr="000171F4" w:rsidRDefault="009D3AFC" w:rsidP="009D3AFC">
            <w:pPr>
              <w:spacing w:after="0" w:line="240" w:lineRule="auto"/>
              <w:rPr>
                <w:rFonts w:ascii="Calibri" w:eastAsia="Times New Roman" w:hAnsi="Calibri" w:cs="Calibri"/>
                <w:color w:val="000000"/>
                <w:sz w:val="18"/>
                <w:szCs w:val="18"/>
                <w:lang w:val="en-US" w:eastAsia="nl-NL"/>
              </w:rPr>
            </w:pPr>
            <w:r w:rsidRPr="000171F4">
              <w:rPr>
                <w:rFonts w:ascii="Calibri" w:eastAsia="Times New Roman" w:hAnsi="Calibri" w:cs="Calibri"/>
                <w:color w:val="000000"/>
                <w:sz w:val="18"/>
                <w:szCs w:val="18"/>
                <w:lang w:val="en-US" w:eastAsia="nl-NL"/>
              </w:rPr>
              <w:t>Habib &amp; Ljungqvist, 2001</w:t>
            </w:r>
          </w:p>
        </w:tc>
        <w:tc>
          <w:tcPr>
            <w:tcW w:w="156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0171F4">
              <w:rPr>
                <w:rFonts w:ascii="Calibri" w:eastAsia="Times New Roman" w:hAnsi="Calibri" w:cs="Calibri"/>
                <w:color w:val="000000"/>
                <w:sz w:val="18"/>
                <w:szCs w:val="18"/>
                <w:lang w:val="en-US" w:eastAsia="nl-NL"/>
              </w:rPr>
              <w:t xml:space="preserve">Hanley &amp; Wilhelm, 1995; </w:t>
            </w:r>
            <w:r w:rsidRPr="000171F4">
              <w:rPr>
                <w:rFonts w:ascii="Calibri" w:eastAsia="Times New Roman" w:hAnsi="Calibri" w:cs="Calibri"/>
                <w:color w:val="000000"/>
                <w:sz w:val="18"/>
                <w:szCs w:val="18"/>
                <w:lang w:val="en-US" w:eastAsia="nl-NL"/>
              </w:rPr>
              <w:br/>
              <w:t>Aggarwal, 2002; Koh &amp; Wa</w:t>
            </w:r>
            <w:r w:rsidRPr="00D57252">
              <w:rPr>
                <w:rFonts w:ascii="Calibri" w:eastAsia="Times New Roman" w:hAnsi="Calibri" w:cs="Calibri"/>
                <w:color w:val="000000"/>
                <w:sz w:val="18"/>
                <w:szCs w:val="18"/>
                <w:lang w:eastAsia="nl-NL"/>
              </w:rPr>
              <w:t>lter, 1989; Amihud et al., 2003; Chowdry &amp; Sherman, 1996</w:t>
            </w:r>
          </w:p>
        </w:tc>
        <w:tc>
          <w:tcPr>
            <w:tcW w:w="145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Loughran and Ritter, </w:t>
            </w:r>
            <w:r w:rsidRPr="00D57252">
              <w:rPr>
                <w:rFonts w:ascii="Calibri" w:eastAsia="Times New Roman" w:hAnsi="Calibri" w:cs="Calibri"/>
                <w:color w:val="000000"/>
                <w:sz w:val="18"/>
                <w:szCs w:val="18"/>
                <w:lang w:val="en-US" w:eastAsia="nl-NL"/>
              </w:rPr>
              <w:br/>
              <w:t xml:space="preserve">2004 (in </w:t>
            </w:r>
            <w:r>
              <w:rPr>
                <w:rFonts w:ascii="Calibri" w:eastAsia="Times New Roman" w:hAnsi="Calibri" w:cs="Calibri"/>
                <w:color w:val="000000"/>
                <w:sz w:val="18"/>
                <w:szCs w:val="18"/>
                <w:lang w:val="en-US" w:eastAsia="nl-NL"/>
              </w:rPr>
              <w:t>1980’s</w:t>
            </w:r>
            <w:r w:rsidRPr="00D57252">
              <w:rPr>
                <w:rFonts w:ascii="Calibri" w:eastAsia="Times New Roman" w:hAnsi="Calibri" w:cs="Calibri"/>
                <w:color w:val="000000"/>
                <w:sz w:val="18"/>
                <w:szCs w:val="18"/>
                <w:lang w:val="en-US" w:eastAsia="nl-NL"/>
              </w:rPr>
              <w:t xml:space="preserve">);  </w:t>
            </w:r>
            <w:r w:rsidRPr="00D57252">
              <w:rPr>
                <w:rFonts w:ascii="Calibri" w:eastAsia="Times New Roman" w:hAnsi="Calibri" w:cs="Calibri"/>
                <w:color w:val="000000"/>
                <w:sz w:val="18"/>
                <w:szCs w:val="18"/>
                <w:lang w:val="en-US" w:eastAsia="nl-NL"/>
              </w:rPr>
              <w:br/>
              <w:t>Michealy &amp; Shaw, 1994</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xml:space="preserve">Beatty Ritter, 1986; </w:t>
            </w:r>
            <w:r w:rsidRPr="00D57252">
              <w:rPr>
                <w:rFonts w:ascii="Calibri" w:eastAsia="Times New Roman" w:hAnsi="Calibri" w:cs="Calibri"/>
                <w:color w:val="000000"/>
                <w:sz w:val="18"/>
                <w:szCs w:val="18"/>
                <w:lang w:eastAsia="nl-NL"/>
              </w:rPr>
              <w:br/>
              <w:t>Dunbar, 2000</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Be</w:t>
            </w:r>
            <w:r>
              <w:rPr>
                <w:rFonts w:ascii="Calibri" w:eastAsia="Times New Roman" w:hAnsi="Calibri" w:cs="Calibri"/>
                <w:color w:val="000000"/>
                <w:sz w:val="18"/>
                <w:szCs w:val="18"/>
                <w:lang w:val="en-US" w:eastAsia="nl-NL"/>
              </w:rPr>
              <w:t>atty Ritter, 1986;</w:t>
            </w:r>
            <w:r w:rsidRPr="00D57252">
              <w:rPr>
                <w:rFonts w:ascii="Calibri" w:eastAsia="Times New Roman" w:hAnsi="Calibri" w:cs="Calibri"/>
                <w:color w:val="000000"/>
                <w:sz w:val="18"/>
                <w:szCs w:val="18"/>
                <w:lang w:val="en-US" w:eastAsia="nl-NL"/>
              </w:rPr>
              <w:br/>
              <w:t>Michealy &amp; Shaw, 1994; Loughran &amp; Ritter, 2004</w:t>
            </w:r>
          </w:p>
        </w:tc>
        <w:tc>
          <w:tcPr>
            <w:tcW w:w="372"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Supporting evidence</w:t>
            </w:r>
          </w:p>
        </w:tc>
        <w:tc>
          <w:tcPr>
            <w:tcW w:w="500" w:type="dxa"/>
            <w:vMerge/>
            <w:tcBorders>
              <w:top w:val="nil"/>
              <w:left w:val="double" w:sz="6" w:space="0" w:color="auto"/>
              <w:bottom w:val="nil"/>
              <w:right w:val="single" w:sz="4" w:space="0" w:color="auto"/>
            </w:tcBorders>
            <w:vAlign w:val="center"/>
            <w:hideMark/>
          </w:tcPr>
          <w:p w:rsidR="009D3AFC" w:rsidRPr="00D57252" w:rsidRDefault="009D3AFC" w:rsidP="009D3AFC">
            <w:pPr>
              <w:spacing w:after="0" w:line="240" w:lineRule="auto"/>
              <w:rPr>
                <w:rFonts w:ascii="Calibri" w:eastAsia="Times New Roman" w:hAnsi="Calibri" w:cs="Calibri"/>
                <w:b/>
                <w:bCs/>
                <w:color w:val="000000"/>
                <w:sz w:val="20"/>
                <w:szCs w:val="20"/>
                <w:lang w:eastAsia="nl-NL"/>
              </w:rPr>
            </w:pPr>
          </w:p>
        </w:tc>
        <w:tc>
          <w:tcPr>
            <w:tcW w:w="480" w:type="dxa"/>
            <w:vMerge/>
            <w:tcBorders>
              <w:top w:val="nil"/>
              <w:left w:val="nil"/>
              <w:bottom w:val="nil"/>
              <w:right w:val="nil"/>
            </w:tcBorders>
            <w:vAlign w:val="center"/>
            <w:hideMark/>
          </w:tcPr>
          <w:p w:rsidR="009D3AFC" w:rsidRPr="00D57252" w:rsidRDefault="009D3AFC" w:rsidP="009D3AFC">
            <w:pPr>
              <w:spacing w:after="0" w:line="240" w:lineRule="auto"/>
              <w:rPr>
                <w:rFonts w:ascii="Calibri" w:eastAsia="Times New Roman" w:hAnsi="Calibri" w:cs="Calibri"/>
                <w:b/>
                <w:bCs/>
                <w:color w:val="000000"/>
                <w:lang w:eastAsia="nl-NL"/>
              </w:rPr>
            </w:pPr>
          </w:p>
        </w:tc>
      </w:tr>
      <w:tr w:rsidR="009D3AFC" w:rsidRPr="00D57252" w:rsidTr="009D3AFC">
        <w:trPr>
          <w:trHeight w:val="120"/>
        </w:trPr>
        <w:tc>
          <w:tcPr>
            <w:tcW w:w="1380"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56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45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9D3AFC" w:rsidRPr="00D57252" w:rsidRDefault="009D3AFC" w:rsidP="009D3AFC">
            <w:pPr>
              <w:spacing w:after="0" w:line="240" w:lineRule="auto"/>
              <w:rPr>
                <w:rFonts w:ascii="Calibri" w:eastAsia="Times New Roman" w:hAnsi="Calibri" w:cs="Calibri"/>
                <w:b/>
                <w:bCs/>
                <w:color w:val="000000"/>
                <w:sz w:val="20"/>
                <w:szCs w:val="20"/>
                <w:lang w:eastAsia="nl-NL"/>
              </w:rPr>
            </w:pPr>
          </w:p>
        </w:tc>
        <w:tc>
          <w:tcPr>
            <w:tcW w:w="480" w:type="dxa"/>
            <w:vMerge/>
            <w:tcBorders>
              <w:top w:val="nil"/>
              <w:left w:val="nil"/>
              <w:bottom w:val="nil"/>
              <w:right w:val="nil"/>
            </w:tcBorders>
            <w:vAlign w:val="center"/>
            <w:hideMark/>
          </w:tcPr>
          <w:p w:rsidR="009D3AFC" w:rsidRPr="00D57252" w:rsidRDefault="009D3AFC" w:rsidP="009D3AFC">
            <w:pPr>
              <w:spacing w:after="0" w:line="240" w:lineRule="auto"/>
              <w:rPr>
                <w:rFonts w:ascii="Calibri" w:eastAsia="Times New Roman" w:hAnsi="Calibri" w:cs="Calibri"/>
                <w:b/>
                <w:bCs/>
                <w:color w:val="000000"/>
                <w:lang w:eastAsia="nl-NL"/>
              </w:rPr>
            </w:pPr>
          </w:p>
        </w:tc>
      </w:tr>
      <w:tr w:rsidR="009D3AFC" w:rsidRPr="00D57252" w:rsidTr="00835DB9">
        <w:trPr>
          <w:trHeight w:val="2219"/>
        </w:trPr>
        <w:tc>
          <w:tcPr>
            <w:tcW w:w="1380"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56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Lee et al. 1999, data on </w:t>
            </w:r>
            <w:r w:rsidRPr="00D57252">
              <w:rPr>
                <w:rFonts w:ascii="Calibri" w:eastAsia="Times New Roman" w:hAnsi="Calibri" w:cs="Calibri"/>
                <w:color w:val="000000"/>
                <w:sz w:val="18"/>
                <w:szCs w:val="18"/>
                <w:lang w:val="en-US" w:eastAsia="nl-NL"/>
              </w:rPr>
              <w:br/>
              <w:t>allocations is hard to come by. No evidence that informed investors request more underpriced shares</w:t>
            </w:r>
          </w:p>
        </w:tc>
        <w:tc>
          <w:tcPr>
            <w:tcW w:w="1459"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Loughran and Ritter, 2004: in</w:t>
            </w:r>
            <w:r w:rsidR="00835DB9">
              <w:rPr>
                <w:rFonts w:ascii="Calibri" w:eastAsia="Times New Roman" w:hAnsi="Calibri" w:cs="Calibri"/>
                <w:color w:val="000000"/>
                <w:sz w:val="18"/>
                <w:szCs w:val="18"/>
                <w:lang w:val="en-US" w:eastAsia="nl-NL"/>
              </w:rPr>
              <w:t xml:space="preserve"> the</w:t>
            </w:r>
            <w:r w:rsidRPr="00D57252">
              <w:rPr>
                <w:rFonts w:ascii="Calibri" w:eastAsia="Times New Roman" w:hAnsi="Calibri" w:cs="Calibri"/>
                <w:color w:val="000000"/>
                <w:sz w:val="18"/>
                <w:szCs w:val="18"/>
                <w:lang w:val="en-US" w:eastAsia="nl-NL"/>
              </w:rPr>
              <w:t xml:space="preserve"> </w:t>
            </w:r>
            <w:r>
              <w:rPr>
                <w:rFonts w:ascii="Calibri" w:eastAsia="Times New Roman" w:hAnsi="Calibri" w:cs="Calibri"/>
                <w:color w:val="000000"/>
                <w:sz w:val="18"/>
                <w:szCs w:val="18"/>
                <w:lang w:val="en-US" w:eastAsia="nl-NL"/>
              </w:rPr>
              <w:t>1990’s</w:t>
            </w:r>
            <w:r w:rsidRPr="00D57252">
              <w:rPr>
                <w:rFonts w:ascii="Calibri" w:eastAsia="Times New Roman" w:hAnsi="Calibri" w:cs="Calibri"/>
                <w:color w:val="000000"/>
                <w:sz w:val="18"/>
                <w:szCs w:val="18"/>
                <w:lang w:val="en-US" w:eastAsia="nl-NL"/>
              </w:rPr>
              <w:t xml:space="preserve"> and bubble period, the sign flipped; Ljunqvist &amp; Wilhelm, 2003: Underwriter choice is endogenous</w:t>
            </w:r>
          </w:p>
        </w:tc>
        <w:tc>
          <w:tcPr>
            <w:tcW w:w="1380"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p>
        </w:tc>
        <w:tc>
          <w:tcPr>
            <w:tcW w:w="1380" w:type="dxa"/>
            <w:tcBorders>
              <w:top w:val="nil"/>
              <w:left w:val="nil"/>
              <w:bottom w:val="nil"/>
              <w:right w:val="nil"/>
            </w:tcBorders>
            <w:shd w:val="clear" w:color="000000" w:fill="FFFFFF"/>
            <w:textDirection w:val="tbRl"/>
            <w:hideMark/>
          </w:tcPr>
          <w:p w:rsidR="009D3AFC" w:rsidRPr="00D57252" w:rsidRDefault="009D3AFC" w:rsidP="009D3AF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Ruud 1993, underpricing</w:t>
            </w:r>
            <w:r w:rsidR="00835DB9">
              <w:rPr>
                <w:rFonts w:ascii="Calibri" w:eastAsia="Times New Roman" w:hAnsi="Calibri" w:cs="Calibri"/>
                <w:color w:val="000000"/>
                <w:sz w:val="18"/>
                <w:szCs w:val="18"/>
                <w:lang w:val="en-US" w:eastAsia="nl-NL"/>
              </w:rPr>
              <w:t xml:space="preserve"> is</w:t>
            </w:r>
            <w:r w:rsidRPr="00D57252">
              <w:rPr>
                <w:rFonts w:ascii="Calibri" w:eastAsia="Times New Roman" w:hAnsi="Calibri" w:cs="Calibri"/>
                <w:color w:val="000000"/>
                <w:sz w:val="18"/>
                <w:szCs w:val="18"/>
                <w:lang w:val="en-US" w:eastAsia="nl-NL"/>
              </w:rPr>
              <w:t xml:space="preserve"> </w:t>
            </w:r>
            <w:proofErr w:type="gramStart"/>
            <w:r w:rsidRPr="00D57252">
              <w:rPr>
                <w:rFonts w:ascii="Calibri" w:eastAsia="Times New Roman" w:hAnsi="Calibri" w:cs="Calibri"/>
                <w:color w:val="000000"/>
                <w:sz w:val="18"/>
                <w:szCs w:val="18"/>
                <w:lang w:val="en-US" w:eastAsia="nl-NL"/>
              </w:rPr>
              <w:t>to</w:t>
            </w:r>
            <w:proofErr w:type="gramEnd"/>
            <w:r w:rsidRPr="00D57252">
              <w:rPr>
                <w:rFonts w:ascii="Calibri" w:eastAsia="Times New Roman" w:hAnsi="Calibri" w:cs="Calibri"/>
                <w:color w:val="000000"/>
                <w:sz w:val="18"/>
                <w:szCs w:val="18"/>
                <w:lang w:val="en-US" w:eastAsia="nl-NL"/>
              </w:rPr>
              <w:t xml:space="preserve"> severe to be compensation for underpricing</w:t>
            </w:r>
            <w:r w:rsidR="00C27C73">
              <w:rPr>
                <w:rFonts w:ascii="Calibri" w:eastAsia="Times New Roman" w:hAnsi="Calibri" w:cs="Calibri"/>
                <w:color w:val="000000"/>
                <w:sz w:val="18"/>
                <w:szCs w:val="18"/>
                <w:lang w:val="en-US" w:eastAsia="nl-NL"/>
              </w:rPr>
              <w:t>; Derrien 2005, short selling constraints prohibit price correction.</w:t>
            </w:r>
          </w:p>
        </w:tc>
        <w:tc>
          <w:tcPr>
            <w:tcW w:w="372" w:type="dxa"/>
            <w:tcBorders>
              <w:top w:val="nil"/>
              <w:left w:val="nil"/>
              <w:bottom w:val="nil"/>
              <w:right w:val="nil"/>
            </w:tcBorders>
            <w:shd w:val="clear" w:color="000000" w:fill="FFFFFF"/>
            <w:noWrap/>
            <w:textDirection w:val="tbRl"/>
            <w:hideMark/>
          </w:tcPr>
          <w:p w:rsidR="009D3AFC" w:rsidRPr="00D57252" w:rsidRDefault="009D3AFC" w:rsidP="009D3AFC">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Cr</w:t>
            </w:r>
            <w:r>
              <w:rPr>
                <w:rFonts w:ascii="Calibri" w:eastAsia="Times New Roman" w:hAnsi="Calibri" w:cs="Calibri"/>
                <w:b/>
                <w:bCs/>
                <w:color w:val="000000"/>
                <w:sz w:val="18"/>
                <w:szCs w:val="18"/>
                <w:lang w:eastAsia="nl-NL"/>
              </w:rPr>
              <w:t>i</w:t>
            </w:r>
            <w:r w:rsidRPr="00D57252">
              <w:rPr>
                <w:rFonts w:ascii="Calibri" w:eastAsia="Times New Roman" w:hAnsi="Calibri" w:cs="Calibri"/>
                <w:b/>
                <w:bCs/>
                <w:color w:val="000000"/>
                <w:sz w:val="18"/>
                <w:szCs w:val="18"/>
                <w:lang w:eastAsia="nl-NL"/>
              </w:rPr>
              <w:t>ticism</w:t>
            </w:r>
          </w:p>
        </w:tc>
        <w:tc>
          <w:tcPr>
            <w:tcW w:w="500" w:type="dxa"/>
            <w:vMerge/>
            <w:tcBorders>
              <w:top w:val="nil"/>
              <w:left w:val="double" w:sz="6" w:space="0" w:color="auto"/>
              <w:bottom w:val="nil"/>
              <w:right w:val="single" w:sz="4" w:space="0" w:color="auto"/>
            </w:tcBorders>
            <w:vAlign w:val="center"/>
            <w:hideMark/>
          </w:tcPr>
          <w:p w:rsidR="009D3AFC" w:rsidRPr="00D57252" w:rsidRDefault="009D3AFC" w:rsidP="009D3AFC">
            <w:pPr>
              <w:spacing w:after="0" w:line="240" w:lineRule="auto"/>
              <w:rPr>
                <w:rFonts w:ascii="Calibri" w:eastAsia="Times New Roman" w:hAnsi="Calibri" w:cs="Calibri"/>
                <w:b/>
                <w:bCs/>
                <w:color w:val="000000"/>
                <w:sz w:val="20"/>
                <w:szCs w:val="20"/>
                <w:lang w:eastAsia="nl-NL"/>
              </w:rPr>
            </w:pPr>
          </w:p>
        </w:tc>
        <w:tc>
          <w:tcPr>
            <w:tcW w:w="480" w:type="dxa"/>
            <w:vMerge/>
            <w:tcBorders>
              <w:top w:val="nil"/>
              <w:left w:val="nil"/>
              <w:bottom w:val="nil"/>
              <w:right w:val="nil"/>
            </w:tcBorders>
            <w:vAlign w:val="center"/>
            <w:hideMark/>
          </w:tcPr>
          <w:p w:rsidR="009D3AFC" w:rsidRPr="00D57252" w:rsidRDefault="009D3AFC" w:rsidP="009D3AFC">
            <w:pPr>
              <w:spacing w:after="0" w:line="240" w:lineRule="auto"/>
              <w:rPr>
                <w:rFonts w:ascii="Calibri" w:eastAsia="Times New Roman" w:hAnsi="Calibri" w:cs="Calibri"/>
                <w:b/>
                <w:bCs/>
                <w:color w:val="000000"/>
                <w:lang w:eastAsia="nl-NL"/>
              </w:rPr>
            </w:pPr>
          </w:p>
        </w:tc>
      </w:tr>
    </w:tbl>
    <w:p w:rsidR="00AB185F" w:rsidRPr="009C2F54" w:rsidRDefault="00AB185F" w:rsidP="009D5452">
      <w:pPr>
        <w:spacing w:line="360" w:lineRule="auto"/>
        <w:rPr>
          <w:lang w:val="en-GB"/>
        </w:rPr>
      </w:pPr>
    </w:p>
    <w:p w:rsidR="00D57252" w:rsidRDefault="00D57252" w:rsidP="00D57252"/>
    <w:tbl>
      <w:tblPr>
        <w:tblW w:w="10360" w:type="dxa"/>
        <w:tblCellMar>
          <w:left w:w="70" w:type="dxa"/>
          <w:right w:w="70" w:type="dxa"/>
        </w:tblCellMar>
        <w:tblLook w:val="04A0"/>
      </w:tblPr>
      <w:tblGrid>
        <w:gridCol w:w="2141"/>
        <w:gridCol w:w="3044"/>
        <w:gridCol w:w="372"/>
        <w:gridCol w:w="500"/>
        <w:gridCol w:w="617"/>
        <w:gridCol w:w="766"/>
        <w:gridCol w:w="617"/>
        <w:gridCol w:w="443"/>
        <w:gridCol w:w="620"/>
        <w:gridCol w:w="620"/>
        <w:gridCol w:w="620"/>
      </w:tblGrid>
      <w:tr w:rsidR="008B2A52" w:rsidRPr="00D57252" w:rsidTr="008B2A52">
        <w:trPr>
          <w:gridAfter w:val="1"/>
          <w:wAfter w:w="620" w:type="dxa"/>
          <w:trHeight w:val="1065"/>
        </w:trPr>
        <w:tc>
          <w:tcPr>
            <w:tcW w:w="2141"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lastRenderedPageBreak/>
              <w:t xml:space="preserve">Loughran &amp; Ritter, </w:t>
            </w:r>
            <w:r w:rsidRPr="00D57252">
              <w:rPr>
                <w:rFonts w:ascii="Calibri" w:eastAsia="Times New Roman" w:hAnsi="Calibri" w:cs="Calibri"/>
                <w:color w:val="000000"/>
                <w:sz w:val="18"/>
                <w:szCs w:val="18"/>
                <w:lang w:eastAsia="nl-NL"/>
              </w:rPr>
              <w:br/>
              <w:t>2002</w:t>
            </w:r>
          </w:p>
        </w:tc>
        <w:tc>
          <w:tcPr>
            <w:tcW w:w="3044"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Benveniste &amp; Spindt, 1989</w:t>
            </w:r>
          </w:p>
        </w:tc>
        <w:tc>
          <w:tcPr>
            <w:tcW w:w="372"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Author</w:t>
            </w:r>
          </w:p>
        </w:tc>
        <w:tc>
          <w:tcPr>
            <w:tcW w:w="500" w:type="dxa"/>
            <w:vMerge w:val="restart"/>
            <w:tcBorders>
              <w:top w:val="nil"/>
              <w:left w:val="double" w:sz="6" w:space="0" w:color="auto"/>
              <w:bottom w:val="nil"/>
              <w:right w:val="single" w:sz="4" w:space="0" w:color="auto"/>
            </w:tcBorders>
            <w:shd w:val="clear" w:color="000000" w:fill="FFFFFF"/>
            <w:noWrap/>
            <w:textDirection w:val="tbRl"/>
            <w:vAlign w:val="center"/>
            <w:hideMark/>
          </w:tcPr>
          <w:p w:rsidR="008B2A52" w:rsidRPr="00D57252" w:rsidRDefault="008B2A52" w:rsidP="00D57252">
            <w:pPr>
              <w:spacing w:after="0" w:line="240" w:lineRule="auto"/>
              <w:jc w:val="center"/>
              <w:rPr>
                <w:rFonts w:ascii="Calibri" w:eastAsia="Times New Roman" w:hAnsi="Calibri" w:cs="Calibri"/>
                <w:b/>
                <w:bCs/>
                <w:color w:val="000000"/>
                <w:sz w:val="20"/>
                <w:szCs w:val="20"/>
                <w:lang w:val="en-US" w:eastAsia="nl-NL"/>
              </w:rPr>
            </w:pPr>
            <w:r w:rsidRPr="00D57252">
              <w:rPr>
                <w:rFonts w:ascii="Calibri" w:eastAsia="Times New Roman" w:hAnsi="Calibri" w:cs="Calibri"/>
                <w:b/>
                <w:bCs/>
                <w:color w:val="000000"/>
                <w:sz w:val="20"/>
                <w:szCs w:val="20"/>
                <w:lang w:val="en-US" w:eastAsia="nl-NL"/>
              </w:rPr>
              <w:t>Information asymmetry: Investors have superior information to issuers and underwriters</w:t>
            </w:r>
          </w:p>
        </w:tc>
        <w:tc>
          <w:tcPr>
            <w:tcW w:w="1383" w:type="dxa"/>
            <w:gridSpan w:val="2"/>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Welch, 1989</w:t>
            </w:r>
          </w:p>
        </w:tc>
        <w:tc>
          <w:tcPr>
            <w:tcW w:w="1060" w:type="dxa"/>
            <w:gridSpan w:val="2"/>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Bikhchandani et al., 1992; Ritter, 1998</w:t>
            </w:r>
          </w:p>
        </w:tc>
        <w:tc>
          <w:tcPr>
            <w:tcW w:w="620" w:type="dxa"/>
            <w:tcBorders>
              <w:top w:val="nil"/>
              <w:left w:val="nil"/>
              <w:bottom w:val="nil"/>
              <w:right w:val="nil"/>
            </w:tcBorders>
            <w:shd w:val="clear" w:color="000000" w:fill="FFFFFF"/>
            <w:textDirection w:val="tbRl"/>
          </w:tcPr>
          <w:p w:rsidR="008B2A52" w:rsidRPr="00D57252" w:rsidRDefault="008B2A52" w:rsidP="009A1F95">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Author</w:t>
            </w:r>
          </w:p>
        </w:tc>
        <w:tc>
          <w:tcPr>
            <w:tcW w:w="620" w:type="dxa"/>
            <w:vMerge w:val="restart"/>
            <w:tcBorders>
              <w:top w:val="nil"/>
              <w:left w:val="nil"/>
              <w:bottom w:val="nil"/>
              <w:right w:val="nil"/>
            </w:tcBorders>
            <w:shd w:val="clear" w:color="000000" w:fill="FFFFFF"/>
            <w:noWrap/>
            <w:textDirection w:val="tbRl"/>
            <w:vAlign w:val="center"/>
            <w:hideMark/>
          </w:tcPr>
          <w:p w:rsidR="008B2A52" w:rsidRPr="00D57252" w:rsidRDefault="008B2A52" w:rsidP="00D57252">
            <w:pPr>
              <w:spacing w:after="0" w:line="240" w:lineRule="auto"/>
              <w:jc w:val="center"/>
              <w:rPr>
                <w:rFonts w:ascii="Calibri" w:eastAsia="Times New Roman" w:hAnsi="Calibri" w:cs="Calibri"/>
                <w:b/>
                <w:bCs/>
                <w:color w:val="000000"/>
                <w:lang w:eastAsia="nl-NL"/>
              </w:rPr>
            </w:pPr>
            <w:r w:rsidRPr="00D57252">
              <w:rPr>
                <w:rFonts w:ascii="Calibri" w:eastAsia="Times New Roman" w:hAnsi="Calibri" w:cs="Calibri"/>
                <w:b/>
                <w:bCs/>
                <w:color w:val="000000"/>
                <w:lang w:eastAsia="nl-NL"/>
              </w:rPr>
              <w:t>Table 1 Continued</w:t>
            </w:r>
          </w:p>
        </w:tc>
      </w:tr>
      <w:tr w:rsidR="008B2A52" w:rsidRPr="00D57252" w:rsidTr="008B2A52">
        <w:trPr>
          <w:gridAfter w:val="1"/>
          <w:wAfter w:w="620" w:type="dxa"/>
          <w:trHeight w:val="135"/>
        </w:trPr>
        <w:tc>
          <w:tcPr>
            <w:tcW w:w="2141"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044"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8B2A52" w:rsidRPr="00D57252" w:rsidRDefault="008B2A52" w:rsidP="00D57252">
            <w:pPr>
              <w:spacing w:after="0" w:line="240" w:lineRule="auto"/>
              <w:rPr>
                <w:rFonts w:ascii="Calibri" w:eastAsia="Times New Roman" w:hAnsi="Calibri" w:cs="Calibri"/>
                <w:b/>
                <w:bCs/>
                <w:color w:val="000000"/>
                <w:sz w:val="20"/>
                <w:szCs w:val="20"/>
                <w:lang w:eastAsia="nl-NL"/>
              </w:rPr>
            </w:pPr>
          </w:p>
        </w:tc>
        <w:tc>
          <w:tcPr>
            <w:tcW w:w="1383" w:type="dxa"/>
            <w:gridSpan w:val="2"/>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060" w:type="dxa"/>
            <w:gridSpan w:val="2"/>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620" w:type="dxa"/>
            <w:tcBorders>
              <w:top w:val="nil"/>
              <w:left w:val="nil"/>
              <w:bottom w:val="nil"/>
              <w:right w:val="nil"/>
            </w:tcBorders>
            <w:textDirection w:val="tbRl"/>
          </w:tcPr>
          <w:p w:rsidR="008B2A52" w:rsidRPr="00D57252" w:rsidRDefault="008B2A52" w:rsidP="009A1F95">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620" w:type="dxa"/>
            <w:vMerge/>
            <w:tcBorders>
              <w:top w:val="nil"/>
              <w:left w:val="nil"/>
              <w:bottom w:val="nil"/>
              <w:right w:val="nil"/>
            </w:tcBorders>
            <w:vAlign w:val="center"/>
            <w:hideMark/>
          </w:tcPr>
          <w:p w:rsidR="008B2A52" w:rsidRPr="00D57252" w:rsidRDefault="008B2A52" w:rsidP="00D57252">
            <w:pPr>
              <w:spacing w:after="0" w:line="240" w:lineRule="auto"/>
              <w:rPr>
                <w:rFonts w:ascii="Calibri" w:eastAsia="Times New Roman" w:hAnsi="Calibri" w:cs="Calibri"/>
                <w:b/>
                <w:bCs/>
                <w:color w:val="000000"/>
                <w:lang w:eastAsia="nl-NL"/>
              </w:rPr>
            </w:pPr>
          </w:p>
        </w:tc>
      </w:tr>
      <w:tr w:rsidR="008B2A52" w:rsidRPr="00D57252" w:rsidTr="008B2A52">
        <w:trPr>
          <w:gridAfter w:val="1"/>
          <w:wAfter w:w="620" w:type="dxa"/>
          <w:trHeight w:val="1725"/>
        </w:trPr>
        <w:tc>
          <w:tcPr>
            <w:tcW w:w="2141"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Prospect T</w:t>
            </w:r>
            <w:r w:rsidRPr="00D57252">
              <w:rPr>
                <w:rFonts w:ascii="Calibri" w:eastAsia="Times New Roman" w:hAnsi="Calibri" w:cs="Calibri"/>
                <w:color w:val="000000"/>
                <w:sz w:val="18"/>
                <w:szCs w:val="18"/>
                <w:lang w:eastAsia="nl-NL"/>
              </w:rPr>
              <w:t>heory</w:t>
            </w:r>
          </w:p>
        </w:tc>
        <w:tc>
          <w:tcPr>
            <w:tcW w:w="3044"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Book Building</w:t>
            </w:r>
            <w:r w:rsidRPr="00D57252">
              <w:rPr>
                <w:rFonts w:ascii="Calibri" w:eastAsia="Times New Roman" w:hAnsi="Calibri" w:cs="Calibri"/>
                <w:color w:val="000000"/>
                <w:sz w:val="18"/>
                <w:szCs w:val="18"/>
                <w:lang w:val="en-US" w:eastAsia="nl-NL"/>
              </w:rPr>
              <w:t xml:space="preserve">, underwriters </w:t>
            </w:r>
            <w:r w:rsidRPr="00D57252">
              <w:rPr>
                <w:rFonts w:ascii="Calibri" w:eastAsia="Times New Roman" w:hAnsi="Calibri" w:cs="Calibri"/>
                <w:color w:val="000000"/>
                <w:sz w:val="18"/>
                <w:szCs w:val="18"/>
                <w:lang w:val="en-US" w:eastAsia="nl-NL"/>
              </w:rPr>
              <w:br/>
              <w:t xml:space="preserve">use </w:t>
            </w:r>
            <w:r>
              <w:rPr>
                <w:rFonts w:ascii="Calibri" w:eastAsia="Times New Roman" w:hAnsi="Calibri" w:cs="Calibri"/>
                <w:color w:val="000000"/>
                <w:sz w:val="18"/>
                <w:szCs w:val="18"/>
                <w:lang w:val="en-US" w:eastAsia="nl-NL"/>
              </w:rPr>
              <w:t>Book Building</w:t>
            </w:r>
            <w:r w:rsidRPr="00D57252">
              <w:rPr>
                <w:rFonts w:ascii="Calibri" w:eastAsia="Times New Roman" w:hAnsi="Calibri" w:cs="Calibri"/>
                <w:color w:val="000000"/>
                <w:sz w:val="18"/>
                <w:szCs w:val="18"/>
                <w:lang w:val="en-US" w:eastAsia="nl-NL"/>
              </w:rPr>
              <w:t xml:space="preserve"> to solicit information from investors, investors who provide information are rewar</w:t>
            </w:r>
            <w:r>
              <w:rPr>
                <w:rFonts w:ascii="Calibri" w:eastAsia="Times New Roman" w:hAnsi="Calibri" w:cs="Calibri"/>
                <w:color w:val="000000"/>
                <w:sz w:val="18"/>
                <w:szCs w:val="18"/>
                <w:lang w:val="en-US" w:eastAsia="nl-NL"/>
              </w:rPr>
              <w:t>d</w:t>
            </w:r>
            <w:r w:rsidRPr="00D57252">
              <w:rPr>
                <w:rFonts w:ascii="Calibri" w:eastAsia="Times New Roman" w:hAnsi="Calibri" w:cs="Calibri"/>
                <w:color w:val="000000"/>
                <w:sz w:val="18"/>
                <w:szCs w:val="18"/>
                <w:lang w:val="en-US" w:eastAsia="nl-NL"/>
              </w:rPr>
              <w:t xml:space="preserve">ed with underpricing and allocations </w:t>
            </w:r>
          </w:p>
        </w:tc>
        <w:tc>
          <w:tcPr>
            <w:tcW w:w="372"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Theory</w:t>
            </w:r>
          </w:p>
        </w:tc>
        <w:tc>
          <w:tcPr>
            <w:tcW w:w="500" w:type="dxa"/>
            <w:vMerge/>
            <w:tcBorders>
              <w:top w:val="nil"/>
              <w:left w:val="double" w:sz="6" w:space="0" w:color="auto"/>
              <w:bottom w:val="nil"/>
              <w:right w:val="single" w:sz="4" w:space="0" w:color="auto"/>
            </w:tcBorders>
            <w:vAlign w:val="center"/>
            <w:hideMark/>
          </w:tcPr>
          <w:p w:rsidR="008B2A52" w:rsidRPr="00D57252" w:rsidRDefault="008B2A52" w:rsidP="00D57252">
            <w:pPr>
              <w:spacing w:after="0" w:line="240" w:lineRule="auto"/>
              <w:rPr>
                <w:rFonts w:ascii="Calibri" w:eastAsia="Times New Roman" w:hAnsi="Calibri" w:cs="Calibri"/>
                <w:b/>
                <w:bCs/>
                <w:color w:val="000000"/>
                <w:sz w:val="20"/>
                <w:szCs w:val="20"/>
                <w:lang w:eastAsia="nl-NL"/>
              </w:rPr>
            </w:pPr>
          </w:p>
        </w:tc>
        <w:tc>
          <w:tcPr>
            <w:tcW w:w="1383" w:type="dxa"/>
            <w:gridSpan w:val="2"/>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Signalling hypothesis: f</w:t>
            </w:r>
            <w:r w:rsidRPr="00D57252">
              <w:rPr>
                <w:rFonts w:ascii="Calibri" w:eastAsia="Times New Roman" w:hAnsi="Calibri" w:cs="Calibri"/>
                <w:color w:val="000000"/>
                <w:sz w:val="18"/>
                <w:szCs w:val="18"/>
                <w:lang w:val="en-US" w:eastAsia="nl-NL"/>
              </w:rPr>
              <w:t>irms deliberately underprice to signal good firm quality</w:t>
            </w:r>
          </w:p>
        </w:tc>
        <w:tc>
          <w:tcPr>
            <w:tcW w:w="1060" w:type="dxa"/>
            <w:gridSpan w:val="2"/>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Bandwagon hypothesis</w:t>
            </w:r>
          </w:p>
        </w:tc>
        <w:tc>
          <w:tcPr>
            <w:tcW w:w="620" w:type="dxa"/>
            <w:tcBorders>
              <w:top w:val="nil"/>
              <w:left w:val="nil"/>
              <w:bottom w:val="nil"/>
              <w:right w:val="nil"/>
            </w:tcBorders>
            <w:textDirection w:val="tbRl"/>
          </w:tcPr>
          <w:p w:rsidR="008B2A52" w:rsidRPr="00D57252" w:rsidRDefault="008B2A52" w:rsidP="009A1F95">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Theory</w:t>
            </w:r>
          </w:p>
        </w:tc>
        <w:tc>
          <w:tcPr>
            <w:tcW w:w="620" w:type="dxa"/>
            <w:vMerge/>
            <w:tcBorders>
              <w:top w:val="nil"/>
              <w:left w:val="nil"/>
              <w:bottom w:val="nil"/>
              <w:right w:val="nil"/>
            </w:tcBorders>
            <w:vAlign w:val="center"/>
            <w:hideMark/>
          </w:tcPr>
          <w:p w:rsidR="008B2A52" w:rsidRPr="00D57252" w:rsidRDefault="008B2A52" w:rsidP="00D57252">
            <w:pPr>
              <w:spacing w:after="0" w:line="240" w:lineRule="auto"/>
              <w:rPr>
                <w:rFonts w:ascii="Calibri" w:eastAsia="Times New Roman" w:hAnsi="Calibri" w:cs="Calibri"/>
                <w:b/>
                <w:bCs/>
                <w:color w:val="000000"/>
                <w:lang w:eastAsia="nl-NL"/>
              </w:rPr>
            </w:pPr>
          </w:p>
        </w:tc>
      </w:tr>
      <w:tr w:rsidR="008B2A52" w:rsidRPr="00D57252" w:rsidTr="008B2A52">
        <w:trPr>
          <w:gridAfter w:val="1"/>
          <w:wAfter w:w="620" w:type="dxa"/>
          <w:trHeight w:val="120"/>
        </w:trPr>
        <w:tc>
          <w:tcPr>
            <w:tcW w:w="2141"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044"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8B2A52" w:rsidRPr="00D57252" w:rsidRDefault="008B2A52" w:rsidP="00D57252">
            <w:pPr>
              <w:spacing w:after="0" w:line="240" w:lineRule="auto"/>
              <w:rPr>
                <w:rFonts w:ascii="Calibri" w:eastAsia="Times New Roman" w:hAnsi="Calibri" w:cs="Calibri"/>
                <w:b/>
                <w:bCs/>
                <w:color w:val="000000"/>
                <w:sz w:val="20"/>
                <w:szCs w:val="20"/>
                <w:lang w:eastAsia="nl-NL"/>
              </w:rPr>
            </w:pPr>
          </w:p>
        </w:tc>
        <w:tc>
          <w:tcPr>
            <w:tcW w:w="1383" w:type="dxa"/>
            <w:gridSpan w:val="2"/>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060" w:type="dxa"/>
            <w:gridSpan w:val="2"/>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620" w:type="dxa"/>
            <w:tcBorders>
              <w:top w:val="nil"/>
              <w:left w:val="nil"/>
              <w:bottom w:val="nil"/>
              <w:right w:val="nil"/>
            </w:tcBorders>
            <w:textDirection w:val="tbRl"/>
          </w:tcPr>
          <w:p w:rsidR="008B2A52" w:rsidRPr="00D57252" w:rsidRDefault="008B2A52" w:rsidP="009A1F95">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620" w:type="dxa"/>
            <w:vMerge/>
            <w:tcBorders>
              <w:top w:val="nil"/>
              <w:left w:val="nil"/>
              <w:bottom w:val="nil"/>
              <w:right w:val="nil"/>
            </w:tcBorders>
            <w:vAlign w:val="center"/>
            <w:hideMark/>
          </w:tcPr>
          <w:p w:rsidR="008B2A52" w:rsidRPr="00D57252" w:rsidRDefault="008B2A52" w:rsidP="00D57252">
            <w:pPr>
              <w:spacing w:after="0" w:line="240" w:lineRule="auto"/>
              <w:rPr>
                <w:rFonts w:ascii="Calibri" w:eastAsia="Times New Roman" w:hAnsi="Calibri" w:cs="Calibri"/>
                <w:b/>
                <w:bCs/>
                <w:color w:val="000000"/>
                <w:lang w:eastAsia="nl-NL"/>
              </w:rPr>
            </w:pPr>
          </w:p>
        </w:tc>
      </w:tr>
      <w:tr w:rsidR="008B2A52" w:rsidRPr="009C2F54" w:rsidTr="008B2A52">
        <w:trPr>
          <w:gridAfter w:val="1"/>
          <w:wAfter w:w="620" w:type="dxa"/>
          <w:trHeight w:val="2640"/>
        </w:trPr>
        <w:tc>
          <w:tcPr>
            <w:tcW w:w="2141"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Issuers are less concerned  about underpricing when prices are revised upwards</w:t>
            </w:r>
          </w:p>
        </w:tc>
        <w:tc>
          <w:tcPr>
            <w:tcW w:w="3044"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Underwriters do not fully </w:t>
            </w:r>
            <w:r w:rsidRPr="00D57252">
              <w:rPr>
                <w:rFonts w:ascii="Calibri" w:eastAsia="Times New Roman" w:hAnsi="Calibri" w:cs="Calibri"/>
                <w:color w:val="000000"/>
                <w:sz w:val="18"/>
                <w:szCs w:val="18"/>
                <w:lang w:val="en-US" w:eastAsia="nl-NL"/>
              </w:rPr>
              <w:br/>
              <w:t>adjust prices upwards when favorable information comes to light. Informed investors receive more allocations. Prestigious underwriters are better at extracting information</w:t>
            </w:r>
          </w:p>
        </w:tc>
        <w:tc>
          <w:tcPr>
            <w:tcW w:w="372"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Relation</w:t>
            </w:r>
          </w:p>
        </w:tc>
        <w:tc>
          <w:tcPr>
            <w:tcW w:w="500" w:type="dxa"/>
            <w:vMerge/>
            <w:tcBorders>
              <w:top w:val="nil"/>
              <w:left w:val="double" w:sz="6" w:space="0" w:color="auto"/>
              <w:bottom w:val="nil"/>
              <w:right w:val="single" w:sz="4" w:space="0" w:color="auto"/>
            </w:tcBorders>
            <w:vAlign w:val="center"/>
            <w:hideMark/>
          </w:tcPr>
          <w:p w:rsidR="008B2A52" w:rsidRPr="00D57252" w:rsidRDefault="008B2A52" w:rsidP="00D57252">
            <w:pPr>
              <w:spacing w:after="0" w:line="240" w:lineRule="auto"/>
              <w:rPr>
                <w:rFonts w:ascii="Calibri" w:eastAsia="Times New Roman" w:hAnsi="Calibri" w:cs="Calibri"/>
                <w:b/>
                <w:bCs/>
                <w:color w:val="000000"/>
                <w:sz w:val="20"/>
                <w:szCs w:val="20"/>
                <w:lang w:eastAsia="nl-NL"/>
              </w:rPr>
            </w:pPr>
          </w:p>
        </w:tc>
        <w:tc>
          <w:tcPr>
            <w:tcW w:w="1383" w:type="dxa"/>
            <w:gridSpan w:val="2"/>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Firms that are underpriced </w:t>
            </w:r>
            <w:r w:rsidRPr="00D57252">
              <w:rPr>
                <w:rFonts w:ascii="Calibri" w:eastAsia="Times New Roman" w:hAnsi="Calibri" w:cs="Calibri"/>
                <w:color w:val="000000"/>
                <w:sz w:val="18"/>
                <w:szCs w:val="18"/>
                <w:lang w:val="en-US" w:eastAsia="nl-NL"/>
              </w:rPr>
              <w:br/>
              <w:t xml:space="preserve">more, are more likely to issue subsequent </w:t>
            </w:r>
            <w:r>
              <w:rPr>
                <w:rFonts w:ascii="Calibri" w:eastAsia="Times New Roman" w:hAnsi="Calibri" w:cs="Calibri"/>
                <w:color w:val="000000"/>
                <w:sz w:val="18"/>
                <w:szCs w:val="18"/>
                <w:lang w:val="en-US" w:eastAsia="nl-NL"/>
              </w:rPr>
              <w:t>SEOs</w:t>
            </w:r>
          </w:p>
        </w:tc>
        <w:tc>
          <w:tcPr>
            <w:tcW w:w="1060" w:type="dxa"/>
            <w:gridSpan w:val="2"/>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IPOs are either extremely </w:t>
            </w:r>
            <w:r w:rsidRPr="00D57252">
              <w:rPr>
                <w:rFonts w:ascii="Calibri" w:eastAsia="Times New Roman" w:hAnsi="Calibri" w:cs="Calibri"/>
                <w:color w:val="000000"/>
                <w:sz w:val="18"/>
                <w:szCs w:val="18"/>
                <w:lang w:val="en-US" w:eastAsia="nl-NL"/>
              </w:rPr>
              <w:br/>
              <w:t>oversubscribed or undersubscribed</w:t>
            </w:r>
          </w:p>
        </w:tc>
        <w:tc>
          <w:tcPr>
            <w:tcW w:w="620" w:type="dxa"/>
            <w:tcBorders>
              <w:top w:val="nil"/>
              <w:left w:val="nil"/>
              <w:bottom w:val="nil"/>
              <w:right w:val="nil"/>
            </w:tcBorders>
            <w:textDirection w:val="tbRl"/>
          </w:tcPr>
          <w:p w:rsidR="008B2A52" w:rsidRPr="00D57252" w:rsidRDefault="008B2A52" w:rsidP="009A1F95">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Relation</w:t>
            </w:r>
          </w:p>
        </w:tc>
        <w:tc>
          <w:tcPr>
            <w:tcW w:w="620" w:type="dxa"/>
            <w:vMerge/>
            <w:tcBorders>
              <w:top w:val="nil"/>
              <w:left w:val="nil"/>
              <w:bottom w:val="nil"/>
              <w:right w:val="nil"/>
            </w:tcBorders>
            <w:vAlign w:val="center"/>
            <w:hideMark/>
          </w:tcPr>
          <w:p w:rsidR="008B2A52" w:rsidRPr="00D57252" w:rsidRDefault="008B2A52" w:rsidP="00D57252">
            <w:pPr>
              <w:spacing w:after="0" w:line="240" w:lineRule="auto"/>
              <w:rPr>
                <w:rFonts w:ascii="Calibri" w:eastAsia="Times New Roman" w:hAnsi="Calibri" w:cs="Calibri"/>
                <w:b/>
                <w:bCs/>
                <w:color w:val="000000"/>
                <w:lang w:val="en-US" w:eastAsia="nl-NL"/>
              </w:rPr>
            </w:pPr>
          </w:p>
        </w:tc>
      </w:tr>
      <w:tr w:rsidR="008B2A52" w:rsidRPr="009C2F54" w:rsidTr="008B2A52">
        <w:trPr>
          <w:gridAfter w:val="1"/>
          <w:wAfter w:w="620" w:type="dxa"/>
          <w:trHeight w:val="120"/>
        </w:trPr>
        <w:tc>
          <w:tcPr>
            <w:tcW w:w="2141"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p>
        </w:tc>
        <w:tc>
          <w:tcPr>
            <w:tcW w:w="3044"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p>
        </w:tc>
        <w:tc>
          <w:tcPr>
            <w:tcW w:w="372"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b/>
                <w:bCs/>
                <w:color w:val="000000"/>
                <w:sz w:val="18"/>
                <w:szCs w:val="18"/>
                <w:lang w:val="en-US" w:eastAsia="nl-NL"/>
              </w:rPr>
            </w:pPr>
            <w:r w:rsidRPr="00D57252">
              <w:rPr>
                <w:rFonts w:ascii="Calibri" w:eastAsia="Times New Roman" w:hAnsi="Calibri" w:cs="Calibri"/>
                <w:b/>
                <w:bCs/>
                <w:color w:val="000000"/>
                <w:sz w:val="18"/>
                <w:szCs w:val="18"/>
                <w:lang w:val="en-US" w:eastAsia="nl-NL"/>
              </w:rPr>
              <w:t> </w:t>
            </w:r>
          </w:p>
        </w:tc>
        <w:tc>
          <w:tcPr>
            <w:tcW w:w="500" w:type="dxa"/>
            <w:vMerge/>
            <w:tcBorders>
              <w:top w:val="nil"/>
              <w:left w:val="double" w:sz="6" w:space="0" w:color="auto"/>
              <w:bottom w:val="nil"/>
              <w:right w:val="single" w:sz="4" w:space="0" w:color="auto"/>
            </w:tcBorders>
            <w:vAlign w:val="center"/>
            <w:hideMark/>
          </w:tcPr>
          <w:p w:rsidR="008B2A52" w:rsidRPr="00D57252" w:rsidRDefault="008B2A52" w:rsidP="00D57252">
            <w:pPr>
              <w:spacing w:after="0" w:line="240" w:lineRule="auto"/>
              <w:rPr>
                <w:rFonts w:ascii="Calibri" w:eastAsia="Times New Roman" w:hAnsi="Calibri" w:cs="Calibri"/>
                <w:b/>
                <w:bCs/>
                <w:color w:val="000000"/>
                <w:sz w:val="20"/>
                <w:szCs w:val="20"/>
                <w:lang w:val="en-US" w:eastAsia="nl-NL"/>
              </w:rPr>
            </w:pPr>
          </w:p>
        </w:tc>
        <w:tc>
          <w:tcPr>
            <w:tcW w:w="1383" w:type="dxa"/>
            <w:gridSpan w:val="2"/>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p>
        </w:tc>
        <w:tc>
          <w:tcPr>
            <w:tcW w:w="1060" w:type="dxa"/>
            <w:gridSpan w:val="2"/>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p>
        </w:tc>
        <w:tc>
          <w:tcPr>
            <w:tcW w:w="620" w:type="dxa"/>
            <w:tcBorders>
              <w:top w:val="nil"/>
              <w:left w:val="nil"/>
              <w:bottom w:val="nil"/>
              <w:right w:val="nil"/>
            </w:tcBorders>
            <w:textDirection w:val="tbRl"/>
          </w:tcPr>
          <w:p w:rsidR="008B2A52" w:rsidRPr="00D57252" w:rsidRDefault="008B2A52" w:rsidP="009A1F95">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620" w:type="dxa"/>
            <w:vMerge/>
            <w:tcBorders>
              <w:top w:val="nil"/>
              <w:left w:val="nil"/>
              <w:bottom w:val="nil"/>
              <w:right w:val="nil"/>
            </w:tcBorders>
            <w:vAlign w:val="center"/>
            <w:hideMark/>
          </w:tcPr>
          <w:p w:rsidR="008B2A52" w:rsidRPr="00D57252" w:rsidRDefault="008B2A52" w:rsidP="00D57252">
            <w:pPr>
              <w:spacing w:after="0" w:line="240" w:lineRule="auto"/>
              <w:rPr>
                <w:rFonts w:ascii="Calibri" w:eastAsia="Times New Roman" w:hAnsi="Calibri" w:cs="Calibri"/>
                <w:b/>
                <w:bCs/>
                <w:color w:val="000000"/>
                <w:lang w:val="en-US" w:eastAsia="nl-NL"/>
              </w:rPr>
            </w:pPr>
          </w:p>
        </w:tc>
      </w:tr>
      <w:tr w:rsidR="008B2A52" w:rsidRPr="009C2F54" w:rsidTr="008B2A52">
        <w:trPr>
          <w:gridAfter w:val="1"/>
          <w:wAfter w:w="620" w:type="dxa"/>
          <w:trHeight w:val="2970"/>
        </w:trPr>
        <w:tc>
          <w:tcPr>
            <w:tcW w:w="2141"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Price revisions are positively related to  underpricing</w:t>
            </w:r>
          </w:p>
        </w:tc>
        <w:tc>
          <w:tcPr>
            <w:tcW w:w="3044"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Price revisions are positively related to  underpricing, institutional investors recieve more allocations, underwriter reputation is negatively related to underpricing</w:t>
            </w:r>
          </w:p>
        </w:tc>
        <w:tc>
          <w:tcPr>
            <w:tcW w:w="372"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Testable impl</w:t>
            </w:r>
            <w:r w:rsidR="00835DB9">
              <w:rPr>
                <w:rFonts w:ascii="Calibri" w:eastAsia="Times New Roman" w:hAnsi="Calibri" w:cs="Calibri"/>
                <w:b/>
                <w:bCs/>
                <w:color w:val="000000"/>
                <w:sz w:val="18"/>
                <w:szCs w:val="18"/>
                <w:lang w:eastAsia="nl-NL"/>
              </w:rPr>
              <w:t>ications</w:t>
            </w:r>
          </w:p>
        </w:tc>
        <w:tc>
          <w:tcPr>
            <w:tcW w:w="500" w:type="dxa"/>
            <w:vMerge/>
            <w:tcBorders>
              <w:top w:val="nil"/>
              <w:left w:val="double" w:sz="6" w:space="0" w:color="auto"/>
              <w:bottom w:val="nil"/>
              <w:right w:val="single" w:sz="4" w:space="0" w:color="auto"/>
            </w:tcBorders>
            <w:vAlign w:val="center"/>
            <w:hideMark/>
          </w:tcPr>
          <w:p w:rsidR="008B2A52" w:rsidRPr="00D57252" w:rsidRDefault="008B2A52" w:rsidP="00D57252">
            <w:pPr>
              <w:spacing w:after="0" w:line="240" w:lineRule="auto"/>
              <w:rPr>
                <w:rFonts w:ascii="Calibri" w:eastAsia="Times New Roman" w:hAnsi="Calibri" w:cs="Calibri"/>
                <w:b/>
                <w:bCs/>
                <w:color w:val="000000"/>
                <w:sz w:val="20"/>
                <w:szCs w:val="20"/>
                <w:lang w:eastAsia="nl-NL"/>
              </w:rPr>
            </w:pPr>
          </w:p>
        </w:tc>
        <w:tc>
          <w:tcPr>
            <w:tcW w:w="1383" w:type="dxa"/>
            <w:gridSpan w:val="2"/>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Underpricing is positively related to the  probability of an SEO</w:t>
            </w:r>
          </w:p>
        </w:tc>
        <w:tc>
          <w:tcPr>
            <w:tcW w:w="1060" w:type="dxa"/>
            <w:gridSpan w:val="2"/>
            <w:tcBorders>
              <w:top w:val="nil"/>
              <w:left w:val="nil"/>
              <w:bottom w:val="nil"/>
              <w:right w:val="nil"/>
            </w:tcBorders>
            <w:shd w:val="clear" w:color="000000" w:fill="FFFFFF"/>
            <w:noWrap/>
            <w:textDirection w:val="tbRl"/>
            <w:hideMark/>
          </w:tcPr>
          <w:p w:rsidR="008B2A52" w:rsidRPr="00D57252" w:rsidRDefault="008B2A52" w:rsidP="002C057F">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r>
              <w:rPr>
                <w:rFonts w:ascii="Calibri" w:eastAsia="Times New Roman" w:hAnsi="Calibri" w:cs="Calibri"/>
                <w:color w:val="000000"/>
                <w:sz w:val="18"/>
                <w:szCs w:val="18"/>
                <w:lang w:val="en-US" w:eastAsia="nl-NL"/>
              </w:rPr>
              <w:t>Not empirically tested</w:t>
            </w:r>
          </w:p>
        </w:tc>
        <w:tc>
          <w:tcPr>
            <w:tcW w:w="620" w:type="dxa"/>
            <w:tcBorders>
              <w:top w:val="nil"/>
              <w:left w:val="nil"/>
              <w:bottom w:val="nil"/>
              <w:right w:val="nil"/>
            </w:tcBorders>
            <w:textDirection w:val="tbRl"/>
          </w:tcPr>
          <w:p w:rsidR="008B2A52" w:rsidRPr="00D57252" w:rsidRDefault="008B2A52" w:rsidP="009A1F95">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Testable impli</w:t>
            </w:r>
            <w:r w:rsidRPr="00D57252">
              <w:rPr>
                <w:rFonts w:ascii="Calibri" w:eastAsia="Times New Roman" w:hAnsi="Calibri" w:cs="Calibri"/>
                <w:b/>
                <w:bCs/>
                <w:color w:val="000000"/>
                <w:sz w:val="18"/>
                <w:szCs w:val="18"/>
                <w:lang w:eastAsia="nl-NL"/>
              </w:rPr>
              <w:t>cations</w:t>
            </w:r>
          </w:p>
        </w:tc>
        <w:tc>
          <w:tcPr>
            <w:tcW w:w="620" w:type="dxa"/>
            <w:vMerge/>
            <w:tcBorders>
              <w:top w:val="nil"/>
              <w:left w:val="nil"/>
              <w:bottom w:val="nil"/>
              <w:right w:val="nil"/>
            </w:tcBorders>
            <w:vAlign w:val="center"/>
            <w:hideMark/>
          </w:tcPr>
          <w:p w:rsidR="008B2A52" w:rsidRPr="00D57252" w:rsidRDefault="008B2A52" w:rsidP="00D57252">
            <w:pPr>
              <w:spacing w:after="0" w:line="240" w:lineRule="auto"/>
              <w:rPr>
                <w:rFonts w:ascii="Calibri" w:eastAsia="Times New Roman" w:hAnsi="Calibri" w:cs="Calibri"/>
                <w:b/>
                <w:bCs/>
                <w:color w:val="000000"/>
                <w:lang w:val="en-US" w:eastAsia="nl-NL"/>
              </w:rPr>
            </w:pPr>
          </w:p>
        </w:tc>
      </w:tr>
      <w:tr w:rsidR="008B2A52" w:rsidRPr="009C2F54" w:rsidTr="008B2A52">
        <w:trPr>
          <w:gridAfter w:val="1"/>
          <w:wAfter w:w="620" w:type="dxa"/>
          <w:trHeight w:val="120"/>
        </w:trPr>
        <w:tc>
          <w:tcPr>
            <w:tcW w:w="2141"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p>
        </w:tc>
        <w:tc>
          <w:tcPr>
            <w:tcW w:w="3044" w:type="dxa"/>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p>
        </w:tc>
        <w:tc>
          <w:tcPr>
            <w:tcW w:w="372"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b/>
                <w:bCs/>
                <w:color w:val="000000"/>
                <w:sz w:val="18"/>
                <w:szCs w:val="18"/>
                <w:lang w:val="en-US" w:eastAsia="nl-NL"/>
              </w:rPr>
            </w:pPr>
            <w:r w:rsidRPr="00D57252">
              <w:rPr>
                <w:rFonts w:ascii="Calibri" w:eastAsia="Times New Roman" w:hAnsi="Calibri" w:cs="Calibri"/>
                <w:b/>
                <w:bCs/>
                <w:color w:val="000000"/>
                <w:sz w:val="18"/>
                <w:szCs w:val="18"/>
                <w:lang w:val="en-US" w:eastAsia="nl-NL"/>
              </w:rPr>
              <w:t> </w:t>
            </w:r>
          </w:p>
        </w:tc>
        <w:tc>
          <w:tcPr>
            <w:tcW w:w="500" w:type="dxa"/>
            <w:vMerge/>
            <w:tcBorders>
              <w:top w:val="nil"/>
              <w:left w:val="double" w:sz="6" w:space="0" w:color="auto"/>
              <w:bottom w:val="nil"/>
              <w:right w:val="single" w:sz="4" w:space="0" w:color="auto"/>
            </w:tcBorders>
            <w:vAlign w:val="center"/>
            <w:hideMark/>
          </w:tcPr>
          <w:p w:rsidR="008B2A52" w:rsidRPr="00D57252" w:rsidRDefault="008B2A52" w:rsidP="00D57252">
            <w:pPr>
              <w:spacing w:after="0" w:line="240" w:lineRule="auto"/>
              <w:rPr>
                <w:rFonts w:ascii="Calibri" w:eastAsia="Times New Roman" w:hAnsi="Calibri" w:cs="Calibri"/>
                <w:b/>
                <w:bCs/>
                <w:color w:val="000000"/>
                <w:sz w:val="20"/>
                <w:szCs w:val="20"/>
                <w:lang w:val="en-US" w:eastAsia="nl-NL"/>
              </w:rPr>
            </w:pPr>
          </w:p>
        </w:tc>
        <w:tc>
          <w:tcPr>
            <w:tcW w:w="1383" w:type="dxa"/>
            <w:gridSpan w:val="2"/>
            <w:tcBorders>
              <w:top w:val="nil"/>
              <w:left w:val="nil"/>
              <w:bottom w:val="nil"/>
              <w:right w:val="nil"/>
            </w:tcBorders>
            <w:shd w:val="clear" w:color="000000" w:fill="FFFFFF"/>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p>
        </w:tc>
        <w:tc>
          <w:tcPr>
            <w:tcW w:w="1060" w:type="dxa"/>
            <w:gridSpan w:val="2"/>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p>
        </w:tc>
        <w:tc>
          <w:tcPr>
            <w:tcW w:w="620" w:type="dxa"/>
            <w:tcBorders>
              <w:top w:val="nil"/>
              <w:left w:val="nil"/>
              <w:bottom w:val="nil"/>
              <w:right w:val="nil"/>
            </w:tcBorders>
            <w:textDirection w:val="tbRl"/>
          </w:tcPr>
          <w:p w:rsidR="008B2A52" w:rsidRPr="00D57252" w:rsidRDefault="008B2A52" w:rsidP="009A1F95">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620" w:type="dxa"/>
            <w:vMerge/>
            <w:tcBorders>
              <w:top w:val="nil"/>
              <w:left w:val="nil"/>
              <w:bottom w:val="nil"/>
              <w:right w:val="nil"/>
            </w:tcBorders>
            <w:vAlign w:val="center"/>
            <w:hideMark/>
          </w:tcPr>
          <w:p w:rsidR="008B2A52" w:rsidRPr="00D57252" w:rsidRDefault="008B2A52" w:rsidP="00D57252">
            <w:pPr>
              <w:spacing w:after="0" w:line="240" w:lineRule="auto"/>
              <w:rPr>
                <w:rFonts w:ascii="Calibri" w:eastAsia="Times New Roman" w:hAnsi="Calibri" w:cs="Calibri"/>
                <w:b/>
                <w:bCs/>
                <w:color w:val="000000"/>
                <w:lang w:val="en-US" w:eastAsia="nl-NL"/>
              </w:rPr>
            </w:pPr>
          </w:p>
        </w:tc>
      </w:tr>
      <w:tr w:rsidR="008B2A52" w:rsidRPr="00D57252" w:rsidTr="008B2A52">
        <w:trPr>
          <w:gridAfter w:val="1"/>
          <w:wAfter w:w="620" w:type="dxa"/>
          <w:trHeight w:val="2729"/>
        </w:trPr>
        <w:tc>
          <w:tcPr>
            <w:tcW w:w="2141"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r>
              <w:rPr>
                <w:rFonts w:ascii="Calibri" w:eastAsia="Times New Roman" w:hAnsi="Calibri" w:cs="Calibri"/>
                <w:color w:val="000000"/>
                <w:sz w:val="18"/>
                <w:szCs w:val="18"/>
                <w:lang w:val="en-US" w:eastAsia="nl-NL"/>
              </w:rPr>
              <w:t>Loughran &amp; Ritter, 2004; Hanley, 1993</w:t>
            </w:r>
          </w:p>
        </w:tc>
        <w:tc>
          <w:tcPr>
            <w:tcW w:w="3044" w:type="dxa"/>
            <w:tcBorders>
              <w:top w:val="nil"/>
              <w:left w:val="nil"/>
              <w:bottom w:val="nil"/>
              <w:right w:val="nil"/>
            </w:tcBorders>
            <w:shd w:val="clear" w:color="000000" w:fill="FFFFFF"/>
            <w:textDirection w:val="tbRl"/>
            <w:hideMark/>
          </w:tcPr>
          <w:p w:rsidR="008B2A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Hanley, 1993; Ritter &amp; Welch, </w:t>
            </w:r>
          </w:p>
          <w:p w:rsidR="008B2A52" w:rsidRPr="00D57252" w:rsidRDefault="008B2A52"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2002; Cornelli &amp; Goldreich, 2001; Loughran and Ritter, 2004 (in </w:t>
            </w:r>
            <w:r>
              <w:rPr>
                <w:rFonts w:ascii="Calibri" w:eastAsia="Times New Roman" w:hAnsi="Calibri" w:cs="Calibri"/>
                <w:color w:val="000000"/>
                <w:sz w:val="18"/>
                <w:szCs w:val="18"/>
                <w:lang w:val="en-US" w:eastAsia="nl-NL"/>
              </w:rPr>
              <w:t>1980’s</w:t>
            </w:r>
            <w:r w:rsidRPr="00D57252">
              <w:rPr>
                <w:rFonts w:ascii="Calibri" w:eastAsia="Times New Roman" w:hAnsi="Calibri" w:cs="Calibri"/>
                <w:color w:val="000000"/>
                <w:sz w:val="18"/>
                <w:szCs w:val="18"/>
                <w:lang w:val="en-US" w:eastAsia="nl-NL"/>
              </w:rPr>
              <w:t>);  Michealy &amp; Shaw, 1994; Benveniste et al. 2002, 2003</w:t>
            </w:r>
          </w:p>
        </w:tc>
        <w:tc>
          <w:tcPr>
            <w:tcW w:w="372" w:type="dxa"/>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Supporting evidence</w:t>
            </w:r>
          </w:p>
        </w:tc>
        <w:tc>
          <w:tcPr>
            <w:tcW w:w="500" w:type="dxa"/>
            <w:vMerge/>
            <w:tcBorders>
              <w:top w:val="nil"/>
              <w:left w:val="double" w:sz="6" w:space="0" w:color="auto"/>
              <w:bottom w:val="nil"/>
              <w:right w:val="single" w:sz="4" w:space="0" w:color="auto"/>
            </w:tcBorders>
            <w:vAlign w:val="center"/>
            <w:hideMark/>
          </w:tcPr>
          <w:p w:rsidR="008B2A52" w:rsidRPr="00D57252" w:rsidRDefault="008B2A52" w:rsidP="00D57252">
            <w:pPr>
              <w:spacing w:after="0" w:line="240" w:lineRule="auto"/>
              <w:rPr>
                <w:rFonts w:ascii="Calibri" w:eastAsia="Times New Roman" w:hAnsi="Calibri" w:cs="Calibri"/>
                <w:b/>
                <w:bCs/>
                <w:color w:val="000000"/>
                <w:sz w:val="20"/>
                <w:szCs w:val="20"/>
                <w:lang w:eastAsia="nl-NL"/>
              </w:rPr>
            </w:pPr>
          </w:p>
        </w:tc>
        <w:tc>
          <w:tcPr>
            <w:tcW w:w="1383" w:type="dxa"/>
            <w:gridSpan w:val="2"/>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Je</w:t>
            </w:r>
            <w:r w:rsidRPr="00D57252">
              <w:rPr>
                <w:rFonts w:ascii="Calibri" w:eastAsia="Times New Roman" w:hAnsi="Calibri" w:cs="Calibri"/>
                <w:color w:val="000000"/>
                <w:sz w:val="18"/>
                <w:szCs w:val="18"/>
                <w:lang w:eastAsia="nl-NL"/>
              </w:rPr>
              <w:t>gadeesh et al., 1993</w:t>
            </w:r>
          </w:p>
        </w:tc>
        <w:tc>
          <w:tcPr>
            <w:tcW w:w="1060" w:type="dxa"/>
            <w:gridSpan w:val="2"/>
            <w:tcBorders>
              <w:top w:val="nil"/>
              <w:left w:val="nil"/>
              <w:bottom w:val="nil"/>
              <w:right w:val="nil"/>
            </w:tcBorders>
            <w:shd w:val="clear" w:color="000000" w:fill="FFFFFF"/>
            <w:noWrap/>
            <w:textDirection w:val="tbRl"/>
            <w:hideMark/>
          </w:tcPr>
          <w:p w:rsidR="008B2A52" w:rsidRPr="00D57252" w:rsidRDefault="008B2A52"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Amihud et al., 2003</w:t>
            </w:r>
          </w:p>
        </w:tc>
        <w:tc>
          <w:tcPr>
            <w:tcW w:w="620" w:type="dxa"/>
            <w:tcBorders>
              <w:top w:val="nil"/>
              <w:left w:val="nil"/>
              <w:bottom w:val="nil"/>
              <w:right w:val="nil"/>
            </w:tcBorders>
            <w:textDirection w:val="tbRl"/>
          </w:tcPr>
          <w:p w:rsidR="008B2A52" w:rsidRPr="00D57252" w:rsidRDefault="008B2A52" w:rsidP="009A1F95">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Supporting evidence</w:t>
            </w:r>
          </w:p>
        </w:tc>
        <w:tc>
          <w:tcPr>
            <w:tcW w:w="620" w:type="dxa"/>
            <w:vMerge/>
            <w:tcBorders>
              <w:top w:val="nil"/>
              <w:left w:val="nil"/>
              <w:bottom w:val="nil"/>
              <w:right w:val="nil"/>
            </w:tcBorders>
            <w:vAlign w:val="center"/>
            <w:hideMark/>
          </w:tcPr>
          <w:p w:rsidR="008B2A52" w:rsidRPr="00D57252" w:rsidRDefault="008B2A52" w:rsidP="00D57252">
            <w:pPr>
              <w:spacing w:after="0" w:line="240" w:lineRule="auto"/>
              <w:rPr>
                <w:rFonts w:ascii="Calibri" w:eastAsia="Times New Roman" w:hAnsi="Calibri" w:cs="Calibri"/>
                <w:b/>
                <w:bCs/>
                <w:color w:val="000000"/>
                <w:lang w:eastAsia="nl-NL"/>
              </w:rPr>
            </w:pPr>
          </w:p>
        </w:tc>
      </w:tr>
      <w:tr w:rsidR="00042483" w:rsidRPr="00D57252" w:rsidTr="008B2A52">
        <w:trPr>
          <w:trHeight w:val="120"/>
        </w:trPr>
        <w:tc>
          <w:tcPr>
            <w:tcW w:w="2141" w:type="dxa"/>
            <w:tcBorders>
              <w:top w:val="nil"/>
              <w:left w:val="nil"/>
              <w:bottom w:val="nil"/>
              <w:right w:val="nil"/>
            </w:tcBorders>
            <w:shd w:val="clear" w:color="000000" w:fill="FFFFFF"/>
            <w:noWrap/>
            <w:textDirection w:val="tbRl"/>
            <w:hideMark/>
          </w:tcPr>
          <w:p w:rsidR="00042483" w:rsidRPr="00D57252" w:rsidRDefault="00042483"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044" w:type="dxa"/>
            <w:tcBorders>
              <w:top w:val="nil"/>
              <w:left w:val="nil"/>
              <w:bottom w:val="nil"/>
              <w:right w:val="nil"/>
            </w:tcBorders>
            <w:shd w:val="clear" w:color="000000" w:fill="FFFFFF"/>
            <w:textDirection w:val="tbRl"/>
            <w:hideMark/>
          </w:tcPr>
          <w:p w:rsidR="00042483" w:rsidRPr="00D57252" w:rsidRDefault="00042483"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042483" w:rsidRPr="00D57252" w:rsidRDefault="00042483"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042483" w:rsidRPr="00D57252" w:rsidRDefault="00042483" w:rsidP="00D57252">
            <w:pPr>
              <w:spacing w:after="0" w:line="240" w:lineRule="auto"/>
              <w:rPr>
                <w:rFonts w:ascii="Calibri" w:eastAsia="Times New Roman" w:hAnsi="Calibri" w:cs="Calibri"/>
                <w:b/>
                <w:bCs/>
                <w:color w:val="000000"/>
                <w:sz w:val="20"/>
                <w:szCs w:val="20"/>
                <w:lang w:eastAsia="nl-NL"/>
              </w:rPr>
            </w:pPr>
          </w:p>
        </w:tc>
        <w:tc>
          <w:tcPr>
            <w:tcW w:w="617" w:type="dxa"/>
            <w:tcBorders>
              <w:top w:val="nil"/>
              <w:left w:val="nil"/>
              <w:bottom w:val="nil"/>
              <w:right w:val="nil"/>
            </w:tcBorders>
            <w:shd w:val="clear" w:color="000000" w:fill="FFFFFF"/>
            <w:noWrap/>
            <w:textDirection w:val="tbRl"/>
            <w:hideMark/>
          </w:tcPr>
          <w:p w:rsidR="00042483" w:rsidRPr="00D57252" w:rsidRDefault="00042483"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383" w:type="dxa"/>
            <w:gridSpan w:val="2"/>
            <w:tcBorders>
              <w:top w:val="nil"/>
              <w:left w:val="nil"/>
              <w:bottom w:val="nil"/>
              <w:right w:val="nil"/>
            </w:tcBorders>
            <w:shd w:val="clear" w:color="000000" w:fill="FFFFFF"/>
            <w:noWrap/>
            <w:textDirection w:val="tbRl"/>
            <w:hideMark/>
          </w:tcPr>
          <w:p w:rsidR="00042483" w:rsidRPr="00D57252" w:rsidRDefault="00042483"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063" w:type="dxa"/>
            <w:gridSpan w:val="2"/>
            <w:tcBorders>
              <w:top w:val="nil"/>
              <w:left w:val="nil"/>
              <w:bottom w:val="nil"/>
              <w:right w:val="nil"/>
            </w:tcBorders>
            <w:shd w:val="clear" w:color="000000" w:fill="FFFFFF"/>
            <w:noWrap/>
            <w:textDirection w:val="tbRl"/>
            <w:hideMark/>
          </w:tcPr>
          <w:p w:rsidR="00042483" w:rsidRPr="00D57252" w:rsidRDefault="00042483"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620" w:type="dxa"/>
            <w:tcBorders>
              <w:top w:val="nil"/>
              <w:left w:val="nil"/>
              <w:bottom w:val="nil"/>
              <w:right w:val="nil"/>
            </w:tcBorders>
            <w:textDirection w:val="tbRl"/>
          </w:tcPr>
          <w:p w:rsidR="00042483" w:rsidRPr="00D57252" w:rsidRDefault="00042483" w:rsidP="009A1F95">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620" w:type="dxa"/>
            <w:vMerge w:val="restart"/>
            <w:tcBorders>
              <w:top w:val="nil"/>
              <w:left w:val="nil"/>
              <w:bottom w:val="nil"/>
              <w:right w:val="nil"/>
            </w:tcBorders>
            <w:vAlign w:val="center"/>
            <w:hideMark/>
          </w:tcPr>
          <w:p w:rsidR="00042483" w:rsidRPr="00D57252" w:rsidRDefault="00042483" w:rsidP="00D57252">
            <w:pPr>
              <w:spacing w:after="0" w:line="240" w:lineRule="auto"/>
              <w:rPr>
                <w:rFonts w:ascii="Calibri" w:eastAsia="Times New Roman" w:hAnsi="Calibri" w:cs="Calibri"/>
                <w:b/>
                <w:bCs/>
                <w:color w:val="000000"/>
                <w:lang w:eastAsia="nl-NL"/>
              </w:rPr>
            </w:pPr>
          </w:p>
        </w:tc>
      </w:tr>
      <w:tr w:rsidR="00042483" w:rsidRPr="009C2F54" w:rsidTr="008B2A52">
        <w:trPr>
          <w:trHeight w:val="1554"/>
        </w:trPr>
        <w:tc>
          <w:tcPr>
            <w:tcW w:w="2141" w:type="dxa"/>
            <w:tcBorders>
              <w:top w:val="nil"/>
              <w:left w:val="nil"/>
              <w:bottom w:val="nil"/>
              <w:right w:val="nil"/>
            </w:tcBorders>
            <w:shd w:val="clear" w:color="000000" w:fill="FFFFFF"/>
            <w:noWrap/>
            <w:textDirection w:val="tbRl"/>
            <w:hideMark/>
          </w:tcPr>
          <w:p w:rsidR="00042483" w:rsidRPr="00D57252" w:rsidRDefault="00042483"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044" w:type="dxa"/>
            <w:tcBorders>
              <w:top w:val="nil"/>
              <w:left w:val="nil"/>
              <w:bottom w:val="nil"/>
              <w:right w:val="nil"/>
            </w:tcBorders>
            <w:shd w:val="clear" w:color="000000" w:fill="FFFFFF"/>
            <w:textDirection w:val="tbRl"/>
            <w:hideMark/>
          </w:tcPr>
          <w:p w:rsidR="00042483" w:rsidRPr="00D57252" w:rsidRDefault="00042483"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Loughran &amp; Ritter, 2002: </w:t>
            </w:r>
            <w:r w:rsidRPr="00D57252">
              <w:rPr>
                <w:rFonts w:ascii="Calibri" w:eastAsia="Times New Roman" w:hAnsi="Calibri" w:cs="Calibri"/>
                <w:color w:val="000000"/>
                <w:sz w:val="18"/>
                <w:szCs w:val="18"/>
                <w:lang w:val="en-US" w:eastAsia="nl-NL"/>
              </w:rPr>
              <w:br/>
              <w:t>Prices are not revised upwards when positive public information comes to light (stock market rallies)</w:t>
            </w:r>
          </w:p>
        </w:tc>
        <w:tc>
          <w:tcPr>
            <w:tcW w:w="372" w:type="dxa"/>
            <w:tcBorders>
              <w:top w:val="nil"/>
              <w:left w:val="nil"/>
              <w:bottom w:val="nil"/>
              <w:right w:val="nil"/>
            </w:tcBorders>
            <w:shd w:val="clear" w:color="000000" w:fill="FFFFFF"/>
            <w:noWrap/>
            <w:textDirection w:val="tbRl"/>
            <w:hideMark/>
          </w:tcPr>
          <w:p w:rsidR="00042483" w:rsidRPr="00D57252" w:rsidRDefault="00042483"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Cr</w:t>
            </w:r>
            <w:r>
              <w:rPr>
                <w:rFonts w:ascii="Calibri" w:eastAsia="Times New Roman" w:hAnsi="Calibri" w:cs="Calibri"/>
                <w:b/>
                <w:bCs/>
                <w:color w:val="000000"/>
                <w:sz w:val="18"/>
                <w:szCs w:val="18"/>
                <w:lang w:eastAsia="nl-NL"/>
              </w:rPr>
              <w:t>i</w:t>
            </w:r>
            <w:r w:rsidRPr="00D57252">
              <w:rPr>
                <w:rFonts w:ascii="Calibri" w:eastAsia="Times New Roman" w:hAnsi="Calibri" w:cs="Calibri"/>
                <w:b/>
                <w:bCs/>
                <w:color w:val="000000"/>
                <w:sz w:val="18"/>
                <w:szCs w:val="18"/>
                <w:lang w:eastAsia="nl-NL"/>
              </w:rPr>
              <w:t>ticism</w:t>
            </w:r>
          </w:p>
        </w:tc>
        <w:tc>
          <w:tcPr>
            <w:tcW w:w="500" w:type="dxa"/>
            <w:vMerge/>
            <w:tcBorders>
              <w:top w:val="nil"/>
              <w:left w:val="double" w:sz="6" w:space="0" w:color="auto"/>
              <w:bottom w:val="nil"/>
              <w:right w:val="single" w:sz="4" w:space="0" w:color="auto"/>
            </w:tcBorders>
            <w:vAlign w:val="center"/>
            <w:hideMark/>
          </w:tcPr>
          <w:p w:rsidR="00042483" w:rsidRPr="00D57252" w:rsidRDefault="00042483" w:rsidP="00D57252">
            <w:pPr>
              <w:spacing w:after="0" w:line="240" w:lineRule="auto"/>
              <w:rPr>
                <w:rFonts w:ascii="Calibri" w:eastAsia="Times New Roman" w:hAnsi="Calibri" w:cs="Calibri"/>
                <w:b/>
                <w:bCs/>
                <w:color w:val="000000"/>
                <w:sz w:val="20"/>
                <w:szCs w:val="20"/>
                <w:lang w:eastAsia="nl-NL"/>
              </w:rPr>
            </w:pPr>
          </w:p>
        </w:tc>
        <w:tc>
          <w:tcPr>
            <w:tcW w:w="617" w:type="dxa"/>
            <w:tcBorders>
              <w:top w:val="nil"/>
              <w:left w:val="nil"/>
              <w:bottom w:val="nil"/>
              <w:right w:val="nil"/>
            </w:tcBorders>
            <w:shd w:val="clear" w:color="000000" w:fill="FFFFFF"/>
            <w:noWrap/>
            <w:textDirection w:val="tbRl"/>
            <w:hideMark/>
          </w:tcPr>
          <w:p w:rsidR="00042483" w:rsidRPr="00D57252" w:rsidRDefault="00042483"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1383" w:type="dxa"/>
            <w:gridSpan w:val="2"/>
            <w:tcBorders>
              <w:top w:val="nil"/>
              <w:left w:val="nil"/>
              <w:bottom w:val="nil"/>
              <w:right w:val="nil"/>
            </w:tcBorders>
            <w:shd w:val="clear" w:color="000000" w:fill="FFFFFF"/>
            <w:textDirection w:val="tbRl"/>
            <w:hideMark/>
          </w:tcPr>
          <w:p w:rsidR="00042483" w:rsidRPr="00D57252" w:rsidRDefault="00042483" w:rsidP="00AA433C">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 Michaely &amp; Shaw, 1994</w:t>
            </w:r>
          </w:p>
        </w:tc>
        <w:tc>
          <w:tcPr>
            <w:tcW w:w="1063" w:type="dxa"/>
            <w:gridSpan w:val="2"/>
            <w:tcBorders>
              <w:top w:val="nil"/>
              <w:left w:val="nil"/>
              <w:bottom w:val="nil"/>
              <w:right w:val="nil"/>
            </w:tcBorders>
            <w:shd w:val="clear" w:color="000000" w:fill="FFFFFF"/>
            <w:noWrap/>
            <w:textDirection w:val="tbRl"/>
            <w:hideMark/>
          </w:tcPr>
          <w:p w:rsidR="00042483" w:rsidRPr="00D57252" w:rsidRDefault="00042483"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p>
        </w:tc>
        <w:tc>
          <w:tcPr>
            <w:tcW w:w="620" w:type="dxa"/>
            <w:tcBorders>
              <w:top w:val="nil"/>
              <w:left w:val="nil"/>
              <w:bottom w:val="nil"/>
              <w:right w:val="nil"/>
            </w:tcBorders>
            <w:textDirection w:val="tbRl"/>
          </w:tcPr>
          <w:p w:rsidR="00042483" w:rsidRPr="00D57252" w:rsidRDefault="00042483" w:rsidP="009A1F95">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Cr</w:t>
            </w:r>
            <w:r>
              <w:rPr>
                <w:rFonts w:ascii="Calibri" w:eastAsia="Times New Roman" w:hAnsi="Calibri" w:cs="Calibri"/>
                <w:b/>
                <w:bCs/>
                <w:color w:val="000000"/>
                <w:sz w:val="18"/>
                <w:szCs w:val="18"/>
                <w:lang w:eastAsia="nl-NL"/>
              </w:rPr>
              <w:t>i</w:t>
            </w:r>
            <w:r w:rsidRPr="00D57252">
              <w:rPr>
                <w:rFonts w:ascii="Calibri" w:eastAsia="Times New Roman" w:hAnsi="Calibri" w:cs="Calibri"/>
                <w:b/>
                <w:bCs/>
                <w:color w:val="000000"/>
                <w:sz w:val="18"/>
                <w:szCs w:val="18"/>
                <w:lang w:eastAsia="nl-NL"/>
              </w:rPr>
              <w:t>ticism</w:t>
            </w:r>
          </w:p>
        </w:tc>
        <w:tc>
          <w:tcPr>
            <w:tcW w:w="620" w:type="dxa"/>
            <w:vMerge/>
            <w:tcBorders>
              <w:top w:val="nil"/>
              <w:left w:val="nil"/>
              <w:bottom w:val="nil"/>
              <w:right w:val="nil"/>
            </w:tcBorders>
            <w:vAlign w:val="center"/>
            <w:hideMark/>
          </w:tcPr>
          <w:p w:rsidR="00042483" w:rsidRPr="00D57252" w:rsidRDefault="00042483" w:rsidP="00D57252">
            <w:pPr>
              <w:spacing w:after="0" w:line="240" w:lineRule="auto"/>
              <w:rPr>
                <w:rFonts w:ascii="Calibri" w:eastAsia="Times New Roman" w:hAnsi="Calibri" w:cs="Calibri"/>
                <w:b/>
                <w:bCs/>
                <w:color w:val="000000"/>
                <w:lang w:val="en-US" w:eastAsia="nl-NL"/>
              </w:rPr>
            </w:pPr>
          </w:p>
        </w:tc>
      </w:tr>
    </w:tbl>
    <w:p w:rsidR="00D57252" w:rsidRPr="00D57252" w:rsidRDefault="00D57252">
      <w:pPr>
        <w:rPr>
          <w:lang w:val="en-US"/>
        </w:rPr>
      </w:pPr>
    </w:p>
    <w:tbl>
      <w:tblPr>
        <w:tblW w:w="8784" w:type="dxa"/>
        <w:tblInd w:w="1244" w:type="dxa"/>
        <w:tblCellMar>
          <w:left w:w="70" w:type="dxa"/>
          <w:right w:w="70" w:type="dxa"/>
        </w:tblCellMar>
        <w:tblLook w:val="04A0"/>
      </w:tblPr>
      <w:tblGrid>
        <w:gridCol w:w="1135"/>
        <w:gridCol w:w="2115"/>
        <w:gridCol w:w="2137"/>
        <w:gridCol w:w="2025"/>
        <w:gridCol w:w="372"/>
        <w:gridCol w:w="500"/>
        <w:gridCol w:w="500"/>
      </w:tblGrid>
      <w:tr w:rsidR="00A772D9" w:rsidRPr="00D57252" w:rsidTr="00A772D9">
        <w:trPr>
          <w:trHeight w:val="1065"/>
        </w:trPr>
        <w:tc>
          <w:tcPr>
            <w:tcW w:w="113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lastRenderedPageBreak/>
              <w:t xml:space="preserve">Loughran &amp; Ritter, </w:t>
            </w:r>
            <w:r w:rsidRPr="00D57252">
              <w:rPr>
                <w:rFonts w:ascii="Calibri" w:eastAsia="Times New Roman" w:hAnsi="Calibri" w:cs="Calibri"/>
                <w:color w:val="000000"/>
                <w:sz w:val="18"/>
                <w:szCs w:val="18"/>
                <w:lang w:eastAsia="nl-NL"/>
              </w:rPr>
              <w:br/>
              <w:t>2004</w:t>
            </w:r>
          </w:p>
        </w:tc>
        <w:tc>
          <w:tcPr>
            <w:tcW w:w="211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xml:space="preserve">Loughran &amp; Ritter, </w:t>
            </w:r>
            <w:r w:rsidRPr="00D57252">
              <w:rPr>
                <w:rFonts w:ascii="Calibri" w:eastAsia="Times New Roman" w:hAnsi="Calibri" w:cs="Calibri"/>
                <w:color w:val="000000"/>
                <w:sz w:val="18"/>
                <w:szCs w:val="18"/>
                <w:lang w:eastAsia="nl-NL"/>
              </w:rPr>
              <w:br/>
              <w:t>2004</w:t>
            </w:r>
          </w:p>
        </w:tc>
        <w:tc>
          <w:tcPr>
            <w:tcW w:w="2137"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Ljungqvist &amp; Wilhelm,</w:t>
            </w:r>
            <w:r w:rsidRPr="00D57252">
              <w:rPr>
                <w:rFonts w:ascii="Calibri" w:eastAsia="Times New Roman" w:hAnsi="Calibri" w:cs="Calibri"/>
                <w:color w:val="000000"/>
                <w:sz w:val="18"/>
                <w:szCs w:val="18"/>
                <w:lang w:eastAsia="nl-NL"/>
              </w:rPr>
              <w:br/>
              <w:t>2003</w:t>
            </w:r>
          </w:p>
        </w:tc>
        <w:tc>
          <w:tcPr>
            <w:tcW w:w="2025"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Baron, 1982</w:t>
            </w:r>
          </w:p>
        </w:tc>
        <w:tc>
          <w:tcPr>
            <w:tcW w:w="372"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Author</w:t>
            </w:r>
          </w:p>
        </w:tc>
        <w:tc>
          <w:tcPr>
            <w:tcW w:w="500" w:type="dxa"/>
            <w:vMerge w:val="restart"/>
            <w:tcBorders>
              <w:top w:val="nil"/>
              <w:left w:val="double" w:sz="6" w:space="0" w:color="auto"/>
              <w:bottom w:val="nil"/>
              <w:right w:val="single" w:sz="4" w:space="0" w:color="auto"/>
            </w:tcBorders>
            <w:shd w:val="clear" w:color="000000" w:fill="FFFFFF"/>
            <w:noWrap/>
            <w:textDirection w:val="tbRl"/>
            <w:vAlign w:val="center"/>
            <w:hideMark/>
          </w:tcPr>
          <w:p w:rsidR="00A772D9" w:rsidRPr="00D57252" w:rsidRDefault="00A772D9" w:rsidP="00D57252">
            <w:pPr>
              <w:spacing w:after="0" w:line="240" w:lineRule="auto"/>
              <w:jc w:val="center"/>
              <w:rPr>
                <w:rFonts w:ascii="Calibri" w:eastAsia="Times New Roman" w:hAnsi="Calibri" w:cs="Calibri"/>
                <w:b/>
                <w:bCs/>
                <w:color w:val="000000"/>
                <w:sz w:val="20"/>
                <w:szCs w:val="20"/>
                <w:lang w:val="en-US" w:eastAsia="nl-NL"/>
              </w:rPr>
            </w:pPr>
            <w:r w:rsidRPr="00D57252">
              <w:rPr>
                <w:rFonts w:ascii="Calibri" w:eastAsia="Times New Roman" w:hAnsi="Calibri" w:cs="Calibri"/>
                <w:b/>
                <w:bCs/>
                <w:color w:val="000000"/>
                <w:sz w:val="20"/>
                <w:szCs w:val="20"/>
                <w:lang w:val="en-US" w:eastAsia="nl-NL"/>
              </w:rPr>
              <w:t xml:space="preserve">Information asymmetry: underwriters have superior information to issuers </w:t>
            </w:r>
          </w:p>
        </w:tc>
        <w:tc>
          <w:tcPr>
            <w:tcW w:w="500" w:type="dxa"/>
            <w:vMerge w:val="restart"/>
            <w:tcBorders>
              <w:top w:val="nil"/>
              <w:left w:val="nil"/>
              <w:bottom w:val="nil"/>
              <w:right w:val="nil"/>
            </w:tcBorders>
            <w:shd w:val="clear" w:color="000000" w:fill="FFFFFF"/>
            <w:noWrap/>
            <w:textDirection w:val="tbRl"/>
            <w:vAlign w:val="center"/>
            <w:hideMark/>
          </w:tcPr>
          <w:p w:rsidR="00A772D9" w:rsidRPr="00D57252" w:rsidRDefault="00A772D9" w:rsidP="00D57252">
            <w:pPr>
              <w:spacing w:after="0" w:line="240" w:lineRule="auto"/>
              <w:jc w:val="center"/>
              <w:rPr>
                <w:rFonts w:ascii="Calibri" w:eastAsia="Times New Roman" w:hAnsi="Calibri" w:cs="Calibri"/>
                <w:b/>
                <w:bCs/>
                <w:color w:val="000000"/>
                <w:lang w:eastAsia="nl-NL"/>
              </w:rPr>
            </w:pPr>
            <w:r w:rsidRPr="00D57252">
              <w:rPr>
                <w:rFonts w:ascii="Calibri" w:eastAsia="Times New Roman" w:hAnsi="Calibri" w:cs="Calibri"/>
                <w:b/>
                <w:bCs/>
                <w:color w:val="000000"/>
                <w:lang w:eastAsia="nl-NL"/>
              </w:rPr>
              <w:t>Table 1 Continued</w:t>
            </w:r>
          </w:p>
        </w:tc>
      </w:tr>
      <w:tr w:rsidR="00A772D9" w:rsidRPr="00D57252" w:rsidTr="00A772D9">
        <w:trPr>
          <w:trHeight w:val="135"/>
        </w:trPr>
        <w:tc>
          <w:tcPr>
            <w:tcW w:w="113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11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137"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025"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A772D9" w:rsidRPr="00D57252" w:rsidRDefault="00A772D9" w:rsidP="00D57252">
            <w:pPr>
              <w:spacing w:after="0" w:line="240" w:lineRule="auto"/>
              <w:rPr>
                <w:rFonts w:ascii="Calibri" w:eastAsia="Times New Roman" w:hAnsi="Calibri" w:cs="Calibri"/>
                <w:b/>
                <w:bCs/>
                <w:color w:val="000000"/>
                <w:sz w:val="20"/>
                <w:szCs w:val="20"/>
                <w:lang w:eastAsia="nl-NL"/>
              </w:rPr>
            </w:pPr>
          </w:p>
        </w:tc>
        <w:tc>
          <w:tcPr>
            <w:tcW w:w="500" w:type="dxa"/>
            <w:vMerge/>
            <w:tcBorders>
              <w:top w:val="nil"/>
              <w:left w:val="nil"/>
              <w:bottom w:val="nil"/>
              <w:right w:val="nil"/>
            </w:tcBorders>
            <w:vAlign w:val="center"/>
            <w:hideMark/>
          </w:tcPr>
          <w:p w:rsidR="00A772D9" w:rsidRPr="00D57252" w:rsidRDefault="00A772D9" w:rsidP="00D57252">
            <w:pPr>
              <w:spacing w:after="0" w:line="240" w:lineRule="auto"/>
              <w:rPr>
                <w:rFonts w:ascii="Calibri" w:eastAsia="Times New Roman" w:hAnsi="Calibri" w:cs="Calibri"/>
                <w:b/>
                <w:bCs/>
                <w:color w:val="000000"/>
                <w:lang w:eastAsia="nl-NL"/>
              </w:rPr>
            </w:pPr>
          </w:p>
        </w:tc>
      </w:tr>
      <w:tr w:rsidR="00A772D9" w:rsidRPr="00D57252" w:rsidTr="00A772D9">
        <w:trPr>
          <w:trHeight w:val="1725"/>
        </w:trPr>
        <w:tc>
          <w:tcPr>
            <w:tcW w:w="1135"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Analyst lust hypothesis</w:t>
            </w:r>
          </w:p>
        </w:tc>
        <w:tc>
          <w:tcPr>
            <w:tcW w:w="2115"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Spinning</w:t>
            </w:r>
            <w:r w:rsidRPr="00D57252">
              <w:rPr>
                <w:rFonts w:ascii="Calibri" w:eastAsia="Times New Roman" w:hAnsi="Calibri" w:cs="Calibri"/>
                <w:color w:val="000000"/>
                <w:sz w:val="18"/>
                <w:szCs w:val="18"/>
                <w:lang w:eastAsia="nl-NL"/>
              </w:rPr>
              <w:t xml:space="preserve"> hypothesis</w:t>
            </w:r>
          </w:p>
        </w:tc>
        <w:tc>
          <w:tcPr>
            <w:tcW w:w="2137"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Realignment of incentives</w:t>
            </w:r>
          </w:p>
        </w:tc>
        <w:tc>
          <w:tcPr>
            <w:tcW w:w="202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Underwriters have an incentive  to underprice</w:t>
            </w:r>
          </w:p>
        </w:tc>
        <w:tc>
          <w:tcPr>
            <w:tcW w:w="372"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Theory</w:t>
            </w:r>
          </w:p>
        </w:tc>
        <w:tc>
          <w:tcPr>
            <w:tcW w:w="500" w:type="dxa"/>
            <w:vMerge/>
            <w:tcBorders>
              <w:top w:val="nil"/>
              <w:left w:val="double" w:sz="6" w:space="0" w:color="auto"/>
              <w:bottom w:val="nil"/>
              <w:right w:val="single" w:sz="4" w:space="0" w:color="auto"/>
            </w:tcBorders>
            <w:vAlign w:val="center"/>
            <w:hideMark/>
          </w:tcPr>
          <w:p w:rsidR="00A772D9" w:rsidRPr="00D57252" w:rsidRDefault="00A772D9" w:rsidP="00D57252">
            <w:pPr>
              <w:spacing w:after="0" w:line="240" w:lineRule="auto"/>
              <w:rPr>
                <w:rFonts w:ascii="Calibri" w:eastAsia="Times New Roman" w:hAnsi="Calibri" w:cs="Calibri"/>
                <w:b/>
                <w:bCs/>
                <w:color w:val="000000"/>
                <w:sz w:val="20"/>
                <w:szCs w:val="20"/>
                <w:lang w:eastAsia="nl-NL"/>
              </w:rPr>
            </w:pPr>
          </w:p>
        </w:tc>
        <w:tc>
          <w:tcPr>
            <w:tcW w:w="500" w:type="dxa"/>
            <w:vMerge/>
            <w:tcBorders>
              <w:top w:val="nil"/>
              <w:left w:val="nil"/>
              <w:bottom w:val="nil"/>
              <w:right w:val="nil"/>
            </w:tcBorders>
            <w:vAlign w:val="center"/>
            <w:hideMark/>
          </w:tcPr>
          <w:p w:rsidR="00A772D9" w:rsidRPr="00D57252" w:rsidRDefault="00A772D9" w:rsidP="00D57252">
            <w:pPr>
              <w:spacing w:after="0" w:line="240" w:lineRule="auto"/>
              <w:rPr>
                <w:rFonts w:ascii="Calibri" w:eastAsia="Times New Roman" w:hAnsi="Calibri" w:cs="Calibri"/>
                <w:b/>
                <w:bCs/>
                <w:color w:val="000000"/>
                <w:lang w:eastAsia="nl-NL"/>
              </w:rPr>
            </w:pPr>
          </w:p>
        </w:tc>
      </w:tr>
      <w:tr w:rsidR="00A772D9" w:rsidRPr="00D57252" w:rsidTr="00A772D9">
        <w:trPr>
          <w:trHeight w:val="120"/>
        </w:trPr>
        <w:tc>
          <w:tcPr>
            <w:tcW w:w="1135"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115"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137"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02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A772D9" w:rsidRPr="00D57252" w:rsidRDefault="00A772D9" w:rsidP="00D57252">
            <w:pPr>
              <w:spacing w:after="0" w:line="240" w:lineRule="auto"/>
              <w:rPr>
                <w:rFonts w:ascii="Calibri" w:eastAsia="Times New Roman" w:hAnsi="Calibri" w:cs="Calibri"/>
                <w:b/>
                <w:bCs/>
                <w:color w:val="000000"/>
                <w:sz w:val="20"/>
                <w:szCs w:val="20"/>
                <w:lang w:eastAsia="nl-NL"/>
              </w:rPr>
            </w:pPr>
          </w:p>
        </w:tc>
        <w:tc>
          <w:tcPr>
            <w:tcW w:w="500" w:type="dxa"/>
            <w:vMerge/>
            <w:tcBorders>
              <w:top w:val="nil"/>
              <w:left w:val="nil"/>
              <w:bottom w:val="nil"/>
              <w:right w:val="nil"/>
            </w:tcBorders>
            <w:vAlign w:val="center"/>
            <w:hideMark/>
          </w:tcPr>
          <w:p w:rsidR="00A772D9" w:rsidRPr="00D57252" w:rsidRDefault="00A772D9" w:rsidP="00D57252">
            <w:pPr>
              <w:spacing w:after="0" w:line="240" w:lineRule="auto"/>
              <w:rPr>
                <w:rFonts w:ascii="Calibri" w:eastAsia="Times New Roman" w:hAnsi="Calibri" w:cs="Calibri"/>
                <w:b/>
                <w:bCs/>
                <w:color w:val="000000"/>
                <w:lang w:eastAsia="nl-NL"/>
              </w:rPr>
            </w:pPr>
          </w:p>
        </w:tc>
      </w:tr>
      <w:tr w:rsidR="00A772D9" w:rsidRPr="00D57252" w:rsidTr="00A772D9">
        <w:trPr>
          <w:trHeight w:val="2640"/>
        </w:trPr>
        <w:tc>
          <w:tcPr>
            <w:tcW w:w="113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Prestigious</w:t>
            </w:r>
            <w:r w:rsidR="00835DB9">
              <w:rPr>
                <w:rFonts w:ascii="Calibri" w:eastAsia="Times New Roman" w:hAnsi="Calibri" w:cs="Calibri"/>
                <w:color w:val="000000"/>
                <w:sz w:val="18"/>
                <w:szCs w:val="18"/>
                <w:lang w:val="en-US" w:eastAsia="nl-NL"/>
              </w:rPr>
              <w:t xml:space="preserve"> underwriters have</w:t>
            </w:r>
            <w:r w:rsidRPr="00D57252">
              <w:rPr>
                <w:rFonts w:ascii="Calibri" w:eastAsia="Times New Roman" w:hAnsi="Calibri" w:cs="Calibri"/>
                <w:color w:val="000000"/>
                <w:sz w:val="18"/>
                <w:szCs w:val="18"/>
                <w:lang w:val="en-US" w:eastAsia="nl-NL"/>
              </w:rPr>
              <w:t xml:space="preserve"> star analysts, therefore issuers allow more underpricing</w:t>
            </w:r>
          </w:p>
        </w:tc>
        <w:tc>
          <w:tcPr>
            <w:tcW w:w="2115" w:type="dxa"/>
            <w:tcBorders>
              <w:top w:val="nil"/>
              <w:left w:val="nil"/>
              <w:bottom w:val="nil"/>
              <w:right w:val="nil"/>
            </w:tcBorders>
            <w:shd w:val="clear" w:color="000000" w:fill="FFFFFF"/>
            <w:textDirection w:val="tbRl"/>
            <w:hideMark/>
          </w:tcPr>
          <w:p w:rsidR="00A772D9" w:rsidRPr="00D57252" w:rsidRDefault="00A772D9" w:rsidP="00582220">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Issuing decision makers </w:t>
            </w:r>
            <w:r w:rsidRPr="00D57252">
              <w:rPr>
                <w:rFonts w:ascii="Calibri" w:eastAsia="Times New Roman" w:hAnsi="Calibri" w:cs="Calibri"/>
                <w:color w:val="000000"/>
                <w:sz w:val="18"/>
                <w:szCs w:val="18"/>
                <w:lang w:val="en-US" w:eastAsia="nl-NL"/>
              </w:rPr>
              <w:br/>
              <w:t xml:space="preserve">invest in other underpriced IPOs to make a quick </w:t>
            </w:r>
            <w:r>
              <w:rPr>
                <w:rFonts w:ascii="Calibri" w:eastAsia="Times New Roman" w:hAnsi="Calibri" w:cs="Calibri"/>
                <w:color w:val="000000"/>
                <w:sz w:val="18"/>
                <w:szCs w:val="18"/>
                <w:lang w:val="en-US" w:eastAsia="nl-NL"/>
              </w:rPr>
              <w:t>profit</w:t>
            </w:r>
          </w:p>
        </w:tc>
        <w:tc>
          <w:tcPr>
            <w:tcW w:w="2137"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During the 90s insider stakes dropped, furthermore directed share programs emerged, reducing the cost of underpricing to decision makers</w:t>
            </w:r>
          </w:p>
        </w:tc>
        <w:tc>
          <w:tcPr>
            <w:tcW w:w="202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Underpricing is a substitute </w:t>
            </w:r>
            <w:r w:rsidRPr="00D57252">
              <w:rPr>
                <w:rFonts w:ascii="Calibri" w:eastAsia="Times New Roman" w:hAnsi="Calibri" w:cs="Calibri"/>
                <w:color w:val="000000"/>
                <w:sz w:val="18"/>
                <w:szCs w:val="18"/>
                <w:lang w:val="en-US" w:eastAsia="nl-NL"/>
              </w:rPr>
              <w:br/>
              <w:t xml:space="preserve">for promotion activities </w:t>
            </w:r>
          </w:p>
        </w:tc>
        <w:tc>
          <w:tcPr>
            <w:tcW w:w="372"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Relation</w:t>
            </w:r>
          </w:p>
        </w:tc>
        <w:tc>
          <w:tcPr>
            <w:tcW w:w="500" w:type="dxa"/>
            <w:vMerge/>
            <w:tcBorders>
              <w:top w:val="nil"/>
              <w:left w:val="double" w:sz="6" w:space="0" w:color="auto"/>
              <w:bottom w:val="nil"/>
              <w:right w:val="single" w:sz="4" w:space="0" w:color="auto"/>
            </w:tcBorders>
            <w:vAlign w:val="center"/>
            <w:hideMark/>
          </w:tcPr>
          <w:p w:rsidR="00A772D9" w:rsidRPr="00D57252" w:rsidRDefault="00A772D9" w:rsidP="00D57252">
            <w:pPr>
              <w:spacing w:after="0" w:line="240" w:lineRule="auto"/>
              <w:rPr>
                <w:rFonts w:ascii="Calibri" w:eastAsia="Times New Roman" w:hAnsi="Calibri" w:cs="Calibri"/>
                <w:b/>
                <w:bCs/>
                <w:color w:val="000000"/>
                <w:sz w:val="20"/>
                <w:szCs w:val="20"/>
                <w:lang w:eastAsia="nl-NL"/>
              </w:rPr>
            </w:pPr>
          </w:p>
        </w:tc>
        <w:tc>
          <w:tcPr>
            <w:tcW w:w="500" w:type="dxa"/>
            <w:vMerge/>
            <w:tcBorders>
              <w:top w:val="nil"/>
              <w:left w:val="nil"/>
              <w:bottom w:val="nil"/>
              <w:right w:val="nil"/>
            </w:tcBorders>
            <w:vAlign w:val="center"/>
            <w:hideMark/>
          </w:tcPr>
          <w:p w:rsidR="00A772D9" w:rsidRPr="00D57252" w:rsidRDefault="00A772D9" w:rsidP="00D57252">
            <w:pPr>
              <w:spacing w:after="0" w:line="240" w:lineRule="auto"/>
              <w:rPr>
                <w:rFonts w:ascii="Calibri" w:eastAsia="Times New Roman" w:hAnsi="Calibri" w:cs="Calibri"/>
                <w:b/>
                <w:bCs/>
                <w:color w:val="000000"/>
                <w:lang w:eastAsia="nl-NL"/>
              </w:rPr>
            </w:pPr>
          </w:p>
        </w:tc>
      </w:tr>
      <w:tr w:rsidR="00A772D9" w:rsidRPr="00D57252" w:rsidTr="00A772D9">
        <w:trPr>
          <w:trHeight w:val="120"/>
        </w:trPr>
        <w:tc>
          <w:tcPr>
            <w:tcW w:w="113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11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137"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02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A772D9" w:rsidRPr="00D57252" w:rsidRDefault="00A772D9" w:rsidP="00D57252">
            <w:pPr>
              <w:spacing w:after="0" w:line="240" w:lineRule="auto"/>
              <w:rPr>
                <w:rFonts w:ascii="Calibri" w:eastAsia="Times New Roman" w:hAnsi="Calibri" w:cs="Calibri"/>
                <w:b/>
                <w:bCs/>
                <w:color w:val="000000"/>
                <w:sz w:val="20"/>
                <w:szCs w:val="20"/>
                <w:lang w:eastAsia="nl-NL"/>
              </w:rPr>
            </w:pPr>
          </w:p>
        </w:tc>
        <w:tc>
          <w:tcPr>
            <w:tcW w:w="500" w:type="dxa"/>
            <w:vMerge/>
            <w:tcBorders>
              <w:top w:val="nil"/>
              <w:left w:val="nil"/>
              <w:bottom w:val="nil"/>
              <w:right w:val="nil"/>
            </w:tcBorders>
            <w:vAlign w:val="center"/>
            <w:hideMark/>
          </w:tcPr>
          <w:p w:rsidR="00A772D9" w:rsidRPr="00D57252" w:rsidRDefault="00A772D9" w:rsidP="00D57252">
            <w:pPr>
              <w:spacing w:after="0" w:line="240" w:lineRule="auto"/>
              <w:rPr>
                <w:rFonts w:ascii="Calibri" w:eastAsia="Times New Roman" w:hAnsi="Calibri" w:cs="Calibri"/>
                <w:b/>
                <w:bCs/>
                <w:color w:val="000000"/>
                <w:lang w:eastAsia="nl-NL"/>
              </w:rPr>
            </w:pPr>
          </w:p>
        </w:tc>
      </w:tr>
      <w:tr w:rsidR="00A772D9" w:rsidRPr="00835DB9" w:rsidTr="00A772D9">
        <w:trPr>
          <w:trHeight w:val="2970"/>
        </w:trPr>
        <w:tc>
          <w:tcPr>
            <w:tcW w:w="113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Underwriter reputation is positively </w:t>
            </w:r>
            <w:r w:rsidRPr="00D57252">
              <w:rPr>
                <w:rFonts w:ascii="Calibri" w:eastAsia="Times New Roman" w:hAnsi="Calibri" w:cs="Calibri"/>
                <w:color w:val="000000"/>
                <w:sz w:val="18"/>
                <w:szCs w:val="18"/>
                <w:lang w:val="en-US" w:eastAsia="nl-NL"/>
              </w:rPr>
              <w:br/>
              <w:t>related to underpricing</w:t>
            </w:r>
          </w:p>
        </w:tc>
        <w:tc>
          <w:tcPr>
            <w:tcW w:w="2115" w:type="dxa"/>
            <w:tcBorders>
              <w:top w:val="nil"/>
              <w:left w:val="nil"/>
              <w:bottom w:val="nil"/>
              <w:right w:val="nil"/>
            </w:tcBorders>
            <w:shd w:val="clear" w:color="000000" w:fill="FFFFFF"/>
            <w:noWrap/>
            <w:textDirection w:val="tbRl"/>
            <w:hideMark/>
          </w:tcPr>
          <w:p w:rsidR="00A772D9" w:rsidRPr="00D57252" w:rsidRDefault="00A772D9" w:rsidP="002C057F">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w:t>
            </w:r>
            <w:r>
              <w:rPr>
                <w:rFonts w:ascii="Calibri" w:eastAsia="Times New Roman" w:hAnsi="Calibri" w:cs="Calibri"/>
                <w:color w:val="000000"/>
                <w:sz w:val="18"/>
                <w:szCs w:val="18"/>
                <w:lang w:val="en-US" w:eastAsia="nl-NL"/>
              </w:rPr>
              <w:t>Not empirically tested</w:t>
            </w:r>
          </w:p>
        </w:tc>
        <w:tc>
          <w:tcPr>
            <w:tcW w:w="2137"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Insider stakes and insiders selling </w:t>
            </w:r>
            <w:proofErr w:type="gramStart"/>
            <w:r w:rsidRPr="00D57252">
              <w:rPr>
                <w:rFonts w:ascii="Calibri" w:eastAsia="Times New Roman" w:hAnsi="Calibri" w:cs="Calibri"/>
                <w:color w:val="000000"/>
                <w:sz w:val="18"/>
                <w:szCs w:val="18"/>
                <w:lang w:val="en-US" w:eastAsia="nl-NL"/>
              </w:rPr>
              <w:t>is</w:t>
            </w:r>
            <w:proofErr w:type="gramEnd"/>
            <w:r w:rsidRPr="00D57252">
              <w:rPr>
                <w:rFonts w:ascii="Calibri" w:eastAsia="Times New Roman" w:hAnsi="Calibri" w:cs="Calibri"/>
                <w:color w:val="000000"/>
                <w:sz w:val="18"/>
                <w:szCs w:val="18"/>
                <w:lang w:val="en-US" w:eastAsia="nl-NL"/>
              </w:rPr>
              <w:t xml:space="preserve"> neg</w:t>
            </w:r>
            <w:r w:rsidR="00835DB9">
              <w:rPr>
                <w:rFonts w:ascii="Calibri" w:eastAsia="Times New Roman" w:hAnsi="Calibri" w:cs="Calibri"/>
                <w:color w:val="000000"/>
                <w:sz w:val="18"/>
                <w:szCs w:val="18"/>
                <w:lang w:val="en-US" w:eastAsia="nl-NL"/>
              </w:rPr>
              <w:t>atively related to underpricing.</w:t>
            </w:r>
            <w:r w:rsidRPr="00D57252">
              <w:rPr>
                <w:rFonts w:ascii="Calibri" w:eastAsia="Times New Roman" w:hAnsi="Calibri" w:cs="Calibri"/>
                <w:color w:val="000000"/>
                <w:sz w:val="18"/>
                <w:szCs w:val="18"/>
                <w:lang w:val="en-US" w:eastAsia="nl-NL"/>
              </w:rPr>
              <w:t xml:space="preserve"> The selling of primary shares is positively related to underpricing</w:t>
            </w:r>
          </w:p>
        </w:tc>
        <w:tc>
          <w:tcPr>
            <w:tcW w:w="202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Promotional costs are negatively </w:t>
            </w:r>
            <w:r w:rsidRPr="00D57252">
              <w:rPr>
                <w:rFonts w:ascii="Calibri" w:eastAsia="Times New Roman" w:hAnsi="Calibri" w:cs="Calibri"/>
                <w:color w:val="000000"/>
                <w:sz w:val="18"/>
                <w:szCs w:val="18"/>
                <w:lang w:val="en-US" w:eastAsia="nl-NL"/>
              </w:rPr>
              <w:br/>
              <w:t>related to underpricing</w:t>
            </w:r>
          </w:p>
        </w:tc>
        <w:tc>
          <w:tcPr>
            <w:tcW w:w="372" w:type="dxa"/>
            <w:tcBorders>
              <w:top w:val="nil"/>
              <w:left w:val="nil"/>
              <w:bottom w:val="nil"/>
              <w:right w:val="nil"/>
            </w:tcBorders>
            <w:shd w:val="clear" w:color="000000" w:fill="FFFFFF"/>
            <w:noWrap/>
            <w:textDirection w:val="tbRl"/>
            <w:hideMark/>
          </w:tcPr>
          <w:p w:rsidR="00A772D9" w:rsidRPr="00835DB9" w:rsidRDefault="00A772D9" w:rsidP="00D57252">
            <w:pPr>
              <w:spacing w:after="0" w:line="240" w:lineRule="auto"/>
              <w:rPr>
                <w:rFonts w:ascii="Calibri" w:eastAsia="Times New Roman" w:hAnsi="Calibri" w:cs="Calibri"/>
                <w:b/>
                <w:bCs/>
                <w:color w:val="000000"/>
                <w:sz w:val="18"/>
                <w:szCs w:val="18"/>
                <w:lang w:val="en-US" w:eastAsia="nl-NL"/>
              </w:rPr>
            </w:pPr>
            <w:r w:rsidRPr="00835DB9">
              <w:rPr>
                <w:rFonts w:ascii="Calibri" w:eastAsia="Times New Roman" w:hAnsi="Calibri" w:cs="Calibri"/>
                <w:b/>
                <w:bCs/>
                <w:color w:val="000000"/>
                <w:sz w:val="18"/>
                <w:szCs w:val="18"/>
                <w:lang w:val="en-US" w:eastAsia="nl-NL"/>
              </w:rPr>
              <w:t>Testable implications</w:t>
            </w:r>
          </w:p>
        </w:tc>
        <w:tc>
          <w:tcPr>
            <w:tcW w:w="500" w:type="dxa"/>
            <w:vMerge/>
            <w:tcBorders>
              <w:top w:val="nil"/>
              <w:left w:val="double" w:sz="6" w:space="0" w:color="auto"/>
              <w:bottom w:val="nil"/>
              <w:right w:val="single" w:sz="4" w:space="0" w:color="auto"/>
            </w:tcBorders>
            <w:vAlign w:val="center"/>
            <w:hideMark/>
          </w:tcPr>
          <w:p w:rsidR="00A772D9" w:rsidRPr="00835DB9" w:rsidRDefault="00A772D9" w:rsidP="00D57252">
            <w:pPr>
              <w:spacing w:after="0" w:line="240" w:lineRule="auto"/>
              <w:rPr>
                <w:rFonts w:ascii="Calibri" w:eastAsia="Times New Roman" w:hAnsi="Calibri" w:cs="Calibri"/>
                <w:b/>
                <w:bCs/>
                <w:color w:val="000000"/>
                <w:sz w:val="20"/>
                <w:szCs w:val="20"/>
                <w:lang w:val="en-US" w:eastAsia="nl-NL"/>
              </w:rPr>
            </w:pPr>
          </w:p>
        </w:tc>
        <w:tc>
          <w:tcPr>
            <w:tcW w:w="500" w:type="dxa"/>
            <w:vMerge/>
            <w:tcBorders>
              <w:top w:val="nil"/>
              <w:left w:val="nil"/>
              <w:bottom w:val="nil"/>
              <w:right w:val="nil"/>
            </w:tcBorders>
            <w:vAlign w:val="center"/>
            <w:hideMark/>
          </w:tcPr>
          <w:p w:rsidR="00A772D9" w:rsidRPr="00835DB9" w:rsidRDefault="00A772D9" w:rsidP="00D57252">
            <w:pPr>
              <w:spacing w:after="0" w:line="240" w:lineRule="auto"/>
              <w:rPr>
                <w:rFonts w:ascii="Calibri" w:eastAsia="Times New Roman" w:hAnsi="Calibri" w:cs="Calibri"/>
                <w:b/>
                <w:bCs/>
                <w:color w:val="000000"/>
                <w:lang w:val="en-US" w:eastAsia="nl-NL"/>
              </w:rPr>
            </w:pPr>
          </w:p>
        </w:tc>
      </w:tr>
      <w:tr w:rsidR="00A772D9" w:rsidRPr="00835DB9" w:rsidTr="00A772D9">
        <w:trPr>
          <w:trHeight w:val="120"/>
        </w:trPr>
        <w:tc>
          <w:tcPr>
            <w:tcW w:w="1135" w:type="dxa"/>
            <w:tcBorders>
              <w:top w:val="nil"/>
              <w:left w:val="nil"/>
              <w:bottom w:val="nil"/>
              <w:right w:val="nil"/>
            </w:tcBorders>
            <w:shd w:val="clear" w:color="000000" w:fill="FFFFFF"/>
            <w:textDirection w:val="tbRl"/>
            <w:hideMark/>
          </w:tcPr>
          <w:p w:rsidR="00A772D9" w:rsidRPr="00835DB9" w:rsidRDefault="00A772D9" w:rsidP="00D57252">
            <w:pPr>
              <w:spacing w:after="0" w:line="240" w:lineRule="auto"/>
              <w:rPr>
                <w:rFonts w:ascii="Calibri" w:eastAsia="Times New Roman" w:hAnsi="Calibri" w:cs="Calibri"/>
                <w:color w:val="000000"/>
                <w:sz w:val="18"/>
                <w:szCs w:val="18"/>
                <w:lang w:val="en-US" w:eastAsia="nl-NL"/>
              </w:rPr>
            </w:pPr>
            <w:r w:rsidRPr="00835DB9">
              <w:rPr>
                <w:rFonts w:ascii="Calibri" w:eastAsia="Times New Roman" w:hAnsi="Calibri" w:cs="Calibri"/>
                <w:color w:val="000000"/>
                <w:sz w:val="18"/>
                <w:szCs w:val="18"/>
                <w:lang w:val="en-US" w:eastAsia="nl-NL"/>
              </w:rPr>
              <w:t> </w:t>
            </w:r>
          </w:p>
        </w:tc>
        <w:tc>
          <w:tcPr>
            <w:tcW w:w="2115" w:type="dxa"/>
            <w:tcBorders>
              <w:top w:val="nil"/>
              <w:left w:val="nil"/>
              <w:bottom w:val="nil"/>
              <w:right w:val="nil"/>
            </w:tcBorders>
            <w:shd w:val="clear" w:color="000000" w:fill="FFFFFF"/>
            <w:noWrap/>
            <w:textDirection w:val="tbRl"/>
            <w:hideMark/>
          </w:tcPr>
          <w:p w:rsidR="00A772D9" w:rsidRPr="00835DB9" w:rsidRDefault="00A772D9" w:rsidP="00D57252">
            <w:pPr>
              <w:spacing w:after="0" w:line="240" w:lineRule="auto"/>
              <w:rPr>
                <w:rFonts w:ascii="Calibri" w:eastAsia="Times New Roman" w:hAnsi="Calibri" w:cs="Calibri"/>
                <w:color w:val="000000"/>
                <w:sz w:val="18"/>
                <w:szCs w:val="18"/>
                <w:lang w:val="en-US" w:eastAsia="nl-NL"/>
              </w:rPr>
            </w:pPr>
            <w:r w:rsidRPr="00835DB9">
              <w:rPr>
                <w:rFonts w:ascii="Calibri" w:eastAsia="Times New Roman" w:hAnsi="Calibri" w:cs="Calibri"/>
                <w:color w:val="000000"/>
                <w:sz w:val="18"/>
                <w:szCs w:val="18"/>
                <w:lang w:val="en-US" w:eastAsia="nl-NL"/>
              </w:rPr>
              <w:t> </w:t>
            </w:r>
          </w:p>
        </w:tc>
        <w:tc>
          <w:tcPr>
            <w:tcW w:w="2137" w:type="dxa"/>
            <w:tcBorders>
              <w:top w:val="nil"/>
              <w:left w:val="nil"/>
              <w:bottom w:val="nil"/>
              <w:right w:val="nil"/>
            </w:tcBorders>
            <w:shd w:val="clear" w:color="000000" w:fill="FFFFFF"/>
            <w:textDirection w:val="tbRl"/>
            <w:hideMark/>
          </w:tcPr>
          <w:p w:rsidR="00A772D9" w:rsidRPr="00835DB9" w:rsidRDefault="00A772D9" w:rsidP="00D57252">
            <w:pPr>
              <w:spacing w:after="0" w:line="240" w:lineRule="auto"/>
              <w:rPr>
                <w:rFonts w:ascii="Calibri" w:eastAsia="Times New Roman" w:hAnsi="Calibri" w:cs="Calibri"/>
                <w:color w:val="000000"/>
                <w:sz w:val="18"/>
                <w:szCs w:val="18"/>
                <w:lang w:val="en-US" w:eastAsia="nl-NL"/>
              </w:rPr>
            </w:pPr>
            <w:r w:rsidRPr="00835DB9">
              <w:rPr>
                <w:rFonts w:ascii="Calibri" w:eastAsia="Times New Roman" w:hAnsi="Calibri" w:cs="Calibri"/>
                <w:color w:val="000000"/>
                <w:sz w:val="18"/>
                <w:szCs w:val="18"/>
                <w:lang w:val="en-US" w:eastAsia="nl-NL"/>
              </w:rPr>
              <w:t> </w:t>
            </w:r>
          </w:p>
        </w:tc>
        <w:tc>
          <w:tcPr>
            <w:tcW w:w="2025" w:type="dxa"/>
            <w:tcBorders>
              <w:top w:val="nil"/>
              <w:left w:val="nil"/>
              <w:bottom w:val="nil"/>
              <w:right w:val="nil"/>
            </w:tcBorders>
            <w:shd w:val="clear" w:color="000000" w:fill="FFFFFF"/>
            <w:textDirection w:val="tbRl"/>
            <w:hideMark/>
          </w:tcPr>
          <w:p w:rsidR="00A772D9" w:rsidRPr="00835DB9" w:rsidRDefault="00A772D9" w:rsidP="00D57252">
            <w:pPr>
              <w:spacing w:after="0" w:line="240" w:lineRule="auto"/>
              <w:rPr>
                <w:rFonts w:ascii="Calibri" w:eastAsia="Times New Roman" w:hAnsi="Calibri" w:cs="Calibri"/>
                <w:color w:val="000000"/>
                <w:sz w:val="18"/>
                <w:szCs w:val="18"/>
                <w:lang w:val="en-US" w:eastAsia="nl-NL"/>
              </w:rPr>
            </w:pPr>
            <w:r w:rsidRPr="00835DB9">
              <w:rPr>
                <w:rFonts w:ascii="Calibri" w:eastAsia="Times New Roman" w:hAnsi="Calibri" w:cs="Calibri"/>
                <w:color w:val="000000"/>
                <w:sz w:val="18"/>
                <w:szCs w:val="18"/>
                <w:lang w:val="en-US" w:eastAsia="nl-NL"/>
              </w:rPr>
              <w:t> </w:t>
            </w:r>
          </w:p>
        </w:tc>
        <w:tc>
          <w:tcPr>
            <w:tcW w:w="372" w:type="dxa"/>
            <w:tcBorders>
              <w:top w:val="nil"/>
              <w:left w:val="nil"/>
              <w:bottom w:val="nil"/>
              <w:right w:val="nil"/>
            </w:tcBorders>
            <w:shd w:val="clear" w:color="000000" w:fill="FFFFFF"/>
            <w:noWrap/>
            <w:textDirection w:val="tbRl"/>
            <w:hideMark/>
          </w:tcPr>
          <w:p w:rsidR="00A772D9" w:rsidRPr="00835DB9" w:rsidRDefault="00A772D9" w:rsidP="00D57252">
            <w:pPr>
              <w:spacing w:after="0" w:line="240" w:lineRule="auto"/>
              <w:rPr>
                <w:rFonts w:ascii="Calibri" w:eastAsia="Times New Roman" w:hAnsi="Calibri" w:cs="Calibri"/>
                <w:b/>
                <w:bCs/>
                <w:color w:val="000000"/>
                <w:sz w:val="18"/>
                <w:szCs w:val="18"/>
                <w:lang w:val="en-US" w:eastAsia="nl-NL"/>
              </w:rPr>
            </w:pPr>
            <w:r w:rsidRPr="00835DB9">
              <w:rPr>
                <w:rFonts w:ascii="Calibri" w:eastAsia="Times New Roman" w:hAnsi="Calibri" w:cs="Calibri"/>
                <w:b/>
                <w:bCs/>
                <w:color w:val="000000"/>
                <w:sz w:val="18"/>
                <w:szCs w:val="18"/>
                <w:lang w:val="en-US" w:eastAsia="nl-NL"/>
              </w:rPr>
              <w:t> </w:t>
            </w:r>
          </w:p>
        </w:tc>
        <w:tc>
          <w:tcPr>
            <w:tcW w:w="500" w:type="dxa"/>
            <w:vMerge/>
            <w:tcBorders>
              <w:top w:val="nil"/>
              <w:left w:val="double" w:sz="6" w:space="0" w:color="auto"/>
              <w:bottom w:val="nil"/>
              <w:right w:val="single" w:sz="4" w:space="0" w:color="auto"/>
            </w:tcBorders>
            <w:vAlign w:val="center"/>
            <w:hideMark/>
          </w:tcPr>
          <w:p w:rsidR="00A772D9" w:rsidRPr="00835DB9" w:rsidRDefault="00A772D9" w:rsidP="00D57252">
            <w:pPr>
              <w:spacing w:after="0" w:line="240" w:lineRule="auto"/>
              <w:rPr>
                <w:rFonts w:ascii="Calibri" w:eastAsia="Times New Roman" w:hAnsi="Calibri" w:cs="Calibri"/>
                <w:b/>
                <w:bCs/>
                <w:color w:val="000000"/>
                <w:sz w:val="20"/>
                <w:szCs w:val="20"/>
                <w:lang w:val="en-US" w:eastAsia="nl-NL"/>
              </w:rPr>
            </w:pPr>
          </w:p>
        </w:tc>
        <w:tc>
          <w:tcPr>
            <w:tcW w:w="500" w:type="dxa"/>
            <w:vMerge/>
            <w:tcBorders>
              <w:top w:val="nil"/>
              <w:left w:val="nil"/>
              <w:bottom w:val="nil"/>
              <w:right w:val="nil"/>
            </w:tcBorders>
            <w:vAlign w:val="center"/>
            <w:hideMark/>
          </w:tcPr>
          <w:p w:rsidR="00A772D9" w:rsidRPr="00835DB9" w:rsidRDefault="00A772D9" w:rsidP="00D57252">
            <w:pPr>
              <w:spacing w:after="0" w:line="240" w:lineRule="auto"/>
              <w:rPr>
                <w:rFonts w:ascii="Calibri" w:eastAsia="Times New Roman" w:hAnsi="Calibri" w:cs="Calibri"/>
                <w:b/>
                <w:bCs/>
                <w:color w:val="000000"/>
                <w:lang w:val="en-US" w:eastAsia="nl-NL"/>
              </w:rPr>
            </w:pPr>
          </w:p>
        </w:tc>
      </w:tr>
      <w:tr w:rsidR="00A772D9" w:rsidRPr="00D57252" w:rsidTr="00A772D9">
        <w:trPr>
          <w:trHeight w:val="2445"/>
        </w:trPr>
        <w:tc>
          <w:tcPr>
            <w:tcW w:w="113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Dunbar, 2000; Cliff &amp; Denis, 2004; Loughran &amp; Ritter, 2004; Ljungqvist &amp; Wilhelm, 2003 (only for bubble period)</w:t>
            </w:r>
          </w:p>
        </w:tc>
        <w:tc>
          <w:tcPr>
            <w:tcW w:w="2115" w:type="dxa"/>
            <w:tcBorders>
              <w:top w:val="nil"/>
              <w:left w:val="nil"/>
              <w:bottom w:val="nil"/>
              <w:right w:val="nil"/>
            </w:tcBorders>
            <w:shd w:val="clear" w:color="000000" w:fill="FFFFFF"/>
            <w:noWrap/>
            <w:textDirection w:val="tbRl"/>
            <w:hideMark/>
          </w:tcPr>
          <w:p w:rsidR="00A772D9" w:rsidRDefault="00A772D9" w:rsidP="00D57252">
            <w:pPr>
              <w:spacing w:after="0" w:line="240" w:lineRule="auto"/>
              <w:rPr>
                <w:rFonts w:ascii="Calibri" w:eastAsia="Times New Roman" w:hAnsi="Calibri" w:cs="Calibri"/>
                <w:color w:val="000000"/>
                <w:sz w:val="18"/>
                <w:szCs w:val="18"/>
                <w:lang w:val="en-US" w:eastAsia="nl-NL"/>
              </w:rPr>
            </w:pPr>
            <w:r w:rsidRPr="001858A8">
              <w:rPr>
                <w:rFonts w:ascii="Calibri" w:eastAsia="Times New Roman" w:hAnsi="Calibri" w:cs="Calibri"/>
                <w:color w:val="000000"/>
                <w:sz w:val="18"/>
                <w:szCs w:val="18"/>
                <w:lang w:val="en-US" w:eastAsia="nl-NL"/>
              </w:rPr>
              <w:t>Loughran &amp; Ritter, 2004</w:t>
            </w:r>
          </w:p>
          <w:p w:rsidR="00835DB9" w:rsidRPr="001858A8" w:rsidRDefault="00835DB9" w:rsidP="00D57252">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w:t>
            </w:r>
            <w:r w:rsidRPr="001858A8">
              <w:rPr>
                <w:rFonts w:ascii="Calibri" w:eastAsia="Times New Roman" w:hAnsi="Calibri" w:cs="Calibri"/>
                <w:color w:val="000000"/>
                <w:sz w:val="18"/>
                <w:szCs w:val="18"/>
                <w:lang w:val="en-US" w:eastAsia="nl-NL"/>
              </w:rPr>
              <w:t>Friends of Fran</w:t>
            </w:r>
            <w:r>
              <w:rPr>
                <w:rFonts w:ascii="Calibri" w:eastAsia="Times New Roman" w:hAnsi="Calibri" w:cs="Calibri"/>
                <w:color w:val="000000"/>
                <w:sz w:val="18"/>
                <w:szCs w:val="18"/>
                <w:lang w:val="en-US" w:eastAsia="nl-NL"/>
              </w:rPr>
              <w:t>k account)</w:t>
            </w:r>
          </w:p>
        </w:tc>
        <w:tc>
          <w:tcPr>
            <w:tcW w:w="2137"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Ljungqvist &amp; Wilhelm, 2003; Loughran &amp; Ritter 2004</w:t>
            </w:r>
          </w:p>
        </w:tc>
        <w:tc>
          <w:tcPr>
            <w:tcW w:w="2025"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Habib &amp; Ljungqvist, 2001</w:t>
            </w:r>
          </w:p>
        </w:tc>
        <w:tc>
          <w:tcPr>
            <w:tcW w:w="372"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Supporting evidence</w:t>
            </w:r>
          </w:p>
        </w:tc>
        <w:tc>
          <w:tcPr>
            <w:tcW w:w="500" w:type="dxa"/>
            <w:vMerge/>
            <w:tcBorders>
              <w:top w:val="nil"/>
              <w:left w:val="double" w:sz="6" w:space="0" w:color="auto"/>
              <w:bottom w:val="nil"/>
              <w:right w:val="single" w:sz="4" w:space="0" w:color="auto"/>
            </w:tcBorders>
            <w:vAlign w:val="center"/>
            <w:hideMark/>
          </w:tcPr>
          <w:p w:rsidR="00A772D9" w:rsidRPr="00D57252" w:rsidRDefault="00A772D9" w:rsidP="00D57252">
            <w:pPr>
              <w:spacing w:after="0" w:line="240" w:lineRule="auto"/>
              <w:rPr>
                <w:rFonts w:ascii="Calibri" w:eastAsia="Times New Roman" w:hAnsi="Calibri" w:cs="Calibri"/>
                <w:b/>
                <w:bCs/>
                <w:color w:val="000000"/>
                <w:sz w:val="20"/>
                <w:szCs w:val="20"/>
                <w:lang w:eastAsia="nl-NL"/>
              </w:rPr>
            </w:pPr>
          </w:p>
        </w:tc>
        <w:tc>
          <w:tcPr>
            <w:tcW w:w="500" w:type="dxa"/>
            <w:vMerge/>
            <w:tcBorders>
              <w:top w:val="nil"/>
              <w:left w:val="nil"/>
              <w:bottom w:val="nil"/>
              <w:right w:val="nil"/>
            </w:tcBorders>
            <w:vAlign w:val="center"/>
            <w:hideMark/>
          </w:tcPr>
          <w:p w:rsidR="00A772D9" w:rsidRPr="00D57252" w:rsidRDefault="00A772D9" w:rsidP="00D57252">
            <w:pPr>
              <w:spacing w:after="0" w:line="240" w:lineRule="auto"/>
              <w:rPr>
                <w:rFonts w:ascii="Calibri" w:eastAsia="Times New Roman" w:hAnsi="Calibri" w:cs="Calibri"/>
                <w:b/>
                <w:bCs/>
                <w:color w:val="000000"/>
                <w:lang w:eastAsia="nl-NL"/>
              </w:rPr>
            </w:pPr>
          </w:p>
        </w:tc>
      </w:tr>
      <w:tr w:rsidR="00A772D9" w:rsidRPr="00D57252" w:rsidTr="00A772D9">
        <w:trPr>
          <w:trHeight w:val="120"/>
        </w:trPr>
        <w:tc>
          <w:tcPr>
            <w:tcW w:w="113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115"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137"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025"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372"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 </w:t>
            </w:r>
          </w:p>
        </w:tc>
        <w:tc>
          <w:tcPr>
            <w:tcW w:w="500" w:type="dxa"/>
            <w:vMerge/>
            <w:tcBorders>
              <w:top w:val="nil"/>
              <w:left w:val="double" w:sz="6" w:space="0" w:color="auto"/>
              <w:bottom w:val="nil"/>
              <w:right w:val="single" w:sz="4" w:space="0" w:color="auto"/>
            </w:tcBorders>
            <w:vAlign w:val="center"/>
            <w:hideMark/>
          </w:tcPr>
          <w:p w:rsidR="00A772D9" w:rsidRPr="00D57252" w:rsidRDefault="00A772D9" w:rsidP="00D57252">
            <w:pPr>
              <w:spacing w:after="0" w:line="240" w:lineRule="auto"/>
              <w:rPr>
                <w:rFonts w:ascii="Calibri" w:eastAsia="Times New Roman" w:hAnsi="Calibri" w:cs="Calibri"/>
                <w:b/>
                <w:bCs/>
                <w:color w:val="000000"/>
                <w:sz w:val="20"/>
                <w:szCs w:val="20"/>
                <w:lang w:eastAsia="nl-NL"/>
              </w:rPr>
            </w:pPr>
          </w:p>
        </w:tc>
        <w:tc>
          <w:tcPr>
            <w:tcW w:w="500" w:type="dxa"/>
            <w:vMerge/>
            <w:tcBorders>
              <w:top w:val="nil"/>
              <w:left w:val="nil"/>
              <w:bottom w:val="nil"/>
              <w:right w:val="nil"/>
            </w:tcBorders>
            <w:vAlign w:val="center"/>
            <w:hideMark/>
          </w:tcPr>
          <w:p w:rsidR="00A772D9" w:rsidRPr="00D57252" w:rsidRDefault="00A772D9" w:rsidP="00D57252">
            <w:pPr>
              <w:spacing w:after="0" w:line="240" w:lineRule="auto"/>
              <w:rPr>
                <w:rFonts w:ascii="Calibri" w:eastAsia="Times New Roman" w:hAnsi="Calibri" w:cs="Calibri"/>
                <w:b/>
                <w:bCs/>
                <w:color w:val="000000"/>
                <w:lang w:eastAsia="nl-NL"/>
              </w:rPr>
            </w:pPr>
          </w:p>
        </w:tc>
      </w:tr>
      <w:tr w:rsidR="00A772D9" w:rsidRPr="00D57252" w:rsidTr="00A772D9">
        <w:trPr>
          <w:trHeight w:val="1872"/>
        </w:trPr>
        <w:tc>
          <w:tcPr>
            <w:tcW w:w="1135"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eastAsia="nl-NL"/>
              </w:rPr>
            </w:pPr>
            <w:r w:rsidRPr="00D57252">
              <w:rPr>
                <w:rFonts w:ascii="Calibri" w:eastAsia="Times New Roman" w:hAnsi="Calibri" w:cs="Calibri"/>
                <w:color w:val="000000"/>
                <w:sz w:val="18"/>
                <w:szCs w:val="18"/>
                <w:lang w:eastAsia="nl-NL"/>
              </w:rPr>
              <w:t> </w:t>
            </w:r>
          </w:p>
        </w:tc>
        <w:tc>
          <w:tcPr>
            <w:tcW w:w="211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Ljungqvist &amp; Wilhelm, 2003: When you account for the endogeneity of underwriter choice the positive sign flips to negative during the </w:t>
            </w:r>
            <w:r>
              <w:rPr>
                <w:rFonts w:ascii="Calibri" w:eastAsia="Times New Roman" w:hAnsi="Calibri" w:cs="Calibri"/>
                <w:color w:val="000000"/>
                <w:sz w:val="18"/>
                <w:szCs w:val="18"/>
                <w:lang w:val="en-US" w:eastAsia="nl-NL"/>
              </w:rPr>
              <w:t>1990’s</w:t>
            </w:r>
          </w:p>
        </w:tc>
        <w:tc>
          <w:tcPr>
            <w:tcW w:w="2137"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 xml:space="preserve">Loughran &amp; Ritter, 2004: </w:t>
            </w:r>
            <w:r w:rsidRPr="00D57252">
              <w:rPr>
                <w:rFonts w:ascii="Calibri" w:eastAsia="Times New Roman" w:hAnsi="Calibri" w:cs="Calibri"/>
                <w:color w:val="000000"/>
                <w:sz w:val="18"/>
                <w:szCs w:val="18"/>
                <w:lang w:val="en-US" w:eastAsia="nl-NL"/>
              </w:rPr>
              <w:br/>
              <w:t>Although insider stakes declined in percentage, the dollar values of their shares actually rose</w:t>
            </w:r>
          </w:p>
        </w:tc>
        <w:tc>
          <w:tcPr>
            <w:tcW w:w="2025" w:type="dxa"/>
            <w:tcBorders>
              <w:top w:val="nil"/>
              <w:left w:val="nil"/>
              <w:bottom w:val="nil"/>
              <w:right w:val="nil"/>
            </w:tcBorders>
            <w:shd w:val="clear" w:color="000000" w:fill="FFFFFF"/>
            <w:textDirection w:val="tbRl"/>
            <w:hideMark/>
          </w:tcPr>
          <w:p w:rsidR="00A772D9" w:rsidRPr="00D57252" w:rsidRDefault="00A772D9" w:rsidP="00D57252">
            <w:pPr>
              <w:spacing w:after="0" w:line="240" w:lineRule="auto"/>
              <w:rPr>
                <w:rFonts w:ascii="Calibri" w:eastAsia="Times New Roman" w:hAnsi="Calibri" w:cs="Calibri"/>
                <w:color w:val="000000"/>
                <w:sz w:val="18"/>
                <w:szCs w:val="18"/>
                <w:lang w:val="en-US" w:eastAsia="nl-NL"/>
              </w:rPr>
            </w:pPr>
            <w:r w:rsidRPr="00D57252">
              <w:rPr>
                <w:rFonts w:ascii="Calibri" w:eastAsia="Times New Roman" w:hAnsi="Calibri" w:cs="Calibri"/>
                <w:color w:val="000000"/>
                <w:sz w:val="18"/>
                <w:szCs w:val="18"/>
                <w:lang w:val="en-US" w:eastAsia="nl-NL"/>
              </w:rPr>
              <w:t>Muscarella and Vetsuypens, 1989: When investment banks go public, they are underpriced by similar amounts</w:t>
            </w:r>
          </w:p>
        </w:tc>
        <w:tc>
          <w:tcPr>
            <w:tcW w:w="372" w:type="dxa"/>
            <w:tcBorders>
              <w:top w:val="nil"/>
              <w:left w:val="nil"/>
              <w:bottom w:val="nil"/>
              <w:right w:val="nil"/>
            </w:tcBorders>
            <w:shd w:val="clear" w:color="000000" w:fill="FFFFFF"/>
            <w:noWrap/>
            <w:textDirection w:val="tbRl"/>
            <w:hideMark/>
          </w:tcPr>
          <w:p w:rsidR="00A772D9" w:rsidRPr="00D57252" w:rsidRDefault="00A772D9" w:rsidP="00D57252">
            <w:pPr>
              <w:spacing w:after="0" w:line="240" w:lineRule="auto"/>
              <w:rPr>
                <w:rFonts w:ascii="Calibri" w:eastAsia="Times New Roman" w:hAnsi="Calibri" w:cs="Calibri"/>
                <w:b/>
                <w:bCs/>
                <w:color w:val="000000"/>
                <w:sz w:val="18"/>
                <w:szCs w:val="18"/>
                <w:lang w:eastAsia="nl-NL"/>
              </w:rPr>
            </w:pPr>
            <w:r w:rsidRPr="00D57252">
              <w:rPr>
                <w:rFonts w:ascii="Calibri" w:eastAsia="Times New Roman" w:hAnsi="Calibri" w:cs="Calibri"/>
                <w:b/>
                <w:bCs/>
                <w:color w:val="000000"/>
                <w:sz w:val="18"/>
                <w:szCs w:val="18"/>
                <w:lang w:eastAsia="nl-NL"/>
              </w:rPr>
              <w:t>Cr</w:t>
            </w:r>
            <w:r>
              <w:rPr>
                <w:rFonts w:ascii="Calibri" w:eastAsia="Times New Roman" w:hAnsi="Calibri" w:cs="Calibri"/>
                <w:b/>
                <w:bCs/>
                <w:color w:val="000000"/>
                <w:sz w:val="18"/>
                <w:szCs w:val="18"/>
                <w:lang w:eastAsia="nl-NL"/>
              </w:rPr>
              <w:t>i</w:t>
            </w:r>
            <w:r w:rsidRPr="00D57252">
              <w:rPr>
                <w:rFonts w:ascii="Calibri" w:eastAsia="Times New Roman" w:hAnsi="Calibri" w:cs="Calibri"/>
                <w:b/>
                <w:bCs/>
                <w:color w:val="000000"/>
                <w:sz w:val="18"/>
                <w:szCs w:val="18"/>
                <w:lang w:eastAsia="nl-NL"/>
              </w:rPr>
              <w:t>ticism</w:t>
            </w:r>
          </w:p>
        </w:tc>
        <w:tc>
          <w:tcPr>
            <w:tcW w:w="500" w:type="dxa"/>
            <w:vMerge/>
            <w:tcBorders>
              <w:top w:val="nil"/>
              <w:left w:val="double" w:sz="6" w:space="0" w:color="auto"/>
              <w:bottom w:val="nil"/>
              <w:right w:val="single" w:sz="4" w:space="0" w:color="auto"/>
            </w:tcBorders>
            <w:vAlign w:val="center"/>
            <w:hideMark/>
          </w:tcPr>
          <w:p w:rsidR="00A772D9" w:rsidRPr="00D57252" w:rsidRDefault="00A772D9" w:rsidP="00D57252">
            <w:pPr>
              <w:spacing w:after="0" w:line="240" w:lineRule="auto"/>
              <w:rPr>
                <w:rFonts w:ascii="Calibri" w:eastAsia="Times New Roman" w:hAnsi="Calibri" w:cs="Calibri"/>
                <w:b/>
                <w:bCs/>
                <w:color w:val="000000"/>
                <w:sz w:val="20"/>
                <w:szCs w:val="20"/>
                <w:lang w:eastAsia="nl-NL"/>
              </w:rPr>
            </w:pPr>
          </w:p>
        </w:tc>
        <w:tc>
          <w:tcPr>
            <w:tcW w:w="500" w:type="dxa"/>
            <w:vMerge/>
            <w:tcBorders>
              <w:top w:val="nil"/>
              <w:left w:val="nil"/>
              <w:bottom w:val="nil"/>
              <w:right w:val="nil"/>
            </w:tcBorders>
            <w:vAlign w:val="center"/>
            <w:hideMark/>
          </w:tcPr>
          <w:p w:rsidR="00A772D9" w:rsidRPr="00D57252" w:rsidRDefault="00A772D9" w:rsidP="00D57252">
            <w:pPr>
              <w:spacing w:after="0" w:line="240" w:lineRule="auto"/>
              <w:rPr>
                <w:rFonts w:ascii="Calibri" w:eastAsia="Times New Roman" w:hAnsi="Calibri" w:cs="Calibri"/>
                <w:b/>
                <w:bCs/>
                <w:color w:val="000000"/>
                <w:lang w:eastAsia="nl-NL"/>
              </w:rPr>
            </w:pPr>
          </w:p>
        </w:tc>
      </w:tr>
    </w:tbl>
    <w:p w:rsidR="00A91A4C" w:rsidRPr="00A91A4C" w:rsidRDefault="00A91A4C">
      <w:pPr>
        <w:rPr>
          <w:lang w:val="en-US"/>
        </w:rPr>
      </w:pPr>
      <w:r>
        <w:rPr>
          <w:b/>
          <w:lang w:val="en-US"/>
        </w:rPr>
        <w:br w:type="page"/>
      </w:r>
    </w:p>
    <w:tbl>
      <w:tblPr>
        <w:tblpPr w:leftFromText="141" w:rightFromText="141" w:bottomFromText="200" w:vertAnchor="page" w:horzAnchor="margin" w:tblpXSpec="right" w:tblpY="1458"/>
        <w:tblW w:w="5200" w:type="dxa"/>
        <w:tblCellMar>
          <w:left w:w="70" w:type="dxa"/>
          <w:right w:w="70" w:type="dxa"/>
        </w:tblCellMar>
        <w:tblLook w:val="04A0"/>
      </w:tblPr>
      <w:tblGrid>
        <w:gridCol w:w="808"/>
        <w:gridCol w:w="1780"/>
        <w:gridCol w:w="1240"/>
        <w:gridCol w:w="372"/>
        <w:gridCol w:w="500"/>
        <w:gridCol w:w="500"/>
      </w:tblGrid>
      <w:tr w:rsidR="009D3AFC" w:rsidTr="009D3AFC">
        <w:trPr>
          <w:trHeight w:val="1065"/>
        </w:trPr>
        <w:tc>
          <w:tcPr>
            <w:tcW w:w="808" w:type="dxa"/>
            <w:vMerge w:val="restart"/>
            <w:shd w:val="clear" w:color="auto" w:fill="FFFFFF"/>
            <w:textDirection w:val="tbRl"/>
            <w:vAlign w:val="center"/>
            <w:hideMark/>
          </w:tcPr>
          <w:p w:rsidR="009D3AFC" w:rsidRDefault="009D3AFC" w:rsidP="009D3AFC">
            <w:pPr>
              <w:spacing w:after="0" w:line="240" w:lineRule="auto"/>
              <w:jc w:val="center"/>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lastRenderedPageBreak/>
              <w:t xml:space="preserve">Table 1 </w:t>
            </w:r>
            <w:proofErr w:type="gramStart"/>
            <w:r>
              <w:rPr>
                <w:rFonts w:ascii="Calibri" w:eastAsia="Times New Roman" w:hAnsi="Calibri" w:cs="Calibri"/>
                <w:color w:val="000000"/>
                <w:sz w:val="18"/>
                <w:szCs w:val="18"/>
                <w:lang w:val="en-US" w:eastAsia="nl-NL"/>
              </w:rPr>
              <w:t>shows</w:t>
            </w:r>
            <w:proofErr w:type="gramEnd"/>
            <w:r>
              <w:rPr>
                <w:rFonts w:ascii="Calibri" w:eastAsia="Times New Roman" w:hAnsi="Calibri" w:cs="Calibri"/>
                <w:color w:val="000000"/>
                <w:sz w:val="18"/>
                <w:szCs w:val="18"/>
                <w:lang w:val="en-US" w:eastAsia="nl-NL"/>
              </w:rPr>
              <w:t xml:space="preserve"> different underpricing theories discussed in the literature review. The first column shows the author, the second column describes the theory, the third column describes the relationship with underpricing, the fourth column describes the variables that are used to test the theory, the fifth and sixth column show </w:t>
            </w:r>
            <w:proofErr w:type="gramStart"/>
            <w:r>
              <w:rPr>
                <w:rFonts w:ascii="Calibri" w:eastAsia="Times New Roman" w:hAnsi="Calibri" w:cs="Calibri"/>
                <w:color w:val="000000"/>
                <w:sz w:val="18"/>
                <w:szCs w:val="18"/>
                <w:lang w:val="en-US" w:eastAsia="nl-NL"/>
              </w:rPr>
              <w:t>who</w:t>
            </w:r>
            <w:proofErr w:type="gramEnd"/>
            <w:r>
              <w:rPr>
                <w:rFonts w:ascii="Calibri" w:eastAsia="Times New Roman" w:hAnsi="Calibri" w:cs="Calibri"/>
                <w:color w:val="000000"/>
                <w:sz w:val="18"/>
                <w:szCs w:val="18"/>
                <w:lang w:val="en-US" w:eastAsia="nl-NL"/>
              </w:rPr>
              <w:t xml:space="preserve"> support and criticize the theories.</w:t>
            </w:r>
          </w:p>
        </w:tc>
        <w:tc>
          <w:tcPr>
            <w:tcW w:w="1780" w:type="dxa"/>
            <w:tcBorders>
              <w:top w:val="nil"/>
              <w:left w:val="single" w:sz="4" w:space="0" w:color="auto"/>
              <w:bottom w:val="nil"/>
              <w:right w:val="nil"/>
            </w:tcBorders>
            <w:shd w:val="clear" w:color="auto" w:fill="FFFFFF"/>
            <w:noWrap/>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Lowry &amp; Shu, 2002</w:t>
            </w:r>
          </w:p>
        </w:tc>
        <w:tc>
          <w:tcPr>
            <w:tcW w:w="1240" w:type="dxa"/>
            <w:shd w:val="clear" w:color="auto" w:fill="FFFFFF"/>
            <w:noWrap/>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Ellis et al., 2000</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Author</w:t>
            </w:r>
          </w:p>
        </w:tc>
        <w:tc>
          <w:tcPr>
            <w:tcW w:w="500" w:type="dxa"/>
            <w:vMerge w:val="restart"/>
            <w:tcBorders>
              <w:top w:val="nil"/>
              <w:left w:val="double" w:sz="6" w:space="0" w:color="auto"/>
              <w:bottom w:val="nil"/>
              <w:right w:val="single" w:sz="4" w:space="0" w:color="auto"/>
            </w:tcBorders>
            <w:shd w:val="clear" w:color="auto" w:fill="FFFFFF"/>
            <w:noWrap/>
            <w:textDirection w:val="tbRl"/>
            <w:vAlign w:val="center"/>
            <w:hideMark/>
          </w:tcPr>
          <w:p w:rsidR="009D3AFC" w:rsidRDefault="009D3AFC" w:rsidP="009D3AFC">
            <w:pPr>
              <w:spacing w:after="0" w:line="240" w:lineRule="auto"/>
              <w:jc w:val="center"/>
              <w:rPr>
                <w:rFonts w:ascii="Calibri" w:eastAsia="Times New Roman" w:hAnsi="Calibri" w:cs="Calibri"/>
                <w:b/>
                <w:bCs/>
                <w:color w:val="000000"/>
                <w:sz w:val="20"/>
                <w:szCs w:val="20"/>
                <w:lang w:val="en-US" w:eastAsia="nl-NL"/>
              </w:rPr>
            </w:pPr>
            <w:r>
              <w:rPr>
                <w:rFonts w:ascii="Calibri" w:eastAsia="Times New Roman" w:hAnsi="Calibri" w:cs="Calibri"/>
                <w:b/>
                <w:bCs/>
                <w:color w:val="000000"/>
                <w:sz w:val="20"/>
                <w:szCs w:val="20"/>
                <w:lang w:val="en-US" w:eastAsia="nl-NL"/>
              </w:rPr>
              <w:t>Other models of IPO underpricing</w:t>
            </w:r>
          </w:p>
        </w:tc>
        <w:tc>
          <w:tcPr>
            <w:tcW w:w="500" w:type="dxa"/>
            <w:vMerge w:val="restart"/>
            <w:shd w:val="clear" w:color="auto" w:fill="FFFFFF"/>
            <w:noWrap/>
            <w:textDirection w:val="tbRl"/>
            <w:vAlign w:val="center"/>
            <w:hideMark/>
          </w:tcPr>
          <w:p w:rsidR="009D3AFC" w:rsidRDefault="009D3AFC" w:rsidP="009D3AFC">
            <w:pPr>
              <w:spacing w:after="0"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Table 1 Continued</w:t>
            </w:r>
          </w:p>
        </w:tc>
      </w:tr>
      <w:tr w:rsidR="009D3AFC" w:rsidTr="009D3AFC">
        <w:trPr>
          <w:trHeight w:val="135"/>
        </w:trPr>
        <w:tc>
          <w:tcPr>
            <w:tcW w:w="0" w:type="auto"/>
            <w:vMerge/>
            <w:vAlign w:val="center"/>
            <w:hideMark/>
          </w:tcPr>
          <w:p w:rsidR="009D3AFC" w:rsidRDefault="009D3AFC" w:rsidP="009D3AFC">
            <w:pPr>
              <w:spacing w:after="0" w:line="240" w:lineRule="auto"/>
              <w:rPr>
                <w:rFonts w:ascii="Calibri" w:eastAsia="Times New Roman" w:hAnsi="Calibri" w:cs="Calibri"/>
                <w:color w:val="000000"/>
                <w:sz w:val="18"/>
                <w:szCs w:val="18"/>
                <w:lang w:val="en-US" w:eastAsia="nl-NL"/>
              </w:rPr>
            </w:pPr>
          </w:p>
        </w:tc>
        <w:tc>
          <w:tcPr>
            <w:tcW w:w="1780" w:type="dxa"/>
            <w:tcBorders>
              <w:top w:val="nil"/>
              <w:left w:val="single" w:sz="4" w:space="0" w:color="auto"/>
              <w:bottom w:val="nil"/>
              <w:right w:val="nil"/>
            </w:tcBorders>
            <w:shd w:val="clear" w:color="auto" w:fill="FFFFFF"/>
            <w:noWrap/>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p>
        </w:tc>
        <w:tc>
          <w:tcPr>
            <w:tcW w:w="1240" w:type="dxa"/>
            <w:shd w:val="clear" w:color="auto" w:fill="FFFFFF"/>
            <w:noWrap/>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 </w:t>
            </w:r>
          </w:p>
        </w:tc>
        <w:tc>
          <w:tcPr>
            <w:tcW w:w="0" w:type="auto"/>
            <w:vMerge/>
            <w:tcBorders>
              <w:top w:val="nil"/>
              <w:left w:val="double" w:sz="6" w:space="0" w:color="auto"/>
              <w:bottom w:val="nil"/>
              <w:right w:val="single" w:sz="4" w:space="0" w:color="auto"/>
            </w:tcBorders>
            <w:vAlign w:val="center"/>
            <w:hideMark/>
          </w:tcPr>
          <w:p w:rsidR="009D3AFC" w:rsidRDefault="009D3AFC" w:rsidP="009D3AFC">
            <w:pPr>
              <w:spacing w:after="0" w:line="240" w:lineRule="auto"/>
              <w:rPr>
                <w:rFonts w:ascii="Calibri" w:eastAsia="Times New Roman" w:hAnsi="Calibri" w:cs="Calibri"/>
                <w:b/>
                <w:bCs/>
                <w:color w:val="000000"/>
                <w:sz w:val="20"/>
                <w:szCs w:val="20"/>
                <w:lang w:val="en-US" w:eastAsia="nl-NL"/>
              </w:rPr>
            </w:pPr>
          </w:p>
        </w:tc>
        <w:tc>
          <w:tcPr>
            <w:tcW w:w="0" w:type="auto"/>
            <w:vMerge/>
            <w:vAlign w:val="center"/>
            <w:hideMark/>
          </w:tcPr>
          <w:p w:rsidR="009D3AFC" w:rsidRDefault="009D3AFC" w:rsidP="009D3AFC">
            <w:pPr>
              <w:spacing w:after="0" w:line="240" w:lineRule="auto"/>
              <w:rPr>
                <w:rFonts w:ascii="Calibri" w:eastAsia="Times New Roman" w:hAnsi="Calibri" w:cs="Calibri"/>
                <w:b/>
                <w:bCs/>
                <w:color w:val="000000"/>
                <w:lang w:eastAsia="nl-NL"/>
              </w:rPr>
            </w:pPr>
          </w:p>
        </w:tc>
      </w:tr>
      <w:tr w:rsidR="009D3AFC" w:rsidTr="009D3AFC">
        <w:trPr>
          <w:trHeight w:val="1725"/>
        </w:trPr>
        <w:tc>
          <w:tcPr>
            <w:tcW w:w="0" w:type="auto"/>
            <w:vMerge/>
            <w:vAlign w:val="center"/>
            <w:hideMark/>
          </w:tcPr>
          <w:p w:rsidR="009D3AFC" w:rsidRDefault="009D3AFC" w:rsidP="009D3AFC">
            <w:pPr>
              <w:spacing w:after="0" w:line="240" w:lineRule="auto"/>
              <w:rPr>
                <w:rFonts w:ascii="Calibri" w:eastAsia="Times New Roman" w:hAnsi="Calibri" w:cs="Calibri"/>
                <w:color w:val="000000"/>
                <w:sz w:val="18"/>
                <w:szCs w:val="18"/>
                <w:lang w:val="en-US" w:eastAsia="nl-NL"/>
              </w:rPr>
            </w:pPr>
          </w:p>
        </w:tc>
        <w:tc>
          <w:tcPr>
            <w:tcW w:w="1780" w:type="dxa"/>
            <w:tcBorders>
              <w:top w:val="nil"/>
              <w:left w:val="single" w:sz="4" w:space="0" w:color="auto"/>
              <w:bottom w:val="nil"/>
              <w:right w:val="nil"/>
            </w:tcBorders>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xml:space="preserve">The lawsuit avoidance </w:t>
            </w:r>
            <w:r>
              <w:rPr>
                <w:rFonts w:ascii="Calibri" w:eastAsia="Times New Roman" w:hAnsi="Calibri" w:cs="Calibri"/>
                <w:color w:val="000000"/>
                <w:sz w:val="18"/>
                <w:szCs w:val="18"/>
                <w:lang w:eastAsia="nl-NL"/>
              </w:rPr>
              <w:br/>
              <w:t>hypothesis</w:t>
            </w:r>
          </w:p>
        </w:tc>
        <w:tc>
          <w:tcPr>
            <w:tcW w:w="1240" w:type="dxa"/>
            <w:shd w:val="clear" w:color="auto" w:fill="FFFFFF"/>
            <w:noWrap/>
            <w:textDirection w:val="tbRl"/>
            <w:hideMark/>
          </w:tcPr>
          <w:p w:rsidR="009D3AFC" w:rsidRPr="00490B3B" w:rsidRDefault="009D3AFC" w:rsidP="009D3AFC">
            <w:pPr>
              <w:spacing w:after="0" w:line="240" w:lineRule="auto"/>
              <w:rPr>
                <w:rFonts w:ascii="Calibri" w:eastAsia="Times New Roman" w:hAnsi="Calibri" w:cs="Calibri"/>
                <w:color w:val="000000"/>
                <w:sz w:val="18"/>
                <w:szCs w:val="18"/>
                <w:lang w:val="en-US" w:eastAsia="nl-NL"/>
              </w:rPr>
            </w:pPr>
            <w:r w:rsidRPr="00490B3B">
              <w:rPr>
                <w:rFonts w:ascii="Calibri" w:eastAsia="Times New Roman" w:hAnsi="Calibri" w:cs="Calibri"/>
                <w:color w:val="000000"/>
                <w:sz w:val="18"/>
                <w:szCs w:val="18"/>
                <w:lang w:val="en-US" w:eastAsia="nl-NL"/>
              </w:rPr>
              <w:t>Post IPO trading profits</w:t>
            </w:r>
            <w:r w:rsidR="00C27C73" w:rsidRPr="00490B3B">
              <w:rPr>
                <w:rFonts w:ascii="Calibri" w:eastAsia="Times New Roman" w:hAnsi="Calibri" w:cs="Calibri"/>
                <w:color w:val="000000"/>
                <w:sz w:val="18"/>
                <w:szCs w:val="18"/>
                <w:lang w:val="en-US" w:eastAsia="nl-NL"/>
              </w:rPr>
              <w:t xml:space="preserve"> due to market position</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Theory</w:t>
            </w:r>
          </w:p>
        </w:tc>
        <w:tc>
          <w:tcPr>
            <w:tcW w:w="0" w:type="auto"/>
            <w:vMerge/>
            <w:tcBorders>
              <w:top w:val="nil"/>
              <w:left w:val="double" w:sz="6" w:space="0" w:color="auto"/>
              <w:bottom w:val="nil"/>
              <w:right w:val="single" w:sz="4" w:space="0" w:color="auto"/>
            </w:tcBorders>
            <w:vAlign w:val="center"/>
            <w:hideMark/>
          </w:tcPr>
          <w:p w:rsidR="009D3AFC" w:rsidRDefault="009D3AFC" w:rsidP="009D3AFC">
            <w:pPr>
              <w:spacing w:after="0" w:line="240" w:lineRule="auto"/>
              <w:rPr>
                <w:rFonts w:ascii="Calibri" w:eastAsia="Times New Roman" w:hAnsi="Calibri" w:cs="Calibri"/>
                <w:b/>
                <w:bCs/>
                <w:color w:val="000000"/>
                <w:sz w:val="20"/>
                <w:szCs w:val="20"/>
                <w:lang w:val="en-US" w:eastAsia="nl-NL"/>
              </w:rPr>
            </w:pPr>
          </w:p>
        </w:tc>
        <w:tc>
          <w:tcPr>
            <w:tcW w:w="0" w:type="auto"/>
            <w:vMerge/>
            <w:vAlign w:val="center"/>
            <w:hideMark/>
          </w:tcPr>
          <w:p w:rsidR="009D3AFC" w:rsidRDefault="009D3AFC" w:rsidP="009D3AFC">
            <w:pPr>
              <w:spacing w:after="0" w:line="240" w:lineRule="auto"/>
              <w:rPr>
                <w:rFonts w:ascii="Calibri" w:eastAsia="Times New Roman" w:hAnsi="Calibri" w:cs="Calibri"/>
                <w:b/>
                <w:bCs/>
                <w:color w:val="000000"/>
                <w:lang w:eastAsia="nl-NL"/>
              </w:rPr>
            </w:pPr>
          </w:p>
        </w:tc>
      </w:tr>
      <w:tr w:rsidR="009D3AFC" w:rsidTr="009D3AFC">
        <w:trPr>
          <w:trHeight w:val="120"/>
        </w:trPr>
        <w:tc>
          <w:tcPr>
            <w:tcW w:w="0" w:type="auto"/>
            <w:vMerge/>
            <w:vAlign w:val="center"/>
            <w:hideMark/>
          </w:tcPr>
          <w:p w:rsidR="009D3AFC" w:rsidRDefault="009D3AFC" w:rsidP="009D3AFC">
            <w:pPr>
              <w:spacing w:after="0" w:line="240" w:lineRule="auto"/>
              <w:rPr>
                <w:rFonts w:ascii="Calibri" w:eastAsia="Times New Roman" w:hAnsi="Calibri" w:cs="Calibri"/>
                <w:color w:val="000000"/>
                <w:sz w:val="18"/>
                <w:szCs w:val="18"/>
                <w:lang w:val="en-US" w:eastAsia="nl-NL"/>
              </w:rPr>
            </w:pPr>
          </w:p>
        </w:tc>
        <w:tc>
          <w:tcPr>
            <w:tcW w:w="1780" w:type="dxa"/>
            <w:tcBorders>
              <w:top w:val="nil"/>
              <w:left w:val="single" w:sz="4" w:space="0" w:color="auto"/>
              <w:bottom w:val="nil"/>
              <w:right w:val="nil"/>
            </w:tcBorders>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p>
        </w:tc>
        <w:tc>
          <w:tcPr>
            <w:tcW w:w="1240" w:type="dxa"/>
            <w:shd w:val="clear" w:color="auto" w:fill="FFFFFF"/>
            <w:noWrap/>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 </w:t>
            </w:r>
          </w:p>
        </w:tc>
        <w:tc>
          <w:tcPr>
            <w:tcW w:w="0" w:type="auto"/>
            <w:vMerge/>
            <w:tcBorders>
              <w:top w:val="nil"/>
              <w:left w:val="double" w:sz="6" w:space="0" w:color="auto"/>
              <w:bottom w:val="nil"/>
              <w:right w:val="single" w:sz="4" w:space="0" w:color="auto"/>
            </w:tcBorders>
            <w:vAlign w:val="center"/>
            <w:hideMark/>
          </w:tcPr>
          <w:p w:rsidR="009D3AFC" w:rsidRDefault="009D3AFC" w:rsidP="009D3AFC">
            <w:pPr>
              <w:spacing w:after="0" w:line="240" w:lineRule="auto"/>
              <w:rPr>
                <w:rFonts w:ascii="Calibri" w:eastAsia="Times New Roman" w:hAnsi="Calibri" w:cs="Calibri"/>
                <w:b/>
                <w:bCs/>
                <w:color w:val="000000"/>
                <w:sz w:val="20"/>
                <w:szCs w:val="20"/>
                <w:lang w:val="en-US" w:eastAsia="nl-NL"/>
              </w:rPr>
            </w:pPr>
          </w:p>
        </w:tc>
        <w:tc>
          <w:tcPr>
            <w:tcW w:w="0" w:type="auto"/>
            <w:vMerge/>
            <w:vAlign w:val="center"/>
            <w:hideMark/>
          </w:tcPr>
          <w:p w:rsidR="009D3AFC" w:rsidRDefault="009D3AFC" w:rsidP="009D3AFC">
            <w:pPr>
              <w:spacing w:after="0" w:line="240" w:lineRule="auto"/>
              <w:rPr>
                <w:rFonts w:ascii="Calibri" w:eastAsia="Times New Roman" w:hAnsi="Calibri" w:cs="Calibri"/>
                <w:b/>
                <w:bCs/>
                <w:color w:val="000000"/>
                <w:lang w:eastAsia="nl-NL"/>
              </w:rPr>
            </w:pPr>
          </w:p>
        </w:tc>
      </w:tr>
      <w:tr w:rsidR="009D3AFC" w:rsidTr="009D3AFC">
        <w:trPr>
          <w:trHeight w:val="2640"/>
        </w:trPr>
        <w:tc>
          <w:tcPr>
            <w:tcW w:w="0" w:type="auto"/>
            <w:vMerge/>
            <w:vAlign w:val="center"/>
            <w:hideMark/>
          </w:tcPr>
          <w:p w:rsidR="009D3AFC" w:rsidRDefault="009D3AFC" w:rsidP="009D3AFC">
            <w:pPr>
              <w:spacing w:after="0" w:line="240" w:lineRule="auto"/>
              <w:rPr>
                <w:rFonts w:ascii="Calibri" w:eastAsia="Times New Roman" w:hAnsi="Calibri" w:cs="Calibri"/>
                <w:color w:val="000000"/>
                <w:sz w:val="18"/>
                <w:szCs w:val="18"/>
                <w:lang w:val="en-US" w:eastAsia="nl-NL"/>
              </w:rPr>
            </w:pPr>
          </w:p>
        </w:tc>
        <w:tc>
          <w:tcPr>
            <w:tcW w:w="1780" w:type="dxa"/>
            <w:tcBorders>
              <w:top w:val="nil"/>
              <w:left w:val="single" w:sz="4" w:space="0" w:color="auto"/>
              <w:bottom w:val="nil"/>
              <w:right w:val="nil"/>
            </w:tcBorders>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Firms deliberately underprice to reduce litigation problems</w:t>
            </w:r>
          </w:p>
        </w:tc>
        <w:tc>
          <w:tcPr>
            <w:tcW w:w="1240" w:type="dxa"/>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 xml:space="preserve">Underwriters deliberately </w:t>
            </w:r>
            <w:r>
              <w:rPr>
                <w:rFonts w:ascii="Calibri" w:eastAsia="Times New Roman" w:hAnsi="Calibri" w:cs="Calibri"/>
                <w:color w:val="000000"/>
                <w:sz w:val="18"/>
                <w:szCs w:val="18"/>
                <w:lang w:val="en-US" w:eastAsia="nl-NL"/>
              </w:rPr>
              <w:br/>
              <w:t>underprice to create a liquid (and therefore profitable) share market, benefitting their market maker position</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Relation</w:t>
            </w:r>
          </w:p>
        </w:tc>
        <w:tc>
          <w:tcPr>
            <w:tcW w:w="0" w:type="auto"/>
            <w:vMerge/>
            <w:tcBorders>
              <w:top w:val="nil"/>
              <w:left w:val="double" w:sz="6" w:space="0" w:color="auto"/>
              <w:bottom w:val="nil"/>
              <w:right w:val="single" w:sz="4" w:space="0" w:color="auto"/>
            </w:tcBorders>
            <w:vAlign w:val="center"/>
            <w:hideMark/>
          </w:tcPr>
          <w:p w:rsidR="009D3AFC" w:rsidRDefault="009D3AFC" w:rsidP="009D3AFC">
            <w:pPr>
              <w:spacing w:after="0" w:line="240" w:lineRule="auto"/>
              <w:rPr>
                <w:rFonts w:ascii="Calibri" w:eastAsia="Times New Roman" w:hAnsi="Calibri" w:cs="Calibri"/>
                <w:b/>
                <w:bCs/>
                <w:color w:val="000000"/>
                <w:sz w:val="20"/>
                <w:szCs w:val="20"/>
                <w:lang w:val="en-US" w:eastAsia="nl-NL"/>
              </w:rPr>
            </w:pPr>
          </w:p>
        </w:tc>
        <w:tc>
          <w:tcPr>
            <w:tcW w:w="0" w:type="auto"/>
            <w:vMerge/>
            <w:vAlign w:val="center"/>
            <w:hideMark/>
          </w:tcPr>
          <w:p w:rsidR="009D3AFC" w:rsidRDefault="009D3AFC" w:rsidP="009D3AFC">
            <w:pPr>
              <w:spacing w:after="0" w:line="240" w:lineRule="auto"/>
              <w:rPr>
                <w:rFonts w:ascii="Calibri" w:eastAsia="Times New Roman" w:hAnsi="Calibri" w:cs="Calibri"/>
                <w:b/>
                <w:bCs/>
                <w:color w:val="000000"/>
                <w:lang w:eastAsia="nl-NL"/>
              </w:rPr>
            </w:pPr>
          </w:p>
        </w:tc>
      </w:tr>
      <w:tr w:rsidR="009D3AFC" w:rsidTr="009D3AFC">
        <w:trPr>
          <w:trHeight w:val="120"/>
        </w:trPr>
        <w:tc>
          <w:tcPr>
            <w:tcW w:w="0" w:type="auto"/>
            <w:vMerge/>
            <w:vAlign w:val="center"/>
            <w:hideMark/>
          </w:tcPr>
          <w:p w:rsidR="009D3AFC" w:rsidRDefault="009D3AFC" w:rsidP="009D3AFC">
            <w:pPr>
              <w:spacing w:after="0" w:line="240" w:lineRule="auto"/>
              <w:rPr>
                <w:rFonts w:ascii="Calibri" w:eastAsia="Times New Roman" w:hAnsi="Calibri" w:cs="Calibri"/>
                <w:color w:val="000000"/>
                <w:sz w:val="18"/>
                <w:szCs w:val="18"/>
                <w:lang w:val="en-US" w:eastAsia="nl-NL"/>
              </w:rPr>
            </w:pPr>
          </w:p>
        </w:tc>
        <w:tc>
          <w:tcPr>
            <w:tcW w:w="1780" w:type="dxa"/>
            <w:tcBorders>
              <w:top w:val="nil"/>
              <w:left w:val="single" w:sz="4" w:space="0" w:color="auto"/>
              <w:bottom w:val="nil"/>
              <w:right w:val="nil"/>
            </w:tcBorders>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p>
        </w:tc>
        <w:tc>
          <w:tcPr>
            <w:tcW w:w="1240" w:type="dxa"/>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 </w:t>
            </w:r>
          </w:p>
        </w:tc>
        <w:tc>
          <w:tcPr>
            <w:tcW w:w="0" w:type="auto"/>
            <w:vMerge/>
            <w:tcBorders>
              <w:top w:val="nil"/>
              <w:left w:val="double" w:sz="6" w:space="0" w:color="auto"/>
              <w:bottom w:val="nil"/>
              <w:right w:val="single" w:sz="4" w:space="0" w:color="auto"/>
            </w:tcBorders>
            <w:vAlign w:val="center"/>
            <w:hideMark/>
          </w:tcPr>
          <w:p w:rsidR="009D3AFC" w:rsidRDefault="009D3AFC" w:rsidP="009D3AFC">
            <w:pPr>
              <w:spacing w:after="0" w:line="240" w:lineRule="auto"/>
              <w:rPr>
                <w:rFonts w:ascii="Calibri" w:eastAsia="Times New Roman" w:hAnsi="Calibri" w:cs="Calibri"/>
                <w:b/>
                <w:bCs/>
                <w:color w:val="000000"/>
                <w:sz w:val="20"/>
                <w:szCs w:val="20"/>
                <w:lang w:val="en-US" w:eastAsia="nl-NL"/>
              </w:rPr>
            </w:pPr>
          </w:p>
        </w:tc>
        <w:tc>
          <w:tcPr>
            <w:tcW w:w="0" w:type="auto"/>
            <w:vMerge/>
            <w:vAlign w:val="center"/>
            <w:hideMark/>
          </w:tcPr>
          <w:p w:rsidR="009D3AFC" w:rsidRDefault="009D3AFC" w:rsidP="009D3AFC">
            <w:pPr>
              <w:spacing w:after="0" w:line="240" w:lineRule="auto"/>
              <w:rPr>
                <w:rFonts w:ascii="Calibri" w:eastAsia="Times New Roman" w:hAnsi="Calibri" w:cs="Calibri"/>
                <w:b/>
                <w:bCs/>
                <w:color w:val="000000"/>
                <w:lang w:eastAsia="nl-NL"/>
              </w:rPr>
            </w:pPr>
          </w:p>
        </w:tc>
      </w:tr>
      <w:tr w:rsidR="009D3AFC" w:rsidTr="009D3AFC">
        <w:trPr>
          <w:trHeight w:val="2970"/>
        </w:trPr>
        <w:tc>
          <w:tcPr>
            <w:tcW w:w="0" w:type="auto"/>
            <w:vMerge/>
            <w:vAlign w:val="center"/>
            <w:hideMark/>
          </w:tcPr>
          <w:p w:rsidR="009D3AFC" w:rsidRDefault="009D3AFC" w:rsidP="009D3AFC">
            <w:pPr>
              <w:spacing w:after="0" w:line="240" w:lineRule="auto"/>
              <w:rPr>
                <w:rFonts w:ascii="Calibri" w:eastAsia="Times New Roman" w:hAnsi="Calibri" w:cs="Calibri"/>
                <w:color w:val="000000"/>
                <w:sz w:val="18"/>
                <w:szCs w:val="18"/>
                <w:lang w:val="en-US" w:eastAsia="nl-NL"/>
              </w:rPr>
            </w:pPr>
          </w:p>
        </w:tc>
        <w:tc>
          <w:tcPr>
            <w:tcW w:w="1780" w:type="dxa"/>
            <w:tcBorders>
              <w:top w:val="nil"/>
              <w:left w:val="single" w:sz="4" w:space="0" w:color="auto"/>
              <w:bottom w:val="nil"/>
              <w:right w:val="nil"/>
            </w:tcBorders>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Underpricing is negatively related to the  chance of getting sued</w:t>
            </w:r>
          </w:p>
        </w:tc>
        <w:tc>
          <w:tcPr>
            <w:tcW w:w="1240" w:type="dxa"/>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 xml:space="preserve">Underpricing is positively related to </w:t>
            </w:r>
            <w:r>
              <w:rPr>
                <w:rFonts w:ascii="Calibri" w:eastAsia="Times New Roman" w:hAnsi="Calibri" w:cs="Calibri"/>
                <w:color w:val="000000"/>
                <w:sz w:val="18"/>
                <w:szCs w:val="18"/>
                <w:lang w:val="en-US" w:eastAsia="nl-NL"/>
              </w:rPr>
              <w:br/>
              <w:t>trading profits</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Testable implications</w:t>
            </w:r>
          </w:p>
        </w:tc>
        <w:tc>
          <w:tcPr>
            <w:tcW w:w="0" w:type="auto"/>
            <w:vMerge/>
            <w:tcBorders>
              <w:top w:val="nil"/>
              <w:left w:val="double" w:sz="6" w:space="0" w:color="auto"/>
              <w:bottom w:val="nil"/>
              <w:right w:val="single" w:sz="4" w:space="0" w:color="auto"/>
            </w:tcBorders>
            <w:vAlign w:val="center"/>
            <w:hideMark/>
          </w:tcPr>
          <w:p w:rsidR="009D3AFC" w:rsidRDefault="009D3AFC" w:rsidP="009D3AFC">
            <w:pPr>
              <w:spacing w:after="0" w:line="240" w:lineRule="auto"/>
              <w:rPr>
                <w:rFonts w:ascii="Calibri" w:eastAsia="Times New Roman" w:hAnsi="Calibri" w:cs="Calibri"/>
                <w:b/>
                <w:bCs/>
                <w:color w:val="000000"/>
                <w:sz w:val="20"/>
                <w:szCs w:val="20"/>
                <w:lang w:val="en-US" w:eastAsia="nl-NL"/>
              </w:rPr>
            </w:pPr>
          </w:p>
        </w:tc>
        <w:tc>
          <w:tcPr>
            <w:tcW w:w="0" w:type="auto"/>
            <w:vMerge/>
            <w:vAlign w:val="center"/>
            <w:hideMark/>
          </w:tcPr>
          <w:p w:rsidR="009D3AFC" w:rsidRDefault="009D3AFC" w:rsidP="009D3AFC">
            <w:pPr>
              <w:spacing w:after="0" w:line="240" w:lineRule="auto"/>
              <w:rPr>
                <w:rFonts w:ascii="Calibri" w:eastAsia="Times New Roman" w:hAnsi="Calibri" w:cs="Calibri"/>
                <w:b/>
                <w:bCs/>
                <w:color w:val="000000"/>
                <w:lang w:eastAsia="nl-NL"/>
              </w:rPr>
            </w:pPr>
          </w:p>
        </w:tc>
      </w:tr>
      <w:tr w:rsidR="009D3AFC" w:rsidTr="009D3AFC">
        <w:trPr>
          <w:trHeight w:val="120"/>
        </w:trPr>
        <w:tc>
          <w:tcPr>
            <w:tcW w:w="0" w:type="auto"/>
            <w:vMerge/>
            <w:vAlign w:val="center"/>
            <w:hideMark/>
          </w:tcPr>
          <w:p w:rsidR="009D3AFC" w:rsidRDefault="009D3AFC" w:rsidP="009D3AFC">
            <w:pPr>
              <w:spacing w:after="0" w:line="240" w:lineRule="auto"/>
              <w:rPr>
                <w:rFonts w:ascii="Calibri" w:eastAsia="Times New Roman" w:hAnsi="Calibri" w:cs="Calibri"/>
                <w:color w:val="000000"/>
                <w:sz w:val="18"/>
                <w:szCs w:val="18"/>
                <w:lang w:val="en-US" w:eastAsia="nl-NL"/>
              </w:rPr>
            </w:pPr>
          </w:p>
        </w:tc>
        <w:tc>
          <w:tcPr>
            <w:tcW w:w="1780" w:type="dxa"/>
            <w:tcBorders>
              <w:top w:val="nil"/>
              <w:left w:val="single" w:sz="4" w:space="0" w:color="auto"/>
              <w:bottom w:val="nil"/>
              <w:right w:val="nil"/>
            </w:tcBorders>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p>
        </w:tc>
        <w:tc>
          <w:tcPr>
            <w:tcW w:w="1240" w:type="dxa"/>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 </w:t>
            </w:r>
          </w:p>
        </w:tc>
        <w:tc>
          <w:tcPr>
            <w:tcW w:w="0" w:type="auto"/>
            <w:vMerge/>
            <w:tcBorders>
              <w:top w:val="nil"/>
              <w:left w:val="double" w:sz="6" w:space="0" w:color="auto"/>
              <w:bottom w:val="nil"/>
              <w:right w:val="single" w:sz="4" w:space="0" w:color="auto"/>
            </w:tcBorders>
            <w:vAlign w:val="center"/>
            <w:hideMark/>
          </w:tcPr>
          <w:p w:rsidR="009D3AFC" w:rsidRDefault="009D3AFC" w:rsidP="009D3AFC">
            <w:pPr>
              <w:spacing w:after="0" w:line="240" w:lineRule="auto"/>
              <w:rPr>
                <w:rFonts w:ascii="Calibri" w:eastAsia="Times New Roman" w:hAnsi="Calibri" w:cs="Calibri"/>
                <w:b/>
                <w:bCs/>
                <w:color w:val="000000"/>
                <w:sz w:val="20"/>
                <w:szCs w:val="20"/>
                <w:lang w:val="en-US" w:eastAsia="nl-NL"/>
              </w:rPr>
            </w:pPr>
          </w:p>
        </w:tc>
        <w:tc>
          <w:tcPr>
            <w:tcW w:w="0" w:type="auto"/>
            <w:vMerge/>
            <w:vAlign w:val="center"/>
            <w:hideMark/>
          </w:tcPr>
          <w:p w:rsidR="009D3AFC" w:rsidRDefault="009D3AFC" w:rsidP="009D3AFC">
            <w:pPr>
              <w:spacing w:after="0" w:line="240" w:lineRule="auto"/>
              <w:rPr>
                <w:rFonts w:ascii="Calibri" w:eastAsia="Times New Roman" w:hAnsi="Calibri" w:cs="Calibri"/>
                <w:b/>
                <w:bCs/>
                <w:color w:val="000000"/>
                <w:lang w:eastAsia="nl-NL"/>
              </w:rPr>
            </w:pPr>
          </w:p>
        </w:tc>
      </w:tr>
      <w:tr w:rsidR="009D3AFC" w:rsidTr="009D3AFC">
        <w:trPr>
          <w:trHeight w:val="2445"/>
        </w:trPr>
        <w:tc>
          <w:tcPr>
            <w:tcW w:w="0" w:type="auto"/>
            <w:vMerge/>
            <w:vAlign w:val="center"/>
            <w:hideMark/>
          </w:tcPr>
          <w:p w:rsidR="009D3AFC" w:rsidRDefault="009D3AFC" w:rsidP="009D3AFC">
            <w:pPr>
              <w:spacing w:after="0" w:line="240" w:lineRule="auto"/>
              <w:rPr>
                <w:rFonts w:ascii="Calibri" w:eastAsia="Times New Roman" w:hAnsi="Calibri" w:cs="Calibri"/>
                <w:color w:val="000000"/>
                <w:sz w:val="18"/>
                <w:szCs w:val="18"/>
                <w:lang w:val="en-US" w:eastAsia="nl-NL"/>
              </w:rPr>
            </w:pPr>
          </w:p>
        </w:tc>
        <w:tc>
          <w:tcPr>
            <w:tcW w:w="1780" w:type="dxa"/>
            <w:tcBorders>
              <w:top w:val="nil"/>
              <w:left w:val="single" w:sz="4" w:space="0" w:color="auto"/>
              <w:bottom w:val="nil"/>
              <w:right w:val="nil"/>
            </w:tcBorders>
            <w:shd w:val="clear" w:color="auto" w:fill="FFFFFF"/>
            <w:noWrap/>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Lowry &amp; Shu, 2002</w:t>
            </w:r>
          </w:p>
        </w:tc>
        <w:tc>
          <w:tcPr>
            <w:tcW w:w="1240" w:type="dxa"/>
            <w:shd w:val="clear" w:color="auto" w:fill="FFFFFF"/>
            <w:noWrap/>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r w:rsidR="001858A8">
              <w:rPr>
                <w:rFonts w:ascii="Calibri" w:eastAsia="Times New Roman" w:hAnsi="Calibri" w:cs="Calibri"/>
                <w:color w:val="000000"/>
                <w:sz w:val="18"/>
                <w:szCs w:val="18"/>
                <w:lang w:eastAsia="nl-NL"/>
              </w:rPr>
              <w:t>Not emperically tested</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Supporting evidence</w:t>
            </w:r>
          </w:p>
        </w:tc>
        <w:tc>
          <w:tcPr>
            <w:tcW w:w="0" w:type="auto"/>
            <w:vMerge/>
            <w:tcBorders>
              <w:top w:val="nil"/>
              <w:left w:val="double" w:sz="6" w:space="0" w:color="auto"/>
              <w:bottom w:val="nil"/>
              <w:right w:val="single" w:sz="4" w:space="0" w:color="auto"/>
            </w:tcBorders>
            <w:vAlign w:val="center"/>
            <w:hideMark/>
          </w:tcPr>
          <w:p w:rsidR="009D3AFC" w:rsidRDefault="009D3AFC" w:rsidP="009D3AFC">
            <w:pPr>
              <w:spacing w:after="0" w:line="240" w:lineRule="auto"/>
              <w:rPr>
                <w:rFonts w:ascii="Calibri" w:eastAsia="Times New Roman" w:hAnsi="Calibri" w:cs="Calibri"/>
                <w:b/>
                <w:bCs/>
                <w:color w:val="000000"/>
                <w:sz w:val="20"/>
                <w:szCs w:val="20"/>
                <w:lang w:val="en-US" w:eastAsia="nl-NL"/>
              </w:rPr>
            </w:pPr>
          </w:p>
        </w:tc>
        <w:tc>
          <w:tcPr>
            <w:tcW w:w="0" w:type="auto"/>
            <w:vMerge/>
            <w:vAlign w:val="center"/>
            <w:hideMark/>
          </w:tcPr>
          <w:p w:rsidR="009D3AFC" w:rsidRDefault="009D3AFC" w:rsidP="009D3AFC">
            <w:pPr>
              <w:spacing w:after="0" w:line="240" w:lineRule="auto"/>
              <w:rPr>
                <w:rFonts w:ascii="Calibri" w:eastAsia="Times New Roman" w:hAnsi="Calibri" w:cs="Calibri"/>
                <w:b/>
                <w:bCs/>
                <w:color w:val="000000"/>
                <w:lang w:eastAsia="nl-NL"/>
              </w:rPr>
            </w:pPr>
          </w:p>
        </w:tc>
      </w:tr>
      <w:tr w:rsidR="009D3AFC" w:rsidTr="009D3AFC">
        <w:trPr>
          <w:trHeight w:val="120"/>
        </w:trPr>
        <w:tc>
          <w:tcPr>
            <w:tcW w:w="0" w:type="auto"/>
            <w:vMerge/>
            <w:vAlign w:val="center"/>
            <w:hideMark/>
          </w:tcPr>
          <w:p w:rsidR="009D3AFC" w:rsidRDefault="009D3AFC" w:rsidP="009D3AFC">
            <w:pPr>
              <w:spacing w:after="0" w:line="240" w:lineRule="auto"/>
              <w:rPr>
                <w:rFonts w:ascii="Calibri" w:eastAsia="Times New Roman" w:hAnsi="Calibri" w:cs="Calibri"/>
                <w:color w:val="000000"/>
                <w:sz w:val="18"/>
                <w:szCs w:val="18"/>
                <w:lang w:val="en-US" w:eastAsia="nl-NL"/>
              </w:rPr>
            </w:pPr>
          </w:p>
        </w:tc>
        <w:tc>
          <w:tcPr>
            <w:tcW w:w="1780" w:type="dxa"/>
            <w:tcBorders>
              <w:top w:val="nil"/>
              <w:left w:val="single" w:sz="4" w:space="0" w:color="auto"/>
              <w:bottom w:val="nil"/>
              <w:right w:val="nil"/>
            </w:tcBorders>
            <w:shd w:val="clear" w:color="auto" w:fill="FFFFFF"/>
            <w:noWrap/>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p>
        </w:tc>
        <w:tc>
          <w:tcPr>
            <w:tcW w:w="1240" w:type="dxa"/>
            <w:shd w:val="clear" w:color="auto" w:fill="FFFFFF"/>
            <w:noWrap/>
            <w:textDirection w:val="tbRl"/>
            <w:hideMark/>
          </w:tcPr>
          <w:p w:rsidR="009D3AFC" w:rsidRDefault="009D3AFC" w:rsidP="009D3AFC">
            <w:pPr>
              <w:spacing w:after="0" w:line="240" w:lineRule="auto"/>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 </w:t>
            </w:r>
          </w:p>
        </w:tc>
        <w:tc>
          <w:tcPr>
            <w:tcW w:w="0" w:type="auto"/>
            <w:vMerge/>
            <w:tcBorders>
              <w:top w:val="nil"/>
              <w:left w:val="double" w:sz="6" w:space="0" w:color="auto"/>
              <w:bottom w:val="nil"/>
              <w:right w:val="single" w:sz="4" w:space="0" w:color="auto"/>
            </w:tcBorders>
            <w:vAlign w:val="center"/>
            <w:hideMark/>
          </w:tcPr>
          <w:p w:rsidR="009D3AFC" w:rsidRDefault="009D3AFC" w:rsidP="009D3AFC">
            <w:pPr>
              <w:spacing w:after="0" w:line="240" w:lineRule="auto"/>
              <w:rPr>
                <w:rFonts w:ascii="Calibri" w:eastAsia="Times New Roman" w:hAnsi="Calibri" w:cs="Calibri"/>
                <w:b/>
                <w:bCs/>
                <w:color w:val="000000"/>
                <w:sz w:val="20"/>
                <w:szCs w:val="20"/>
                <w:lang w:val="en-US" w:eastAsia="nl-NL"/>
              </w:rPr>
            </w:pPr>
          </w:p>
        </w:tc>
        <w:tc>
          <w:tcPr>
            <w:tcW w:w="0" w:type="auto"/>
            <w:vMerge/>
            <w:vAlign w:val="center"/>
            <w:hideMark/>
          </w:tcPr>
          <w:p w:rsidR="009D3AFC" w:rsidRDefault="009D3AFC" w:rsidP="009D3AFC">
            <w:pPr>
              <w:spacing w:after="0" w:line="240" w:lineRule="auto"/>
              <w:rPr>
                <w:rFonts w:ascii="Calibri" w:eastAsia="Times New Roman" w:hAnsi="Calibri" w:cs="Calibri"/>
                <w:b/>
                <w:bCs/>
                <w:color w:val="000000"/>
                <w:lang w:eastAsia="nl-NL"/>
              </w:rPr>
            </w:pPr>
          </w:p>
        </w:tc>
      </w:tr>
      <w:tr w:rsidR="009D3AFC" w:rsidTr="009D3AFC">
        <w:trPr>
          <w:trHeight w:val="1980"/>
        </w:trPr>
        <w:tc>
          <w:tcPr>
            <w:tcW w:w="0" w:type="auto"/>
            <w:vMerge/>
            <w:vAlign w:val="center"/>
            <w:hideMark/>
          </w:tcPr>
          <w:p w:rsidR="009D3AFC" w:rsidRDefault="009D3AFC" w:rsidP="009D3AFC">
            <w:pPr>
              <w:spacing w:after="0" w:line="240" w:lineRule="auto"/>
              <w:rPr>
                <w:rFonts w:ascii="Calibri" w:eastAsia="Times New Roman" w:hAnsi="Calibri" w:cs="Calibri"/>
                <w:color w:val="000000"/>
                <w:sz w:val="18"/>
                <w:szCs w:val="18"/>
                <w:lang w:val="en-US" w:eastAsia="nl-NL"/>
              </w:rPr>
            </w:pPr>
          </w:p>
        </w:tc>
        <w:tc>
          <w:tcPr>
            <w:tcW w:w="1780" w:type="dxa"/>
            <w:tcBorders>
              <w:top w:val="nil"/>
              <w:left w:val="single" w:sz="4" w:space="0" w:color="auto"/>
              <w:bottom w:val="nil"/>
              <w:right w:val="nil"/>
            </w:tcBorders>
            <w:shd w:val="clear" w:color="auto" w:fill="FFFFFF"/>
            <w:textDirection w:val="tbRl"/>
            <w:hideMark/>
          </w:tcPr>
          <w:p w:rsidR="009D3AFC" w:rsidRDefault="009D3AFC"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Drake &amp; Vetsuypens, 1993: underpricing not related to litigation risk</w:t>
            </w:r>
            <w:r>
              <w:rPr>
                <w:rFonts w:ascii="Calibri" w:eastAsia="Times New Roman" w:hAnsi="Calibri" w:cs="Calibri"/>
                <w:color w:val="000000"/>
                <w:sz w:val="18"/>
                <w:szCs w:val="18"/>
                <w:u w:val="single"/>
                <w:lang w:val="en-US" w:eastAsia="nl-NL"/>
              </w:rPr>
              <w:t xml:space="preserve"> </w:t>
            </w:r>
            <w:r>
              <w:rPr>
                <w:rFonts w:ascii="Calibri" w:eastAsia="Times New Roman" w:hAnsi="Calibri" w:cs="Calibri"/>
                <w:color w:val="000000"/>
                <w:sz w:val="18"/>
                <w:szCs w:val="18"/>
                <w:lang w:val="en-US" w:eastAsia="nl-NL"/>
              </w:rPr>
              <w:t>Lowry &amp; Shu, 2002: Issuers might underprice more when they fear facing trial</w:t>
            </w:r>
          </w:p>
        </w:tc>
        <w:tc>
          <w:tcPr>
            <w:tcW w:w="1240" w:type="dxa"/>
            <w:shd w:val="clear" w:color="auto" w:fill="FFFFFF"/>
            <w:noWrap/>
            <w:textDirection w:val="tbRl"/>
            <w:hideMark/>
          </w:tcPr>
          <w:p w:rsidR="009D3AFC" w:rsidRDefault="009D3AFC" w:rsidP="009D3AFC">
            <w:pPr>
              <w:spacing w:after="0" w:line="240" w:lineRule="auto"/>
              <w:rPr>
                <w:rFonts w:ascii="Calibri" w:eastAsia="Times New Roman" w:hAnsi="Calibri" w:cs="Calibri"/>
                <w:color w:val="000000"/>
                <w:sz w:val="18"/>
                <w:szCs w:val="18"/>
                <w:lang w:val="en-US" w:eastAsia="nl-NL"/>
              </w:rPr>
            </w:pPr>
            <w:r>
              <w:rPr>
                <w:rFonts w:ascii="Calibri" w:eastAsia="Times New Roman" w:hAnsi="Calibri" w:cs="Calibri"/>
                <w:color w:val="000000"/>
                <w:sz w:val="18"/>
                <w:szCs w:val="18"/>
                <w:lang w:val="en-US" w:eastAsia="nl-NL"/>
              </w:rPr>
              <w:t> </w:t>
            </w:r>
          </w:p>
        </w:tc>
        <w:tc>
          <w:tcPr>
            <w:tcW w:w="372" w:type="dxa"/>
            <w:shd w:val="clear" w:color="auto" w:fill="FFFFFF"/>
            <w:noWrap/>
            <w:textDirection w:val="tbRl"/>
            <w:hideMark/>
          </w:tcPr>
          <w:p w:rsidR="009D3AFC" w:rsidRDefault="009D3AFC" w:rsidP="009D3AFC">
            <w:pPr>
              <w:spacing w:after="0" w:line="240" w:lineRule="auto"/>
              <w:rPr>
                <w:rFonts w:ascii="Calibri" w:eastAsia="Times New Roman" w:hAnsi="Calibri" w:cs="Calibri"/>
                <w:b/>
                <w:bCs/>
                <w:color w:val="000000"/>
                <w:sz w:val="18"/>
                <w:szCs w:val="18"/>
                <w:lang w:eastAsia="nl-NL"/>
              </w:rPr>
            </w:pPr>
            <w:r>
              <w:rPr>
                <w:rFonts w:ascii="Calibri" w:eastAsia="Times New Roman" w:hAnsi="Calibri" w:cs="Calibri"/>
                <w:b/>
                <w:bCs/>
                <w:color w:val="000000"/>
                <w:sz w:val="18"/>
                <w:szCs w:val="18"/>
                <w:lang w:eastAsia="nl-NL"/>
              </w:rPr>
              <w:t>Criticism</w:t>
            </w:r>
          </w:p>
        </w:tc>
        <w:tc>
          <w:tcPr>
            <w:tcW w:w="0" w:type="auto"/>
            <w:vMerge/>
            <w:tcBorders>
              <w:top w:val="nil"/>
              <w:left w:val="double" w:sz="6" w:space="0" w:color="auto"/>
              <w:bottom w:val="nil"/>
              <w:right w:val="single" w:sz="4" w:space="0" w:color="auto"/>
            </w:tcBorders>
            <w:vAlign w:val="center"/>
            <w:hideMark/>
          </w:tcPr>
          <w:p w:rsidR="009D3AFC" w:rsidRDefault="009D3AFC" w:rsidP="009D3AFC">
            <w:pPr>
              <w:spacing w:after="0" w:line="240" w:lineRule="auto"/>
              <w:rPr>
                <w:rFonts w:ascii="Calibri" w:eastAsia="Times New Roman" w:hAnsi="Calibri" w:cs="Calibri"/>
                <w:b/>
                <w:bCs/>
                <w:color w:val="000000"/>
                <w:sz w:val="20"/>
                <w:szCs w:val="20"/>
                <w:lang w:val="en-US" w:eastAsia="nl-NL"/>
              </w:rPr>
            </w:pPr>
          </w:p>
        </w:tc>
        <w:tc>
          <w:tcPr>
            <w:tcW w:w="0" w:type="auto"/>
            <w:vMerge/>
            <w:vAlign w:val="center"/>
            <w:hideMark/>
          </w:tcPr>
          <w:p w:rsidR="009D3AFC" w:rsidRDefault="009D3AFC" w:rsidP="009D3AFC">
            <w:pPr>
              <w:spacing w:after="0" w:line="240" w:lineRule="auto"/>
              <w:rPr>
                <w:rFonts w:ascii="Calibri" w:eastAsia="Times New Roman" w:hAnsi="Calibri" w:cs="Calibri"/>
                <w:b/>
                <w:bCs/>
                <w:color w:val="000000"/>
                <w:lang w:eastAsia="nl-NL"/>
              </w:rPr>
            </w:pPr>
          </w:p>
        </w:tc>
      </w:tr>
    </w:tbl>
    <w:p w:rsidR="00A91A4C" w:rsidRDefault="00A91A4C" w:rsidP="00A91A4C"/>
    <w:p w:rsidR="00A91A4C" w:rsidRDefault="00A91A4C">
      <w:pPr>
        <w:rPr>
          <w:rFonts w:ascii="Calibri" w:eastAsia="Calibri" w:hAnsi="Calibri" w:cs="Times New Roman"/>
          <w:b/>
          <w:lang w:val="en-US"/>
        </w:rPr>
      </w:pPr>
    </w:p>
    <w:p w:rsidR="00A91A4C" w:rsidRDefault="00A91A4C">
      <w:pPr>
        <w:rPr>
          <w:rFonts w:ascii="Calibri" w:eastAsia="Calibri" w:hAnsi="Calibri" w:cs="Times New Roman"/>
          <w:b/>
          <w:lang w:val="en-US"/>
        </w:rPr>
      </w:pPr>
      <w:r>
        <w:rPr>
          <w:b/>
          <w:lang w:val="en-US"/>
        </w:rPr>
        <w:br w:type="page"/>
      </w:r>
    </w:p>
    <w:p w:rsidR="007675A0" w:rsidRPr="00BF5A54" w:rsidRDefault="009F25D4" w:rsidP="007675A0">
      <w:pPr>
        <w:pStyle w:val="ListParagraph"/>
        <w:numPr>
          <w:ilvl w:val="0"/>
          <w:numId w:val="23"/>
        </w:numPr>
        <w:spacing w:line="360" w:lineRule="auto"/>
        <w:ind w:left="1418" w:hanging="851"/>
        <w:outlineLvl w:val="0"/>
        <w:rPr>
          <w:b/>
          <w:lang w:val="en-US"/>
        </w:rPr>
      </w:pPr>
      <w:r>
        <w:rPr>
          <w:b/>
          <w:lang w:val="en-US"/>
        </w:rPr>
        <w:lastRenderedPageBreak/>
        <w:t>Meta</w:t>
      </w:r>
      <w:r w:rsidR="007675A0">
        <w:rPr>
          <w:b/>
          <w:lang w:val="en-US"/>
        </w:rPr>
        <w:t xml:space="preserve"> analysis</w:t>
      </w:r>
    </w:p>
    <w:p w:rsidR="007675A0" w:rsidRPr="0016780E" w:rsidRDefault="007675A0" w:rsidP="007675A0">
      <w:pPr>
        <w:spacing w:line="360" w:lineRule="auto"/>
        <w:rPr>
          <w:lang w:val="en-US"/>
        </w:rPr>
      </w:pPr>
      <w:r>
        <w:rPr>
          <w:lang w:val="en-US"/>
        </w:rPr>
        <w:t xml:space="preserve">To see what explains some of the variation in the reported findings described above, I will use a method called </w:t>
      </w:r>
      <w:r w:rsidR="009F25D4">
        <w:rPr>
          <w:lang w:val="en-US"/>
        </w:rPr>
        <w:t>Meta</w:t>
      </w:r>
      <w:r>
        <w:rPr>
          <w:lang w:val="en-US"/>
        </w:rPr>
        <w:t xml:space="preserve"> </w:t>
      </w:r>
      <w:r w:rsidR="00263BEC">
        <w:rPr>
          <w:lang w:val="en-US"/>
        </w:rPr>
        <w:t>regression analysis which is a special form of Meta-analysis.</w:t>
      </w:r>
      <w:r>
        <w:rPr>
          <w:lang w:val="en-US"/>
        </w:rPr>
        <w:t xml:space="preserve"> One of the pioneers of </w:t>
      </w:r>
      <w:r w:rsidR="009F25D4">
        <w:rPr>
          <w:lang w:val="en-US"/>
        </w:rPr>
        <w:t>Meta</w:t>
      </w:r>
      <w:r>
        <w:rPr>
          <w:lang w:val="en-US"/>
        </w:rPr>
        <w:t xml:space="preserve"> analysis is G.V. Glass (Glass, 1976, 1977). Glass stated in his 1976 article: ‘’</w:t>
      </w:r>
      <w:r w:rsidRPr="00187450">
        <w:rPr>
          <w:i/>
          <w:lang w:val="en-US"/>
        </w:rPr>
        <w:t xml:space="preserve">The armchair </w:t>
      </w:r>
      <w:r>
        <w:rPr>
          <w:i/>
          <w:lang w:val="en-US"/>
        </w:rPr>
        <w:t>literature review in which one</w:t>
      </w:r>
      <w:r w:rsidRPr="00187450">
        <w:rPr>
          <w:i/>
          <w:lang w:val="en-US"/>
        </w:rPr>
        <w:t xml:space="preserve"> cites a couple dozen studies from the obvious journals can’t do justice to the voluminous literature of educational research we now confront</w:t>
      </w:r>
      <w:r>
        <w:rPr>
          <w:i/>
          <w:lang w:val="en-US"/>
        </w:rPr>
        <w:t xml:space="preserve">….We need methods for the orderly summarization of studies so that knowledge can be extracted from the myriad individual researches ’’. </w:t>
      </w:r>
      <w:r>
        <w:rPr>
          <w:lang w:val="en-US"/>
        </w:rPr>
        <w:t>Therefore</w:t>
      </w:r>
      <w:r w:rsidR="00660CEA">
        <w:rPr>
          <w:lang w:val="en-US"/>
        </w:rPr>
        <w:t>,</w:t>
      </w:r>
      <w:r>
        <w:rPr>
          <w:lang w:val="en-US"/>
        </w:rPr>
        <w:t xml:space="preserve"> he felt that there was a need for a more objective method to analyze the va</w:t>
      </w:r>
      <w:r w:rsidR="00170313">
        <w:rPr>
          <w:lang w:val="en-US"/>
        </w:rPr>
        <w:t>st amount of research available.</w:t>
      </w:r>
      <w:r>
        <w:rPr>
          <w:lang w:val="en-US"/>
        </w:rPr>
        <w:t xml:space="preserve"> </w:t>
      </w:r>
      <w:r w:rsidR="009F25D4">
        <w:rPr>
          <w:lang w:val="en-US"/>
        </w:rPr>
        <w:t>Meta</w:t>
      </w:r>
      <w:r>
        <w:rPr>
          <w:lang w:val="en-US"/>
        </w:rPr>
        <w:t xml:space="preserve"> analysis</w:t>
      </w:r>
      <w:r w:rsidR="00170313">
        <w:rPr>
          <w:lang w:val="en-US"/>
        </w:rPr>
        <w:t xml:space="preserve"> is very suitable for this purpose</w:t>
      </w:r>
      <w:r>
        <w:rPr>
          <w:lang w:val="en-US"/>
        </w:rPr>
        <w:t xml:space="preserve">. </w:t>
      </w:r>
      <w:r w:rsidR="009F25D4">
        <w:rPr>
          <w:lang w:val="en-US"/>
        </w:rPr>
        <w:t>Meta</w:t>
      </w:r>
      <w:r>
        <w:rPr>
          <w:lang w:val="en-US"/>
        </w:rPr>
        <w:t xml:space="preserve"> analysis is still uncommon in financial economic </w:t>
      </w:r>
      <w:proofErr w:type="gramStart"/>
      <w:r>
        <w:rPr>
          <w:lang w:val="en-US"/>
        </w:rPr>
        <w:t>literature,</w:t>
      </w:r>
      <w:proofErr w:type="gramEnd"/>
      <w:r>
        <w:rPr>
          <w:lang w:val="en-US"/>
        </w:rPr>
        <w:t xml:space="preserve"> the following section offers a description of the research method. </w:t>
      </w:r>
    </w:p>
    <w:p w:rsidR="007675A0" w:rsidRPr="00A2209D" w:rsidRDefault="009F25D4" w:rsidP="007675A0">
      <w:pPr>
        <w:spacing w:line="360" w:lineRule="auto"/>
        <w:ind w:left="708"/>
        <w:rPr>
          <w:i/>
          <w:lang w:val="en-US"/>
        </w:rPr>
      </w:pPr>
      <w:r>
        <w:rPr>
          <w:i/>
          <w:lang w:val="en-US"/>
        </w:rPr>
        <w:t>Meta</w:t>
      </w:r>
      <w:r w:rsidR="007675A0" w:rsidRPr="00A2209D">
        <w:rPr>
          <w:i/>
          <w:lang w:val="en-US"/>
        </w:rPr>
        <w:t xml:space="preserve"> analysis is the analysis of empirical analyses that attempts to integrate and explain the literature about some important parameter (Stanley </w:t>
      </w:r>
      <w:r w:rsidR="00353C7A">
        <w:rPr>
          <w:i/>
          <w:lang w:val="en-US"/>
        </w:rPr>
        <w:t>&amp;</w:t>
      </w:r>
      <w:r w:rsidR="007675A0" w:rsidRPr="00A2209D">
        <w:rPr>
          <w:i/>
          <w:lang w:val="en-US"/>
        </w:rPr>
        <w:t xml:space="preserve"> Jarrell, 1989). </w:t>
      </w:r>
    </w:p>
    <w:p w:rsidR="007675A0" w:rsidRDefault="00170313" w:rsidP="007675A0">
      <w:pPr>
        <w:spacing w:line="360" w:lineRule="auto"/>
        <w:rPr>
          <w:lang w:val="en-US"/>
        </w:rPr>
      </w:pPr>
      <w:r>
        <w:rPr>
          <w:lang w:val="en-US"/>
        </w:rPr>
        <w:t>M</w:t>
      </w:r>
      <w:r w:rsidR="007675A0">
        <w:rPr>
          <w:lang w:val="en-US"/>
        </w:rPr>
        <w:t xml:space="preserve">ost empirical research in economics can be considered non experimental, </w:t>
      </w:r>
      <w:r w:rsidR="00263BEC">
        <w:rPr>
          <w:lang w:val="en-US"/>
        </w:rPr>
        <w:t>which makes papers</w:t>
      </w:r>
      <w:r w:rsidR="007675A0">
        <w:rPr>
          <w:lang w:val="en-US"/>
        </w:rPr>
        <w:t xml:space="preserve"> hard to compare. Authors use different datasets a</w:t>
      </w:r>
      <w:r>
        <w:rPr>
          <w:lang w:val="en-US"/>
        </w:rPr>
        <w:t>nd different methods to analyze</w:t>
      </w:r>
      <w:r w:rsidR="00263BEC">
        <w:rPr>
          <w:lang w:val="en-US"/>
        </w:rPr>
        <w:t xml:space="preserve"> the results</w:t>
      </w:r>
      <w:r w:rsidR="007675A0">
        <w:rPr>
          <w:lang w:val="en-US"/>
        </w:rPr>
        <w:t>. Furthermore</w:t>
      </w:r>
      <w:r>
        <w:rPr>
          <w:lang w:val="en-US"/>
        </w:rPr>
        <w:t>,</w:t>
      </w:r>
      <w:r w:rsidR="007675A0">
        <w:rPr>
          <w:lang w:val="en-US"/>
        </w:rPr>
        <w:t xml:space="preserve"> studies differ in their econometric modeling. In a traditional literature review</w:t>
      </w:r>
      <w:r>
        <w:rPr>
          <w:lang w:val="en-US"/>
        </w:rPr>
        <w:t>,</w:t>
      </w:r>
      <w:r w:rsidR="007675A0">
        <w:rPr>
          <w:lang w:val="en-US"/>
        </w:rPr>
        <w:t xml:space="preserve"> the author chooses </w:t>
      </w:r>
      <w:r w:rsidR="007675A0" w:rsidRPr="00D92F35">
        <w:rPr>
          <w:lang w:val="en-US"/>
        </w:rPr>
        <w:t>which articles to include and how to value and interpret the findings. The differences in findings are usual</w:t>
      </w:r>
      <w:r w:rsidR="007675A0">
        <w:rPr>
          <w:lang w:val="en-US"/>
        </w:rPr>
        <w:t>ly</w:t>
      </w:r>
      <w:r w:rsidR="007675A0" w:rsidRPr="00D92F35">
        <w:rPr>
          <w:lang w:val="en-US"/>
        </w:rPr>
        <w:t xml:space="preserve"> evaluated on an intuitive basis which is hardly an objective process.</w:t>
      </w:r>
      <w:r w:rsidR="007675A0">
        <w:rPr>
          <w:lang w:val="en-US"/>
        </w:rPr>
        <w:t xml:space="preserve"> As a result</w:t>
      </w:r>
      <w:r>
        <w:rPr>
          <w:lang w:val="en-US"/>
        </w:rPr>
        <w:t>,</w:t>
      </w:r>
      <w:r w:rsidR="007675A0">
        <w:rPr>
          <w:lang w:val="en-US"/>
        </w:rPr>
        <w:t xml:space="preserve"> literature reviews are far from convincing and lack persuasive power (Stanley </w:t>
      </w:r>
      <w:r w:rsidR="00353C7A">
        <w:rPr>
          <w:lang w:val="en-US"/>
        </w:rPr>
        <w:t>&amp;</w:t>
      </w:r>
      <w:r w:rsidR="007675A0">
        <w:rPr>
          <w:lang w:val="en-US"/>
        </w:rPr>
        <w:t xml:space="preserve"> Jarrell, 1989). </w:t>
      </w:r>
    </w:p>
    <w:p w:rsidR="007675A0" w:rsidRDefault="007675A0" w:rsidP="007675A0">
      <w:pPr>
        <w:spacing w:line="360" w:lineRule="auto"/>
        <w:rPr>
          <w:lang w:val="en-US"/>
        </w:rPr>
      </w:pPr>
      <w:r>
        <w:rPr>
          <w:lang w:val="en-US"/>
        </w:rPr>
        <w:t>Fortunately</w:t>
      </w:r>
      <w:r w:rsidR="00170313">
        <w:rPr>
          <w:lang w:val="en-US"/>
        </w:rPr>
        <w:t>,</w:t>
      </w:r>
      <w:r>
        <w:rPr>
          <w:lang w:val="en-US"/>
        </w:rPr>
        <w:t xml:space="preserve"> we do not have to give in to th</w:t>
      </w:r>
      <w:r w:rsidR="00353C7A">
        <w:rPr>
          <w:lang w:val="en-US"/>
        </w:rPr>
        <w:t>e subjectiveness of a reviewer,</w:t>
      </w:r>
      <w:r w:rsidR="00170313">
        <w:rPr>
          <w:lang w:val="en-US"/>
        </w:rPr>
        <w:t xml:space="preserve"> </w:t>
      </w:r>
      <w:r w:rsidR="009906BE">
        <w:rPr>
          <w:lang w:val="en-US"/>
        </w:rPr>
        <w:t>but</w:t>
      </w:r>
      <w:r>
        <w:rPr>
          <w:lang w:val="en-US"/>
        </w:rPr>
        <w:t xml:space="preserve"> can use </w:t>
      </w:r>
      <w:r w:rsidR="009F25D4">
        <w:rPr>
          <w:lang w:val="en-US"/>
        </w:rPr>
        <w:t>Meta</w:t>
      </w:r>
      <w:r>
        <w:rPr>
          <w:lang w:val="en-US"/>
        </w:rPr>
        <w:t xml:space="preserve"> </w:t>
      </w:r>
      <w:r w:rsidR="005C3226">
        <w:rPr>
          <w:lang w:val="en-US"/>
        </w:rPr>
        <w:t xml:space="preserve">regression </w:t>
      </w:r>
      <w:r>
        <w:rPr>
          <w:lang w:val="en-US"/>
        </w:rPr>
        <w:t>analysis</w:t>
      </w:r>
      <w:r w:rsidR="00170313">
        <w:rPr>
          <w:lang w:val="en-US"/>
        </w:rPr>
        <w:t xml:space="preserve"> instead. </w:t>
      </w:r>
      <w:r w:rsidR="00353C7A">
        <w:rPr>
          <w:lang w:val="en-US"/>
        </w:rPr>
        <w:t>Meta regression analysis (MRA) is</w:t>
      </w:r>
      <w:r>
        <w:rPr>
          <w:lang w:val="en-US"/>
        </w:rPr>
        <w:t xml:space="preserve"> a quantitative method that accounts for the differences in study characteristics and selects the included studies on a more random and objective basis. Of course there is still some level of subjectivity </w:t>
      </w:r>
      <w:r w:rsidR="00170313">
        <w:rPr>
          <w:lang w:val="en-US"/>
        </w:rPr>
        <w:t>since it is easier to find well-known</w:t>
      </w:r>
      <w:r>
        <w:rPr>
          <w:lang w:val="en-US"/>
        </w:rPr>
        <w:t xml:space="preserve"> articles than unpublished work. </w:t>
      </w:r>
    </w:p>
    <w:p w:rsidR="007675A0" w:rsidRDefault="007675A0" w:rsidP="007675A0">
      <w:pPr>
        <w:spacing w:after="0" w:line="240" w:lineRule="auto"/>
        <w:rPr>
          <w:b/>
          <w:lang w:val="en-US"/>
        </w:rPr>
      </w:pPr>
      <w:r>
        <w:rPr>
          <w:b/>
          <w:lang w:val="en-US"/>
        </w:rPr>
        <w:br w:type="page"/>
      </w:r>
    </w:p>
    <w:p w:rsidR="007675A0" w:rsidRPr="00C72939" w:rsidRDefault="007675A0" w:rsidP="00C72939">
      <w:pPr>
        <w:pStyle w:val="ListParagraph"/>
        <w:numPr>
          <w:ilvl w:val="1"/>
          <w:numId w:val="43"/>
        </w:numPr>
        <w:spacing w:line="360" w:lineRule="auto"/>
        <w:ind w:left="1418" w:hanging="851"/>
        <w:outlineLvl w:val="0"/>
        <w:rPr>
          <w:b/>
          <w:lang w:val="en-US"/>
        </w:rPr>
      </w:pPr>
      <w:bookmarkStart w:id="17" w:name="_Toc280276114"/>
      <w:bookmarkStart w:id="18" w:name="_Toc280276129"/>
      <w:r w:rsidRPr="00C72939">
        <w:rPr>
          <w:b/>
          <w:lang w:val="en-US"/>
        </w:rPr>
        <w:lastRenderedPageBreak/>
        <w:t xml:space="preserve">Motivation for </w:t>
      </w:r>
      <w:r w:rsidR="009F25D4" w:rsidRPr="00C72939">
        <w:rPr>
          <w:b/>
          <w:lang w:val="en-US"/>
        </w:rPr>
        <w:t>Meta</w:t>
      </w:r>
      <w:r w:rsidRPr="00C72939">
        <w:rPr>
          <w:b/>
          <w:lang w:val="en-US"/>
        </w:rPr>
        <w:t xml:space="preserve"> analysis</w:t>
      </w:r>
      <w:bookmarkEnd w:id="17"/>
    </w:p>
    <w:p w:rsidR="000D5379" w:rsidRDefault="000D5379" w:rsidP="000D5379">
      <w:pPr>
        <w:spacing w:line="360" w:lineRule="auto"/>
        <w:rPr>
          <w:lang w:val="en-US"/>
        </w:rPr>
      </w:pPr>
      <w:r>
        <w:rPr>
          <w:lang w:val="en-US"/>
        </w:rPr>
        <w:t xml:space="preserve">Although Meta analysis is relatively new in economics, one can find Meta analyses on a variety of economic subjects. </w:t>
      </w:r>
    </w:p>
    <w:p w:rsidR="00702CC1" w:rsidRDefault="00702CC1" w:rsidP="000D5379">
      <w:pPr>
        <w:spacing w:line="360" w:lineRule="auto"/>
        <w:rPr>
          <w:lang w:val="en-US"/>
        </w:rPr>
      </w:pPr>
      <w:r>
        <w:rPr>
          <w:lang w:val="en-US"/>
        </w:rPr>
        <w:t>Three examples of Meta regression analysis are:</w:t>
      </w:r>
    </w:p>
    <w:p w:rsidR="000D5379" w:rsidRDefault="000D5379" w:rsidP="000D5379">
      <w:pPr>
        <w:pStyle w:val="ListParagraph"/>
        <w:numPr>
          <w:ilvl w:val="0"/>
          <w:numId w:val="3"/>
        </w:numPr>
        <w:spacing w:line="360" w:lineRule="auto"/>
        <w:rPr>
          <w:lang w:val="en-US"/>
        </w:rPr>
      </w:pPr>
      <w:r>
        <w:rPr>
          <w:lang w:val="en-US"/>
        </w:rPr>
        <w:t xml:space="preserve">Abreu et al. (2005) use MRA to study the literature on macro economic growth convergence rates. They include 48 articles containing 619 observations. </w:t>
      </w:r>
    </w:p>
    <w:p w:rsidR="000D5379" w:rsidRDefault="000D5379" w:rsidP="000D5379">
      <w:pPr>
        <w:pStyle w:val="ListParagraph"/>
        <w:numPr>
          <w:ilvl w:val="0"/>
          <w:numId w:val="3"/>
        </w:numPr>
        <w:spacing w:line="360" w:lineRule="auto"/>
        <w:rPr>
          <w:lang w:val="en-US"/>
        </w:rPr>
      </w:pPr>
      <w:r>
        <w:rPr>
          <w:lang w:val="en-US"/>
        </w:rPr>
        <w:t>Stanley and Jarrell (1990) use MRA to study the literature on the union-nonunion wage gap. They include 114 articles containing 152 observations.</w:t>
      </w:r>
    </w:p>
    <w:p w:rsidR="00702CC1" w:rsidRPr="00702CC1" w:rsidRDefault="000D5379" w:rsidP="00702CC1">
      <w:pPr>
        <w:pStyle w:val="ListParagraph"/>
        <w:numPr>
          <w:ilvl w:val="0"/>
          <w:numId w:val="3"/>
        </w:numPr>
        <w:spacing w:line="360" w:lineRule="auto"/>
        <w:ind w:left="714" w:hanging="357"/>
        <w:contextualSpacing w:val="0"/>
        <w:rPr>
          <w:lang w:val="en-US"/>
        </w:rPr>
      </w:pPr>
      <w:r>
        <w:rPr>
          <w:lang w:val="en-US"/>
        </w:rPr>
        <w:t>Knell and Stix (2005) use MRA to study the literature on the income elasticity of money demand. They include 50 articles containing 381 observations.</w:t>
      </w:r>
    </w:p>
    <w:p w:rsidR="00702CC1" w:rsidRPr="00702CC1" w:rsidRDefault="00702CC1" w:rsidP="00702CC1">
      <w:pPr>
        <w:pStyle w:val="ListParagraph"/>
        <w:spacing w:before="200" w:after="0" w:line="360" w:lineRule="auto"/>
        <w:ind w:left="142"/>
        <w:contextualSpacing w:val="0"/>
        <w:rPr>
          <w:lang w:val="en-US"/>
        </w:rPr>
      </w:pPr>
      <w:r>
        <w:rPr>
          <w:lang w:val="en-US"/>
        </w:rPr>
        <w:t xml:space="preserve">An example of Meta analysis on </w:t>
      </w:r>
      <w:proofErr w:type="gramStart"/>
      <w:r>
        <w:rPr>
          <w:lang w:val="en-US"/>
        </w:rPr>
        <w:t>underpricing  is</w:t>
      </w:r>
      <w:proofErr w:type="gramEnd"/>
      <w:r>
        <w:rPr>
          <w:lang w:val="en-US"/>
        </w:rPr>
        <w:t>:</w:t>
      </w:r>
    </w:p>
    <w:p w:rsidR="00702CC1" w:rsidRPr="00702CC1" w:rsidRDefault="00702CC1" w:rsidP="00702CC1">
      <w:pPr>
        <w:pStyle w:val="ListParagraph"/>
        <w:numPr>
          <w:ilvl w:val="0"/>
          <w:numId w:val="3"/>
        </w:numPr>
        <w:spacing w:before="200" w:line="360" w:lineRule="auto"/>
        <w:ind w:left="714" w:hanging="357"/>
        <w:contextualSpacing w:val="0"/>
        <w:rPr>
          <w:lang w:val="en-US"/>
        </w:rPr>
      </w:pPr>
      <w:r>
        <w:rPr>
          <w:lang w:val="en-US"/>
        </w:rPr>
        <w:t>Daily et al. (2003) use Meta analysis to study the literature on IPO underpricing.</w:t>
      </w:r>
    </w:p>
    <w:p w:rsidR="000D5379" w:rsidRDefault="005948E9" w:rsidP="007675A0">
      <w:pPr>
        <w:spacing w:line="360" w:lineRule="auto"/>
        <w:rPr>
          <w:lang w:val="en-US"/>
        </w:rPr>
      </w:pPr>
      <w:r>
        <w:rPr>
          <w:lang w:val="en-US"/>
        </w:rPr>
        <w:t>Given the significant amount of res</w:t>
      </w:r>
      <w:r w:rsidR="001C50CF">
        <w:rPr>
          <w:lang w:val="en-US"/>
        </w:rPr>
        <w:t xml:space="preserve">earch on IPO underpricing, Meta </w:t>
      </w:r>
      <w:r>
        <w:rPr>
          <w:lang w:val="en-US"/>
        </w:rPr>
        <w:t>analysis can clearly add value to this field. Most of the</w:t>
      </w:r>
      <w:r w:rsidRPr="005948E9">
        <w:rPr>
          <w:lang w:val="en-US"/>
        </w:rPr>
        <w:t xml:space="preserve"> research</w:t>
      </w:r>
      <w:r>
        <w:rPr>
          <w:lang w:val="en-US"/>
        </w:rPr>
        <w:t xml:space="preserve"> on IPO underpricing </w:t>
      </w:r>
      <w:r w:rsidRPr="005948E9">
        <w:rPr>
          <w:lang w:val="en-US"/>
        </w:rPr>
        <w:t>focuses on</w:t>
      </w:r>
      <w:r w:rsidR="00490B3B">
        <w:rPr>
          <w:lang w:val="en-US"/>
        </w:rPr>
        <w:t xml:space="preserve"> information asymmetry problems, which</w:t>
      </w:r>
      <w:r w:rsidR="000D5379">
        <w:rPr>
          <w:lang w:val="en-US"/>
        </w:rPr>
        <w:t xml:space="preserve"> is assumed to increase with the level of IPO risk.</w:t>
      </w:r>
      <w:r w:rsidR="001D3599">
        <w:rPr>
          <w:lang w:val="en-US"/>
        </w:rPr>
        <w:t xml:space="preserve"> Therefore, in regressions </w:t>
      </w:r>
      <w:r w:rsidRPr="005948E9">
        <w:rPr>
          <w:lang w:val="en-US"/>
        </w:rPr>
        <w:t>explain</w:t>
      </w:r>
      <w:r w:rsidR="001D3599">
        <w:rPr>
          <w:lang w:val="en-US"/>
        </w:rPr>
        <w:t>ing</w:t>
      </w:r>
      <w:r w:rsidRPr="005948E9">
        <w:rPr>
          <w:lang w:val="en-US"/>
        </w:rPr>
        <w:t xml:space="preserve"> underpricing</w:t>
      </w:r>
      <w:r w:rsidR="000D5379">
        <w:rPr>
          <w:lang w:val="en-US"/>
        </w:rPr>
        <w:t xml:space="preserve">, </w:t>
      </w:r>
      <w:r w:rsidR="00490B3B">
        <w:rPr>
          <w:lang w:val="en-US"/>
        </w:rPr>
        <w:t>most independent variables are</w:t>
      </w:r>
      <w:r w:rsidRPr="005948E9">
        <w:rPr>
          <w:lang w:val="en-US"/>
        </w:rPr>
        <w:t xml:space="preserve"> proxies for the riskiness of the IPO. </w:t>
      </w:r>
      <w:r w:rsidR="00353C7A">
        <w:rPr>
          <w:lang w:val="en-US"/>
        </w:rPr>
        <w:t>Some</w:t>
      </w:r>
      <w:r w:rsidRPr="005948E9">
        <w:rPr>
          <w:lang w:val="en-US"/>
        </w:rPr>
        <w:t xml:space="preserve"> research</w:t>
      </w:r>
      <w:r w:rsidR="000D5379">
        <w:rPr>
          <w:lang w:val="en-US"/>
        </w:rPr>
        <w:t>ers focus</w:t>
      </w:r>
      <w:r w:rsidRPr="005948E9">
        <w:rPr>
          <w:lang w:val="en-US"/>
        </w:rPr>
        <w:t xml:space="preserve"> on the reputation of the underwriter</w:t>
      </w:r>
      <w:r w:rsidR="00263BEC">
        <w:rPr>
          <w:lang w:val="en-US"/>
        </w:rPr>
        <w:t>, testing if</w:t>
      </w:r>
      <w:r w:rsidR="000D5379">
        <w:rPr>
          <w:lang w:val="en-US"/>
        </w:rPr>
        <w:t xml:space="preserve"> </w:t>
      </w:r>
      <w:r w:rsidRPr="005948E9">
        <w:rPr>
          <w:lang w:val="en-US"/>
        </w:rPr>
        <w:t>issuers can signal good quality by choosing a prestigious underwriter</w:t>
      </w:r>
      <w:r w:rsidR="000D5379">
        <w:rPr>
          <w:lang w:val="en-US"/>
        </w:rPr>
        <w:t>. Other</w:t>
      </w:r>
      <w:r w:rsidR="00353C7A">
        <w:rPr>
          <w:lang w:val="en-US"/>
        </w:rPr>
        <w:t>s</w:t>
      </w:r>
      <w:r w:rsidR="000D5379">
        <w:rPr>
          <w:lang w:val="en-US"/>
        </w:rPr>
        <w:t xml:space="preserve"> believe </w:t>
      </w:r>
      <w:r w:rsidRPr="005948E9">
        <w:rPr>
          <w:lang w:val="en-US"/>
        </w:rPr>
        <w:t>that especially during the 1990’s and early 2000’s prestigious u</w:t>
      </w:r>
      <w:r w:rsidR="00263BEC">
        <w:rPr>
          <w:lang w:val="en-US"/>
        </w:rPr>
        <w:t xml:space="preserve">nderwriters were </w:t>
      </w:r>
      <w:r w:rsidR="000D5379">
        <w:rPr>
          <w:lang w:val="en-US"/>
        </w:rPr>
        <w:t>monitored</w:t>
      </w:r>
      <w:r w:rsidR="00263BEC">
        <w:rPr>
          <w:lang w:val="en-US"/>
        </w:rPr>
        <w:t xml:space="preserve"> less</w:t>
      </w:r>
      <w:r w:rsidR="000D5379">
        <w:rPr>
          <w:lang w:val="en-US"/>
        </w:rPr>
        <w:t xml:space="preserve">. </w:t>
      </w:r>
      <w:r w:rsidR="00263BEC">
        <w:rPr>
          <w:lang w:val="en-US"/>
        </w:rPr>
        <w:t>These authors assume i</w:t>
      </w:r>
      <w:r w:rsidRPr="005948E9">
        <w:rPr>
          <w:lang w:val="en-US"/>
        </w:rPr>
        <w:t>ssuers cared less about underpricing and more about directed share prog</w:t>
      </w:r>
      <w:r w:rsidR="000D5379">
        <w:rPr>
          <w:lang w:val="en-US"/>
        </w:rPr>
        <w:t>rams and analysts research, which</w:t>
      </w:r>
      <w:r w:rsidRPr="005948E9">
        <w:rPr>
          <w:lang w:val="en-US"/>
        </w:rPr>
        <w:t xml:space="preserve"> allowed investment banks to underprice more. </w:t>
      </w:r>
      <w:r w:rsidR="000D5379">
        <w:rPr>
          <w:lang w:val="en-US"/>
        </w:rPr>
        <w:t>Overall it is hard to infer any</w:t>
      </w:r>
      <w:r w:rsidRPr="005948E9">
        <w:rPr>
          <w:lang w:val="en-US"/>
        </w:rPr>
        <w:t xml:space="preserve"> general conclusion about the reported findings. </w:t>
      </w:r>
    </w:p>
    <w:p w:rsidR="007675A0" w:rsidRPr="00D2768B" w:rsidRDefault="00553826" w:rsidP="007675A0">
      <w:pPr>
        <w:spacing w:line="360" w:lineRule="auto"/>
        <w:rPr>
          <w:lang w:val="en-US"/>
        </w:rPr>
      </w:pPr>
      <w:r>
        <w:rPr>
          <w:lang w:val="en-US"/>
        </w:rPr>
        <w:t xml:space="preserve">An example of a Meta analysis on underpricing is written by </w:t>
      </w:r>
      <w:r w:rsidR="007675A0">
        <w:rPr>
          <w:lang w:val="en-US"/>
        </w:rPr>
        <w:t>Daily et al.</w:t>
      </w:r>
      <w:r w:rsidR="007675A0" w:rsidRPr="00C92A14">
        <w:rPr>
          <w:lang w:val="en-US"/>
        </w:rPr>
        <w:t xml:space="preserve"> (2003)</w:t>
      </w:r>
      <w:r>
        <w:rPr>
          <w:lang w:val="en-US"/>
        </w:rPr>
        <w:t>. Daily et al.</w:t>
      </w:r>
      <w:r w:rsidR="007675A0">
        <w:rPr>
          <w:lang w:val="en-US"/>
        </w:rPr>
        <w:t xml:space="preserve"> use a form of </w:t>
      </w:r>
      <w:r w:rsidR="009F25D4">
        <w:rPr>
          <w:lang w:val="en-US"/>
        </w:rPr>
        <w:t>Meta</w:t>
      </w:r>
      <w:r w:rsidR="007675A0">
        <w:rPr>
          <w:lang w:val="en-US"/>
        </w:rPr>
        <w:t xml:space="preserve"> analysis</w:t>
      </w:r>
      <w:r w:rsidR="005C3226">
        <w:rPr>
          <w:lang w:val="en-US"/>
        </w:rPr>
        <w:t xml:space="preserve"> that differ</w:t>
      </w:r>
      <w:r w:rsidR="005B5F29">
        <w:rPr>
          <w:lang w:val="en-US"/>
        </w:rPr>
        <w:t>s</w:t>
      </w:r>
      <w:r w:rsidR="005C3226">
        <w:rPr>
          <w:lang w:val="en-US"/>
        </w:rPr>
        <w:t xml:space="preserve"> from Meta </w:t>
      </w:r>
      <w:r w:rsidR="005C3226" w:rsidRPr="00353C7A">
        <w:rPr>
          <w:lang w:val="en-US"/>
        </w:rPr>
        <w:t>regression</w:t>
      </w:r>
      <w:r w:rsidR="005C3226">
        <w:rPr>
          <w:lang w:val="en-US"/>
        </w:rPr>
        <w:t xml:space="preserve"> analysis</w:t>
      </w:r>
      <w:r w:rsidR="007675A0">
        <w:rPr>
          <w:lang w:val="en-US"/>
        </w:rPr>
        <w:t xml:space="preserve">. </w:t>
      </w:r>
      <w:r w:rsidR="009906BE">
        <w:rPr>
          <w:lang w:val="en-US"/>
        </w:rPr>
        <w:t>The authors test the correlation between underpricing and several variables: retained equity, underwriter prestige, auditor prestige, the number of risk factors, the number of uses of proceeds, firm size, firm age, venture capital equity, offer price and</w:t>
      </w:r>
      <w:r w:rsidR="00263BEC">
        <w:rPr>
          <w:lang w:val="en-US"/>
        </w:rPr>
        <w:t>,</w:t>
      </w:r>
      <w:r w:rsidR="009906BE">
        <w:rPr>
          <w:lang w:val="en-US"/>
        </w:rPr>
        <w:t xml:space="preserve"> gross proceeds. </w:t>
      </w:r>
      <w:r w:rsidR="00D76CF7">
        <w:rPr>
          <w:lang w:val="en-US"/>
        </w:rPr>
        <w:t>Daily et al. (2003) calculate the mean weighted correlation of all studies included in the Meta analysis, in order to draw conclusions on the true relationship between underpricing and the variables mentioned above.</w:t>
      </w:r>
    </w:p>
    <w:p w:rsidR="00D76CF7" w:rsidRDefault="00D76CF7" w:rsidP="007675A0">
      <w:pPr>
        <w:spacing w:after="0" w:line="360" w:lineRule="auto"/>
        <w:outlineLvl w:val="0"/>
        <w:rPr>
          <w:i/>
          <w:lang w:val="en-US"/>
        </w:rPr>
      </w:pPr>
      <w:bookmarkStart w:id="19" w:name="_Toc280276115"/>
    </w:p>
    <w:p w:rsidR="00D76CF7" w:rsidRDefault="00D76CF7" w:rsidP="007675A0">
      <w:pPr>
        <w:spacing w:after="0" w:line="360" w:lineRule="auto"/>
        <w:outlineLvl w:val="0"/>
        <w:rPr>
          <w:i/>
          <w:lang w:val="en-US"/>
        </w:rPr>
      </w:pPr>
    </w:p>
    <w:p w:rsidR="007675A0" w:rsidRPr="00CB218B" w:rsidRDefault="007675A0" w:rsidP="00D25B76">
      <w:pPr>
        <w:spacing w:before="200" w:after="0" w:line="360" w:lineRule="auto"/>
        <w:outlineLvl w:val="0"/>
        <w:rPr>
          <w:i/>
          <w:lang w:val="en-US"/>
        </w:rPr>
      </w:pPr>
      <w:r w:rsidRPr="00131D71">
        <w:rPr>
          <w:i/>
          <w:lang w:val="en-US"/>
        </w:rPr>
        <w:lastRenderedPageBreak/>
        <w:t>Retained equity</w:t>
      </w:r>
      <w:bookmarkEnd w:id="19"/>
    </w:p>
    <w:p w:rsidR="007675A0" w:rsidRPr="00E56512" w:rsidRDefault="007675A0" w:rsidP="00D25B76">
      <w:pPr>
        <w:spacing w:before="200" w:line="360" w:lineRule="auto"/>
        <w:rPr>
          <w:color w:val="FF0000"/>
          <w:lang w:val="en-US"/>
        </w:rPr>
      </w:pPr>
      <w:r w:rsidRPr="00EF7EBE">
        <w:rPr>
          <w:lang w:val="en-US"/>
        </w:rPr>
        <w:t>If entrepreneurs retain equity, they signal that they believe future cash flows will be high, based on their inside information. Furthermore</w:t>
      </w:r>
      <w:r w:rsidR="000D5379">
        <w:rPr>
          <w:lang w:val="en-US"/>
        </w:rPr>
        <w:t>,</w:t>
      </w:r>
      <w:r w:rsidRPr="00EF7EBE">
        <w:rPr>
          <w:lang w:val="en-US"/>
        </w:rPr>
        <w:t xml:space="preserve"> high managerial ownership should align the interest of management and outside investors (Leland &amp; Pyle</w:t>
      </w:r>
      <w:r w:rsidR="00263BEC">
        <w:rPr>
          <w:lang w:val="en-US"/>
        </w:rPr>
        <w:t>,</w:t>
      </w:r>
      <w:r w:rsidRPr="00EF7EBE">
        <w:rPr>
          <w:lang w:val="en-US"/>
        </w:rPr>
        <w:t xml:space="preserve"> 1977</w:t>
      </w:r>
      <w:r>
        <w:rPr>
          <w:lang w:val="en-US"/>
        </w:rPr>
        <w:t>; Jensen &amp; Meckling</w:t>
      </w:r>
      <w:r w:rsidR="00263BEC">
        <w:rPr>
          <w:lang w:val="en-US"/>
        </w:rPr>
        <w:t>,</w:t>
      </w:r>
      <w:r>
        <w:rPr>
          <w:lang w:val="en-US"/>
        </w:rPr>
        <w:t xml:space="preserve"> 1976</w:t>
      </w:r>
      <w:r w:rsidRPr="00EF7EBE">
        <w:rPr>
          <w:lang w:val="en-US"/>
        </w:rPr>
        <w:t xml:space="preserve">). Retained equity therefore signals good quality and reduces information asymmetry and hence the need for underpricing. </w:t>
      </w:r>
    </w:p>
    <w:p w:rsidR="007675A0" w:rsidRPr="00131D71" w:rsidRDefault="007675A0" w:rsidP="009906BE">
      <w:pPr>
        <w:rPr>
          <w:i/>
          <w:lang w:val="en-US"/>
        </w:rPr>
      </w:pPr>
      <w:bookmarkStart w:id="20" w:name="_Toc280276116"/>
      <w:r w:rsidRPr="00131D71">
        <w:rPr>
          <w:i/>
          <w:lang w:val="en-US"/>
        </w:rPr>
        <w:t>Underwriter and auditor prestige</w:t>
      </w:r>
      <w:bookmarkEnd w:id="20"/>
    </w:p>
    <w:p w:rsidR="007675A0" w:rsidRPr="00CC6086" w:rsidRDefault="007675A0" w:rsidP="007675A0">
      <w:pPr>
        <w:spacing w:line="360" w:lineRule="auto"/>
        <w:rPr>
          <w:lang w:val="en-US"/>
        </w:rPr>
      </w:pPr>
      <w:r>
        <w:rPr>
          <w:lang w:val="en-US"/>
        </w:rPr>
        <w:t xml:space="preserve">Daily et al. </w:t>
      </w:r>
      <w:r w:rsidR="000D5379">
        <w:rPr>
          <w:lang w:val="en-US"/>
        </w:rPr>
        <w:t xml:space="preserve">(2003) </w:t>
      </w:r>
      <w:r w:rsidRPr="00EF7EBE">
        <w:rPr>
          <w:lang w:val="en-US"/>
        </w:rPr>
        <w:t>share the reasoning used by Carter and Manaster (1990</w:t>
      </w:r>
      <w:r w:rsidRPr="004E23B2">
        <w:rPr>
          <w:lang w:val="en-US"/>
        </w:rPr>
        <w:t>)</w:t>
      </w:r>
      <w:r w:rsidRPr="00EF7EBE">
        <w:rPr>
          <w:lang w:val="en-US"/>
        </w:rPr>
        <w:t xml:space="preserve"> and propose that underwriter prestige should be negatively associated with</w:t>
      </w:r>
      <w:r>
        <w:rPr>
          <w:lang w:val="en-US"/>
        </w:rPr>
        <w:t xml:space="preserve"> underpricing. The authors extend this reasoning</w:t>
      </w:r>
      <w:r w:rsidR="00553826">
        <w:rPr>
          <w:lang w:val="en-US"/>
        </w:rPr>
        <w:t>,</w:t>
      </w:r>
      <w:r>
        <w:rPr>
          <w:lang w:val="en-US"/>
        </w:rPr>
        <w:t xml:space="preserve"> by </w:t>
      </w:r>
      <w:r w:rsidR="00447A21">
        <w:rPr>
          <w:lang w:val="en-US"/>
        </w:rPr>
        <w:t>also including auditor prestige as a proxy for firm quality</w:t>
      </w:r>
      <w:r>
        <w:rPr>
          <w:lang w:val="en-US"/>
        </w:rPr>
        <w:t xml:space="preserve">. The reputational capital of auditors may suffer if they misjudge and fail to report certain information about the issuing firm. </w:t>
      </w:r>
      <w:r w:rsidR="00447A21">
        <w:rPr>
          <w:lang w:val="en-US"/>
        </w:rPr>
        <w:t>Therefore,</w:t>
      </w:r>
      <w:r>
        <w:rPr>
          <w:lang w:val="en-US"/>
        </w:rPr>
        <w:t xml:space="preserve"> good quality auditors should do a better job and reduce information asymmetry and underpricing.</w:t>
      </w:r>
      <w:bookmarkStart w:id="21" w:name="_Toc280276117"/>
    </w:p>
    <w:p w:rsidR="007675A0" w:rsidRPr="00131D71" w:rsidRDefault="007675A0" w:rsidP="007675A0">
      <w:pPr>
        <w:spacing w:line="360" w:lineRule="auto"/>
        <w:outlineLvl w:val="0"/>
        <w:rPr>
          <w:i/>
          <w:lang w:val="en-US"/>
        </w:rPr>
      </w:pPr>
      <w:r w:rsidRPr="00131D71">
        <w:rPr>
          <w:i/>
          <w:lang w:val="en-US"/>
        </w:rPr>
        <w:t xml:space="preserve">Number of risk factors and </w:t>
      </w:r>
      <w:r w:rsidR="00553826">
        <w:rPr>
          <w:i/>
          <w:lang w:val="en-US"/>
        </w:rPr>
        <w:t xml:space="preserve">number of </w:t>
      </w:r>
      <w:r w:rsidRPr="00131D71">
        <w:rPr>
          <w:i/>
          <w:lang w:val="en-US"/>
        </w:rPr>
        <w:t>uses</w:t>
      </w:r>
      <w:bookmarkEnd w:id="21"/>
    </w:p>
    <w:p w:rsidR="007675A0" w:rsidRPr="00B14D79" w:rsidRDefault="007675A0" w:rsidP="007675A0">
      <w:pPr>
        <w:spacing w:line="360" w:lineRule="auto"/>
        <w:rPr>
          <w:lang w:val="en-US"/>
        </w:rPr>
      </w:pPr>
      <w:r w:rsidRPr="00814FC2">
        <w:rPr>
          <w:lang w:val="en-US"/>
        </w:rPr>
        <w:t>The prospectus includes information about the number of uses and the number of risk factors.</w:t>
      </w:r>
      <w:r>
        <w:rPr>
          <w:lang w:val="en-US"/>
        </w:rPr>
        <w:t xml:space="preserve"> Daily et al. </w:t>
      </w:r>
      <w:r w:rsidR="00447A21">
        <w:rPr>
          <w:lang w:val="en-US"/>
        </w:rPr>
        <w:t xml:space="preserve">(2003) </w:t>
      </w:r>
      <w:r>
        <w:rPr>
          <w:lang w:val="en-US"/>
        </w:rPr>
        <w:t xml:space="preserve">share the reasoning of Beatty and Ritter </w:t>
      </w:r>
      <w:r w:rsidR="00447A21">
        <w:rPr>
          <w:lang w:val="en-US"/>
        </w:rPr>
        <w:t>(1986</w:t>
      </w:r>
      <w:r w:rsidRPr="004E23B2">
        <w:rPr>
          <w:lang w:val="en-US"/>
        </w:rPr>
        <w:t>)</w:t>
      </w:r>
      <w:r w:rsidR="00553826">
        <w:rPr>
          <w:lang w:val="en-US"/>
        </w:rPr>
        <w:t xml:space="preserve"> and state that a larger</w:t>
      </w:r>
      <w:r>
        <w:rPr>
          <w:lang w:val="en-US"/>
        </w:rPr>
        <w:t xml:space="preserve"> number of uses</w:t>
      </w:r>
      <w:r w:rsidR="00553826">
        <w:rPr>
          <w:lang w:val="en-US"/>
        </w:rPr>
        <w:t xml:space="preserve"> </w:t>
      </w:r>
      <w:proofErr w:type="gramStart"/>
      <w:r w:rsidR="00553826">
        <w:rPr>
          <w:lang w:val="en-US"/>
        </w:rPr>
        <w:t>indicates</w:t>
      </w:r>
      <w:proofErr w:type="gramEnd"/>
      <w:r w:rsidR="00553826">
        <w:rPr>
          <w:lang w:val="en-US"/>
        </w:rPr>
        <w:t xml:space="preserve"> more risk and</w:t>
      </w:r>
      <w:r>
        <w:rPr>
          <w:lang w:val="en-US"/>
        </w:rPr>
        <w:t xml:space="preserve"> should </w:t>
      </w:r>
      <w:r w:rsidR="00553826">
        <w:rPr>
          <w:lang w:val="en-US"/>
        </w:rPr>
        <w:t xml:space="preserve">therefore </w:t>
      </w:r>
      <w:r>
        <w:rPr>
          <w:lang w:val="en-US"/>
        </w:rPr>
        <w:t>be positive</w:t>
      </w:r>
      <w:r w:rsidR="00447A21">
        <w:rPr>
          <w:lang w:val="en-US"/>
        </w:rPr>
        <w:t>ly related to underpricing. The</w:t>
      </w:r>
      <w:r>
        <w:rPr>
          <w:lang w:val="en-US"/>
        </w:rPr>
        <w:t xml:space="preserve"> number of risk factors </w:t>
      </w:r>
      <w:r w:rsidR="00447A21">
        <w:rPr>
          <w:lang w:val="en-US"/>
        </w:rPr>
        <w:t>implies</w:t>
      </w:r>
      <w:r>
        <w:rPr>
          <w:lang w:val="en-US"/>
        </w:rPr>
        <w:t xml:space="preserve"> uncertainty about fi</w:t>
      </w:r>
      <w:r w:rsidR="00553826">
        <w:rPr>
          <w:lang w:val="en-US"/>
        </w:rPr>
        <w:t>rm value and therefore increase</w:t>
      </w:r>
      <w:r w:rsidR="00447A21">
        <w:rPr>
          <w:lang w:val="en-US"/>
        </w:rPr>
        <w:t>s</w:t>
      </w:r>
      <w:r>
        <w:rPr>
          <w:lang w:val="en-US"/>
        </w:rPr>
        <w:t xml:space="preserve"> the need for underpricing.</w:t>
      </w:r>
      <w:bookmarkStart w:id="22" w:name="_Toc280276118"/>
    </w:p>
    <w:p w:rsidR="007675A0" w:rsidRPr="00131D71" w:rsidRDefault="007675A0" w:rsidP="007675A0">
      <w:pPr>
        <w:spacing w:line="360" w:lineRule="auto"/>
        <w:outlineLvl w:val="0"/>
        <w:rPr>
          <w:i/>
          <w:lang w:val="en-US"/>
        </w:rPr>
      </w:pPr>
      <w:r w:rsidRPr="00131D71">
        <w:rPr>
          <w:i/>
          <w:lang w:val="en-US"/>
        </w:rPr>
        <w:t>Firm size and age</w:t>
      </w:r>
      <w:bookmarkEnd w:id="22"/>
      <w:r w:rsidRPr="00131D71">
        <w:rPr>
          <w:i/>
          <w:lang w:val="en-US"/>
        </w:rPr>
        <w:t xml:space="preserve"> </w:t>
      </w:r>
      <w:r w:rsidRPr="00131D71">
        <w:rPr>
          <w:i/>
          <w:color w:val="FF0000"/>
          <w:lang w:val="en-US"/>
        </w:rPr>
        <w:t xml:space="preserve"> </w:t>
      </w:r>
    </w:p>
    <w:p w:rsidR="007675A0" w:rsidRPr="00D2768B" w:rsidRDefault="007675A0" w:rsidP="007675A0">
      <w:pPr>
        <w:spacing w:line="360" w:lineRule="auto"/>
        <w:rPr>
          <w:lang w:val="en-US"/>
        </w:rPr>
      </w:pPr>
      <w:r>
        <w:rPr>
          <w:lang w:val="en-US"/>
        </w:rPr>
        <w:t>Larger firms have better access to resources for firm survival and profitability. In addition</w:t>
      </w:r>
      <w:r w:rsidR="00553826">
        <w:rPr>
          <w:lang w:val="en-US"/>
        </w:rPr>
        <w:t>,</w:t>
      </w:r>
      <w:r>
        <w:rPr>
          <w:lang w:val="en-US"/>
        </w:rPr>
        <w:t xml:space="preserve"> older firms are more established and </w:t>
      </w:r>
      <w:r w:rsidR="00447A21">
        <w:rPr>
          <w:lang w:val="en-US"/>
        </w:rPr>
        <w:t xml:space="preserve">have </w:t>
      </w:r>
      <w:proofErr w:type="gramStart"/>
      <w:r w:rsidR="00447A21">
        <w:rPr>
          <w:lang w:val="en-US"/>
        </w:rPr>
        <w:t>build</w:t>
      </w:r>
      <w:proofErr w:type="gramEnd"/>
      <w:r w:rsidR="00447A21">
        <w:rPr>
          <w:lang w:val="en-US"/>
        </w:rPr>
        <w:t xml:space="preserve"> a large track record</w:t>
      </w:r>
      <w:r>
        <w:rPr>
          <w:lang w:val="en-US"/>
        </w:rPr>
        <w:t>. Therefore</w:t>
      </w:r>
      <w:r w:rsidR="00660CEA">
        <w:rPr>
          <w:lang w:val="en-US"/>
        </w:rPr>
        <w:t>,</w:t>
      </w:r>
      <w:r>
        <w:rPr>
          <w:lang w:val="en-US"/>
        </w:rPr>
        <w:t xml:space="preserve"> firm size and age should reduce uncertainty and lower the need for underpricing.</w:t>
      </w:r>
    </w:p>
    <w:p w:rsidR="007675A0" w:rsidRPr="00131D71" w:rsidRDefault="007675A0" w:rsidP="007675A0">
      <w:pPr>
        <w:spacing w:line="360" w:lineRule="auto"/>
        <w:outlineLvl w:val="0"/>
        <w:rPr>
          <w:i/>
          <w:lang w:val="en-US"/>
        </w:rPr>
      </w:pPr>
      <w:bookmarkStart w:id="23" w:name="_Toc280276119"/>
      <w:r w:rsidRPr="00131D71">
        <w:rPr>
          <w:i/>
          <w:lang w:val="en-US"/>
        </w:rPr>
        <w:t>Venture capital equity</w:t>
      </w:r>
      <w:bookmarkEnd w:id="23"/>
    </w:p>
    <w:p w:rsidR="00490B3B" w:rsidRDefault="00447A21" w:rsidP="00490B3B">
      <w:pPr>
        <w:spacing w:line="360" w:lineRule="auto"/>
        <w:rPr>
          <w:i/>
          <w:lang w:val="en-US"/>
        </w:rPr>
      </w:pPr>
      <w:r>
        <w:rPr>
          <w:lang w:val="en-US"/>
        </w:rPr>
        <w:t>Daily et al. (2003) provide several reasons why venture capital equity reduces uncertainty and lowers the need for underpricing. First v</w:t>
      </w:r>
      <w:r w:rsidR="007675A0">
        <w:rPr>
          <w:lang w:val="en-US"/>
        </w:rPr>
        <w:t xml:space="preserve">enture capitalists are active shareholders and occupy seats on the board. </w:t>
      </w:r>
      <w:r>
        <w:rPr>
          <w:lang w:val="en-US"/>
        </w:rPr>
        <w:t>Also they</w:t>
      </w:r>
      <w:r w:rsidR="007675A0">
        <w:rPr>
          <w:lang w:val="en-US"/>
        </w:rPr>
        <w:t xml:space="preserve"> provide a</w:t>
      </w:r>
      <w:r>
        <w:rPr>
          <w:lang w:val="en-US"/>
        </w:rPr>
        <w:t>ssistance to</w:t>
      </w:r>
      <w:r w:rsidR="007675A0">
        <w:rPr>
          <w:lang w:val="en-US"/>
        </w:rPr>
        <w:t xml:space="preserve"> management and give them access to their network of suppliers, financiers and customers. Venture capitalists typically invest in fi</w:t>
      </w:r>
      <w:r>
        <w:rPr>
          <w:lang w:val="en-US"/>
        </w:rPr>
        <w:t>rms that have strong management, or bring high quality managers to the firm by</w:t>
      </w:r>
      <w:r w:rsidR="007675A0">
        <w:rPr>
          <w:lang w:val="en-US"/>
        </w:rPr>
        <w:t xml:space="preserve"> </w:t>
      </w:r>
      <w:r>
        <w:rPr>
          <w:lang w:val="en-US"/>
        </w:rPr>
        <w:t>recruiting new managers.</w:t>
      </w:r>
      <w:bookmarkStart w:id="24" w:name="_Toc280276120"/>
    </w:p>
    <w:p w:rsidR="00490B3B" w:rsidRDefault="00490B3B">
      <w:pPr>
        <w:rPr>
          <w:i/>
          <w:lang w:val="en-US"/>
        </w:rPr>
      </w:pPr>
      <w:r>
        <w:rPr>
          <w:i/>
          <w:lang w:val="en-US"/>
        </w:rPr>
        <w:br w:type="page"/>
      </w:r>
    </w:p>
    <w:p w:rsidR="007675A0" w:rsidRPr="00490B3B" w:rsidRDefault="007675A0" w:rsidP="00490B3B">
      <w:pPr>
        <w:spacing w:line="360" w:lineRule="auto"/>
        <w:rPr>
          <w:lang w:val="en-US"/>
        </w:rPr>
      </w:pPr>
      <w:r w:rsidRPr="00131D71">
        <w:rPr>
          <w:i/>
          <w:lang w:val="en-US"/>
        </w:rPr>
        <w:lastRenderedPageBreak/>
        <w:t>Offer price and Gross proceeds</w:t>
      </w:r>
      <w:bookmarkEnd w:id="24"/>
    </w:p>
    <w:p w:rsidR="00D25B76" w:rsidRDefault="007675A0" w:rsidP="00D25B76">
      <w:pPr>
        <w:spacing w:line="360" w:lineRule="auto"/>
        <w:rPr>
          <w:lang w:val="en-US"/>
        </w:rPr>
      </w:pPr>
      <w:r>
        <w:rPr>
          <w:lang w:val="en-US"/>
        </w:rPr>
        <w:t>A low offer price increase</w:t>
      </w:r>
      <w:r w:rsidR="001C50CF">
        <w:rPr>
          <w:lang w:val="en-US"/>
        </w:rPr>
        <w:t>s</w:t>
      </w:r>
      <w:r>
        <w:rPr>
          <w:lang w:val="en-US"/>
        </w:rPr>
        <w:t xml:space="preserve"> uncerta</w:t>
      </w:r>
      <w:r w:rsidR="001C50CF">
        <w:rPr>
          <w:lang w:val="en-US"/>
        </w:rPr>
        <w:t>inty, as this is</w:t>
      </w:r>
      <w:r>
        <w:rPr>
          <w:lang w:val="en-US"/>
        </w:rPr>
        <w:t xml:space="preserve"> associated with higher mortality rates. Gross proceeds, or the size of the </w:t>
      </w:r>
      <w:r w:rsidR="0030498B">
        <w:rPr>
          <w:lang w:val="en-US"/>
        </w:rPr>
        <w:t>IPO</w:t>
      </w:r>
      <w:r>
        <w:rPr>
          <w:lang w:val="en-US"/>
        </w:rPr>
        <w:t xml:space="preserve">, should be negatively related to underpricing. Larger IPOs are usually offered by more established firms </w:t>
      </w:r>
      <w:r w:rsidR="00553826">
        <w:rPr>
          <w:lang w:val="en-US"/>
        </w:rPr>
        <w:t>associated with less</w:t>
      </w:r>
      <w:r>
        <w:rPr>
          <w:lang w:val="en-US"/>
        </w:rPr>
        <w:t xml:space="preserve"> uncertainty. </w:t>
      </w:r>
    </w:p>
    <w:p w:rsidR="001C50CF" w:rsidRDefault="001C50CF" w:rsidP="00D25B76">
      <w:pPr>
        <w:spacing w:line="360" w:lineRule="auto"/>
        <w:rPr>
          <w:lang w:val="en-US"/>
        </w:rPr>
      </w:pPr>
      <w:r>
        <w:rPr>
          <w:lang w:val="en-US"/>
        </w:rPr>
        <w:t>Table 2 summarizes the results found by Daily et al.</w:t>
      </w:r>
    </w:p>
    <w:tbl>
      <w:tblPr>
        <w:tblpPr w:leftFromText="141" w:rightFromText="141" w:vertAnchor="text" w:horzAnchor="margin" w:tblpXSpec="center" w:tblpY="7"/>
        <w:tblW w:w="7420" w:type="dxa"/>
        <w:tblCellMar>
          <w:left w:w="70" w:type="dxa"/>
          <w:right w:w="70" w:type="dxa"/>
        </w:tblCellMar>
        <w:tblLook w:val="04A0"/>
      </w:tblPr>
      <w:tblGrid>
        <w:gridCol w:w="2197"/>
        <w:gridCol w:w="1922"/>
        <w:gridCol w:w="1606"/>
        <w:gridCol w:w="1695"/>
      </w:tblGrid>
      <w:tr w:rsidR="001C50CF" w:rsidRPr="007F0D94" w:rsidTr="00293CC3">
        <w:trPr>
          <w:trHeight w:val="300"/>
        </w:trPr>
        <w:tc>
          <w:tcPr>
            <w:tcW w:w="7420" w:type="dxa"/>
            <w:gridSpan w:val="4"/>
            <w:tcBorders>
              <w:top w:val="nil"/>
              <w:left w:val="nil"/>
              <w:bottom w:val="single" w:sz="4" w:space="0" w:color="auto"/>
              <w:right w:val="nil"/>
            </w:tcBorders>
            <w:shd w:val="clear" w:color="auto" w:fill="auto"/>
            <w:noWrap/>
            <w:vAlign w:val="bottom"/>
            <w:hideMark/>
          </w:tcPr>
          <w:p w:rsidR="001C50CF" w:rsidRPr="002C0FDE" w:rsidRDefault="001C50CF" w:rsidP="001C50CF">
            <w:pPr>
              <w:spacing w:after="0" w:line="240" w:lineRule="auto"/>
              <w:jc w:val="center"/>
              <w:rPr>
                <w:rFonts w:eastAsia="Times New Roman" w:cs="Calibri"/>
                <w:b/>
                <w:bCs/>
                <w:color w:val="000000"/>
                <w:lang w:val="en-US" w:eastAsia="nl-NL"/>
              </w:rPr>
            </w:pPr>
            <w:r w:rsidRPr="002C0FDE">
              <w:rPr>
                <w:rFonts w:eastAsia="Times New Roman" w:cs="Calibri"/>
                <w:b/>
                <w:bCs/>
                <w:color w:val="000000"/>
                <w:lang w:val="en-US" w:eastAsia="nl-NL"/>
              </w:rPr>
              <w:t xml:space="preserve">Table </w:t>
            </w:r>
            <w:r>
              <w:rPr>
                <w:rFonts w:eastAsia="Times New Roman" w:cs="Calibri"/>
                <w:b/>
                <w:bCs/>
                <w:color w:val="000000"/>
                <w:lang w:val="en-US" w:eastAsia="nl-NL"/>
              </w:rPr>
              <w:t>2</w:t>
            </w:r>
            <w:r w:rsidR="007F0D94">
              <w:rPr>
                <w:rFonts w:eastAsia="Times New Roman" w:cs="Calibri"/>
                <w:b/>
                <w:bCs/>
                <w:color w:val="000000"/>
                <w:lang w:val="en-US" w:eastAsia="nl-NL"/>
              </w:rPr>
              <w:t>:</w:t>
            </w:r>
            <w:r w:rsidRPr="002C0FDE">
              <w:rPr>
                <w:rFonts w:eastAsia="Times New Roman" w:cs="Calibri"/>
                <w:b/>
                <w:bCs/>
                <w:color w:val="000000"/>
                <w:lang w:val="en-US" w:eastAsia="nl-NL"/>
              </w:rPr>
              <w:t xml:space="preserve"> </w:t>
            </w:r>
            <w:r>
              <w:rPr>
                <w:rFonts w:eastAsia="Times New Roman" w:cs="Calibri"/>
                <w:b/>
                <w:bCs/>
                <w:color w:val="000000"/>
                <w:lang w:val="en-US" w:eastAsia="nl-NL"/>
              </w:rPr>
              <w:t>Meta</w:t>
            </w:r>
            <w:r w:rsidRPr="002C0FDE">
              <w:rPr>
                <w:rFonts w:eastAsia="Times New Roman" w:cs="Calibri"/>
                <w:b/>
                <w:bCs/>
                <w:color w:val="000000"/>
                <w:lang w:val="en-US" w:eastAsia="nl-NL"/>
              </w:rPr>
              <w:t xml:space="preserve"> correlation results</w:t>
            </w:r>
            <w:r>
              <w:rPr>
                <w:rFonts w:eastAsia="Times New Roman" w:cs="Calibri"/>
                <w:b/>
                <w:bCs/>
                <w:color w:val="000000"/>
                <w:lang w:val="en-US" w:eastAsia="nl-NL"/>
              </w:rPr>
              <w:t xml:space="preserve"> Daily et al. (2003)</w:t>
            </w:r>
          </w:p>
        </w:tc>
      </w:tr>
      <w:tr w:rsidR="001C50CF" w:rsidRPr="002C0FDE" w:rsidTr="00293CC3">
        <w:trPr>
          <w:trHeight w:val="315"/>
        </w:trPr>
        <w:tc>
          <w:tcPr>
            <w:tcW w:w="2197" w:type="dxa"/>
            <w:tcBorders>
              <w:top w:val="nil"/>
              <w:left w:val="nil"/>
              <w:bottom w:val="double" w:sz="6" w:space="0" w:color="auto"/>
              <w:right w:val="nil"/>
            </w:tcBorders>
            <w:shd w:val="clear" w:color="000000" w:fill="FFFFFF"/>
            <w:noWrap/>
            <w:vAlign w:val="bottom"/>
            <w:hideMark/>
          </w:tcPr>
          <w:p w:rsidR="001C50CF" w:rsidRPr="002C0FDE" w:rsidRDefault="001C50CF" w:rsidP="001C50CF">
            <w:pPr>
              <w:spacing w:after="0" w:line="240" w:lineRule="auto"/>
              <w:rPr>
                <w:rFonts w:eastAsia="Times New Roman" w:cs="Calibri"/>
                <w:b/>
                <w:bCs/>
                <w:color w:val="000000"/>
                <w:lang w:eastAsia="nl-NL"/>
              </w:rPr>
            </w:pPr>
            <w:r w:rsidRPr="002C0FDE">
              <w:rPr>
                <w:rFonts w:eastAsia="Times New Roman" w:cs="Calibri"/>
                <w:b/>
                <w:bCs/>
                <w:color w:val="000000"/>
                <w:lang w:eastAsia="nl-NL"/>
              </w:rPr>
              <w:t>Independent variable</w:t>
            </w:r>
          </w:p>
        </w:tc>
        <w:tc>
          <w:tcPr>
            <w:tcW w:w="1922" w:type="dxa"/>
            <w:tcBorders>
              <w:top w:val="nil"/>
              <w:left w:val="nil"/>
              <w:bottom w:val="double" w:sz="6" w:space="0" w:color="auto"/>
              <w:right w:val="nil"/>
            </w:tcBorders>
            <w:shd w:val="clear" w:color="000000" w:fill="FFFFFF"/>
            <w:noWrap/>
            <w:vAlign w:val="bottom"/>
            <w:hideMark/>
          </w:tcPr>
          <w:p w:rsidR="001C50CF" w:rsidRPr="002C0FDE" w:rsidRDefault="001C50CF" w:rsidP="001C50CF">
            <w:pPr>
              <w:spacing w:after="0" w:line="240" w:lineRule="auto"/>
              <w:rPr>
                <w:rFonts w:eastAsia="Times New Roman" w:cs="Calibri"/>
                <w:b/>
                <w:bCs/>
                <w:color w:val="000000"/>
                <w:lang w:eastAsia="nl-NL"/>
              </w:rPr>
            </w:pPr>
            <w:r w:rsidRPr="002C0FDE">
              <w:rPr>
                <w:rFonts w:eastAsia="Times New Roman" w:cs="Calibri"/>
                <w:b/>
                <w:bCs/>
                <w:color w:val="000000"/>
                <w:lang w:eastAsia="nl-NL"/>
              </w:rPr>
              <w:t>Predicted direction</w:t>
            </w:r>
          </w:p>
        </w:tc>
        <w:tc>
          <w:tcPr>
            <w:tcW w:w="1606" w:type="dxa"/>
            <w:tcBorders>
              <w:top w:val="nil"/>
              <w:left w:val="nil"/>
              <w:bottom w:val="double" w:sz="6" w:space="0" w:color="auto"/>
              <w:right w:val="nil"/>
            </w:tcBorders>
            <w:shd w:val="clear" w:color="000000" w:fill="FFFFFF"/>
            <w:noWrap/>
            <w:vAlign w:val="bottom"/>
            <w:hideMark/>
          </w:tcPr>
          <w:p w:rsidR="001C50CF" w:rsidRPr="002C0FDE" w:rsidRDefault="001C50CF" w:rsidP="001C50CF">
            <w:pPr>
              <w:spacing w:after="0" w:line="240" w:lineRule="auto"/>
              <w:rPr>
                <w:rFonts w:eastAsia="Times New Roman" w:cs="Calibri"/>
                <w:b/>
                <w:bCs/>
                <w:color w:val="000000"/>
                <w:lang w:eastAsia="nl-NL"/>
              </w:rPr>
            </w:pPr>
            <w:r w:rsidRPr="002C0FDE">
              <w:rPr>
                <w:rFonts w:eastAsia="Times New Roman" w:cs="Calibri"/>
                <w:b/>
                <w:bCs/>
                <w:color w:val="000000"/>
                <w:lang w:eastAsia="nl-NL"/>
              </w:rPr>
              <w:t>Actual direction</w:t>
            </w:r>
          </w:p>
        </w:tc>
        <w:tc>
          <w:tcPr>
            <w:tcW w:w="1695" w:type="dxa"/>
            <w:tcBorders>
              <w:top w:val="nil"/>
              <w:left w:val="nil"/>
              <w:bottom w:val="double" w:sz="6" w:space="0" w:color="auto"/>
              <w:right w:val="nil"/>
            </w:tcBorders>
            <w:shd w:val="clear" w:color="000000" w:fill="FFFFFF"/>
            <w:noWrap/>
            <w:vAlign w:val="bottom"/>
            <w:hideMark/>
          </w:tcPr>
          <w:p w:rsidR="001C50CF" w:rsidRPr="002C0FDE" w:rsidRDefault="001C50CF" w:rsidP="001C50CF">
            <w:pPr>
              <w:spacing w:after="0" w:line="240" w:lineRule="auto"/>
              <w:rPr>
                <w:rFonts w:eastAsia="Times New Roman" w:cs="Calibri"/>
                <w:b/>
                <w:bCs/>
                <w:color w:val="000000"/>
                <w:lang w:eastAsia="nl-NL"/>
              </w:rPr>
            </w:pPr>
            <w:r w:rsidRPr="002C0FDE">
              <w:rPr>
                <w:rFonts w:eastAsia="Times New Roman" w:cs="Calibri"/>
                <w:b/>
                <w:bCs/>
                <w:color w:val="000000"/>
                <w:lang w:eastAsia="nl-NL"/>
              </w:rPr>
              <w:t># estimates used</w:t>
            </w:r>
          </w:p>
        </w:tc>
      </w:tr>
      <w:tr w:rsidR="001C50CF" w:rsidRPr="002C0FDE" w:rsidTr="00293CC3">
        <w:trPr>
          <w:trHeight w:val="315"/>
        </w:trPr>
        <w:tc>
          <w:tcPr>
            <w:tcW w:w="2197"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Retained equity</w:t>
            </w:r>
          </w:p>
        </w:tc>
        <w:tc>
          <w:tcPr>
            <w:tcW w:w="1922"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Negative</w:t>
            </w:r>
          </w:p>
        </w:tc>
        <w:tc>
          <w:tcPr>
            <w:tcW w:w="1606"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Positive*</w:t>
            </w:r>
          </w:p>
        </w:tc>
        <w:tc>
          <w:tcPr>
            <w:tcW w:w="1695"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jc w:val="right"/>
              <w:rPr>
                <w:rFonts w:eastAsia="Times New Roman" w:cs="Calibri"/>
                <w:color w:val="000000"/>
                <w:lang w:eastAsia="nl-NL"/>
              </w:rPr>
            </w:pPr>
            <w:r w:rsidRPr="002C0FDE">
              <w:rPr>
                <w:rFonts w:eastAsia="Times New Roman" w:cs="Calibri"/>
                <w:color w:val="000000"/>
                <w:lang w:eastAsia="nl-NL"/>
              </w:rPr>
              <w:t>11</w:t>
            </w:r>
          </w:p>
        </w:tc>
      </w:tr>
      <w:tr w:rsidR="001C50CF" w:rsidRPr="002C0FDE" w:rsidTr="00293CC3">
        <w:trPr>
          <w:trHeight w:val="300"/>
        </w:trPr>
        <w:tc>
          <w:tcPr>
            <w:tcW w:w="2197"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Underwriter prestige</w:t>
            </w:r>
          </w:p>
        </w:tc>
        <w:tc>
          <w:tcPr>
            <w:tcW w:w="1922"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Negative</w:t>
            </w:r>
          </w:p>
        </w:tc>
        <w:tc>
          <w:tcPr>
            <w:tcW w:w="1606"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Negative*</w:t>
            </w:r>
          </w:p>
        </w:tc>
        <w:tc>
          <w:tcPr>
            <w:tcW w:w="1695"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jc w:val="right"/>
              <w:rPr>
                <w:rFonts w:eastAsia="Times New Roman" w:cs="Calibri"/>
                <w:color w:val="000000"/>
                <w:lang w:eastAsia="nl-NL"/>
              </w:rPr>
            </w:pPr>
            <w:r w:rsidRPr="002C0FDE">
              <w:rPr>
                <w:rFonts w:eastAsia="Times New Roman" w:cs="Calibri"/>
                <w:color w:val="000000"/>
                <w:lang w:eastAsia="nl-NL"/>
              </w:rPr>
              <w:t>39</w:t>
            </w:r>
          </w:p>
        </w:tc>
      </w:tr>
      <w:tr w:rsidR="001C50CF" w:rsidRPr="002C0FDE" w:rsidTr="00293CC3">
        <w:trPr>
          <w:trHeight w:val="300"/>
        </w:trPr>
        <w:tc>
          <w:tcPr>
            <w:tcW w:w="2197"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Auditor reputation</w:t>
            </w:r>
          </w:p>
        </w:tc>
        <w:tc>
          <w:tcPr>
            <w:tcW w:w="1922"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Negative</w:t>
            </w:r>
          </w:p>
        </w:tc>
        <w:tc>
          <w:tcPr>
            <w:tcW w:w="1606"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Positive*</w:t>
            </w:r>
          </w:p>
        </w:tc>
        <w:tc>
          <w:tcPr>
            <w:tcW w:w="1695"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jc w:val="right"/>
              <w:rPr>
                <w:rFonts w:eastAsia="Times New Roman" w:cs="Calibri"/>
                <w:color w:val="000000"/>
                <w:lang w:eastAsia="nl-NL"/>
              </w:rPr>
            </w:pPr>
            <w:r w:rsidRPr="002C0FDE">
              <w:rPr>
                <w:rFonts w:eastAsia="Times New Roman" w:cs="Calibri"/>
                <w:color w:val="000000"/>
                <w:lang w:eastAsia="nl-NL"/>
              </w:rPr>
              <w:t>7</w:t>
            </w:r>
          </w:p>
        </w:tc>
      </w:tr>
      <w:tr w:rsidR="001C50CF" w:rsidRPr="002C0FDE" w:rsidTr="00293CC3">
        <w:trPr>
          <w:trHeight w:val="300"/>
        </w:trPr>
        <w:tc>
          <w:tcPr>
            <w:tcW w:w="2197"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Firm size</w:t>
            </w:r>
          </w:p>
        </w:tc>
        <w:tc>
          <w:tcPr>
            <w:tcW w:w="1922"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Negative</w:t>
            </w:r>
          </w:p>
        </w:tc>
        <w:tc>
          <w:tcPr>
            <w:tcW w:w="1606"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Positive*</w:t>
            </w:r>
          </w:p>
        </w:tc>
        <w:tc>
          <w:tcPr>
            <w:tcW w:w="1695"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jc w:val="right"/>
              <w:rPr>
                <w:rFonts w:eastAsia="Times New Roman" w:cs="Calibri"/>
                <w:color w:val="000000"/>
                <w:lang w:eastAsia="nl-NL"/>
              </w:rPr>
            </w:pPr>
            <w:r w:rsidRPr="002C0FDE">
              <w:rPr>
                <w:rFonts w:eastAsia="Times New Roman" w:cs="Calibri"/>
                <w:color w:val="000000"/>
                <w:lang w:eastAsia="nl-NL"/>
              </w:rPr>
              <w:t>7</w:t>
            </w:r>
          </w:p>
        </w:tc>
      </w:tr>
      <w:tr w:rsidR="001C50CF" w:rsidRPr="002C0FDE" w:rsidTr="00293CC3">
        <w:trPr>
          <w:trHeight w:val="300"/>
        </w:trPr>
        <w:tc>
          <w:tcPr>
            <w:tcW w:w="2197"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Firm age</w:t>
            </w:r>
          </w:p>
        </w:tc>
        <w:tc>
          <w:tcPr>
            <w:tcW w:w="1922"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Negative</w:t>
            </w:r>
          </w:p>
        </w:tc>
        <w:tc>
          <w:tcPr>
            <w:tcW w:w="1606"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Negative*</w:t>
            </w:r>
          </w:p>
        </w:tc>
        <w:tc>
          <w:tcPr>
            <w:tcW w:w="1695"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jc w:val="right"/>
              <w:rPr>
                <w:rFonts w:eastAsia="Times New Roman" w:cs="Calibri"/>
                <w:color w:val="000000"/>
                <w:lang w:eastAsia="nl-NL"/>
              </w:rPr>
            </w:pPr>
            <w:r w:rsidRPr="002C0FDE">
              <w:rPr>
                <w:rFonts w:eastAsia="Times New Roman" w:cs="Calibri"/>
                <w:color w:val="000000"/>
                <w:lang w:eastAsia="nl-NL"/>
              </w:rPr>
              <w:t>18</w:t>
            </w:r>
          </w:p>
        </w:tc>
      </w:tr>
      <w:tr w:rsidR="001C50CF" w:rsidRPr="002C0FDE" w:rsidTr="00293CC3">
        <w:trPr>
          <w:trHeight w:val="300"/>
        </w:trPr>
        <w:tc>
          <w:tcPr>
            <w:tcW w:w="2197"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Number of uses</w:t>
            </w:r>
          </w:p>
        </w:tc>
        <w:tc>
          <w:tcPr>
            <w:tcW w:w="1922"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Positive</w:t>
            </w:r>
          </w:p>
        </w:tc>
        <w:tc>
          <w:tcPr>
            <w:tcW w:w="1606"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Negative</w:t>
            </w:r>
          </w:p>
        </w:tc>
        <w:tc>
          <w:tcPr>
            <w:tcW w:w="1695"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jc w:val="right"/>
              <w:rPr>
                <w:rFonts w:eastAsia="Times New Roman" w:cs="Calibri"/>
                <w:color w:val="000000"/>
                <w:lang w:eastAsia="nl-NL"/>
              </w:rPr>
            </w:pPr>
            <w:r w:rsidRPr="002C0FDE">
              <w:rPr>
                <w:rFonts w:eastAsia="Times New Roman" w:cs="Calibri"/>
                <w:color w:val="000000"/>
                <w:lang w:eastAsia="nl-NL"/>
              </w:rPr>
              <w:t>3</w:t>
            </w:r>
          </w:p>
        </w:tc>
      </w:tr>
      <w:tr w:rsidR="001C50CF" w:rsidRPr="002C0FDE" w:rsidTr="00293CC3">
        <w:trPr>
          <w:trHeight w:val="300"/>
        </w:trPr>
        <w:tc>
          <w:tcPr>
            <w:tcW w:w="2197"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Number of risk factors</w:t>
            </w:r>
          </w:p>
        </w:tc>
        <w:tc>
          <w:tcPr>
            <w:tcW w:w="1922"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Positive</w:t>
            </w:r>
          </w:p>
        </w:tc>
        <w:tc>
          <w:tcPr>
            <w:tcW w:w="1606"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Positive</w:t>
            </w:r>
          </w:p>
        </w:tc>
        <w:tc>
          <w:tcPr>
            <w:tcW w:w="1695"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jc w:val="right"/>
              <w:rPr>
                <w:rFonts w:eastAsia="Times New Roman" w:cs="Calibri"/>
                <w:color w:val="000000"/>
                <w:lang w:eastAsia="nl-NL"/>
              </w:rPr>
            </w:pPr>
            <w:r w:rsidRPr="002C0FDE">
              <w:rPr>
                <w:rFonts w:eastAsia="Times New Roman" w:cs="Calibri"/>
                <w:color w:val="000000"/>
                <w:lang w:eastAsia="nl-NL"/>
              </w:rPr>
              <w:t>3</w:t>
            </w:r>
          </w:p>
        </w:tc>
      </w:tr>
      <w:tr w:rsidR="001C50CF" w:rsidRPr="002C0FDE" w:rsidTr="00293CC3">
        <w:trPr>
          <w:trHeight w:val="300"/>
        </w:trPr>
        <w:tc>
          <w:tcPr>
            <w:tcW w:w="2197"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Venture capital equity</w:t>
            </w:r>
          </w:p>
        </w:tc>
        <w:tc>
          <w:tcPr>
            <w:tcW w:w="1922"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Negative</w:t>
            </w:r>
          </w:p>
        </w:tc>
        <w:tc>
          <w:tcPr>
            <w:tcW w:w="1606"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rPr>
                <w:rFonts w:eastAsia="Times New Roman" w:cs="Calibri"/>
                <w:color w:val="000000"/>
                <w:lang w:eastAsia="nl-NL"/>
              </w:rPr>
            </w:pPr>
            <w:r w:rsidRPr="002C0FDE">
              <w:rPr>
                <w:rFonts w:eastAsia="Times New Roman" w:cs="Calibri"/>
                <w:color w:val="000000"/>
                <w:lang w:eastAsia="nl-NL"/>
              </w:rPr>
              <w:t>Positive*</w:t>
            </w:r>
          </w:p>
        </w:tc>
        <w:tc>
          <w:tcPr>
            <w:tcW w:w="1695"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jc w:val="right"/>
              <w:rPr>
                <w:rFonts w:eastAsia="Times New Roman" w:cs="Calibri"/>
                <w:color w:val="000000"/>
                <w:lang w:eastAsia="nl-NL"/>
              </w:rPr>
            </w:pPr>
            <w:r w:rsidRPr="002C0FDE">
              <w:rPr>
                <w:rFonts w:eastAsia="Times New Roman" w:cs="Calibri"/>
                <w:color w:val="000000"/>
                <w:lang w:eastAsia="nl-NL"/>
              </w:rPr>
              <w:t>3</w:t>
            </w:r>
          </w:p>
        </w:tc>
      </w:tr>
      <w:tr w:rsidR="001C50CF" w:rsidRPr="002C0FDE" w:rsidTr="00293CC3">
        <w:trPr>
          <w:trHeight w:val="300"/>
        </w:trPr>
        <w:tc>
          <w:tcPr>
            <w:tcW w:w="2197"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contextualSpacing/>
              <w:rPr>
                <w:rFonts w:eastAsia="Times New Roman" w:cs="Calibri"/>
                <w:color w:val="000000"/>
                <w:lang w:eastAsia="nl-NL"/>
              </w:rPr>
            </w:pPr>
            <w:r w:rsidRPr="002C0FDE">
              <w:rPr>
                <w:rFonts w:eastAsia="Times New Roman" w:cs="Calibri"/>
                <w:color w:val="000000"/>
                <w:lang w:eastAsia="nl-NL"/>
              </w:rPr>
              <w:t>Offer price</w:t>
            </w:r>
          </w:p>
        </w:tc>
        <w:tc>
          <w:tcPr>
            <w:tcW w:w="1922"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contextualSpacing/>
              <w:rPr>
                <w:rFonts w:eastAsia="Times New Roman" w:cs="Calibri"/>
                <w:color w:val="000000"/>
                <w:lang w:eastAsia="nl-NL"/>
              </w:rPr>
            </w:pPr>
            <w:r w:rsidRPr="002C0FDE">
              <w:rPr>
                <w:rFonts w:eastAsia="Times New Roman" w:cs="Calibri"/>
                <w:color w:val="000000"/>
                <w:lang w:eastAsia="nl-NL"/>
              </w:rPr>
              <w:t>Negative</w:t>
            </w:r>
          </w:p>
        </w:tc>
        <w:tc>
          <w:tcPr>
            <w:tcW w:w="1606"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contextualSpacing/>
              <w:rPr>
                <w:rFonts w:eastAsia="Times New Roman" w:cs="Calibri"/>
                <w:color w:val="000000"/>
                <w:lang w:eastAsia="nl-NL"/>
              </w:rPr>
            </w:pPr>
            <w:r w:rsidRPr="002C0FDE">
              <w:rPr>
                <w:rFonts w:eastAsia="Times New Roman" w:cs="Calibri"/>
                <w:color w:val="000000"/>
                <w:lang w:eastAsia="nl-NL"/>
              </w:rPr>
              <w:t>Positive*</w:t>
            </w:r>
          </w:p>
        </w:tc>
        <w:tc>
          <w:tcPr>
            <w:tcW w:w="1695" w:type="dxa"/>
            <w:tcBorders>
              <w:top w:val="nil"/>
              <w:left w:val="nil"/>
              <w:bottom w:val="nil"/>
              <w:right w:val="nil"/>
            </w:tcBorders>
            <w:shd w:val="clear" w:color="000000" w:fill="FFFFFF"/>
            <w:noWrap/>
            <w:vAlign w:val="bottom"/>
            <w:hideMark/>
          </w:tcPr>
          <w:p w:rsidR="001C50CF" w:rsidRPr="002C0FDE" w:rsidRDefault="001C50CF" w:rsidP="001C50CF">
            <w:pPr>
              <w:spacing w:after="0" w:line="240" w:lineRule="auto"/>
              <w:contextualSpacing/>
              <w:jc w:val="right"/>
              <w:rPr>
                <w:rFonts w:eastAsia="Times New Roman" w:cs="Calibri"/>
                <w:color w:val="000000"/>
                <w:lang w:eastAsia="nl-NL"/>
              </w:rPr>
            </w:pPr>
            <w:r w:rsidRPr="002C0FDE">
              <w:rPr>
                <w:rFonts w:eastAsia="Times New Roman" w:cs="Calibri"/>
                <w:color w:val="000000"/>
                <w:lang w:eastAsia="nl-NL"/>
              </w:rPr>
              <w:t>8</w:t>
            </w:r>
          </w:p>
        </w:tc>
      </w:tr>
      <w:tr w:rsidR="001C50CF" w:rsidRPr="002C0FDE" w:rsidTr="00293CC3">
        <w:trPr>
          <w:trHeight w:val="300"/>
        </w:trPr>
        <w:tc>
          <w:tcPr>
            <w:tcW w:w="2197" w:type="dxa"/>
            <w:tcBorders>
              <w:top w:val="nil"/>
              <w:left w:val="nil"/>
              <w:bottom w:val="single" w:sz="4" w:space="0" w:color="auto"/>
              <w:right w:val="nil"/>
            </w:tcBorders>
            <w:shd w:val="clear" w:color="000000" w:fill="FFFFFF"/>
            <w:noWrap/>
            <w:vAlign w:val="bottom"/>
            <w:hideMark/>
          </w:tcPr>
          <w:p w:rsidR="001C50CF" w:rsidRPr="002C0FDE" w:rsidRDefault="001C50CF" w:rsidP="001C50CF">
            <w:pPr>
              <w:spacing w:after="0" w:line="240" w:lineRule="auto"/>
              <w:contextualSpacing/>
              <w:rPr>
                <w:rFonts w:eastAsia="Times New Roman" w:cs="Calibri"/>
                <w:color w:val="000000"/>
                <w:lang w:eastAsia="nl-NL"/>
              </w:rPr>
            </w:pPr>
            <w:r>
              <w:rPr>
                <w:rFonts w:eastAsia="Times New Roman" w:cs="Calibri"/>
                <w:color w:val="000000"/>
                <w:lang w:eastAsia="nl-NL"/>
              </w:rPr>
              <w:t>IPO</w:t>
            </w:r>
            <w:r w:rsidRPr="002C0FDE">
              <w:rPr>
                <w:rFonts w:eastAsia="Times New Roman" w:cs="Calibri"/>
                <w:color w:val="000000"/>
                <w:lang w:eastAsia="nl-NL"/>
              </w:rPr>
              <w:t xml:space="preserve"> gross proceeds</w:t>
            </w:r>
          </w:p>
        </w:tc>
        <w:tc>
          <w:tcPr>
            <w:tcW w:w="1922" w:type="dxa"/>
            <w:tcBorders>
              <w:top w:val="nil"/>
              <w:left w:val="nil"/>
              <w:bottom w:val="single" w:sz="4" w:space="0" w:color="auto"/>
              <w:right w:val="nil"/>
            </w:tcBorders>
            <w:shd w:val="clear" w:color="000000" w:fill="FFFFFF"/>
            <w:noWrap/>
            <w:vAlign w:val="bottom"/>
            <w:hideMark/>
          </w:tcPr>
          <w:p w:rsidR="001C50CF" w:rsidRPr="002C0FDE" w:rsidRDefault="001C50CF" w:rsidP="001C50CF">
            <w:pPr>
              <w:spacing w:after="0" w:line="240" w:lineRule="auto"/>
              <w:contextualSpacing/>
              <w:rPr>
                <w:rFonts w:eastAsia="Times New Roman" w:cs="Calibri"/>
                <w:color w:val="000000"/>
                <w:lang w:eastAsia="nl-NL"/>
              </w:rPr>
            </w:pPr>
            <w:r w:rsidRPr="002C0FDE">
              <w:rPr>
                <w:rFonts w:eastAsia="Times New Roman" w:cs="Calibri"/>
                <w:color w:val="000000"/>
                <w:lang w:eastAsia="nl-NL"/>
              </w:rPr>
              <w:t>Negative</w:t>
            </w:r>
          </w:p>
        </w:tc>
        <w:tc>
          <w:tcPr>
            <w:tcW w:w="1606" w:type="dxa"/>
            <w:tcBorders>
              <w:top w:val="nil"/>
              <w:left w:val="nil"/>
              <w:bottom w:val="single" w:sz="4" w:space="0" w:color="auto"/>
              <w:right w:val="nil"/>
            </w:tcBorders>
            <w:shd w:val="clear" w:color="000000" w:fill="FFFFFF"/>
            <w:noWrap/>
            <w:vAlign w:val="bottom"/>
            <w:hideMark/>
          </w:tcPr>
          <w:p w:rsidR="001C50CF" w:rsidRPr="002C0FDE" w:rsidRDefault="001C50CF" w:rsidP="001C50CF">
            <w:pPr>
              <w:spacing w:after="0" w:line="240" w:lineRule="auto"/>
              <w:contextualSpacing/>
              <w:rPr>
                <w:rFonts w:eastAsia="Times New Roman" w:cs="Calibri"/>
                <w:color w:val="000000"/>
                <w:lang w:eastAsia="nl-NL"/>
              </w:rPr>
            </w:pPr>
            <w:r w:rsidRPr="002C0FDE">
              <w:rPr>
                <w:rFonts w:eastAsia="Times New Roman" w:cs="Calibri"/>
                <w:color w:val="000000"/>
                <w:lang w:eastAsia="nl-NL"/>
              </w:rPr>
              <w:t>Positive*</w:t>
            </w:r>
          </w:p>
        </w:tc>
        <w:tc>
          <w:tcPr>
            <w:tcW w:w="1695" w:type="dxa"/>
            <w:tcBorders>
              <w:top w:val="nil"/>
              <w:left w:val="nil"/>
              <w:bottom w:val="single" w:sz="4" w:space="0" w:color="auto"/>
              <w:right w:val="nil"/>
            </w:tcBorders>
            <w:shd w:val="clear" w:color="000000" w:fill="FFFFFF"/>
            <w:noWrap/>
            <w:vAlign w:val="bottom"/>
            <w:hideMark/>
          </w:tcPr>
          <w:p w:rsidR="001C50CF" w:rsidRPr="002C0FDE" w:rsidRDefault="001C50CF" w:rsidP="001C50CF">
            <w:pPr>
              <w:spacing w:after="0" w:line="240" w:lineRule="auto"/>
              <w:contextualSpacing/>
              <w:jc w:val="right"/>
              <w:rPr>
                <w:rFonts w:eastAsia="Times New Roman" w:cs="Calibri"/>
                <w:color w:val="000000"/>
                <w:lang w:eastAsia="nl-NL"/>
              </w:rPr>
            </w:pPr>
            <w:r w:rsidRPr="002C0FDE">
              <w:rPr>
                <w:rFonts w:eastAsia="Times New Roman" w:cs="Calibri"/>
                <w:color w:val="000000"/>
                <w:lang w:eastAsia="nl-NL"/>
              </w:rPr>
              <w:t>18</w:t>
            </w:r>
          </w:p>
        </w:tc>
      </w:tr>
    </w:tbl>
    <w:p w:rsidR="0030498B" w:rsidRDefault="0030498B" w:rsidP="0030498B">
      <w:pPr>
        <w:spacing w:line="360" w:lineRule="auto"/>
        <w:rPr>
          <w:lang w:val="en-US"/>
        </w:rPr>
      </w:pPr>
    </w:p>
    <w:p w:rsidR="0030498B" w:rsidRDefault="0030498B" w:rsidP="0030498B">
      <w:pPr>
        <w:spacing w:line="360" w:lineRule="auto"/>
        <w:rPr>
          <w:lang w:val="en-US"/>
        </w:rPr>
      </w:pPr>
    </w:p>
    <w:p w:rsidR="0030498B" w:rsidRDefault="0030498B" w:rsidP="0030498B">
      <w:pPr>
        <w:spacing w:line="360" w:lineRule="auto"/>
        <w:rPr>
          <w:lang w:val="en-US"/>
        </w:rPr>
      </w:pPr>
    </w:p>
    <w:p w:rsidR="0030498B" w:rsidRDefault="0030498B" w:rsidP="0030498B">
      <w:pPr>
        <w:spacing w:line="360" w:lineRule="auto"/>
        <w:rPr>
          <w:lang w:val="en-US"/>
        </w:rPr>
      </w:pPr>
    </w:p>
    <w:p w:rsidR="0030498B" w:rsidRDefault="0030498B" w:rsidP="0030498B">
      <w:pPr>
        <w:spacing w:line="360" w:lineRule="auto"/>
        <w:rPr>
          <w:lang w:val="en-US"/>
        </w:rPr>
      </w:pPr>
    </w:p>
    <w:p w:rsidR="001C50CF" w:rsidRDefault="001C50CF" w:rsidP="0030498B">
      <w:pPr>
        <w:spacing w:line="240" w:lineRule="auto"/>
        <w:contextualSpacing/>
        <w:jc w:val="center"/>
        <w:rPr>
          <w:lang w:val="en-US"/>
        </w:rPr>
      </w:pPr>
    </w:p>
    <w:p w:rsidR="001C50CF" w:rsidRDefault="001C50CF" w:rsidP="0030498B">
      <w:pPr>
        <w:spacing w:line="240" w:lineRule="auto"/>
        <w:contextualSpacing/>
        <w:jc w:val="center"/>
        <w:rPr>
          <w:sz w:val="18"/>
          <w:szCs w:val="18"/>
          <w:lang w:val="en-US"/>
        </w:rPr>
      </w:pPr>
    </w:p>
    <w:p w:rsidR="001C50CF" w:rsidRDefault="001C50CF" w:rsidP="0030498B">
      <w:pPr>
        <w:spacing w:line="240" w:lineRule="auto"/>
        <w:contextualSpacing/>
        <w:jc w:val="center"/>
        <w:rPr>
          <w:sz w:val="18"/>
          <w:szCs w:val="18"/>
          <w:lang w:val="en-US"/>
        </w:rPr>
      </w:pPr>
    </w:p>
    <w:p w:rsidR="0030498B" w:rsidRDefault="0030498B" w:rsidP="00490B3B">
      <w:pPr>
        <w:spacing w:line="240" w:lineRule="auto"/>
        <w:contextualSpacing/>
        <w:jc w:val="both"/>
        <w:rPr>
          <w:b/>
          <w:lang w:val="en-US"/>
        </w:rPr>
      </w:pPr>
      <w:r>
        <w:rPr>
          <w:sz w:val="18"/>
          <w:szCs w:val="18"/>
          <w:lang w:val="en-US"/>
        </w:rPr>
        <w:t>T</w:t>
      </w:r>
      <w:r w:rsidRPr="001602C6">
        <w:rPr>
          <w:sz w:val="18"/>
          <w:szCs w:val="18"/>
          <w:lang w:val="en-US"/>
        </w:rPr>
        <w:t>able</w:t>
      </w:r>
      <w:r>
        <w:rPr>
          <w:sz w:val="18"/>
          <w:szCs w:val="18"/>
          <w:lang w:val="en-US"/>
        </w:rPr>
        <w:t xml:space="preserve"> 2</w:t>
      </w:r>
      <w:r w:rsidRPr="001602C6">
        <w:rPr>
          <w:sz w:val="18"/>
          <w:szCs w:val="18"/>
          <w:lang w:val="en-US"/>
        </w:rPr>
        <w:t xml:space="preserve"> shows the relation between the independent variables and </w:t>
      </w:r>
      <w:r>
        <w:rPr>
          <w:sz w:val="18"/>
          <w:szCs w:val="18"/>
          <w:lang w:val="en-US"/>
        </w:rPr>
        <w:t>IPO</w:t>
      </w:r>
      <w:r w:rsidRPr="001602C6">
        <w:rPr>
          <w:sz w:val="18"/>
          <w:szCs w:val="18"/>
          <w:lang w:val="en-US"/>
        </w:rPr>
        <w:t xml:space="preserve"> underpricing. The second column shows the hypothesized relation and the third column shows the actual relation found using </w:t>
      </w:r>
      <w:r>
        <w:rPr>
          <w:sz w:val="18"/>
          <w:szCs w:val="18"/>
          <w:lang w:val="en-US"/>
        </w:rPr>
        <w:t>Meta</w:t>
      </w:r>
      <w:r w:rsidRPr="001602C6">
        <w:rPr>
          <w:sz w:val="18"/>
          <w:szCs w:val="18"/>
          <w:lang w:val="en-US"/>
        </w:rPr>
        <w:t xml:space="preserve"> analysis. The * indicates whether the findings are statistically significant. The final column shows the number of regression coefficients used in the study.</w:t>
      </w:r>
      <w:r w:rsidR="001C50CF">
        <w:rPr>
          <w:sz w:val="18"/>
          <w:szCs w:val="18"/>
          <w:lang w:val="en-US"/>
        </w:rPr>
        <w:t xml:space="preserve"> (Source Daily et al. 2003)</w:t>
      </w:r>
    </w:p>
    <w:p w:rsidR="001C50CF" w:rsidRPr="001C50CF" w:rsidRDefault="001C50CF" w:rsidP="001C50CF">
      <w:pPr>
        <w:spacing w:line="240" w:lineRule="auto"/>
        <w:contextualSpacing/>
        <w:jc w:val="center"/>
        <w:rPr>
          <w:b/>
          <w:lang w:val="en-US"/>
        </w:rPr>
      </w:pPr>
    </w:p>
    <w:p w:rsidR="007675A0" w:rsidRDefault="007675A0" w:rsidP="001C50CF">
      <w:pPr>
        <w:spacing w:line="360" w:lineRule="auto"/>
        <w:rPr>
          <w:lang w:val="en-US"/>
        </w:rPr>
      </w:pPr>
      <w:r w:rsidRPr="00E62E5D">
        <w:rPr>
          <w:lang w:val="en-US"/>
        </w:rPr>
        <w:t xml:space="preserve">The simple </w:t>
      </w:r>
      <w:r w:rsidR="009F25D4">
        <w:rPr>
          <w:lang w:val="en-US"/>
        </w:rPr>
        <w:t>Meta</w:t>
      </w:r>
      <w:r w:rsidRPr="00E62E5D">
        <w:rPr>
          <w:lang w:val="en-US"/>
        </w:rPr>
        <w:t xml:space="preserve"> methodology used by </w:t>
      </w:r>
      <w:r>
        <w:rPr>
          <w:lang w:val="en-US"/>
        </w:rPr>
        <w:t>Daily et al. (2003)</w:t>
      </w:r>
      <w:r w:rsidRPr="00C92A14">
        <w:rPr>
          <w:lang w:val="en-US"/>
        </w:rPr>
        <w:t xml:space="preserve"> </w:t>
      </w:r>
      <w:r w:rsidR="00490B3B">
        <w:rPr>
          <w:lang w:val="en-US"/>
        </w:rPr>
        <w:t>gives us an estimate</w:t>
      </w:r>
      <w:r w:rsidRPr="00E62E5D">
        <w:rPr>
          <w:lang w:val="en-US"/>
        </w:rPr>
        <w:t xml:space="preserve"> of the direction of the </w:t>
      </w:r>
      <w:r w:rsidR="00263BEC">
        <w:rPr>
          <w:lang w:val="en-US"/>
        </w:rPr>
        <w:t>correlation</w:t>
      </w:r>
      <w:r w:rsidRPr="00E62E5D">
        <w:rPr>
          <w:lang w:val="en-US"/>
        </w:rPr>
        <w:t xml:space="preserve"> between the independent variable and </w:t>
      </w:r>
      <w:r w:rsidR="0030498B">
        <w:rPr>
          <w:lang w:val="en-US"/>
        </w:rPr>
        <w:t>IPO</w:t>
      </w:r>
      <w:r w:rsidRPr="00E62E5D">
        <w:rPr>
          <w:lang w:val="en-US"/>
        </w:rPr>
        <w:t xml:space="preserve"> underpricing. This estimate is based on the </w:t>
      </w:r>
      <w:r>
        <w:rPr>
          <w:lang w:val="en-US"/>
        </w:rPr>
        <w:t>correlation</w:t>
      </w:r>
      <w:r w:rsidRPr="00E62E5D">
        <w:rPr>
          <w:lang w:val="en-US"/>
        </w:rPr>
        <w:t xml:space="preserve"> coefficients fou</w:t>
      </w:r>
      <w:r>
        <w:rPr>
          <w:lang w:val="en-US"/>
        </w:rPr>
        <w:t xml:space="preserve">nd in several papers. Although </w:t>
      </w:r>
      <w:r w:rsidR="009F25D4">
        <w:rPr>
          <w:lang w:val="en-US"/>
        </w:rPr>
        <w:t>Meta</w:t>
      </w:r>
      <w:r w:rsidRPr="00E62E5D">
        <w:rPr>
          <w:lang w:val="en-US"/>
        </w:rPr>
        <w:t xml:space="preserve"> analysis is a very good method to summarize findings and distinguish a true </w:t>
      </w:r>
      <w:r w:rsidRPr="00CB218B">
        <w:rPr>
          <w:lang w:val="en-US"/>
        </w:rPr>
        <w:t>effect (Stanley &amp; Ja</w:t>
      </w:r>
      <w:r>
        <w:rPr>
          <w:lang w:val="en-US"/>
        </w:rPr>
        <w:t>r</w:t>
      </w:r>
      <w:r w:rsidRPr="00CB218B">
        <w:rPr>
          <w:lang w:val="en-US"/>
        </w:rPr>
        <w:t>rell, 1989),</w:t>
      </w:r>
      <w:r w:rsidRPr="00E62E5D">
        <w:rPr>
          <w:lang w:val="en-US"/>
        </w:rPr>
        <w:t xml:space="preserve"> the type of </w:t>
      </w:r>
      <w:r w:rsidR="009F25D4">
        <w:rPr>
          <w:lang w:val="en-US"/>
        </w:rPr>
        <w:t>Meta</w:t>
      </w:r>
      <w:r w:rsidRPr="00E62E5D">
        <w:rPr>
          <w:lang w:val="en-US"/>
        </w:rPr>
        <w:t xml:space="preserve"> method used in this study </w:t>
      </w:r>
      <w:r>
        <w:rPr>
          <w:lang w:val="en-US"/>
        </w:rPr>
        <w:t>is simple. The met</w:t>
      </w:r>
      <w:r w:rsidR="008232F3">
        <w:rPr>
          <w:lang w:val="en-US"/>
        </w:rPr>
        <w:t xml:space="preserve">hod used is a good first step, </w:t>
      </w:r>
      <w:r>
        <w:rPr>
          <w:lang w:val="en-US"/>
        </w:rPr>
        <w:t xml:space="preserve">but </w:t>
      </w:r>
      <w:r w:rsidR="009F25D4">
        <w:rPr>
          <w:lang w:val="en-US"/>
        </w:rPr>
        <w:t>Meta</w:t>
      </w:r>
      <w:r>
        <w:rPr>
          <w:lang w:val="en-US"/>
        </w:rPr>
        <w:t xml:space="preserve"> analysis can do so much more.</w:t>
      </w:r>
    </w:p>
    <w:p w:rsidR="00B30965" w:rsidRDefault="007675A0" w:rsidP="00D25B76">
      <w:pPr>
        <w:spacing w:line="360" w:lineRule="auto"/>
        <w:rPr>
          <w:lang w:val="en-US"/>
        </w:rPr>
      </w:pPr>
      <w:r>
        <w:rPr>
          <w:lang w:val="en-US"/>
        </w:rPr>
        <w:t xml:space="preserve">A good example </w:t>
      </w:r>
      <w:r w:rsidR="001C50CF">
        <w:rPr>
          <w:lang w:val="en-US"/>
        </w:rPr>
        <w:t xml:space="preserve">about the limitations of Daily et al. (2003) </w:t>
      </w:r>
      <w:r>
        <w:rPr>
          <w:lang w:val="en-US"/>
        </w:rPr>
        <w:t xml:space="preserve">is underwriter reputation. Some well known papers (Loughran &amp; Ritter, </w:t>
      </w:r>
      <w:proofErr w:type="gramStart"/>
      <w:r>
        <w:rPr>
          <w:lang w:val="en-US"/>
        </w:rPr>
        <w:t>2004 ;</w:t>
      </w:r>
      <w:proofErr w:type="gramEnd"/>
      <w:r>
        <w:rPr>
          <w:lang w:val="en-US"/>
        </w:rPr>
        <w:t xml:space="preserve"> Ljungqvvist &amp; Wilhelm</w:t>
      </w:r>
      <w:r w:rsidR="004A4FFC">
        <w:rPr>
          <w:lang w:val="en-US"/>
        </w:rPr>
        <w:t>,</w:t>
      </w:r>
      <w:r>
        <w:rPr>
          <w:lang w:val="en-US"/>
        </w:rPr>
        <w:t xml:space="preserve"> 2002) state that underwriter reputation changed sign</w:t>
      </w:r>
      <w:r w:rsidR="00490B3B">
        <w:rPr>
          <w:lang w:val="en-US"/>
        </w:rPr>
        <w:t xml:space="preserve"> from negative to positive</w:t>
      </w:r>
      <w:r>
        <w:rPr>
          <w:lang w:val="en-US"/>
        </w:rPr>
        <w:t xml:space="preserve"> during the</w:t>
      </w:r>
      <w:r w:rsidR="008232F3">
        <w:rPr>
          <w:lang w:val="en-US"/>
        </w:rPr>
        <w:t xml:space="preserve"> 1990’s and</w:t>
      </w:r>
      <w:r>
        <w:rPr>
          <w:lang w:val="en-US"/>
        </w:rPr>
        <w:t xml:space="preserve"> </w:t>
      </w:r>
      <w:r w:rsidR="009C2F54">
        <w:rPr>
          <w:lang w:val="en-US"/>
        </w:rPr>
        <w:t>Internet</w:t>
      </w:r>
      <w:r>
        <w:rPr>
          <w:lang w:val="en-US"/>
        </w:rPr>
        <w:t xml:space="preserve"> bubble</w:t>
      </w:r>
      <w:r w:rsidR="008232F3">
        <w:rPr>
          <w:lang w:val="en-US"/>
        </w:rPr>
        <w:t xml:space="preserve"> period</w:t>
      </w:r>
      <w:r>
        <w:rPr>
          <w:lang w:val="en-US"/>
        </w:rPr>
        <w:t xml:space="preserve">. </w:t>
      </w:r>
      <w:r w:rsidR="00490B3B">
        <w:rPr>
          <w:lang w:val="en-US"/>
        </w:rPr>
        <w:t>Some</w:t>
      </w:r>
      <w:r>
        <w:rPr>
          <w:lang w:val="en-US"/>
        </w:rPr>
        <w:t xml:space="preserve"> state that the choice of underwriter is endogenous and hence some results could be biased. </w:t>
      </w:r>
      <w:r w:rsidR="009F25D4">
        <w:rPr>
          <w:lang w:val="en-US"/>
        </w:rPr>
        <w:t>Meta</w:t>
      </w:r>
      <w:r w:rsidR="001C50CF">
        <w:rPr>
          <w:lang w:val="en-US"/>
        </w:rPr>
        <w:t xml:space="preserve"> </w:t>
      </w:r>
      <w:r>
        <w:rPr>
          <w:lang w:val="en-US"/>
        </w:rPr>
        <w:t xml:space="preserve">regression analysis (MRA) can account for all these problems.  It can distinguish </w:t>
      </w:r>
      <w:r w:rsidR="001C50CF">
        <w:rPr>
          <w:lang w:val="en-US"/>
        </w:rPr>
        <w:t>between</w:t>
      </w:r>
      <w:r>
        <w:rPr>
          <w:lang w:val="en-US"/>
        </w:rPr>
        <w:t xml:space="preserve"> different time</w:t>
      </w:r>
      <w:r w:rsidR="00490B3B">
        <w:rPr>
          <w:lang w:val="en-US"/>
        </w:rPr>
        <w:t xml:space="preserve"> periods, different model specifications and/or study characteristics</w:t>
      </w:r>
      <w:r>
        <w:rPr>
          <w:lang w:val="en-US"/>
        </w:rPr>
        <w:t>. Furthermore</w:t>
      </w:r>
      <w:r w:rsidR="001C50CF">
        <w:rPr>
          <w:lang w:val="en-US"/>
        </w:rPr>
        <w:t>,</w:t>
      </w:r>
      <w:r>
        <w:rPr>
          <w:lang w:val="en-US"/>
        </w:rPr>
        <w:t xml:space="preserve"> MRA can check for </w:t>
      </w:r>
      <w:r w:rsidR="00582220">
        <w:rPr>
          <w:lang w:val="en-US"/>
        </w:rPr>
        <w:t>publication bias</w:t>
      </w:r>
      <w:r w:rsidR="008232F3">
        <w:rPr>
          <w:lang w:val="en-US"/>
        </w:rPr>
        <w:t>,</w:t>
      </w:r>
      <w:r>
        <w:rPr>
          <w:lang w:val="en-US"/>
        </w:rPr>
        <w:t xml:space="preserve"> to indicate whether researchers have </w:t>
      </w:r>
      <w:r w:rsidR="001C50CF">
        <w:rPr>
          <w:lang w:val="en-US"/>
        </w:rPr>
        <w:t>a higher probability</w:t>
      </w:r>
      <w:r>
        <w:rPr>
          <w:lang w:val="en-US"/>
        </w:rPr>
        <w:t xml:space="preserve"> of getting published if they find a certain (significant) result. </w:t>
      </w:r>
      <w:r w:rsidR="00B30965">
        <w:rPr>
          <w:lang w:val="en-US"/>
        </w:rPr>
        <w:br w:type="page"/>
      </w:r>
    </w:p>
    <w:p w:rsidR="007675A0" w:rsidRDefault="007675A0" w:rsidP="007675A0">
      <w:pPr>
        <w:spacing w:line="360" w:lineRule="auto"/>
        <w:rPr>
          <w:lang w:val="en-US"/>
        </w:rPr>
      </w:pPr>
      <w:r>
        <w:rPr>
          <w:lang w:val="en-US"/>
        </w:rPr>
        <w:lastRenderedPageBreak/>
        <w:t xml:space="preserve">The sample set of papers used by Daily et al. (2003) cannot be used entirely in an MRA. </w:t>
      </w:r>
      <w:r w:rsidR="001C50CF">
        <w:rPr>
          <w:lang w:val="en-US"/>
        </w:rPr>
        <w:t xml:space="preserve">While </w:t>
      </w:r>
      <w:r>
        <w:rPr>
          <w:lang w:val="en-US"/>
        </w:rPr>
        <w:t xml:space="preserve">Daily et al. required correlation coefficients to draw their </w:t>
      </w:r>
      <w:proofErr w:type="gramStart"/>
      <w:r>
        <w:rPr>
          <w:lang w:val="en-US"/>
        </w:rPr>
        <w:t>conclusions,</w:t>
      </w:r>
      <w:proofErr w:type="gramEnd"/>
      <w:r>
        <w:rPr>
          <w:lang w:val="en-US"/>
        </w:rPr>
        <w:t xml:space="preserve"> MRA requires that all observations come from comparable regression equations. Because </w:t>
      </w:r>
      <w:r w:rsidR="001C50CF">
        <w:rPr>
          <w:lang w:val="en-US"/>
        </w:rPr>
        <w:t xml:space="preserve">of the fact that </w:t>
      </w:r>
      <w:r>
        <w:rPr>
          <w:lang w:val="en-US"/>
        </w:rPr>
        <w:t xml:space="preserve">researchers use different models and define their variables in different ways, </w:t>
      </w:r>
      <w:r w:rsidR="001C50CF">
        <w:rPr>
          <w:lang w:val="en-US"/>
        </w:rPr>
        <w:t>one</w:t>
      </w:r>
      <w:r>
        <w:rPr>
          <w:lang w:val="en-US"/>
        </w:rPr>
        <w:t xml:space="preserve"> has to be cautious when constructing an MRA dataset. Some authors might include variable X in their regression, while </w:t>
      </w:r>
      <w:r w:rsidR="009D5452">
        <w:rPr>
          <w:lang w:val="en-US"/>
        </w:rPr>
        <w:t>others</w:t>
      </w:r>
      <w:r w:rsidR="004A4FFC">
        <w:rPr>
          <w:lang w:val="en-US"/>
        </w:rPr>
        <w:t xml:space="preserve"> use log(X) or </w:t>
      </w:r>
      <w:r w:rsidR="00043ED2">
        <w:rPr>
          <w:lang w:val="en-US"/>
        </w:rPr>
        <w:t>LN</w:t>
      </w:r>
      <w:r>
        <w:rPr>
          <w:lang w:val="en-US"/>
        </w:rPr>
        <w:t xml:space="preserve">(X). These regression estimates cannot be used in the same MRA. </w:t>
      </w:r>
    </w:p>
    <w:p w:rsidR="007675A0" w:rsidRPr="00C72939" w:rsidRDefault="007675A0" w:rsidP="00C72939">
      <w:pPr>
        <w:pStyle w:val="ListParagraph"/>
        <w:numPr>
          <w:ilvl w:val="1"/>
          <w:numId w:val="43"/>
        </w:numPr>
        <w:ind w:left="1418" w:hanging="851"/>
        <w:rPr>
          <w:b/>
          <w:lang w:val="en-US"/>
        </w:rPr>
      </w:pPr>
      <w:r w:rsidRPr="00C72939">
        <w:rPr>
          <w:b/>
          <w:lang w:val="en-US"/>
        </w:rPr>
        <w:t>Hypotheses</w:t>
      </w:r>
    </w:p>
    <w:p w:rsidR="001A1E34" w:rsidRDefault="007675A0" w:rsidP="001A1E34">
      <w:pPr>
        <w:spacing w:line="360" w:lineRule="auto"/>
        <w:rPr>
          <w:lang w:val="en-US"/>
        </w:rPr>
      </w:pPr>
      <w:r>
        <w:rPr>
          <w:lang w:val="en-US"/>
        </w:rPr>
        <w:t xml:space="preserve">A large amount of literature on </w:t>
      </w:r>
      <w:r w:rsidR="0030498B">
        <w:rPr>
          <w:lang w:val="en-US"/>
        </w:rPr>
        <w:t>IPO</w:t>
      </w:r>
      <w:r>
        <w:rPr>
          <w:lang w:val="en-US"/>
        </w:rPr>
        <w:t xml:space="preserve"> underpricing is based on Rock’s model</w:t>
      </w:r>
      <w:r w:rsidR="004A4FFC">
        <w:rPr>
          <w:lang w:val="en-US"/>
        </w:rPr>
        <w:t>.</w:t>
      </w:r>
      <w:r>
        <w:rPr>
          <w:lang w:val="en-US"/>
        </w:rPr>
        <w:t xml:space="preserve"> These models are tested empirically by regressing risk proxies on underpricing. In order to construct a sizeable dataset I am restricted to risk proxies that are well documented and tested</w:t>
      </w:r>
      <w:r w:rsidR="00B6498C">
        <w:rPr>
          <w:lang w:val="en-US"/>
        </w:rPr>
        <w:t>. While exploring</w:t>
      </w:r>
      <w:r>
        <w:rPr>
          <w:lang w:val="en-US"/>
        </w:rPr>
        <w:t xml:space="preserve"> available papers on underpricing I found that Age and Gross Proceeds are the most common</w:t>
      </w:r>
      <w:r w:rsidR="00B6498C">
        <w:rPr>
          <w:lang w:val="en-US"/>
        </w:rPr>
        <w:t>ly used risk proxies</w:t>
      </w:r>
      <w:r>
        <w:rPr>
          <w:lang w:val="en-US"/>
        </w:rPr>
        <w:t xml:space="preserve"> and I therefore include these two variables in my </w:t>
      </w:r>
      <w:r w:rsidR="00B6498C">
        <w:rPr>
          <w:lang w:val="en-US"/>
        </w:rPr>
        <w:t>Meta regression</w:t>
      </w:r>
      <w:r>
        <w:rPr>
          <w:lang w:val="en-US"/>
        </w:rPr>
        <w:t xml:space="preserve"> analysis. Consistent with Rock’s model</w:t>
      </w:r>
      <w:r w:rsidR="00B6498C">
        <w:rPr>
          <w:lang w:val="en-US"/>
        </w:rPr>
        <w:t>,</w:t>
      </w:r>
      <w:r>
        <w:rPr>
          <w:lang w:val="en-US"/>
        </w:rPr>
        <w:t xml:space="preserve"> I test whether underpricing increases with risk.</w:t>
      </w:r>
    </w:p>
    <w:p w:rsidR="00170749" w:rsidRPr="00170749" w:rsidRDefault="00170749" w:rsidP="00490B3B">
      <w:pPr>
        <w:pStyle w:val="ListParagraph"/>
        <w:numPr>
          <w:ilvl w:val="0"/>
          <w:numId w:val="29"/>
        </w:numPr>
        <w:spacing w:before="200" w:after="0" w:line="360" w:lineRule="auto"/>
        <w:ind w:left="714" w:hanging="357"/>
        <w:contextualSpacing w:val="0"/>
        <w:rPr>
          <w:i/>
          <w:lang w:val="en-US"/>
        </w:rPr>
      </w:pPr>
      <w:r>
        <w:rPr>
          <w:i/>
          <w:lang w:val="en-US"/>
        </w:rPr>
        <w:t>H1</w:t>
      </w:r>
      <w:r w:rsidRPr="00625DA7">
        <w:rPr>
          <w:i/>
          <w:lang w:val="en-US"/>
        </w:rPr>
        <w:t>: Firm age is negatively related to underpricing</w:t>
      </w:r>
    </w:p>
    <w:p w:rsidR="007675A0" w:rsidRPr="00170749" w:rsidRDefault="00170749" w:rsidP="00490B3B">
      <w:pPr>
        <w:pStyle w:val="ListParagraph"/>
        <w:numPr>
          <w:ilvl w:val="0"/>
          <w:numId w:val="29"/>
        </w:numPr>
        <w:spacing w:before="200" w:after="0" w:line="360" w:lineRule="auto"/>
        <w:ind w:left="714" w:hanging="357"/>
        <w:contextualSpacing w:val="0"/>
        <w:rPr>
          <w:i/>
          <w:lang w:val="en-US"/>
        </w:rPr>
      </w:pPr>
      <w:bookmarkStart w:id="25" w:name="OLE_LINK3"/>
      <w:bookmarkStart w:id="26" w:name="OLE_LINK4"/>
      <w:r>
        <w:rPr>
          <w:i/>
          <w:lang w:val="en-US"/>
        </w:rPr>
        <w:t>H2</w:t>
      </w:r>
      <w:r w:rsidR="007675A0" w:rsidRPr="00625DA7">
        <w:rPr>
          <w:i/>
          <w:lang w:val="en-US"/>
        </w:rPr>
        <w:t xml:space="preserve">: </w:t>
      </w:r>
      <w:r w:rsidR="0030498B">
        <w:rPr>
          <w:i/>
          <w:lang w:val="en-US"/>
        </w:rPr>
        <w:t>IPO</w:t>
      </w:r>
      <w:r w:rsidR="007675A0" w:rsidRPr="00625DA7">
        <w:rPr>
          <w:i/>
          <w:lang w:val="en-US"/>
        </w:rPr>
        <w:t xml:space="preserve"> proceeds are negatively related to underpricing</w:t>
      </w:r>
    </w:p>
    <w:bookmarkEnd w:id="25"/>
    <w:bookmarkEnd w:id="26"/>
    <w:p w:rsidR="007675A0" w:rsidRPr="00490B3B" w:rsidRDefault="007675A0" w:rsidP="00490B3B">
      <w:pPr>
        <w:spacing w:before="200" w:line="360" w:lineRule="auto"/>
        <w:rPr>
          <w:lang w:val="en-US"/>
        </w:rPr>
      </w:pPr>
      <w:r>
        <w:rPr>
          <w:lang w:val="en-US"/>
        </w:rPr>
        <w:t xml:space="preserve">Another interesting and </w:t>
      </w:r>
      <w:r w:rsidR="00B6498C">
        <w:rPr>
          <w:lang w:val="en-US"/>
        </w:rPr>
        <w:t xml:space="preserve">widely used variable </w:t>
      </w:r>
      <w:r>
        <w:rPr>
          <w:lang w:val="en-US"/>
        </w:rPr>
        <w:t xml:space="preserve">in explaining underpricing is underwriter reputation. Underwriter reputation is used to test several hypotheses, </w:t>
      </w:r>
      <w:r w:rsidR="00B6498C">
        <w:rPr>
          <w:lang w:val="en-US"/>
        </w:rPr>
        <w:t>such as</w:t>
      </w:r>
      <w:r>
        <w:rPr>
          <w:lang w:val="en-US"/>
        </w:rPr>
        <w:t xml:space="preserve"> Carter and Manaster’s interpretation of Rock’s model, the changing issuers objective f</w:t>
      </w:r>
      <w:r w:rsidR="004A4FFC">
        <w:rPr>
          <w:lang w:val="en-US"/>
        </w:rPr>
        <w:t>unction hypothesis (Loughran &amp;</w:t>
      </w:r>
      <w:r>
        <w:rPr>
          <w:lang w:val="en-US"/>
        </w:rPr>
        <w:t xml:space="preserve"> Ritter, 2004) and the realignment of inc</w:t>
      </w:r>
      <w:r w:rsidR="004A4FFC">
        <w:rPr>
          <w:lang w:val="en-US"/>
        </w:rPr>
        <w:t>entives hypothesis (Loughran &amp;</w:t>
      </w:r>
      <w:r>
        <w:rPr>
          <w:lang w:val="en-US"/>
        </w:rPr>
        <w:t xml:space="preserve"> Ritter, 2004; Ljungqvist and Wilhelm, 2003). </w:t>
      </w:r>
      <w:r w:rsidR="00B6498C">
        <w:rPr>
          <w:lang w:val="en-US"/>
        </w:rPr>
        <w:t>Given the ambiguous results on underpricing and underwriter reputation, I include underwriter reputation in my analysis. Consistent</w:t>
      </w:r>
      <w:r>
        <w:rPr>
          <w:lang w:val="en-US"/>
        </w:rPr>
        <w:t xml:space="preserve"> with Carter &amp; Manaster (1990), I test whether underwriter reputation is negatively related to underpricing. Furthermore, </w:t>
      </w:r>
      <w:r w:rsidR="004A4FFC">
        <w:rPr>
          <w:lang w:val="en-US"/>
        </w:rPr>
        <w:t>consistent with Loughran &amp;</w:t>
      </w:r>
      <w:r>
        <w:rPr>
          <w:lang w:val="en-US"/>
        </w:rPr>
        <w:t xml:space="preserve"> Ritter (2004), I test wh</w:t>
      </w:r>
      <w:r w:rsidR="00341AF3">
        <w:rPr>
          <w:lang w:val="en-US"/>
        </w:rPr>
        <w:t>ether underwriter reputation</w:t>
      </w:r>
      <w:r>
        <w:rPr>
          <w:lang w:val="en-US"/>
        </w:rPr>
        <w:t xml:space="preserve"> flipped sign during the </w:t>
      </w:r>
      <w:r w:rsidR="006917E1">
        <w:rPr>
          <w:lang w:val="en-US"/>
        </w:rPr>
        <w:t>1990’s</w:t>
      </w:r>
      <w:r>
        <w:rPr>
          <w:lang w:val="en-US"/>
        </w:rPr>
        <w:t>.</w:t>
      </w:r>
      <w:bookmarkStart w:id="27" w:name="_Toc280276124"/>
    </w:p>
    <w:p w:rsidR="007675A0" w:rsidRPr="00490B3B" w:rsidRDefault="007675A0" w:rsidP="00490B3B">
      <w:pPr>
        <w:pStyle w:val="ListParagraph"/>
        <w:numPr>
          <w:ilvl w:val="0"/>
          <w:numId w:val="30"/>
        </w:numPr>
        <w:spacing w:before="200" w:line="240" w:lineRule="auto"/>
        <w:contextualSpacing w:val="0"/>
        <w:rPr>
          <w:i/>
          <w:lang w:val="en-US"/>
        </w:rPr>
      </w:pPr>
      <w:r w:rsidRPr="00625DA7">
        <w:rPr>
          <w:i/>
          <w:lang w:val="en-US"/>
        </w:rPr>
        <w:t>H3A: Underwriter reputation is negatively related to underpricing</w:t>
      </w:r>
    </w:p>
    <w:p w:rsidR="00490B3B" w:rsidRPr="00490B3B" w:rsidRDefault="007675A0" w:rsidP="00490B3B">
      <w:pPr>
        <w:pStyle w:val="ListParagraph"/>
        <w:numPr>
          <w:ilvl w:val="0"/>
          <w:numId w:val="30"/>
        </w:numPr>
        <w:spacing w:before="200" w:line="240" w:lineRule="auto"/>
        <w:contextualSpacing w:val="0"/>
        <w:rPr>
          <w:i/>
          <w:lang w:val="en-US"/>
        </w:rPr>
      </w:pPr>
      <w:r w:rsidRPr="00625DA7">
        <w:rPr>
          <w:i/>
          <w:lang w:val="en-US"/>
        </w:rPr>
        <w:t xml:space="preserve">H3B: Underwriter reputation was positively related to underpricing during the </w:t>
      </w:r>
      <w:r w:rsidR="006917E1">
        <w:rPr>
          <w:i/>
          <w:lang w:val="en-US"/>
        </w:rPr>
        <w:t>1990’s</w:t>
      </w:r>
    </w:p>
    <w:p w:rsidR="00490B3B" w:rsidRDefault="00490B3B">
      <w:pPr>
        <w:rPr>
          <w:lang w:val="en-US"/>
        </w:rPr>
      </w:pPr>
      <w:r>
        <w:rPr>
          <w:lang w:val="en-US"/>
        </w:rPr>
        <w:br w:type="page"/>
      </w:r>
    </w:p>
    <w:p w:rsidR="00490B3B" w:rsidRPr="00490B3B" w:rsidRDefault="00490B3B" w:rsidP="00490B3B">
      <w:pPr>
        <w:spacing w:before="200" w:line="360" w:lineRule="auto"/>
        <w:rPr>
          <w:lang w:val="en-US"/>
        </w:rPr>
      </w:pPr>
      <w:r w:rsidRPr="00490B3B">
        <w:rPr>
          <w:lang w:val="en-US"/>
        </w:rPr>
        <w:lastRenderedPageBreak/>
        <w:t>Finally, I test whether publication bias is present in the literature</w:t>
      </w:r>
      <w:r>
        <w:rPr>
          <w:lang w:val="en-US"/>
        </w:rPr>
        <w:t>. Publication bias could arise when studies are accepted</w:t>
      </w:r>
      <w:r w:rsidR="00012BC0">
        <w:rPr>
          <w:lang w:val="en-US"/>
        </w:rPr>
        <w:t xml:space="preserve"> </w:t>
      </w:r>
      <w:r>
        <w:rPr>
          <w:lang w:val="en-US"/>
        </w:rPr>
        <w:t>for publication</w:t>
      </w:r>
      <w:r w:rsidR="00012BC0">
        <w:rPr>
          <w:lang w:val="en-US"/>
        </w:rPr>
        <w:t xml:space="preserve"> (in star journals)</w:t>
      </w:r>
      <w:r>
        <w:rPr>
          <w:lang w:val="en-US"/>
        </w:rPr>
        <w:t xml:space="preserve"> based on statistical significance or the size of the reported findings, thus creating a distorted image of the relation between IPO undepricing and the three variables firm age, IPO proceeds and underwriter reputation.</w:t>
      </w:r>
      <w:r w:rsidR="00012BC0">
        <w:rPr>
          <w:lang w:val="en-US"/>
        </w:rPr>
        <w:t xml:space="preserve"> </w:t>
      </w:r>
    </w:p>
    <w:p w:rsidR="00490B3B" w:rsidRDefault="00490B3B" w:rsidP="00490B3B">
      <w:pPr>
        <w:pStyle w:val="ListParagraph"/>
        <w:numPr>
          <w:ilvl w:val="0"/>
          <w:numId w:val="30"/>
        </w:numPr>
        <w:spacing w:before="200" w:line="360" w:lineRule="auto"/>
        <w:ind w:left="714" w:hanging="357"/>
        <w:contextualSpacing w:val="0"/>
        <w:rPr>
          <w:i/>
          <w:lang w:val="en-US"/>
        </w:rPr>
      </w:pPr>
      <w:r>
        <w:rPr>
          <w:i/>
          <w:lang w:val="en-US"/>
        </w:rPr>
        <w:t xml:space="preserve">H4A: Publication bias is </w:t>
      </w:r>
      <w:r w:rsidR="00A178B6" w:rsidRPr="00A178B6">
        <w:rPr>
          <w:i/>
          <w:u w:val="single"/>
          <w:lang w:val="en-US"/>
        </w:rPr>
        <w:t>not</w:t>
      </w:r>
      <w:r w:rsidR="00A178B6">
        <w:rPr>
          <w:i/>
          <w:lang w:val="en-US"/>
        </w:rPr>
        <w:t xml:space="preserve"> </w:t>
      </w:r>
      <w:r>
        <w:rPr>
          <w:i/>
          <w:lang w:val="en-US"/>
        </w:rPr>
        <w:t>present in underpricing literature</w:t>
      </w:r>
    </w:p>
    <w:p w:rsidR="00490B3B" w:rsidRPr="00625DA7" w:rsidRDefault="00490B3B" w:rsidP="00490B3B">
      <w:pPr>
        <w:pStyle w:val="ListParagraph"/>
        <w:numPr>
          <w:ilvl w:val="0"/>
          <w:numId w:val="30"/>
        </w:numPr>
        <w:spacing w:before="200" w:line="360" w:lineRule="auto"/>
        <w:ind w:left="714" w:hanging="357"/>
        <w:contextualSpacing w:val="0"/>
        <w:rPr>
          <w:i/>
          <w:lang w:val="en-US"/>
        </w:rPr>
      </w:pPr>
      <w:r>
        <w:rPr>
          <w:i/>
          <w:lang w:val="en-US"/>
        </w:rPr>
        <w:t>H4B:Star journal bias is present in underpricing literature</w:t>
      </w:r>
    </w:p>
    <w:p w:rsidR="007675A0" w:rsidRPr="00B97CA8" w:rsidRDefault="007675A0" w:rsidP="007675A0">
      <w:pPr>
        <w:spacing w:after="0" w:line="240" w:lineRule="auto"/>
        <w:rPr>
          <w:lang w:val="en-US"/>
        </w:rPr>
      </w:pPr>
      <w:r>
        <w:rPr>
          <w:b/>
          <w:lang w:val="en-US"/>
        </w:rPr>
        <w:br w:type="page"/>
      </w:r>
    </w:p>
    <w:p w:rsidR="007675A0" w:rsidRPr="00DB4617" w:rsidRDefault="00DB4617" w:rsidP="00DB4617">
      <w:pPr>
        <w:spacing w:line="360" w:lineRule="auto"/>
        <w:ind w:left="1418" w:hanging="851"/>
        <w:outlineLvl w:val="0"/>
        <w:rPr>
          <w:b/>
          <w:lang w:val="en-US"/>
        </w:rPr>
      </w:pPr>
      <w:r>
        <w:rPr>
          <w:b/>
          <w:lang w:val="en-US"/>
        </w:rPr>
        <w:lastRenderedPageBreak/>
        <w:t>5.</w:t>
      </w:r>
      <w:r>
        <w:rPr>
          <w:b/>
          <w:lang w:val="en-US"/>
        </w:rPr>
        <w:tab/>
      </w:r>
      <w:r w:rsidR="007675A0" w:rsidRPr="00DB4617">
        <w:rPr>
          <w:b/>
          <w:lang w:val="en-US"/>
        </w:rPr>
        <w:t>Data and Methodology</w:t>
      </w:r>
    </w:p>
    <w:p w:rsidR="005C3226" w:rsidRPr="005C3226" w:rsidRDefault="005C3226" w:rsidP="005C3226">
      <w:pPr>
        <w:spacing w:line="360" w:lineRule="auto"/>
        <w:outlineLvl w:val="0"/>
        <w:rPr>
          <w:lang w:val="en-US"/>
        </w:rPr>
      </w:pPr>
      <w:r w:rsidRPr="005C3226">
        <w:rPr>
          <w:lang w:val="en-US"/>
        </w:rPr>
        <w:t>This chapter describes the Meta regression analysis (MRA) method</w:t>
      </w:r>
      <w:r w:rsidR="00D57DC0">
        <w:rPr>
          <w:lang w:val="en-US"/>
        </w:rPr>
        <w:t>ology</w:t>
      </w:r>
      <w:r w:rsidRPr="005C3226">
        <w:rPr>
          <w:lang w:val="en-US"/>
        </w:rPr>
        <w:t xml:space="preserve"> used to test the h</w:t>
      </w:r>
      <w:r w:rsidR="00263BEC">
        <w:rPr>
          <w:lang w:val="en-US"/>
        </w:rPr>
        <w:t>ypotheses described in section 4</w:t>
      </w:r>
      <w:r w:rsidRPr="005C3226">
        <w:rPr>
          <w:lang w:val="en-US"/>
        </w:rPr>
        <w:t>.</w:t>
      </w:r>
    </w:p>
    <w:p w:rsidR="005C3226" w:rsidRPr="00765EA5" w:rsidRDefault="00DB4617" w:rsidP="00DB4617">
      <w:pPr>
        <w:pStyle w:val="ListParagraph"/>
        <w:spacing w:line="360" w:lineRule="auto"/>
        <w:ind w:left="1418" w:hanging="851"/>
        <w:outlineLvl w:val="0"/>
        <w:rPr>
          <w:b/>
          <w:lang w:val="en-US"/>
        </w:rPr>
      </w:pPr>
      <w:r>
        <w:rPr>
          <w:b/>
          <w:lang w:val="en-US"/>
        </w:rPr>
        <w:t>5.1.</w:t>
      </w:r>
      <w:r>
        <w:rPr>
          <w:b/>
          <w:lang w:val="en-US"/>
        </w:rPr>
        <w:tab/>
      </w:r>
      <w:r w:rsidR="005C3226">
        <w:rPr>
          <w:b/>
          <w:lang w:val="en-US"/>
        </w:rPr>
        <w:t>Meta</w:t>
      </w:r>
      <w:r w:rsidR="005C3226" w:rsidRPr="00765EA5">
        <w:rPr>
          <w:b/>
          <w:lang w:val="en-US"/>
        </w:rPr>
        <w:t xml:space="preserve"> regression analysis</w:t>
      </w:r>
    </w:p>
    <w:p w:rsidR="005C3226" w:rsidRDefault="005C3226" w:rsidP="005C3226">
      <w:pPr>
        <w:spacing w:line="360" w:lineRule="auto"/>
        <w:rPr>
          <w:lang w:val="en-US"/>
        </w:rPr>
      </w:pPr>
      <w:r>
        <w:rPr>
          <w:lang w:val="en-US"/>
        </w:rPr>
        <w:t>In</w:t>
      </w:r>
      <w:r w:rsidRPr="00BA2B51">
        <w:rPr>
          <w:lang w:val="en-US"/>
        </w:rPr>
        <w:t xml:space="preserve"> </w:t>
      </w:r>
      <w:r w:rsidR="00263BEC">
        <w:rPr>
          <w:lang w:val="en-US"/>
        </w:rPr>
        <w:t xml:space="preserve">an </w:t>
      </w:r>
      <w:r>
        <w:rPr>
          <w:lang w:val="en-US"/>
        </w:rPr>
        <w:t>MRA</w:t>
      </w:r>
      <w:r w:rsidR="00DB4617">
        <w:rPr>
          <w:lang w:val="en-US"/>
        </w:rPr>
        <w:t>,</w:t>
      </w:r>
      <w:r>
        <w:rPr>
          <w:lang w:val="en-US"/>
        </w:rPr>
        <w:t xml:space="preserve"> the result of a </w:t>
      </w:r>
      <w:r w:rsidR="00D754A0">
        <w:rPr>
          <w:lang w:val="en-US"/>
        </w:rPr>
        <w:t>regression coefficient</w:t>
      </w:r>
      <w:r w:rsidRPr="00BA2B51">
        <w:rPr>
          <w:lang w:val="en-US"/>
        </w:rPr>
        <w:t xml:space="preserve"> is used as the dependent variable in a new regression. This effect is usually a beta from a classical regression of the form:</w:t>
      </w:r>
    </w:p>
    <w:p w:rsidR="005C3226" w:rsidRDefault="005C3226" w:rsidP="005C3226">
      <w:pPr>
        <w:spacing w:line="360" w:lineRule="auto"/>
        <w:rPr>
          <w:rFonts w:eastAsiaTheme="minorEastAsia"/>
          <w:lang w:val="en-US"/>
        </w:rPr>
      </w:pPr>
      <w:r>
        <w:rPr>
          <w:rFonts w:eastAsiaTheme="minorEastAsia"/>
          <w:lang w:val="en-US"/>
        </w:rPr>
        <w:tab/>
      </w:r>
      <w:r>
        <w:rPr>
          <w:rFonts w:eastAsiaTheme="minorEastAsia"/>
          <w:lang w:val="en-US"/>
        </w:rPr>
        <w:tab/>
      </w:r>
      <m:oMath>
        <m:r>
          <w:rPr>
            <w:rFonts w:ascii="Cambria Math" w:hAnsi="Cambria Math"/>
            <w:lang w:val="en-US"/>
          </w:rPr>
          <m:t xml:space="preserve">y=α+ </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2</m:t>
            </m:r>
          </m:sub>
        </m:sSub>
        <m:sSub>
          <m:sSubPr>
            <m:ctrlPr>
              <w:rPr>
                <w:rFonts w:ascii="Cambria Math" w:eastAsiaTheme="minorEastAsia" w:hAnsi="Cambria Math" w:cs="Cambria Math"/>
                <w:i/>
                <w:lang w:val="en-US"/>
              </w:rPr>
            </m:ctrlPr>
          </m:sSubPr>
          <m:e>
            <m:r>
              <w:rPr>
                <w:rFonts w:ascii="Cambria Math" w:eastAsiaTheme="minorEastAsia" w:hAnsi="Cambria Math" w:cs="Cambria Math"/>
                <w:lang w:val="en-US"/>
              </w:rPr>
              <m:t>x</m:t>
            </m:r>
          </m:e>
          <m:sub>
            <m:r>
              <w:rPr>
                <w:rFonts w:ascii="Cambria Math" w:eastAsiaTheme="minorEastAsia" w:hAnsi="Cambria Math" w:cs="Cambria Math"/>
                <w:lang w:val="en-US"/>
              </w:rPr>
              <m:t xml:space="preserve">2 </m:t>
            </m:r>
          </m:sub>
        </m:sSub>
        <m:r>
          <w:rPr>
            <w:rFonts w:ascii="Cambria Math" w:eastAsiaTheme="minorEastAsia" w:hAnsi="Cambria Math" w:cs="Cambria Math"/>
            <w:lang w:val="en-US"/>
          </w:rPr>
          <m:t xml:space="preserve">+.…. + </m:t>
        </m:r>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i</m:t>
            </m:r>
          </m:sub>
        </m:sSub>
        <m:sSub>
          <m:sSubPr>
            <m:ctrlPr>
              <w:rPr>
                <w:rFonts w:ascii="Cambria Math" w:eastAsiaTheme="minorEastAsia" w:hAnsi="Cambria Math" w:cs="Cambria Math"/>
                <w:i/>
                <w:lang w:val="en-US"/>
              </w:rPr>
            </m:ctrlPr>
          </m:sSubPr>
          <m:e>
            <m:r>
              <w:rPr>
                <w:rFonts w:ascii="Cambria Math" w:eastAsiaTheme="minorEastAsia" w:hAnsi="Cambria Math" w:cs="Cambria Math"/>
                <w:lang w:val="en-US"/>
              </w:rPr>
              <m:t>x</m:t>
            </m:r>
          </m:e>
          <m:sub>
            <m:r>
              <w:rPr>
                <w:rFonts w:ascii="Cambria Math" w:eastAsiaTheme="minorEastAsia" w:hAnsi="Cambria Math" w:cs="Cambria Math"/>
                <w:lang w:val="en-US"/>
              </w:rPr>
              <m:t xml:space="preserve">i </m:t>
            </m:r>
          </m:sub>
        </m:sSub>
        <m:r>
          <w:rPr>
            <w:rFonts w:ascii="Cambria Math" w:eastAsiaTheme="minorEastAsia" w:hAnsi="Cambria Math" w:cs="Cambria Math"/>
            <w:lang w:val="en-US"/>
          </w:rPr>
          <m:t>+e</m:t>
        </m:r>
      </m:oMath>
      <w:r>
        <w:rPr>
          <w:rFonts w:eastAsiaTheme="minorEastAsia"/>
          <w:lang w:val="en-US"/>
        </w:rPr>
        <w:t xml:space="preserve"> </w:t>
      </w:r>
      <w:r>
        <w:rPr>
          <w:rFonts w:eastAsiaTheme="minorEastAsia"/>
          <w:lang w:val="en-US"/>
        </w:rPr>
        <w:tab/>
      </w:r>
      <w:r>
        <w:rPr>
          <w:rFonts w:eastAsiaTheme="minorEastAsia"/>
          <w:lang w:val="en-US"/>
        </w:rPr>
        <w:tab/>
      </w:r>
      <w:r>
        <w:rPr>
          <w:rFonts w:eastAsiaTheme="minorEastAsia"/>
          <w:lang w:val="en-US"/>
        </w:rPr>
        <w:tab/>
      </w:r>
      <w:r w:rsidR="00D320D0">
        <w:rPr>
          <w:rFonts w:eastAsiaTheme="minorEastAsia"/>
          <w:lang w:val="en-US"/>
        </w:rPr>
        <w:tab/>
      </w:r>
      <w:r>
        <w:rPr>
          <w:rFonts w:eastAsiaTheme="minorEastAsia"/>
          <w:lang w:val="en-US"/>
        </w:rPr>
        <w:tab/>
        <w:t>(1)</w:t>
      </w:r>
    </w:p>
    <w:p w:rsidR="00E966B7" w:rsidRDefault="005C3226" w:rsidP="005C3226">
      <w:pPr>
        <w:spacing w:line="360" w:lineRule="auto"/>
        <w:rPr>
          <w:lang w:val="en-US"/>
        </w:rPr>
      </w:pPr>
      <w:r>
        <w:rPr>
          <w:rFonts w:eastAsiaTheme="minorEastAsia"/>
          <w:lang w:val="en-US"/>
        </w:rPr>
        <w:t xml:space="preserve">Equation 1 </w:t>
      </w:r>
      <w:r w:rsidR="00E22B2A">
        <w:rPr>
          <w:rFonts w:eastAsiaTheme="minorEastAsia"/>
          <w:lang w:val="en-US"/>
        </w:rPr>
        <w:t xml:space="preserve">estimates the effect of the independent variables </w:t>
      </w:r>
      <w:r w:rsidR="00E22B2A" w:rsidRPr="00263BEC">
        <w:rPr>
          <w:rFonts w:eastAsiaTheme="minorEastAsia"/>
          <w:i/>
          <w:lang w:val="en-US"/>
        </w:rPr>
        <w:t>x</w:t>
      </w:r>
      <w:r w:rsidR="00E56642">
        <w:rPr>
          <w:rFonts w:eastAsiaTheme="minorEastAsia"/>
          <w:lang w:val="en-US"/>
        </w:rPr>
        <w:t>,</w:t>
      </w:r>
      <w:r w:rsidR="00E22B2A">
        <w:rPr>
          <w:rFonts w:eastAsiaTheme="minorEastAsia"/>
          <w:lang w:val="en-US"/>
        </w:rPr>
        <w:t xml:space="preserve"> on the dependent variable </w:t>
      </w:r>
      <w:r w:rsidR="00FD2569" w:rsidRPr="00FD2569">
        <w:rPr>
          <w:rFonts w:ascii="Cambria Math" w:hAnsi="Cambria Math"/>
          <w:i/>
          <w:lang w:val="en-US"/>
        </w:rPr>
        <w:t>y</w:t>
      </w:r>
      <w:r w:rsidR="00E56642">
        <w:rPr>
          <w:rFonts w:eastAsiaTheme="minorEastAsia"/>
          <w:lang w:val="en-US"/>
        </w:rPr>
        <w:t>,</w:t>
      </w:r>
      <w:r w:rsidR="00E22B2A">
        <w:rPr>
          <w:rFonts w:eastAsiaTheme="minorEastAsia"/>
          <w:lang w:val="en-US"/>
        </w:rPr>
        <w:t xml:space="preserve"> using a random data sample. </w:t>
      </w:r>
      <w:r w:rsidR="006F5BD8">
        <w:rPr>
          <w:rFonts w:eastAsiaTheme="minorEastAsia"/>
          <w:lang w:val="en-US"/>
        </w:rPr>
        <w:t xml:space="preserve">Let’s say the </w:t>
      </w:r>
      <w:r w:rsidR="00E966B7">
        <w:rPr>
          <w:rFonts w:eastAsiaTheme="minorEastAsia"/>
          <w:lang w:val="en-US"/>
        </w:rPr>
        <w:t xml:space="preserve">coefficient or </w:t>
      </w:r>
      <w:r w:rsidR="006F5BD8">
        <w:rPr>
          <w:rFonts w:eastAsiaTheme="minorEastAsia"/>
          <w:lang w:val="en-US"/>
        </w:rPr>
        <w:t xml:space="preserve">effect </w:t>
      </w:r>
      <w:r w:rsidR="00E966B7">
        <w:rPr>
          <w:rFonts w:eastAsiaTheme="minorEastAsia"/>
          <w:lang w:val="en-US"/>
        </w:rPr>
        <w:t>that is to be included in an MRA</w:t>
      </w:r>
      <w:r w:rsidR="006F5BD8">
        <w:rPr>
          <w:rFonts w:eastAsiaTheme="minorEastAsia"/>
          <w:lang w:val="en-US"/>
        </w:rPr>
        <w:t xml:space="preserve"> is given by </w:t>
      </w:r>
      <m:oMath>
        <m:sSub>
          <m:sSubPr>
            <m:ctrlPr>
              <w:rPr>
                <w:rFonts w:ascii="Cambria Math" w:eastAsiaTheme="minorEastAsia" w:hAnsi="Cambria Math"/>
                <w:i/>
                <w:lang w:val="en-US"/>
              </w:rPr>
            </m:ctrlPr>
          </m:sSubPr>
          <m:e>
            <m:r>
              <w:rPr>
                <w:rFonts w:ascii="Cambria Math" w:eastAsiaTheme="minorEastAsia" w:hAnsi="Cambria Math"/>
                <w:lang w:val="en-US"/>
              </w:rPr>
              <m:t>β</m:t>
            </m:r>
          </m:e>
          <m:sub>
            <m:r>
              <w:rPr>
                <w:rFonts w:ascii="Cambria Math" w:eastAsiaTheme="minorEastAsia" w:hAnsi="Cambria Math"/>
                <w:lang w:val="en-US"/>
              </w:rPr>
              <m:t>1</m:t>
            </m:r>
          </m:sub>
        </m:sSub>
      </m:oMath>
      <w:r w:rsidR="006F5BD8">
        <w:rPr>
          <w:rFonts w:eastAsiaTheme="minorEastAsia"/>
          <w:lang w:val="en-US"/>
        </w:rPr>
        <w:t xml:space="preserve"> in the original regression</w:t>
      </w:r>
      <w:r w:rsidR="003C2222">
        <w:rPr>
          <w:rStyle w:val="FootnoteReference"/>
          <w:rFonts w:eastAsiaTheme="minorEastAsia"/>
          <w:lang w:val="en-US"/>
        </w:rPr>
        <w:footnoteReference w:id="31"/>
      </w:r>
      <w:r w:rsidR="006F5BD8">
        <w:rPr>
          <w:rFonts w:eastAsiaTheme="minorEastAsia"/>
          <w:lang w:val="en-US"/>
        </w:rPr>
        <w:t xml:space="preserve"> (equation 1). </w:t>
      </w:r>
      <w:r w:rsidR="00E22B2A">
        <w:rPr>
          <w:rFonts w:eastAsiaTheme="minorEastAsia"/>
          <w:lang w:val="en-US"/>
        </w:rPr>
        <w:t xml:space="preserve">The value of </w:t>
      </w:r>
      <m:oMath>
        <m:sSub>
          <m:sSubPr>
            <m:ctrlPr>
              <w:rPr>
                <w:rFonts w:ascii="Cambria Math" w:eastAsiaTheme="minorEastAsia" w:hAnsi="Cambria Math"/>
                <w:i/>
                <w:lang w:val="en-US"/>
              </w:rPr>
            </m:ctrlPr>
          </m:sSubPr>
          <m:e>
            <m:r>
              <w:rPr>
                <w:rFonts w:ascii="Cambria Math" w:eastAsiaTheme="minorEastAsia" w:hAnsi="Cambria Math"/>
                <w:lang w:val="en-US"/>
              </w:rPr>
              <m:t>β</m:t>
            </m:r>
          </m:e>
          <m:sub>
            <m:r>
              <w:rPr>
                <w:rFonts w:ascii="Cambria Math" w:eastAsiaTheme="minorEastAsia" w:hAnsi="Cambria Math"/>
                <w:lang w:val="en-US"/>
              </w:rPr>
              <m:t>1</m:t>
            </m:r>
          </m:sub>
        </m:sSub>
      </m:oMath>
      <w:r w:rsidR="00E22B2A">
        <w:rPr>
          <w:rFonts w:eastAsiaTheme="minorEastAsia"/>
          <w:lang w:val="en-US"/>
        </w:rPr>
        <w:t xml:space="preserve"> indicates the influence of </w:t>
      </w:r>
      <m:oMath>
        <m:sSub>
          <m:sSubPr>
            <m:ctrlPr>
              <w:rPr>
                <w:rFonts w:ascii="Cambria Math" w:eastAsiaTheme="minorEastAsia" w:hAnsi="Cambria Math"/>
                <w:i/>
                <w:lang w:val="en-US"/>
              </w:rPr>
            </m:ctrlPr>
          </m:sSubPr>
          <m:e>
            <m:r>
              <w:rPr>
                <w:rFonts w:ascii="Cambria Math" w:eastAsiaTheme="minorEastAsia" w:hAnsi="Cambria Math"/>
                <w:lang w:val="en-US"/>
              </w:rPr>
              <m:t>x</m:t>
            </m:r>
          </m:e>
          <m:sub>
            <m:r>
              <w:rPr>
                <w:rFonts w:ascii="Cambria Math" w:eastAsiaTheme="minorEastAsia" w:hAnsi="Cambria Math"/>
                <w:lang w:val="en-US"/>
              </w:rPr>
              <m:t>1</m:t>
            </m:r>
          </m:sub>
        </m:sSub>
      </m:oMath>
      <w:r w:rsidR="00E22B2A">
        <w:rPr>
          <w:rFonts w:eastAsiaTheme="minorEastAsia"/>
          <w:lang w:val="en-US"/>
        </w:rPr>
        <w:t xml:space="preserve"> </w:t>
      </w:r>
      <w:proofErr w:type="gramStart"/>
      <w:r w:rsidR="00E22B2A">
        <w:rPr>
          <w:rFonts w:eastAsiaTheme="minorEastAsia"/>
          <w:lang w:val="en-US"/>
        </w:rPr>
        <w:t xml:space="preserve">on </w:t>
      </w:r>
      <m:oMath>
        <w:proofErr w:type="gramEnd"/>
        <m:r>
          <w:rPr>
            <w:rFonts w:ascii="Cambria Math" w:eastAsiaTheme="minorEastAsia" w:hAnsi="Cambria Math"/>
            <w:lang w:val="en-US"/>
          </w:rPr>
          <m:t>y</m:t>
        </m:r>
      </m:oMath>
      <w:r w:rsidR="00E22B2A">
        <w:rPr>
          <w:rFonts w:eastAsiaTheme="minorEastAsia"/>
          <w:lang w:val="en-US"/>
        </w:rPr>
        <w:t>. If several researchers estimate equation 1 using different samples</w:t>
      </w:r>
      <w:r w:rsidR="00D5611D">
        <w:rPr>
          <w:rFonts w:eastAsiaTheme="minorEastAsia"/>
          <w:lang w:val="en-US"/>
        </w:rPr>
        <w:t>,</w:t>
      </w:r>
      <w:r w:rsidR="00E22B2A">
        <w:rPr>
          <w:rFonts w:eastAsiaTheme="minorEastAsia"/>
          <w:lang w:val="en-US"/>
        </w:rPr>
        <w:t xml:space="preserve"> the results for </w:t>
      </w:r>
      <m:oMath>
        <m:sSub>
          <m:sSubPr>
            <m:ctrlPr>
              <w:rPr>
                <w:rFonts w:ascii="Cambria Math" w:eastAsiaTheme="minorEastAsia" w:hAnsi="Cambria Math"/>
                <w:i/>
                <w:lang w:val="en-US"/>
              </w:rPr>
            </m:ctrlPr>
          </m:sSubPr>
          <m:e>
            <m:r>
              <w:rPr>
                <w:rFonts w:ascii="Cambria Math" w:eastAsiaTheme="minorEastAsia" w:hAnsi="Cambria Math"/>
                <w:lang w:val="en-US"/>
              </w:rPr>
              <m:t>β</m:t>
            </m:r>
          </m:e>
          <m:sub>
            <m:r>
              <w:rPr>
                <w:rFonts w:ascii="Cambria Math" w:eastAsiaTheme="minorEastAsia" w:hAnsi="Cambria Math"/>
                <w:lang w:val="en-US"/>
              </w:rPr>
              <m:t>1</m:t>
            </m:r>
          </m:sub>
        </m:sSub>
      </m:oMath>
      <w:r w:rsidR="00E22B2A">
        <w:rPr>
          <w:rFonts w:eastAsiaTheme="minorEastAsia"/>
          <w:lang w:val="en-US"/>
        </w:rPr>
        <w:t xml:space="preserve"> are likely to vary. However the results should for</w:t>
      </w:r>
      <w:r w:rsidR="00D5611D">
        <w:rPr>
          <w:rFonts w:eastAsiaTheme="minorEastAsia"/>
          <w:lang w:val="en-US"/>
        </w:rPr>
        <w:t>m</w:t>
      </w:r>
      <w:r w:rsidR="00E22B2A">
        <w:rPr>
          <w:rFonts w:eastAsiaTheme="minorEastAsia"/>
          <w:lang w:val="en-US"/>
        </w:rPr>
        <w:t xml:space="preserve"> a normal distribution around a ‘true’ mean value. If however some researchers </w:t>
      </w:r>
      <w:r w:rsidR="006F5BD8">
        <w:rPr>
          <w:rFonts w:eastAsiaTheme="minorEastAsia"/>
          <w:lang w:val="en-US"/>
        </w:rPr>
        <w:t xml:space="preserve">specify their model differently, these misspecifications could lead to biased results. </w:t>
      </w:r>
      <w:r w:rsidR="00E966B7">
        <w:rPr>
          <w:rFonts w:eastAsiaTheme="minorEastAsia"/>
          <w:lang w:val="en-US"/>
        </w:rPr>
        <w:t xml:space="preserve">In this case the distribution of </w:t>
      </w:r>
      <m:oMath>
        <m:sSub>
          <m:sSubPr>
            <m:ctrlPr>
              <w:rPr>
                <w:rFonts w:ascii="Cambria Math" w:eastAsiaTheme="minorEastAsia" w:hAnsi="Cambria Math"/>
                <w:i/>
                <w:lang w:val="en-US"/>
              </w:rPr>
            </m:ctrlPr>
          </m:sSubPr>
          <m:e>
            <m:r>
              <w:rPr>
                <w:rFonts w:ascii="Cambria Math" w:eastAsiaTheme="minorEastAsia" w:hAnsi="Cambria Math"/>
                <w:lang w:val="en-US"/>
              </w:rPr>
              <m:t>β</m:t>
            </m:r>
          </m:e>
          <m:sub>
            <m:r>
              <w:rPr>
                <w:rFonts w:ascii="Cambria Math" w:eastAsiaTheme="minorEastAsia" w:hAnsi="Cambria Math"/>
                <w:lang w:val="en-US"/>
              </w:rPr>
              <m:t>1</m:t>
            </m:r>
          </m:sub>
        </m:sSub>
      </m:oMath>
      <w:r w:rsidR="00E966B7">
        <w:rPr>
          <w:rFonts w:eastAsiaTheme="minorEastAsia"/>
          <w:lang w:val="en-US"/>
        </w:rPr>
        <w:t xml:space="preserve"> is not random, but can be explained by study </w:t>
      </w:r>
      <w:r w:rsidR="00E966B7">
        <w:rPr>
          <w:lang w:val="en-US"/>
        </w:rPr>
        <w:t>characteristics.</w:t>
      </w:r>
    </w:p>
    <w:p w:rsidR="005C3226" w:rsidRPr="00BA2B51" w:rsidRDefault="00E966B7" w:rsidP="005C3226">
      <w:pPr>
        <w:spacing w:line="360" w:lineRule="auto"/>
        <w:rPr>
          <w:lang w:val="en-US"/>
        </w:rPr>
      </w:pPr>
      <w:r>
        <w:rPr>
          <w:lang w:val="en-US"/>
        </w:rPr>
        <w:t xml:space="preserve"> </w:t>
      </w:r>
      <w:r w:rsidR="005C3226">
        <w:rPr>
          <w:lang w:val="en-US"/>
        </w:rPr>
        <w:t xml:space="preserve">MRA tries to explain the </w:t>
      </w:r>
      <w:r w:rsidR="00830677">
        <w:rPr>
          <w:lang w:val="en-US"/>
        </w:rPr>
        <w:t>variation</w:t>
      </w:r>
      <w:r w:rsidR="005C3226">
        <w:rPr>
          <w:lang w:val="en-US"/>
        </w:rPr>
        <w:t xml:space="preserve"> in betas </w:t>
      </w:r>
      <w:r w:rsidR="00E56642">
        <w:rPr>
          <w:lang w:val="en-US"/>
        </w:rPr>
        <w:t>beyond sampling errors,</w:t>
      </w:r>
      <w:r w:rsidR="005C3226">
        <w:rPr>
          <w:lang w:val="en-US"/>
        </w:rPr>
        <w:t xml:space="preserve"> by using study characteristics</w:t>
      </w:r>
      <w:r w:rsidR="00FD2569">
        <w:rPr>
          <w:lang w:val="en-US"/>
        </w:rPr>
        <w:t>,</w:t>
      </w:r>
      <w:r w:rsidR="005C3226">
        <w:rPr>
          <w:lang w:val="en-US"/>
        </w:rPr>
        <w:t xml:space="preserve"> or design elements</w:t>
      </w:r>
      <w:r w:rsidR="005C3226" w:rsidRPr="00BA2B51">
        <w:rPr>
          <w:lang w:val="en-US"/>
        </w:rPr>
        <w:t>. Common study characteristics used in MRA are:</w:t>
      </w:r>
    </w:p>
    <w:p w:rsidR="005C3226" w:rsidRDefault="006F5BD8" w:rsidP="005C3226">
      <w:pPr>
        <w:pStyle w:val="ListParagraph"/>
        <w:numPr>
          <w:ilvl w:val="0"/>
          <w:numId w:val="2"/>
        </w:numPr>
        <w:spacing w:line="360" w:lineRule="auto"/>
        <w:rPr>
          <w:lang w:val="en-US"/>
        </w:rPr>
      </w:pPr>
      <w:r>
        <w:rPr>
          <w:lang w:val="en-US"/>
        </w:rPr>
        <w:t>Variable specifications</w:t>
      </w:r>
    </w:p>
    <w:p w:rsidR="005C3226" w:rsidRDefault="005C3226" w:rsidP="005C3226">
      <w:pPr>
        <w:pStyle w:val="ListParagraph"/>
        <w:numPr>
          <w:ilvl w:val="0"/>
          <w:numId w:val="2"/>
        </w:numPr>
        <w:spacing w:line="360" w:lineRule="auto"/>
        <w:rPr>
          <w:lang w:val="en-US"/>
        </w:rPr>
      </w:pPr>
      <w:r>
        <w:rPr>
          <w:lang w:val="en-US"/>
        </w:rPr>
        <w:t>Published / un-published</w:t>
      </w:r>
    </w:p>
    <w:p w:rsidR="005C3226" w:rsidRDefault="005C3226" w:rsidP="005C3226">
      <w:pPr>
        <w:pStyle w:val="ListParagraph"/>
        <w:numPr>
          <w:ilvl w:val="0"/>
          <w:numId w:val="2"/>
        </w:numPr>
        <w:spacing w:line="360" w:lineRule="auto"/>
        <w:rPr>
          <w:lang w:val="en-US"/>
        </w:rPr>
      </w:pPr>
      <w:r>
        <w:rPr>
          <w:lang w:val="en-US"/>
        </w:rPr>
        <w:t>Paper quality (author quality)</w:t>
      </w:r>
    </w:p>
    <w:p w:rsidR="005C3226" w:rsidRDefault="005C3226" w:rsidP="005C3226">
      <w:pPr>
        <w:pStyle w:val="ListParagraph"/>
        <w:numPr>
          <w:ilvl w:val="0"/>
          <w:numId w:val="2"/>
        </w:numPr>
        <w:spacing w:line="360" w:lineRule="auto"/>
        <w:rPr>
          <w:lang w:val="en-US"/>
        </w:rPr>
      </w:pPr>
      <w:r>
        <w:rPr>
          <w:lang w:val="en-US"/>
        </w:rPr>
        <w:t>Data characteristics (region, quality, time period, etc.)</w:t>
      </w:r>
    </w:p>
    <w:p w:rsidR="005C3226" w:rsidRPr="008B41C1" w:rsidRDefault="005C3226" w:rsidP="005C3226">
      <w:pPr>
        <w:pStyle w:val="ListParagraph"/>
        <w:numPr>
          <w:ilvl w:val="0"/>
          <w:numId w:val="2"/>
        </w:numPr>
        <w:spacing w:line="360" w:lineRule="auto"/>
        <w:rPr>
          <w:lang w:val="en-US"/>
        </w:rPr>
      </w:pPr>
      <w:r>
        <w:rPr>
          <w:lang w:val="en-US"/>
        </w:rPr>
        <w:t xml:space="preserve">Method used </w:t>
      </w:r>
    </w:p>
    <w:p w:rsidR="005C3226" w:rsidRPr="00571D2B" w:rsidRDefault="00D57DC0" w:rsidP="005C3226">
      <w:pPr>
        <w:spacing w:line="360" w:lineRule="auto"/>
        <w:rPr>
          <w:lang w:val="en-US"/>
        </w:rPr>
      </w:pPr>
      <w:r>
        <w:rPr>
          <w:lang w:val="en-US"/>
        </w:rPr>
        <w:t>Following Stanley and Jarrell (1989), a</w:t>
      </w:r>
      <w:r w:rsidR="005C3226">
        <w:rPr>
          <w:lang w:val="en-US"/>
        </w:rPr>
        <w:t xml:space="preserve">n MRA equation </w:t>
      </w:r>
      <w:r w:rsidR="005C3226" w:rsidRPr="00571D2B">
        <w:rPr>
          <w:lang w:val="en-US"/>
        </w:rPr>
        <w:t>takes the following form:</w:t>
      </w:r>
    </w:p>
    <w:p w:rsidR="005C3226" w:rsidRPr="00E701F3" w:rsidRDefault="001C6613" w:rsidP="005C3226">
      <w:pPr>
        <w:spacing w:line="360" w:lineRule="auto"/>
        <w:ind w:left="708" w:firstLine="708"/>
        <w:rPr>
          <w:lang w:val="en-US"/>
        </w:rPr>
      </w:pP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j</m:t>
            </m:r>
          </m:sub>
        </m:sSub>
        <m:r>
          <w:rPr>
            <w:rFonts w:ascii="Cambria Math" w:hAnsi="Cambria Math"/>
            <w:lang w:val="en-US"/>
          </w:rPr>
          <m:t xml:space="preserve">= β+ </m:t>
        </m:r>
        <m:nary>
          <m:naryPr>
            <m:chr m:val="∑"/>
            <m:limLoc m:val="undOvr"/>
            <m:ctrlPr>
              <w:rPr>
                <w:rFonts w:ascii="Cambria Math" w:hAnsi="Cambria Math"/>
                <w:i/>
                <w:lang w:val="en-US"/>
              </w:rPr>
            </m:ctrlPr>
          </m:naryPr>
          <m:sub>
            <m:r>
              <w:rPr>
                <w:rFonts w:ascii="Cambria Math" w:hAnsi="Cambria Math"/>
                <w:lang w:val="en-US"/>
              </w:rPr>
              <m:t>k=1</m:t>
            </m:r>
          </m:sub>
          <m:sup>
            <m:r>
              <w:rPr>
                <w:rFonts w:ascii="Cambria Math" w:hAnsi="Cambria Math"/>
                <w:lang w:val="en-US"/>
              </w:rPr>
              <m:t>k</m:t>
            </m:r>
          </m:sup>
          <m:e>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k</m:t>
                </m:r>
              </m:sub>
            </m:sSub>
          </m:e>
        </m:nary>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jk</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005C3226">
        <w:rPr>
          <w:rFonts w:eastAsiaTheme="minorEastAsia"/>
          <w:lang w:val="en-US"/>
        </w:rPr>
        <w:tab/>
      </w:r>
      <w:r w:rsidR="005C3226">
        <w:rPr>
          <w:rFonts w:eastAsiaTheme="minorEastAsia"/>
          <w:lang w:val="en-US"/>
        </w:rPr>
        <w:tab/>
      </w:r>
      <w:r w:rsidR="005C3226">
        <w:rPr>
          <w:rFonts w:eastAsiaTheme="minorEastAsia"/>
          <w:lang w:val="en-US"/>
        </w:rPr>
        <w:tab/>
      </w:r>
      <w:r w:rsidR="007753B7">
        <w:rPr>
          <w:rFonts w:eastAsiaTheme="minorEastAsia"/>
          <w:lang w:val="en-US"/>
        </w:rPr>
        <w:tab/>
      </w:r>
      <w:r w:rsidR="007753B7">
        <w:rPr>
          <w:rFonts w:eastAsiaTheme="minorEastAsia"/>
          <w:lang w:val="en-US"/>
        </w:rPr>
        <w:tab/>
      </w:r>
      <w:r w:rsidR="007753B7">
        <w:rPr>
          <w:rFonts w:eastAsiaTheme="minorEastAsia"/>
          <w:lang w:val="en-US"/>
        </w:rPr>
        <w:tab/>
      </w:r>
      <w:r w:rsidR="00D320D0">
        <w:rPr>
          <w:rFonts w:eastAsiaTheme="minorEastAsia"/>
          <w:lang w:val="en-US"/>
        </w:rPr>
        <w:tab/>
      </w:r>
      <w:r w:rsidR="005C3226">
        <w:rPr>
          <w:rFonts w:eastAsiaTheme="minorEastAsia"/>
          <w:lang w:val="en-US"/>
        </w:rPr>
        <w:t>(2)</w:t>
      </w:r>
    </w:p>
    <w:p w:rsidR="005C3226" w:rsidRDefault="005C3226" w:rsidP="005C3226">
      <w:pPr>
        <w:spacing w:line="360" w:lineRule="auto"/>
        <w:rPr>
          <w:rFonts w:eastAsiaTheme="minorEastAsia"/>
          <w:lang w:val="en-US"/>
        </w:rPr>
      </w:pPr>
      <w:r>
        <w:rPr>
          <w:lang w:val="en-US"/>
        </w:rPr>
        <w:t xml:space="preserve">In which </w:t>
      </w:r>
      <m:oMath>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j</m:t>
            </m:r>
          </m:sub>
        </m:sSub>
      </m:oMath>
      <w:r>
        <w:rPr>
          <w:rFonts w:eastAsiaTheme="minorEastAsia"/>
          <w:lang w:val="en-US"/>
        </w:rPr>
        <w:t xml:space="preserve"> is the reported estimate of </w:t>
      </w:r>
      <m:oMath>
        <m:r>
          <w:rPr>
            <w:rFonts w:ascii="Cambria Math" w:eastAsiaTheme="minorEastAsia" w:hAnsi="Cambria Math"/>
            <w:lang w:val="en-US"/>
          </w:rPr>
          <m:t>β</m:t>
        </m:r>
      </m:oMath>
      <w:r>
        <w:rPr>
          <w:rFonts w:eastAsiaTheme="minorEastAsia"/>
          <w:lang w:val="en-US"/>
        </w:rPr>
        <w:t xml:space="preserve"> of the jth study, </w:t>
      </w:r>
      <m:oMath>
        <m:r>
          <w:rPr>
            <w:rFonts w:ascii="Cambria Math" w:eastAsiaTheme="minorEastAsia" w:hAnsi="Cambria Math"/>
            <w:lang w:val="en-US"/>
          </w:rPr>
          <m:t>β</m:t>
        </m:r>
      </m:oMath>
      <w:r>
        <w:rPr>
          <w:rFonts w:eastAsiaTheme="minorEastAsia"/>
          <w:lang w:val="en-US"/>
        </w:rPr>
        <w:t xml:space="preserve"> is the ‘true’ value of the parameter of interest,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jk</m:t>
            </m:r>
          </m:sub>
        </m:sSub>
      </m:oMath>
      <w:r>
        <w:rPr>
          <w:rFonts w:eastAsiaTheme="minorEastAsia"/>
          <w:lang w:val="en-US"/>
        </w:rPr>
        <w:t xml:space="preserve"> is a vector of study characteristics,</w:t>
      </w:r>
      <w:r w:rsidR="00D57DC0">
        <w:rPr>
          <w:rFonts w:eastAsiaTheme="minorEastAsia"/>
          <w:lang w:val="en-US"/>
        </w:rPr>
        <w:t xml:space="preserve"> </w:t>
      </w:r>
      <w:r w:rsidR="00D57DC0" w:rsidRPr="00D57DC0">
        <w:rPr>
          <w:rFonts w:ascii="Cambria Math" w:hAnsi="Cambria Math"/>
          <w:i/>
          <w:lang w:val="en-US"/>
        </w:rPr>
        <w:t xml:space="preserve">j </w:t>
      </w:r>
      <w:r w:rsidR="00D57DC0" w:rsidRPr="00D57DC0">
        <w:rPr>
          <w:rFonts w:eastAsiaTheme="minorEastAsia"/>
          <w:lang w:val="en-US"/>
        </w:rPr>
        <w:t>i</w:t>
      </w:r>
      <w:r w:rsidR="00D57DC0">
        <w:rPr>
          <w:rFonts w:eastAsiaTheme="minorEastAsia"/>
          <w:lang w:val="en-US"/>
        </w:rPr>
        <w:t xml:space="preserve">ndicates the study and </w:t>
      </w:r>
      <w:r w:rsidR="00D57DC0" w:rsidRPr="00D57DC0">
        <w:rPr>
          <w:rFonts w:ascii="Cambria Math" w:hAnsi="Cambria Math"/>
          <w:i/>
          <w:lang w:val="en-US"/>
        </w:rPr>
        <w:t>k</w:t>
      </w:r>
      <w:r w:rsidR="00D57DC0">
        <w:rPr>
          <w:rFonts w:eastAsiaTheme="minorEastAsia"/>
          <w:lang w:val="en-US"/>
        </w:rPr>
        <w:t xml:space="preserve"> the characteristic,</w:t>
      </w:r>
      <w:r>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k</m:t>
            </m:r>
          </m:sub>
        </m:sSub>
      </m:oMath>
      <w:r>
        <w:rPr>
          <w:rFonts w:eastAsiaTheme="minorEastAsia"/>
          <w:lang w:val="en-US"/>
        </w:rPr>
        <w:t xml:space="preserve"> are the MRA coefficients</w:t>
      </w:r>
      <w:r w:rsidR="00E966B7">
        <w:rPr>
          <w:rFonts w:eastAsiaTheme="minorEastAsia"/>
          <w:lang w:val="en-US"/>
        </w:rPr>
        <w:t>. The coefficients</w:t>
      </w:r>
      <w:r>
        <w:rPr>
          <w:rFonts w:eastAsiaTheme="minorEastAsia"/>
          <w:lang w:val="en-US"/>
        </w:rPr>
        <w:t xml:space="preserve"> reflect the biasing effect of study characteristics</w:t>
      </w:r>
      <w:r w:rsidR="00E966B7">
        <w:rPr>
          <w:rFonts w:eastAsiaTheme="minorEastAsia"/>
          <w:lang w:val="en-US"/>
        </w:rPr>
        <w:t>,</w:t>
      </w:r>
      <w:r>
        <w:rPr>
          <w:rFonts w:eastAsiaTheme="minorEastAsia"/>
          <w:lang w:val="en-US"/>
        </w:rPr>
        <w:t xml:space="preserv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Pr>
          <w:rFonts w:eastAsiaTheme="minorEastAsia"/>
          <w:lang w:val="en-US"/>
        </w:rPr>
        <w:t xml:space="preserve"> is the disturbance term. </w:t>
      </w:r>
    </w:p>
    <w:p w:rsidR="005C3226" w:rsidRDefault="006F5BD8" w:rsidP="003C2222">
      <w:pPr>
        <w:spacing w:line="360" w:lineRule="auto"/>
        <w:rPr>
          <w:rFonts w:eastAsiaTheme="minorEastAsia"/>
          <w:lang w:val="en-US"/>
        </w:rPr>
      </w:pPr>
      <w:r>
        <w:rPr>
          <w:rFonts w:eastAsiaTheme="minorEastAsia"/>
          <w:lang w:val="en-US"/>
        </w:rPr>
        <w:br w:type="page"/>
      </w:r>
      <w:r w:rsidR="005C3226">
        <w:rPr>
          <w:rFonts w:eastAsiaTheme="minorEastAsia"/>
          <w:lang w:val="en-US"/>
        </w:rPr>
        <w:lastRenderedPageBreak/>
        <w:t>The</w:t>
      </w:r>
      <w:r w:rsidR="00D57DC0">
        <w:rPr>
          <w:rFonts w:eastAsiaTheme="minorEastAsia"/>
          <w:lang w:val="en-US"/>
        </w:rPr>
        <w:t xml:space="preserve"> results of equation 2 give the elements that cause the</w:t>
      </w:r>
      <w:r w:rsidR="005C3226">
        <w:rPr>
          <w:rFonts w:eastAsiaTheme="minorEastAsia"/>
          <w:lang w:val="en-US"/>
        </w:rPr>
        <w:t xml:space="preserve"> differences in reported findings. </w:t>
      </w:r>
      <w:proofErr w:type="gramStart"/>
      <w:r w:rsidR="005C3226">
        <w:rPr>
          <w:rFonts w:eastAsiaTheme="minorEastAsia"/>
          <w:lang w:val="en-US"/>
        </w:rPr>
        <w:t xml:space="preserve">The </w:t>
      </w:r>
      <m:oMath>
        <w:proofErr w:type="gramEnd"/>
        <m:r>
          <w:rPr>
            <w:rFonts w:ascii="Cambria Math" w:eastAsiaTheme="minorEastAsia" w:hAnsi="Cambria Math"/>
            <w:lang w:val="en-US"/>
          </w:rPr>
          <m:t>α</m:t>
        </m:r>
      </m:oMath>
      <w:r w:rsidR="005C3226">
        <w:rPr>
          <w:rFonts w:eastAsiaTheme="minorEastAsia"/>
          <w:lang w:val="en-US"/>
        </w:rPr>
        <w:t xml:space="preserve">‘s in equation 2 can be interpreted as the average bias caused by misspecifications in the original studies. By varying the characteristics chosen for </w:t>
      </w: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jk</m:t>
            </m:r>
          </m:sub>
        </m:sSub>
      </m:oMath>
      <w:r w:rsidR="005C3226">
        <w:rPr>
          <w:rFonts w:eastAsiaTheme="minorEastAsia"/>
          <w:lang w:val="en-US"/>
        </w:rPr>
        <w:t xml:space="preserve"> the reviewer can look for causes of variation in reported results. Furthermore</w:t>
      </w:r>
      <w:r w:rsidR="00D57DC0">
        <w:rPr>
          <w:rFonts w:eastAsiaTheme="minorEastAsia"/>
          <w:lang w:val="en-US"/>
        </w:rPr>
        <w:t>,</w:t>
      </w:r>
      <w:r w:rsidR="005C3226">
        <w:rPr>
          <w:rFonts w:eastAsiaTheme="minorEastAsia"/>
          <w:lang w:val="en-US"/>
        </w:rPr>
        <w:t xml:space="preserve"> the reviewer can include all literature available to him, instead of making a selection </w:t>
      </w:r>
      <w:r w:rsidR="005C3226">
        <w:rPr>
          <w:lang w:val="en-US"/>
        </w:rPr>
        <w:t xml:space="preserve">(Stanley </w:t>
      </w:r>
      <w:r w:rsidR="004A4FFC">
        <w:rPr>
          <w:lang w:val="en-US"/>
        </w:rPr>
        <w:t>&amp;</w:t>
      </w:r>
      <w:r w:rsidR="005C3226">
        <w:rPr>
          <w:lang w:val="en-US"/>
        </w:rPr>
        <w:t xml:space="preserve"> Jarrell, 1989)</w:t>
      </w:r>
      <w:r w:rsidR="005C3226">
        <w:rPr>
          <w:rFonts w:eastAsiaTheme="minorEastAsia"/>
          <w:lang w:val="en-US"/>
        </w:rPr>
        <w:t xml:space="preserve">. </w:t>
      </w:r>
    </w:p>
    <w:p w:rsidR="00AB7838" w:rsidRDefault="005C3226" w:rsidP="005C3226">
      <w:pPr>
        <w:spacing w:line="360" w:lineRule="auto"/>
        <w:rPr>
          <w:lang w:val="en-US"/>
        </w:rPr>
      </w:pPr>
      <w:r>
        <w:rPr>
          <w:lang w:val="en-US"/>
        </w:rPr>
        <w:t>In order to better understand the methods described in this section</w:t>
      </w:r>
      <w:r w:rsidR="00830677">
        <w:rPr>
          <w:lang w:val="en-US"/>
        </w:rPr>
        <w:t>,</w:t>
      </w:r>
      <w:r>
        <w:rPr>
          <w:lang w:val="en-US"/>
        </w:rPr>
        <w:t xml:space="preserve"> I will </w:t>
      </w:r>
      <w:r w:rsidR="006F5BD8">
        <w:rPr>
          <w:lang w:val="en-US"/>
        </w:rPr>
        <w:t xml:space="preserve">discuss </w:t>
      </w:r>
      <w:r w:rsidR="00830677">
        <w:rPr>
          <w:lang w:val="en-US"/>
        </w:rPr>
        <w:t>the</w:t>
      </w:r>
      <w:r w:rsidR="006F5BD8">
        <w:rPr>
          <w:lang w:val="en-US"/>
        </w:rPr>
        <w:t xml:space="preserve"> paper by Stanley and Jarrell (1990)</w:t>
      </w:r>
      <w:r w:rsidR="00830677">
        <w:rPr>
          <w:lang w:val="en-US"/>
        </w:rPr>
        <w:t>,</w:t>
      </w:r>
      <w:r w:rsidR="006F5BD8">
        <w:rPr>
          <w:lang w:val="en-US"/>
        </w:rPr>
        <w:t xml:space="preserve"> who use MRA to study the literature on the union-nonunion wage gap. </w:t>
      </w:r>
      <w:r w:rsidR="00DB4617">
        <w:rPr>
          <w:lang w:val="en-US"/>
        </w:rPr>
        <w:t>The</w:t>
      </w:r>
      <w:r w:rsidR="002D75E4">
        <w:rPr>
          <w:lang w:val="en-US"/>
        </w:rPr>
        <w:t xml:space="preserve"> original studies </w:t>
      </w:r>
      <w:r w:rsidR="00DB4617">
        <w:rPr>
          <w:lang w:val="en-US"/>
        </w:rPr>
        <w:t xml:space="preserve">included in the MRA </w:t>
      </w:r>
      <w:r w:rsidR="002D75E4">
        <w:rPr>
          <w:lang w:val="en-US"/>
        </w:rPr>
        <w:t>used regression</w:t>
      </w:r>
      <w:r w:rsidR="00830677">
        <w:rPr>
          <w:lang w:val="en-US"/>
        </w:rPr>
        <w:t>s</w:t>
      </w:r>
      <w:r w:rsidR="002D75E4">
        <w:rPr>
          <w:lang w:val="en-US"/>
        </w:rPr>
        <w:t xml:space="preserve"> </w:t>
      </w:r>
      <w:r w:rsidR="00830677">
        <w:rPr>
          <w:lang w:val="en-US"/>
        </w:rPr>
        <w:t>like</w:t>
      </w:r>
      <w:r w:rsidR="002D75E4">
        <w:rPr>
          <w:lang w:val="en-US"/>
        </w:rPr>
        <w:t xml:space="preserve"> equation 1</w:t>
      </w:r>
      <w:r w:rsidR="00E966B7">
        <w:rPr>
          <w:lang w:val="en-US"/>
        </w:rPr>
        <w:t>,</w:t>
      </w:r>
      <w:r w:rsidR="002D75E4">
        <w:rPr>
          <w:lang w:val="en-US"/>
        </w:rPr>
        <w:t xml:space="preserve"> to explain variations in income. So</w:t>
      </w:r>
      <w:r w:rsidR="00E56642">
        <w:rPr>
          <w:lang w:val="en-US"/>
        </w:rPr>
        <w:t xml:space="preserve"> wage is</w:t>
      </w:r>
      <w:r w:rsidR="002D75E4">
        <w:rPr>
          <w:lang w:val="en-US"/>
        </w:rPr>
        <w:t xml:space="preserve"> the dependent variable in the original regressions. All of the regressions used in the MRA include a dummy variable which takes the value of 1 if the wage earner is a unionized worker. Therefore the dummy variable’s coefficient shows the effect of unionization on the wage earned.  The studies differ however in the way the models are specified. For instance</w:t>
      </w:r>
      <w:r w:rsidR="00E56642">
        <w:rPr>
          <w:lang w:val="en-US"/>
        </w:rPr>
        <w:t>,</w:t>
      </w:r>
      <w:r w:rsidR="002D75E4">
        <w:rPr>
          <w:lang w:val="en-US"/>
        </w:rPr>
        <w:t xml:space="preserve"> some models included industry dummies as independent variables</w:t>
      </w:r>
      <w:r w:rsidR="00E56642">
        <w:rPr>
          <w:lang w:val="en-US"/>
        </w:rPr>
        <w:t>,</w:t>
      </w:r>
      <w:r w:rsidR="002D75E4">
        <w:rPr>
          <w:lang w:val="en-US"/>
        </w:rPr>
        <w:t xml:space="preserve"> while other models did not. The studies also differ in the data construction. For instance some studies </w:t>
      </w:r>
      <w:r w:rsidR="00AB7838">
        <w:rPr>
          <w:lang w:val="en-US"/>
        </w:rPr>
        <w:t xml:space="preserve">excluded government employees, while other studies only included young male workers. </w:t>
      </w:r>
    </w:p>
    <w:p w:rsidR="005C3226" w:rsidRPr="002D75E4" w:rsidRDefault="002D75E4" w:rsidP="005C3226">
      <w:pPr>
        <w:spacing w:line="360" w:lineRule="auto"/>
        <w:rPr>
          <w:lang w:val="en-US"/>
        </w:rPr>
      </w:pPr>
      <w:r>
        <w:rPr>
          <w:lang w:val="en-US"/>
        </w:rPr>
        <w:t>Stanley and Jarrell use all the coefficient</w:t>
      </w:r>
      <w:r w:rsidR="00830677">
        <w:rPr>
          <w:lang w:val="en-US"/>
        </w:rPr>
        <w:t>s</w:t>
      </w:r>
      <w:r>
        <w:rPr>
          <w:lang w:val="en-US"/>
        </w:rPr>
        <w:t xml:space="preserve"> belonging to the union dummy and include these estimates </w:t>
      </w:r>
      <w:r w:rsidR="00AB7838">
        <w:rPr>
          <w:lang w:val="en-US"/>
        </w:rPr>
        <w:t xml:space="preserve">as the dependent variable </w:t>
      </w:r>
      <w:r>
        <w:rPr>
          <w:lang w:val="en-US"/>
        </w:rPr>
        <w:t xml:space="preserve">in a Meta regression equation </w:t>
      </w:r>
      <w:r w:rsidR="00AB7838">
        <w:rPr>
          <w:lang w:val="en-US"/>
        </w:rPr>
        <w:t>like equation 2. Along with other stud</w:t>
      </w:r>
      <w:r w:rsidR="00CE7396">
        <w:rPr>
          <w:lang w:val="en-US"/>
        </w:rPr>
        <w:t>y characteristics they include the dummies</w:t>
      </w:r>
      <w:r w:rsidR="00830677">
        <w:rPr>
          <w:lang w:val="en-US"/>
        </w:rPr>
        <w:t xml:space="preserve"> ‘omitted industry variable’, </w:t>
      </w:r>
      <w:r w:rsidR="00AB7838">
        <w:rPr>
          <w:lang w:val="en-US"/>
        </w:rPr>
        <w:t>‘omitted government workers’ and ‘only include young males’ as Z variables in the MRA (see equation 2).</w:t>
      </w:r>
      <w:r w:rsidR="00830677">
        <w:rPr>
          <w:lang w:val="en-US"/>
        </w:rPr>
        <w:t xml:space="preserve"> Stanley and Jarrell find that the dummy ‘omitted government worker</w:t>
      </w:r>
      <w:r w:rsidR="00DE2E4F">
        <w:rPr>
          <w:lang w:val="en-US"/>
        </w:rPr>
        <w:t>s</w:t>
      </w:r>
      <w:r w:rsidR="00830677">
        <w:rPr>
          <w:lang w:val="en-US"/>
        </w:rPr>
        <w:t>’ is not statistically significant. The dummy that indicates that industry variables were not included and the dummy that indicates that only young males were included are however positive and significant. These re</w:t>
      </w:r>
      <w:r w:rsidR="00E56642">
        <w:rPr>
          <w:lang w:val="en-US"/>
        </w:rPr>
        <w:t>sults show</w:t>
      </w:r>
      <w:r w:rsidR="00830677">
        <w:rPr>
          <w:lang w:val="en-US"/>
        </w:rPr>
        <w:t xml:space="preserve"> that the dependent variable in equation 2 is larger if</w:t>
      </w:r>
      <w:r w:rsidR="00660358">
        <w:rPr>
          <w:lang w:val="en-US"/>
        </w:rPr>
        <w:t xml:space="preserve"> industry variables were omitted and</w:t>
      </w:r>
      <w:r w:rsidR="00830677">
        <w:rPr>
          <w:lang w:val="en-US"/>
        </w:rPr>
        <w:t xml:space="preserve"> only young males where included in the original study. Remember that the dependent variable used in equation two</w:t>
      </w:r>
      <w:r w:rsidR="00CE7396">
        <w:rPr>
          <w:lang w:val="en-US"/>
        </w:rPr>
        <w:t>,</w:t>
      </w:r>
      <w:r w:rsidR="00830677">
        <w:rPr>
          <w:lang w:val="en-US"/>
        </w:rPr>
        <w:t xml:space="preserve"> is itself a coefficient of the union dummy in a regression explaining wages. So if the original study </w:t>
      </w:r>
      <w:r w:rsidR="00660358">
        <w:rPr>
          <w:lang w:val="en-US"/>
        </w:rPr>
        <w:t xml:space="preserve">excludes industry variables and </w:t>
      </w:r>
      <w:r w:rsidR="00830677">
        <w:rPr>
          <w:lang w:val="en-US"/>
        </w:rPr>
        <w:t>only include</w:t>
      </w:r>
      <w:r w:rsidR="00660358">
        <w:rPr>
          <w:lang w:val="en-US"/>
        </w:rPr>
        <w:t>s</w:t>
      </w:r>
      <w:r w:rsidR="00830677">
        <w:rPr>
          <w:lang w:val="en-US"/>
        </w:rPr>
        <w:t xml:space="preserve"> young male workers, the reported effect of unionization on wages is biased upwards. </w:t>
      </w:r>
    </w:p>
    <w:p w:rsidR="007675A0" w:rsidRPr="002E4947" w:rsidRDefault="00CA1FC5" w:rsidP="002E4947">
      <w:pPr>
        <w:ind w:left="1418" w:hanging="851"/>
        <w:rPr>
          <w:b/>
          <w:lang w:val="en-US"/>
        </w:rPr>
      </w:pPr>
      <w:r>
        <w:rPr>
          <w:b/>
          <w:lang w:val="en-US"/>
        </w:rPr>
        <w:br w:type="page"/>
      </w:r>
      <w:r w:rsidR="00C72939">
        <w:rPr>
          <w:b/>
          <w:lang w:val="en-US"/>
        </w:rPr>
        <w:lastRenderedPageBreak/>
        <w:t>5</w:t>
      </w:r>
      <w:r w:rsidR="00293CC3">
        <w:rPr>
          <w:b/>
          <w:lang w:val="en-US"/>
        </w:rPr>
        <w:t>.2</w:t>
      </w:r>
      <w:r w:rsidR="007675A0" w:rsidRPr="00FB5A06">
        <w:rPr>
          <w:b/>
          <w:lang w:val="en-US"/>
        </w:rPr>
        <w:t>.</w:t>
      </w:r>
      <w:r w:rsidR="007675A0" w:rsidRPr="00FB5A06">
        <w:rPr>
          <w:b/>
          <w:lang w:val="en-US"/>
        </w:rPr>
        <w:tab/>
      </w:r>
      <w:r>
        <w:rPr>
          <w:b/>
          <w:lang w:val="en-US"/>
        </w:rPr>
        <w:t>MRAs for three ‘effects’</w:t>
      </w:r>
    </w:p>
    <w:p w:rsidR="0030498B" w:rsidRPr="0030498B" w:rsidRDefault="00012BC0" w:rsidP="0030498B">
      <w:pPr>
        <w:spacing w:line="360" w:lineRule="auto"/>
        <w:rPr>
          <w:color w:val="FF0000"/>
          <w:lang w:val="en-US"/>
        </w:rPr>
      </w:pPr>
      <w:r>
        <w:rPr>
          <w:lang w:val="en-US"/>
        </w:rPr>
        <w:t>I perform</w:t>
      </w:r>
      <w:r w:rsidR="0030498B">
        <w:rPr>
          <w:lang w:val="en-US"/>
        </w:rPr>
        <w:t xml:space="preserve"> three dif</w:t>
      </w:r>
      <w:r>
        <w:rPr>
          <w:lang w:val="en-US"/>
        </w:rPr>
        <w:t>ferent Meta regression analyses, in which t</w:t>
      </w:r>
      <w:r w:rsidR="0030498B">
        <w:rPr>
          <w:lang w:val="en-US"/>
        </w:rPr>
        <w:t xml:space="preserve">he dependent variables are the coefficients </w:t>
      </w:r>
      <w:r>
        <w:rPr>
          <w:lang w:val="en-US"/>
        </w:rPr>
        <w:t>of</w:t>
      </w:r>
      <w:r w:rsidR="0030498B">
        <w:rPr>
          <w:lang w:val="en-US"/>
        </w:rPr>
        <w:t xml:space="preserve"> the variables firm age, IPO proceeds and underwriter rank. </w:t>
      </w:r>
      <w:r>
        <w:rPr>
          <w:lang w:val="en-US"/>
        </w:rPr>
        <w:t>All t</w:t>
      </w:r>
      <w:r w:rsidR="0030498B">
        <w:rPr>
          <w:lang w:val="en-US"/>
        </w:rPr>
        <w:t xml:space="preserve">hese variables were included </w:t>
      </w:r>
      <w:r>
        <w:rPr>
          <w:lang w:val="en-US"/>
        </w:rPr>
        <w:t xml:space="preserve">as an explanatory variable </w:t>
      </w:r>
      <w:r w:rsidR="0030498B">
        <w:rPr>
          <w:lang w:val="en-US"/>
        </w:rPr>
        <w:t xml:space="preserve">in regressions explaining underpricing. I will try to explain the variation in the reported findings of the coefficients using </w:t>
      </w:r>
      <w:r w:rsidR="00CE7396">
        <w:rPr>
          <w:lang w:val="en-US"/>
        </w:rPr>
        <w:t>study characteristics.</w:t>
      </w:r>
      <w:r>
        <w:rPr>
          <w:lang w:val="en-US"/>
        </w:rPr>
        <w:t xml:space="preserve"> The original coefficients respectively</w:t>
      </w:r>
      <w:r w:rsidR="00CE7396">
        <w:rPr>
          <w:lang w:val="en-US"/>
        </w:rPr>
        <w:t xml:space="preserve"> the study characteristics a</w:t>
      </w:r>
      <w:r w:rsidR="00DE2E4F">
        <w:rPr>
          <w:lang w:val="en-US"/>
        </w:rPr>
        <w:t>re</w:t>
      </w:r>
      <w:r>
        <w:rPr>
          <w:lang w:val="en-US"/>
        </w:rPr>
        <w:t xml:space="preserve"> the dependent respectively</w:t>
      </w:r>
      <w:r w:rsidR="00CE7396">
        <w:rPr>
          <w:lang w:val="en-US"/>
        </w:rPr>
        <w:t xml:space="preserve"> independent variables in</w:t>
      </w:r>
      <w:r w:rsidR="0030498B">
        <w:rPr>
          <w:lang w:val="en-US"/>
        </w:rPr>
        <w:t xml:space="preserve"> equation 2.</w:t>
      </w:r>
      <w:r w:rsidR="00CE7396">
        <w:rPr>
          <w:lang w:val="en-US"/>
        </w:rPr>
        <w:t xml:space="preserve"> </w:t>
      </w:r>
      <w:r w:rsidR="003604E1">
        <w:rPr>
          <w:lang w:val="en-US"/>
        </w:rPr>
        <w:t xml:space="preserve">Stanley and Jarrell (1989) state that all </w:t>
      </w:r>
      <w:r>
        <w:rPr>
          <w:lang w:val="en-US"/>
        </w:rPr>
        <w:t xml:space="preserve">available </w:t>
      </w:r>
      <w:r w:rsidR="003604E1">
        <w:rPr>
          <w:lang w:val="en-US"/>
        </w:rPr>
        <w:t>coefficients (both publ</w:t>
      </w:r>
      <w:r>
        <w:rPr>
          <w:lang w:val="en-US"/>
        </w:rPr>
        <w:t xml:space="preserve">ished and unpublished) </w:t>
      </w:r>
      <w:r w:rsidR="003604E1">
        <w:rPr>
          <w:lang w:val="en-US"/>
        </w:rPr>
        <w:t>need to be included in an MRA. So if a single st</w:t>
      </w:r>
      <w:r w:rsidR="00263BEC">
        <w:rPr>
          <w:lang w:val="en-US"/>
        </w:rPr>
        <w:t>udie</w:t>
      </w:r>
      <w:r w:rsidR="003604E1">
        <w:rPr>
          <w:lang w:val="en-US"/>
        </w:rPr>
        <w:t xml:space="preserve"> includes multiple coefficients, I include all coefficients in the MRA.</w:t>
      </w:r>
    </w:p>
    <w:p w:rsidR="007675A0" w:rsidRPr="004861E4" w:rsidRDefault="00C72939" w:rsidP="007675A0">
      <w:pPr>
        <w:spacing w:line="360" w:lineRule="auto"/>
        <w:ind w:left="1418" w:hanging="851"/>
        <w:outlineLvl w:val="0"/>
        <w:rPr>
          <w:b/>
          <w:lang w:val="en-US"/>
        </w:rPr>
      </w:pPr>
      <w:r>
        <w:rPr>
          <w:b/>
          <w:lang w:val="en-US"/>
        </w:rPr>
        <w:t>5</w:t>
      </w:r>
      <w:r w:rsidR="007675A0">
        <w:rPr>
          <w:b/>
          <w:lang w:val="en-US"/>
        </w:rPr>
        <w:t>.</w:t>
      </w:r>
      <w:r w:rsidR="00293CC3">
        <w:rPr>
          <w:b/>
          <w:lang w:val="en-US"/>
        </w:rPr>
        <w:t>2</w:t>
      </w:r>
      <w:r w:rsidR="007675A0">
        <w:rPr>
          <w:b/>
          <w:lang w:val="en-US"/>
        </w:rPr>
        <w:t>.</w:t>
      </w:r>
      <w:r w:rsidR="00CA1FC5">
        <w:rPr>
          <w:b/>
          <w:lang w:val="en-US"/>
        </w:rPr>
        <w:t>1</w:t>
      </w:r>
      <w:r w:rsidR="007675A0">
        <w:rPr>
          <w:b/>
          <w:lang w:val="en-US"/>
        </w:rPr>
        <w:tab/>
      </w:r>
      <w:r w:rsidR="007675A0" w:rsidRPr="004E4B3A">
        <w:rPr>
          <w:b/>
          <w:lang w:val="en-US"/>
        </w:rPr>
        <w:t>Firm age</w:t>
      </w:r>
    </w:p>
    <w:p w:rsidR="007675A0" w:rsidRDefault="007675A0" w:rsidP="007675A0">
      <w:pPr>
        <w:spacing w:line="360" w:lineRule="auto"/>
        <w:rPr>
          <w:lang w:val="en-US"/>
        </w:rPr>
      </w:pPr>
      <w:r>
        <w:rPr>
          <w:lang w:val="en-US"/>
        </w:rPr>
        <w:t>The dataset for the ‘firm age MRA’ consist</w:t>
      </w:r>
      <w:r w:rsidR="00341AF3">
        <w:rPr>
          <w:lang w:val="en-US"/>
        </w:rPr>
        <w:t>s</w:t>
      </w:r>
      <w:r>
        <w:rPr>
          <w:lang w:val="en-US"/>
        </w:rPr>
        <w:t xml:space="preserve"> of papers that include firm age in a regression with underpricing</w:t>
      </w:r>
      <w:r w:rsidR="00F267F4">
        <w:rPr>
          <w:lang w:val="en-US"/>
        </w:rPr>
        <w:t xml:space="preserve"> as the dependent</w:t>
      </w:r>
      <w:r w:rsidR="00963EA5">
        <w:rPr>
          <w:lang w:val="en-US"/>
        </w:rPr>
        <w:t>.</w:t>
      </w:r>
      <w:r w:rsidR="00F267F4">
        <w:rPr>
          <w:lang w:val="en-US"/>
        </w:rPr>
        <w:t xml:space="preserve"> The papers w</w:t>
      </w:r>
      <w:r>
        <w:rPr>
          <w:lang w:val="en-US"/>
        </w:rPr>
        <w:t xml:space="preserve">ere obtained by using search terms such as: Underpricing, </w:t>
      </w:r>
      <w:r w:rsidR="0030498B">
        <w:rPr>
          <w:lang w:val="en-US"/>
        </w:rPr>
        <w:t>IPO</w:t>
      </w:r>
      <w:r>
        <w:rPr>
          <w:lang w:val="en-US"/>
        </w:rPr>
        <w:t>, Initial underpricing etc., in search engines such as: Google scholar, SSRN, ECONpapers and NBER working papers. Furthermore</w:t>
      </w:r>
      <w:r w:rsidR="00594426">
        <w:rPr>
          <w:lang w:val="en-US"/>
        </w:rPr>
        <w:t>,</w:t>
      </w:r>
      <w:r>
        <w:rPr>
          <w:lang w:val="en-US"/>
        </w:rPr>
        <w:t xml:space="preserve"> the literature references of several papers </w:t>
      </w:r>
      <w:r w:rsidR="00F60D5F">
        <w:rPr>
          <w:lang w:val="en-US"/>
        </w:rPr>
        <w:t>were</w:t>
      </w:r>
      <w:r>
        <w:rPr>
          <w:lang w:val="en-US"/>
        </w:rPr>
        <w:t xml:space="preserve"> scanned to find additional papers on the subject. Table </w:t>
      </w:r>
      <w:r w:rsidR="005B1B11">
        <w:rPr>
          <w:lang w:val="en-US"/>
        </w:rPr>
        <w:t>3</w:t>
      </w:r>
      <w:r>
        <w:rPr>
          <w:lang w:val="en-US"/>
        </w:rPr>
        <w:t xml:space="preserve"> shows summary statistics on the obtained regression coefficients. </w:t>
      </w:r>
    </w:p>
    <w:tbl>
      <w:tblPr>
        <w:tblW w:w="9500" w:type="dxa"/>
        <w:jc w:val="center"/>
        <w:tblInd w:w="55" w:type="dxa"/>
        <w:tblCellMar>
          <w:left w:w="70" w:type="dxa"/>
          <w:right w:w="70" w:type="dxa"/>
        </w:tblCellMar>
        <w:tblLook w:val="04A0"/>
      </w:tblPr>
      <w:tblGrid>
        <w:gridCol w:w="1262"/>
        <w:gridCol w:w="745"/>
        <w:gridCol w:w="909"/>
        <w:gridCol w:w="744"/>
        <w:gridCol w:w="744"/>
        <w:gridCol w:w="676"/>
        <w:gridCol w:w="1006"/>
        <w:gridCol w:w="1339"/>
        <w:gridCol w:w="637"/>
        <w:gridCol w:w="755"/>
        <w:gridCol w:w="683"/>
      </w:tblGrid>
      <w:tr w:rsidR="00EC2068" w:rsidRPr="009D4228" w:rsidTr="007504AF">
        <w:trPr>
          <w:trHeight w:val="300"/>
          <w:jc w:val="center"/>
        </w:trPr>
        <w:tc>
          <w:tcPr>
            <w:tcW w:w="9500" w:type="dxa"/>
            <w:gridSpan w:val="11"/>
            <w:tcBorders>
              <w:top w:val="nil"/>
              <w:left w:val="nil"/>
              <w:bottom w:val="single" w:sz="4" w:space="0" w:color="auto"/>
              <w:right w:val="nil"/>
            </w:tcBorders>
            <w:shd w:val="clear" w:color="000000" w:fill="FFFFFF"/>
            <w:noWrap/>
            <w:vAlign w:val="bottom"/>
            <w:hideMark/>
          </w:tcPr>
          <w:p w:rsidR="00EC2068" w:rsidRPr="00EC2068" w:rsidRDefault="00EC2068" w:rsidP="00EC2068">
            <w:pPr>
              <w:spacing w:after="0" w:line="240" w:lineRule="auto"/>
              <w:jc w:val="center"/>
              <w:rPr>
                <w:rFonts w:ascii="Calibri" w:eastAsia="Times New Roman" w:hAnsi="Calibri" w:cs="Calibri"/>
                <w:b/>
                <w:bCs/>
                <w:color w:val="000000"/>
                <w:lang w:val="en-US" w:eastAsia="nl-NL"/>
              </w:rPr>
            </w:pPr>
            <w:r>
              <w:rPr>
                <w:rFonts w:ascii="Calibri" w:eastAsia="Times New Roman" w:hAnsi="Calibri" w:cs="Calibri"/>
                <w:b/>
                <w:bCs/>
                <w:color w:val="000000"/>
                <w:lang w:val="en-US" w:eastAsia="nl-NL"/>
              </w:rPr>
              <w:t>Table 3</w:t>
            </w:r>
            <w:r w:rsidRPr="00EC2068">
              <w:rPr>
                <w:rFonts w:ascii="Calibri" w:eastAsia="Times New Roman" w:hAnsi="Calibri" w:cs="Calibri"/>
                <w:b/>
                <w:bCs/>
                <w:color w:val="000000"/>
                <w:lang w:val="en-US" w:eastAsia="nl-NL"/>
              </w:rPr>
              <w:t>: Descriptive statistics, The age Coefficient</w:t>
            </w:r>
          </w:p>
        </w:tc>
      </w:tr>
      <w:tr w:rsidR="00EC2068" w:rsidRPr="00EC2068" w:rsidTr="00594426">
        <w:trPr>
          <w:trHeight w:val="315"/>
          <w:jc w:val="center"/>
        </w:trPr>
        <w:tc>
          <w:tcPr>
            <w:tcW w:w="1262"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Type</w:t>
            </w:r>
          </w:p>
        </w:tc>
        <w:tc>
          <w:tcPr>
            <w:tcW w:w="745"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Mean</w:t>
            </w:r>
          </w:p>
        </w:tc>
        <w:tc>
          <w:tcPr>
            <w:tcW w:w="909"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Median</w:t>
            </w:r>
          </w:p>
        </w:tc>
        <w:tc>
          <w:tcPr>
            <w:tcW w:w="744"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Min</w:t>
            </w:r>
          </w:p>
        </w:tc>
        <w:tc>
          <w:tcPr>
            <w:tcW w:w="744"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Max</w:t>
            </w:r>
          </w:p>
        </w:tc>
        <w:tc>
          <w:tcPr>
            <w:tcW w:w="676"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Stdev</w:t>
            </w:r>
          </w:p>
        </w:tc>
        <w:tc>
          <w:tcPr>
            <w:tcW w:w="1006"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 Papers</w:t>
            </w:r>
          </w:p>
        </w:tc>
        <w:tc>
          <w:tcPr>
            <w:tcW w:w="1339"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 Estimates</w:t>
            </w:r>
          </w:p>
        </w:tc>
        <w:tc>
          <w:tcPr>
            <w:tcW w:w="637"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 Pos</w:t>
            </w:r>
          </w:p>
        </w:tc>
        <w:tc>
          <w:tcPr>
            <w:tcW w:w="755" w:type="dxa"/>
            <w:tcBorders>
              <w:top w:val="nil"/>
              <w:left w:val="nil"/>
              <w:bottom w:val="double" w:sz="6" w:space="0" w:color="auto"/>
              <w:right w:val="nil"/>
            </w:tcBorders>
            <w:shd w:val="clear" w:color="000000" w:fill="FFFFFF"/>
            <w:noWrap/>
            <w:vAlign w:val="bottom"/>
            <w:hideMark/>
          </w:tcPr>
          <w:p w:rsidR="00EC2068" w:rsidRPr="00EC2068" w:rsidRDefault="00DE2E4F" w:rsidP="00EC2068">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 I</w:t>
            </w:r>
            <w:r w:rsidR="00EC2068" w:rsidRPr="00EC2068">
              <w:rPr>
                <w:rFonts w:ascii="Calibri" w:eastAsia="Times New Roman" w:hAnsi="Calibri" w:cs="Calibri"/>
                <w:b/>
                <w:bCs/>
                <w:color w:val="000000"/>
                <w:lang w:eastAsia="nl-NL"/>
              </w:rPr>
              <w:t>nsig</w:t>
            </w:r>
          </w:p>
        </w:tc>
        <w:tc>
          <w:tcPr>
            <w:tcW w:w="683"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 Neg</w:t>
            </w:r>
          </w:p>
        </w:tc>
      </w:tr>
      <w:tr w:rsidR="00594426" w:rsidRPr="00EC2068" w:rsidTr="00594426">
        <w:trPr>
          <w:trHeight w:val="315"/>
          <w:jc w:val="center"/>
        </w:trPr>
        <w:tc>
          <w:tcPr>
            <w:tcW w:w="1262"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EC2068" w:rsidP="00EC2068">
            <w:pPr>
              <w:spacing w:after="0" w:line="240" w:lineRule="auto"/>
              <w:rPr>
                <w:rFonts w:ascii="Calibri" w:eastAsia="Times New Roman" w:hAnsi="Calibri" w:cs="Calibri"/>
                <w:color w:val="000000"/>
                <w:lang w:eastAsia="nl-NL"/>
              </w:rPr>
            </w:pPr>
            <w:r w:rsidRPr="00EC2068">
              <w:rPr>
                <w:rFonts w:ascii="Calibri" w:eastAsia="Times New Roman" w:hAnsi="Calibri" w:cs="Calibri"/>
                <w:color w:val="000000"/>
                <w:lang w:eastAsia="nl-NL"/>
              </w:rPr>
              <w:t>Age</w:t>
            </w:r>
          </w:p>
        </w:tc>
        <w:tc>
          <w:tcPr>
            <w:tcW w:w="745"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EC2068" w:rsidP="00287F65">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w:t>
            </w:r>
            <w:r w:rsidR="00287F65">
              <w:rPr>
                <w:rFonts w:ascii="Calibri" w:eastAsia="Times New Roman" w:hAnsi="Calibri" w:cs="Calibri"/>
                <w:color w:val="000000"/>
                <w:lang w:eastAsia="nl-NL"/>
              </w:rPr>
              <w:t>1</w:t>
            </w:r>
          </w:p>
        </w:tc>
        <w:tc>
          <w:tcPr>
            <w:tcW w:w="909"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EC2068" w:rsidP="00287F65">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w:t>
            </w:r>
            <w:r w:rsidR="00287F65">
              <w:rPr>
                <w:rFonts w:ascii="Calibri" w:eastAsia="Times New Roman" w:hAnsi="Calibri" w:cs="Calibri"/>
                <w:color w:val="000000"/>
                <w:lang w:eastAsia="nl-NL"/>
              </w:rPr>
              <w:t>0</w:t>
            </w:r>
          </w:p>
        </w:tc>
        <w:tc>
          <w:tcPr>
            <w:tcW w:w="744"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EC2068" w:rsidP="00287F65">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w:t>
            </w:r>
            <w:r w:rsidR="00287F65">
              <w:rPr>
                <w:rFonts w:ascii="Calibri" w:eastAsia="Times New Roman" w:hAnsi="Calibri" w:cs="Calibri"/>
                <w:color w:val="000000"/>
                <w:lang w:eastAsia="nl-NL"/>
              </w:rPr>
              <w:t>04</w:t>
            </w:r>
          </w:p>
        </w:tc>
        <w:tc>
          <w:tcPr>
            <w:tcW w:w="744"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0,004</w:t>
            </w:r>
          </w:p>
        </w:tc>
        <w:tc>
          <w:tcPr>
            <w:tcW w:w="676"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EC2068" w:rsidP="00287F65">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w:t>
            </w:r>
            <w:r w:rsidR="00287F65">
              <w:rPr>
                <w:rFonts w:ascii="Calibri" w:eastAsia="Times New Roman" w:hAnsi="Calibri" w:cs="Calibri"/>
                <w:color w:val="000000"/>
                <w:lang w:eastAsia="nl-NL"/>
              </w:rPr>
              <w:t>02</w:t>
            </w:r>
          </w:p>
        </w:tc>
        <w:tc>
          <w:tcPr>
            <w:tcW w:w="1006"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EC2068" w:rsidP="00DD18B1">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w:t>
            </w:r>
            <w:r w:rsidR="00DD18B1">
              <w:rPr>
                <w:rFonts w:ascii="Calibri" w:eastAsia="Times New Roman" w:hAnsi="Calibri" w:cs="Calibri"/>
                <w:color w:val="000000"/>
                <w:lang w:eastAsia="nl-NL"/>
              </w:rPr>
              <w:t>5</w:t>
            </w:r>
          </w:p>
        </w:tc>
        <w:tc>
          <w:tcPr>
            <w:tcW w:w="1339"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DD18B1"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27</w:t>
            </w:r>
          </w:p>
        </w:tc>
        <w:tc>
          <w:tcPr>
            <w:tcW w:w="637"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w:t>
            </w:r>
          </w:p>
        </w:tc>
        <w:tc>
          <w:tcPr>
            <w:tcW w:w="755"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11</w:t>
            </w:r>
          </w:p>
        </w:tc>
        <w:tc>
          <w:tcPr>
            <w:tcW w:w="683" w:type="dxa"/>
            <w:tcBorders>
              <w:top w:val="double" w:sz="6" w:space="0" w:color="auto"/>
              <w:left w:val="nil"/>
              <w:bottom w:val="nil"/>
              <w:right w:val="nil"/>
            </w:tcBorders>
            <w:shd w:val="clear" w:color="4F81BD" w:themeColor="accent1" w:fill="FFFFFF" w:themeFill="background1"/>
            <w:noWrap/>
            <w:vAlign w:val="bottom"/>
            <w:hideMark/>
          </w:tcPr>
          <w:p w:rsidR="00EC2068" w:rsidRPr="00EC2068" w:rsidRDefault="00DD18B1" w:rsidP="00DD18B1">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15</w:t>
            </w:r>
          </w:p>
        </w:tc>
      </w:tr>
      <w:tr w:rsidR="00EC2068" w:rsidRPr="00EC2068" w:rsidTr="007504AF">
        <w:trPr>
          <w:trHeight w:val="300"/>
          <w:jc w:val="center"/>
        </w:trPr>
        <w:tc>
          <w:tcPr>
            <w:tcW w:w="1262" w:type="dxa"/>
            <w:tcBorders>
              <w:top w:val="nil"/>
              <w:left w:val="nil"/>
              <w:bottom w:val="nil"/>
              <w:right w:val="nil"/>
            </w:tcBorders>
            <w:shd w:val="clear" w:color="000000" w:fill="FFFFFF"/>
            <w:noWrap/>
            <w:vAlign w:val="bottom"/>
            <w:hideMark/>
          </w:tcPr>
          <w:p w:rsidR="00EC2068" w:rsidRPr="00EC2068" w:rsidRDefault="00043ED2" w:rsidP="00EC2068">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LN</w:t>
            </w:r>
            <w:r w:rsidR="00EC2068" w:rsidRPr="00EC2068">
              <w:rPr>
                <w:rFonts w:ascii="Calibri" w:eastAsia="Times New Roman" w:hAnsi="Calibri" w:cs="Calibri"/>
                <w:color w:val="000000"/>
                <w:lang w:eastAsia="nl-NL"/>
              </w:rPr>
              <w:t>(1+age)</w:t>
            </w:r>
          </w:p>
        </w:tc>
        <w:tc>
          <w:tcPr>
            <w:tcW w:w="745"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-0,01</w:t>
            </w:r>
            <w:r w:rsidR="00AB360D">
              <w:rPr>
                <w:rFonts w:ascii="Calibri" w:eastAsia="Times New Roman" w:hAnsi="Calibri" w:cs="Calibri"/>
                <w:color w:val="000000"/>
                <w:lang w:eastAsia="nl-NL"/>
              </w:rPr>
              <w:t>8</w:t>
            </w:r>
          </w:p>
        </w:tc>
        <w:tc>
          <w:tcPr>
            <w:tcW w:w="909"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-0,01</w:t>
            </w:r>
            <w:r w:rsidR="00AB360D">
              <w:rPr>
                <w:rFonts w:ascii="Calibri" w:eastAsia="Times New Roman" w:hAnsi="Calibri" w:cs="Calibri"/>
                <w:color w:val="000000"/>
                <w:lang w:eastAsia="nl-NL"/>
              </w:rPr>
              <w:t>3</w:t>
            </w:r>
          </w:p>
        </w:tc>
        <w:tc>
          <w:tcPr>
            <w:tcW w:w="744"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-0,050</w:t>
            </w:r>
          </w:p>
        </w:tc>
        <w:tc>
          <w:tcPr>
            <w:tcW w:w="744"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-0,001</w:t>
            </w:r>
          </w:p>
        </w:tc>
        <w:tc>
          <w:tcPr>
            <w:tcW w:w="676"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0,01</w:t>
            </w:r>
            <w:r w:rsidR="00AB360D">
              <w:rPr>
                <w:rFonts w:ascii="Calibri" w:eastAsia="Times New Roman" w:hAnsi="Calibri" w:cs="Calibri"/>
                <w:color w:val="000000"/>
                <w:lang w:eastAsia="nl-NL"/>
              </w:rPr>
              <w:t>4</w:t>
            </w:r>
          </w:p>
        </w:tc>
        <w:tc>
          <w:tcPr>
            <w:tcW w:w="1006" w:type="dxa"/>
            <w:tcBorders>
              <w:top w:val="nil"/>
              <w:left w:val="nil"/>
              <w:bottom w:val="nil"/>
              <w:right w:val="nil"/>
            </w:tcBorders>
            <w:shd w:val="clear" w:color="000000" w:fill="FFFFFF"/>
            <w:noWrap/>
            <w:vAlign w:val="bottom"/>
            <w:hideMark/>
          </w:tcPr>
          <w:p w:rsidR="00EC2068" w:rsidRPr="00EC2068" w:rsidRDefault="00DD18B1"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6</w:t>
            </w:r>
          </w:p>
        </w:tc>
        <w:tc>
          <w:tcPr>
            <w:tcW w:w="1339" w:type="dxa"/>
            <w:tcBorders>
              <w:top w:val="nil"/>
              <w:left w:val="nil"/>
              <w:bottom w:val="nil"/>
              <w:right w:val="nil"/>
            </w:tcBorders>
            <w:shd w:val="clear" w:color="000000" w:fill="FFFFFF"/>
            <w:noWrap/>
            <w:vAlign w:val="bottom"/>
            <w:hideMark/>
          </w:tcPr>
          <w:p w:rsidR="00EC2068" w:rsidRPr="00EC2068" w:rsidRDefault="00EC2068" w:rsidP="00287F65">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2</w:t>
            </w:r>
            <w:r w:rsidR="00287F65">
              <w:rPr>
                <w:rFonts w:ascii="Calibri" w:eastAsia="Times New Roman" w:hAnsi="Calibri" w:cs="Calibri"/>
                <w:color w:val="000000"/>
                <w:lang w:eastAsia="nl-NL"/>
              </w:rPr>
              <w:t>8</w:t>
            </w:r>
          </w:p>
        </w:tc>
        <w:tc>
          <w:tcPr>
            <w:tcW w:w="637"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w:t>
            </w:r>
          </w:p>
        </w:tc>
        <w:tc>
          <w:tcPr>
            <w:tcW w:w="755"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6</w:t>
            </w:r>
          </w:p>
        </w:tc>
        <w:tc>
          <w:tcPr>
            <w:tcW w:w="683" w:type="dxa"/>
            <w:tcBorders>
              <w:top w:val="nil"/>
              <w:left w:val="nil"/>
              <w:bottom w:val="nil"/>
              <w:right w:val="nil"/>
            </w:tcBorders>
            <w:shd w:val="clear" w:color="000000" w:fill="FFFFFF"/>
            <w:noWrap/>
            <w:vAlign w:val="bottom"/>
            <w:hideMark/>
          </w:tcPr>
          <w:p w:rsidR="00EC2068" w:rsidRPr="00EC2068" w:rsidRDefault="00DD18B1"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21</w:t>
            </w:r>
          </w:p>
        </w:tc>
      </w:tr>
      <w:tr w:rsidR="00EC2068" w:rsidRPr="00EC2068" w:rsidTr="007504AF">
        <w:trPr>
          <w:trHeight w:val="300"/>
          <w:jc w:val="center"/>
        </w:trPr>
        <w:tc>
          <w:tcPr>
            <w:tcW w:w="1262"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color w:val="000000"/>
                <w:lang w:eastAsia="nl-NL"/>
              </w:rPr>
            </w:pPr>
            <w:r w:rsidRPr="00EC2068">
              <w:rPr>
                <w:rFonts w:ascii="Calibri" w:eastAsia="Times New Roman" w:hAnsi="Calibri" w:cs="Calibri"/>
                <w:color w:val="000000"/>
                <w:lang w:eastAsia="nl-NL"/>
              </w:rPr>
              <w:t>Log(1+age)</w:t>
            </w:r>
          </w:p>
        </w:tc>
        <w:tc>
          <w:tcPr>
            <w:tcW w:w="745"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-0,008</w:t>
            </w:r>
          </w:p>
        </w:tc>
        <w:tc>
          <w:tcPr>
            <w:tcW w:w="909"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-0,003</w:t>
            </w:r>
          </w:p>
        </w:tc>
        <w:tc>
          <w:tcPr>
            <w:tcW w:w="744"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-0,038</w:t>
            </w:r>
          </w:p>
        </w:tc>
        <w:tc>
          <w:tcPr>
            <w:tcW w:w="744"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-0,001</w:t>
            </w:r>
          </w:p>
        </w:tc>
        <w:tc>
          <w:tcPr>
            <w:tcW w:w="676"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0,010</w:t>
            </w:r>
          </w:p>
        </w:tc>
        <w:tc>
          <w:tcPr>
            <w:tcW w:w="1006"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5</w:t>
            </w:r>
          </w:p>
        </w:tc>
        <w:tc>
          <w:tcPr>
            <w:tcW w:w="1339"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19</w:t>
            </w:r>
          </w:p>
        </w:tc>
        <w:tc>
          <w:tcPr>
            <w:tcW w:w="637"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w:t>
            </w:r>
          </w:p>
        </w:tc>
        <w:tc>
          <w:tcPr>
            <w:tcW w:w="755"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9</w:t>
            </w:r>
          </w:p>
        </w:tc>
        <w:tc>
          <w:tcPr>
            <w:tcW w:w="683"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10</w:t>
            </w:r>
          </w:p>
        </w:tc>
      </w:tr>
      <w:tr w:rsidR="00EC2068" w:rsidRPr="00EC2068" w:rsidTr="007504AF">
        <w:trPr>
          <w:trHeight w:val="300"/>
          <w:jc w:val="center"/>
        </w:trPr>
        <w:tc>
          <w:tcPr>
            <w:tcW w:w="1262" w:type="dxa"/>
            <w:tcBorders>
              <w:top w:val="nil"/>
              <w:left w:val="nil"/>
              <w:bottom w:val="nil"/>
              <w:right w:val="nil"/>
            </w:tcBorders>
            <w:shd w:val="clear" w:color="000000" w:fill="FFFFFF"/>
            <w:noWrap/>
            <w:vAlign w:val="bottom"/>
            <w:hideMark/>
          </w:tcPr>
          <w:p w:rsidR="00EC2068" w:rsidRPr="00EC2068" w:rsidRDefault="00043ED2" w:rsidP="00EC2068">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LN</w:t>
            </w:r>
            <w:r w:rsidR="00EC2068" w:rsidRPr="00EC2068">
              <w:rPr>
                <w:rFonts w:ascii="Calibri" w:eastAsia="Times New Roman" w:hAnsi="Calibri" w:cs="Calibri"/>
                <w:color w:val="000000"/>
                <w:lang w:eastAsia="nl-NL"/>
              </w:rPr>
              <w:t>(age)</w:t>
            </w:r>
          </w:p>
        </w:tc>
        <w:tc>
          <w:tcPr>
            <w:tcW w:w="745"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-0,023</w:t>
            </w:r>
          </w:p>
        </w:tc>
        <w:tc>
          <w:tcPr>
            <w:tcW w:w="909"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-0,021</w:t>
            </w:r>
          </w:p>
        </w:tc>
        <w:tc>
          <w:tcPr>
            <w:tcW w:w="744"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-0,053</w:t>
            </w:r>
          </w:p>
        </w:tc>
        <w:tc>
          <w:tcPr>
            <w:tcW w:w="744"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0,007</w:t>
            </w:r>
          </w:p>
        </w:tc>
        <w:tc>
          <w:tcPr>
            <w:tcW w:w="676"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0,016</w:t>
            </w:r>
          </w:p>
        </w:tc>
        <w:tc>
          <w:tcPr>
            <w:tcW w:w="1006"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6</w:t>
            </w:r>
          </w:p>
        </w:tc>
        <w:tc>
          <w:tcPr>
            <w:tcW w:w="1339"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16</w:t>
            </w:r>
          </w:p>
        </w:tc>
        <w:tc>
          <w:tcPr>
            <w:tcW w:w="637"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w:t>
            </w:r>
          </w:p>
        </w:tc>
        <w:tc>
          <w:tcPr>
            <w:tcW w:w="755"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4</w:t>
            </w:r>
          </w:p>
        </w:tc>
        <w:tc>
          <w:tcPr>
            <w:tcW w:w="683"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12</w:t>
            </w:r>
          </w:p>
        </w:tc>
      </w:tr>
      <w:tr w:rsidR="00EC2068" w:rsidRPr="00EC2068" w:rsidTr="007504AF">
        <w:trPr>
          <w:trHeight w:val="300"/>
          <w:jc w:val="center"/>
        </w:trPr>
        <w:tc>
          <w:tcPr>
            <w:tcW w:w="1262"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color w:val="000000"/>
                <w:lang w:eastAsia="nl-NL"/>
              </w:rPr>
            </w:pPr>
            <w:r w:rsidRPr="00EC2068">
              <w:rPr>
                <w:rFonts w:ascii="Calibri" w:eastAsia="Times New Roman" w:hAnsi="Calibri" w:cs="Calibri"/>
                <w:color w:val="000000"/>
                <w:lang w:eastAsia="nl-NL"/>
              </w:rPr>
              <w:t>Log(age)</w:t>
            </w:r>
          </w:p>
        </w:tc>
        <w:tc>
          <w:tcPr>
            <w:tcW w:w="745"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-0,006</w:t>
            </w:r>
          </w:p>
        </w:tc>
        <w:tc>
          <w:tcPr>
            <w:tcW w:w="909"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-0,002</w:t>
            </w:r>
          </w:p>
        </w:tc>
        <w:tc>
          <w:tcPr>
            <w:tcW w:w="744"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-0,031</w:t>
            </w:r>
          </w:p>
        </w:tc>
        <w:tc>
          <w:tcPr>
            <w:tcW w:w="744"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0,001</w:t>
            </w:r>
          </w:p>
        </w:tc>
        <w:tc>
          <w:tcPr>
            <w:tcW w:w="676"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0,011</w:t>
            </w:r>
          </w:p>
        </w:tc>
        <w:tc>
          <w:tcPr>
            <w:tcW w:w="1006"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3</w:t>
            </w:r>
          </w:p>
        </w:tc>
        <w:tc>
          <w:tcPr>
            <w:tcW w:w="1339"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12</w:t>
            </w:r>
          </w:p>
        </w:tc>
        <w:tc>
          <w:tcPr>
            <w:tcW w:w="637"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w:t>
            </w:r>
          </w:p>
        </w:tc>
        <w:tc>
          <w:tcPr>
            <w:tcW w:w="755"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6</w:t>
            </w:r>
          </w:p>
        </w:tc>
        <w:tc>
          <w:tcPr>
            <w:tcW w:w="683" w:type="dxa"/>
            <w:tcBorders>
              <w:top w:val="nil"/>
              <w:left w:val="nil"/>
              <w:bottom w:val="nil"/>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6</w:t>
            </w:r>
          </w:p>
        </w:tc>
      </w:tr>
      <w:tr w:rsidR="00EC2068" w:rsidRPr="00EC2068" w:rsidTr="007504AF">
        <w:trPr>
          <w:trHeight w:val="300"/>
          <w:jc w:val="center"/>
        </w:trPr>
        <w:tc>
          <w:tcPr>
            <w:tcW w:w="1262" w:type="dxa"/>
            <w:tcBorders>
              <w:top w:val="nil"/>
              <w:left w:val="nil"/>
              <w:bottom w:val="single" w:sz="4"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color w:val="000000"/>
                <w:lang w:eastAsia="nl-NL"/>
              </w:rPr>
            </w:pPr>
            <w:r w:rsidRPr="00EC2068">
              <w:rPr>
                <w:rFonts w:ascii="Calibri" w:eastAsia="Times New Roman" w:hAnsi="Calibri" w:cs="Calibri"/>
                <w:color w:val="000000"/>
                <w:lang w:eastAsia="nl-NL"/>
              </w:rPr>
              <w:t>Total</w:t>
            </w:r>
          </w:p>
        </w:tc>
        <w:tc>
          <w:tcPr>
            <w:tcW w:w="745" w:type="dxa"/>
            <w:tcBorders>
              <w:top w:val="nil"/>
              <w:left w:val="nil"/>
              <w:bottom w:val="single" w:sz="4" w:space="0" w:color="auto"/>
              <w:right w:val="nil"/>
            </w:tcBorders>
            <w:shd w:val="clear" w:color="000000" w:fill="FFFFFF"/>
            <w:noWrap/>
            <w:vAlign w:val="bottom"/>
            <w:hideMark/>
          </w:tcPr>
          <w:p w:rsidR="00EC2068" w:rsidRPr="00EC2068" w:rsidRDefault="00EC2068" w:rsidP="00F04494">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w:t>
            </w:r>
          </w:p>
        </w:tc>
        <w:tc>
          <w:tcPr>
            <w:tcW w:w="909" w:type="dxa"/>
            <w:tcBorders>
              <w:top w:val="nil"/>
              <w:left w:val="nil"/>
              <w:bottom w:val="single" w:sz="4" w:space="0" w:color="auto"/>
              <w:right w:val="nil"/>
            </w:tcBorders>
            <w:shd w:val="clear" w:color="000000" w:fill="FFFFFF"/>
            <w:noWrap/>
            <w:vAlign w:val="bottom"/>
            <w:hideMark/>
          </w:tcPr>
          <w:p w:rsidR="00EC2068" w:rsidRPr="00EC2068" w:rsidRDefault="00EC2068" w:rsidP="00F04494">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w:t>
            </w:r>
          </w:p>
        </w:tc>
        <w:tc>
          <w:tcPr>
            <w:tcW w:w="744" w:type="dxa"/>
            <w:tcBorders>
              <w:top w:val="nil"/>
              <w:left w:val="nil"/>
              <w:bottom w:val="single" w:sz="4" w:space="0" w:color="auto"/>
              <w:right w:val="nil"/>
            </w:tcBorders>
            <w:shd w:val="clear" w:color="000000" w:fill="FFFFFF"/>
            <w:noWrap/>
            <w:vAlign w:val="bottom"/>
            <w:hideMark/>
          </w:tcPr>
          <w:p w:rsidR="00EC2068" w:rsidRPr="00EC2068" w:rsidRDefault="00EC2068" w:rsidP="00F04494">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w:t>
            </w:r>
          </w:p>
        </w:tc>
        <w:tc>
          <w:tcPr>
            <w:tcW w:w="744" w:type="dxa"/>
            <w:tcBorders>
              <w:top w:val="nil"/>
              <w:left w:val="nil"/>
              <w:bottom w:val="single" w:sz="4" w:space="0" w:color="auto"/>
              <w:right w:val="nil"/>
            </w:tcBorders>
            <w:shd w:val="clear" w:color="000000" w:fill="FFFFFF"/>
            <w:noWrap/>
            <w:vAlign w:val="bottom"/>
            <w:hideMark/>
          </w:tcPr>
          <w:p w:rsidR="00EC2068" w:rsidRPr="00EC2068" w:rsidRDefault="00EC2068" w:rsidP="00F04494">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w:t>
            </w:r>
          </w:p>
        </w:tc>
        <w:tc>
          <w:tcPr>
            <w:tcW w:w="676" w:type="dxa"/>
            <w:tcBorders>
              <w:top w:val="nil"/>
              <w:left w:val="nil"/>
              <w:bottom w:val="single" w:sz="4" w:space="0" w:color="auto"/>
              <w:right w:val="nil"/>
            </w:tcBorders>
            <w:shd w:val="clear" w:color="000000" w:fill="FFFFFF"/>
            <w:noWrap/>
            <w:vAlign w:val="bottom"/>
            <w:hideMark/>
          </w:tcPr>
          <w:p w:rsidR="00EC2068" w:rsidRPr="00EC2068" w:rsidRDefault="00EC2068" w:rsidP="00F04494">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 </w:t>
            </w:r>
            <w:r w:rsidR="00F04494">
              <w:rPr>
                <w:rFonts w:ascii="Calibri" w:eastAsia="Times New Roman" w:hAnsi="Calibri" w:cs="Calibri"/>
                <w:color w:val="000000"/>
                <w:lang w:eastAsia="nl-NL"/>
              </w:rPr>
              <w:t>-</w:t>
            </w:r>
          </w:p>
        </w:tc>
        <w:tc>
          <w:tcPr>
            <w:tcW w:w="1006" w:type="dxa"/>
            <w:tcBorders>
              <w:top w:val="nil"/>
              <w:left w:val="nil"/>
              <w:bottom w:val="single" w:sz="4"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35</w:t>
            </w:r>
          </w:p>
        </w:tc>
        <w:tc>
          <w:tcPr>
            <w:tcW w:w="1339" w:type="dxa"/>
            <w:tcBorders>
              <w:top w:val="nil"/>
              <w:left w:val="nil"/>
              <w:bottom w:val="single" w:sz="4"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102</w:t>
            </w:r>
          </w:p>
        </w:tc>
        <w:tc>
          <w:tcPr>
            <w:tcW w:w="637" w:type="dxa"/>
            <w:tcBorders>
              <w:top w:val="nil"/>
              <w:left w:val="nil"/>
              <w:bottom w:val="single" w:sz="4"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w:t>
            </w:r>
          </w:p>
        </w:tc>
        <w:tc>
          <w:tcPr>
            <w:tcW w:w="755" w:type="dxa"/>
            <w:tcBorders>
              <w:top w:val="nil"/>
              <w:left w:val="nil"/>
              <w:bottom w:val="single" w:sz="4"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36</w:t>
            </w:r>
          </w:p>
        </w:tc>
        <w:tc>
          <w:tcPr>
            <w:tcW w:w="683" w:type="dxa"/>
            <w:tcBorders>
              <w:top w:val="nil"/>
              <w:left w:val="nil"/>
              <w:bottom w:val="single" w:sz="4"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65</w:t>
            </w:r>
          </w:p>
        </w:tc>
      </w:tr>
    </w:tbl>
    <w:p w:rsidR="00264294" w:rsidRPr="00264294" w:rsidRDefault="005A30FF" w:rsidP="007210EF">
      <w:pPr>
        <w:spacing w:after="0" w:line="240" w:lineRule="auto"/>
        <w:jc w:val="both"/>
        <w:rPr>
          <w:rFonts w:ascii="Calibri" w:eastAsia="Times New Roman" w:hAnsi="Calibri" w:cs="Calibri"/>
          <w:b/>
          <w:bCs/>
          <w:color w:val="000000"/>
          <w:lang w:val="en-US" w:eastAsia="nl-NL"/>
        </w:rPr>
      </w:pPr>
      <w:r>
        <w:rPr>
          <w:sz w:val="18"/>
          <w:szCs w:val="18"/>
          <w:lang w:val="en-US"/>
        </w:rPr>
        <w:t>Table 3 shows descriptive statistics of the dependent variable</w:t>
      </w:r>
      <w:r w:rsidR="00264294">
        <w:rPr>
          <w:sz w:val="18"/>
          <w:szCs w:val="18"/>
          <w:lang w:val="en-US"/>
        </w:rPr>
        <w:t xml:space="preserve"> Age used in the MRA. The Transformed coefficients, </w:t>
      </w:r>
      <w:proofErr w:type="gramStart"/>
      <w:r w:rsidR="00043ED2">
        <w:rPr>
          <w:sz w:val="18"/>
          <w:szCs w:val="18"/>
          <w:lang w:val="en-US"/>
        </w:rPr>
        <w:t>LN</w:t>
      </w:r>
      <w:r w:rsidR="00264294">
        <w:rPr>
          <w:sz w:val="18"/>
          <w:szCs w:val="18"/>
          <w:lang w:val="en-US"/>
        </w:rPr>
        <w:t>(</w:t>
      </w:r>
      <w:proofErr w:type="gramEnd"/>
      <w:r w:rsidR="00264294">
        <w:rPr>
          <w:sz w:val="18"/>
          <w:szCs w:val="18"/>
          <w:lang w:val="en-US"/>
        </w:rPr>
        <w:t xml:space="preserve">1+age), Log(1+age), </w:t>
      </w:r>
      <w:r w:rsidR="00043ED2">
        <w:rPr>
          <w:sz w:val="18"/>
          <w:szCs w:val="18"/>
          <w:lang w:val="en-US"/>
        </w:rPr>
        <w:t>LN</w:t>
      </w:r>
      <w:r w:rsidR="00264294">
        <w:rPr>
          <w:sz w:val="18"/>
          <w:szCs w:val="18"/>
          <w:lang w:val="en-US"/>
        </w:rPr>
        <w:t xml:space="preserve">(Age), Log(Age) are not included in the MRA and are shown for illustrative purposes. The table shows the standard deviations, mean, median, minimum and maximum values.  </w:t>
      </w:r>
      <w:r w:rsidR="00264294" w:rsidRPr="00264294">
        <w:rPr>
          <w:rFonts w:ascii="Calibri" w:eastAsia="Times New Roman" w:hAnsi="Calibri" w:cs="Calibri"/>
          <w:bCs/>
          <w:color w:val="000000"/>
          <w:sz w:val="18"/>
          <w:szCs w:val="18"/>
          <w:lang w:val="en-US" w:eastAsia="nl-NL"/>
        </w:rPr>
        <w:t xml:space="preserve"># Papers </w:t>
      </w:r>
      <w:r w:rsidR="00264294">
        <w:rPr>
          <w:rFonts w:ascii="Calibri" w:eastAsia="Times New Roman" w:hAnsi="Calibri" w:cs="Calibri"/>
          <w:bCs/>
          <w:color w:val="000000"/>
          <w:sz w:val="18"/>
          <w:szCs w:val="18"/>
          <w:lang w:val="en-US" w:eastAsia="nl-NL"/>
        </w:rPr>
        <w:t>indicates</w:t>
      </w:r>
      <w:r w:rsidR="00264294" w:rsidRPr="00264294">
        <w:rPr>
          <w:rFonts w:ascii="Calibri" w:eastAsia="Times New Roman" w:hAnsi="Calibri" w:cs="Calibri"/>
          <w:bCs/>
          <w:color w:val="000000"/>
          <w:sz w:val="18"/>
          <w:szCs w:val="18"/>
          <w:lang w:val="en-US" w:eastAsia="nl-NL"/>
        </w:rPr>
        <w:t xml:space="preserve"> the number of papers from</w:t>
      </w:r>
      <w:r w:rsidR="00055E15">
        <w:rPr>
          <w:rFonts w:ascii="Calibri" w:eastAsia="Times New Roman" w:hAnsi="Calibri" w:cs="Calibri"/>
          <w:bCs/>
          <w:color w:val="000000"/>
          <w:sz w:val="18"/>
          <w:szCs w:val="18"/>
          <w:lang w:val="en-US" w:eastAsia="nl-NL"/>
        </w:rPr>
        <w:t xml:space="preserve"> which</w:t>
      </w:r>
      <w:r w:rsidR="00264294" w:rsidRPr="00264294">
        <w:rPr>
          <w:rFonts w:ascii="Calibri" w:eastAsia="Times New Roman" w:hAnsi="Calibri" w:cs="Calibri"/>
          <w:bCs/>
          <w:color w:val="000000"/>
          <w:sz w:val="18"/>
          <w:szCs w:val="18"/>
          <w:lang w:val="en-US" w:eastAsia="nl-NL"/>
        </w:rPr>
        <w:t xml:space="preserve"> the coefficients </w:t>
      </w:r>
      <w:r w:rsidR="00F60D5F">
        <w:rPr>
          <w:rFonts w:ascii="Calibri" w:eastAsia="Times New Roman" w:hAnsi="Calibri" w:cs="Calibri"/>
          <w:bCs/>
          <w:color w:val="000000"/>
          <w:sz w:val="18"/>
          <w:szCs w:val="18"/>
          <w:lang w:val="en-US" w:eastAsia="nl-NL"/>
        </w:rPr>
        <w:t>were</w:t>
      </w:r>
      <w:r w:rsidR="00264294" w:rsidRPr="00264294">
        <w:rPr>
          <w:rFonts w:ascii="Calibri" w:eastAsia="Times New Roman" w:hAnsi="Calibri" w:cs="Calibri"/>
          <w:bCs/>
          <w:color w:val="000000"/>
          <w:sz w:val="18"/>
          <w:szCs w:val="18"/>
          <w:lang w:val="en-US" w:eastAsia="nl-NL"/>
        </w:rPr>
        <w:t xml:space="preserve"> obtained. # Estimates </w:t>
      </w:r>
      <w:r w:rsidR="00264294">
        <w:rPr>
          <w:rFonts w:ascii="Calibri" w:eastAsia="Times New Roman" w:hAnsi="Calibri" w:cs="Calibri"/>
          <w:bCs/>
          <w:color w:val="000000"/>
          <w:sz w:val="18"/>
          <w:szCs w:val="18"/>
          <w:lang w:val="en-US" w:eastAsia="nl-NL"/>
        </w:rPr>
        <w:t>indicate</w:t>
      </w:r>
      <w:r w:rsidR="00264294" w:rsidRPr="00264294">
        <w:rPr>
          <w:rFonts w:ascii="Calibri" w:eastAsia="Times New Roman" w:hAnsi="Calibri" w:cs="Calibri"/>
          <w:bCs/>
          <w:color w:val="000000"/>
          <w:sz w:val="18"/>
          <w:szCs w:val="18"/>
          <w:lang w:val="en-US" w:eastAsia="nl-NL"/>
        </w:rPr>
        <w:t xml:space="preserve">s the number of coefficients obtained from the included papers. </w:t>
      </w:r>
      <w:r w:rsidR="00DE2E4F">
        <w:rPr>
          <w:rFonts w:ascii="Calibri" w:eastAsia="Times New Roman" w:hAnsi="Calibri" w:cs="Calibri"/>
          <w:bCs/>
          <w:color w:val="000000"/>
          <w:sz w:val="18"/>
          <w:szCs w:val="18"/>
          <w:lang w:val="en-US" w:eastAsia="nl-NL"/>
        </w:rPr>
        <w:t># Pos, # I</w:t>
      </w:r>
      <w:r w:rsidR="00264294">
        <w:rPr>
          <w:rFonts w:ascii="Calibri" w:eastAsia="Times New Roman" w:hAnsi="Calibri" w:cs="Calibri"/>
          <w:bCs/>
          <w:color w:val="000000"/>
          <w:sz w:val="18"/>
          <w:szCs w:val="18"/>
          <w:lang w:val="en-US" w:eastAsia="nl-NL"/>
        </w:rPr>
        <w:t xml:space="preserve">nsig and # </w:t>
      </w:r>
      <w:proofErr w:type="gramStart"/>
      <w:r w:rsidR="00264294">
        <w:rPr>
          <w:rFonts w:ascii="Calibri" w:eastAsia="Times New Roman" w:hAnsi="Calibri" w:cs="Calibri"/>
          <w:bCs/>
          <w:color w:val="000000"/>
          <w:sz w:val="18"/>
          <w:szCs w:val="18"/>
          <w:lang w:val="en-US" w:eastAsia="nl-NL"/>
        </w:rPr>
        <w:t>Neg,</w:t>
      </w:r>
      <w:proofErr w:type="gramEnd"/>
      <w:r w:rsidR="00264294">
        <w:rPr>
          <w:rFonts w:ascii="Calibri" w:eastAsia="Times New Roman" w:hAnsi="Calibri" w:cs="Calibri"/>
          <w:bCs/>
          <w:color w:val="000000"/>
          <w:sz w:val="18"/>
          <w:szCs w:val="18"/>
          <w:lang w:val="en-US" w:eastAsia="nl-NL"/>
        </w:rPr>
        <w:t xml:space="preserve"> show the number of coefficients that are either positive and significant on the 5% level, insignificant, or negative and significant on the 5% level.</w:t>
      </w:r>
    </w:p>
    <w:p w:rsidR="007675A0" w:rsidRDefault="007675A0" w:rsidP="007675A0">
      <w:pPr>
        <w:spacing w:after="0" w:line="240" w:lineRule="auto"/>
        <w:rPr>
          <w:b/>
          <w:lang w:val="en-US"/>
        </w:rPr>
      </w:pPr>
    </w:p>
    <w:p w:rsidR="00263BEC" w:rsidRDefault="00BB06C6" w:rsidP="007675A0">
      <w:pPr>
        <w:spacing w:line="360" w:lineRule="auto"/>
        <w:rPr>
          <w:lang w:val="en-US"/>
        </w:rPr>
      </w:pPr>
      <w:r>
        <w:rPr>
          <w:lang w:val="en-US"/>
        </w:rPr>
        <w:t>Unfortunately, the different types of the age coefficient cannot be used in a single MRA equation. As the number of papers from which the observation where obtained is highest for the untransformed variable age, this variable is used in the MRA equation</w:t>
      </w:r>
      <w:r>
        <w:rPr>
          <w:rStyle w:val="FootnoteReference"/>
          <w:lang w:val="en-US"/>
        </w:rPr>
        <w:footnoteReference w:id="32"/>
      </w:r>
      <w:r>
        <w:rPr>
          <w:lang w:val="en-US"/>
        </w:rPr>
        <w:t>.</w:t>
      </w:r>
      <w:r w:rsidR="00263BEC">
        <w:rPr>
          <w:lang w:val="en-US"/>
        </w:rPr>
        <w:t xml:space="preserve"> The coefficient can be interpreted as </w:t>
      </w:r>
      <w:r w:rsidR="00263BEC">
        <w:rPr>
          <w:lang w:val="en-US"/>
        </w:rPr>
        <w:lastRenderedPageBreak/>
        <w:t>follows: A coefficient of -0.01 indicates that older firms are associated with less underpricing. An additional year between incorporation and the IPO lowers underpricing by 1%.</w:t>
      </w:r>
      <w:r>
        <w:rPr>
          <w:lang w:val="en-US"/>
        </w:rPr>
        <w:t xml:space="preserve"> </w:t>
      </w:r>
    </w:p>
    <w:p w:rsidR="007675A0" w:rsidRDefault="007675A0" w:rsidP="007675A0">
      <w:pPr>
        <w:spacing w:line="360" w:lineRule="auto"/>
        <w:rPr>
          <w:lang w:val="en-US"/>
        </w:rPr>
      </w:pPr>
      <w:r w:rsidRPr="00871AC0">
        <w:rPr>
          <w:lang w:val="en-US"/>
        </w:rPr>
        <w:t xml:space="preserve">The </w:t>
      </w:r>
      <w:r>
        <w:rPr>
          <w:lang w:val="en-US"/>
        </w:rPr>
        <w:t>transformed coefficients for age</w:t>
      </w:r>
      <w:r w:rsidR="009A1F95">
        <w:rPr>
          <w:lang w:val="en-US"/>
        </w:rPr>
        <w:t>,</w:t>
      </w:r>
      <w:r w:rsidR="00055E15">
        <w:rPr>
          <w:lang w:val="en-US"/>
        </w:rPr>
        <w:t xml:space="preserve"> </w:t>
      </w:r>
      <w:proofErr w:type="gramStart"/>
      <w:r w:rsidR="00043ED2">
        <w:rPr>
          <w:lang w:val="en-US"/>
        </w:rPr>
        <w:t>LN</w:t>
      </w:r>
      <w:r w:rsidR="00055E15">
        <w:rPr>
          <w:lang w:val="en-US"/>
        </w:rPr>
        <w:t>(</w:t>
      </w:r>
      <w:proofErr w:type="gramEnd"/>
      <w:r w:rsidR="00055E15">
        <w:rPr>
          <w:lang w:val="en-US"/>
        </w:rPr>
        <w:t>1+age), Log</w:t>
      </w:r>
      <w:r w:rsidR="00F267F4">
        <w:rPr>
          <w:lang w:val="en-US"/>
        </w:rPr>
        <w:t xml:space="preserve">(1+age), </w:t>
      </w:r>
      <w:r w:rsidR="00043ED2">
        <w:rPr>
          <w:lang w:val="en-US"/>
        </w:rPr>
        <w:t>LN</w:t>
      </w:r>
      <w:r w:rsidR="00F267F4">
        <w:rPr>
          <w:lang w:val="en-US"/>
        </w:rPr>
        <w:t>(age), and Log(age)</w:t>
      </w:r>
      <w:r>
        <w:rPr>
          <w:lang w:val="en-US"/>
        </w:rPr>
        <w:t xml:space="preserve"> </w:t>
      </w:r>
      <w:r w:rsidRPr="00871AC0">
        <w:rPr>
          <w:lang w:val="en-US"/>
        </w:rPr>
        <w:t xml:space="preserve">are not </w:t>
      </w:r>
      <w:r w:rsidR="00594426">
        <w:rPr>
          <w:lang w:val="en-US"/>
        </w:rPr>
        <w:t>included in the analysis and</w:t>
      </w:r>
      <w:r w:rsidRPr="00871AC0">
        <w:rPr>
          <w:lang w:val="en-US"/>
        </w:rPr>
        <w:t xml:space="preserve"> reported for illustrative purposes</w:t>
      </w:r>
      <w:r w:rsidR="00F267F4">
        <w:rPr>
          <w:lang w:val="en-US"/>
        </w:rPr>
        <w:t xml:space="preserve"> only</w:t>
      </w:r>
      <w:r w:rsidRPr="00871AC0">
        <w:rPr>
          <w:lang w:val="en-US"/>
        </w:rPr>
        <w:t xml:space="preserve">. Table </w:t>
      </w:r>
      <w:r w:rsidR="00594426">
        <w:rPr>
          <w:lang w:val="en-US"/>
        </w:rPr>
        <w:t>3</w:t>
      </w:r>
      <w:r w:rsidRPr="00871AC0">
        <w:rPr>
          <w:lang w:val="en-US"/>
        </w:rPr>
        <w:t xml:space="preserve"> shows that </w:t>
      </w:r>
      <w:r>
        <w:rPr>
          <w:lang w:val="en-US"/>
        </w:rPr>
        <w:t xml:space="preserve">102 estimates were drawn from 35 papers. Of these estimates, 65 </w:t>
      </w:r>
      <w:r w:rsidR="005B3316">
        <w:rPr>
          <w:lang w:val="en-US"/>
        </w:rPr>
        <w:t>are</w:t>
      </w:r>
      <w:r>
        <w:rPr>
          <w:lang w:val="en-US"/>
        </w:rPr>
        <w:t xml:space="preserve"> negative and significant on the 5% level, 36 </w:t>
      </w:r>
      <w:r w:rsidR="005B3316">
        <w:rPr>
          <w:lang w:val="en-US"/>
        </w:rPr>
        <w:t>are</w:t>
      </w:r>
      <w:r>
        <w:rPr>
          <w:lang w:val="en-US"/>
        </w:rPr>
        <w:t xml:space="preserve"> insignificant</w:t>
      </w:r>
      <w:r w:rsidR="00F267F4">
        <w:rPr>
          <w:lang w:val="en-US"/>
        </w:rPr>
        <w:t>,</w:t>
      </w:r>
      <w:r w:rsidR="005B3316">
        <w:rPr>
          <w:lang w:val="en-US"/>
        </w:rPr>
        <w:t xml:space="preserve"> and only 1 estimate is</w:t>
      </w:r>
      <w:r>
        <w:rPr>
          <w:lang w:val="en-US"/>
        </w:rPr>
        <w:t xml:space="preserve"> positive and significant</w:t>
      </w:r>
      <w:r w:rsidR="00CE7396">
        <w:rPr>
          <w:rStyle w:val="FootnoteReference"/>
          <w:lang w:val="en-US"/>
        </w:rPr>
        <w:footnoteReference w:id="33"/>
      </w:r>
      <w:r>
        <w:rPr>
          <w:lang w:val="en-US"/>
        </w:rPr>
        <w:t>. A positive coefficient indicates that underpricing increases with firm age and vic</w:t>
      </w:r>
      <w:r w:rsidR="00E56642">
        <w:rPr>
          <w:lang w:val="en-US"/>
        </w:rPr>
        <w:t>e versa. The standard deviation</w:t>
      </w:r>
      <w:r>
        <w:rPr>
          <w:lang w:val="en-US"/>
        </w:rPr>
        <w:t xml:space="preserve"> indicates large variation</w:t>
      </w:r>
      <w:r w:rsidR="00F267F4">
        <w:rPr>
          <w:lang w:val="en-US"/>
        </w:rPr>
        <w:t>s</w:t>
      </w:r>
      <w:r>
        <w:rPr>
          <w:lang w:val="en-US"/>
        </w:rPr>
        <w:t xml:space="preserve"> in reported fi</w:t>
      </w:r>
      <w:r w:rsidR="00594426">
        <w:rPr>
          <w:lang w:val="en-US"/>
        </w:rPr>
        <w:t>ndings. The data included in our</w:t>
      </w:r>
      <w:r>
        <w:rPr>
          <w:lang w:val="en-US"/>
        </w:rPr>
        <w:t xml:space="preserve"> MRA consists of </w:t>
      </w:r>
      <w:r w:rsidR="00DD18B1">
        <w:rPr>
          <w:lang w:val="en-US"/>
        </w:rPr>
        <w:t>27</w:t>
      </w:r>
      <w:r>
        <w:rPr>
          <w:lang w:val="en-US"/>
        </w:rPr>
        <w:t xml:space="preserve"> estimates, obtained from 1</w:t>
      </w:r>
      <w:r w:rsidR="00DD18B1">
        <w:rPr>
          <w:lang w:val="en-US"/>
        </w:rPr>
        <w:t>5</w:t>
      </w:r>
      <w:r>
        <w:rPr>
          <w:lang w:val="en-US"/>
        </w:rPr>
        <w:t xml:space="preserve"> papers.</w:t>
      </w:r>
    </w:p>
    <w:p w:rsidR="0045268F" w:rsidRDefault="007675A0" w:rsidP="0045268F">
      <w:pPr>
        <w:spacing w:line="360" w:lineRule="auto"/>
        <w:rPr>
          <w:lang w:val="en-US"/>
        </w:rPr>
      </w:pPr>
      <w:r>
        <w:rPr>
          <w:lang w:val="en-US"/>
        </w:rPr>
        <w:t>In order to explain the variation in reported findings</w:t>
      </w:r>
      <w:r w:rsidR="0045268F">
        <w:rPr>
          <w:lang w:val="en-US"/>
        </w:rPr>
        <w:t>,</w:t>
      </w:r>
      <w:r>
        <w:rPr>
          <w:lang w:val="en-US"/>
        </w:rPr>
        <w:t xml:space="preserve"> several con</w:t>
      </w:r>
      <w:r w:rsidR="00BB06C6">
        <w:rPr>
          <w:lang w:val="en-US"/>
        </w:rPr>
        <w:t>trol variables are used</w:t>
      </w:r>
      <w:r w:rsidR="00D320D0">
        <w:rPr>
          <w:lang w:val="en-US"/>
        </w:rPr>
        <w:t xml:space="preserve">, as shown in </w:t>
      </w:r>
      <w:r w:rsidR="00BB06C6">
        <w:rPr>
          <w:lang w:val="en-US"/>
        </w:rPr>
        <w:t>t</w:t>
      </w:r>
      <w:r w:rsidR="005B1B11">
        <w:rPr>
          <w:lang w:val="en-US"/>
        </w:rPr>
        <w:t>able 4</w:t>
      </w:r>
      <w:r w:rsidR="00BB06C6">
        <w:rPr>
          <w:lang w:val="en-US"/>
        </w:rPr>
        <w:t xml:space="preserve">. </w:t>
      </w:r>
      <w:r>
        <w:rPr>
          <w:lang w:val="en-US"/>
        </w:rPr>
        <w:t xml:space="preserve">The table shows </w:t>
      </w:r>
      <w:r w:rsidR="00594426">
        <w:rPr>
          <w:lang w:val="en-US"/>
        </w:rPr>
        <w:t>the included dummy variables, including</w:t>
      </w:r>
      <w:r>
        <w:rPr>
          <w:lang w:val="en-US"/>
        </w:rPr>
        <w:t xml:space="preserve"> </w:t>
      </w:r>
      <w:r w:rsidR="00F267F4">
        <w:rPr>
          <w:lang w:val="en-US"/>
        </w:rPr>
        <w:t xml:space="preserve">the STAR dummy </w:t>
      </w:r>
      <w:r w:rsidR="00594426">
        <w:rPr>
          <w:lang w:val="en-US"/>
        </w:rPr>
        <w:t xml:space="preserve">for </w:t>
      </w:r>
      <w:r w:rsidR="00F267F4">
        <w:rPr>
          <w:lang w:val="en-US"/>
        </w:rPr>
        <w:t xml:space="preserve">the </w:t>
      </w:r>
      <w:r w:rsidR="00582220">
        <w:rPr>
          <w:lang w:val="en-US"/>
        </w:rPr>
        <w:t>publication bias</w:t>
      </w:r>
      <w:r w:rsidR="00F267F4">
        <w:rPr>
          <w:lang w:val="en-US"/>
        </w:rPr>
        <w:t xml:space="preserve"> test</w:t>
      </w:r>
      <w:r w:rsidR="00594426">
        <w:rPr>
          <w:lang w:val="en-US"/>
        </w:rPr>
        <w:t xml:space="preserve"> (the publication bia</w:t>
      </w:r>
      <w:r w:rsidR="00D320D0">
        <w:rPr>
          <w:lang w:val="en-US"/>
        </w:rPr>
        <w:t>s test is explained in section 5</w:t>
      </w:r>
      <w:r w:rsidR="00594426">
        <w:rPr>
          <w:lang w:val="en-US"/>
        </w:rPr>
        <w:t>.3)</w:t>
      </w:r>
      <w:r w:rsidR="00F267F4">
        <w:rPr>
          <w:lang w:val="en-US"/>
        </w:rPr>
        <w:t>. T</w:t>
      </w:r>
      <w:r>
        <w:rPr>
          <w:lang w:val="en-US"/>
        </w:rPr>
        <w:t xml:space="preserve">he amount of estimates that </w:t>
      </w:r>
      <w:r w:rsidR="005A19B4">
        <w:rPr>
          <w:lang w:val="en-US"/>
        </w:rPr>
        <w:t>meet the dummy’s criterion</w:t>
      </w:r>
      <w:r w:rsidR="00F267F4">
        <w:rPr>
          <w:lang w:val="en-US"/>
        </w:rPr>
        <w:t xml:space="preserve"> is given by the second column</w:t>
      </w:r>
      <w:r>
        <w:rPr>
          <w:lang w:val="en-US"/>
        </w:rPr>
        <w:t xml:space="preserve">. </w:t>
      </w:r>
      <w:r w:rsidR="00312520">
        <w:rPr>
          <w:lang w:val="en-US"/>
        </w:rPr>
        <w:t>N</w:t>
      </w:r>
      <w:r w:rsidR="00594426">
        <w:rPr>
          <w:lang w:val="en-US"/>
        </w:rPr>
        <w:t xml:space="preserve">ote that </w:t>
      </w:r>
      <w:r w:rsidR="00DD18B1">
        <w:rPr>
          <w:lang w:val="en-US"/>
        </w:rPr>
        <w:t>27</w:t>
      </w:r>
      <w:r w:rsidR="00594426">
        <w:rPr>
          <w:lang w:val="en-US"/>
        </w:rPr>
        <w:t xml:space="preserve"> coefficients are used in </w:t>
      </w:r>
      <w:r w:rsidR="00DE2E4F">
        <w:rPr>
          <w:lang w:val="en-US"/>
        </w:rPr>
        <w:t>the</w:t>
      </w:r>
      <w:r w:rsidR="00594426">
        <w:rPr>
          <w:lang w:val="en-US"/>
        </w:rPr>
        <w:t xml:space="preserve"> MRA (see table 3 top row)</w:t>
      </w:r>
      <w:r w:rsidR="00312520">
        <w:rPr>
          <w:lang w:val="en-US"/>
        </w:rPr>
        <w:t xml:space="preserve">. Of these </w:t>
      </w:r>
      <w:r w:rsidR="00DD18B1">
        <w:rPr>
          <w:lang w:val="en-US"/>
        </w:rPr>
        <w:t>27</w:t>
      </w:r>
      <w:r w:rsidR="00594426">
        <w:rPr>
          <w:lang w:val="en-US"/>
        </w:rPr>
        <w:t xml:space="preserve"> </w:t>
      </w:r>
      <w:r>
        <w:rPr>
          <w:lang w:val="en-US"/>
        </w:rPr>
        <w:t>estimates</w:t>
      </w:r>
      <w:r w:rsidR="00312520">
        <w:rPr>
          <w:lang w:val="en-US"/>
        </w:rPr>
        <w:t xml:space="preserve">, </w:t>
      </w:r>
      <w:r w:rsidR="00DD18B1">
        <w:rPr>
          <w:lang w:val="en-US"/>
        </w:rPr>
        <w:t>9</w:t>
      </w:r>
      <w:r>
        <w:rPr>
          <w:lang w:val="en-US"/>
        </w:rPr>
        <w:t xml:space="preserve"> </w:t>
      </w:r>
      <w:r w:rsidR="00F60D5F">
        <w:rPr>
          <w:lang w:val="en-US"/>
        </w:rPr>
        <w:t>were</w:t>
      </w:r>
      <w:r>
        <w:rPr>
          <w:lang w:val="en-US"/>
        </w:rPr>
        <w:t xml:space="preserve"> obtained from articles that </w:t>
      </w:r>
      <w:r w:rsidR="00F60D5F">
        <w:rPr>
          <w:lang w:val="en-US"/>
        </w:rPr>
        <w:t>were</w:t>
      </w:r>
      <w:r>
        <w:rPr>
          <w:lang w:val="en-US"/>
        </w:rPr>
        <w:t xml:space="preserve"> published in Star Journals. </w:t>
      </w:r>
    </w:p>
    <w:p w:rsidR="00BB06C6" w:rsidRDefault="00BB06C6" w:rsidP="00BB06C6">
      <w:pPr>
        <w:rPr>
          <w:lang w:val="en-US"/>
        </w:rPr>
      </w:pPr>
      <w:r>
        <w:rPr>
          <w:lang w:val="en-US"/>
        </w:rPr>
        <w:br w:type="page"/>
      </w:r>
    </w:p>
    <w:tbl>
      <w:tblPr>
        <w:tblpPr w:leftFromText="141" w:rightFromText="141" w:vertAnchor="text" w:horzAnchor="margin" w:tblpXSpec="center" w:tblpY="-37"/>
        <w:tblW w:w="4262" w:type="dxa"/>
        <w:tblCellMar>
          <w:left w:w="70" w:type="dxa"/>
          <w:right w:w="70" w:type="dxa"/>
        </w:tblCellMar>
        <w:tblLook w:val="04A0"/>
      </w:tblPr>
      <w:tblGrid>
        <w:gridCol w:w="3248"/>
        <w:gridCol w:w="650"/>
        <w:gridCol w:w="364"/>
      </w:tblGrid>
      <w:tr w:rsidR="00BB06C6" w:rsidRPr="008F31D4" w:rsidTr="00BB06C6">
        <w:trPr>
          <w:trHeight w:val="300"/>
        </w:trPr>
        <w:tc>
          <w:tcPr>
            <w:tcW w:w="4262" w:type="dxa"/>
            <w:gridSpan w:val="3"/>
            <w:tcBorders>
              <w:top w:val="nil"/>
              <w:left w:val="nil"/>
              <w:bottom w:val="single" w:sz="4" w:space="0" w:color="auto"/>
              <w:right w:val="nil"/>
            </w:tcBorders>
            <w:shd w:val="clear" w:color="000000" w:fill="FFFFFF"/>
            <w:noWrap/>
            <w:vAlign w:val="bottom"/>
            <w:hideMark/>
          </w:tcPr>
          <w:p w:rsidR="00BB06C6" w:rsidRPr="008F31D4" w:rsidRDefault="00BB06C6" w:rsidP="00BB06C6">
            <w:pPr>
              <w:spacing w:after="0" w:line="240" w:lineRule="auto"/>
              <w:contextualSpacing/>
              <w:jc w:val="center"/>
              <w:rPr>
                <w:rFonts w:ascii="Calibri" w:eastAsia="Times New Roman" w:hAnsi="Calibri" w:cs="Calibri"/>
                <w:b/>
                <w:bCs/>
                <w:color w:val="000000"/>
                <w:lang w:eastAsia="nl-NL"/>
              </w:rPr>
            </w:pPr>
            <w:r w:rsidRPr="008F31D4">
              <w:rPr>
                <w:rFonts w:ascii="Calibri" w:eastAsia="Times New Roman" w:hAnsi="Calibri" w:cs="Calibri"/>
                <w:b/>
                <w:bCs/>
                <w:color w:val="000000"/>
                <w:lang w:eastAsia="nl-NL"/>
              </w:rPr>
              <w:lastRenderedPageBreak/>
              <w:t xml:space="preserve">Table </w:t>
            </w:r>
            <w:r>
              <w:rPr>
                <w:rFonts w:ascii="Calibri" w:eastAsia="Times New Roman" w:hAnsi="Calibri" w:cs="Calibri"/>
                <w:b/>
                <w:bCs/>
                <w:color w:val="000000"/>
                <w:lang w:eastAsia="nl-NL"/>
              </w:rPr>
              <w:t>4</w:t>
            </w:r>
            <w:r w:rsidRPr="008F31D4">
              <w:rPr>
                <w:rFonts w:ascii="Calibri" w:eastAsia="Times New Roman" w:hAnsi="Calibri" w:cs="Calibri"/>
                <w:b/>
                <w:bCs/>
                <w:color w:val="000000"/>
                <w:lang w:eastAsia="nl-NL"/>
              </w:rPr>
              <w:t>: Study Characteristics</w:t>
            </w:r>
            <w:r>
              <w:rPr>
                <w:rFonts w:ascii="Calibri" w:eastAsia="Times New Roman" w:hAnsi="Calibri" w:cs="Calibri"/>
                <w:b/>
                <w:bCs/>
                <w:color w:val="000000"/>
                <w:lang w:eastAsia="nl-NL"/>
              </w:rPr>
              <w:t xml:space="preserve"> (N = 27)</w:t>
            </w:r>
          </w:p>
        </w:tc>
      </w:tr>
      <w:tr w:rsidR="00BB06C6" w:rsidRPr="008F31D4" w:rsidTr="00BB06C6">
        <w:trPr>
          <w:trHeight w:val="391"/>
        </w:trPr>
        <w:tc>
          <w:tcPr>
            <w:tcW w:w="3248" w:type="dxa"/>
            <w:tcBorders>
              <w:top w:val="nil"/>
              <w:left w:val="nil"/>
              <w:bottom w:val="double" w:sz="6" w:space="0" w:color="auto"/>
              <w:right w:val="nil"/>
            </w:tcBorders>
            <w:shd w:val="clear" w:color="000000" w:fill="FFFFFF"/>
            <w:noWrap/>
            <w:vAlign w:val="bottom"/>
            <w:hideMark/>
          </w:tcPr>
          <w:p w:rsidR="00BB06C6" w:rsidRPr="008F31D4" w:rsidRDefault="00BB06C6" w:rsidP="00BB06C6">
            <w:pPr>
              <w:spacing w:after="0" w:line="240" w:lineRule="auto"/>
              <w:contextualSpacing/>
              <w:rPr>
                <w:rFonts w:ascii="Calibri" w:eastAsia="Times New Roman" w:hAnsi="Calibri" w:cs="Calibri"/>
                <w:b/>
                <w:bCs/>
                <w:color w:val="000000"/>
                <w:lang w:eastAsia="nl-NL"/>
              </w:rPr>
            </w:pPr>
            <w:r w:rsidRPr="008F31D4">
              <w:rPr>
                <w:rFonts w:ascii="Calibri" w:eastAsia="Times New Roman" w:hAnsi="Calibri" w:cs="Calibri"/>
                <w:b/>
                <w:bCs/>
                <w:color w:val="000000"/>
                <w:lang w:eastAsia="nl-NL"/>
              </w:rPr>
              <w:t>Dummy Variable</w:t>
            </w:r>
          </w:p>
        </w:tc>
        <w:tc>
          <w:tcPr>
            <w:tcW w:w="1014" w:type="dxa"/>
            <w:gridSpan w:val="2"/>
            <w:tcBorders>
              <w:top w:val="nil"/>
              <w:left w:val="nil"/>
              <w:bottom w:val="double" w:sz="6" w:space="0" w:color="auto"/>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b/>
                <w:bCs/>
                <w:color w:val="000000"/>
                <w:lang w:eastAsia="nl-NL"/>
              </w:rPr>
            </w:pPr>
            <w:r w:rsidRPr="008F31D4">
              <w:rPr>
                <w:rFonts w:ascii="Calibri" w:eastAsia="Times New Roman" w:hAnsi="Calibri" w:cs="Calibri"/>
                <w:b/>
                <w:bCs/>
                <w:color w:val="000000"/>
                <w:lang w:eastAsia="nl-NL"/>
              </w:rPr>
              <w:t>Age</w:t>
            </w:r>
          </w:p>
        </w:tc>
      </w:tr>
      <w:tr w:rsidR="00BB06C6" w:rsidRPr="008F31D4" w:rsidTr="00BB06C6">
        <w:trPr>
          <w:trHeight w:val="315"/>
        </w:trPr>
        <w:tc>
          <w:tcPr>
            <w:tcW w:w="3898" w:type="dxa"/>
            <w:gridSpan w:val="2"/>
            <w:tcBorders>
              <w:top w:val="nil"/>
              <w:left w:val="nil"/>
              <w:bottom w:val="nil"/>
              <w:right w:val="nil"/>
            </w:tcBorders>
            <w:shd w:val="clear" w:color="000000" w:fill="FFFFFF"/>
            <w:noWrap/>
            <w:vAlign w:val="bottom"/>
            <w:hideMark/>
          </w:tcPr>
          <w:p w:rsidR="00BB06C6" w:rsidRPr="005B3316" w:rsidRDefault="00BB06C6" w:rsidP="00BB06C6">
            <w:pPr>
              <w:spacing w:after="0" w:line="240" w:lineRule="auto"/>
              <w:contextualSpacing/>
              <w:rPr>
                <w:rFonts w:ascii="Calibri" w:eastAsia="Times New Roman" w:hAnsi="Calibri" w:cs="Calibri"/>
                <w:bCs/>
                <w:color w:val="000000"/>
                <w:lang w:val="en-US" w:eastAsia="nl-NL"/>
              </w:rPr>
            </w:pPr>
            <w:r w:rsidRPr="005B3316">
              <w:rPr>
                <w:rFonts w:ascii="Calibri" w:eastAsia="Times New Roman" w:hAnsi="Calibri" w:cs="Calibri"/>
                <w:bCs/>
                <w:color w:val="000000"/>
                <w:lang w:val="en-US" w:eastAsia="nl-NL"/>
              </w:rPr>
              <w:t>Star journal dummy, ERIM (S</w:t>
            </w:r>
            <w:r>
              <w:rPr>
                <w:rFonts w:ascii="Calibri" w:eastAsia="Times New Roman" w:hAnsi="Calibri" w:cs="Calibri"/>
                <w:bCs/>
                <w:color w:val="000000"/>
                <w:lang w:val="en-US" w:eastAsia="nl-NL"/>
              </w:rPr>
              <w:t>TAR)</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Pr>
                <w:rFonts w:ascii="Calibri" w:eastAsia="Times New Roman" w:hAnsi="Calibri" w:cs="Calibri"/>
                <w:color w:val="000000"/>
                <w:lang w:eastAsia="nl-NL"/>
              </w:rPr>
              <w:t>9</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FD6E17" w:rsidRDefault="00BB06C6" w:rsidP="00BB06C6">
            <w:pPr>
              <w:spacing w:after="0" w:line="240" w:lineRule="auto"/>
              <w:contextualSpacing/>
              <w:rPr>
                <w:rFonts w:ascii="Calibri" w:eastAsia="Times New Roman" w:hAnsi="Calibri" w:cs="Calibri"/>
                <w:bCs/>
                <w:color w:val="000000"/>
                <w:lang w:eastAsia="nl-NL"/>
              </w:rPr>
            </w:pPr>
            <w:r>
              <w:rPr>
                <w:rFonts w:ascii="Calibri" w:eastAsia="Times New Roman" w:hAnsi="Calibri" w:cs="Calibri"/>
                <w:bCs/>
                <w:color w:val="000000"/>
                <w:lang w:eastAsia="nl-NL"/>
              </w:rPr>
              <w:t>19</w:t>
            </w:r>
            <w:r w:rsidRPr="00FD6E17">
              <w:rPr>
                <w:rFonts w:ascii="Calibri" w:eastAsia="Times New Roman" w:hAnsi="Calibri" w:cs="Calibri"/>
                <w:bCs/>
                <w:color w:val="000000"/>
                <w:lang w:eastAsia="nl-NL"/>
              </w:rPr>
              <w:t>80</w:t>
            </w:r>
            <w:r>
              <w:rPr>
                <w:rFonts w:ascii="Calibri" w:eastAsia="Times New Roman" w:hAnsi="Calibri" w:cs="Calibri"/>
                <w:bCs/>
                <w:color w:val="000000"/>
                <w:lang w:eastAsia="nl-NL"/>
              </w:rPr>
              <w:t>’</w:t>
            </w:r>
            <w:r w:rsidRPr="00FD6E17">
              <w:rPr>
                <w:rFonts w:ascii="Calibri" w:eastAsia="Times New Roman" w:hAnsi="Calibri" w:cs="Calibri"/>
                <w:bCs/>
                <w:color w:val="000000"/>
                <w:lang w:eastAsia="nl-NL"/>
              </w:rPr>
              <w:t>s dummy</w:t>
            </w:r>
            <w:r>
              <w:rPr>
                <w:rFonts w:ascii="Calibri" w:eastAsia="Times New Roman" w:hAnsi="Calibri" w:cs="Calibri"/>
                <w:bCs/>
                <w:color w:val="000000"/>
                <w:lang w:eastAsia="nl-NL"/>
              </w:rPr>
              <w:t xml:space="preserve"> (80’s)</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sidRPr="008F31D4">
              <w:rPr>
                <w:rFonts w:ascii="Calibri" w:eastAsia="Times New Roman" w:hAnsi="Calibri" w:cs="Calibri"/>
                <w:color w:val="000000"/>
                <w:lang w:eastAsia="nl-NL"/>
              </w:rPr>
              <w:t>16</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312520" w:rsidRDefault="00BB06C6" w:rsidP="00BB06C6">
            <w:pPr>
              <w:spacing w:after="0" w:line="240" w:lineRule="auto"/>
              <w:contextualSpacing/>
              <w:rPr>
                <w:rFonts w:ascii="Calibri" w:eastAsia="Times New Roman" w:hAnsi="Calibri" w:cs="Calibri"/>
                <w:bCs/>
                <w:color w:val="000000"/>
                <w:lang w:val="en-US" w:eastAsia="nl-NL"/>
              </w:rPr>
            </w:pPr>
            <w:r w:rsidRPr="00312520">
              <w:rPr>
                <w:rFonts w:ascii="Calibri" w:eastAsia="Times New Roman" w:hAnsi="Calibri" w:cs="Calibri"/>
                <w:bCs/>
                <w:color w:val="000000"/>
                <w:lang w:val="en-US" w:eastAsia="nl-NL"/>
              </w:rPr>
              <w:t>1990’s excluding Internet dummy (90’s)</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sidRPr="008F31D4">
              <w:rPr>
                <w:rFonts w:ascii="Calibri" w:eastAsia="Times New Roman" w:hAnsi="Calibri" w:cs="Calibri"/>
                <w:color w:val="000000"/>
                <w:lang w:eastAsia="nl-NL"/>
              </w:rPr>
              <w:t>3</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FD6E17" w:rsidRDefault="00BB06C6" w:rsidP="00BB06C6">
            <w:pPr>
              <w:spacing w:after="0" w:line="240" w:lineRule="auto"/>
              <w:contextualSpacing/>
              <w:rPr>
                <w:rFonts w:ascii="Calibri" w:eastAsia="Times New Roman" w:hAnsi="Calibri" w:cs="Calibri"/>
                <w:bCs/>
                <w:color w:val="000000"/>
                <w:lang w:eastAsia="nl-NL"/>
              </w:rPr>
            </w:pPr>
            <w:r>
              <w:rPr>
                <w:rFonts w:ascii="Calibri" w:eastAsia="Times New Roman" w:hAnsi="Calibri" w:cs="Calibri"/>
                <w:bCs/>
                <w:color w:val="000000"/>
                <w:lang w:eastAsia="nl-NL"/>
              </w:rPr>
              <w:t>Internet</w:t>
            </w:r>
            <w:r w:rsidRPr="00FD6E17">
              <w:rPr>
                <w:rFonts w:ascii="Calibri" w:eastAsia="Times New Roman" w:hAnsi="Calibri" w:cs="Calibri"/>
                <w:bCs/>
                <w:color w:val="000000"/>
                <w:lang w:eastAsia="nl-NL"/>
              </w:rPr>
              <w:t xml:space="preserve"> bubble dummy</w:t>
            </w:r>
            <w:r>
              <w:rPr>
                <w:rFonts w:ascii="Calibri" w:eastAsia="Times New Roman" w:hAnsi="Calibri" w:cs="Calibri"/>
                <w:bCs/>
                <w:color w:val="000000"/>
                <w:lang w:eastAsia="nl-NL"/>
              </w:rPr>
              <w:t xml:space="preserve"> (Int)</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Pr>
                <w:rFonts w:ascii="Calibri" w:eastAsia="Times New Roman" w:hAnsi="Calibri" w:cs="Calibri"/>
                <w:color w:val="000000"/>
                <w:lang w:eastAsia="nl-NL"/>
              </w:rPr>
              <w:t>5</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FD6E17" w:rsidRDefault="00BB06C6" w:rsidP="00BB06C6">
            <w:pPr>
              <w:spacing w:after="0" w:line="240" w:lineRule="auto"/>
              <w:contextualSpacing/>
              <w:rPr>
                <w:rFonts w:ascii="Calibri" w:eastAsia="Times New Roman" w:hAnsi="Calibri" w:cs="Calibri"/>
                <w:bCs/>
                <w:color w:val="000000"/>
                <w:lang w:eastAsia="nl-NL"/>
              </w:rPr>
            </w:pPr>
            <w:r w:rsidRPr="00FD6E17">
              <w:rPr>
                <w:rFonts w:ascii="Calibri" w:eastAsia="Times New Roman" w:hAnsi="Calibri" w:cs="Calibri"/>
                <w:bCs/>
                <w:color w:val="000000"/>
                <w:lang w:eastAsia="nl-NL"/>
              </w:rPr>
              <w:t>2000</w:t>
            </w:r>
            <w:r>
              <w:rPr>
                <w:rFonts w:ascii="Calibri" w:eastAsia="Times New Roman" w:hAnsi="Calibri" w:cs="Calibri"/>
                <w:bCs/>
                <w:color w:val="000000"/>
                <w:lang w:eastAsia="nl-NL"/>
              </w:rPr>
              <w:t>’</w:t>
            </w:r>
            <w:r w:rsidRPr="00FD6E17">
              <w:rPr>
                <w:rFonts w:ascii="Calibri" w:eastAsia="Times New Roman" w:hAnsi="Calibri" w:cs="Calibri"/>
                <w:bCs/>
                <w:color w:val="000000"/>
                <w:lang w:eastAsia="nl-NL"/>
              </w:rPr>
              <w:t>s</w:t>
            </w:r>
            <w:r>
              <w:rPr>
                <w:rFonts w:ascii="Calibri" w:eastAsia="Times New Roman" w:hAnsi="Calibri" w:cs="Calibri"/>
                <w:bCs/>
                <w:color w:val="000000"/>
                <w:lang w:eastAsia="nl-NL"/>
              </w:rPr>
              <w:t xml:space="preserve"> dummy (00’s)</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sidRPr="008F31D4">
              <w:rPr>
                <w:rFonts w:ascii="Calibri" w:eastAsia="Times New Roman" w:hAnsi="Calibri" w:cs="Calibri"/>
                <w:color w:val="000000"/>
                <w:lang w:eastAsia="nl-NL"/>
              </w:rPr>
              <w:t>3</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FD6E17" w:rsidRDefault="00BB06C6" w:rsidP="00BB06C6">
            <w:pPr>
              <w:spacing w:after="0" w:line="240" w:lineRule="auto"/>
              <w:contextualSpacing/>
              <w:rPr>
                <w:rFonts w:ascii="Calibri" w:eastAsia="Times New Roman" w:hAnsi="Calibri" w:cs="Calibri"/>
                <w:bCs/>
                <w:color w:val="000000"/>
                <w:lang w:eastAsia="nl-NL"/>
              </w:rPr>
            </w:pPr>
            <w:r w:rsidRPr="00FD6E17">
              <w:rPr>
                <w:rFonts w:ascii="Calibri" w:eastAsia="Times New Roman" w:hAnsi="Calibri" w:cs="Calibri"/>
                <w:bCs/>
                <w:color w:val="000000"/>
                <w:lang w:eastAsia="nl-NL"/>
              </w:rPr>
              <w:t>North america</w:t>
            </w:r>
            <w:r>
              <w:rPr>
                <w:rFonts w:ascii="Calibri" w:eastAsia="Times New Roman" w:hAnsi="Calibri" w:cs="Calibri"/>
                <w:bCs/>
                <w:color w:val="000000"/>
                <w:lang w:eastAsia="nl-NL"/>
              </w:rPr>
              <w:t xml:space="preserve"> (NA)</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Pr>
                <w:rFonts w:ascii="Calibri" w:eastAsia="Times New Roman" w:hAnsi="Calibri" w:cs="Calibri"/>
                <w:color w:val="000000"/>
                <w:lang w:eastAsia="nl-NL"/>
              </w:rPr>
              <w:t>16</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FD6E17" w:rsidRDefault="00BB06C6" w:rsidP="00BB06C6">
            <w:pPr>
              <w:spacing w:after="0" w:line="240" w:lineRule="auto"/>
              <w:contextualSpacing/>
              <w:rPr>
                <w:rFonts w:ascii="Calibri" w:eastAsia="Times New Roman" w:hAnsi="Calibri" w:cs="Calibri"/>
                <w:bCs/>
                <w:color w:val="000000"/>
                <w:lang w:eastAsia="nl-NL"/>
              </w:rPr>
            </w:pPr>
            <w:r w:rsidRPr="00FD6E17">
              <w:rPr>
                <w:rFonts w:ascii="Calibri" w:eastAsia="Times New Roman" w:hAnsi="Calibri" w:cs="Calibri"/>
                <w:bCs/>
                <w:color w:val="000000"/>
                <w:lang w:eastAsia="nl-NL"/>
              </w:rPr>
              <w:t>Europe</w:t>
            </w:r>
            <w:r>
              <w:rPr>
                <w:rFonts w:ascii="Calibri" w:eastAsia="Times New Roman" w:hAnsi="Calibri" w:cs="Calibri"/>
                <w:bCs/>
                <w:color w:val="000000"/>
                <w:lang w:eastAsia="nl-NL"/>
              </w:rPr>
              <w:t xml:space="preserve"> (EUR)</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sidRPr="008F31D4">
              <w:rPr>
                <w:rFonts w:ascii="Calibri" w:eastAsia="Times New Roman" w:hAnsi="Calibri" w:cs="Calibri"/>
                <w:color w:val="000000"/>
                <w:lang w:eastAsia="nl-NL"/>
              </w:rPr>
              <w:t>8</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FD6E17" w:rsidRDefault="00BB06C6" w:rsidP="00BB06C6">
            <w:pPr>
              <w:spacing w:after="0" w:line="240" w:lineRule="auto"/>
              <w:contextualSpacing/>
              <w:rPr>
                <w:rFonts w:ascii="Calibri" w:eastAsia="Times New Roman" w:hAnsi="Calibri" w:cs="Calibri"/>
                <w:bCs/>
                <w:color w:val="000000"/>
                <w:lang w:eastAsia="nl-NL"/>
              </w:rPr>
            </w:pPr>
            <w:r w:rsidRPr="00FD6E17">
              <w:rPr>
                <w:rFonts w:ascii="Calibri" w:eastAsia="Times New Roman" w:hAnsi="Calibri" w:cs="Calibri"/>
                <w:bCs/>
                <w:color w:val="000000"/>
                <w:lang w:eastAsia="nl-NL"/>
              </w:rPr>
              <w:t>World</w:t>
            </w:r>
            <w:r>
              <w:rPr>
                <w:rFonts w:ascii="Calibri" w:eastAsia="Times New Roman" w:hAnsi="Calibri" w:cs="Calibri"/>
                <w:bCs/>
                <w:color w:val="000000"/>
                <w:lang w:eastAsia="nl-NL"/>
              </w:rPr>
              <w:t xml:space="preserve"> (WW)</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sidRPr="008F31D4">
              <w:rPr>
                <w:rFonts w:ascii="Calibri" w:eastAsia="Times New Roman" w:hAnsi="Calibri" w:cs="Calibri"/>
                <w:color w:val="000000"/>
                <w:lang w:eastAsia="nl-NL"/>
              </w:rPr>
              <w:t>3</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061AFB" w:rsidRDefault="00BB06C6" w:rsidP="00BB06C6">
            <w:pPr>
              <w:spacing w:after="0" w:line="240" w:lineRule="auto"/>
              <w:ind w:right="-436"/>
              <w:contextualSpacing/>
              <w:rPr>
                <w:rFonts w:ascii="Calibri" w:eastAsia="Times New Roman" w:hAnsi="Calibri" w:cs="Calibri"/>
                <w:bCs/>
                <w:color w:val="000000"/>
                <w:lang w:val="en-US" w:eastAsia="nl-NL"/>
              </w:rPr>
            </w:pPr>
            <w:r w:rsidRPr="00061AFB">
              <w:rPr>
                <w:rFonts w:ascii="Calibri" w:eastAsia="Times New Roman" w:hAnsi="Calibri" w:cs="Calibri"/>
                <w:bCs/>
                <w:color w:val="000000"/>
                <w:lang w:val="en-US" w:eastAsia="nl-NL"/>
              </w:rPr>
              <w:t>Returns not market adjusted</w:t>
            </w:r>
            <w:r>
              <w:rPr>
                <w:rFonts w:ascii="Calibri" w:eastAsia="Times New Roman" w:hAnsi="Calibri" w:cs="Calibri"/>
                <w:bCs/>
                <w:color w:val="000000"/>
                <w:lang w:val="en-US" w:eastAsia="nl-NL"/>
              </w:rPr>
              <w:t xml:space="preserve"> (</w:t>
            </w:r>
            <w:r w:rsidRPr="00061AFB">
              <w:rPr>
                <w:rFonts w:ascii="Calibri" w:eastAsia="Times New Roman" w:hAnsi="Calibri" w:cs="Calibri"/>
                <w:bCs/>
                <w:color w:val="000000"/>
                <w:lang w:val="en-US" w:eastAsia="nl-NL"/>
              </w:rPr>
              <w:t>Ma</w:t>
            </w:r>
            <w:r>
              <w:rPr>
                <w:rFonts w:ascii="Calibri" w:eastAsia="Times New Roman" w:hAnsi="Calibri" w:cs="Calibri"/>
                <w:bCs/>
                <w:color w:val="000000"/>
                <w:lang w:val="en-US" w:eastAsia="nl-NL"/>
              </w:rPr>
              <w:t>dj)</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Pr>
                <w:rFonts w:ascii="Calibri" w:eastAsia="Times New Roman" w:hAnsi="Calibri" w:cs="Calibri"/>
                <w:color w:val="000000"/>
                <w:lang w:eastAsia="nl-NL"/>
              </w:rPr>
              <w:t>24</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FD6E17" w:rsidRDefault="00BB06C6" w:rsidP="00BB06C6">
            <w:pPr>
              <w:spacing w:after="0" w:line="240" w:lineRule="auto"/>
              <w:contextualSpacing/>
              <w:rPr>
                <w:rFonts w:ascii="Calibri" w:eastAsia="Times New Roman" w:hAnsi="Calibri" w:cs="Calibri"/>
                <w:bCs/>
                <w:color w:val="000000"/>
                <w:lang w:eastAsia="nl-NL"/>
              </w:rPr>
            </w:pPr>
            <w:r>
              <w:rPr>
                <w:rFonts w:ascii="Calibri" w:eastAsia="Times New Roman" w:hAnsi="Calibri" w:cs="Calibri"/>
                <w:bCs/>
                <w:color w:val="000000"/>
                <w:lang w:eastAsia="nl-NL"/>
              </w:rPr>
              <w:t>M</w:t>
            </w:r>
            <w:r w:rsidRPr="00FD6E17">
              <w:rPr>
                <w:rFonts w:ascii="Calibri" w:eastAsia="Times New Roman" w:hAnsi="Calibri" w:cs="Calibri"/>
                <w:bCs/>
                <w:color w:val="000000"/>
                <w:lang w:eastAsia="nl-NL"/>
              </w:rPr>
              <w:t>ore than 1 week</w:t>
            </w:r>
            <w:r>
              <w:rPr>
                <w:rFonts w:ascii="Calibri" w:eastAsia="Times New Roman" w:hAnsi="Calibri" w:cs="Calibri"/>
                <w:bCs/>
                <w:color w:val="000000"/>
                <w:lang w:eastAsia="nl-NL"/>
              </w:rPr>
              <w:t xml:space="preserve"> (M1wk)</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sidRPr="008F31D4">
              <w:rPr>
                <w:rFonts w:ascii="Calibri" w:eastAsia="Times New Roman" w:hAnsi="Calibri" w:cs="Calibri"/>
                <w:color w:val="000000"/>
                <w:lang w:eastAsia="nl-NL"/>
              </w:rPr>
              <w:t>5</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061AFB" w:rsidRDefault="00BB06C6" w:rsidP="00BB06C6">
            <w:pPr>
              <w:spacing w:after="0" w:line="240" w:lineRule="auto"/>
              <w:ind w:right="-294"/>
              <w:contextualSpacing/>
              <w:rPr>
                <w:rFonts w:ascii="Calibri" w:eastAsia="Times New Roman" w:hAnsi="Calibri" w:cs="Calibri"/>
                <w:bCs/>
                <w:color w:val="000000"/>
                <w:lang w:val="en-US" w:eastAsia="nl-NL"/>
              </w:rPr>
            </w:pPr>
            <w:r w:rsidRPr="00061AFB">
              <w:rPr>
                <w:rFonts w:ascii="Calibri" w:eastAsia="Times New Roman" w:hAnsi="Calibri" w:cs="Calibri"/>
                <w:bCs/>
                <w:color w:val="000000"/>
                <w:lang w:val="en-US" w:eastAsia="nl-NL"/>
              </w:rPr>
              <w:t xml:space="preserve">Dummy exclude </w:t>
            </w:r>
            <w:r>
              <w:rPr>
                <w:rFonts w:ascii="Calibri" w:eastAsia="Times New Roman" w:hAnsi="Calibri" w:cs="Calibri"/>
                <w:bCs/>
                <w:color w:val="000000"/>
                <w:lang w:val="en-US" w:eastAsia="nl-NL"/>
              </w:rPr>
              <w:t>Best Efforts</w:t>
            </w:r>
            <w:r w:rsidRPr="00061AFB">
              <w:rPr>
                <w:rFonts w:ascii="Calibri" w:eastAsia="Times New Roman" w:hAnsi="Calibri" w:cs="Calibri"/>
                <w:bCs/>
                <w:color w:val="000000"/>
                <w:lang w:val="en-US" w:eastAsia="nl-NL"/>
              </w:rPr>
              <w:t xml:space="preserve"> (E</w:t>
            </w:r>
            <w:r>
              <w:rPr>
                <w:rFonts w:ascii="Calibri" w:eastAsia="Times New Roman" w:hAnsi="Calibri" w:cs="Calibri"/>
                <w:bCs/>
                <w:color w:val="000000"/>
                <w:lang w:val="en-US" w:eastAsia="nl-NL"/>
              </w:rPr>
              <w:t>xBE)</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Pr>
                <w:rFonts w:ascii="Calibri" w:eastAsia="Times New Roman" w:hAnsi="Calibri" w:cs="Calibri"/>
                <w:color w:val="000000"/>
                <w:lang w:eastAsia="nl-NL"/>
              </w:rPr>
              <w:t>2</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FD6E17" w:rsidRDefault="00BB06C6" w:rsidP="00BB06C6">
            <w:pPr>
              <w:spacing w:after="0" w:line="240" w:lineRule="auto"/>
              <w:contextualSpacing/>
              <w:rPr>
                <w:rFonts w:ascii="Calibri" w:eastAsia="Times New Roman" w:hAnsi="Calibri" w:cs="Calibri"/>
                <w:bCs/>
                <w:color w:val="000000"/>
                <w:lang w:eastAsia="nl-NL"/>
              </w:rPr>
            </w:pPr>
            <w:r w:rsidRPr="00FD6E17">
              <w:rPr>
                <w:rFonts w:ascii="Calibri" w:eastAsia="Times New Roman" w:hAnsi="Calibri" w:cs="Calibri"/>
                <w:bCs/>
                <w:color w:val="000000"/>
                <w:lang w:eastAsia="nl-NL"/>
              </w:rPr>
              <w:t>Dummy exclude financials</w:t>
            </w:r>
            <w:r>
              <w:rPr>
                <w:rFonts w:ascii="Calibri" w:eastAsia="Times New Roman" w:hAnsi="Calibri" w:cs="Calibri"/>
                <w:bCs/>
                <w:color w:val="000000"/>
                <w:lang w:eastAsia="nl-NL"/>
              </w:rPr>
              <w:t xml:space="preserve"> (ExFIN)</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Pr>
                <w:rFonts w:ascii="Calibri" w:eastAsia="Times New Roman" w:hAnsi="Calibri" w:cs="Calibri"/>
                <w:color w:val="000000"/>
                <w:lang w:eastAsia="nl-NL"/>
              </w:rPr>
              <w:t>4</w:t>
            </w:r>
          </w:p>
        </w:tc>
      </w:tr>
      <w:tr w:rsidR="00BB06C6" w:rsidRPr="008F31D4" w:rsidTr="00BB06C6">
        <w:trPr>
          <w:trHeight w:val="300"/>
        </w:trPr>
        <w:tc>
          <w:tcPr>
            <w:tcW w:w="3898" w:type="dxa"/>
            <w:gridSpan w:val="2"/>
            <w:tcBorders>
              <w:top w:val="nil"/>
              <w:left w:val="nil"/>
              <w:bottom w:val="nil"/>
              <w:right w:val="nil"/>
            </w:tcBorders>
            <w:shd w:val="clear" w:color="000000" w:fill="FFFFFF"/>
            <w:noWrap/>
            <w:vAlign w:val="bottom"/>
            <w:hideMark/>
          </w:tcPr>
          <w:p w:rsidR="00BB06C6" w:rsidRPr="00061AFB" w:rsidRDefault="00BB06C6" w:rsidP="00BB06C6">
            <w:pPr>
              <w:spacing w:after="0" w:line="240" w:lineRule="auto"/>
              <w:contextualSpacing/>
              <w:rPr>
                <w:rFonts w:ascii="Calibri" w:eastAsia="Times New Roman" w:hAnsi="Calibri" w:cs="Calibri"/>
                <w:bCs/>
                <w:color w:val="000000"/>
                <w:lang w:val="en-US" w:eastAsia="nl-NL"/>
              </w:rPr>
            </w:pPr>
            <w:r w:rsidRPr="00061AFB">
              <w:rPr>
                <w:rFonts w:ascii="Calibri" w:eastAsia="Times New Roman" w:hAnsi="Calibri" w:cs="Calibri"/>
                <w:bCs/>
                <w:color w:val="000000"/>
                <w:lang w:val="en-US" w:eastAsia="nl-NL"/>
              </w:rPr>
              <w:t>Dummy exclude small firms (E</w:t>
            </w:r>
            <w:r>
              <w:rPr>
                <w:rFonts w:ascii="Calibri" w:eastAsia="Times New Roman" w:hAnsi="Calibri" w:cs="Calibri"/>
                <w:bCs/>
                <w:color w:val="000000"/>
                <w:lang w:val="en-US" w:eastAsia="nl-NL"/>
              </w:rPr>
              <w:t>xSF)</w:t>
            </w:r>
          </w:p>
        </w:tc>
        <w:tc>
          <w:tcPr>
            <w:tcW w:w="364" w:type="dxa"/>
            <w:tcBorders>
              <w:top w:val="nil"/>
              <w:left w:val="nil"/>
              <w:bottom w:val="nil"/>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sidRPr="008F31D4">
              <w:rPr>
                <w:rFonts w:ascii="Calibri" w:eastAsia="Times New Roman" w:hAnsi="Calibri" w:cs="Calibri"/>
                <w:color w:val="000000"/>
                <w:lang w:eastAsia="nl-NL"/>
              </w:rPr>
              <w:t>1</w:t>
            </w:r>
            <w:r>
              <w:rPr>
                <w:rFonts w:ascii="Calibri" w:eastAsia="Times New Roman" w:hAnsi="Calibri" w:cs="Calibri"/>
                <w:color w:val="000000"/>
                <w:lang w:eastAsia="nl-NL"/>
              </w:rPr>
              <w:t>1</w:t>
            </w:r>
          </w:p>
        </w:tc>
      </w:tr>
      <w:tr w:rsidR="00BB06C6" w:rsidRPr="008F31D4" w:rsidTr="00BB06C6">
        <w:trPr>
          <w:trHeight w:val="300"/>
        </w:trPr>
        <w:tc>
          <w:tcPr>
            <w:tcW w:w="3898" w:type="dxa"/>
            <w:gridSpan w:val="2"/>
            <w:tcBorders>
              <w:top w:val="nil"/>
              <w:left w:val="nil"/>
              <w:bottom w:val="single" w:sz="4" w:space="0" w:color="auto"/>
              <w:right w:val="nil"/>
            </w:tcBorders>
            <w:shd w:val="clear" w:color="000000" w:fill="FFFFFF"/>
            <w:noWrap/>
            <w:vAlign w:val="bottom"/>
            <w:hideMark/>
          </w:tcPr>
          <w:p w:rsidR="00BB06C6" w:rsidRPr="00FD6E17" w:rsidRDefault="00BB06C6" w:rsidP="00BB06C6">
            <w:pPr>
              <w:spacing w:after="0" w:line="240" w:lineRule="auto"/>
              <w:ind w:right="-153"/>
              <w:contextualSpacing/>
              <w:rPr>
                <w:rFonts w:ascii="Calibri" w:eastAsia="Times New Roman" w:hAnsi="Calibri" w:cs="Calibri"/>
                <w:bCs/>
                <w:color w:val="000000"/>
                <w:lang w:eastAsia="nl-NL"/>
              </w:rPr>
            </w:pPr>
            <w:r w:rsidRPr="00FD6E17">
              <w:rPr>
                <w:rFonts w:ascii="Calibri" w:eastAsia="Times New Roman" w:hAnsi="Calibri" w:cs="Calibri"/>
                <w:bCs/>
                <w:color w:val="000000"/>
                <w:lang w:eastAsia="nl-NL"/>
              </w:rPr>
              <w:t xml:space="preserve">Dummy </w:t>
            </w:r>
            <w:r>
              <w:rPr>
                <w:rFonts w:ascii="Calibri" w:eastAsia="Times New Roman" w:hAnsi="Calibri" w:cs="Calibri"/>
                <w:bCs/>
                <w:color w:val="000000"/>
                <w:lang w:eastAsia="nl-NL"/>
              </w:rPr>
              <w:t>exlcudes</w:t>
            </w:r>
            <w:r w:rsidRPr="00FD6E17">
              <w:rPr>
                <w:rFonts w:ascii="Calibri" w:eastAsia="Times New Roman" w:hAnsi="Calibri" w:cs="Calibri"/>
                <w:bCs/>
                <w:color w:val="000000"/>
                <w:lang w:eastAsia="nl-NL"/>
              </w:rPr>
              <w:t xml:space="preserve"> </w:t>
            </w:r>
            <w:r>
              <w:rPr>
                <w:rFonts w:ascii="Calibri" w:eastAsia="Times New Roman" w:hAnsi="Calibri" w:cs="Calibri"/>
                <w:bCs/>
                <w:color w:val="000000"/>
                <w:lang w:eastAsia="nl-NL"/>
              </w:rPr>
              <w:t>p</w:t>
            </w:r>
            <w:r w:rsidRPr="00FD6E17">
              <w:rPr>
                <w:rFonts w:ascii="Calibri" w:eastAsia="Times New Roman" w:hAnsi="Calibri" w:cs="Calibri"/>
                <w:bCs/>
                <w:color w:val="000000"/>
                <w:lang w:eastAsia="nl-NL"/>
              </w:rPr>
              <w:t>roceeds</w:t>
            </w:r>
            <w:r>
              <w:rPr>
                <w:rFonts w:ascii="Calibri" w:eastAsia="Times New Roman" w:hAnsi="Calibri" w:cs="Calibri"/>
                <w:bCs/>
                <w:color w:val="000000"/>
                <w:lang w:eastAsia="nl-NL"/>
              </w:rPr>
              <w:t xml:space="preserve"> (ExPRO)</w:t>
            </w:r>
          </w:p>
        </w:tc>
        <w:tc>
          <w:tcPr>
            <w:tcW w:w="364" w:type="dxa"/>
            <w:tcBorders>
              <w:top w:val="nil"/>
              <w:left w:val="nil"/>
              <w:bottom w:val="single" w:sz="4" w:space="0" w:color="auto"/>
              <w:right w:val="nil"/>
            </w:tcBorders>
            <w:shd w:val="clear" w:color="000000" w:fill="FFFFFF"/>
            <w:noWrap/>
            <w:vAlign w:val="bottom"/>
            <w:hideMark/>
          </w:tcPr>
          <w:p w:rsidR="00BB06C6" w:rsidRPr="008F31D4" w:rsidRDefault="00BB06C6" w:rsidP="00BB06C6">
            <w:pPr>
              <w:spacing w:after="0" w:line="240" w:lineRule="auto"/>
              <w:contextualSpacing/>
              <w:jc w:val="right"/>
              <w:rPr>
                <w:rFonts w:ascii="Calibri" w:eastAsia="Times New Roman" w:hAnsi="Calibri" w:cs="Calibri"/>
                <w:color w:val="000000"/>
                <w:lang w:eastAsia="nl-NL"/>
              </w:rPr>
            </w:pPr>
            <w:r>
              <w:rPr>
                <w:rFonts w:ascii="Calibri" w:eastAsia="Times New Roman" w:hAnsi="Calibri" w:cs="Calibri"/>
                <w:color w:val="000000"/>
                <w:lang w:eastAsia="nl-NL"/>
              </w:rPr>
              <w:t>9</w:t>
            </w:r>
          </w:p>
        </w:tc>
      </w:tr>
    </w:tbl>
    <w:p w:rsidR="0045268F" w:rsidRDefault="0045268F" w:rsidP="0045268F">
      <w:pPr>
        <w:spacing w:line="360" w:lineRule="auto"/>
        <w:rPr>
          <w:lang w:val="en-US"/>
        </w:rPr>
      </w:pPr>
    </w:p>
    <w:p w:rsidR="0045268F" w:rsidRDefault="0045268F" w:rsidP="0045268F">
      <w:pPr>
        <w:spacing w:line="360" w:lineRule="auto"/>
        <w:rPr>
          <w:lang w:val="en-US"/>
        </w:rPr>
      </w:pPr>
    </w:p>
    <w:p w:rsidR="0045268F" w:rsidRDefault="0045268F" w:rsidP="0045268F">
      <w:pPr>
        <w:spacing w:line="360" w:lineRule="auto"/>
        <w:rPr>
          <w:lang w:val="en-US"/>
        </w:rPr>
      </w:pPr>
    </w:p>
    <w:p w:rsidR="0045268F" w:rsidRDefault="0045268F" w:rsidP="0045268F">
      <w:pPr>
        <w:spacing w:line="360" w:lineRule="auto"/>
        <w:rPr>
          <w:lang w:val="en-US"/>
        </w:rPr>
      </w:pPr>
    </w:p>
    <w:p w:rsidR="0045268F" w:rsidRDefault="0045268F" w:rsidP="0045268F">
      <w:pPr>
        <w:spacing w:line="360" w:lineRule="auto"/>
        <w:rPr>
          <w:lang w:val="en-US"/>
        </w:rPr>
      </w:pPr>
    </w:p>
    <w:p w:rsidR="0045268F" w:rsidRDefault="0045268F" w:rsidP="0045268F">
      <w:pPr>
        <w:spacing w:line="360" w:lineRule="auto"/>
        <w:rPr>
          <w:lang w:val="en-US"/>
        </w:rPr>
      </w:pPr>
    </w:p>
    <w:p w:rsidR="0045268F" w:rsidRDefault="0045268F" w:rsidP="0045268F">
      <w:pPr>
        <w:spacing w:line="360" w:lineRule="auto"/>
        <w:rPr>
          <w:lang w:val="en-US"/>
        </w:rPr>
      </w:pPr>
    </w:p>
    <w:p w:rsidR="00287F65" w:rsidRDefault="00287F65" w:rsidP="00655302">
      <w:pPr>
        <w:jc w:val="center"/>
        <w:rPr>
          <w:lang w:val="en-US"/>
        </w:rPr>
      </w:pPr>
    </w:p>
    <w:p w:rsidR="00BB06C6" w:rsidRDefault="00BB06C6" w:rsidP="00655302">
      <w:pPr>
        <w:jc w:val="center"/>
        <w:rPr>
          <w:sz w:val="18"/>
          <w:szCs w:val="18"/>
          <w:lang w:val="en-US"/>
        </w:rPr>
      </w:pPr>
    </w:p>
    <w:p w:rsidR="00BB06C6" w:rsidRDefault="00EC2068" w:rsidP="00BB06C6">
      <w:pPr>
        <w:jc w:val="both"/>
        <w:rPr>
          <w:lang w:val="en-US"/>
        </w:rPr>
      </w:pPr>
      <w:r w:rsidRPr="002A6AC5">
        <w:rPr>
          <w:sz w:val="18"/>
          <w:szCs w:val="18"/>
          <w:lang w:val="en-US"/>
        </w:rPr>
        <w:t xml:space="preserve">Table 4 shows the Z variables used in the </w:t>
      </w:r>
      <w:r w:rsidR="004D3C74">
        <w:rPr>
          <w:sz w:val="18"/>
          <w:szCs w:val="18"/>
          <w:lang w:val="en-US"/>
        </w:rPr>
        <w:t xml:space="preserve">Age </w:t>
      </w:r>
      <w:r w:rsidRPr="002A6AC5">
        <w:rPr>
          <w:sz w:val="18"/>
          <w:szCs w:val="18"/>
          <w:lang w:val="en-US"/>
        </w:rPr>
        <w:t>MRA. All variables are dummy variables. The n</w:t>
      </w:r>
      <w:r w:rsidR="00E82848">
        <w:rPr>
          <w:sz w:val="18"/>
          <w:szCs w:val="18"/>
          <w:lang w:val="en-US"/>
        </w:rPr>
        <w:t>umber indicates the amount of 1</w:t>
      </w:r>
      <w:r w:rsidRPr="002A6AC5">
        <w:rPr>
          <w:sz w:val="18"/>
          <w:szCs w:val="18"/>
          <w:lang w:val="en-US"/>
        </w:rPr>
        <w:t>s</w:t>
      </w:r>
      <w:r w:rsidR="002A6AC5" w:rsidRPr="002A6AC5">
        <w:rPr>
          <w:sz w:val="18"/>
          <w:szCs w:val="18"/>
          <w:lang w:val="en-US"/>
        </w:rPr>
        <w:t xml:space="preserve"> in the dataset, for instance </w:t>
      </w:r>
      <w:r w:rsidR="00287F65">
        <w:rPr>
          <w:sz w:val="18"/>
          <w:szCs w:val="18"/>
          <w:lang w:val="en-US"/>
        </w:rPr>
        <w:t>9 out</w:t>
      </w:r>
      <w:r w:rsidR="00D320D0">
        <w:rPr>
          <w:sz w:val="18"/>
          <w:szCs w:val="18"/>
          <w:lang w:val="en-US"/>
        </w:rPr>
        <w:t xml:space="preserve"> of</w:t>
      </w:r>
      <w:r w:rsidR="00287F65">
        <w:rPr>
          <w:sz w:val="18"/>
          <w:szCs w:val="18"/>
          <w:lang w:val="en-US"/>
        </w:rPr>
        <w:t xml:space="preserve"> 27</w:t>
      </w:r>
      <w:r w:rsidR="002A6AC5" w:rsidRPr="002A6AC5">
        <w:rPr>
          <w:sz w:val="18"/>
          <w:szCs w:val="18"/>
          <w:lang w:val="en-US"/>
        </w:rPr>
        <w:t xml:space="preserve"> estimates </w:t>
      </w:r>
      <w:r w:rsidR="00F60D5F">
        <w:rPr>
          <w:sz w:val="18"/>
          <w:szCs w:val="18"/>
          <w:lang w:val="en-US"/>
        </w:rPr>
        <w:t>were</w:t>
      </w:r>
      <w:r w:rsidR="002A6AC5" w:rsidRPr="002A6AC5">
        <w:rPr>
          <w:sz w:val="18"/>
          <w:szCs w:val="18"/>
          <w:lang w:val="en-US"/>
        </w:rPr>
        <w:t xml:space="preserve"> obtained from articles that </w:t>
      </w:r>
      <w:r w:rsidR="00F60D5F">
        <w:rPr>
          <w:sz w:val="18"/>
          <w:szCs w:val="18"/>
          <w:lang w:val="en-US"/>
        </w:rPr>
        <w:t>were</w:t>
      </w:r>
      <w:r w:rsidR="002A6AC5" w:rsidRPr="002A6AC5">
        <w:rPr>
          <w:sz w:val="18"/>
          <w:szCs w:val="18"/>
          <w:lang w:val="en-US"/>
        </w:rPr>
        <w:t xml:space="preserve"> published in Star Journals. </w:t>
      </w:r>
      <w:r w:rsidR="004D3C74">
        <w:rPr>
          <w:sz w:val="18"/>
          <w:szCs w:val="18"/>
          <w:lang w:val="en-US"/>
        </w:rPr>
        <w:t xml:space="preserve">The table includes time and region dummies. The ‘Returns not market adjusted dummy’ indicates that returns were not adjusted for market returns in calculating underpricing. The ‘More than 1 week dummy’ indicates that a closing price from trading day 6-21 was used in calculating underpricing. The ‘exclude </w:t>
      </w:r>
      <w:r w:rsidR="00F60C96">
        <w:rPr>
          <w:sz w:val="18"/>
          <w:szCs w:val="18"/>
          <w:lang w:val="en-US"/>
        </w:rPr>
        <w:t>Best Efforts</w:t>
      </w:r>
      <w:r w:rsidR="004D3C74">
        <w:rPr>
          <w:sz w:val="18"/>
          <w:szCs w:val="18"/>
          <w:lang w:val="en-US"/>
        </w:rPr>
        <w:t>, financials and small firms dummies’ describe the dataset used in the original regression. The ‘excludes proceeds dummy’ indicates whether a proceeds coefficient was included in the original regression.</w:t>
      </w:r>
    </w:p>
    <w:p w:rsidR="00F267F4" w:rsidRPr="00D320D0" w:rsidRDefault="00F267F4" w:rsidP="00D320D0">
      <w:pPr>
        <w:pStyle w:val="ListParagraph"/>
        <w:numPr>
          <w:ilvl w:val="0"/>
          <w:numId w:val="44"/>
        </w:numPr>
        <w:spacing w:line="360" w:lineRule="auto"/>
        <w:jc w:val="both"/>
        <w:rPr>
          <w:rFonts w:asciiTheme="minorHAnsi" w:eastAsiaTheme="minorHAnsi" w:hAnsiTheme="minorHAnsi" w:cstheme="minorBidi"/>
          <w:lang w:val="en-US"/>
        </w:rPr>
      </w:pPr>
      <w:r w:rsidRPr="00D320D0">
        <w:rPr>
          <w:rFonts w:asciiTheme="minorHAnsi" w:eastAsiaTheme="minorHAnsi" w:hAnsiTheme="minorHAnsi" w:cstheme="minorBidi"/>
          <w:lang w:val="en-US"/>
        </w:rPr>
        <w:t>The Star journal dummy (STAR) indicates whether the observation was obtained from a top ranking journal. The ranking system was obtained from the Erasmus Research Institute of Management (ERIM). The system ranks journals based on citation data. The ranks include:</w:t>
      </w:r>
      <w:r w:rsidR="003E4EC1" w:rsidRPr="00D320D0">
        <w:rPr>
          <w:rFonts w:asciiTheme="minorHAnsi" w:eastAsiaTheme="minorHAnsi" w:hAnsiTheme="minorHAnsi" w:cstheme="minorBidi"/>
          <w:lang w:val="en-US"/>
        </w:rPr>
        <w:t xml:space="preserve"> </w:t>
      </w:r>
      <w:r w:rsidRPr="00D320D0">
        <w:rPr>
          <w:rFonts w:asciiTheme="minorHAnsi" w:eastAsiaTheme="minorHAnsi" w:hAnsiTheme="minorHAnsi" w:cstheme="minorBidi"/>
          <w:lang w:val="en-US"/>
        </w:rPr>
        <w:t>Top Core, STAR, Primary and Secondary journals. If the observation was taken from a journal published in a Top Core or STAR journal, the dummy variable takes the value of one.</w:t>
      </w:r>
    </w:p>
    <w:p w:rsidR="00B16C09" w:rsidRPr="00B16C09" w:rsidRDefault="007675A0" w:rsidP="00D320D0">
      <w:pPr>
        <w:pStyle w:val="ListParagraph"/>
        <w:numPr>
          <w:ilvl w:val="0"/>
          <w:numId w:val="35"/>
        </w:numPr>
        <w:spacing w:line="360" w:lineRule="auto"/>
        <w:rPr>
          <w:lang w:val="en-US"/>
        </w:rPr>
      </w:pPr>
      <w:r w:rsidRPr="00D320D0">
        <w:rPr>
          <w:rFonts w:asciiTheme="minorHAnsi" w:eastAsiaTheme="minorHAnsi" w:hAnsiTheme="minorHAnsi" w:cstheme="minorBidi"/>
          <w:lang w:val="en-US"/>
        </w:rPr>
        <w:t xml:space="preserve">Time and Region dummies: The time and region dummies describe the dataset used in the </w:t>
      </w:r>
      <w:r w:rsidR="0045268F" w:rsidRPr="00D320D0">
        <w:rPr>
          <w:rFonts w:asciiTheme="minorHAnsi" w:eastAsiaTheme="minorHAnsi" w:hAnsiTheme="minorHAnsi" w:cstheme="minorBidi"/>
          <w:lang w:val="en-US"/>
        </w:rPr>
        <w:t xml:space="preserve">original </w:t>
      </w:r>
      <w:r w:rsidRPr="00D320D0">
        <w:rPr>
          <w:rFonts w:asciiTheme="minorHAnsi" w:eastAsiaTheme="minorHAnsi" w:hAnsiTheme="minorHAnsi" w:cstheme="minorBidi"/>
          <w:lang w:val="en-US"/>
        </w:rPr>
        <w:t>regressions. The dummy takes t</w:t>
      </w:r>
      <w:r w:rsidR="00312520" w:rsidRPr="00D320D0">
        <w:rPr>
          <w:rFonts w:asciiTheme="minorHAnsi" w:eastAsiaTheme="minorHAnsi" w:hAnsiTheme="minorHAnsi" w:cstheme="minorBidi"/>
          <w:lang w:val="en-US"/>
        </w:rPr>
        <w:t>he value of one if the data originates</w:t>
      </w:r>
      <w:r w:rsidRPr="00D320D0">
        <w:rPr>
          <w:rFonts w:asciiTheme="minorHAnsi" w:eastAsiaTheme="minorHAnsi" w:hAnsiTheme="minorHAnsi" w:cstheme="minorBidi"/>
          <w:lang w:val="en-US"/>
        </w:rPr>
        <w:t xml:space="preserve"> from a certain region or time. </w:t>
      </w:r>
      <w:r w:rsidR="00B16C09" w:rsidRPr="00D320D0">
        <w:rPr>
          <w:rFonts w:asciiTheme="minorHAnsi" w:eastAsiaTheme="minorHAnsi" w:hAnsiTheme="minorHAnsi" w:cstheme="minorBidi"/>
          <w:lang w:val="en-US"/>
        </w:rPr>
        <w:t>These dummies include an eighties dummy (</w:t>
      </w:r>
      <w:r w:rsidR="00B16C09" w:rsidRPr="00B16C09">
        <w:rPr>
          <w:lang w:val="en-US"/>
        </w:rPr>
        <w:t>80’s), a nineties dummy (90’s), an Internet bubble dummy (Int), a 2000’s dummy (00’s), a North America dummy (NA), a Europe dummy (EUR) and a worldwide data dummy (WW).</w:t>
      </w:r>
    </w:p>
    <w:p w:rsidR="007675A0" w:rsidRPr="00312520" w:rsidRDefault="00D12C29" w:rsidP="007675A0">
      <w:pPr>
        <w:pStyle w:val="ListParagraph"/>
        <w:numPr>
          <w:ilvl w:val="0"/>
          <w:numId w:val="35"/>
        </w:numPr>
        <w:spacing w:after="0" w:line="360" w:lineRule="auto"/>
        <w:rPr>
          <w:lang w:val="en-US"/>
        </w:rPr>
      </w:pPr>
      <w:r w:rsidRPr="00312520">
        <w:rPr>
          <w:lang w:val="en-US"/>
        </w:rPr>
        <w:t>Returns not market adjusted</w:t>
      </w:r>
      <w:r w:rsidR="007675A0" w:rsidRPr="00312520">
        <w:rPr>
          <w:lang w:val="en-US"/>
        </w:rPr>
        <w:t xml:space="preserve">: </w:t>
      </w:r>
      <w:r w:rsidRPr="00312520">
        <w:rPr>
          <w:lang w:val="en-US"/>
        </w:rPr>
        <w:t>This</w:t>
      </w:r>
      <w:r w:rsidR="007675A0" w:rsidRPr="00312520">
        <w:rPr>
          <w:lang w:val="en-US"/>
        </w:rPr>
        <w:t xml:space="preserve"> dummy indicates whether market adjusted or raw returns </w:t>
      </w:r>
      <w:r w:rsidR="00F60D5F" w:rsidRPr="00312520">
        <w:rPr>
          <w:lang w:val="en-US"/>
        </w:rPr>
        <w:t>were</w:t>
      </w:r>
      <w:r w:rsidR="007675A0" w:rsidRPr="00312520">
        <w:rPr>
          <w:lang w:val="en-US"/>
        </w:rPr>
        <w:t xml:space="preserve"> used in calculating the level of underpricing</w:t>
      </w:r>
      <w:r w:rsidRPr="00312520">
        <w:rPr>
          <w:lang w:val="en-US"/>
        </w:rPr>
        <w:t xml:space="preserve"> </w:t>
      </w:r>
      <w:r w:rsidR="000C7175" w:rsidRPr="00312520">
        <w:rPr>
          <w:lang w:val="en-US"/>
        </w:rPr>
        <w:t>(Madj)</w:t>
      </w:r>
      <w:r w:rsidR="007675A0" w:rsidRPr="00312520">
        <w:rPr>
          <w:lang w:val="en-US"/>
        </w:rPr>
        <w:t xml:space="preserve">. </w:t>
      </w:r>
      <w:r w:rsidR="0045268F" w:rsidRPr="00312520">
        <w:rPr>
          <w:lang w:val="en-US"/>
        </w:rPr>
        <w:t>The dummy takes the value of one if raw returns were used.</w:t>
      </w:r>
    </w:p>
    <w:p w:rsidR="007675A0" w:rsidRPr="001D0048" w:rsidRDefault="007675A0" w:rsidP="007675A0">
      <w:pPr>
        <w:pStyle w:val="ListParagraph"/>
        <w:numPr>
          <w:ilvl w:val="0"/>
          <w:numId w:val="35"/>
        </w:numPr>
        <w:spacing w:after="0" w:line="360" w:lineRule="auto"/>
        <w:rPr>
          <w:lang w:val="en-US"/>
        </w:rPr>
      </w:pPr>
      <w:r w:rsidRPr="001B1F49">
        <w:rPr>
          <w:lang w:val="en-US"/>
        </w:rPr>
        <w:t>More than 1 week</w:t>
      </w:r>
      <w:r>
        <w:rPr>
          <w:lang w:val="en-US"/>
        </w:rPr>
        <w:t xml:space="preserve">: </w:t>
      </w:r>
      <w:r w:rsidRPr="001B1F49">
        <w:rPr>
          <w:lang w:val="en-US"/>
        </w:rPr>
        <w:t>The more than one week dummy indicates whether a closing price from the first week of trading</w:t>
      </w:r>
      <w:r w:rsidR="0045268F">
        <w:rPr>
          <w:lang w:val="en-US"/>
        </w:rPr>
        <w:t>,</w:t>
      </w:r>
      <w:r w:rsidRPr="001B1F49">
        <w:rPr>
          <w:lang w:val="en-US"/>
        </w:rPr>
        <w:t xml:space="preserve"> or a closing price from the first month of trading was used in order to estimate the level of underpricing</w:t>
      </w:r>
      <w:r w:rsidR="00B64825">
        <w:rPr>
          <w:lang w:val="en-US"/>
        </w:rPr>
        <w:t xml:space="preserve"> </w:t>
      </w:r>
      <w:r w:rsidR="000C7175">
        <w:rPr>
          <w:lang w:val="en-US"/>
        </w:rPr>
        <w:t>(M1wk)</w:t>
      </w:r>
      <w:r w:rsidRPr="001B1F49">
        <w:rPr>
          <w:lang w:val="en-US"/>
        </w:rPr>
        <w:t xml:space="preserve">. </w:t>
      </w:r>
      <w:r w:rsidR="0045268F">
        <w:rPr>
          <w:lang w:val="en-US"/>
        </w:rPr>
        <w:t>The dummy takes the value of one if a closing price from the first month of trading was used.</w:t>
      </w:r>
    </w:p>
    <w:p w:rsidR="007675A0" w:rsidRPr="001B1F49" w:rsidRDefault="007675A0" w:rsidP="007675A0">
      <w:pPr>
        <w:pStyle w:val="ListParagraph"/>
        <w:numPr>
          <w:ilvl w:val="0"/>
          <w:numId w:val="35"/>
        </w:numPr>
        <w:spacing w:after="0" w:line="360" w:lineRule="auto"/>
        <w:rPr>
          <w:lang w:val="en-US"/>
        </w:rPr>
      </w:pPr>
      <w:r w:rsidRPr="001B1F49">
        <w:rPr>
          <w:lang w:val="en-US"/>
        </w:rPr>
        <w:lastRenderedPageBreak/>
        <w:t>Excluded observations</w:t>
      </w:r>
      <w:r>
        <w:rPr>
          <w:lang w:val="en-US"/>
        </w:rPr>
        <w:t xml:space="preserve">: </w:t>
      </w:r>
      <w:r w:rsidRPr="001B1F49">
        <w:rPr>
          <w:lang w:val="en-US"/>
        </w:rPr>
        <w:t xml:space="preserve">The </w:t>
      </w:r>
      <w:r>
        <w:rPr>
          <w:lang w:val="en-US"/>
        </w:rPr>
        <w:t>exclusion</w:t>
      </w:r>
      <w:r w:rsidRPr="001B1F49">
        <w:rPr>
          <w:lang w:val="en-US"/>
        </w:rPr>
        <w:t xml:space="preserve"> dummies indicate whether </w:t>
      </w:r>
      <w:r w:rsidR="00F60C96">
        <w:rPr>
          <w:lang w:val="en-US"/>
        </w:rPr>
        <w:t>Best Efforts</w:t>
      </w:r>
      <w:r w:rsidRPr="001B1F49">
        <w:rPr>
          <w:lang w:val="en-US"/>
        </w:rPr>
        <w:t xml:space="preserve"> contracts</w:t>
      </w:r>
      <w:r w:rsidR="0045268F">
        <w:rPr>
          <w:lang w:val="en-US"/>
        </w:rPr>
        <w:t xml:space="preserve"> </w:t>
      </w:r>
      <w:r w:rsidR="000C7175">
        <w:rPr>
          <w:lang w:val="en-US"/>
        </w:rPr>
        <w:t>(ExBE)</w:t>
      </w:r>
      <w:r w:rsidRPr="001B1F49">
        <w:rPr>
          <w:lang w:val="en-US"/>
        </w:rPr>
        <w:t>,</w:t>
      </w:r>
      <w:r w:rsidR="00D320D0">
        <w:rPr>
          <w:lang w:val="en-US"/>
        </w:rPr>
        <w:t xml:space="preserve"> or</w:t>
      </w:r>
      <w:r w:rsidRPr="001B1F49">
        <w:rPr>
          <w:lang w:val="en-US"/>
        </w:rPr>
        <w:t xml:space="preserve"> financial firms and</w:t>
      </w:r>
      <w:r>
        <w:rPr>
          <w:lang w:val="en-US"/>
        </w:rPr>
        <w:t>/or</w:t>
      </w:r>
      <w:r w:rsidRPr="001B1F49">
        <w:rPr>
          <w:lang w:val="en-US"/>
        </w:rPr>
        <w:t xml:space="preserve"> small</w:t>
      </w:r>
      <w:r w:rsidR="00EB3627">
        <w:rPr>
          <w:lang w:val="en-US"/>
        </w:rPr>
        <w:t xml:space="preserve"> IPOs</w:t>
      </w:r>
      <w:r w:rsidRPr="001B1F49">
        <w:rPr>
          <w:lang w:val="en-US"/>
        </w:rPr>
        <w:t xml:space="preserve"> </w:t>
      </w:r>
      <w:r w:rsidR="00F60D5F">
        <w:rPr>
          <w:lang w:val="en-US"/>
        </w:rPr>
        <w:t>were</w:t>
      </w:r>
      <w:r w:rsidRPr="001B1F49">
        <w:rPr>
          <w:lang w:val="en-US"/>
        </w:rPr>
        <w:t xml:space="preserve"> excluded from the dataset</w:t>
      </w:r>
      <w:r w:rsidR="0045268F">
        <w:rPr>
          <w:lang w:val="en-US"/>
        </w:rPr>
        <w:t xml:space="preserve"> </w:t>
      </w:r>
      <w:r w:rsidR="000C7175">
        <w:rPr>
          <w:lang w:val="en-US"/>
        </w:rPr>
        <w:t>(ExFIN and ExSF)</w:t>
      </w:r>
      <w:r w:rsidRPr="001B1F49">
        <w:rPr>
          <w:lang w:val="en-US"/>
        </w:rPr>
        <w:t xml:space="preserve">. </w:t>
      </w:r>
      <w:r w:rsidR="00EB3627">
        <w:rPr>
          <w:lang w:val="en-US"/>
        </w:rPr>
        <w:t xml:space="preserve"> Small IPOs are IPOs smaller than $2 m</w:t>
      </w:r>
      <w:r w:rsidR="00E252E9">
        <w:rPr>
          <w:lang w:val="en-US"/>
        </w:rPr>
        <w:t>illion</w:t>
      </w:r>
      <w:r w:rsidR="00EB3627">
        <w:rPr>
          <w:lang w:val="en-US"/>
        </w:rPr>
        <w:t xml:space="preserve"> or </w:t>
      </w:r>
      <w:r w:rsidR="00E252E9">
        <w:rPr>
          <w:lang w:val="en-US"/>
        </w:rPr>
        <w:t xml:space="preserve">have </w:t>
      </w:r>
      <w:r w:rsidR="00EB3627">
        <w:rPr>
          <w:lang w:val="en-US"/>
        </w:rPr>
        <w:t>share prices below $5</w:t>
      </w:r>
      <w:proofErr w:type="gramStart"/>
      <w:r w:rsidR="00EB3627">
        <w:rPr>
          <w:lang w:val="en-US"/>
        </w:rPr>
        <w:t>,00</w:t>
      </w:r>
      <w:proofErr w:type="gramEnd"/>
      <w:r w:rsidR="00EB3627">
        <w:rPr>
          <w:lang w:val="en-US"/>
        </w:rPr>
        <w:t>.</w:t>
      </w:r>
    </w:p>
    <w:p w:rsidR="00EB011A" w:rsidRDefault="00D12C29" w:rsidP="007675A0">
      <w:pPr>
        <w:pStyle w:val="ListParagraph"/>
        <w:numPr>
          <w:ilvl w:val="0"/>
          <w:numId w:val="35"/>
        </w:numPr>
        <w:spacing w:line="360" w:lineRule="auto"/>
        <w:contextualSpacing w:val="0"/>
        <w:rPr>
          <w:lang w:val="en-US"/>
        </w:rPr>
      </w:pPr>
      <w:r>
        <w:rPr>
          <w:lang w:val="en-US"/>
        </w:rPr>
        <w:t xml:space="preserve">Exclude </w:t>
      </w:r>
      <w:r w:rsidR="007675A0" w:rsidRPr="001B1F49">
        <w:rPr>
          <w:lang w:val="en-US"/>
        </w:rPr>
        <w:t>proceeds</w:t>
      </w:r>
      <w:r w:rsidR="007675A0">
        <w:rPr>
          <w:lang w:val="en-US"/>
        </w:rPr>
        <w:t xml:space="preserve">: </w:t>
      </w:r>
      <w:r w:rsidR="007675A0" w:rsidRPr="001B1F49">
        <w:rPr>
          <w:lang w:val="en-US"/>
        </w:rPr>
        <w:t xml:space="preserve">The final dummy indicates whether </w:t>
      </w:r>
      <w:r w:rsidR="007675A0">
        <w:rPr>
          <w:lang w:val="en-US"/>
        </w:rPr>
        <w:t xml:space="preserve">a Gross proceeds </w:t>
      </w:r>
      <w:r w:rsidR="000C7175">
        <w:rPr>
          <w:lang w:val="en-US"/>
        </w:rPr>
        <w:t>coefficient was</w:t>
      </w:r>
      <w:r w:rsidR="007675A0">
        <w:rPr>
          <w:lang w:val="en-US"/>
        </w:rPr>
        <w:t xml:space="preserve"> </w:t>
      </w:r>
      <w:r w:rsidR="00D320D0">
        <w:rPr>
          <w:lang w:val="en-US"/>
        </w:rPr>
        <w:t>nont included</w:t>
      </w:r>
      <w:r w:rsidR="007675A0">
        <w:rPr>
          <w:lang w:val="en-US"/>
        </w:rPr>
        <w:t xml:space="preserve"> in the original regression equation</w:t>
      </w:r>
      <w:r>
        <w:rPr>
          <w:lang w:val="en-US"/>
        </w:rPr>
        <w:t xml:space="preserve"> (Ex</w:t>
      </w:r>
      <w:r w:rsidR="000C7175">
        <w:rPr>
          <w:lang w:val="en-US"/>
        </w:rPr>
        <w:t>PRO)</w:t>
      </w:r>
      <w:r w:rsidR="007675A0">
        <w:rPr>
          <w:lang w:val="en-US"/>
        </w:rPr>
        <w:t>.</w:t>
      </w:r>
    </w:p>
    <w:p w:rsidR="00B30965" w:rsidRDefault="003E4EC1" w:rsidP="00BB06C6">
      <w:pPr>
        <w:spacing w:line="360" w:lineRule="auto"/>
        <w:rPr>
          <w:lang w:val="en-US"/>
        </w:rPr>
      </w:pPr>
      <w:r w:rsidRPr="00B16C09">
        <w:rPr>
          <w:lang w:val="en-US"/>
        </w:rPr>
        <w:t xml:space="preserve">Not all variables described above are included in the final MRA equation. </w:t>
      </w:r>
      <w:r w:rsidR="00312520" w:rsidRPr="00B16C09">
        <w:rPr>
          <w:lang w:val="en-US"/>
        </w:rPr>
        <w:t xml:space="preserve">Due to the dummy variable trap, not all region or time dummies are included in a single regression.  </w:t>
      </w:r>
      <w:r w:rsidR="00B16C09" w:rsidRPr="00B16C09">
        <w:rPr>
          <w:lang w:val="en-US"/>
        </w:rPr>
        <w:t xml:space="preserve">The 1980’s dummy and the </w:t>
      </w:r>
      <w:r w:rsidR="00B16C09">
        <w:rPr>
          <w:lang w:val="en-US"/>
        </w:rPr>
        <w:t>N</w:t>
      </w:r>
      <w:r w:rsidR="00B16C09" w:rsidRPr="00B16C09">
        <w:rPr>
          <w:lang w:val="en-US"/>
        </w:rPr>
        <w:t>orth America dummies are treated as base cases and are therefore dropped from the MRA equation</w:t>
      </w:r>
      <w:r w:rsidR="00DB4617">
        <w:rPr>
          <w:rStyle w:val="FootnoteReference"/>
          <w:lang w:val="en-US"/>
        </w:rPr>
        <w:footnoteReference w:id="34"/>
      </w:r>
      <w:r w:rsidR="00B16C09" w:rsidRPr="00B16C09">
        <w:rPr>
          <w:lang w:val="en-US"/>
        </w:rPr>
        <w:t xml:space="preserve">. Furthermore some variables are especially prone to omitted variable bias. </w:t>
      </w:r>
      <w:r w:rsidR="00EB011A" w:rsidRPr="00B16C09">
        <w:rPr>
          <w:lang w:val="en-US"/>
        </w:rPr>
        <w:t>The three coefficient observations that were originally estimate</w:t>
      </w:r>
      <w:r w:rsidR="005D1EC6" w:rsidRPr="00B16C09">
        <w:rPr>
          <w:lang w:val="en-US"/>
        </w:rPr>
        <w:t xml:space="preserve">d from world wide data, all originate from </w:t>
      </w:r>
      <w:r w:rsidR="0045268F" w:rsidRPr="00B16C09">
        <w:rPr>
          <w:lang w:val="en-US"/>
        </w:rPr>
        <w:t xml:space="preserve">the same paper. </w:t>
      </w:r>
      <w:r w:rsidR="00EA6286">
        <w:rPr>
          <w:lang w:val="en-US"/>
        </w:rPr>
        <w:t>I</w:t>
      </w:r>
      <w:r w:rsidR="005D1EC6" w:rsidRPr="00B16C09">
        <w:rPr>
          <w:lang w:val="en-US"/>
        </w:rPr>
        <w:t xml:space="preserve">f the paper in question reports abnormally large (or small) coefficients, the world dummy </w:t>
      </w:r>
      <w:r w:rsidR="00EA6286">
        <w:rPr>
          <w:lang w:val="en-US"/>
        </w:rPr>
        <w:t>could</w:t>
      </w:r>
      <w:r w:rsidR="005D1EC6" w:rsidRPr="00B16C09">
        <w:rPr>
          <w:lang w:val="en-US"/>
        </w:rPr>
        <w:t xml:space="preserve"> be positive (negative)</w:t>
      </w:r>
      <w:r w:rsidR="00655302">
        <w:rPr>
          <w:lang w:val="en-US"/>
        </w:rPr>
        <w:t>,</w:t>
      </w:r>
      <w:r w:rsidR="005D1EC6" w:rsidRPr="00B16C09">
        <w:rPr>
          <w:lang w:val="en-US"/>
        </w:rPr>
        <w:t xml:space="preserve"> indicating that worldwide data is positively (negatively) related to the size of the age coefficient. </w:t>
      </w:r>
      <w:r w:rsidR="00660CEA" w:rsidRPr="00B16C09">
        <w:rPr>
          <w:lang w:val="en-US"/>
        </w:rPr>
        <w:t>However,</w:t>
      </w:r>
      <w:r w:rsidR="005D1EC6" w:rsidRPr="00B16C09">
        <w:rPr>
          <w:lang w:val="en-US"/>
        </w:rPr>
        <w:t xml:space="preserve"> if the paper in question has an abnormal model specification (for instance underpricing was calculated in a deviating way), this could just as easily be the reason for the abnormal large (small) coefficients. For this reason the world dummy, </w:t>
      </w:r>
      <w:r w:rsidR="006917E1" w:rsidRPr="00B16C09">
        <w:rPr>
          <w:lang w:val="en-US"/>
        </w:rPr>
        <w:t>1990’s</w:t>
      </w:r>
      <w:r w:rsidR="005D1EC6" w:rsidRPr="00B16C09">
        <w:rPr>
          <w:lang w:val="en-US"/>
        </w:rPr>
        <w:t xml:space="preserve"> dummy, and 2000’s dummy have been dropped from the MRA equation. </w:t>
      </w:r>
      <w:r w:rsidR="00EA6286">
        <w:rPr>
          <w:lang w:val="en-US"/>
        </w:rPr>
        <w:t>The rema</w:t>
      </w:r>
      <w:r w:rsidR="00655302">
        <w:rPr>
          <w:lang w:val="en-US"/>
        </w:rPr>
        <w:t>in</w:t>
      </w:r>
      <w:r w:rsidR="00EA6286">
        <w:rPr>
          <w:lang w:val="en-US"/>
        </w:rPr>
        <w:t xml:space="preserve">ing dummy variables include: Internet bubble, Europe, Returns not market adjusted, More than 1 week, Exclude </w:t>
      </w:r>
      <w:r w:rsidR="00F60C96">
        <w:rPr>
          <w:lang w:val="en-US"/>
        </w:rPr>
        <w:t>Best Efforts</w:t>
      </w:r>
      <w:r w:rsidR="00EA6286" w:rsidRPr="00932DF5">
        <w:rPr>
          <w:lang w:val="en-US"/>
        </w:rPr>
        <w:t>, Exclude financials, Exclude small firms and Excludes proceeds.</w:t>
      </w:r>
    </w:p>
    <w:p w:rsidR="00BB06C6" w:rsidRDefault="00BB06C6">
      <w:pPr>
        <w:rPr>
          <w:lang w:val="en-US"/>
        </w:rPr>
      </w:pPr>
      <w:r>
        <w:rPr>
          <w:lang w:val="en-US"/>
        </w:rPr>
        <w:br w:type="page"/>
      </w:r>
    </w:p>
    <w:p w:rsidR="00AB360D" w:rsidRDefault="00EA6286" w:rsidP="00EB011A">
      <w:pPr>
        <w:spacing w:line="360" w:lineRule="auto"/>
        <w:rPr>
          <w:lang w:val="en-US"/>
        </w:rPr>
      </w:pPr>
      <w:r w:rsidRPr="00932DF5">
        <w:rPr>
          <w:lang w:val="en-US"/>
        </w:rPr>
        <w:lastRenderedPageBreak/>
        <w:t xml:space="preserve"> In order to check whe</w:t>
      </w:r>
      <w:r w:rsidR="00B30965">
        <w:rPr>
          <w:lang w:val="en-US"/>
        </w:rPr>
        <w:t>ther the</w:t>
      </w:r>
      <w:r w:rsidRPr="00932DF5">
        <w:rPr>
          <w:lang w:val="en-US"/>
        </w:rPr>
        <w:t xml:space="preserve"> dummy variables </w:t>
      </w:r>
      <w:r w:rsidR="00932DF5" w:rsidRPr="00932DF5">
        <w:rPr>
          <w:lang w:val="en-US"/>
        </w:rPr>
        <w:t>add to the explanatory power of the model</w:t>
      </w:r>
      <w:r w:rsidRPr="00932DF5">
        <w:rPr>
          <w:lang w:val="en-US"/>
        </w:rPr>
        <w:t xml:space="preserve">, a preliminary test is conducted. Equation 3 is estimated in steps. In the first step </w:t>
      </w:r>
      <w:r w:rsidR="00932DF5" w:rsidRPr="00932DF5">
        <w:rPr>
          <w:lang w:val="en-US"/>
        </w:rPr>
        <w:t>the entire equation is estimated and the calculated adjusted r-square is reported.</w:t>
      </w:r>
      <w:r w:rsidRPr="00932DF5">
        <w:rPr>
          <w:lang w:val="en-US"/>
        </w:rPr>
        <w:t xml:space="preserve"> In the</w:t>
      </w:r>
      <w:r w:rsidR="00932DF5" w:rsidRPr="00932DF5">
        <w:rPr>
          <w:lang w:val="en-US"/>
        </w:rPr>
        <w:t xml:space="preserve"> following steps the equation is estimated while excluding one variable. Therefore, 8 new equations are estimated. These equations are similar to equation 3 with the exception that in every equation 1 of the 8 dummies is dropped. The adjusted r-square for each of these 8 equations is calculated and compared to the adjusted r-square of equation 3. If dropping a dummy variable increase</w:t>
      </w:r>
      <w:r w:rsidR="00E252E9">
        <w:rPr>
          <w:lang w:val="en-US"/>
        </w:rPr>
        <w:t>s</w:t>
      </w:r>
      <w:r w:rsidR="00932DF5" w:rsidRPr="00932DF5">
        <w:rPr>
          <w:lang w:val="en-US"/>
        </w:rPr>
        <w:t xml:space="preserve"> the r-square, the variable is excluded from</w:t>
      </w:r>
      <w:r w:rsidR="00932DF5" w:rsidRPr="0084268B">
        <w:rPr>
          <w:lang w:val="en-US"/>
        </w:rPr>
        <w:t xml:space="preserve"> the MRA test. </w:t>
      </w:r>
      <w:r w:rsidR="0084268B" w:rsidRPr="0084268B">
        <w:rPr>
          <w:lang w:val="en-US"/>
        </w:rPr>
        <w:t xml:space="preserve">Appendix 1 shows the results of the preliminary tests. </w:t>
      </w:r>
    </w:p>
    <w:p w:rsidR="00EB011A" w:rsidRPr="00044700" w:rsidRDefault="00044700" w:rsidP="00EB011A">
      <w:pPr>
        <w:spacing w:line="360" w:lineRule="auto"/>
        <w:rPr>
          <w:i/>
          <w:color w:val="FF0000"/>
          <w:lang w:val="en-US"/>
        </w:rPr>
      </w:pPr>
      <m:oMath>
        <m:r>
          <w:rPr>
            <w:rFonts w:ascii="Cambria Math" w:hAnsi="Cambria Math"/>
            <w:lang w:val="en-US"/>
          </w:rPr>
          <m:t xml:space="preserve">Age coefficient= β+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r>
          <w:rPr>
            <w:rFonts w:ascii="Cambria Math" w:hAnsi="Cambria Math"/>
            <w:lang w:val="en-US"/>
          </w:rPr>
          <m:t>Int+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 xml:space="preserve">Eur+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r>
          <w:rPr>
            <w:rFonts w:ascii="Cambria Math" w:hAnsi="Cambria Math"/>
            <w:lang w:val="en-US"/>
          </w:rPr>
          <m:t xml:space="preserve">Madj+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4</m:t>
            </m:r>
          </m:sub>
        </m:sSub>
        <m:r>
          <w:rPr>
            <w:rFonts w:ascii="Cambria Math" w:hAnsi="Cambria Math"/>
            <w:lang w:val="en-US"/>
          </w:rPr>
          <m:t>M1wk+</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r>
          <w:rPr>
            <w:rFonts w:ascii="Cambria Math" w:hAnsi="Cambria Math"/>
            <w:lang w:val="en-US"/>
          </w:rPr>
          <m:t>ExBE+</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6</m:t>
            </m:r>
          </m:sub>
        </m:sSub>
        <m:r>
          <w:rPr>
            <w:rFonts w:ascii="Cambria Math" w:hAnsi="Cambria Math"/>
            <w:lang w:val="en-US"/>
          </w:rPr>
          <m:t xml:space="preserve">ExFin+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7</m:t>
            </m:r>
          </m:sub>
        </m:sSub>
        <m:r>
          <w:rPr>
            <w:rFonts w:ascii="Cambria Math" w:hAnsi="Cambria Math"/>
            <w:lang w:val="en-US"/>
          </w:rPr>
          <m:t xml:space="preserve">ExSF+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8</m:t>
            </m:r>
          </m:sub>
        </m:sSub>
        <m:r>
          <w:rPr>
            <w:rFonts w:ascii="Cambria Math" w:hAnsi="Cambria Math"/>
            <w:lang w:val="en-US"/>
          </w:rPr>
          <m:t xml:space="preserve">ExPRO+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044700">
        <w:rPr>
          <w:rFonts w:eastAsiaTheme="minorEastAsia"/>
          <w:i/>
          <w:lang w:val="en-US"/>
        </w:rPr>
        <w:tab/>
      </w:r>
      <w:r w:rsidRPr="00044700">
        <w:rPr>
          <w:rFonts w:eastAsiaTheme="minorEastAsia"/>
          <w:i/>
          <w:lang w:val="en-US"/>
        </w:rPr>
        <w:tab/>
      </w:r>
      <w:r w:rsidRPr="00044700">
        <w:rPr>
          <w:rFonts w:eastAsiaTheme="minorEastAsia"/>
          <w:i/>
          <w:lang w:val="en-US"/>
        </w:rPr>
        <w:tab/>
      </w:r>
      <w:r w:rsidRPr="00044700">
        <w:rPr>
          <w:rFonts w:eastAsiaTheme="minorEastAsia"/>
          <w:i/>
          <w:lang w:val="en-US"/>
        </w:rPr>
        <w:tab/>
      </w:r>
      <w:r w:rsidRPr="00044700">
        <w:rPr>
          <w:rFonts w:eastAsiaTheme="minorEastAsia"/>
          <w:i/>
          <w:lang w:val="en-US"/>
        </w:rPr>
        <w:tab/>
      </w:r>
      <w:r w:rsidRPr="00044700">
        <w:rPr>
          <w:rFonts w:eastAsiaTheme="minorEastAsia"/>
          <w:i/>
          <w:lang w:val="en-US"/>
        </w:rPr>
        <w:tab/>
      </w:r>
      <w:r w:rsidRPr="00044700">
        <w:rPr>
          <w:rFonts w:eastAsiaTheme="minorEastAsia"/>
          <w:i/>
          <w:lang w:val="en-US"/>
        </w:rPr>
        <w:tab/>
      </w:r>
      <w:r w:rsidR="00D320D0">
        <w:rPr>
          <w:rFonts w:eastAsiaTheme="minorEastAsia"/>
          <w:i/>
          <w:lang w:val="en-US"/>
        </w:rPr>
        <w:tab/>
      </w:r>
      <w:r w:rsidRPr="00044700">
        <w:rPr>
          <w:rFonts w:eastAsiaTheme="minorEastAsia"/>
          <w:i/>
          <w:lang w:val="en-US"/>
        </w:rPr>
        <w:tab/>
        <w:t>(</w:t>
      </w:r>
      <w:r w:rsidR="00582220">
        <w:rPr>
          <w:rFonts w:eastAsiaTheme="minorEastAsia"/>
          <w:i/>
          <w:lang w:val="en-US"/>
        </w:rPr>
        <w:t>3</w:t>
      </w:r>
      <w:r w:rsidRPr="00044700">
        <w:rPr>
          <w:rFonts w:eastAsiaTheme="minorEastAsia"/>
          <w:i/>
          <w:lang w:val="en-US"/>
        </w:rPr>
        <w:t>)</w:t>
      </w:r>
    </w:p>
    <w:p w:rsidR="00AB360D" w:rsidRPr="00BB06C6" w:rsidRDefault="00AB360D" w:rsidP="00BB06C6">
      <w:pPr>
        <w:spacing w:line="360" w:lineRule="auto"/>
        <w:rPr>
          <w:lang w:val="en-US"/>
        </w:rPr>
      </w:pPr>
      <w:r>
        <w:rPr>
          <w:lang w:val="en-US"/>
        </w:rPr>
        <w:t xml:space="preserve">The Internet dummy, the more than 1 week dummy and </w:t>
      </w:r>
      <w:proofErr w:type="gramStart"/>
      <w:r>
        <w:rPr>
          <w:lang w:val="en-US"/>
        </w:rPr>
        <w:t>the excludes</w:t>
      </w:r>
      <w:proofErr w:type="gramEnd"/>
      <w:r>
        <w:rPr>
          <w:lang w:val="en-US"/>
        </w:rPr>
        <w:t xml:space="preserve"> </w:t>
      </w:r>
      <w:r w:rsidR="00F60C96">
        <w:rPr>
          <w:lang w:val="en-US"/>
        </w:rPr>
        <w:t>Best Efforts</w:t>
      </w:r>
      <w:r>
        <w:rPr>
          <w:lang w:val="en-US"/>
        </w:rPr>
        <w:t xml:space="preserve"> dummy do not add explanatory power to the model and are therefore dropped from the equation</w:t>
      </w:r>
      <w:r w:rsidRPr="0084268B">
        <w:rPr>
          <w:lang w:val="en-US"/>
        </w:rPr>
        <w:t xml:space="preserve">. The final MRA equation for firm age is given by equation </w:t>
      </w:r>
      <w:r>
        <w:rPr>
          <w:lang w:val="en-US"/>
        </w:rPr>
        <w:t>4</w:t>
      </w:r>
      <w:r w:rsidR="00963EA5">
        <w:rPr>
          <w:lang w:val="en-US"/>
        </w:rPr>
        <w:t xml:space="preserve">. The age coefficient in equation 4 belongs to a discrete variable (from the original regression) indicating the time in years between incorporation and the IPO. </w:t>
      </w:r>
    </w:p>
    <w:p w:rsidR="00AB360D" w:rsidRPr="007E5C57" w:rsidRDefault="00AB360D" w:rsidP="007E5C57">
      <w:pPr>
        <w:spacing w:line="360" w:lineRule="auto"/>
        <w:rPr>
          <w:color w:val="FF0000"/>
          <w:lang w:val="en-US"/>
        </w:rPr>
      </w:pPr>
      <m:oMath>
        <m:r>
          <w:rPr>
            <w:rFonts w:ascii="Cambria Math" w:hAnsi="Cambria Math"/>
            <w:lang w:val="en-US"/>
          </w:rPr>
          <m:t>Age coefficient= β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r>
          <w:rPr>
            <w:rFonts w:ascii="Cambria Math" w:hAnsi="Cambria Math"/>
            <w:lang w:val="en-US"/>
          </w:rPr>
          <m:t xml:space="preserve">Eur+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 xml:space="preserve">Madj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r>
          <w:rPr>
            <w:rFonts w:ascii="Cambria Math" w:hAnsi="Cambria Math"/>
            <w:lang w:val="en-US"/>
          </w:rPr>
          <m:t xml:space="preserve">ExFin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4</m:t>
            </m:r>
          </m:sub>
        </m:sSub>
        <m:r>
          <w:rPr>
            <w:rFonts w:ascii="Cambria Math" w:hAnsi="Cambria Math"/>
            <w:lang w:val="en-US"/>
          </w:rPr>
          <m:t xml:space="preserve">ExSF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r>
          <w:rPr>
            <w:rFonts w:ascii="Cambria Math" w:hAnsi="Cambria Math"/>
            <w:lang w:val="en-US"/>
          </w:rPr>
          <m:t xml:space="preserve">ExPRO +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Pr>
          <w:rFonts w:eastAsiaTheme="minorEastAsia"/>
          <w:i/>
          <w:lang w:val="en-US"/>
        </w:rPr>
        <w:tab/>
        <w:t>(4)</w:t>
      </w:r>
      <w:r w:rsidRPr="00044700">
        <w:rPr>
          <w:rFonts w:eastAsiaTheme="minorEastAsia"/>
          <w:i/>
          <w:lang w:val="en-US"/>
        </w:rPr>
        <w:tab/>
      </w:r>
    </w:p>
    <w:p w:rsidR="008771B2" w:rsidRDefault="008771B2">
      <w:pPr>
        <w:rPr>
          <w:b/>
          <w:lang w:val="en-US"/>
        </w:rPr>
      </w:pPr>
      <w:r>
        <w:rPr>
          <w:b/>
          <w:lang w:val="en-US"/>
        </w:rPr>
        <w:br w:type="page"/>
      </w:r>
    </w:p>
    <w:p w:rsidR="007675A0" w:rsidRDefault="00C72939" w:rsidP="00312520">
      <w:pPr>
        <w:ind w:left="1418" w:hanging="851"/>
        <w:rPr>
          <w:b/>
          <w:lang w:val="en-US"/>
        </w:rPr>
      </w:pPr>
      <w:r>
        <w:rPr>
          <w:b/>
          <w:lang w:val="en-US"/>
        </w:rPr>
        <w:lastRenderedPageBreak/>
        <w:t>5</w:t>
      </w:r>
      <w:r w:rsidR="00293CC3">
        <w:rPr>
          <w:b/>
          <w:lang w:val="en-US"/>
        </w:rPr>
        <w:t>.2</w:t>
      </w:r>
      <w:r w:rsidR="007675A0">
        <w:rPr>
          <w:b/>
          <w:lang w:val="en-US"/>
        </w:rPr>
        <w:t>.</w:t>
      </w:r>
      <w:r w:rsidR="00CA1FC5">
        <w:rPr>
          <w:b/>
          <w:lang w:val="en-US"/>
        </w:rPr>
        <w:t>2.</w:t>
      </w:r>
      <w:r w:rsidR="007675A0">
        <w:rPr>
          <w:b/>
          <w:lang w:val="en-US"/>
        </w:rPr>
        <w:tab/>
      </w:r>
      <w:r w:rsidR="007675A0" w:rsidRPr="00F0732B">
        <w:rPr>
          <w:b/>
          <w:lang w:val="en-US"/>
        </w:rPr>
        <w:t>Proceeds</w:t>
      </w:r>
    </w:p>
    <w:p w:rsidR="00FD6E17" w:rsidRDefault="007675A0" w:rsidP="007675A0">
      <w:pPr>
        <w:spacing w:line="360" w:lineRule="auto"/>
        <w:rPr>
          <w:lang w:val="en-US"/>
        </w:rPr>
      </w:pPr>
      <w:r>
        <w:rPr>
          <w:lang w:val="en-US"/>
        </w:rPr>
        <w:t>The dataset for the ‘</w:t>
      </w:r>
      <w:r w:rsidR="0030498B">
        <w:rPr>
          <w:lang w:val="en-US"/>
        </w:rPr>
        <w:t>IPO</w:t>
      </w:r>
      <w:r>
        <w:rPr>
          <w:lang w:val="en-US"/>
        </w:rPr>
        <w:t xml:space="preserve"> proceeds MRA’ consist of papers that include </w:t>
      </w:r>
      <w:r w:rsidR="0030498B">
        <w:rPr>
          <w:lang w:val="en-US"/>
        </w:rPr>
        <w:t>IPO</w:t>
      </w:r>
      <w:r>
        <w:rPr>
          <w:lang w:val="en-US"/>
        </w:rPr>
        <w:t xml:space="preserve"> proceeds in a regression with underpricing as the dependent. </w:t>
      </w:r>
      <w:r w:rsidR="005B1B11">
        <w:rPr>
          <w:lang w:val="en-US"/>
        </w:rPr>
        <w:t xml:space="preserve">Table </w:t>
      </w:r>
      <w:r w:rsidR="00582220">
        <w:rPr>
          <w:lang w:val="en-US"/>
        </w:rPr>
        <w:t>5</w:t>
      </w:r>
      <w:r w:rsidRPr="000303AB">
        <w:rPr>
          <w:lang w:val="en-US"/>
        </w:rPr>
        <w:t xml:space="preserve"> </w:t>
      </w:r>
      <w:r>
        <w:rPr>
          <w:lang w:val="en-US"/>
        </w:rPr>
        <w:t>shows descriptive statistic</w:t>
      </w:r>
      <w:r w:rsidR="00DB4617">
        <w:rPr>
          <w:lang w:val="en-US"/>
        </w:rPr>
        <w:t>s</w:t>
      </w:r>
      <w:r>
        <w:rPr>
          <w:lang w:val="en-US"/>
        </w:rPr>
        <w:t xml:space="preserve"> on the Proceeds coefficient. </w:t>
      </w:r>
      <w:r w:rsidR="00BB06C6">
        <w:rPr>
          <w:lang w:val="en-US"/>
        </w:rPr>
        <w:t xml:space="preserve"> If the coefficient is negative, this indicates that larger IPOs are associated with less underpricing and vice versa. </w:t>
      </w:r>
    </w:p>
    <w:tbl>
      <w:tblPr>
        <w:tblW w:w="10020" w:type="dxa"/>
        <w:tblInd w:w="-452" w:type="dxa"/>
        <w:tblCellMar>
          <w:left w:w="70" w:type="dxa"/>
          <w:right w:w="70" w:type="dxa"/>
        </w:tblCellMar>
        <w:tblLook w:val="04A0"/>
      </w:tblPr>
      <w:tblGrid>
        <w:gridCol w:w="1652"/>
        <w:gridCol w:w="764"/>
        <w:gridCol w:w="933"/>
        <w:gridCol w:w="764"/>
        <w:gridCol w:w="677"/>
        <w:gridCol w:w="693"/>
        <w:gridCol w:w="1033"/>
        <w:gridCol w:w="1374"/>
        <w:gridCol w:w="654"/>
        <w:gridCol w:w="775"/>
        <w:gridCol w:w="701"/>
      </w:tblGrid>
      <w:tr w:rsidR="00EC2068" w:rsidRPr="009D4228" w:rsidTr="00EC2068">
        <w:trPr>
          <w:trHeight w:val="300"/>
        </w:trPr>
        <w:tc>
          <w:tcPr>
            <w:tcW w:w="10020" w:type="dxa"/>
            <w:gridSpan w:val="11"/>
            <w:tcBorders>
              <w:top w:val="nil"/>
              <w:left w:val="nil"/>
              <w:bottom w:val="single" w:sz="4" w:space="0" w:color="auto"/>
              <w:right w:val="nil"/>
            </w:tcBorders>
            <w:shd w:val="clear" w:color="000000" w:fill="FFFFFF"/>
            <w:noWrap/>
            <w:vAlign w:val="bottom"/>
            <w:hideMark/>
          </w:tcPr>
          <w:p w:rsidR="00EC2068" w:rsidRPr="00EC2068" w:rsidRDefault="00EC2068" w:rsidP="00582220">
            <w:pPr>
              <w:spacing w:after="0" w:line="240" w:lineRule="auto"/>
              <w:jc w:val="center"/>
              <w:rPr>
                <w:rFonts w:ascii="Calibri" w:eastAsia="Times New Roman" w:hAnsi="Calibri" w:cs="Calibri"/>
                <w:b/>
                <w:bCs/>
                <w:color w:val="000000"/>
                <w:lang w:val="en-US" w:eastAsia="nl-NL"/>
              </w:rPr>
            </w:pPr>
            <w:r>
              <w:rPr>
                <w:rFonts w:ascii="Calibri" w:eastAsia="Times New Roman" w:hAnsi="Calibri" w:cs="Calibri"/>
                <w:b/>
                <w:bCs/>
                <w:color w:val="000000"/>
                <w:lang w:val="en-US" w:eastAsia="nl-NL"/>
              </w:rPr>
              <w:t xml:space="preserve">Table </w:t>
            </w:r>
            <w:r w:rsidR="00582220">
              <w:rPr>
                <w:rFonts w:ascii="Calibri" w:eastAsia="Times New Roman" w:hAnsi="Calibri" w:cs="Calibri"/>
                <w:b/>
                <w:bCs/>
                <w:color w:val="000000"/>
                <w:lang w:val="en-US" w:eastAsia="nl-NL"/>
              </w:rPr>
              <w:t>5</w:t>
            </w:r>
            <w:r w:rsidRPr="00EC2068">
              <w:rPr>
                <w:rFonts w:ascii="Calibri" w:eastAsia="Times New Roman" w:hAnsi="Calibri" w:cs="Calibri"/>
                <w:b/>
                <w:bCs/>
                <w:color w:val="000000"/>
                <w:lang w:val="en-US" w:eastAsia="nl-NL"/>
              </w:rPr>
              <w:t xml:space="preserve">: Descriptive statistics, The </w:t>
            </w:r>
            <w:r w:rsidR="0030498B">
              <w:rPr>
                <w:rFonts w:ascii="Calibri" w:eastAsia="Times New Roman" w:hAnsi="Calibri" w:cs="Calibri"/>
                <w:b/>
                <w:bCs/>
                <w:color w:val="000000"/>
                <w:lang w:val="en-US" w:eastAsia="nl-NL"/>
              </w:rPr>
              <w:t>IPO</w:t>
            </w:r>
            <w:r w:rsidRPr="00EC2068">
              <w:rPr>
                <w:rFonts w:ascii="Calibri" w:eastAsia="Times New Roman" w:hAnsi="Calibri" w:cs="Calibri"/>
                <w:b/>
                <w:bCs/>
                <w:color w:val="000000"/>
                <w:lang w:val="en-US" w:eastAsia="nl-NL"/>
              </w:rPr>
              <w:t xml:space="preserve"> proceeds Coefficient</w:t>
            </w:r>
          </w:p>
        </w:tc>
      </w:tr>
      <w:tr w:rsidR="00EC2068" w:rsidRPr="00EC2068" w:rsidTr="00EC2068">
        <w:trPr>
          <w:trHeight w:val="315"/>
        </w:trPr>
        <w:tc>
          <w:tcPr>
            <w:tcW w:w="1652"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Type</w:t>
            </w:r>
          </w:p>
        </w:tc>
        <w:tc>
          <w:tcPr>
            <w:tcW w:w="764"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Mean</w:t>
            </w:r>
          </w:p>
        </w:tc>
        <w:tc>
          <w:tcPr>
            <w:tcW w:w="933"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Median</w:t>
            </w:r>
          </w:p>
        </w:tc>
        <w:tc>
          <w:tcPr>
            <w:tcW w:w="764"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Min</w:t>
            </w:r>
          </w:p>
        </w:tc>
        <w:tc>
          <w:tcPr>
            <w:tcW w:w="677"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Max</w:t>
            </w:r>
          </w:p>
        </w:tc>
        <w:tc>
          <w:tcPr>
            <w:tcW w:w="693"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Stdev</w:t>
            </w:r>
          </w:p>
        </w:tc>
        <w:tc>
          <w:tcPr>
            <w:tcW w:w="1033"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 Papers</w:t>
            </w:r>
          </w:p>
        </w:tc>
        <w:tc>
          <w:tcPr>
            <w:tcW w:w="1374"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 Estimates</w:t>
            </w:r>
          </w:p>
        </w:tc>
        <w:tc>
          <w:tcPr>
            <w:tcW w:w="654"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 Pos</w:t>
            </w:r>
          </w:p>
        </w:tc>
        <w:tc>
          <w:tcPr>
            <w:tcW w:w="775"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 insig</w:t>
            </w:r>
          </w:p>
        </w:tc>
        <w:tc>
          <w:tcPr>
            <w:tcW w:w="701" w:type="dxa"/>
            <w:tcBorders>
              <w:top w:val="nil"/>
              <w:left w:val="nil"/>
              <w:bottom w:val="double" w:sz="6"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b/>
                <w:bCs/>
                <w:color w:val="000000"/>
                <w:lang w:eastAsia="nl-NL"/>
              </w:rPr>
            </w:pPr>
            <w:r w:rsidRPr="00EC2068">
              <w:rPr>
                <w:rFonts w:ascii="Calibri" w:eastAsia="Times New Roman" w:hAnsi="Calibri" w:cs="Calibri"/>
                <w:b/>
                <w:bCs/>
                <w:color w:val="000000"/>
                <w:lang w:eastAsia="nl-NL"/>
              </w:rPr>
              <w:t># Neg</w:t>
            </w:r>
          </w:p>
        </w:tc>
      </w:tr>
      <w:tr w:rsidR="0032170B" w:rsidRPr="00EC2068" w:rsidTr="00EC2068">
        <w:trPr>
          <w:trHeight w:val="315"/>
        </w:trPr>
        <w:tc>
          <w:tcPr>
            <w:tcW w:w="1652" w:type="dxa"/>
            <w:tcBorders>
              <w:top w:val="nil"/>
              <w:left w:val="nil"/>
              <w:bottom w:val="nil"/>
              <w:right w:val="nil"/>
            </w:tcBorders>
            <w:shd w:val="clear" w:color="000000" w:fill="FFFFFF"/>
            <w:noWrap/>
            <w:vAlign w:val="bottom"/>
            <w:hideMark/>
          </w:tcPr>
          <w:p w:rsidR="0032170B" w:rsidRPr="00EC2068" w:rsidRDefault="00043ED2" w:rsidP="00EC2068">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LN</w:t>
            </w:r>
            <w:r w:rsidR="0032170B" w:rsidRPr="00EC2068">
              <w:rPr>
                <w:rFonts w:ascii="Calibri" w:eastAsia="Times New Roman" w:hAnsi="Calibri" w:cs="Calibri"/>
                <w:color w:val="000000"/>
                <w:lang w:eastAsia="nl-NL"/>
              </w:rPr>
              <w:t>(Proceeds)</w:t>
            </w:r>
          </w:p>
        </w:tc>
        <w:tc>
          <w:tcPr>
            <w:tcW w:w="764" w:type="dxa"/>
            <w:tcBorders>
              <w:top w:val="nil"/>
              <w:left w:val="nil"/>
              <w:bottom w:val="nil"/>
              <w:right w:val="nil"/>
            </w:tcBorders>
            <w:shd w:val="clear" w:color="000000" w:fill="FFFFFF"/>
            <w:noWrap/>
            <w:vAlign w:val="bottom"/>
            <w:hideMark/>
          </w:tcPr>
          <w:p w:rsidR="0032170B" w:rsidRPr="00EC2068" w:rsidRDefault="0032170B" w:rsidP="00A55079">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-0,009</w:t>
            </w:r>
          </w:p>
        </w:tc>
        <w:tc>
          <w:tcPr>
            <w:tcW w:w="933" w:type="dxa"/>
            <w:tcBorders>
              <w:top w:val="nil"/>
              <w:left w:val="nil"/>
              <w:bottom w:val="nil"/>
              <w:right w:val="nil"/>
            </w:tcBorders>
            <w:shd w:val="clear" w:color="000000" w:fill="FFFFFF"/>
            <w:noWrap/>
            <w:vAlign w:val="bottom"/>
            <w:hideMark/>
          </w:tcPr>
          <w:p w:rsidR="0032170B" w:rsidRPr="00EC2068" w:rsidRDefault="0032170B" w:rsidP="00A55079">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-0,005</w:t>
            </w:r>
          </w:p>
        </w:tc>
        <w:tc>
          <w:tcPr>
            <w:tcW w:w="764" w:type="dxa"/>
            <w:tcBorders>
              <w:top w:val="nil"/>
              <w:left w:val="nil"/>
              <w:bottom w:val="nil"/>
              <w:right w:val="nil"/>
            </w:tcBorders>
            <w:shd w:val="clear" w:color="000000" w:fill="FFFFFF"/>
            <w:noWrap/>
            <w:vAlign w:val="bottom"/>
            <w:hideMark/>
          </w:tcPr>
          <w:p w:rsidR="0032170B" w:rsidRPr="00EC2068" w:rsidRDefault="0032170B" w:rsidP="00A55079">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-0,082</w:t>
            </w:r>
          </w:p>
        </w:tc>
        <w:tc>
          <w:tcPr>
            <w:tcW w:w="677" w:type="dxa"/>
            <w:tcBorders>
              <w:top w:val="nil"/>
              <w:left w:val="nil"/>
              <w:bottom w:val="nil"/>
              <w:right w:val="nil"/>
            </w:tcBorders>
            <w:shd w:val="clear" w:color="000000" w:fill="FFFFFF"/>
            <w:noWrap/>
            <w:vAlign w:val="bottom"/>
            <w:hideMark/>
          </w:tcPr>
          <w:p w:rsidR="0032170B" w:rsidRPr="00EC2068" w:rsidRDefault="0032170B" w:rsidP="00A55079">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0,105</w:t>
            </w:r>
          </w:p>
        </w:tc>
        <w:tc>
          <w:tcPr>
            <w:tcW w:w="693" w:type="dxa"/>
            <w:tcBorders>
              <w:top w:val="nil"/>
              <w:left w:val="nil"/>
              <w:bottom w:val="nil"/>
              <w:right w:val="nil"/>
            </w:tcBorders>
            <w:shd w:val="clear" w:color="000000" w:fill="FFFFFF"/>
            <w:noWrap/>
            <w:vAlign w:val="bottom"/>
            <w:hideMark/>
          </w:tcPr>
          <w:p w:rsidR="0032170B" w:rsidRPr="00EC2068" w:rsidRDefault="0032170B" w:rsidP="00A55079">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0,031</w:t>
            </w:r>
          </w:p>
        </w:tc>
        <w:tc>
          <w:tcPr>
            <w:tcW w:w="1033" w:type="dxa"/>
            <w:tcBorders>
              <w:top w:val="nil"/>
              <w:left w:val="nil"/>
              <w:bottom w:val="nil"/>
              <w:right w:val="nil"/>
            </w:tcBorders>
            <w:shd w:val="clear" w:color="000000" w:fill="FFFFFF"/>
            <w:noWrap/>
            <w:vAlign w:val="bottom"/>
            <w:hideMark/>
          </w:tcPr>
          <w:p w:rsidR="0032170B" w:rsidRPr="00EC2068" w:rsidRDefault="0032170B" w:rsidP="001B57D2">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2</w:t>
            </w:r>
            <w:r w:rsidR="001B57D2">
              <w:rPr>
                <w:rFonts w:ascii="Calibri" w:eastAsia="Times New Roman" w:hAnsi="Calibri" w:cs="Calibri"/>
                <w:color w:val="000000"/>
                <w:lang w:eastAsia="nl-NL"/>
              </w:rPr>
              <w:t>0</w:t>
            </w:r>
          </w:p>
        </w:tc>
        <w:tc>
          <w:tcPr>
            <w:tcW w:w="1374" w:type="dxa"/>
            <w:tcBorders>
              <w:top w:val="nil"/>
              <w:left w:val="nil"/>
              <w:bottom w:val="nil"/>
              <w:right w:val="nil"/>
            </w:tcBorders>
            <w:shd w:val="clear" w:color="000000" w:fill="FFFFFF"/>
            <w:noWrap/>
            <w:vAlign w:val="bottom"/>
            <w:hideMark/>
          </w:tcPr>
          <w:p w:rsidR="0032170B" w:rsidRPr="00EC2068" w:rsidRDefault="0032170B" w:rsidP="001B57D2">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5</w:t>
            </w:r>
            <w:r w:rsidR="001B57D2">
              <w:rPr>
                <w:rFonts w:ascii="Calibri" w:eastAsia="Times New Roman" w:hAnsi="Calibri" w:cs="Calibri"/>
                <w:color w:val="000000"/>
                <w:lang w:eastAsia="nl-NL"/>
              </w:rPr>
              <w:t>7</w:t>
            </w:r>
          </w:p>
        </w:tc>
        <w:tc>
          <w:tcPr>
            <w:tcW w:w="654" w:type="dxa"/>
            <w:tcBorders>
              <w:top w:val="nil"/>
              <w:left w:val="nil"/>
              <w:bottom w:val="nil"/>
              <w:right w:val="nil"/>
            </w:tcBorders>
            <w:shd w:val="clear" w:color="000000" w:fill="FFFFFF"/>
            <w:noWrap/>
            <w:vAlign w:val="bottom"/>
            <w:hideMark/>
          </w:tcPr>
          <w:p w:rsidR="0032170B" w:rsidRPr="00EC2068" w:rsidRDefault="0032170B" w:rsidP="00A55079">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w:t>
            </w:r>
          </w:p>
        </w:tc>
        <w:tc>
          <w:tcPr>
            <w:tcW w:w="775" w:type="dxa"/>
            <w:tcBorders>
              <w:top w:val="nil"/>
              <w:left w:val="nil"/>
              <w:bottom w:val="nil"/>
              <w:right w:val="nil"/>
            </w:tcBorders>
            <w:shd w:val="clear" w:color="000000" w:fill="FFFFFF"/>
            <w:noWrap/>
            <w:vAlign w:val="bottom"/>
            <w:hideMark/>
          </w:tcPr>
          <w:p w:rsidR="0032170B" w:rsidRPr="00EC2068" w:rsidRDefault="0032170B" w:rsidP="00A55079">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29</w:t>
            </w:r>
          </w:p>
        </w:tc>
        <w:tc>
          <w:tcPr>
            <w:tcW w:w="701" w:type="dxa"/>
            <w:tcBorders>
              <w:top w:val="nil"/>
              <w:left w:val="nil"/>
              <w:bottom w:val="nil"/>
              <w:right w:val="nil"/>
            </w:tcBorders>
            <w:shd w:val="clear" w:color="000000" w:fill="FFFFFF"/>
            <w:noWrap/>
            <w:vAlign w:val="bottom"/>
            <w:hideMark/>
          </w:tcPr>
          <w:p w:rsidR="0032170B" w:rsidRPr="00EC2068" w:rsidRDefault="0032170B" w:rsidP="001B57D2">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2</w:t>
            </w:r>
            <w:r w:rsidR="001B57D2">
              <w:rPr>
                <w:rFonts w:ascii="Calibri" w:eastAsia="Times New Roman" w:hAnsi="Calibri" w:cs="Calibri"/>
                <w:color w:val="000000"/>
                <w:lang w:eastAsia="nl-NL"/>
              </w:rPr>
              <w:t>7</w:t>
            </w:r>
          </w:p>
        </w:tc>
      </w:tr>
      <w:tr w:rsidR="00EC2068" w:rsidRPr="00EC2068" w:rsidTr="0032170B">
        <w:trPr>
          <w:trHeight w:val="300"/>
        </w:trPr>
        <w:tc>
          <w:tcPr>
            <w:tcW w:w="1652" w:type="dxa"/>
            <w:tcBorders>
              <w:top w:val="nil"/>
              <w:left w:val="nil"/>
              <w:right w:val="nil"/>
            </w:tcBorders>
            <w:shd w:val="clear" w:color="000000" w:fill="FFFFFF"/>
            <w:noWrap/>
            <w:vAlign w:val="bottom"/>
            <w:hideMark/>
          </w:tcPr>
          <w:p w:rsidR="00EC2068" w:rsidRPr="00EC2068" w:rsidRDefault="0032170B" w:rsidP="00EC2068">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Log</w:t>
            </w:r>
            <w:r w:rsidR="00EC2068" w:rsidRPr="00EC2068">
              <w:rPr>
                <w:rFonts w:ascii="Calibri" w:eastAsia="Times New Roman" w:hAnsi="Calibri" w:cs="Calibri"/>
                <w:color w:val="000000"/>
                <w:lang w:eastAsia="nl-NL"/>
              </w:rPr>
              <w:t>(Proceeds)</w:t>
            </w:r>
          </w:p>
        </w:tc>
        <w:tc>
          <w:tcPr>
            <w:tcW w:w="764" w:type="dxa"/>
            <w:tcBorders>
              <w:top w:val="nil"/>
              <w:left w:val="nil"/>
              <w:right w:val="nil"/>
            </w:tcBorders>
            <w:shd w:val="clear" w:color="000000" w:fill="FFFFFF"/>
            <w:noWrap/>
            <w:vAlign w:val="bottom"/>
            <w:hideMark/>
          </w:tcPr>
          <w:p w:rsidR="00EC2068" w:rsidRPr="00EC2068" w:rsidRDefault="0032170B"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-0.021</w:t>
            </w:r>
          </w:p>
        </w:tc>
        <w:tc>
          <w:tcPr>
            <w:tcW w:w="933" w:type="dxa"/>
            <w:tcBorders>
              <w:top w:val="nil"/>
              <w:left w:val="nil"/>
              <w:right w:val="nil"/>
            </w:tcBorders>
            <w:shd w:val="clear" w:color="000000" w:fill="FFFFFF"/>
            <w:noWrap/>
            <w:vAlign w:val="bottom"/>
            <w:hideMark/>
          </w:tcPr>
          <w:p w:rsidR="00EC2068" w:rsidRPr="00EC2068" w:rsidRDefault="0032170B"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-0.027</w:t>
            </w:r>
          </w:p>
        </w:tc>
        <w:tc>
          <w:tcPr>
            <w:tcW w:w="764" w:type="dxa"/>
            <w:tcBorders>
              <w:top w:val="nil"/>
              <w:left w:val="nil"/>
              <w:right w:val="nil"/>
            </w:tcBorders>
            <w:shd w:val="clear" w:color="000000" w:fill="FFFFFF"/>
            <w:noWrap/>
            <w:vAlign w:val="bottom"/>
            <w:hideMark/>
          </w:tcPr>
          <w:p w:rsidR="00EC2068" w:rsidRPr="00EC2068" w:rsidRDefault="0032170B"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-0.041</w:t>
            </w:r>
          </w:p>
        </w:tc>
        <w:tc>
          <w:tcPr>
            <w:tcW w:w="677" w:type="dxa"/>
            <w:tcBorders>
              <w:top w:val="nil"/>
              <w:left w:val="nil"/>
              <w:right w:val="nil"/>
            </w:tcBorders>
            <w:shd w:val="clear" w:color="000000" w:fill="FFFFFF"/>
            <w:noWrap/>
            <w:vAlign w:val="bottom"/>
            <w:hideMark/>
          </w:tcPr>
          <w:p w:rsidR="00EC2068" w:rsidRPr="00EC2068" w:rsidRDefault="0032170B"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0.030</w:t>
            </w:r>
          </w:p>
        </w:tc>
        <w:tc>
          <w:tcPr>
            <w:tcW w:w="693" w:type="dxa"/>
            <w:tcBorders>
              <w:top w:val="nil"/>
              <w:left w:val="nil"/>
              <w:right w:val="nil"/>
            </w:tcBorders>
            <w:shd w:val="clear" w:color="000000" w:fill="FFFFFF"/>
            <w:noWrap/>
            <w:vAlign w:val="bottom"/>
            <w:hideMark/>
          </w:tcPr>
          <w:p w:rsidR="00EC2068" w:rsidRPr="00EC2068" w:rsidRDefault="0032170B"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0.018</w:t>
            </w:r>
          </w:p>
        </w:tc>
        <w:tc>
          <w:tcPr>
            <w:tcW w:w="1033" w:type="dxa"/>
            <w:tcBorders>
              <w:top w:val="nil"/>
              <w:left w:val="nil"/>
              <w:right w:val="nil"/>
            </w:tcBorders>
            <w:shd w:val="clear" w:color="000000" w:fill="FFFFFF"/>
            <w:noWrap/>
            <w:vAlign w:val="bottom"/>
            <w:hideMark/>
          </w:tcPr>
          <w:p w:rsidR="00EC2068" w:rsidRPr="00EC2068" w:rsidRDefault="0032170B"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14</w:t>
            </w:r>
          </w:p>
        </w:tc>
        <w:tc>
          <w:tcPr>
            <w:tcW w:w="1374" w:type="dxa"/>
            <w:tcBorders>
              <w:top w:val="nil"/>
              <w:left w:val="nil"/>
              <w:right w:val="nil"/>
            </w:tcBorders>
            <w:shd w:val="clear" w:color="000000" w:fill="FFFFFF"/>
            <w:noWrap/>
            <w:vAlign w:val="bottom"/>
            <w:hideMark/>
          </w:tcPr>
          <w:p w:rsidR="00EC2068" w:rsidRPr="00EC2068" w:rsidRDefault="0032170B"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46</w:t>
            </w:r>
          </w:p>
        </w:tc>
        <w:tc>
          <w:tcPr>
            <w:tcW w:w="654" w:type="dxa"/>
            <w:tcBorders>
              <w:top w:val="nil"/>
              <w:left w:val="nil"/>
              <w:right w:val="nil"/>
            </w:tcBorders>
            <w:shd w:val="clear" w:color="000000" w:fill="FFFFFF"/>
            <w:noWrap/>
            <w:vAlign w:val="bottom"/>
            <w:hideMark/>
          </w:tcPr>
          <w:p w:rsidR="00EC2068" w:rsidRPr="00EC2068" w:rsidRDefault="00632AAB"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2</w:t>
            </w:r>
          </w:p>
        </w:tc>
        <w:tc>
          <w:tcPr>
            <w:tcW w:w="775" w:type="dxa"/>
            <w:tcBorders>
              <w:top w:val="nil"/>
              <w:left w:val="nil"/>
              <w:right w:val="nil"/>
            </w:tcBorders>
            <w:shd w:val="clear" w:color="000000" w:fill="FFFFFF"/>
            <w:noWrap/>
            <w:vAlign w:val="bottom"/>
            <w:hideMark/>
          </w:tcPr>
          <w:p w:rsidR="00EC2068" w:rsidRPr="00EC2068" w:rsidRDefault="00632AAB"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15</w:t>
            </w:r>
          </w:p>
        </w:tc>
        <w:tc>
          <w:tcPr>
            <w:tcW w:w="701" w:type="dxa"/>
            <w:tcBorders>
              <w:top w:val="nil"/>
              <w:left w:val="nil"/>
              <w:right w:val="nil"/>
            </w:tcBorders>
            <w:shd w:val="clear" w:color="000000" w:fill="FFFFFF"/>
            <w:noWrap/>
            <w:vAlign w:val="bottom"/>
            <w:hideMark/>
          </w:tcPr>
          <w:p w:rsidR="00EC2068" w:rsidRPr="00EC2068" w:rsidRDefault="00632AAB" w:rsidP="00EC2068">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29</w:t>
            </w:r>
          </w:p>
        </w:tc>
      </w:tr>
      <w:tr w:rsidR="00EC2068" w:rsidRPr="00EC2068" w:rsidTr="0032170B">
        <w:trPr>
          <w:trHeight w:val="300"/>
        </w:trPr>
        <w:tc>
          <w:tcPr>
            <w:tcW w:w="1652" w:type="dxa"/>
            <w:tcBorders>
              <w:top w:val="nil"/>
              <w:left w:val="nil"/>
              <w:bottom w:val="single" w:sz="4" w:space="0" w:color="auto"/>
              <w:right w:val="nil"/>
            </w:tcBorders>
            <w:shd w:val="clear" w:color="000000" w:fill="FFFFFF"/>
            <w:noWrap/>
            <w:vAlign w:val="bottom"/>
            <w:hideMark/>
          </w:tcPr>
          <w:p w:rsidR="00EC2068" w:rsidRPr="00EC2068" w:rsidRDefault="00EC2068" w:rsidP="00EC2068">
            <w:pPr>
              <w:spacing w:after="0" w:line="240" w:lineRule="auto"/>
              <w:rPr>
                <w:rFonts w:ascii="Calibri" w:eastAsia="Times New Roman" w:hAnsi="Calibri" w:cs="Calibri"/>
                <w:color w:val="000000"/>
                <w:lang w:eastAsia="nl-NL"/>
              </w:rPr>
            </w:pPr>
            <w:r w:rsidRPr="00EC2068">
              <w:rPr>
                <w:rFonts w:ascii="Calibri" w:eastAsia="Times New Roman" w:hAnsi="Calibri" w:cs="Calibri"/>
                <w:color w:val="000000"/>
                <w:lang w:eastAsia="nl-NL"/>
              </w:rPr>
              <w:t>Total</w:t>
            </w:r>
          </w:p>
        </w:tc>
        <w:tc>
          <w:tcPr>
            <w:tcW w:w="764" w:type="dxa"/>
            <w:tcBorders>
              <w:top w:val="nil"/>
              <w:left w:val="nil"/>
              <w:bottom w:val="single" w:sz="4" w:space="0" w:color="auto"/>
              <w:right w:val="nil"/>
            </w:tcBorders>
            <w:shd w:val="clear" w:color="000000" w:fill="FFFFFF"/>
            <w:noWrap/>
            <w:vAlign w:val="bottom"/>
            <w:hideMark/>
          </w:tcPr>
          <w:p w:rsidR="00EC2068" w:rsidRPr="00EC2068" w:rsidRDefault="00EC2068" w:rsidP="00F04494">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w:t>
            </w:r>
          </w:p>
        </w:tc>
        <w:tc>
          <w:tcPr>
            <w:tcW w:w="933" w:type="dxa"/>
            <w:tcBorders>
              <w:top w:val="nil"/>
              <w:left w:val="nil"/>
              <w:bottom w:val="single" w:sz="4" w:space="0" w:color="auto"/>
              <w:right w:val="nil"/>
            </w:tcBorders>
            <w:shd w:val="clear" w:color="000000" w:fill="FFFFFF"/>
            <w:noWrap/>
            <w:vAlign w:val="bottom"/>
            <w:hideMark/>
          </w:tcPr>
          <w:p w:rsidR="00EC2068" w:rsidRPr="00EC2068" w:rsidRDefault="00EC2068" w:rsidP="00F04494">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w:t>
            </w:r>
          </w:p>
        </w:tc>
        <w:tc>
          <w:tcPr>
            <w:tcW w:w="764" w:type="dxa"/>
            <w:tcBorders>
              <w:top w:val="nil"/>
              <w:left w:val="nil"/>
              <w:bottom w:val="single" w:sz="4" w:space="0" w:color="auto"/>
              <w:right w:val="nil"/>
            </w:tcBorders>
            <w:shd w:val="clear" w:color="000000" w:fill="FFFFFF"/>
            <w:noWrap/>
            <w:vAlign w:val="bottom"/>
            <w:hideMark/>
          </w:tcPr>
          <w:p w:rsidR="00EC2068" w:rsidRPr="00EC2068" w:rsidRDefault="00EC2068" w:rsidP="00F04494">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w:t>
            </w:r>
          </w:p>
        </w:tc>
        <w:tc>
          <w:tcPr>
            <w:tcW w:w="677" w:type="dxa"/>
            <w:tcBorders>
              <w:top w:val="nil"/>
              <w:left w:val="nil"/>
              <w:bottom w:val="single" w:sz="4" w:space="0" w:color="auto"/>
              <w:right w:val="nil"/>
            </w:tcBorders>
            <w:shd w:val="clear" w:color="000000" w:fill="FFFFFF"/>
            <w:noWrap/>
            <w:vAlign w:val="bottom"/>
            <w:hideMark/>
          </w:tcPr>
          <w:p w:rsidR="00EC2068" w:rsidRPr="00EC2068" w:rsidRDefault="00EC2068" w:rsidP="00F04494">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w:t>
            </w:r>
          </w:p>
        </w:tc>
        <w:tc>
          <w:tcPr>
            <w:tcW w:w="693" w:type="dxa"/>
            <w:tcBorders>
              <w:top w:val="nil"/>
              <w:left w:val="nil"/>
              <w:bottom w:val="single" w:sz="4" w:space="0" w:color="auto"/>
              <w:right w:val="nil"/>
            </w:tcBorders>
            <w:shd w:val="clear" w:color="000000" w:fill="FFFFFF"/>
            <w:noWrap/>
            <w:vAlign w:val="bottom"/>
            <w:hideMark/>
          </w:tcPr>
          <w:p w:rsidR="00EC2068" w:rsidRPr="00EC2068" w:rsidRDefault="00EC2068" w:rsidP="00F04494">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 </w:t>
            </w:r>
            <w:r w:rsidR="00F04494">
              <w:rPr>
                <w:rFonts w:ascii="Calibri" w:eastAsia="Times New Roman" w:hAnsi="Calibri" w:cs="Calibri"/>
                <w:color w:val="000000"/>
                <w:lang w:eastAsia="nl-NL"/>
              </w:rPr>
              <w:t>-</w:t>
            </w:r>
          </w:p>
        </w:tc>
        <w:tc>
          <w:tcPr>
            <w:tcW w:w="1033" w:type="dxa"/>
            <w:tcBorders>
              <w:top w:val="nil"/>
              <w:left w:val="nil"/>
              <w:bottom w:val="single" w:sz="4" w:space="0" w:color="auto"/>
              <w:right w:val="nil"/>
            </w:tcBorders>
            <w:shd w:val="clear" w:color="000000" w:fill="FFFFFF"/>
            <w:noWrap/>
            <w:vAlign w:val="bottom"/>
            <w:hideMark/>
          </w:tcPr>
          <w:p w:rsidR="00EC2068" w:rsidRPr="00EC2068" w:rsidRDefault="0032170B" w:rsidP="001B57D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3</w:t>
            </w:r>
            <w:r w:rsidR="001B57D2">
              <w:rPr>
                <w:rFonts w:ascii="Calibri" w:eastAsia="Times New Roman" w:hAnsi="Calibri" w:cs="Calibri"/>
                <w:color w:val="000000"/>
                <w:lang w:eastAsia="nl-NL"/>
              </w:rPr>
              <w:t>4</w:t>
            </w:r>
          </w:p>
        </w:tc>
        <w:tc>
          <w:tcPr>
            <w:tcW w:w="1374" w:type="dxa"/>
            <w:tcBorders>
              <w:top w:val="nil"/>
              <w:left w:val="nil"/>
              <w:bottom w:val="single" w:sz="4" w:space="0" w:color="auto"/>
              <w:right w:val="nil"/>
            </w:tcBorders>
            <w:shd w:val="clear" w:color="000000" w:fill="FFFFFF"/>
            <w:noWrap/>
            <w:vAlign w:val="bottom"/>
            <w:hideMark/>
          </w:tcPr>
          <w:p w:rsidR="00EC2068" w:rsidRPr="00EC2068" w:rsidRDefault="00EC2068" w:rsidP="001B57D2">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1</w:t>
            </w:r>
            <w:r w:rsidR="0032170B">
              <w:rPr>
                <w:rFonts w:ascii="Calibri" w:eastAsia="Times New Roman" w:hAnsi="Calibri" w:cs="Calibri"/>
                <w:color w:val="000000"/>
                <w:lang w:eastAsia="nl-NL"/>
              </w:rPr>
              <w:t>0</w:t>
            </w:r>
            <w:r w:rsidR="001B57D2">
              <w:rPr>
                <w:rFonts w:ascii="Calibri" w:eastAsia="Times New Roman" w:hAnsi="Calibri" w:cs="Calibri"/>
                <w:color w:val="000000"/>
                <w:lang w:eastAsia="nl-NL"/>
              </w:rPr>
              <w:t>3</w:t>
            </w:r>
          </w:p>
        </w:tc>
        <w:tc>
          <w:tcPr>
            <w:tcW w:w="654" w:type="dxa"/>
            <w:tcBorders>
              <w:top w:val="nil"/>
              <w:left w:val="nil"/>
              <w:bottom w:val="single" w:sz="4"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3</w:t>
            </w:r>
          </w:p>
        </w:tc>
        <w:tc>
          <w:tcPr>
            <w:tcW w:w="775" w:type="dxa"/>
            <w:tcBorders>
              <w:top w:val="nil"/>
              <w:left w:val="nil"/>
              <w:bottom w:val="single" w:sz="4" w:space="0" w:color="auto"/>
              <w:right w:val="nil"/>
            </w:tcBorders>
            <w:shd w:val="clear" w:color="000000" w:fill="FFFFFF"/>
            <w:noWrap/>
            <w:vAlign w:val="bottom"/>
            <w:hideMark/>
          </w:tcPr>
          <w:p w:rsidR="00EC2068" w:rsidRPr="00EC2068" w:rsidRDefault="00EC2068" w:rsidP="00EC2068">
            <w:pPr>
              <w:spacing w:after="0" w:line="240" w:lineRule="auto"/>
              <w:jc w:val="right"/>
              <w:rPr>
                <w:rFonts w:ascii="Calibri" w:eastAsia="Times New Roman" w:hAnsi="Calibri" w:cs="Calibri"/>
                <w:color w:val="000000"/>
                <w:lang w:eastAsia="nl-NL"/>
              </w:rPr>
            </w:pPr>
            <w:r w:rsidRPr="00EC2068">
              <w:rPr>
                <w:rFonts w:ascii="Calibri" w:eastAsia="Times New Roman" w:hAnsi="Calibri" w:cs="Calibri"/>
                <w:color w:val="000000"/>
                <w:lang w:eastAsia="nl-NL"/>
              </w:rPr>
              <w:t>44</w:t>
            </w:r>
          </w:p>
        </w:tc>
        <w:tc>
          <w:tcPr>
            <w:tcW w:w="701" w:type="dxa"/>
            <w:tcBorders>
              <w:top w:val="nil"/>
              <w:left w:val="nil"/>
              <w:bottom w:val="single" w:sz="4" w:space="0" w:color="auto"/>
              <w:right w:val="nil"/>
            </w:tcBorders>
            <w:shd w:val="clear" w:color="000000" w:fill="FFFFFF"/>
            <w:noWrap/>
            <w:vAlign w:val="bottom"/>
            <w:hideMark/>
          </w:tcPr>
          <w:p w:rsidR="00EC2068" w:rsidRPr="00EC2068" w:rsidRDefault="00632AAB" w:rsidP="001B57D2">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5</w:t>
            </w:r>
            <w:r w:rsidR="001B57D2">
              <w:rPr>
                <w:rFonts w:ascii="Calibri" w:eastAsia="Times New Roman" w:hAnsi="Calibri" w:cs="Calibri"/>
                <w:color w:val="000000"/>
                <w:lang w:eastAsia="nl-NL"/>
              </w:rPr>
              <w:t>6</w:t>
            </w:r>
          </w:p>
        </w:tc>
      </w:tr>
    </w:tbl>
    <w:p w:rsidR="00EC2068" w:rsidRDefault="00EC2068" w:rsidP="00264294">
      <w:pPr>
        <w:spacing w:after="0" w:line="240" w:lineRule="auto"/>
        <w:contextualSpacing/>
        <w:jc w:val="center"/>
        <w:rPr>
          <w:sz w:val="18"/>
          <w:szCs w:val="18"/>
          <w:lang w:val="en-US"/>
        </w:rPr>
      </w:pPr>
    </w:p>
    <w:p w:rsidR="00FD6E17" w:rsidRDefault="00264294" w:rsidP="00BB06C6">
      <w:pPr>
        <w:spacing w:after="0" w:line="240" w:lineRule="auto"/>
        <w:contextualSpacing/>
        <w:jc w:val="both"/>
        <w:rPr>
          <w:rFonts w:ascii="Calibri" w:eastAsia="Times New Roman" w:hAnsi="Calibri" w:cs="Calibri"/>
          <w:b/>
          <w:bCs/>
          <w:color w:val="000000"/>
          <w:lang w:val="en-US" w:eastAsia="nl-NL"/>
        </w:rPr>
      </w:pPr>
      <w:r>
        <w:rPr>
          <w:sz w:val="18"/>
          <w:szCs w:val="18"/>
          <w:lang w:val="en-US"/>
        </w:rPr>
        <w:t xml:space="preserve">Table </w:t>
      </w:r>
      <w:r w:rsidR="00582220">
        <w:rPr>
          <w:sz w:val="18"/>
          <w:szCs w:val="18"/>
          <w:lang w:val="en-US"/>
        </w:rPr>
        <w:t>5</w:t>
      </w:r>
      <w:r>
        <w:rPr>
          <w:sz w:val="18"/>
          <w:szCs w:val="18"/>
          <w:lang w:val="en-US"/>
        </w:rPr>
        <w:t xml:space="preserve"> shows descriptive statistics of the dependent variable</w:t>
      </w:r>
      <w:r w:rsidR="002E4F52">
        <w:rPr>
          <w:sz w:val="18"/>
          <w:szCs w:val="18"/>
          <w:lang w:val="en-US"/>
        </w:rPr>
        <w:t>s</w:t>
      </w:r>
      <w:r>
        <w:rPr>
          <w:sz w:val="18"/>
          <w:szCs w:val="18"/>
          <w:lang w:val="en-US"/>
        </w:rPr>
        <w:t xml:space="preserve"> </w:t>
      </w:r>
      <w:proofErr w:type="gramStart"/>
      <w:r w:rsidR="00043ED2">
        <w:rPr>
          <w:sz w:val="18"/>
          <w:szCs w:val="18"/>
          <w:lang w:val="en-US"/>
        </w:rPr>
        <w:t>LN</w:t>
      </w:r>
      <w:r w:rsidR="002E4F52">
        <w:rPr>
          <w:sz w:val="18"/>
          <w:szCs w:val="18"/>
          <w:lang w:val="en-US"/>
        </w:rPr>
        <w:t>(</w:t>
      </w:r>
      <w:proofErr w:type="gramEnd"/>
      <w:r w:rsidR="0030498B">
        <w:rPr>
          <w:sz w:val="18"/>
          <w:szCs w:val="18"/>
          <w:lang w:val="en-US"/>
        </w:rPr>
        <w:t>IPO</w:t>
      </w:r>
      <w:r w:rsidR="002E4F52">
        <w:rPr>
          <w:sz w:val="18"/>
          <w:szCs w:val="18"/>
          <w:lang w:val="en-US"/>
        </w:rPr>
        <w:t xml:space="preserve"> proceeds) and Log(</w:t>
      </w:r>
      <w:r w:rsidR="0030498B">
        <w:rPr>
          <w:sz w:val="18"/>
          <w:szCs w:val="18"/>
          <w:lang w:val="en-US"/>
        </w:rPr>
        <w:t>IPO</w:t>
      </w:r>
      <w:r w:rsidR="002E4F52">
        <w:rPr>
          <w:sz w:val="18"/>
          <w:szCs w:val="18"/>
          <w:lang w:val="en-US"/>
        </w:rPr>
        <w:t xml:space="preserve"> proceeds)</w:t>
      </w:r>
      <w:r>
        <w:rPr>
          <w:sz w:val="18"/>
          <w:szCs w:val="18"/>
          <w:lang w:val="en-US"/>
        </w:rPr>
        <w:t>.</w:t>
      </w:r>
      <w:r w:rsidR="00ED271E">
        <w:rPr>
          <w:sz w:val="18"/>
          <w:szCs w:val="18"/>
          <w:lang w:val="en-US"/>
        </w:rPr>
        <w:t xml:space="preserve"> </w:t>
      </w:r>
      <w:proofErr w:type="gramStart"/>
      <w:r w:rsidR="00ED271E">
        <w:rPr>
          <w:sz w:val="18"/>
          <w:szCs w:val="18"/>
          <w:lang w:val="en-US"/>
        </w:rPr>
        <w:t>Log(</w:t>
      </w:r>
      <w:proofErr w:type="gramEnd"/>
      <w:r w:rsidR="00ED271E">
        <w:rPr>
          <w:sz w:val="18"/>
          <w:szCs w:val="18"/>
          <w:lang w:val="en-US"/>
        </w:rPr>
        <w:t>IPO proceeds are not included in the IPO and are shown for illustrative purposes.</w:t>
      </w:r>
      <w:r>
        <w:rPr>
          <w:sz w:val="18"/>
          <w:szCs w:val="18"/>
          <w:lang w:val="en-US"/>
        </w:rPr>
        <w:t xml:space="preserve"> The table shows the standard deviations, mean, median, minimum and maximum values.  </w:t>
      </w:r>
      <w:r w:rsidRPr="00264294">
        <w:rPr>
          <w:rFonts w:ascii="Calibri" w:eastAsia="Times New Roman" w:hAnsi="Calibri" w:cs="Calibri"/>
          <w:bCs/>
          <w:color w:val="000000"/>
          <w:sz w:val="18"/>
          <w:szCs w:val="18"/>
          <w:lang w:val="en-US" w:eastAsia="nl-NL"/>
        </w:rPr>
        <w:t xml:space="preserve"># Papers </w:t>
      </w:r>
      <w:r>
        <w:rPr>
          <w:rFonts w:ascii="Calibri" w:eastAsia="Times New Roman" w:hAnsi="Calibri" w:cs="Calibri"/>
          <w:bCs/>
          <w:color w:val="000000"/>
          <w:sz w:val="18"/>
          <w:szCs w:val="18"/>
          <w:lang w:val="en-US" w:eastAsia="nl-NL"/>
        </w:rPr>
        <w:t>indicates</w:t>
      </w:r>
      <w:r w:rsidRPr="00264294">
        <w:rPr>
          <w:rFonts w:ascii="Calibri" w:eastAsia="Times New Roman" w:hAnsi="Calibri" w:cs="Calibri"/>
          <w:bCs/>
          <w:color w:val="000000"/>
          <w:sz w:val="18"/>
          <w:szCs w:val="18"/>
          <w:lang w:val="en-US" w:eastAsia="nl-NL"/>
        </w:rPr>
        <w:t xml:space="preserve"> the number of papers from </w:t>
      </w:r>
      <w:r w:rsidR="004A45F3">
        <w:rPr>
          <w:rFonts w:ascii="Calibri" w:eastAsia="Times New Roman" w:hAnsi="Calibri" w:cs="Calibri"/>
          <w:bCs/>
          <w:color w:val="000000"/>
          <w:sz w:val="18"/>
          <w:szCs w:val="18"/>
          <w:lang w:val="en-US" w:eastAsia="nl-NL"/>
        </w:rPr>
        <w:t>which the coefficients w</w:t>
      </w:r>
      <w:r w:rsidRPr="00264294">
        <w:rPr>
          <w:rFonts w:ascii="Calibri" w:eastAsia="Times New Roman" w:hAnsi="Calibri" w:cs="Calibri"/>
          <w:bCs/>
          <w:color w:val="000000"/>
          <w:sz w:val="18"/>
          <w:szCs w:val="18"/>
          <w:lang w:val="en-US" w:eastAsia="nl-NL"/>
        </w:rPr>
        <w:t xml:space="preserve">ere obtained. # Estimates </w:t>
      </w:r>
      <w:r>
        <w:rPr>
          <w:rFonts w:ascii="Calibri" w:eastAsia="Times New Roman" w:hAnsi="Calibri" w:cs="Calibri"/>
          <w:bCs/>
          <w:color w:val="000000"/>
          <w:sz w:val="18"/>
          <w:szCs w:val="18"/>
          <w:lang w:val="en-US" w:eastAsia="nl-NL"/>
        </w:rPr>
        <w:t>indicate</w:t>
      </w:r>
      <w:r w:rsidRPr="00264294">
        <w:rPr>
          <w:rFonts w:ascii="Calibri" w:eastAsia="Times New Roman" w:hAnsi="Calibri" w:cs="Calibri"/>
          <w:bCs/>
          <w:color w:val="000000"/>
          <w:sz w:val="18"/>
          <w:szCs w:val="18"/>
          <w:lang w:val="en-US" w:eastAsia="nl-NL"/>
        </w:rPr>
        <w:t xml:space="preserve">s the number of coefficients obtained from the included papers. </w:t>
      </w:r>
      <w:r>
        <w:rPr>
          <w:rFonts w:ascii="Calibri" w:eastAsia="Times New Roman" w:hAnsi="Calibri" w:cs="Calibri"/>
          <w:bCs/>
          <w:color w:val="000000"/>
          <w:sz w:val="18"/>
          <w:szCs w:val="18"/>
          <w:lang w:val="en-US" w:eastAsia="nl-NL"/>
        </w:rPr>
        <w:t xml:space="preserve"># Pos, # insig and # Neg, show the number of coefficients that are </w:t>
      </w:r>
      <w:proofErr w:type="gramStart"/>
      <w:r>
        <w:rPr>
          <w:rFonts w:ascii="Calibri" w:eastAsia="Times New Roman" w:hAnsi="Calibri" w:cs="Calibri"/>
          <w:bCs/>
          <w:color w:val="000000"/>
          <w:sz w:val="18"/>
          <w:szCs w:val="18"/>
          <w:lang w:val="en-US" w:eastAsia="nl-NL"/>
        </w:rPr>
        <w:t>either positive and</w:t>
      </w:r>
      <w:proofErr w:type="gramEnd"/>
      <w:r>
        <w:rPr>
          <w:rFonts w:ascii="Calibri" w:eastAsia="Times New Roman" w:hAnsi="Calibri" w:cs="Calibri"/>
          <w:bCs/>
          <w:color w:val="000000"/>
          <w:sz w:val="18"/>
          <w:szCs w:val="18"/>
          <w:lang w:val="en-US" w:eastAsia="nl-NL"/>
        </w:rPr>
        <w:t xml:space="preserve"> significant on the 5% level, insignificant, or negative and significant on the 5% level.</w:t>
      </w:r>
    </w:p>
    <w:p w:rsidR="00632AAB" w:rsidRPr="00632AAB" w:rsidRDefault="00632AAB" w:rsidP="00632AAB">
      <w:pPr>
        <w:spacing w:after="0" w:line="240" w:lineRule="auto"/>
        <w:contextualSpacing/>
        <w:jc w:val="center"/>
        <w:rPr>
          <w:rFonts w:ascii="Calibri" w:eastAsia="Times New Roman" w:hAnsi="Calibri" w:cs="Calibri"/>
          <w:b/>
          <w:bCs/>
          <w:color w:val="000000"/>
          <w:lang w:val="en-US" w:eastAsia="nl-NL"/>
        </w:rPr>
      </w:pPr>
    </w:p>
    <w:p w:rsidR="007675A0" w:rsidRDefault="00DB4617" w:rsidP="008771B2">
      <w:pPr>
        <w:spacing w:line="360" w:lineRule="auto"/>
        <w:rPr>
          <w:lang w:val="en-US"/>
        </w:rPr>
      </w:pPr>
      <w:r>
        <w:rPr>
          <w:lang w:val="en-US"/>
        </w:rPr>
        <w:t xml:space="preserve">In total, </w:t>
      </w:r>
      <w:r w:rsidR="00632AAB" w:rsidRPr="00632AAB">
        <w:rPr>
          <w:lang w:val="en-US"/>
        </w:rPr>
        <w:t>10</w:t>
      </w:r>
      <w:r w:rsidR="001B57D2">
        <w:rPr>
          <w:lang w:val="en-US"/>
        </w:rPr>
        <w:t>3</w:t>
      </w:r>
      <w:r w:rsidR="00BB06C6">
        <w:rPr>
          <w:lang w:val="en-US"/>
        </w:rPr>
        <w:t xml:space="preserve"> e</w:t>
      </w:r>
      <w:r w:rsidR="007675A0" w:rsidRPr="00632AAB">
        <w:rPr>
          <w:lang w:val="en-US"/>
        </w:rPr>
        <w:t xml:space="preserve">stimates </w:t>
      </w:r>
      <w:r w:rsidR="00632AAB" w:rsidRPr="00632AAB">
        <w:rPr>
          <w:lang w:val="en-US"/>
        </w:rPr>
        <w:t>were drawn from 3</w:t>
      </w:r>
      <w:r w:rsidR="001B57D2">
        <w:rPr>
          <w:lang w:val="en-US"/>
        </w:rPr>
        <w:t>4</w:t>
      </w:r>
      <w:r w:rsidR="007B3210">
        <w:rPr>
          <w:lang w:val="en-US"/>
        </w:rPr>
        <w:t xml:space="preserve"> papers. Of these 103</w:t>
      </w:r>
      <w:r w:rsidR="007675A0" w:rsidRPr="00632AAB">
        <w:rPr>
          <w:lang w:val="en-US"/>
        </w:rPr>
        <w:t xml:space="preserve"> estimates only 3 </w:t>
      </w:r>
      <w:r w:rsidR="005B3316">
        <w:rPr>
          <w:lang w:val="en-US"/>
        </w:rPr>
        <w:t>are</w:t>
      </w:r>
      <w:r w:rsidR="007675A0" w:rsidRPr="00632AAB">
        <w:rPr>
          <w:lang w:val="en-US"/>
        </w:rPr>
        <w:t xml:space="preserve"> positive and significant on the 5% level, 44 are insignificant and the remaining </w:t>
      </w:r>
      <w:r w:rsidR="00632AAB" w:rsidRPr="00632AAB">
        <w:rPr>
          <w:lang w:val="en-US"/>
        </w:rPr>
        <w:t>5</w:t>
      </w:r>
      <w:r w:rsidR="001B57D2">
        <w:rPr>
          <w:lang w:val="en-US"/>
        </w:rPr>
        <w:t>6</w:t>
      </w:r>
      <w:r w:rsidR="007675A0" w:rsidRPr="00632AAB">
        <w:rPr>
          <w:lang w:val="en-US"/>
        </w:rPr>
        <w:t xml:space="preserve"> are negative and significant. A positive coefficient indicates that underpricing increases with the size of the </w:t>
      </w:r>
      <w:r w:rsidR="0030498B">
        <w:rPr>
          <w:lang w:val="en-US"/>
        </w:rPr>
        <w:t>IPO</w:t>
      </w:r>
      <w:r w:rsidR="007675A0" w:rsidRPr="00632AAB">
        <w:rPr>
          <w:lang w:val="en-US"/>
        </w:rPr>
        <w:t xml:space="preserve"> and vice versa. The estimates include both coefficients of </w:t>
      </w:r>
      <w:proofErr w:type="gramStart"/>
      <w:r w:rsidR="00043ED2">
        <w:rPr>
          <w:lang w:val="en-US"/>
        </w:rPr>
        <w:t>LN</w:t>
      </w:r>
      <w:r w:rsidR="007675A0" w:rsidRPr="00632AAB">
        <w:rPr>
          <w:lang w:val="en-US"/>
        </w:rPr>
        <w:t>(</w:t>
      </w:r>
      <w:proofErr w:type="gramEnd"/>
      <w:r w:rsidR="007675A0" w:rsidRPr="00632AAB">
        <w:rPr>
          <w:lang w:val="en-US"/>
        </w:rPr>
        <w:t xml:space="preserve">Proceeds) and Log(Proceeds). </w:t>
      </w:r>
      <w:r w:rsidR="00632AAB" w:rsidRPr="00632AAB">
        <w:rPr>
          <w:lang w:val="en-US"/>
        </w:rPr>
        <w:t xml:space="preserve">Since </w:t>
      </w:r>
      <w:proofErr w:type="gramStart"/>
      <w:r w:rsidR="00043ED2">
        <w:rPr>
          <w:lang w:val="en-US"/>
        </w:rPr>
        <w:t>LN</w:t>
      </w:r>
      <w:r w:rsidR="00632AAB" w:rsidRPr="00632AAB">
        <w:rPr>
          <w:lang w:val="en-US"/>
        </w:rPr>
        <w:t>(</w:t>
      </w:r>
      <w:proofErr w:type="gramEnd"/>
      <w:r w:rsidR="00632AAB" w:rsidRPr="00632AAB">
        <w:rPr>
          <w:lang w:val="en-US"/>
        </w:rPr>
        <w:t xml:space="preserve">proceeds) includes more observations, </w:t>
      </w:r>
      <w:r w:rsidR="00043ED2">
        <w:rPr>
          <w:lang w:val="en-US"/>
        </w:rPr>
        <w:t>LN</w:t>
      </w:r>
      <w:r w:rsidR="00632AAB" w:rsidRPr="00632AAB">
        <w:rPr>
          <w:lang w:val="en-US"/>
        </w:rPr>
        <w:t>(proceeds) is used in the MRA.</w:t>
      </w:r>
      <w:r w:rsidR="00963EA5">
        <w:rPr>
          <w:lang w:val="en-US"/>
        </w:rPr>
        <w:t xml:space="preserve"> </w:t>
      </w:r>
    </w:p>
    <w:p w:rsidR="00023B84" w:rsidRDefault="00023B84" w:rsidP="00023B84">
      <w:pPr>
        <w:spacing w:line="360" w:lineRule="auto"/>
        <w:rPr>
          <w:lang w:val="en-US"/>
        </w:rPr>
      </w:pPr>
      <w:r>
        <w:rPr>
          <w:lang w:val="en-US"/>
        </w:rPr>
        <w:t xml:space="preserve">Table </w:t>
      </w:r>
      <w:r w:rsidR="00582220">
        <w:rPr>
          <w:lang w:val="en-US"/>
        </w:rPr>
        <w:t>6</w:t>
      </w:r>
      <w:r w:rsidRPr="004C5B6F">
        <w:rPr>
          <w:lang w:val="en-US"/>
        </w:rPr>
        <w:t xml:space="preserve"> shows the included Z variables. The variables are similar to the Z variables used in the Age MR</w:t>
      </w:r>
      <w:r w:rsidR="004A45F3">
        <w:rPr>
          <w:lang w:val="en-US"/>
        </w:rPr>
        <w:t>A, with the exception of the ‘ex</w:t>
      </w:r>
      <w:r w:rsidRPr="004C5B6F">
        <w:rPr>
          <w:lang w:val="en-US"/>
        </w:rPr>
        <w:t>cludes age’</w:t>
      </w:r>
      <w:r>
        <w:rPr>
          <w:lang w:val="en-US"/>
        </w:rPr>
        <w:t xml:space="preserve"> </w:t>
      </w:r>
      <w:r w:rsidRPr="004C5B6F">
        <w:rPr>
          <w:lang w:val="en-US"/>
        </w:rPr>
        <w:t xml:space="preserve">dummy. </w:t>
      </w:r>
      <w:proofErr w:type="gramStart"/>
      <w:r w:rsidRPr="004C5B6F">
        <w:rPr>
          <w:lang w:val="en-US"/>
        </w:rPr>
        <w:t>The</w:t>
      </w:r>
      <w:r w:rsidR="00217554">
        <w:rPr>
          <w:lang w:val="en-US"/>
        </w:rPr>
        <w:t xml:space="preserve"> </w:t>
      </w:r>
      <w:r w:rsidR="00D12C29">
        <w:rPr>
          <w:lang w:val="en-US"/>
        </w:rPr>
        <w:t>exclude</w:t>
      </w:r>
      <w:r w:rsidR="004A45F3">
        <w:rPr>
          <w:lang w:val="en-US"/>
        </w:rPr>
        <w:t>s</w:t>
      </w:r>
      <w:proofErr w:type="gramEnd"/>
      <w:r w:rsidRPr="004C5B6F">
        <w:rPr>
          <w:lang w:val="en-US"/>
        </w:rPr>
        <w:t xml:space="preserve"> age dummy indicates whether </w:t>
      </w:r>
      <w:r>
        <w:rPr>
          <w:lang w:val="en-US"/>
        </w:rPr>
        <w:t xml:space="preserve">a </w:t>
      </w:r>
      <w:r w:rsidRPr="004C5B6F">
        <w:rPr>
          <w:lang w:val="en-US"/>
        </w:rPr>
        <w:t>firm age</w:t>
      </w:r>
      <w:r>
        <w:rPr>
          <w:lang w:val="en-US"/>
        </w:rPr>
        <w:t xml:space="preserve"> coefficient</w:t>
      </w:r>
      <w:r w:rsidRPr="004C5B6F">
        <w:rPr>
          <w:lang w:val="en-US"/>
        </w:rPr>
        <w:t xml:space="preserve"> was </w:t>
      </w:r>
      <w:r w:rsidR="00D12C29">
        <w:rPr>
          <w:lang w:val="en-US"/>
        </w:rPr>
        <w:t>not</w:t>
      </w:r>
      <w:r w:rsidRPr="004C5B6F">
        <w:rPr>
          <w:lang w:val="en-US"/>
        </w:rPr>
        <w:t xml:space="preserve"> included in the original regression equation.</w:t>
      </w:r>
    </w:p>
    <w:p w:rsidR="00632AAB" w:rsidRPr="00217554" w:rsidRDefault="008B78C7" w:rsidP="00632AAB">
      <w:pPr>
        <w:spacing w:line="360" w:lineRule="auto"/>
        <w:rPr>
          <w:rFonts w:ascii="Calibri" w:eastAsia="Times New Roman" w:hAnsi="Calibri" w:cs="Times New Roman"/>
          <w:lang w:val="en-US"/>
        </w:rPr>
      </w:pPr>
      <w:r w:rsidRPr="00F73243">
        <w:rPr>
          <w:lang w:val="en-US"/>
        </w:rPr>
        <w:t xml:space="preserve">As shown in table </w:t>
      </w:r>
      <w:r w:rsidR="00582220">
        <w:rPr>
          <w:lang w:val="en-US"/>
        </w:rPr>
        <w:t>6</w:t>
      </w:r>
      <w:r>
        <w:rPr>
          <w:lang w:val="en-US"/>
        </w:rPr>
        <w:t xml:space="preserve">, the 1990’s and Internet bubble dummy have been replaced by the </w:t>
      </w:r>
      <w:r>
        <w:rPr>
          <w:rFonts w:ascii="Calibri" w:eastAsia="Times New Roman" w:hAnsi="Calibri" w:cs="Times New Roman"/>
          <w:color w:val="000000"/>
          <w:lang w:val="en-US" w:eastAsia="nl-NL"/>
        </w:rPr>
        <w:t>1990’s</w:t>
      </w:r>
      <w:r w:rsidRPr="00F73243">
        <w:rPr>
          <w:rFonts w:ascii="Calibri" w:eastAsia="Times New Roman" w:hAnsi="Calibri" w:cs="Times New Roman"/>
          <w:color w:val="000000"/>
          <w:lang w:val="en-US" w:eastAsia="nl-NL"/>
        </w:rPr>
        <w:t xml:space="preserve"> </w:t>
      </w:r>
      <w:r>
        <w:rPr>
          <w:rFonts w:ascii="Calibri" w:eastAsia="Times New Roman" w:hAnsi="Calibri" w:cs="Times New Roman"/>
          <w:color w:val="000000"/>
          <w:lang w:val="en-US" w:eastAsia="nl-NL"/>
        </w:rPr>
        <w:t>plus</w:t>
      </w:r>
      <w:r w:rsidRPr="00F73243">
        <w:rPr>
          <w:rFonts w:ascii="Calibri" w:eastAsia="Times New Roman" w:hAnsi="Calibri" w:cs="Times New Roman"/>
          <w:color w:val="000000"/>
          <w:lang w:val="en-US" w:eastAsia="nl-NL"/>
        </w:rPr>
        <w:t xml:space="preserve"> </w:t>
      </w:r>
      <w:r>
        <w:rPr>
          <w:rFonts w:ascii="Calibri" w:eastAsia="Times New Roman" w:hAnsi="Calibri" w:cs="Times New Roman"/>
          <w:color w:val="000000"/>
          <w:lang w:val="en-US" w:eastAsia="nl-NL"/>
        </w:rPr>
        <w:t>Internet</w:t>
      </w:r>
      <w:r w:rsidRPr="00632AAB">
        <w:rPr>
          <w:rFonts w:ascii="Calibri" w:eastAsia="Times New Roman" w:hAnsi="Calibri" w:cs="Times New Roman"/>
          <w:color w:val="000000"/>
          <w:lang w:val="en-US" w:eastAsia="nl-NL"/>
        </w:rPr>
        <w:t xml:space="preserve"> dummy</w:t>
      </w:r>
      <w:r>
        <w:rPr>
          <w:rFonts w:ascii="Calibri" w:eastAsia="Times New Roman" w:hAnsi="Calibri" w:cs="Times New Roman"/>
          <w:color w:val="000000"/>
          <w:lang w:val="en-US" w:eastAsia="nl-NL"/>
        </w:rPr>
        <w:t xml:space="preserve"> (</w:t>
      </w:r>
      <m:oMath>
        <m:r>
          <w:rPr>
            <w:rFonts w:ascii="Cambria Math" w:hAnsi="Cambria Math"/>
            <w:lang w:val="en-US"/>
          </w:rPr>
          <m:t>90&amp;Int</m:t>
        </m:r>
      </m:oMath>
      <w:r>
        <w:rPr>
          <w:rFonts w:ascii="Calibri" w:eastAsia="Times New Roman" w:hAnsi="Calibri" w:cs="Times New Roman"/>
          <w:lang w:val="en-US"/>
        </w:rPr>
        <w:t xml:space="preserve">). Some of the coefficients in the dataset were obtained from samples that included data from both the early 1990’s and the Internet bubble period. This makes it impossible to divide the dataset by using 1990’s and bubble period dummies.  </w:t>
      </w:r>
    </w:p>
    <w:p w:rsidR="00632AAB" w:rsidRDefault="00632AAB" w:rsidP="00632AAB">
      <w:pPr>
        <w:spacing w:line="360" w:lineRule="auto"/>
        <w:rPr>
          <w:rFonts w:eastAsiaTheme="minorEastAsia"/>
          <w:lang w:val="en-US"/>
        </w:rPr>
      </w:pPr>
    </w:p>
    <w:p w:rsidR="00F04494" w:rsidRDefault="00F04494" w:rsidP="00632AAB">
      <w:pPr>
        <w:spacing w:line="360" w:lineRule="auto"/>
        <w:rPr>
          <w:rFonts w:eastAsiaTheme="minorEastAsia"/>
          <w:lang w:val="en-US"/>
        </w:rPr>
      </w:pPr>
    </w:p>
    <w:p w:rsidR="00F04494" w:rsidRDefault="00F04494" w:rsidP="00632AAB">
      <w:pPr>
        <w:spacing w:line="360" w:lineRule="auto"/>
        <w:rPr>
          <w:rFonts w:eastAsiaTheme="minorEastAsia"/>
          <w:lang w:val="en-US"/>
        </w:rPr>
      </w:pPr>
    </w:p>
    <w:p w:rsidR="00F04494" w:rsidRDefault="00F04494" w:rsidP="00632AAB">
      <w:pPr>
        <w:spacing w:line="360" w:lineRule="auto"/>
        <w:rPr>
          <w:rFonts w:eastAsiaTheme="minorEastAsia"/>
          <w:lang w:val="en-US"/>
        </w:rPr>
      </w:pPr>
    </w:p>
    <w:p w:rsidR="00F04494" w:rsidRPr="00632AAB" w:rsidRDefault="00F04494" w:rsidP="00632AAB">
      <w:pPr>
        <w:spacing w:line="360" w:lineRule="auto"/>
        <w:rPr>
          <w:rFonts w:eastAsiaTheme="minorEastAsia"/>
          <w:lang w:val="en-US"/>
        </w:rPr>
      </w:pPr>
    </w:p>
    <w:tbl>
      <w:tblPr>
        <w:tblpPr w:leftFromText="141" w:rightFromText="141" w:vertAnchor="text" w:horzAnchor="margin" w:tblpXSpec="center" w:tblpY="263"/>
        <w:tblW w:w="4820" w:type="dxa"/>
        <w:tblCellMar>
          <w:left w:w="70" w:type="dxa"/>
          <w:right w:w="70" w:type="dxa"/>
        </w:tblCellMar>
        <w:tblLook w:val="04A0"/>
      </w:tblPr>
      <w:tblGrid>
        <w:gridCol w:w="3472"/>
        <w:gridCol w:w="1348"/>
      </w:tblGrid>
      <w:tr w:rsidR="007B3210" w:rsidRPr="00632AAB" w:rsidTr="004762BD">
        <w:trPr>
          <w:trHeight w:val="300"/>
        </w:trPr>
        <w:tc>
          <w:tcPr>
            <w:tcW w:w="4820" w:type="dxa"/>
            <w:gridSpan w:val="2"/>
            <w:tcBorders>
              <w:top w:val="nil"/>
              <w:left w:val="nil"/>
              <w:bottom w:val="single" w:sz="4" w:space="0" w:color="auto"/>
              <w:right w:val="nil"/>
            </w:tcBorders>
            <w:shd w:val="clear" w:color="000000" w:fill="FFFFFF"/>
            <w:noWrap/>
            <w:vAlign w:val="bottom"/>
            <w:hideMark/>
          </w:tcPr>
          <w:p w:rsidR="007B3210" w:rsidRPr="00632AAB" w:rsidRDefault="007B3210" w:rsidP="004762BD">
            <w:pPr>
              <w:spacing w:after="0" w:line="240" w:lineRule="auto"/>
              <w:jc w:val="center"/>
              <w:rPr>
                <w:rFonts w:ascii="Calibri" w:eastAsia="Times New Roman" w:hAnsi="Calibri" w:cs="Times New Roman"/>
                <w:b/>
                <w:bCs/>
                <w:color w:val="000000"/>
                <w:lang w:eastAsia="nl-NL"/>
              </w:rPr>
            </w:pPr>
            <w:r w:rsidRPr="00632AAB">
              <w:rPr>
                <w:rFonts w:ascii="Calibri" w:eastAsia="Times New Roman" w:hAnsi="Calibri" w:cs="Times New Roman"/>
                <w:b/>
                <w:bCs/>
                <w:color w:val="000000"/>
                <w:lang w:eastAsia="nl-NL"/>
              </w:rPr>
              <w:lastRenderedPageBreak/>
              <w:t xml:space="preserve">Table </w:t>
            </w:r>
            <w:r w:rsidR="00582220">
              <w:rPr>
                <w:rFonts w:ascii="Calibri" w:eastAsia="Times New Roman" w:hAnsi="Calibri" w:cs="Times New Roman"/>
                <w:b/>
                <w:bCs/>
                <w:color w:val="000000"/>
                <w:lang w:eastAsia="nl-NL"/>
              </w:rPr>
              <w:t>6</w:t>
            </w:r>
            <w:r w:rsidRPr="00632AAB">
              <w:rPr>
                <w:rFonts w:ascii="Calibri" w:eastAsia="Times New Roman" w:hAnsi="Calibri" w:cs="Times New Roman"/>
                <w:b/>
                <w:bCs/>
                <w:color w:val="000000"/>
                <w:lang w:eastAsia="nl-NL"/>
              </w:rPr>
              <w:t>: Study Characteristics</w:t>
            </w:r>
            <w:r w:rsidR="00BB06C6">
              <w:rPr>
                <w:rFonts w:ascii="Calibri" w:eastAsia="Times New Roman" w:hAnsi="Calibri" w:cs="Times New Roman"/>
                <w:b/>
                <w:bCs/>
                <w:color w:val="000000"/>
                <w:lang w:eastAsia="nl-NL"/>
              </w:rPr>
              <w:t xml:space="preserve"> (N = 57)</w:t>
            </w:r>
          </w:p>
        </w:tc>
      </w:tr>
      <w:tr w:rsidR="007B3210" w:rsidRPr="00632AAB" w:rsidTr="004762BD">
        <w:trPr>
          <w:trHeight w:val="315"/>
        </w:trPr>
        <w:tc>
          <w:tcPr>
            <w:tcW w:w="3472" w:type="dxa"/>
            <w:tcBorders>
              <w:top w:val="nil"/>
              <w:left w:val="nil"/>
              <w:bottom w:val="double" w:sz="6" w:space="0" w:color="auto"/>
              <w:right w:val="nil"/>
            </w:tcBorders>
            <w:shd w:val="clear" w:color="000000" w:fill="FFFFFF"/>
            <w:noWrap/>
            <w:vAlign w:val="bottom"/>
            <w:hideMark/>
          </w:tcPr>
          <w:p w:rsidR="007B3210" w:rsidRPr="00632AAB" w:rsidRDefault="007B3210" w:rsidP="004762BD">
            <w:pPr>
              <w:spacing w:after="0" w:line="240" w:lineRule="auto"/>
              <w:rPr>
                <w:rFonts w:ascii="Calibri" w:eastAsia="Times New Roman" w:hAnsi="Calibri" w:cs="Times New Roman"/>
                <w:b/>
                <w:bCs/>
                <w:color w:val="000000"/>
                <w:lang w:eastAsia="nl-NL"/>
              </w:rPr>
            </w:pPr>
            <w:r w:rsidRPr="00632AAB">
              <w:rPr>
                <w:rFonts w:ascii="Calibri" w:eastAsia="Times New Roman" w:hAnsi="Calibri" w:cs="Times New Roman"/>
                <w:b/>
                <w:bCs/>
                <w:color w:val="000000"/>
                <w:lang w:eastAsia="nl-NL"/>
              </w:rPr>
              <w:t>Dummy Variable</w:t>
            </w:r>
          </w:p>
        </w:tc>
        <w:tc>
          <w:tcPr>
            <w:tcW w:w="1348" w:type="dxa"/>
            <w:tcBorders>
              <w:top w:val="nil"/>
              <w:left w:val="nil"/>
              <w:bottom w:val="double" w:sz="6" w:space="0" w:color="auto"/>
              <w:right w:val="nil"/>
            </w:tcBorders>
            <w:shd w:val="clear" w:color="000000" w:fill="FFFFFF"/>
            <w:noWrap/>
            <w:vAlign w:val="bottom"/>
            <w:hideMark/>
          </w:tcPr>
          <w:p w:rsidR="007B3210" w:rsidRPr="00632AAB" w:rsidRDefault="00043ED2" w:rsidP="004762BD">
            <w:pPr>
              <w:spacing w:after="0" w:line="240" w:lineRule="auto"/>
              <w:jc w:val="right"/>
              <w:rPr>
                <w:rFonts w:ascii="Calibri" w:eastAsia="Times New Roman" w:hAnsi="Calibri" w:cs="Times New Roman"/>
                <w:b/>
                <w:bCs/>
                <w:color w:val="000000"/>
                <w:lang w:eastAsia="nl-NL"/>
              </w:rPr>
            </w:pPr>
            <w:r>
              <w:rPr>
                <w:rFonts w:ascii="Calibri" w:eastAsia="Times New Roman" w:hAnsi="Calibri" w:cs="Times New Roman"/>
                <w:b/>
                <w:bCs/>
                <w:color w:val="000000"/>
                <w:lang w:eastAsia="nl-NL"/>
              </w:rPr>
              <w:t>LN</w:t>
            </w:r>
            <w:r w:rsidR="007B3210" w:rsidRPr="00632AAB">
              <w:rPr>
                <w:rFonts w:ascii="Calibri" w:eastAsia="Times New Roman" w:hAnsi="Calibri" w:cs="Times New Roman"/>
                <w:b/>
                <w:bCs/>
                <w:color w:val="000000"/>
                <w:lang w:eastAsia="nl-NL"/>
              </w:rPr>
              <w:t>(Proceeds)</w:t>
            </w:r>
          </w:p>
        </w:tc>
      </w:tr>
      <w:tr w:rsidR="007B3210" w:rsidRPr="00632AAB" w:rsidTr="004762BD">
        <w:trPr>
          <w:trHeight w:val="315"/>
        </w:trPr>
        <w:tc>
          <w:tcPr>
            <w:tcW w:w="3472" w:type="dxa"/>
            <w:tcBorders>
              <w:top w:val="nil"/>
              <w:left w:val="nil"/>
              <w:bottom w:val="nil"/>
              <w:right w:val="nil"/>
            </w:tcBorders>
            <w:shd w:val="clear" w:color="000000" w:fill="FFFFFF"/>
            <w:noWrap/>
            <w:vAlign w:val="bottom"/>
            <w:hideMark/>
          </w:tcPr>
          <w:p w:rsidR="007B3210" w:rsidRPr="00061AFB" w:rsidRDefault="00061AFB" w:rsidP="004762BD">
            <w:pPr>
              <w:spacing w:after="0" w:line="240" w:lineRule="auto"/>
              <w:rPr>
                <w:rFonts w:ascii="Calibri" w:eastAsia="Times New Roman" w:hAnsi="Calibri" w:cs="Times New Roman"/>
                <w:color w:val="000000"/>
                <w:lang w:val="en-US" w:eastAsia="nl-NL"/>
              </w:rPr>
            </w:pPr>
            <w:r w:rsidRPr="00061AFB">
              <w:rPr>
                <w:rFonts w:ascii="Calibri" w:eastAsia="Times New Roman" w:hAnsi="Calibri" w:cs="Times New Roman"/>
                <w:color w:val="000000"/>
                <w:lang w:val="en-US" w:eastAsia="nl-NL"/>
              </w:rPr>
              <w:t xml:space="preserve">Star journal dummy, </w:t>
            </w:r>
            <w:r w:rsidR="007B3210" w:rsidRPr="00061AFB">
              <w:rPr>
                <w:rFonts w:ascii="Calibri" w:eastAsia="Times New Roman" w:hAnsi="Calibri" w:cs="Times New Roman"/>
                <w:color w:val="000000"/>
                <w:lang w:val="en-US" w:eastAsia="nl-NL"/>
              </w:rPr>
              <w:t>ERIM</w:t>
            </w:r>
            <w:r w:rsidRPr="00061AFB">
              <w:rPr>
                <w:rFonts w:ascii="Calibri" w:eastAsia="Times New Roman" w:hAnsi="Calibri" w:cs="Times New Roman"/>
                <w:color w:val="000000"/>
                <w:lang w:val="en-US" w:eastAsia="nl-NL"/>
              </w:rPr>
              <w:t xml:space="preserve"> (ST</w:t>
            </w:r>
            <w:r>
              <w:rPr>
                <w:rFonts w:ascii="Calibri" w:eastAsia="Times New Roman" w:hAnsi="Calibri" w:cs="Times New Roman"/>
                <w:color w:val="000000"/>
                <w:lang w:val="en-US" w:eastAsia="nl-NL"/>
              </w:rPr>
              <w:t>AR)</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18</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19</w:t>
            </w:r>
            <w:r w:rsidRPr="00632AAB">
              <w:rPr>
                <w:rFonts w:ascii="Calibri" w:eastAsia="Times New Roman" w:hAnsi="Calibri" w:cs="Times New Roman"/>
                <w:color w:val="000000"/>
                <w:lang w:eastAsia="nl-NL"/>
              </w:rPr>
              <w:t>70</w:t>
            </w:r>
            <w:r w:rsidR="00061AFB">
              <w:rPr>
                <w:rFonts w:ascii="Calibri" w:eastAsia="Times New Roman" w:hAnsi="Calibri" w:cs="Times New Roman"/>
                <w:color w:val="000000"/>
                <w:lang w:eastAsia="nl-NL"/>
              </w:rPr>
              <w:t>’</w:t>
            </w:r>
            <w:r w:rsidRPr="00632AAB">
              <w:rPr>
                <w:rFonts w:ascii="Calibri" w:eastAsia="Times New Roman" w:hAnsi="Calibri" w:cs="Times New Roman"/>
                <w:color w:val="000000"/>
                <w:lang w:eastAsia="nl-NL"/>
              </w:rPr>
              <w:t xml:space="preserve">s </w:t>
            </w:r>
            <w:r>
              <w:rPr>
                <w:rFonts w:ascii="Calibri" w:eastAsia="Times New Roman" w:hAnsi="Calibri" w:cs="Times New Roman"/>
                <w:color w:val="000000"/>
                <w:lang w:eastAsia="nl-NL"/>
              </w:rPr>
              <w:t>d</w:t>
            </w:r>
            <w:r w:rsidRPr="00632AAB">
              <w:rPr>
                <w:rFonts w:ascii="Calibri" w:eastAsia="Times New Roman" w:hAnsi="Calibri" w:cs="Times New Roman"/>
                <w:color w:val="000000"/>
                <w:lang w:eastAsia="nl-NL"/>
              </w:rPr>
              <w:t>ummy</w:t>
            </w:r>
            <w:r w:rsidR="00061AFB">
              <w:rPr>
                <w:rFonts w:ascii="Calibri" w:eastAsia="Times New Roman" w:hAnsi="Calibri" w:cs="Times New Roman"/>
                <w:color w:val="000000"/>
                <w:lang w:eastAsia="nl-NL"/>
              </w:rPr>
              <w:t xml:space="preserve"> (70’s)</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1</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19</w:t>
            </w:r>
            <w:r w:rsidRPr="00632AAB">
              <w:rPr>
                <w:rFonts w:ascii="Calibri" w:eastAsia="Times New Roman" w:hAnsi="Calibri" w:cs="Times New Roman"/>
                <w:color w:val="000000"/>
                <w:lang w:eastAsia="nl-NL"/>
              </w:rPr>
              <w:t>80</w:t>
            </w:r>
            <w:r w:rsidR="00061AFB">
              <w:rPr>
                <w:rFonts w:ascii="Calibri" w:eastAsia="Times New Roman" w:hAnsi="Calibri" w:cs="Times New Roman"/>
                <w:color w:val="000000"/>
                <w:lang w:eastAsia="nl-NL"/>
              </w:rPr>
              <w:t>’</w:t>
            </w:r>
            <w:r w:rsidRPr="00632AAB">
              <w:rPr>
                <w:rFonts w:ascii="Calibri" w:eastAsia="Times New Roman" w:hAnsi="Calibri" w:cs="Times New Roman"/>
                <w:color w:val="000000"/>
                <w:lang w:eastAsia="nl-NL"/>
              </w:rPr>
              <w:t>s dummy</w:t>
            </w:r>
            <w:r w:rsidR="00061AFB">
              <w:rPr>
                <w:rFonts w:ascii="Calibri" w:eastAsia="Times New Roman" w:hAnsi="Calibri" w:cs="Times New Roman"/>
                <w:color w:val="000000"/>
                <w:lang w:eastAsia="nl-NL"/>
              </w:rPr>
              <w:t xml:space="preserve"> (80’s)</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26</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061AFB" w:rsidRDefault="007B3210" w:rsidP="004762BD">
            <w:pPr>
              <w:spacing w:after="0" w:line="240" w:lineRule="auto"/>
              <w:ind w:right="-610"/>
              <w:rPr>
                <w:rFonts w:ascii="Calibri" w:eastAsia="Times New Roman" w:hAnsi="Calibri" w:cs="Times New Roman"/>
                <w:color w:val="000000"/>
                <w:lang w:val="en-US" w:eastAsia="nl-NL"/>
              </w:rPr>
            </w:pPr>
            <w:r w:rsidRPr="00061AFB">
              <w:rPr>
                <w:rFonts w:ascii="Calibri" w:eastAsia="Times New Roman" w:hAnsi="Calibri" w:cs="Times New Roman"/>
                <w:color w:val="000000"/>
                <w:lang w:val="en-US" w:eastAsia="nl-NL"/>
              </w:rPr>
              <w:t>1990’s plus Internet dummy</w:t>
            </w:r>
            <w:r w:rsidR="00061AFB" w:rsidRPr="00061AFB">
              <w:rPr>
                <w:rFonts w:ascii="Calibri" w:eastAsia="Times New Roman" w:hAnsi="Calibri" w:cs="Times New Roman"/>
                <w:color w:val="000000"/>
                <w:lang w:val="en-US" w:eastAsia="nl-NL"/>
              </w:rPr>
              <w:t xml:space="preserve"> (90&amp;I</w:t>
            </w:r>
            <w:r w:rsidR="00061AFB">
              <w:rPr>
                <w:rFonts w:ascii="Calibri" w:eastAsia="Times New Roman" w:hAnsi="Calibri" w:cs="Times New Roman"/>
                <w:color w:val="000000"/>
                <w:lang w:val="en-US" w:eastAsia="nl-NL"/>
              </w:rPr>
              <w:t>nt)</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Pr>
                <w:rFonts w:ascii="Calibri" w:eastAsia="Times New Roman" w:hAnsi="Calibri" w:cs="Times New Roman"/>
                <w:color w:val="000000"/>
                <w:lang w:eastAsia="nl-NL"/>
              </w:rPr>
              <w:t>24</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2000</w:t>
            </w:r>
            <w:r w:rsidR="00061AFB">
              <w:rPr>
                <w:rFonts w:ascii="Calibri" w:eastAsia="Times New Roman" w:hAnsi="Calibri" w:cs="Times New Roman"/>
                <w:color w:val="000000"/>
                <w:lang w:eastAsia="nl-NL"/>
              </w:rPr>
              <w:t>’</w:t>
            </w:r>
            <w:r w:rsidRPr="00632AAB">
              <w:rPr>
                <w:rFonts w:ascii="Calibri" w:eastAsia="Times New Roman" w:hAnsi="Calibri" w:cs="Times New Roman"/>
                <w:color w:val="000000"/>
                <w:lang w:eastAsia="nl-NL"/>
              </w:rPr>
              <w:t>s</w:t>
            </w:r>
            <w:r>
              <w:rPr>
                <w:rFonts w:ascii="Calibri" w:eastAsia="Times New Roman" w:hAnsi="Calibri" w:cs="Times New Roman"/>
                <w:color w:val="000000"/>
                <w:lang w:eastAsia="nl-NL"/>
              </w:rPr>
              <w:t xml:space="preserve"> dummy</w:t>
            </w:r>
            <w:r w:rsidR="00061AFB">
              <w:rPr>
                <w:rFonts w:ascii="Calibri" w:eastAsia="Times New Roman" w:hAnsi="Calibri" w:cs="Times New Roman"/>
                <w:color w:val="000000"/>
                <w:lang w:eastAsia="nl-NL"/>
              </w:rPr>
              <w:t xml:space="preserve"> (00’s)</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Pr>
                <w:rFonts w:ascii="Calibri" w:eastAsia="Times New Roman" w:hAnsi="Calibri" w:cs="Times New Roman"/>
                <w:color w:val="000000"/>
                <w:lang w:eastAsia="nl-NL"/>
              </w:rPr>
              <w:t>6</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North america</w:t>
            </w:r>
            <w:r w:rsidR="00061AFB">
              <w:rPr>
                <w:rFonts w:ascii="Calibri" w:eastAsia="Times New Roman" w:hAnsi="Calibri" w:cs="Times New Roman"/>
                <w:color w:val="000000"/>
                <w:lang w:eastAsia="nl-NL"/>
              </w:rPr>
              <w:t xml:space="preserve"> (NA)</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35</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Europe</w:t>
            </w:r>
            <w:r w:rsidR="00061AFB">
              <w:rPr>
                <w:rFonts w:ascii="Calibri" w:eastAsia="Times New Roman" w:hAnsi="Calibri" w:cs="Times New Roman"/>
                <w:color w:val="000000"/>
                <w:lang w:eastAsia="nl-NL"/>
              </w:rPr>
              <w:t xml:space="preserve"> (EUR)</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8</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Pacific</w:t>
            </w:r>
            <w:r w:rsidR="00061AFB">
              <w:rPr>
                <w:rFonts w:ascii="Calibri" w:eastAsia="Times New Roman" w:hAnsi="Calibri" w:cs="Times New Roman"/>
                <w:color w:val="000000"/>
                <w:lang w:eastAsia="nl-NL"/>
              </w:rPr>
              <w:t xml:space="preserve"> (Pac)</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14</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061AFB" w:rsidRDefault="007B3210" w:rsidP="004762BD">
            <w:pPr>
              <w:spacing w:after="0" w:line="240" w:lineRule="auto"/>
              <w:rPr>
                <w:rFonts w:ascii="Calibri" w:eastAsia="Times New Roman" w:hAnsi="Calibri" w:cs="Times New Roman"/>
                <w:color w:val="000000"/>
                <w:lang w:val="en-US" w:eastAsia="nl-NL"/>
              </w:rPr>
            </w:pPr>
            <w:r w:rsidRPr="00061AFB">
              <w:rPr>
                <w:rFonts w:ascii="Calibri" w:eastAsia="Times New Roman" w:hAnsi="Calibri" w:cs="Times New Roman"/>
                <w:color w:val="000000"/>
                <w:lang w:val="en-US" w:eastAsia="nl-NL"/>
              </w:rPr>
              <w:t>Returns not market adjusted</w:t>
            </w:r>
            <w:r w:rsidR="00061AFB" w:rsidRPr="00061AFB">
              <w:rPr>
                <w:rFonts w:ascii="Calibri" w:eastAsia="Times New Roman" w:hAnsi="Calibri" w:cs="Times New Roman"/>
                <w:color w:val="000000"/>
                <w:lang w:val="en-US" w:eastAsia="nl-NL"/>
              </w:rPr>
              <w:t xml:space="preserve"> (M</w:t>
            </w:r>
            <w:r w:rsidR="00061AFB">
              <w:rPr>
                <w:rFonts w:ascii="Calibri" w:eastAsia="Times New Roman" w:hAnsi="Calibri" w:cs="Times New Roman"/>
                <w:color w:val="000000"/>
                <w:lang w:val="en-US" w:eastAsia="nl-NL"/>
              </w:rPr>
              <w:t>adj)</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Pr>
                <w:rFonts w:ascii="Calibri" w:eastAsia="Times New Roman" w:hAnsi="Calibri" w:cs="Times New Roman"/>
                <w:color w:val="000000"/>
                <w:lang w:eastAsia="nl-NL"/>
              </w:rPr>
              <w:t>42</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More than 1 week</w:t>
            </w:r>
            <w:r w:rsidR="00061AFB">
              <w:rPr>
                <w:rFonts w:ascii="Calibri" w:eastAsia="Times New Roman" w:hAnsi="Calibri" w:cs="Times New Roman"/>
                <w:color w:val="000000"/>
                <w:lang w:eastAsia="nl-NL"/>
              </w:rPr>
              <w:t xml:space="preserve"> (M1wk)</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Pr>
                <w:rFonts w:ascii="Calibri" w:eastAsia="Times New Roman" w:hAnsi="Calibri" w:cs="Times New Roman"/>
                <w:color w:val="000000"/>
                <w:lang w:eastAsia="nl-NL"/>
              </w:rPr>
              <w:t>5</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061AFB" w:rsidRDefault="007B3210" w:rsidP="004762BD">
            <w:pPr>
              <w:spacing w:after="0" w:line="240" w:lineRule="auto"/>
              <w:rPr>
                <w:rFonts w:ascii="Calibri" w:eastAsia="Times New Roman" w:hAnsi="Calibri" w:cs="Times New Roman"/>
                <w:color w:val="000000"/>
                <w:lang w:val="en-US" w:eastAsia="nl-NL"/>
              </w:rPr>
            </w:pPr>
            <w:r w:rsidRPr="00061AFB">
              <w:rPr>
                <w:rFonts w:ascii="Calibri" w:eastAsia="Times New Roman" w:hAnsi="Calibri" w:cs="Times New Roman"/>
                <w:color w:val="000000"/>
                <w:lang w:val="en-US" w:eastAsia="nl-NL"/>
              </w:rPr>
              <w:t xml:space="preserve">Dummy exclude </w:t>
            </w:r>
            <w:r w:rsidR="00F60C96">
              <w:rPr>
                <w:rFonts w:ascii="Calibri" w:eastAsia="Times New Roman" w:hAnsi="Calibri" w:cs="Times New Roman"/>
                <w:color w:val="000000"/>
                <w:lang w:val="en-US" w:eastAsia="nl-NL"/>
              </w:rPr>
              <w:t>Best Efforts</w:t>
            </w:r>
            <w:r w:rsidR="00061AFB" w:rsidRPr="00061AFB">
              <w:rPr>
                <w:rFonts w:ascii="Calibri" w:eastAsia="Times New Roman" w:hAnsi="Calibri" w:cs="Times New Roman"/>
                <w:color w:val="000000"/>
                <w:lang w:val="en-US" w:eastAsia="nl-NL"/>
              </w:rPr>
              <w:t xml:space="preserve"> (E</w:t>
            </w:r>
            <w:r w:rsidR="00061AFB">
              <w:rPr>
                <w:rFonts w:ascii="Calibri" w:eastAsia="Times New Roman" w:hAnsi="Calibri" w:cs="Times New Roman"/>
                <w:color w:val="000000"/>
                <w:lang w:val="en-US" w:eastAsia="nl-NL"/>
              </w:rPr>
              <w:t>xBE)</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7</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Dummy exclude financials</w:t>
            </w:r>
            <w:r w:rsidR="00061AFB">
              <w:rPr>
                <w:rFonts w:ascii="Calibri" w:eastAsia="Times New Roman" w:hAnsi="Calibri" w:cs="Times New Roman"/>
                <w:color w:val="000000"/>
                <w:lang w:eastAsia="nl-NL"/>
              </w:rPr>
              <w:t xml:space="preserve"> (ExFIN)</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29</w:t>
            </w:r>
          </w:p>
        </w:tc>
      </w:tr>
      <w:tr w:rsidR="007B3210" w:rsidRPr="00632AAB" w:rsidTr="004762BD">
        <w:trPr>
          <w:trHeight w:val="300"/>
        </w:trPr>
        <w:tc>
          <w:tcPr>
            <w:tcW w:w="3472" w:type="dxa"/>
            <w:tcBorders>
              <w:top w:val="nil"/>
              <w:left w:val="nil"/>
              <w:bottom w:val="nil"/>
              <w:right w:val="nil"/>
            </w:tcBorders>
            <w:shd w:val="clear" w:color="000000" w:fill="FFFFFF"/>
            <w:noWrap/>
            <w:vAlign w:val="bottom"/>
            <w:hideMark/>
          </w:tcPr>
          <w:p w:rsidR="007B3210" w:rsidRPr="00061AFB" w:rsidRDefault="007B3210" w:rsidP="004762BD">
            <w:pPr>
              <w:spacing w:after="0" w:line="240" w:lineRule="auto"/>
              <w:rPr>
                <w:rFonts w:ascii="Calibri" w:eastAsia="Times New Roman" w:hAnsi="Calibri" w:cs="Times New Roman"/>
                <w:color w:val="000000"/>
                <w:lang w:val="en-US" w:eastAsia="nl-NL"/>
              </w:rPr>
            </w:pPr>
            <w:r w:rsidRPr="00061AFB">
              <w:rPr>
                <w:rFonts w:ascii="Calibri" w:eastAsia="Times New Roman" w:hAnsi="Calibri" w:cs="Times New Roman"/>
                <w:color w:val="000000"/>
                <w:lang w:val="en-US" w:eastAsia="nl-NL"/>
              </w:rPr>
              <w:t>Dummy exclude small firms</w:t>
            </w:r>
            <w:r w:rsidR="00061AFB" w:rsidRPr="00061AFB">
              <w:rPr>
                <w:rFonts w:ascii="Calibri" w:eastAsia="Times New Roman" w:hAnsi="Calibri" w:cs="Times New Roman"/>
                <w:color w:val="000000"/>
                <w:lang w:val="en-US" w:eastAsia="nl-NL"/>
              </w:rPr>
              <w:t xml:space="preserve"> (E</w:t>
            </w:r>
            <w:r w:rsidR="00061AFB">
              <w:rPr>
                <w:rFonts w:ascii="Calibri" w:eastAsia="Times New Roman" w:hAnsi="Calibri" w:cs="Times New Roman"/>
                <w:color w:val="000000"/>
                <w:lang w:val="en-US" w:eastAsia="nl-NL"/>
              </w:rPr>
              <w:t>xSF)</w:t>
            </w:r>
          </w:p>
        </w:tc>
        <w:tc>
          <w:tcPr>
            <w:tcW w:w="1348" w:type="dxa"/>
            <w:tcBorders>
              <w:top w:val="nil"/>
              <w:left w:val="nil"/>
              <w:bottom w:val="nil"/>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2</w:t>
            </w:r>
            <w:r>
              <w:rPr>
                <w:rFonts w:ascii="Calibri" w:eastAsia="Times New Roman" w:hAnsi="Calibri" w:cs="Times New Roman"/>
                <w:color w:val="000000"/>
                <w:lang w:eastAsia="nl-NL"/>
              </w:rPr>
              <w:t>3</w:t>
            </w:r>
          </w:p>
        </w:tc>
      </w:tr>
      <w:tr w:rsidR="007B3210" w:rsidRPr="00632AAB" w:rsidTr="004762BD">
        <w:trPr>
          <w:trHeight w:val="300"/>
        </w:trPr>
        <w:tc>
          <w:tcPr>
            <w:tcW w:w="3472" w:type="dxa"/>
            <w:tcBorders>
              <w:top w:val="nil"/>
              <w:left w:val="nil"/>
              <w:bottom w:val="single" w:sz="8" w:space="0" w:color="auto"/>
              <w:right w:val="nil"/>
            </w:tcBorders>
            <w:shd w:val="clear" w:color="000000" w:fill="FFFFFF"/>
            <w:noWrap/>
            <w:vAlign w:val="bottom"/>
            <w:hideMark/>
          </w:tcPr>
          <w:p w:rsidR="007B3210" w:rsidRPr="00632AAB" w:rsidRDefault="007B3210" w:rsidP="004762BD">
            <w:pPr>
              <w:spacing w:after="0" w:line="240" w:lineRule="auto"/>
              <w:rPr>
                <w:rFonts w:ascii="Calibri" w:eastAsia="Times New Roman" w:hAnsi="Calibri" w:cs="Times New Roman"/>
                <w:color w:val="000000"/>
                <w:lang w:eastAsia="nl-NL"/>
              </w:rPr>
            </w:pPr>
            <w:r w:rsidRPr="00632AAB">
              <w:rPr>
                <w:rFonts w:ascii="Calibri" w:eastAsia="Times New Roman" w:hAnsi="Calibri" w:cs="Times New Roman"/>
                <w:color w:val="000000"/>
                <w:lang w:eastAsia="nl-NL"/>
              </w:rPr>
              <w:t>Dummy</w:t>
            </w:r>
            <w:r>
              <w:rPr>
                <w:rFonts w:ascii="Calibri" w:eastAsia="Times New Roman" w:hAnsi="Calibri" w:cs="Times New Roman"/>
                <w:color w:val="000000"/>
                <w:lang w:eastAsia="nl-NL"/>
              </w:rPr>
              <w:t xml:space="preserve"> excludes</w:t>
            </w:r>
            <w:r w:rsidRPr="00632AAB">
              <w:rPr>
                <w:rFonts w:ascii="Calibri" w:eastAsia="Times New Roman" w:hAnsi="Calibri" w:cs="Times New Roman"/>
                <w:color w:val="000000"/>
                <w:lang w:eastAsia="nl-NL"/>
              </w:rPr>
              <w:t xml:space="preserve"> age</w:t>
            </w:r>
            <w:r w:rsidR="00061AFB">
              <w:rPr>
                <w:rFonts w:ascii="Calibri" w:eastAsia="Times New Roman" w:hAnsi="Calibri" w:cs="Times New Roman"/>
                <w:color w:val="000000"/>
                <w:lang w:eastAsia="nl-NL"/>
              </w:rPr>
              <w:t xml:space="preserve"> (ExAGE)</w:t>
            </w:r>
          </w:p>
        </w:tc>
        <w:tc>
          <w:tcPr>
            <w:tcW w:w="1348" w:type="dxa"/>
            <w:tcBorders>
              <w:top w:val="nil"/>
              <w:left w:val="nil"/>
              <w:bottom w:val="single" w:sz="8" w:space="0" w:color="auto"/>
              <w:right w:val="nil"/>
            </w:tcBorders>
            <w:shd w:val="clear" w:color="000000" w:fill="FFFFFF"/>
            <w:noWrap/>
            <w:vAlign w:val="bottom"/>
            <w:hideMark/>
          </w:tcPr>
          <w:p w:rsidR="007B3210" w:rsidRPr="00632AAB" w:rsidRDefault="007B3210" w:rsidP="004762BD">
            <w:pPr>
              <w:spacing w:after="0" w:line="240" w:lineRule="auto"/>
              <w:jc w:val="right"/>
              <w:rPr>
                <w:rFonts w:ascii="Calibri" w:eastAsia="Times New Roman" w:hAnsi="Calibri" w:cs="Times New Roman"/>
                <w:color w:val="000000"/>
                <w:lang w:eastAsia="nl-NL"/>
              </w:rPr>
            </w:pPr>
            <w:r>
              <w:rPr>
                <w:rFonts w:ascii="Calibri" w:eastAsia="Times New Roman" w:hAnsi="Calibri" w:cs="Times New Roman"/>
                <w:color w:val="000000"/>
                <w:lang w:eastAsia="nl-NL"/>
              </w:rPr>
              <w:t>38</w:t>
            </w:r>
          </w:p>
        </w:tc>
      </w:tr>
    </w:tbl>
    <w:p w:rsidR="00F04494" w:rsidRDefault="00F04494" w:rsidP="00FD6E17">
      <w:pPr>
        <w:spacing w:line="360" w:lineRule="auto"/>
        <w:rPr>
          <w:lang w:val="en-US"/>
        </w:rPr>
      </w:pPr>
    </w:p>
    <w:p w:rsidR="00647E59" w:rsidRDefault="00647E59" w:rsidP="00FD6E17">
      <w:pPr>
        <w:spacing w:line="360" w:lineRule="auto"/>
        <w:rPr>
          <w:lang w:val="en-US"/>
        </w:rPr>
      </w:pPr>
    </w:p>
    <w:p w:rsidR="00632AAB" w:rsidRDefault="00632AAB" w:rsidP="00FD6E17">
      <w:pPr>
        <w:spacing w:line="360" w:lineRule="auto"/>
        <w:rPr>
          <w:lang w:val="en-US"/>
        </w:rPr>
      </w:pPr>
    </w:p>
    <w:p w:rsidR="00632AAB" w:rsidRDefault="00632AAB" w:rsidP="00FD6E17">
      <w:pPr>
        <w:spacing w:line="360" w:lineRule="auto"/>
        <w:rPr>
          <w:lang w:val="en-US"/>
        </w:rPr>
      </w:pPr>
    </w:p>
    <w:p w:rsidR="00632AAB" w:rsidRDefault="00632AAB" w:rsidP="00FD6E17">
      <w:pPr>
        <w:spacing w:line="360" w:lineRule="auto"/>
        <w:rPr>
          <w:lang w:val="en-US"/>
        </w:rPr>
      </w:pPr>
    </w:p>
    <w:p w:rsidR="00632AAB" w:rsidRDefault="00632AAB" w:rsidP="00FD6E17">
      <w:pPr>
        <w:spacing w:line="360" w:lineRule="auto"/>
        <w:rPr>
          <w:lang w:val="en-US"/>
        </w:rPr>
      </w:pPr>
    </w:p>
    <w:p w:rsidR="00632AAB" w:rsidRDefault="00632AAB" w:rsidP="00FD6E17">
      <w:pPr>
        <w:spacing w:line="360" w:lineRule="auto"/>
        <w:rPr>
          <w:lang w:val="en-US"/>
        </w:rPr>
      </w:pPr>
    </w:p>
    <w:p w:rsidR="00632AAB" w:rsidRDefault="00632AAB" w:rsidP="00FD6E17">
      <w:pPr>
        <w:spacing w:line="360" w:lineRule="auto"/>
        <w:rPr>
          <w:lang w:val="en-US"/>
        </w:rPr>
      </w:pPr>
    </w:p>
    <w:p w:rsidR="004762BD" w:rsidRDefault="004762BD" w:rsidP="00BB06C6">
      <w:pPr>
        <w:jc w:val="both"/>
        <w:rPr>
          <w:sz w:val="18"/>
          <w:szCs w:val="18"/>
          <w:lang w:val="en-US"/>
        </w:rPr>
      </w:pPr>
    </w:p>
    <w:p w:rsidR="00632AAB" w:rsidRDefault="00632AAB" w:rsidP="00BB06C6">
      <w:pPr>
        <w:jc w:val="both"/>
        <w:rPr>
          <w:sz w:val="18"/>
          <w:szCs w:val="18"/>
          <w:lang w:val="en-US"/>
        </w:rPr>
      </w:pPr>
      <w:r>
        <w:rPr>
          <w:sz w:val="18"/>
          <w:szCs w:val="18"/>
          <w:lang w:val="en-US"/>
        </w:rPr>
        <w:t xml:space="preserve">Table </w:t>
      </w:r>
      <w:r w:rsidR="00582220">
        <w:rPr>
          <w:sz w:val="18"/>
          <w:szCs w:val="18"/>
          <w:lang w:val="en-US"/>
        </w:rPr>
        <w:t>6</w:t>
      </w:r>
      <w:r w:rsidRPr="002A6AC5">
        <w:rPr>
          <w:sz w:val="18"/>
          <w:szCs w:val="18"/>
          <w:lang w:val="en-US"/>
        </w:rPr>
        <w:t xml:space="preserve"> shows the Z variables used in the </w:t>
      </w:r>
      <w:r w:rsidR="004D3C74">
        <w:rPr>
          <w:sz w:val="18"/>
          <w:szCs w:val="18"/>
          <w:lang w:val="en-US"/>
        </w:rPr>
        <w:t xml:space="preserve">proceeds </w:t>
      </w:r>
      <w:r w:rsidRPr="002A6AC5">
        <w:rPr>
          <w:sz w:val="18"/>
          <w:szCs w:val="18"/>
          <w:lang w:val="en-US"/>
        </w:rPr>
        <w:t>MRA. All variables are dummy variables. The n</w:t>
      </w:r>
      <w:r w:rsidR="00E82848">
        <w:rPr>
          <w:sz w:val="18"/>
          <w:szCs w:val="18"/>
          <w:lang w:val="en-US"/>
        </w:rPr>
        <w:t>umber indicates the amount of 1</w:t>
      </w:r>
      <w:r w:rsidRPr="002A6AC5">
        <w:rPr>
          <w:sz w:val="18"/>
          <w:szCs w:val="18"/>
          <w:lang w:val="en-US"/>
        </w:rPr>
        <w:t>s in the dataset, f</w:t>
      </w:r>
      <w:r w:rsidR="004A45F3">
        <w:rPr>
          <w:sz w:val="18"/>
          <w:szCs w:val="18"/>
          <w:lang w:val="en-US"/>
        </w:rPr>
        <w:t>or instance 18</w:t>
      </w:r>
      <w:r>
        <w:rPr>
          <w:sz w:val="18"/>
          <w:szCs w:val="18"/>
          <w:lang w:val="en-US"/>
        </w:rPr>
        <w:t xml:space="preserve"> out </w:t>
      </w:r>
      <w:r w:rsidR="00D320D0">
        <w:rPr>
          <w:sz w:val="18"/>
          <w:szCs w:val="18"/>
          <w:lang w:val="en-US"/>
        </w:rPr>
        <w:t xml:space="preserve">of </w:t>
      </w:r>
      <w:r w:rsidR="004A45F3">
        <w:rPr>
          <w:sz w:val="18"/>
          <w:szCs w:val="18"/>
          <w:lang w:val="en-US"/>
        </w:rPr>
        <w:t>57</w:t>
      </w:r>
      <w:r w:rsidRPr="002A6AC5">
        <w:rPr>
          <w:sz w:val="18"/>
          <w:szCs w:val="18"/>
          <w:lang w:val="en-US"/>
        </w:rPr>
        <w:t xml:space="preserve"> estimates </w:t>
      </w:r>
      <w:r w:rsidR="00F60D5F">
        <w:rPr>
          <w:sz w:val="18"/>
          <w:szCs w:val="18"/>
          <w:lang w:val="en-US"/>
        </w:rPr>
        <w:t>were</w:t>
      </w:r>
      <w:r w:rsidRPr="002A6AC5">
        <w:rPr>
          <w:sz w:val="18"/>
          <w:szCs w:val="18"/>
          <w:lang w:val="en-US"/>
        </w:rPr>
        <w:t xml:space="preserve"> obtained from articles that </w:t>
      </w:r>
      <w:r w:rsidR="00F60D5F">
        <w:rPr>
          <w:sz w:val="18"/>
          <w:szCs w:val="18"/>
          <w:lang w:val="en-US"/>
        </w:rPr>
        <w:t>were</w:t>
      </w:r>
      <w:r>
        <w:rPr>
          <w:sz w:val="18"/>
          <w:szCs w:val="18"/>
          <w:lang w:val="en-US"/>
        </w:rPr>
        <w:t xml:space="preserve"> published in Star Journals.</w:t>
      </w:r>
      <w:r w:rsidR="004D3C74">
        <w:rPr>
          <w:sz w:val="18"/>
          <w:szCs w:val="18"/>
          <w:lang w:val="en-US"/>
        </w:rPr>
        <w:t xml:space="preserve"> The table includes time and region dummies. The ‘Returns not market adjusted dummy’ indicates that returns were not adjusted for market returns in calculating underpricing. The ‘More than 1 week dummy’ indicates that a closing price from trading day 6-21 was used in calculating underpricing. The ‘exclude </w:t>
      </w:r>
      <w:r w:rsidR="00F60C96">
        <w:rPr>
          <w:sz w:val="18"/>
          <w:szCs w:val="18"/>
          <w:lang w:val="en-US"/>
        </w:rPr>
        <w:t>Best Efforts</w:t>
      </w:r>
      <w:r w:rsidR="004D3C74">
        <w:rPr>
          <w:sz w:val="18"/>
          <w:szCs w:val="18"/>
          <w:lang w:val="en-US"/>
        </w:rPr>
        <w:t xml:space="preserve">, financials and small firms dummies’ describe the dataset used in the original regression. The ‘excludes age dummy’ indicates </w:t>
      </w:r>
      <w:r w:rsidR="00D320D0">
        <w:rPr>
          <w:sz w:val="18"/>
          <w:szCs w:val="18"/>
          <w:lang w:val="en-US"/>
        </w:rPr>
        <w:t>that</w:t>
      </w:r>
      <w:r w:rsidR="004D3C74">
        <w:rPr>
          <w:sz w:val="18"/>
          <w:szCs w:val="18"/>
          <w:lang w:val="en-US"/>
        </w:rPr>
        <w:t xml:space="preserve"> an age coefficient was included in the original regression.</w:t>
      </w:r>
    </w:p>
    <w:p w:rsidR="00A55079" w:rsidRPr="008771B2" w:rsidRDefault="00A55079" w:rsidP="008771B2">
      <w:pPr>
        <w:spacing w:line="360" w:lineRule="auto"/>
        <w:rPr>
          <w:rFonts w:ascii="Calibri" w:eastAsia="Times New Roman" w:hAnsi="Calibri" w:cs="Times New Roman"/>
          <w:lang w:val="en-US"/>
        </w:rPr>
      </w:pPr>
      <w:r>
        <w:rPr>
          <w:rFonts w:ascii="Calibri" w:eastAsia="Times New Roman" w:hAnsi="Calibri" w:cs="Times New Roman"/>
          <w:lang w:val="en-US"/>
        </w:rPr>
        <w:t xml:space="preserve">The </w:t>
      </w:r>
      <w:r w:rsidR="006917E1">
        <w:rPr>
          <w:rFonts w:ascii="Calibri" w:eastAsia="Times New Roman" w:hAnsi="Calibri" w:cs="Times New Roman"/>
          <w:lang w:val="en-US"/>
        </w:rPr>
        <w:t>1980’s</w:t>
      </w:r>
      <w:r>
        <w:rPr>
          <w:rFonts w:ascii="Calibri" w:eastAsia="Times New Roman" w:hAnsi="Calibri" w:cs="Times New Roman"/>
          <w:lang w:val="en-US"/>
        </w:rPr>
        <w:t xml:space="preserve"> and North America (NA) </w:t>
      </w:r>
      <w:r w:rsidR="00F60D5F">
        <w:rPr>
          <w:rFonts w:ascii="Calibri" w:eastAsia="Times New Roman" w:hAnsi="Calibri" w:cs="Times New Roman"/>
          <w:lang w:val="en-US"/>
        </w:rPr>
        <w:t>were</w:t>
      </w:r>
      <w:r>
        <w:rPr>
          <w:rFonts w:ascii="Calibri" w:eastAsia="Times New Roman" w:hAnsi="Calibri" w:cs="Times New Roman"/>
          <w:lang w:val="en-US"/>
        </w:rPr>
        <w:t xml:space="preserve"> taken as base cases, and hence these dummies </w:t>
      </w:r>
      <w:r w:rsidR="00F60D5F">
        <w:rPr>
          <w:rFonts w:ascii="Calibri" w:eastAsia="Times New Roman" w:hAnsi="Calibri" w:cs="Times New Roman"/>
          <w:lang w:val="en-US"/>
        </w:rPr>
        <w:t>were</w:t>
      </w:r>
      <w:r>
        <w:rPr>
          <w:rFonts w:ascii="Calibri" w:eastAsia="Times New Roman" w:hAnsi="Calibri" w:cs="Times New Roman"/>
          <w:lang w:val="en-US"/>
        </w:rPr>
        <w:t xml:space="preserve"> dropped. The Pac</w:t>
      </w:r>
      <w:r w:rsidR="00007B04">
        <w:rPr>
          <w:rFonts w:ascii="Calibri" w:eastAsia="Times New Roman" w:hAnsi="Calibri" w:cs="Times New Roman"/>
          <w:lang w:val="en-US"/>
        </w:rPr>
        <w:t>ific</w:t>
      </w:r>
      <w:r>
        <w:rPr>
          <w:rFonts w:ascii="Calibri" w:eastAsia="Times New Roman" w:hAnsi="Calibri" w:cs="Times New Roman"/>
          <w:lang w:val="en-US"/>
        </w:rPr>
        <w:t xml:space="preserve"> dummy </w:t>
      </w:r>
      <w:r w:rsidR="00007B04">
        <w:rPr>
          <w:rFonts w:ascii="Calibri" w:eastAsia="Times New Roman" w:hAnsi="Calibri" w:cs="Times New Roman"/>
          <w:lang w:val="en-US"/>
        </w:rPr>
        <w:t xml:space="preserve">(Pac) </w:t>
      </w:r>
      <w:r>
        <w:rPr>
          <w:rFonts w:ascii="Calibri" w:eastAsia="Times New Roman" w:hAnsi="Calibri" w:cs="Times New Roman"/>
          <w:lang w:val="en-US"/>
        </w:rPr>
        <w:t>indicates that the data set originated from the pacific</w:t>
      </w:r>
      <w:r w:rsidR="004A45F3">
        <w:rPr>
          <w:rFonts w:ascii="Calibri" w:eastAsia="Times New Roman" w:hAnsi="Calibri" w:cs="Times New Roman"/>
          <w:lang w:val="en-US"/>
        </w:rPr>
        <w:t xml:space="preserve"> region</w:t>
      </w:r>
      <w:r>
        <w:rPr>
          <w:rFonts w:ascii="Calibri" w:eastAsia="Times New Roman" w:hAnsi="Calibri" w:cs="Times New Roman"/>
          <w:lang w:val="en-US"/>
        </w:rPr>
        <w:t>. Furthermore</w:t>
      </w:r>
      <w:r w:rsidR="007B3210">
        <w:rPr>
          <w:rFonts w:ascii="Calibri" w:eastAsia="Times New Roman" w:hAnsi="Calibri" w:cs="Times New Roman"/>
          <w:lang w:val="en-US"/>
        </w:rPr>
        <w:t>,</w:t>
      </w:r>
      <w:r>
        <w:rPr>
          <w:rFonts w:ascii="Calibri" w:eastAsia="Times New Roman" w:hAnsi="Calibri" w:cs="Times New Roman"/>
          <w:lang w:val="en-US"/>
        </w:rPr>
        <w:t xml:space="preserve"> the equation includes a dummy that indicates whether an age coefficient was </w:t>
      </w:r>
      <w:r w:rsidR="007B3210">
        <w:rPr>
          <w:rFonts w:ascii="Calibri" w:eastAsia="Times New Roman" w:hAnsi="Calibri" w:cs="Times New Roman"/>
          <w:lang w:val="en-US"/>
        </w:rPr>
        <w:t>not included</w:t>
      </w:r>
      <w:r w:rsidR="00D12C29">
        <w:rPr>
          <w:rFonts w:ascii="Calibri" w:eastAsia="Times New Roman" w:hAnsi="Calibri" w:cs="Times New Roman"/>
          <w:lang w:val="en-US"/>
        </w:rPr>
        <w:t xml:space="preserve"> in the original regression (Ex</w:t>
      </w:r>
      <w:r>
        <w:rPr>
          <w:rFonts w:ascii="Calibri" w:eastAsia="Times New Roman" w:hAnsi="Calibri" w:cs="Times New Roman"/>
          <w:lang w:val="en-US"/>
        </w:rPr>
        <w:t xml:space="preserve">Age). The other dummies are similar to the dummies used in equation </w:t>
      </w:r>
      <w:r w:rsidR="00217554">
        <w:rPr>
          <w:rFonts w:ascii="Calibri" w:eastAsia="Times New Roman" w:hAnsi="Calibri" w:cs="Times New Roman"/>
          <w:lang w:val="en-US"/>
        </w:rPr>
        <w:t>3</w:t>
      </w:r>
      <w:r>
        <w:rPr>
          <w:rFonts w:ascii="Calibri" w:eastAsia="Times New Roman" w:hAnsi="Calibri" w:cs="Times New Roman"/>
          <w:lang w:val="en-US"/>
        </w:rPr>
        <w:t xml:space="preserve">. </w:t>
      </w:r>
    </w:p>
    <w:p w:rsidR="00023B84" w:rsidRPr="002A6AC5" w:rsidRDefault="00023B84" w:rsidP="00632AAB">
      <w:pPr>
        <w:rPr>
          <w:sz w:val="18"/>
          <w:szCs w:val="18"/>
          <w:lang w:val="en-US"/>
        </w:rPr>
      </w:pPr>
      <m:oMath>
        <m:r>
          <w:rPr>
            <w:rFonts w:ascii="Cambria Math" w:hAnsi="Cambria Math"/>
            <w:lang w:val="en-US"/>
          </w:rPr>
          <m:t xml:space="preserve">Proceeds coefficient= β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r>
          <w:rPr>
            <w:rFonts w:ascii="Cambria Math" w:hAnsi="Cambria Math"/>
            <w:lang w:val="en-US"/>
          </w:rPr>
          <m:t xml:space="preserve">90&amp;Int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sSup>
          <m:sSupPr>
            <m:ctrlPr>
              <w:rPr>
                <w:rFonts w:ascii="Cambria Math" w:hAnsi="Cambria Math"/>
                <w:i/>
                <w:lang w:val="en-US"/>
              </w:rPr>
            </m:ctrlPr>
          </m:sSupPr>
          <m:e>
            <m:r>
              <w:rPr>
                <w:rFonts w:ascii="Cambria Math" w:hAnsi="Cambria Math"/>
                <w:lang w:val="en-US"/>
              </w:rPr>
              <m:t>00</m:t>
            </m:r>
          </m:e>
          <m:sup>
            <m:r>
              <w:rPr>
                <w:rFonts w:ascii="Cambria Math" w:hAnsi="Cambria Math"/>
                <w:lang w:val="en-US"/>
              </w:rPr>
              <m:t>'</m:t>
            </m:r>
          </m:sup>
        </m:sSup>
        <m:r>
          <w:rPr>
            <w:rFonts w:ascii="Cambria Math" w:hAnsi="Cambria Math"/>
            <w:lang w:val="en-US"/>
          </w:rPr>
          <m:t xml:space="preserve">s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r>
          <w:rPr>
            <w:rFonts w:ascii="Cambria Math" w:hAnsi="Cambria Math"/>
            <w:lang w:val="en-US"/>
          </w:rPr>
          <m:t xml:space="preserve">EUR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4</m:t>
            </m:r>
          </m:sub>
        </m:sSub>
        <m:r>
          <w:rPr>
            <w:rFonts w:ascii="Cambria Math" w:hAnsi="Cambria Math"/>
            <w:lang w:val="en-US"/>
          </w:rPr>
          <m:t xml:space="preserve">Pac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r>
          <w:rPr>
            <w:rFonts w:ascii="Cambria Math" w:hAnsi="Cambria Math"/>
            <w:lang w:val="en-US"/>
          </w:rPr>
          <m:t xml:space="preserve">Madj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6</m:t>
            </m:r>
          </m:sub>
        </m:sSub>
        <m:r>
          <w:rPr>
            <w:rFonts w:ascii="Cambria Math" w:hAnsi="Cambria Math"/>
            <w:lang w:val="en-US"/>
          </w:rPr>
          <m:t xml:space="preserve">M1wk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7</m:t>
            </m:r>
          </m:sub>
        </m:sSub>
        <m:r>
          <w:rPr>
            <w:rFonts w:ascii="Cambria Math" w:hAnsi="Cambria Math"/>
            <w:lang w:val="en-US"/>
          </w:rPr>
          <m:t xml:space="preserve">ExBE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8</m:t>
            </m:r>
          </m:sub>
        </m:sSub>
        <m:r>
          <w:rPr>
            <w:rFonts w:ascii="Cambria Math" w:hAnsi="Cambria Math"/>
            <w:lang w:val="en-US"/>
          </w:rPr>
          <m:t xml:space="preserve">ExFin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9</m:t>
            </m:r>
          </m:sub>
        </m:sSub>
        <m:r>
          <w:rPr>
            <w:rFonts w:ascii="Cambria Math" w:hAnsi="Cambria Math"/>
            <w:lang w:val="en-US"/>
          </w:rPr>
          <m:t xml:space="preserve">ExSF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10</m:t>
            </m:r>
          </m:sub>
        </m:sSub>
        <m:r>
          <w:rPr>
            <w:rFonts w:ascii="Cambria Math" w:hAnsi="Cambria Math"/>
            <w:lang w:val="en-US"/>
          </w:rPr>
          <m:t xml:space="preserve">ExAge +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 xml:space="preserve">  </m:t>
        </m:r>
      </m:oMath>
      <w:r w:rsidR="00A55079">
        <w:rPr>
          <w:rFonts w:eastAsiaTheme="minorEastAsia"/>
          <w:lang w:val="en-US"/>
        </w:rPr>
        <w:tab/>
      </w:r>
      <w:r w:rsidR="00A55079">
        <w:rPr>
          <w:rFonts w:eastAsiaTheme="minorEastAsia"/>
          <w:lang w:val="en-US"/>
        </w:rPr>
        <w:tab/>
      </w:r>
      <w:r w:rsidR="00D320D0">
        <w:rPr>
          <w:rFonts w:eastAsiaTheme="minorEastAsia"/>
          <w:lang w:val="en-US"/>
        </w:rPr>
        <w:tab/>
      </w:r>
      <w:r w:rsidR="00A55079">
        <w:rPr>
          <w:rFonts w:eastAsiaTheme="minorEastAsia"/>
          <w:lang w:val="en-US"/>
        </w:rPr>
        <w:tab/>
        <w:t>(</w:t>
      </w:r>
      <w:r w:rsidR="007E5C57">
        <w:rPr>
          <w:rFonts w:eastAsiaTheme="minorEastAsia"/>
          <w:lang w:val="en-US"/>
        </w:rPr>
        <w:t>5</w:t>
      </w:r>
      <w:r w:rsidR="00A55079">
        <w:rPr>
          <w:rFonts w:eastAsiaTheme="minorEastAsia"/>
          <w:lang w:val="en-US"/>
        </w:rPr>
        <w:t>)</w:t>
      </w:r>
    </w:p>
    <w:bookmarkEnd w:id="27"/>
    <w:p w:rsidR="004762BD" w:rsidRDefault="00217554" w:rsidP="00217554">
      <w:pPr>
        <w:spacing w:line="360" w:lineRule="auto"/>
        <w:rPr>
          <w:rFonts w:ascii="Calibri" w:eastAsia="Times New Roman" w:hAnsi="Calibri" w:cs="Times New Roman"/>
          <w:lang w:val="en-US"/>
        </w:rPr>
      </w:pPr>
      <w:r w:rsidRPr="00AF2B0E">
        <w:rPr>
          <w:rFonts w:ascii="Calibri" w:eastAsia="Times New Roman" w:hAnsi="Calibri" w:cs="Times New Roman"/>
          <w:lang w:val="en-US"/>
        </w:rPr>
        <w:t>The pr</w:t>
      </w:r>
      <w:r w:rsidR="00ED271E">
        <w:rPr>
          <w:rFonts w:ascii="Calibri" w:eastAsia="Times New Roman" w:hAnsi="Calibri" w:cs="Times New Roman"/>
          <w:lang w:val="en-US"/>
        </w:rPr>
        <w:t>eliminary test used in section 5</w:t>
      </w:r>
      <w:r w:rsidRPr="00AF2B0E">
        <w:rPr>
          <w:rFonts w:ascii="Calibri" w:eastAsia="Times New Roman" w:hAnsi="Calibri" w:cs="Times New Roman"/>
          <w:lang w:val="en-US"/>
        </w:rPr>
        <w:t xml:space="preserve">.2.1. </w:t>
      </w:r>
      <w:proofErr w:type="gramStart"/>
      <w:r w:rsidRPr="00AF2B0E">
        <w:rPr>
          <w:rFonts w:ascii="Calibri" w:eastAsia="Times New Roman" w:hAnsi="Calibri" w:cs="Times New Roman"/>
          <w:lang w:val="en-US"/>
        </w:rPr>
        <w:t>is</w:t>
      </w:r>
      <w:proofErr w:type="gramEnd"/>
      <w:r w:rsidRPr="00AF2B0E">
        <w:rPr>
          <w:rFonts w:ascii="Calibri" w:eastAsia="Times New Roman" w:hAnsi="Calibri" w:cs="Times New Roman"/>
          <w:lang w:val="en-US"/>
        </w:rPr>
        <w:t xml:space="preserve"> applied to test the dummies for explanatory </w:t>
      </w:r>
      <w:r w:rsidR="00AF2B0E" w:rsidRPr="00AF2B0E">
        <w:rPr>
          <w:rFonts w:ascii="Calibri" w:eastAsia="Times New Roman" w:hAnsi="Calibri" w:cs="Times New Roman"/>
          <w:lang w:val="en-US"/>
        </w:rPr>
        <w:t xml:space="preserve">power. The dummy variables are excluded </w:t>
      </w:r>
      <w:r w:rsidR="00B16B5D" w:rsidRPr="00AF2B0E">
        <w:rPr>
          <w:rFonts w:ascii="Calibri" w:eastAsia="Times New Roman" w:hAnsi="Calibri" w:cs="Times New Roman"/>
          <w:lang w:val="en-US"/>
        </w:rPr>
        <w:t xml:space="preserve">from </w:t>
      </w:r>
      <w:r w:rsidR="00B16B5D">
        <w:rPr>
          <w:rFonts w:ascii="Calibri" w:eastAsia="Times New Roman" w:hAnsi="Calibri" w:cs="Times New Roman"/>
          <w:lang w:val="en-US"/>
        </w:rPr>
        <w:t>equation</w:t>
      </w:r>
      <w:r w:rsidRPr="00AF2B0E">
        <w:rPr>
          <w:rFonts w:ascii="Calibri" w:eastAsia="Times New Roman" w:hAnsi="Calibri" w:cs="Times New Roman"/>
          <w:lang w:val="en-US"/>
        </w:rPr>
        <w:t xml:space="preserve"> </w:t>
      </w:r>
      <w:r w:rsidR="007E5C57">
        <w:rPr>
          <w:rFonts w:ascii="Calibri" w:eastAsia="Times New Roman" w:hAnsi="Calibri" w:cs="Times New Roman"/>
          <w:lang w:val="en-US"/>
        </w:rPr>
        <w:t>5</w:t>
      </w:r>
      <w:r w:rsidRPr="00AF2B0E">
        <w:rPr>
          <w:rFonts w:ascii="Calibri" w:eastAsia="Times New Roman" w:hAnsi="Calibri" w:cs="Times New Roman"/>
          <w:lang w:val="en-US"/>
        </w:rPr>
        <w:t xml:space="preserve"> one</w:t>
      </w:r>
      <w:r w:rsidR="00B16B5D">
        <w:rPr>
          <w:rFonts w:ascii="Calibri" w:eastAsia="Times New Roman" w:hAnsi="Calibri" w:cs="Times New Roman"/>
          <w:lang w:val="en-US"/>
        </w:rPr>
        <w:t xml:space="preserve"> at the time</w:t>
      </w:r>
      <w:r w:rsidR="00CD1557" w:rsidRPr="00AF2B0E">
        <w:rPr>
          <w:rFonts w:ascii="Calibri" w:eastAsia="Times New Roman" w:hAnsi="Calibri" w:cs="Times New Roman"/>
          <w:lang w:val="en-US"/>
        </w:rPr>
        <w:t xml:space="preserve"> and the </w:t>
      </w:r>
      <w:r w:rsidR="00AF2B0E" w:rsidRPr="00AF2B0E">
        <w:rPr>
          <w:rFonts w:ascii="Calibri" w:eastAsia="Times New Roman" w:hAnsi="Calibri" w:cs="Times New Roman"/>
          <w:lang w:val="en-US"/>
        </w:rPr>
        <w:t>change in</w:t>
      </w:r>
      <w:r w:rsidR="00CD1557" w:rsidRPr="00AF2B0E">
        <w:rPr>
          <w:rFonts w:ascii="Calibri" w:eastAsia="Times New Roman" w:hAnsi="Calibri" w:cs="Times New Roman"/>
          <w:lang w:val="en-US"/>
        </w:rPr>
        <w:t xml:space="preserve"> adjusted r-square is calculated</w:t>
      </w:r>
      <w:r w:rsidRPr="00AF2B0E">
        <w:rPr>
          <w:rFonts w:ascii="Calibri" w:eastAsia="Times New Roman" w:hAnsi="Calibri" w:cs="Times New Roman"/>
          <w:lang w:val="en-US"/>
        </w:rPr>
        <w:t xml:space="preserve">. The results of the preliminary test are shown </w:t>
      </w:r>
      <w:r w:rsidRPr="00B16B5D">
        <w:rPr>
          <w:rFonts w:ascii="Calibri" w:eastAsia="Times New Roman" w:hAnsi="Calibri" w:cs="Times New Roman"/>
          <w:lang w:val="en-US"/>
        </w:rPr>
        <w:t xml:space="preserve">in appendix 1. The </w:t>
      </w:r>
      <w:r w:rsidR="00B16B5D" w:rsidRPr="00B16B5D">
        <w:rPr>
          <w:rFonts w:ascii="Calibri" w:eastAsia="Times New Roman" w:hAnsi="Calibri" w:cs="Times New Roman"/>
          <w:lang w:val="en-US"/>
        </w:rPr>
        <w:t>90’s plus Internet</w:t>
      </w:r>
      <w:r w:rsidRPr="00B16B5D">
        <w:rPr>
          <w:rFonts w:ascii="Calibri" w:eastAsia="Times New Roman" w:hAnsi="Calibri" w:cs="Times New Roman"/>
          <w:lang w:val="en-US"/>
        </w:rPr>
        <w:t>,</w:t>
      </w:r>
      <w:r w:rsidR="00B16B5D" w:rsidRPr="00B16B5D">
        <w:rPr>
          <w:rFonts w:ascii="Calibri" w:eastAsia="Times New Roman" w:hAnsi="Calibri" w:cs="Times New Roman"/>
          <w:lang w:val="en-US"/>
        </w:rPr>
        <w:t xml:space="preserve"> 2000’s, r</w:t>
      </w:r>
      <w:r w:rsidRPr="00B16B5D">
        <w:rPr>
          <w:rFonts w:ascii="Calibri" w:eastAsia="Times New Roman" w:hAnsi="Calibri" w:cs="Times New Roman"/>
          <w:lang w:val="en-US"/>
        </w:rPr>
        <w:t>eturns not market adjusted</w:t>
      </w:r>
      <w:r w:rsidR="00B16B5D" w:rsidRPr="00B16B5D">
        <w:rPr>
          <w:rFonts w:ascii="Calibri" w:eastAsia="Times New Roman" w:hAnsi="Calibri" w:cs="Times New Roman"/>
          <w:lang w:val="en-US"/>
        </w:rPr>
        <w:t>, more than 1 week, exclude small firms and the excludes age dummy</w:t>
      </w:r>
      <w:r w:rsidRPr="00B16B5D">
        <w:rPr>
          <w:rFonts w:ascii="Calibri" w:eastAsia="Times New Roman" w:hAnsi="Calibri" w:cs="Times New Roman"/>
          <w:lang w:val="en-US"/>
        </w:rPr>
        <w:t xml:space="preserve">, do not add explanatory power and are dropped from the MRA equation. The final MRA equation for IPO proceeds is given by equation </w:t>
      </w:r>
      <w:r w:rsidR="007E5C57">
        <w:rPr>
          <w:rFonts w:ascii="Calibri" w:eastAsia="Times New Roman" w:hAnsi="Calibri" w:cs="Times New Roman"/>
          <w:lang w:val="en-US"/>
        </w:rPr>
        <w:t>6</w:t>
      </w:r>
      <w:r w:rsidRPr="00B16B5D">
        <w:rPr>
          <w:rFonts w:ascii="Calibri" w:eastAsia="Times New Roman" w:hAnsi="Calibri" w:cs="Times New Roman"/>
          <w:lang w:val="en-US"/>
        </w:rPr>
        <w:t>.</w:t>
      </w:r>
      <w:r w:rsidRPr="007753B7">
        <w:rPr>
          <w:rFonts w:ascii="Calibri" w:eastAsia="Times New Roman" w:hAnsi="Calibri" w:cs="Times New Roman"/>
          <w:color w:val="FF0000"/>
          <w:lang w:val="en-US"/>
        </w:rPr>
        <w:t xml:space="preserve"> </w:t>
      </w:r>
      <w:r w:rsidR="00963EA5">
        <w:rPr>
          <w:rFonts w:ascii="Calibri" w:eastAsia="Times New Roman" w:hAnsi="Calibri" w:cs="Times New Roman"/>
          <w:color w:val="FF0000"/>
          <w:lang w:val="en-US"/>
        </w:rPr>
        <w:t xml:space="preserve"> </w:t>
      </w:r>
      <w:r w:rsidR="00963EA5">
        <w:rPr>
          <w:lang w:val="en-US"/>
        </w:rPr>
        <w:t xml:space="preserve">The dependent variable in equation 6 is the coefficient of the independent variable </w:t>
      </w:r>
      <w:proofErr w:type="gramStart"/>
      <w:r w:rsidR="00963EA5">
        <w:rPr>
          <w:lang w:val="en-US"/>
        </w:rPr>
        <w:t>LN(</w:t>
      </w:r>
      <w:proofErr w:type="gramEnd"/>
      <w:r w:rsidR="00963EA5">
        <w:rPr>
          <w:lang w:val="en-US"/>
        </w:rPr>
        <w:t xml:space="preserve">IPO proceeds) in a regression explaining underpricing.  </w:t>
      </w:r>
    </w:p>
    <w:p w:rsidR="008771B2" w:rsidRDefault="00217554" w:rsidP="004762BD">
      <w:pPr>
        <w:spacing w:line="360" w:lineRule="auto"/>
        <w:rPr>
          <w:b/>
          <w:lang w:val="en-US"/>
        </w:rPr>
      </w:pPr>
      <m:oMath>
        <m:r>
          <w:rPr>
            <w:rFonts w:ascii="Cambria Math" w:hAnsi="Cambria Math"/>
            <w:lang w:val="en-US"/>
          </w:rPr>
          <m:t xml:space="preserve">Proceeds coefficient= β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r>
          <w:rPr>
            <w:rFonts w:ascii="Cambria Math" w:hAnsi="Cambria Math"/>
            <w:lang w:val="en-US"/>
          </w:rPr>
          <m:t xml:space="preserve">EUR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 xml:space="preserve">Pac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r>
          <w:rPr>
            <w:rFonts w:ascii="Cambria Math" w:hAnsi="Cambria Math"/>
            <w:lang w:val="en-US"/>
          </w:rPr>
          <m:t xml:space="preserve">ExBE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4</m:t>
            </m:r>
          </m:sub>
        </m:sSub>
        <m:r>
          <w:rPr>
            <w:rFonts w:ascii="Cambria Math" w:hAnsi="Cambria Math"/>
            <w:lang w:val="en-US"/>
          </w:rPr>
          <m:t xml:space="preserve">ExFin +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 xml:space="preserve">  </m:t>
        </m:r>
      </m:oMath>
      <w:r w:rsidRPr="00B16B5D">
        <w:rPr>
          <w:rFonts w:eastAsiaTheme="minorEastAsia"/>
          <w:lang w:val="en-US"/>
        </w:rPr>
        <w:tab/>
      </w:r>
      <w:r>
        <w:rPr>
          <w:rFonts w:eastAsiaTheme="minorEastAsia"/>
          <w:lang w:val="en-US"/>
        </w:rPr>
        <w:tab/>
        <w:t>(</w:t>
      </w:r>
      <w:r w:rsidR="007E5C57">
        <w:rPr>
          <w:rFonts w:eastAsiaTheme="minorEastAsia"/>
          <w:lang w:val="en-US"/>
        </w:rPr>
        <w:t>6</w:t>
      </w:r>
      <w:r>
        <w:rPr>
          <w:rFonts w:eastAsiaTheme="minorEastAsia"/>
          <w:lang w:val="en-US"/>
        </w:rPr>
        <w:t>)</w:t>
      </w:r>
      <w:r w:rsidR="008771B2">
        <w:rPr>
          <w:b/>
          <w:lang w:val="en-US"/>
        </w:rPr>
        <w:br w:type="page"/>
      </w:r>
    </w:p>
    <w:p w:rsidR="007675A0" w:rsidRDefault="00C72939" w:rsidP="008B78C7">
      <w:pPr>
        <w:ind w:left="1418" w:hanging="992"/>
        <w:rPr>
          <w:b/>
          <w:lang w:val="en-US"/>
        </w:rPr>
      </w:pPr>
      <w:r>
        <w:rPr>
          <w:b/>
          <w:lang w:val="en-US"/>
        </w:rPr>
        <w:lastRenderedPageBreak/>
        <w:t>5</w:t>
      </w:r>
      <w:r w:rsidR="007675A0">
        <w:rPr>
          <w:b/>
          <w:lang w:val="en-US"/>
        </w:rPr>
        <w:t>.</w:t>
      </w:r>
      <w:r w:rsidR="00293CC3">
        <w:rPr>
          <w:b/>
          <w:lang w:val="en-US"/>
        </w:rPr>
        <w:t>2</w:t>
      </w:r>
      <w:r w:rsidR="007675A0">
        <w:rPr>
          <w:b/>
          <w:lang w:val="en-US"/>
        </w:rPr>
        <w:t>.</w:t>
      </w:r>
      <w:r w:rsidR="00CA1FC5">
        <w:rPr>
          <w:b/>
          <w:lang w:val="en-US"/>
        </w:rPr>
        <w:t>3.</w:t>
      </w:r>
      <w:r w:rsidR="007675A0">
        <w:rPr>
          <w:b/>
          <w:lang w:val="en-US"/>
        </w:rPr>
        <w:tab/>
      </w:r>
      <w:r w:rsidR="007675A0" w:rsidRPr="00376734">
        <w:rPr>
          <w:b/>
          <w:lang w:val="en-US"/>
        </w:rPr>
        <w:t>Underwriter reputation</w:t>
      </w:r>
    </w:p>
    <w:p w:rsidR="007675A0" w:rsidRDefault="007675A0" w:rsidP="00582220">
      <w:pPr>
        <w:spacing w:after="0" w:line="360" w:lineRule="auto"/>
        <w:rPr>
          <w:lang w:val="en-US"/>
        </w:rPr>
      </w:pPr>
      <w:r>
        <w:rPr>
          <w:lang w:val="en-US"/>
        </w:rPr>
        <w:t>The dataset for the ‘underwriter reputation MRA’ consist of papers that include underwriter reputation in a regression with underpricing as the dependent</w:t>
      </w:r>
      <w:r w:rsidR="00BB06C6">
        <w:rPr>
          <w:lang w:val="en-US"/>
        </w:rPr>
        <w:t xml:space="preserve"> variable</w:t>
      </w:r>
      <w:r>
        <w:rPr>
          <w:lang w:val="en-US"/>
        </w:rPr>
        <w:t>.</w:t>
      </w:r>
    </w:p>
    <w:p w:rsidR="007675A0" w:rsidRDefault="007675A0" w:rsidP="007675A0">
      <w:pPr>
        <w:spacing w:after="0" w:line="240" w:lineRule="auto"/>
        <w:rPr>
          <w:b/>
          <w:lang w:val="en-US"/>
        </w:rPr>
      </w:pPr>
    </w:p>
    <w:tbl>
      <w:tblPr>
        <w:tblW w:w="10260" w:type="dxa"/>
        <w:jc w:val="center"/>
        <w:tblInd w:w="-587" w:type="dxa"/>
        <w:tblCellMar>
          <w:left w:w="70" w:type="dxa"/>
          <w:right w:w="70" w:type="dxa"/>
        </w:tblCellMar>
        <w:tblLook w:val="04A0"/>
      </w:tblPr>
      <w:tblGrid>
        <w:gridCol w:w="1583"/>
        <w:gridCol w:w="805"/>
        <w:gridCol w:w="917"/>
        <w:gridCol w:w="889"/>
        <w:gridCol w:w="805"/>
        <w:gridCol w:w="805"/>
        <w:gridCol w:w="1014"/>
        <w:gridCol w:w="1350"/>
        <w:gridCol w:w="642"/>
        <w:gridCol w:w="761"/>
        <w:gridCol w:w="689"/>
      </w:tblGrid>
      <w:tr w:rsidR="00F3151A" w:rsidRPr="009D4228" w:rsidTr="008A279D">
        <w:trPr>
          <w:trHeight w:val="300"/>
          <w:jc w:val="center"/>
        </w:trPr>
        <w:tc>
          <w:tcPr>
            <w:tcW w:w="10260" w:type="dxa"/>
            <w:gridSpan w:val="11"/>
            <w:tcBorders>
              <w:top w:val="nil"/>
              <w:left w:val="nil"/>
              <w:bottom w:val="single" w:sz="4" w:space="0" w:color="auto"/>
              <w:right w:val="nil"/>
            </w:tcBorders>
            <w:shd w:val="clear" w:color="000000" w:fill="FFFFFF"/>
            <w:noWrap/>
            <w:vAlign w:val="bottom"/>
            <w:hideMark/>
          </w:tcPr>
          <w:p w:rsidR="00F3151A" w:rsidRPr="00F3151A" w:rsidRDefault="00F3151A" w:rsidP="00582220">
            <w:pPr>
              <w:spacing w:after="0" w:line="240" w:lineRule="auto"/>
              <w:jc w:val="center"/>
              <w:rPr>
                <w:rFonts w:ascii="Calibri" w:eastAsia="Times New Roman" w:hAnsi="Calibri" w:cs="Calibri"/>
                <w:b/>
                <w:bCs/>
                <w:color w:val="000000"/>
                <w:lang w:val="en-US" w:eastAsia="nl-NL"/>
              </w:rPr>
            </w:pPr>
            <w:r w:rsidRPr="00F3151A">
              <w:rPr>
                <w:rFonts w:ascii="Calibri" w:eastAsia="Times New Roman" w:hAnsi="Calibri" w:cs="Calibri"/>
                <w:b/>
                <w:bCs/>
                <w:color w:val="000000"/>
                <w:lang w:val="en-US" w:eastAsia="nl-NL"/>
              </w:rPr>
              <w:t xml:space="preserve">Table </w:t>
            </w:r>
            <w:r w:rsidR="00582220">
              <w:rPr>
                <w:rFonts w:ascii="Calibri" w:eastAsia="Times New Roman" w:hAnsi="Calibri" w:cs="Calibri"/>
                <w:b/>
                <w:bCs/>
                <w:color w:val="000000"/>
                <w:lang w:val="en-US" w:eastAsia="nl-NL"/>
              </w:rPr>
              <w:t>7</w:t>
            </w:r>
            <w:r w:rsidRPr="00F3151A">
              <w:rPr>
                <w:rFonts w:ascii="Calibri" w:eastAsia="Times New Roman" w:hAnsi="Calibri" w:cs="Calibri"/>
                <w:b/>
                <w:bCs/>
                <w:color w:val="000000"/>
                <w:lang w:val="en-US" w:eastAsia="nl-NL"/>
              </w:rPr>
              <w:t>: Descriptive statistics, The Underwriter Reputation Coefficient</w:t>
            </w:r>
          </w:p>
        </w:tc>
      </w:tr>
      <w:tr w:rsidR="00F3151A" w:rsidRPr="00F3151A" w:rsidTr="008A279D">
        <w:trPr>
          <w:trHeight w:val="315"/>
          <w:jc w:val="center"/>
        </w:trPr>
        <w:tc>
          <w:tcPr>
            <w:tcW w:w="1583"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Type</w:t>
            </w:r>
          </w:p>
        </w:tc>
        <w:tc>
          <w:tcPr>
            <w:tcW w:w="805"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Mean</w:t>
            </w:r>
          </w:p>
        </w:tc>
        <w:tc>
          <w:tcPr>
            <w:tcW w:w="917"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Median</w:t>
            </w:r>
          </w:p>
        </w:tc>
        <w:tc>
          <w:tcPr>
            <w:tcW w:w="889"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Min</w:t>
            </w:r>
          </w:p>
        </w:tc>
        <w:tc>
          <w:tcPr>
            <w:tcW w:w="805"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Max</w:t>
            </w:r>
          </w:p>
        </w:tc>
        <w:tc>
          <w:tcPr>
            <w:tcW w:w="805"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Stdev</w:t>
            </w:r>
          </w:p>
        </w:tc>
        <w:tc>
          <w:tcPr>
            <w:tcW w:w="1014"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 Papers</w:t>
            </w:r>
          </w:p>
        </w:tc>
        <w:tc>
          <w:tcPr>
            <w:tcW w:w="1350"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 Estimates</w:t>
            </w:r>
          </w:p>
        </w:tc>
        <w:tc>
          <w:tcPr>
            <w:tcW w:w="642"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 Pos</w:t>
            </w:r>
          </w:p>
        </w:tc>
        <w:tc>
          <w:tcPr>
            <w:tcW w:w="761"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 insig</w:t>
            </w:r>
          </w:p>
        </w:tc>
        <w:tc>
          <w:tcPr>
            <w:tcW w:w="689" w:type="dxa"/>
            <w:tcBorders>
              <w:top w:val="nil"/>
              <w:left w:val="nil"/>
              <w:bottom w:val="double" w:sz="6"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 Neg</w:t>
            </w:r>
          </w:p>
        </w:tc>
      </w:tr>
      <w:tr w:rsidR="00F3151A" w:rsidRPr="00F3151A" w:rsidTr="008A279D">
        <w:trPr>
          <w:trHeight w:val="315"/>
          <w:jc w:val="center"/>
        </w:trPr>
        <w:tc>
          <w:tcPr>
            <w:tcW w:w="1583"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rPr>
                <w:rFonts w:ascii="Calibri" w:eastAsia="Times New Roman" w:hAnsi="Calibri" w:cs="Calibri"/>
                <w:bCs/>
                <w:color w:val="000000"/>
                <w:lang w:eastAsia="nl-NL"/>
              </w:rPr>
            </w:pPr>
            <w:r w:rsidRPr="00F3151A">
              <w:rPr>
                <w:rFonts w:ascii="Calibri" w:eastAsia="Times New Roman" w:hAnsi="Calibri" w:cs="Calibri"/>
                <w:bCs/>
                <w:color w:val="000000"/>
                <w:lang w:eastAsia="nl-NL"/>
              </w:rPr>
              <w:t>C&amp;M</w:t>
            </w:r>
          </w:p>
        </w:tc>
        <w:tc>
          <w:tcPr>
            <w:tcW w:w="805" w:type="dxa"/>
            <w:tcBorders>
              <w:top w:val="nil"/>
              <w:left w:val="nil"/>
              <w:bottom w:val="nil"/>
              <w:right w:val="nil"/>
            </w:tcBorders>
            <w:shd w:val="clear" w:color="000000" w:fill="FFFFFF"/>
            <w:noWrap/>
            <w:vAlign w:val="bottom"/>
            <w:hideMark/>
          </w:tcPr>
          <w:p w:rsidR="00F3151A" w:rsidRPr="00F3151A" w:rsidRDefault="002B0354" w:rsidP="00F3151A">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0,0041</w:t>
            </w:r>
          </w:p>
        </w:tc>
        <w:tc>
          <w:tcPr>
            <w:tcW w:w="917"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0,0025</w:t>
            </w:r>
          </w:p>
        </w:tc>
        <w:tc>
          <w:tcPr>
            <w:tcW w:w="889" w:type="dxa"/>
            <w:tcBorders>
              <w:top w:val="nil"/>
              <w:left w:val="nil"/>
              <w:bottom w:val="nil"/>
              <w:right w:val="nil"/>
            </w:tcBorders>
            <w:shd w:val="clear" w:color="000000" w:fill="FFFFFF"/>
            <w:noWrap/>
            <w:vAlign w:val="bottom"/>
            <w:hideMark/>
          </w:tcPr>
          <w:p w:rsidR="00F3151A" w:rsidRPr="00F3151A" w:rsidRDefault="007E5C57" w:rsidP="00F3151A">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-0,022</w:t>
            </w:r>
            <w:r w:rsidR="00F3151A" w:rsidRPr="00F3151A">
              <w:rPr>
                <w:rFonts w:ascii="Calibri" w:eastAsia="Times New Roman" w:hAnsi="Calibri" w:cs="Calibri"/>
                <w:color w:val="000000"/>
                <w:lang w:eastAsia="nl-NL"/>
              </w:rPr>
              <w:t>0</w:t>
            </w:r>
          </w:p>
        </w:tc>
        <w:tc>
          <w:tcPr>
            <w:tcW w:w="805" w:type="dxa"/>
            <w:tcBorders>
              <w:top w:val="nil"/>
              <w:left w:val="nil"/>
              <w:bottom w:val="nil"/>
              <w:right w:val="nil"/>
            </w:tcBorders>
            <w:shd w:val="clear" w:color="000000" w:fill="FFFFFF"/>
            <w:noWrap/>
            <w:vAlign w:val="bottom"/>
            <w:hideMark/>
          </w:tcPr>
          <w:p w:rsidR="00F3151A" w:rsidRPr="00F3151A" w:rsidRDefault="002B0354" w:rsidP="00F3151A">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0,048</w:t>
            </w:r>
            <w:r w:rsidR="00F3151A" w:rsidRPr="00F3151A">
              <w:rPr>
                <w:rFonts w:ascii="Calibri" w:eastAsia="Times New Roman" w:hAnsi="Calibri" w:cs="Calibri"/>
                <w:color w:val="000000"/>
                <w:lang w:eastAsia="nl-NL"/>
              </w:rPr>
              <w:t>0</w:t>
            </w:r>
          </w:p>
        </w:tc>
        <w:tc>
          <w:tcPr>
            <w:tcW w:w="805" w:type="dxa"/>
            <w:tcBorders>
              <w:top w:val="nil"/>
              <w:left w:val="nil"/>
              <w:bottom w:val="nil"/>
              <w:right w:val="nil"/>
            </w:tcBorders>
            <w:shd w:val="clear" w:color="000000" w:fill="FFFFFF"/>
            <w:noWrap/>
            <w:vAlign w:val="bottom"/>
            <w:hideMark/>
          </w:tcPr>
          <w:p w:rsidR="00F3151A" w:rsidRPr="00F3151A" w:rsidRDefault="002B0354" w:rsidP="00F3151A">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0,0177</w:t>
            </w:r>
          </w:p>
        </w:tc>
        <w:tc>
          <w:tcPr>
            <w:tcW w:w="1014" w:type="dxa"/>
            <w:tcBorders>
              <w:top w:val="nil"/>
              <w:left w:val="nil"/>
              <w:bottom w:val="nil"/>
              <w:right w:val="nil"/>
            </w:tcBorders>
            <w:shd w:val="clear" w:color="000000" w:fill="FFFFFF"/>
            <w:noWrap/>
            <w:vAlign w:val="bottom"/>
            <w:hideMark/>
          </w:tcPr>
          <w:p w:rsidR="00F3151A" w:rsidRPr="00F3151A" w:rsidRDefault="007E5C57" w:rsidP="00F3151A">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19</w:t>
            </w:r>
          </w:p>
        </w:tc>
        <w:tc>
          <w:tcPr>
            <w:tcW w:w="1350" w:type="dxa"/>
            <w:tcBorders>
              <w:top w:val="nil"/>
              <w:left w:val="nil"/>
              <w:bottom w:val="nil"/>
              <w:right w:val="nil"/>
            </w:tcBorders>
            <w:shd w:val="clear" w:color="000000" w:fill="FFFFFF"/>
            <w:noWrap/>
            <w:vAlign w:val="bottom"/>
            <w:hideMark/>
          </w:tcPr>
          <w:p w:rsidR="00F3151A" w:rsidRPr="00F3151A" w:rsidRDefault="007E5C57" w:rsidP="00F3151A">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49</w:t>
            </w:r>
          </w:p>
        </w:tc>
        <w:tc>
          <w:tcPr>
            <w:tcW w:w="642"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13</w:t>
            </w:r>
          </w:p>
        </w:tc>
        <w:tc>
          <w:tcPr>
            <w:tcW w:w="761" w:type="dxa"/>
            <w:tcBorders>
              <w:top w:val="nil"/>
              <w:left w:val="nil"/>
              <w:bottom w:val="nil"/>
              <w:right w:val="nil"/>
            </w:tcBorders>
            <w:shd w:val="clear" w:color="000000" w:fill="FFFFFF"/>
            <w:noWrap/>
            <w:vAlign w:val="bottom"/>
            <w:hideMark/>
          </w:tcPr>
          <w:p w:rsidR="00F3151A" w:rsidRPr="00F3151A" w:rsidRDefault="00F3151A" w:rsidP="007E5C57">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2</w:t>
            </w:r>
            <w:r w:rsidR="007E5C57">
              <w:rPr>
                <w:rFonts w:ascii="Calibri" w:eastAsia="Times New Roman" w:hAnsi="Calibri" w:cs="Calibri"/>
                <w:color w:val="000000"/>
                <w:lang w:eastAsia="nl-NL"/>
              </w:rPr>
              <w:t>0</w:t>
            </w:r>
          </w:p>
        </w:tc>
        <w:tc>
          <w:tcPr>
            <w:tcW w:w="689"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16</w:t>
            </w:r>
          </w:p>
        </w:tc>
      </w:tr>
      <w:tr w:rsidR="00F3151A" w:rsidRPr="00F3151A" w:rsidTr="008A279D">
        <w:trPr>
          <w:trHeight w:val="300"/>
          <w:jc w:val="center"/>
        </w:trPr>
        <w:tc>
          <w:tcPr>
            <w:tcW w:w="1583"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rPr>
                <w:rFonts w:ascii="Calibri" w:eastAsia="Times New Roman" w:hAnsi="Calibri" w:cs="Calibri"/>
                <w:bCs/>
                <w:color w:val="000000"/>
                <w:lang w:eastAsia="nl-NL"/>
              </w:rPr>
            </w:pPr>
            <w:r w:rsidRPr="00F3151A">
              <w:rPr>
                <w:rFonts w:ascii="Calibri" w:eastAsia="Times New Roman" w:hAnsi="Calibri" w:cs="Calibri"/>
                <w:bCs/>
                <w:color w:val="000000"/>
                <w:lang w:eastAsia="nl-NL"/>
              </w:rPr>
              <w:t>C&amp;M Dummy</w:t>
            </w:r>
          </w:p>
        </w:tc>
        <w:tc>
          <w:tcPr>
            <w:tcW w:w="805"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0,0065</w:t>
            </w:r>
          </w:p>
        </w:tc>
        <w:tc>
          <w:tcPr>
            <w:tcW w:w="917"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0,0000</w:t>
            </w:r>
          </w:p>
        </w:tc>
        <w:tc>
          <w:tcPr>
            <w:tcW w:w="889"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-0,1700</w:t>
            </w:r>
          </w:p>
        </w:tc>
        <w:tc>
          <w:tcPr>
            <w:tcW w:w="805"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0,2385</w:t>
            </w:r>
          </w:p>
        </w:tc>
        <w:tc>
          <w:tcPr>
            <w:tcW w:w="805"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0,0759</w:t>
            </w:r>
          </w:p>
        </w:tc>
        <w:tc>
          <w:tcPr>
            <w:tcW w:w="1014"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7</w:t>
            </w:r>
          </w:p>
        </w:tc>
        <w:tc>
          <w:tcPr>
            <w:tcW w:w="1350"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29</w:t>
            </w:r>
          </w:p>
        </w:tc>
        <w:tc>
          <w:tcPr>
            <w:tcW w:w="642"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9</w:t>
            </w:r>
          </w:p>
        </w:tc>
        <w:tc>
          <w:tcPr>
            <w:tcW w:w="761"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10</w:t>
            </w:r>
          </w:p>
        </w:tc>
        <w:tc>
          <w:tcPr>
            <w:tcW w:w="689" w:type="dxa"/>
            <w:tcBorders>
              <w:top w:val="nil"/>
              <w:left w:val="nil"/>
              <w:bottom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10</w:t>
            </w:r>
          </w:p>
        </w:tc>
      </w:tr>
      <w:tr w:rsidR="00F3151A" w:rsidRPr="00F3151A" w:rsidTr="00E140D4">
        <w:trPr>
          <w:trHeight w:val="300"/>
          <w:jc w:val="center"/>
        </w:trPr>
        <w:tc>
          <w:tcPr>
            <w:tcW w:w="1583" w:type="dxa"/>
            <w:tcBorders>
              <w:top w:val="nil"/>
              <w:left w:val="nil"/>
              <w:right w:val="nil"/>
            </w:tcBorders>
            <w:shd w:val="clear" w:color="000000" w:fill="FFFFFF"/>
            <w:noWrap/>
            <w:vAlign w:val="bottom"/>
            <w:hideMark/>
          </w:tcPr>
          <w:p w:rsidR="00F3151A" w:rsidRPr="00F3151A" w:rsidRDefault="00F3151A" w:rsidP="00F3151A">
            <w:pPr>
              <w:spacing w:after="0" w:line="240" w:lineRule="auto"/>
              <w:rPr>
                <w:rFonts w:ascii="Calibri" w:eastAsia="Times New Roman" w:hAnsi="Calibri" w:cs="Calibri"/>
                <w:bCs/>
                <w:color w:val="000000"/>
                <w:lang w:eastAsia="nl-NL"/>
              </w:rPr>
            </w:pPr>
            <w:r w:rsidRPr="00F3151A">
              <w:rPr>
                <w:rFonts w:ascii="Calibri" w:eastAsia="Times New Roman" w:hAnsi="Calibri" w:cs="Calibri"/>
                <w:bCs/>
                <w:color w:val="000000"/>
                <w:lang w:eastAsia="nl-NL"/>
              </w:rPr>
              <w:t>Other</w:t>
            </w:r>
          </w:p>
        </w:tc>
        <w:tc>
          <w:tcPr>
            <w:tcW w:w="805" w:type="dxa"/>
            <w:tcBorders>
              <w:top w:val="nil"/>
              <w:left w:val="nil"/>
              <w:right w:val="nil"/>
            </w:tcBorders>
            <w:shd w:val="clear" w:color="000000" w:fill="FFFFFF"/>
            <w:noWrap/>
            <w:vAlign w:val="bottom"/>
            <w:hideMark/>
          </w:tcPr>
          <w:p w:rsidR="00F3151A" w:rsidRPr="00F3151A" w:rsidRDefault="00F3151A" w:rsidP="00F04494">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w:t>
            </w:r>
          </w:p>
        </w:tc>
        <w:tc>
          <w:tcPr>
            <w:tcW w:w="917" w:type="dxa"/>
            <w:tcBorders>
              <w:top w:val="nil"/>
              <w:left w:val="nil"/>
              <w:right w:val="nil"/>
            </w:tcBorders>
            <w:shd w:val="clear" w:color="000000" w:fill="FFFFFF"/>
            <w:noWrap/>
            <w:vAlign w:val="bottom"/>
            <w:hideMark/>
          </w:tcPr>
          <w:p w:rsidR="00F3151A" w:rsidRPr="00F3151A" w:rsidRDefault="00F3151A" w:rsidP="00F04494">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w:t>
            </w:r>
          </w:p>
        </w:tc>
        <w:tc>
          <w:tcPr>
            <w:tcW w:w="889" w:type="dxa"/>
            <w:tcBorders>
              <w:top w:val="nil"/>
              <w:left w:val="nil"/>
              <w:right w:val="nil"/>
            </w:tcBorders>
            <w:shd w:val="clear" w:color="000000" w:fill="FFFFFF"/>
            <w:noWrap/>
            <w:vAlign w:val="bottom"/>
            <w:hideMark/>
          </w:tcPr>
          <w:p w:rsidR="00F3151A" w:rsidRPr="00F3151A" w:rsidRDefault="00F3151A" w:rsidP="00F04494">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w:t>
            </w:r>
          </w:p>
        </w:tc>
        <w:tc>
          <w:tcPr>
            <w:tcW w:w="805" w:type="dxa"/>
            <w:tcBorders>
              <w:top w:val="nil"/>
              <w:left w:val="nil"/>
              <w:right w:val="nil"/>
            </w:tcBorders>
            <w:shd w:val="clear" w:color="000000" w:fill="FFFFFF"/>
            <w:noWrap/>
            <w:vAlign w:val="bottom"/>
            <w:hideMark/>
          </w:tcPr>
          <w:p w:rsidR="00F3151A" w:rsidRPr="00F3151A" w:rsidRDefault="00F3151A" w:rsidP="00F04494">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w:t>
            </w:r>
          </w:p>
        </w:tc>
        <w:tc>
          <w:tcPr>
            <w:tcW w:w="805" w:type="dxa"/>
            <w:tcBorders>
              <w:top w:val="nil"/>
              <w:left w:val="nil"/>
              <w:right w:val="nil"/>
            </w:tcBorders>
            <w:shd w:val="clear" w:color="000000" w:fill="FFFFFF"/>
            <w:noWrap/>
            <w:vAlign w:val="bottom"/>
            <w:hideMark/>
          </w:tcPr>
          <w:p w:rsidR="00F3151A" w:rsidRPr="00F3151A" w:rsidRDefault="00F3151A" w:rsidP="00F04494">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 </w:t>
            </w:r>
            <w:r w:rsidR="00F04494">
              <w:rPr>
                <w:rFonts w:ascii="Calibri" w:eastAsia="Times New Roman" w:hAnsi="Calibri" w:cs="Calibri"/>
                <w:b/>
                <w:bCs/>
                <w:color w:val="000000"/>
                <w:lang w:eastAsia="nl-NL"/>
              </w:rPr>
              <w:t>-</w:t>
            </w:r>
          </w:p>
        </w:tc>
        <w:tc>
          <w:tcPr>
            <w:tcW w:w="1014" w:type="dxa"/>
            <w:tcBorders>
              <w:top w:val="nil"/>
              <w:left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6</w:t>
            </w:r>
          </w:p>
        </w:tc>
        <w:tc>
          <w:tcPr>
            <w:tcW w:w="1350" w:type="dxa"/>
            <w:tcBorders>
              <w:top w:val="nil"/>
              <w:left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29</w:t>
            </w:r>
          </w:p>
        </w:tc>
        <w:tc>
          <w:tcPr>
            <w:tcW w:w="642" w:type="dxa"/>
            <w:tcBorders>
              <w:top w:val="nil"/>
              <w:left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16</w:t>
            </w:r>
          </w:p>
        </w:tc>
        <w:tc>
          <w:tcPr>
            <w:tcW w:w="761" w:type="dxa"/>
            <w:tcBorders>
              <w:top w:val="nil"/>
              <w:left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8</w:t>
            </w:r>
          </w:p>
        </w:tc>
        <w:tc>
          <w:tcPr>
            <w:tcW w:w="689" w:type="dxa"/>
            <w:tcBorders>
              <w:top w:val="nil"/>
              <w:left w:val="nil"/>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5</w:t>
            </w:r>
          </w:p>
        </w:tc>
      </w:tr>
      <w:tr w:rsidR="00F3151A" w:rsidRPr="00F3151A" w:rsidTr="00E140D4">
        <w:trPr>
          <w:trHeight w:val="300"/>
          <w:jc w:val="center"/>
        </w:trPr>
        <w:tc>
          <w:tcPr>
            <w:tcW w:w="1583" w:type="dxa"/>
            <w:tcBorders>
              <w:top w:val="nil"/>
              <w:left w:val="nil"/>
              <w:bottom w:val="single" w:sz="4" w:space="0" w:color="auto"/>
              <w:right w:val="nil"/>
            </w:tcBorders>
            <w:shd w:val="clear" w:color="000000" w:fill="FFFFFF"/>
            <w:noWrap/>
            <w:vAlign w:val="bottom"/>
            <w:hideMark/>
          </w:tcPr>
          <w:p w:rsidR="00F3151A" w:rsidRPr="00F3151A" w:rsidRDefault="00F3151A" w:rsidP="00F3151A">
            <w:pPr>
              <w:spacing w:after="0" w:line="240" w:lineRule="auto"/>
              <w:rPr>
                <w:rFonts w:ascii="Calibri" w:eastAsia="Times New Roman" w:hAnsi="Calibri" w:cs="Calibri"/>
                <w:bCs/>
                <w:color w:val="000000"/>
                <w:lang w:eastAsia="nl-NL"/>
              </w:rPr>
            </w:pPr>
            <w:r w:rsidRPr="00F3151A">
              <w:rPr>
                <w:rFonts w:ascii="Calibri" w:eastAsia="Times New Roman" w:hAnsi="Calibri" w:cs="Calibri"/>
                <w:bCs/>
                <w:color w:val="000000"/>
                <w:lang w:eastAsia="nl-NL"/>
              </w:rPr>
              <w:t>Total</w:t>
            </w:r>
          </w:p>
        </w:tc>
        <w:tc>
          <w:tcPr>
            <w:tcW w:w="805" w:type="dxa"/>
            <w:tcBorders>
              <w:top w:val="nil"/>
              <w:left w:val="nil"/>
              <w:bottom w:val="single" w:sz="4" w:space="0" w:color="auto"/>
              <w:right w:val="nil"/>
            </w:tcBorders>
            <w:shd w:val="clear" w:color="000000" w:fill="FFFFFF"/>
            <w:noWrap/>
            <w:vAlign w:val="bottom"/>
            <w:hideMark/>
          </w:tcPr>
          <w:p w:rsidR="00F3151A" w:rsidRPr="00F3151A" w:rsidRDefault="00F3151A" w:rsidP="00F04494">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w:t>
            </w:r>
          </w:p>
        </w:tc>
        <w:tc>
          <w:tcPr>
            <w:tcW w:w="917" w:type="dxa"/>
            <w:tcBorders>
              <w:top w:val="nil"/>
              <w:left w:val="nil"/>
              <w:bottom w:val="single" w:sz="4" w:space="0" w:color="auto"/>
              <w:right w:val="nil"/>
            </w:tcBorders>
            <w:shd w:val="clear" w:color="000000" w:fill="FFFFFF"/>
            <w:noWrap/>
            <w:vAlign w:val="bottom"/>
            <w:hideMark/>
          </w:tcPr>
          <w:p w:rsidR="00F3151A" w:rsidRPr="00F3151A" w:rsidRDefault="00F3151A" w:rsidP="00F04494">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w:t>
            </w:r>
          </w:p>
        </w:tc>
        <w:tc>
          <w:tcPr>
            <w:tcW w:w="889" w:type="dxa"/>
            <w:tcBorders>
              <w:top w:val="nil"/>
              <w:left w:val="nil"/>
              <w:bottom w:val="single" w:sz="4" w:space="0" w:color="auto"/>
              <w:right w:val="nil"/>
            </w:tcBorders>
            <w:shd w:val="clear" w:color="000000" w:fill="FFFFFF"/>
            <w:noWrap/>
            <w:vAlign w:val="bottom"/>
            <w:hideMark/>
          </w:tcPr>
          <w:p w:rsidR="00F3151A" w:rsidRPr="00F3151A" w:rsidRDefault="00F3151A" w:rsidP="00F04494">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w:t>
            </w:r>
          </w:p>
        </w:tc>
        <w:tc>
          <w:tcPr>
            <w:tcW w:w="805" w:type="dxa"/>
            <w:tcBorders>
              <w:top w:val="nil"/>
              <w:left w:val="nil"/>
              <w:bottom w:val="single" w:sz="4" w:space="0" w:color="auto"/>
              <w:right w:val="nil"/>
            </w:tcBorders>
            <w:shd w:val="clear" w:color="000000" w:fill="FFFFFF"/>
            <w:noWrap/>
            <w:vAlign w:val="bottom"/>
            <w:hideMark/>
          </w:tcPr>
          <w:p w:rsidR="00F3151A" w:rsidRPr="00F3151A" w:rsidRDefault="00F3151A" w:rsidP="00F04494">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w:t>
            </w:r>
          </w:p>
        </w:tc>
        <w:tc>
          <w:tcPr>
            <w:tcW w:w="805" w:type="dxa"/>
            <w:tcBorders>
              <w:top w:val="nil"/>
              <w:left w:val="nil"/>
              <w:bottom w:val="single" w:sz="4" w:space="0" w:color="auto"/>
              <w:right w:val="nil"/>
            </w:tcBorders>
            <w:shd w:val="clear" w:color="000000" w:fill="FFFFFF"/>
            <w:noWrap/>
            <w:vAlign w:val="bottom"/>
            <w:hideMark/>
          </w:tcPr>
          <w:p w:rsidR="00F3151A" w:rsidRPr="00F3151A" w:rsidRDefault="00F3151A" w:rsidP="00F04494">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 </w:t>
            </w:r>
            <w:r w:rsidR="00F04494">
              <w:rPr>
                <w:rFonts w:ascii="Calibri" w:eastAsia="Times New Roman" w:hAnsi="Calibri" w:cs="Calibri"/>
                <w:b/>
                <w:bCs/>
                <w:color w:val="000000"/>
                <w:lang w:eastAsia="nl-NL"/>
              </w:rPr>
              <w:t>-</w:t>
            </w:r>
          </w:p>
        </w:tc>
        <w:tc>
          <w:tcPr>
            <w:tcW w:w="1014" w:type="dxa"/>
            <w:tcBorders>
              <w:top w:val="nil"/>
              <w:left w:val="nil"/>
              <w:bottom w:val="single" w:sz="4" w:space="0" w:color="auto"/>
              <w:right w:val="nil"/>
            </w:tcBorders>
            <w:shd w:val="clear" w:color="000000" w:fill="FFFFFF"/>
            <w:noWrap/>
            <w:vAlign w:val="bottom"/>
            <w:hideMark/>
          </w:tcPr>
          <w:p w:rsidR="00F3151A" w:rsidRPr="00F3151A" w:rsidRDefault="00F3151A" w:rsidP="007E5C57">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3</w:t>
            </w:r>
            <w:r w:rsidR="007E5C57">
              <w:rPr>
                <w:rFonts w:ascii="Calibri" w:eastAsia="Times New Roman" w:hAnsi="Calibri" w:cs="Calibri"/>
                <w:color w:val="000000"/>
                <w:lang w:eastAsia="nl-NL"/>
              </w:rPr>
              <w:t>2</w:t>
            </w:r>
          </w:p>
        </w:tc>
        <w:tc>
          <w:tcPr>
            <w:tcW w:w="1350" w:type="dxa"/>
            <w:tcBorders>
              <w:top w:val="nil"/>
              <w:left w:val="nil"/>
              <w:bottom w:val="single" w:sz="4" w:space="0" w:color="auto"/>
              <w:right w:val="nil"/>
            </w:tcBorders>
            <w:shd w:val="clear" w:color="000000" w:fill="FFFFFF"/>
            <w:noWrap/>
            <w:vAlign w:val="bottom"/>
            <w:hideMark/>
          </w:tcPr>
          <w:p w:rsidR="00F3151A" w:rsidRPr="00F3151A" w:rsidRDefault="00F3151A" w:rsidP="007E5C57">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10</w:t>
            </w:r>
            <w:r w:rsidR="007E5C57">
              <w:rPr>
                <w:rFonts w:ascii="Calibri" w:eastAsia="Times New Roman" w:hAnsi="Calibri" w:cs="Calibri"/>
                <w:color w:val="000000"/>
                <w:lang w:eastAsia="nl-NL"/>
              </w:rPr>
              <w:t>7</w:t>
            </w:r>
          </w:p>
        </w:tc>
        <w:tc>
          <w:tcPr>
            <w:tcW w:w="642" w:type="dxa"/>
            <w:tcBorders>
              <w:top w:val="nil"/>
              <w:left w:val="nil"/>
              <w:bottom w:val="single" w:sz="4"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38</w:t>
            </w:r>
          </w:p>
        </w:tc>
        <w:tc>
          <w:tcPr>
            <w:tcW w:w="761" w:type="dxa"/>
            <w:tcBorders>
              <w:top w:val="nil"/>
              <w:left w:val="nil"/>
              <w:bottom w:val="single" w:sz="4" w:space="0" w:color="auto"/>
              <w:right w:val="nil"/>
            </w:tcBorders>
            <w:shd w:val="clear" w:color="000000" w:fill="FFFFFF"/>
            <w:noWrap/>
            <w:vAlign w:val="bottom"/>
            <w:hideMark/>
          </w:tcPr>
          <w:p w:rsidR="00F3151A" w:rsidRPr="00F3151A" w:rsidRDefault="007E5C57" w:rsidP="00F3151A">
            <w:pPr>
              <w:spacing w:after="0" w:line="240" w:lineRule="auto"/>
              <w:jc w:val="right"/>
              <w:rPr>
                <w:rFonts w:ascii="Calibri" w:eastAsia="Times New Roman" w:hAnsi="Calibri" w:cs="Calibri"/>
                <w:color w:val="000000"/>
                <w:lang w:eastAsia="nl-NL"/>
              </w:rPr>
            </w:pPr>
            <w:r>
              <w:rPr>
                <w:rFonts w:ascii="Calibri" w:eastAsia="Times New Roman" w:hAnsi="Calibri" w:cs="Calibri"/>
                <w:color w:val="000000"/>
                <w:lang w:eastAsia="nl-NL"/>
              </w:rPr>
              <w:t>38</w:t>
            </w:r>
          </w:p>
        </w:tc>
        <w:tc>
          <w:tcPr>
            <w:tcW w:w="689" w:type="dxa"/>
            <w:tcBorders>
              <w:top w:val="nil"/>
              <w:left w:val="nil"/>
              <w:bottom w:val="single" w:sz="4" w:space="0" w:color="auto"/>
              <w:right w:val="nil"/>
            </w:tcBorders>
            <w:shd w:val="clear" w:color="000000" w:fill="FFFFFF"/>
            <w:noWrap/>
            <w:vAlign w:val="bottom"/>
            <w:hideMark/>
          </w:tcPr>
          <w:p w:rsidR="00F3151A" w:rsidRPr="00F3151A" w:rsidRDefault="00F3151A" w:rsidP="00F3151A">
            <w:pPr>
              <w:spacing w:after="0" w:line="240" w:lineRule="auto"/>
              <w:jc w:val="right"/>
              <w:rPr>
                <w:rFonts w:ascii="Calibri" w:eastAsia="Times New Roman" w:hAnsi="Calibri" w:cs="Calibri"/>
                <w:color w:val="000000"/>
                <w:lang w:eastAsia="nl-NL"/>
              </w:rPr>
            </w:pPr>
            <w:r w:rsidRPr="00F3151A">
              <w:rPr>
                <w:rFonts w:ascii="Calibri" w:eastAsia="Times New Roman" w:hAnsi="Calibri" w:cs="Calibri"/>
                <w:color w:val="000000"/>
                <w:lang w:eastAsia="nl-NL"/>
              </w:rPr>
              <w:t>31</w:t>
            </w:r>
          </w:p>
        </w:tc>
      </w:tr>
    </w:tbl>
    <w:p w:rsidR="00EC2068" w:rsidRDefault="00EC2068" w:rsidP="002E4F52">
      <w:pPr>
        <w:spacing w:after="0" w:line="240" w:lineRule="auto"/>
        <w:jc w:val="center"/>
        <w:rPr>
          <w:sz w:val="18"/>
          <w:szCs w:val="18"/>
          <w:lang w:val="en-US"/>
        </w:rPr>
      </w:pPr>
    </w:p>
    <w:p w:rsidR="002E4F52" w:rsidRPr="00264294" w:rsidRDefault="002E4F52" w:rsidP="00BB06C6">
      <w:pPr>
        <w:spacing w:after="0" w:line="240" w:lineRule="auto"/>
        <w:jc w:val="both"/>
        <w:rPr>
          <w:rFonts w:ascii="Calibri" w:eastAsia="Times New Roman" w:hAnsi="Calibri" w:cs="Calibri"/>
          <w:b/>
          <w:bCs/>
          <w:color w:val="000000"/>
          <w:lang w:val="en-US" w:eastAsia="nl-NL"/>
        </w:rPr>
      </w:pPr>
      <w:r>
        <w:rPr>
          <w:sz w:val="18"/>
          <w:szCs w:val="18"/>
          <w:lang w:val="en-US"/>
        </w:rPr>
        <w:t xml:space="preserve">Table </w:t>
      </w:r>
      <w:r w:rsidR="00582220">
        <w:rPr>
          <w:sz w:val="18"/>
          <w:szCs w:val="18"/>
          <w:lang w:val="en-US"/>
        </w:rPr>
        <w:t>7</w:t>
      </w:r>
      <w:r>
        <w:rPr>
          <w:sz w:val="18"/>
          <w:szCs w:val="18"/>
          <w:lang w:val="en-US"/>
        </w:rPr>
        <w:t xml:space="preserve"> shows descriptive statistics of the dependent variable ‘Carter &amp; Manaster</w:t>
      </w:r>
      <w:r w:rsidR="004A45F3">
        <w:rPr>
          <w:sz w:val="18"/>
          <w:szCs w:val="18"/>
          <w:lang w:val="en-US"/>
        </w:rPr>
        <w:t xml:space="preserve"> (C&amp;M)</w:t>
      </w:r>
      <w:r>
        <w:rPr>
          <w:sz w:val="18"/>
          <w:szCs w:val="18"/>
          <w:lang w:val="en-US"/>
        </w:rPr>
        <w:t xml:space="preserve"> underwriter reputation’ used in the MRA. </w:t>
      </w:r>
      <w:r w:rsidR="00007B04">
        <w:rPr>
          <w:sz w:val="18"/>
          <w:szCs w:val="18"/>
          <w:lang w:val="en-US"/>
        </w:rPr>
        <w:t>I</w:t>
      </w:r>
      <w:r w:rsidR="007F0F4F">
        <w:rPr>
          <w:sz w:val="18"/>
          <w:szCs w:val="18"/>
          <w:lang w:val="en-US"/>
        </w:rPr>
        <w:t>n the original regressions</w:t>
      </w:r>
      <w:r w:rsidR="00007B04">
        <w:rPr>
          <w:sz w:val="18"/>
          <w:szCs w:val="18"/>
          <w:lang w:val="en-US"/>
        </w:rPr>
        <w:t>, the C&amp;M variable</w:t>
      </w:r>
      <w:r w:rsidR="009362BF">
        <w:rPr>
          <w:sz w:val="18"/>
          <w:szCs w:val="18"/>
          <w:lang w:val="en-US"/>
        </w:rPr>
        <w:t xml:space="preserve"> ranges from 0 to 9, with 0 indicating an unranked bank and 9 indicating a top rank investment bank. </w:t>
      </w:r>
      <w:r w:rsidR="00007B04">
        <w:rPr>
          <w:sz w:val="18"/>
          <w:szCs w:val="18"/>
          <w:lang w:val="en-US"/>
        </w:rPr>
        <w:t xml:space="preserve">The </w:t>
      </w:r>
      <w:r>
        <w:rPr>
          <w:sz w:val="18"/>
          <w:szCs w:val="18"/>
          <w:lang w:val="en-US"/>
        </w:rPr>
        <w:t>C&amp;M dummy shows descriptive statistics of the coefficients for Carter &amp; Manaster underwriter reputation dummies. The dummy</w:t>
      </w:r>
      <w:r w:rsidR="009362BF">
        <w:rPr>
          <w:sz w:val="18"/>
          <w:szCs w:val="18"/>
          <w:lang w:val="en-US"/>
        </w:rPr>
        <w:t xml:space="preserve"> in the original regressions </w:t>
      </w:r>
      <w:r>
        <w:rPr>
          <w:sz w:val="18"/>
          <w:szCs w:val="18"/>
          <w:lang w:val="en-US"/>
        </w:rPr>
        <w:t xml:space="preserve">takes the value of 1 if the C&amp;M rank is higher than 7. Both the C&amp;M dummy coefficients and the coefficients of other underwriter reputation measurements are </w:t>
      </w:r>
      <w:r w:rsidR="00EC2068">
        <w:rPr>
          <w:sz w:val="18"/>
          <w:szCs w:val="18"/>
          <w:lang w:val="en-US"/>
        </w:rPr>
        <w:t>not included in the MRA and</w:t>
      </w:r>
      <w:r w:rsidR="00D320D0">
        <w:rPr>
          <w:sz w:val="18"/>
          <w:szCs w:val="18"/>
          <w:lang w:val="en-US"/>
        </w:rPr>
        <w:t xml:space="preserve"> are</w:t>
      </w:r>
      <w:r w:rsidR="00EC2068">
        <w:rPr>
          <w:sz w:val="18"/>
          <w:szCs w:val="18"/>
          <w:lang w:val="en-US"/>
        </w:rPr>
        <w:t xml:space="preserve"> shown for illustrative purposes.</w:t>
      </w:r>
      <w:r>
        <w:rPr>
          <w:sz w:val="18"/>
          <w:szCs w:val="18"/>
          <w:lang w:val="en-US"/>
        </w:rPr>
        <w:t xml:space="preserve"> The table shows the standard deviations, mean, median, minimum and maximum values.  </w:t>
      </w:r>
      <w:r w:rsidRPr="00264294">
        <w:rPr>
          <w:rFonts w:ascii="Calibri" w:eastAsia="Times New Roman" w:hAnsi="Calibri" w:cs="Calibri"/>
          <w:bCs/>
          <w:color w:val="000000"/>
          <w:sz w:val="18"/>
          <w:szCs w:val="18"/>
          <w:lang w:val="en-US" w:eastAsia="nl-NL"/>
        </w:rPr>
        <w:t xml:space="preserve"># Papers </w:t>
      </w:r>
      <w:r>
        <w:rPr>
          <w:rFonts w:ascii="Calibri" w:eastAsia="Times New Roman" w:hAnsi="Calibri" w:cs="Calibri"/>
          <w:bCs/>
          <w:color w:val="000000"/>
          <w:sz w:val="18"/>
          <w:szCs w:val="18"/>
          <w:lang w:val="en-US" w:eastAsia="nl-NL"/>
        </w:rPr>
        <w:t>indicates</w:t>
      </w:r>
      <w:r w:rsidRPr="00264294">
        <w:rPr>
          <w:rFonts w:ascii="Calibri" w:eastAsia="Times New Roman" w:hAnsi="Calibri" w:cs="Calibri"/>
          <w:bCs/>
          <w:color w:val="000000"/>
          <w:sz w:val="18"/>
          <w:szCs w:val="18"/>
          <w:lang w:val="en-US" w:eastAsia="nl-NL"/>
        </w:rPr>
        <w:t xml:space="preserve"> the number of papers from </w:t>
      </w:r>
      <w:r w:rsidR="005B3316">
        <w:rPr>
          <w:rFonts w:ascii="Calibri" w:eastAsia="Times New Roman" w:hAnsi="Calibri" w:cs="Calibri"/>
          <w:bCs/>
          <w:color w:val="000000"/>
          <w:sz w:val="18"/>
          <w:szCs w:val="18"/>
          <w:lang w:val="en-US" w:eastAsia="nl-NL"/>
        </w:rPr>
        <w:t xml:space="preserve">which </w:t>
      </w:r>
      <w:r w:rsidRPr="00264294">
        <w:rPr>
          <w:rFonts w:ascii="Calibri" w:eastAsia="Times New Roman" w:hAnsi="Calibri" w:cs="Calibri"/>
          <w:bCs/>
          <w:color w:val="000000"/>
          <w:sz w:val="18"/>
          <w:szCs w:val="18"/>
          <w:lang w:val="en-US" w:eastAsia="nl-NL"/>
        </w:rPr>
        <w:t xml:space="preserve">the coefficients </w:t>
      </w:r>
      <w:r w:rsidR="00F60D5F">
        <w:rPr>
          <w:rFonts w:ascii="Calibri" w:eastAsia="Times New Roman" w:hAnsi="Calibri" w:cs="Calibri"/>
          <w:bCs/>
          <w:color w:val="000000"/>
          <w:sz w:val="18"/>
          <w:szCs w:val="18"/>
          <w:lang w:val="en-US" w:eastAsia="nl-NL"/>
        </w:rPr>
        <w:t>were</w:t>
      </w:r>
      <w:r w:rsidRPr="00264294">
        <w:rPr>
          <w:rFonts w:ascii="Calibri" w:eastAsia="Times New Roman" w:hAnsi="Calibri" w:cs="Calibri"/>
          <w:bCs/>
          <w:color w:val="000000"/>
          <w:sz w:val="18"/>
          <w:szCs w:val="18"/>
          <w:lang w:val="en-US" w:eastAsia="nl-NL"/>
        </w:rPr>
        <w:t xml:space="preserve"> obtained. # Estimates </w:t>
      </w:r>
      <w:r>
        <w:rPr>
          <w:rFonts w:ascii="Calibri" w:eastAsia="Times New Roman" w:hAnsi="Calibri" w:cs="Calibri"/>
          <w:bCs/>
          <w:color w:val="000000"/>
          <w:sz w:val="18"/>
          <w:szCs w:val="18"/>
          <w:lang w:val="en-US" w:eastAsia="nl-NL"/>
        </w:rPr>
        <w:t>indicate</w:t>
      </w:r>
      <w:r w:rsidRPr="00264294">
        <w:rPr>
          <w:rFonts w:ascii="Calibri" w:eastAsia="Times New Roman" w:hAnsi="Calibri" w:cs="Calibri"/>
          <w:bCs/>
          <w:color w:val="000000"/>
          <w:sz w:val="18"/>
          <w:szCs w:val="18"/>
          <w:lang w:val="en-US" w:eastAsia="nl-NL"/>
        </w:rPr>
        <w:t xml:space="preserve">s the number of coefficients obtained from the included papers. </w:t>
      </w:r>
      <w:r>
        <w:rPr>
          <w:rFonts w:ascii="Calibri" w:eastAsia="Times New Roman" w:hAnsi="Calibri" w:cs="Calibri"/>
          <w:bCs/>
          <w:color w:val="000000"/>
          <w:sz w:val="18"/>
          <w:szCs w:val="18"/>
          <w:lang w:val="en-US" w:eastAsia="nl-NL"/>
        </w:rPr>
        <w:t># Pos, # insig and # Neg, show the number of coefficients that are either</w:t>
      </w:r>
      <w:r w:rsidR="005B3316">
        <w:rPr>
          <w:rFonts w:ascii="Calibri" w:eastAsia="Times New Roman" w:hAnsi="Calibri" w:cs="Calibri"/>
          <w:bCs/>
          <w:color w:val="000000"/>
          <w:sz w:val="18"/>
          <w:szCs w:val="18"/>
          <w:lang w:val="en-US" w:eastAsia="nl-NL"/>
        </w:rPr>
        <w:t>,</w:t>
      </w:r>
      <w:r>
        <w:rPr>
          <w:rFonts w:ascii="Calibri" w:eastAsia="Times New Roman" w:hAnsi="Calibri" w:cs="Calibri"/>
          <w:bCs/>
          <w:color w:val="000000"/>
          <w:sz w:val="18"/>
          <w:szCs w:val="18"/>
          <w:lang w:val="en-US" w:eastAsia="nl-NL"/>
        </w:rPr>
        <w:t xml:space="preserve"> positive and significant on the 5% level, insignificant, or negative and significant on the 5% level.</w:t>
      </w:r>
    </w:p>
    <w:p w:rsidR="007675A0" w:rsidRDefault="007675A0" w:rsidP="007675A0">
      <w:pPr>
        <w:spacing w:after="0" w:line="240" w:lineRule="auto"/>
        <w:rPr>
          <w:lang w:val="en-US"/>
        </w:rPr>
      </w:pPr>
    </w:p>
    <w:p w:rsidR="002E4F52" w:rsidRDefault="002E4F52" w:rsidP="007675A0">
      <w:pPr>
        <w:spacing w:after="0" w:line="240" w:lineRule="auto"/>
        <w:rPr>
          <w:lang w:val="en-US"/>
        </w:rPr>
      </w:pPr>
    </w:p>
    <w:p w:rsidR="007675A0" w:rsidRDefault="005B1B11" w:rsidP="007675A0">
      <w:pPr>
        <w:spacing w:line="360" w:lineRule="auto"/>
        <w:rPr>
          <w:lang w:val="en-US"/>
        </w:rPr>
      </w:pPr>
      <w:r>
        <w:rPr>
          <w:lang w:val="en-US"/>
        </w:rPr>
        <w:t xml:space="preserve">Table </w:t>
      </w:r>
      <w:r w:rsidR="00582220">
        <w:rPr>
          <w:lang w:val="en-US"/>
        </w:rPr>
        <w:t>7</w:t>
      </w:r>
      <w:r w:rsidR="007675A0">
        <w:rPr>
          <w:lang w:val="en-US"/>
        </w:rPr>
        <w:t xml:space="preserve"> shows descriptive statistics of the underwriter reputation coefficient. The Carter and Manaster (C&amp;M) underwriter reputation </w:t>
      </w:r>
      <w:r w:rsidR="00023B84">
        <w:rPr>
          <w:lang w:val="en-US"/>
        </w:rPr>
        <w:t>coefficient</w:t>
      </w:r>
      <w:r w:rsidR="007675A0">
        <w:rPr>
          <w:lang w:val="en-US"/>
        </w:rPr>
        <w:t xml:space="preserve"> (Carter &amp; Manaster</w:t>
      </w:r>
      <w:r w:rsidR="00D320D0">
        <w:rPr>
          <w:lang w:val="en-US"/>
        </w:rPr>
        <w:t>,</w:t>
      </w:r>
      <w:r w:rsidR="007675A0">
        <w:rPr>
          <w:lang w:val="en-US"/>
        </w:rPr>
        <w:t xml:space="preserve"> 1990) is used in the MRA. The observations originate from regressions that included the Carter and Manaster rank as a discrete variable in a regression equation with underpricing as the dependent variable.  The </w:t>
      </w:r>
      <w:r w:rsidR="00007B04">
        <w:rPr>
          <w:lang w:val="en-US"/>
        </w:rPr>
        <w:t>C&amp;M</w:t>
      </w:r>
      <w:r w:rsidR="007675A0">
        <w:rPr>
          <w:lang w:val="en-US"/>
        </w:rPr>
        <w:t xml:space="preserve"> rank ranges from 0 for unranked banks to 9 for top rank investment banks. </w:t>
      </w:r>
      <w:r w:rsidR="00963EA5">
        <w:rPr>
          <w:lang w:val="en-US"/>
        </w:rPr>
        <w:t>A coefficient of -0.01 indicates that if the underwriters rank rises one point, the estimated level of underpricing drops by 1%.</w:t>
      </w:r>
    </w:p>
    <w:p w:rsidR="007675A0" w:rsidRDefault="007675A0" w:rsidP="007675A0">
      <w:pPr>
        <w:spacing w:line="360" w:lineRule="auto"/>
        <w:rPr>
          <w:lang w:val="en-US"/>
        </w:rPr>
      </w:pPr>
      <w:r>
        <w:rPr>
          <w:lang w:val="en-US"/>
        </w:rPr>
        <w:t xml:space="preserve">The </w:t>
      </w:r>
      <w:r w:rsidR="00007B04">
        <w:rPr>
          <w:lang w:val="en-US"/>
        </w:rPr>
        <w:t>C&amp;M</w:t>
      </w:r>
      <w:r w:rsidR="008771B2">
        <w:rPr>
          <w:lang w:val="en-US"/>
        </w:rPr>
        <w:t xml:space="preserve"> Dummy coefficient</w:t>
      </w:r>
      <w:r>
        <w:rPr>
          <w:lang w:val="en-US"/>
        </w:rPr>
        <w:t xml:space="preserve"> is a coefficient belonging to a dummy that takes the value of one if the C&amp;M rank is larger than 7. The statistics on the C&amp;M dummy and other measurements of underwriter reputation are included for illustrative pur</w:t>
      </w:r>
      <w:r w:rsidR="00023B84">
        <w:rPr>
          <w:lang w:val="en-US"/>
        </w:rPr>
        <w:t>poses and are not included in the</w:t>
      </w:r>
      <w:r>
        <w:rPr>
          <w:lang w:val="en-US"/>
        </w:rPr>
        <w:t xml:space="preserve"> MRA.</w:t>
      </w:r>
    </w:p>
    <w:p w:rsidR="00963EA5" w:rsidRDefault="007675A0" w:rsidP="00963EA5">
      <w:pPr>
        <w:spacing w:line="360" w:lineRule="auto"/>
        <w:rPr>
          <w:lang w:val="en-US"/>
        </w:rPr>
      </w:pPr>
      <w:r>
        <w:rPr>
          <w:lang w:val="en-US"/>
        </w:rPr>
        <w:t>In total</w:t>
      </w:r>
      <w:r w:rsidR="00007B04">
        <w:rPr>
          <w:lang w:val="en-US"/>
        </w:rPr>
        <w:t>,</w:t>
      </w:r>
      <w:r>
        <w:rPr>
          <w:lang w:val="en-US"/>
        </w:rPr>
        <w:t xml:space="preserve"> 10</w:t>
      </w:r>
      <w:r w:rsidR="007E5C57">
        <w:rPr>
          <w:lang w:val="en-US"/>
        </w:rPr>
        <w:t>7</w:t>
      </w:r>
      <w:r>
        <w:rPr>
          <w:lang w:val="en-US"/>
        </w:rPr>
        <w:t xml:space="preserve"> esti</w:t>
      </w:r>
      <w:r w:rsidR="00007B04">
        <w:rPr>
          <w:lang w:val="en-US"/>
        </w:rPr>
        <w:t>mates were drawn from 3</w:t>
      </w:r>
      <w:r w:rsidR="007E5C57">
        <w:rPr>
          <w:lang w:val="en-US"/>
        </w:rPr>
        <w:t>2</w:t>
      </w:r>
      <w:r w:rsidR="00007B04">
        <w:rPr>
          <w:lang w:val="en-US"/>
        </w:rPr>
        <w:t xml:space="preserve"> papers, of which</w:t>
      </w:r>
      <w:r>
        <w:rPr>
          <w:lang w:val="en-US"/>
        </w:rPr>
        <w:t xml:space="preserve"> 38 </w:t>
      </w:r>
      <w:r w:rsidR="005B3316">
        <w:rPr>
          <w:lang w:val="en-US"/>
        </w:rPr>
        <w:t>are</w:t>
      </w:r>
      <w:r>
        <w:rPr>
          <w:lang w:val="en-US"/>
        </w:rPr>
        <w:t xml:space="preserve"> positive and significant on the 5% level, </w:t>
      </w:r>
      <w:r w:rsidR="007E5C57">
        <w:rPr>
          <w:lang w:val="en-US"/>
        </w:rPr>
        <w:t>38</w:t>
      </w:r>
      <w:r>
        <w:rPr>
          <w:lang w:val="en-US"/>
        </w:rPr>
        <w:t xml:space="preserve"> </w:t>
      </w:r>
      <w:r w:rsidR="005B3316">
        <w:rPr>
          <w:lang w:val="en-US"/>
        </w:rPr>
        <w:t>are</w:t>
      </w:r>
      <w:r>
        <w:rPr>
          <w:lang w:val="en-US"/>
        </w:rPr>
        <w:t xml:space="preserve"> insignificant and </w:t>
      </w:r>
      <w:r w:rsidR="007E5C57">
        <w:rPr>
          <w:lang w:val="en-US"/>
        </w:rPr>
        <w:t>31</w:t>
      </w:r>
      <w:r>
        <w:rPr>
          <w:lang w:val="en-US"/>
        </w:rPr>
        <w:t xml:space="preserve"> </w:t>
      </w:r>
      <w:r w:rsidR="005B3316">
        <w:rPr>
          <w:lang w:val="en-US"/>
        </w:rPr>
        <w:t>are</w:t>
      </w:r>
      <w:r>
        <w:rPr>
          <w:lang w:val="en-US"/>
        </w:rPr>
        <w:t xml:space="preserve"> negative and significant</w:t>
      </w:r>
      <w:r w:rsidR="00D320D0">
        <w:rPr>
          <w:rStyle w:val="FootnoteReference"/>
          <w:lang w:val="en-US"/>
        </w:rPr>
        <w:footnoteReference w:id="35"/>
      </w:r>
      <w:r>
        <w:rPr>
          <w:lang w:val="en-US"/>
        </w:rPr>
        <w:t xml:space="preserve">. A positive coefficient indicates that underpricing increases with underwriter reputation and vice versa. The data included in the MRA contains </w:t>
      </w:r>
      <w:r w:rsidR="007E5C57">
        <w:rPr>
          <w:lang w:val="en-US"/>
        </w:rPr>
        <w:t>49</w:t>
      </w:r>
      <w:r>
        <w:rPr>
          <w:lang w:val="en-US"/>
        </w:rPr>
        <w:t xml:space="preserve"> estimates obtained from </w:t>
      </w:r>
      <w:r w:rsidR="007E5C57">
        <w:rPr>
          <w:lang w:val="en-US"/>
        </w:rPr>
        <w:t>19</w:t>
      </w:r>
      <w:r>
        <w:rPr>
          <w:lang w:val="en-US"/>
        </w:rPr>
        <w:t xml:space="preserve"> papers.</w:t>
      </w:r>
      <w:r w:rsidR="00DB4617">
        <w:rPr>
          <w:lang w:val="en-US"/>
        </w:rPr>
        <w:t xml:space="preserve"> </w:t>
      </w:r>
      <w:r w:rsidR="00E11F56">
        <w:rPr>
          <w:lang w:val="en-US"/>
        </w:rPr>
        <w:t>Whereas the firm age and IPO proceeds coefficients were mostly negative and significant, the results for the underwriter reputation coefficients are mixed.</w:t>
      </w:r>
    </w:p>
    <w:p w:rsidR="008771B2" w:rsidRDefault="008B78C7" w:rsidP="00963EA5">
      <w:pPr>
        <w:spacing w:line="360" w:lineRule="auto"/>
        <w:rPr>
          <w:lang w:val="en-US"/>
        </w:rPr>
      </w:pPr>
      <w:r>
        <w:rPr>
          <w:lang w:val="en-US"/>
        </w:rPr>
        <w:lastRenderedPageBreak/>
        <w:t xml:space="preserve">The control variables used are similar to the Age and Proceeds Meta regression analyses. However, the region dummies are dropped since all the data originates from the USA. Descriptive statistics on the control variables are given by table </w:t>
      </w:r>
      <w:r w:rsidR="00582220">
        <w:rPr>
          <w:lang w:val="en-US"/>
        </w:rPr>
        <w:t>8</w:t>
      </w:r>
      <w:r w:rsidR="001F4ADA">
        <w:rPr>
          <w:lang w:val="en-US"/>
        </w:rPr>
        <w:t>.</w:t>
      </w:r>
    </w:p>
    <w:p w:rsidR="00963EA5" w:rsidRDefault="00963EA5" w:rsidP="00963EA5">
      <w:pPr>
        <w:spacing w:line="360" w:lineRule="auto"/>
        <w:rPr>
          <w:lang w:val="en-US"/>
        </w:rPr>
      </w:pPr>
    </w:p>
    <w:tbl>
      <w:tblPr>
        <w:tblpPr w:leftFromText="141" w:rightFromText="141" w:vertAnchor="text" w:horzAnchor="margin" w:tblpXSpec="center" w:tblpY="-28"/>
        <w:tblW w:w="4280" w:type="dxa"/>
        <w:tblCellMar>
          <w:left w:w="70" w:type="dxa"/>
          <w:right w:w="70" w:type="dxa"/>
        </w:tblCellMar>
        <w:tblLook w:val="04A0"/>
      </w:tblPr>
      <w:tblGrid>
        <w:gridCol w:w="3586"/>
        <w:gridCol w:w="694"/>
      </w:tblGrid>
      <w:tr w:rsidR="00963EA5" w:rsidRPr="00F3151A" w:rsidTr="00963EA5">
        <w:trPr>
          <w:trHeight w:val="300"/>
        </w:trPr>
        <w:tc>
          <w:tcPr>
            <w:tcW w:w="4280" w:type="dxa"/>
            <w:gridSpan w:val="2"/>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center"/>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 xml:space="preserve">Table </w:t>
            </w:r>
            <w:r>
              <w:rPr>
                <w:rFonts w:ascii="Calibri" w:eastAsia="Times New Roman" w:hAnsi="Calibri" w:cs="Calibri"/>
                <w:b/>
                <w:bCs/>
                <w:color w:val="000000"/>
                <w:lang w:eastAsia="nl-NL"/>
              </w:rPr>
              <w:t>8</w:t>
            </w:r>
            <w:r w:rsidRPr="00F3151A">
              <w:rPr>
                <w:rFonts w:ascii="Calibri" w:eastAsia="Times New Roman" w:hAnsi="Calibri" w:cs="Calibri"/>
                <w:b/>
                <w:bCs/>
                <w:color w:val="000000"/>
                <w:lang w:eastAsia="nl-NL"/>
              </w:rPr>
              <w:t>: Study Characteristics</w:t>
            </w:r>
            <w:r>
              <w:rPr>
                <w:rFonts w:ascii="Calibri" w:eastAsia="Times New Roman" w:hAnsi="Calibri" w:cs="Calibri"/>
                <w:b/>
                <w:bCs/>
                <w:color w:val="000000"/>
                <w:lang w:eastAsia="nl-NL"/>
              </w:rPr>
              <w:t xml:space="preserve"> (N = 49)</w:t>
            </w:r>
          </w:p>
        </w:tc>
      </w:tr>
      <w:tr w:rsidR="00963EA5" w:rsidRPr="00F3151A" w:rsidTr="00963EA5">
        <w:trPr>
          <w:trHeight w:val="315"/>
        </w:trPr>
        <w:tc>
          <w:tcPr>
            <w:tcW w:w="3586" w:type="dxa"/>
            <w:tcBorders>
              <w:top w:val="single" w:sz="4" w:space="0" w:color="auto"/>
              <w:left w:val="nil"/>
              <w:bottom w:val="double" w:sz="6" w:space="0" w:color="auto"/>
              <w:right w:val="nil"/>
            </w:tcBorders>
            <w:shd w:val="clear" w:color="000000" w:fill="FFFFFF"/>
            <w:noWrap/>
            <w:vAlign w:val="bottom"/>
            <w:hideMark/>
          </w:tcPr>
          <w:p w:rsidR="00963EA5" w:rsidRPr="00F3151A" w:rsidRDefault="00963EA5" w:rsidP="00963EA5">
            <w:pPr>
              <w:spacing w:after="0" w:line="240" w:lineRule="auto"/>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Dummy Variable</w:t>
            </w:r>
          </w:p>
        </w:tc>
        <w:tc>
          <w:tcPr>
            <w:tcW w:w="694" w:type="dxa"/>
            <w:tcBorders>
              <w:top w:val="single" w:sz="4" w:space="0" w:color="auto"/>
              <w:left w:val="nil"/>
              <w:bottom w:val="double" w:sz="6" w:space="0" w:color="auto"/>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C&amp;M</w:t>
            </w:r>
          </w:p>
        </w:tc>
      </w:tr>
      <w:tr w:rsidR="00963EA5" w:rsidRPr="00F3151A" w:rsidTr="00963EA5">
        <w:trPr>
          <w:trHeight w:val="315"/>
        </w:trPr>
        <w:tc>
          <w:tcPr>
            <w:tcW w:w="3586" w:type="dxa"/>
            <w:tcBorders>
              <w:top w:val="nil"/>
              <w:left w:val="nil"/>
              <w:bottom w:val="nil"/>
              <w:right w:val="nil"/>
            </w:tcBorders>
            <w:shd w:val="clear" w:color="000000" w:fill="FFFFFF"/>
            <w:noWrap/>
            <w:vAlign w:val="bottom"/>
            <w:hideMark/>
          </w:tcPr>
          <w:p w:rsidR="00963EA5" w:rsidRPr="00061AFB" w:rsidRDefault="00963EA5" w:rsidP="00963EA5">
            <w:pPr>
              <w:spacing w:after="0" w:line="240" w:lineRule="auto"/>
              <w:rPr>
                <w:rFonts w:ascii="Calibri" w:eastAsia="Times New Roman" w:hAnsi="Calibri" w:cs="Calibri"/>
                <w:color w:val="000000"/>
                <w:lang w:val="en-US" w:eastAsia="nl-NL"/>
              </w:rPr>
            </w:pPr>
            <w:r w:rsidRPr="00061AFB">
              <w:rPr>
                <w:rFonts w:ascii="Calibri" w:eastAsia="Times New Roman" w:hAnsi="Calibri" w:cs="Calibri"/>
                <w:color w:val="000000"/>
                <w:lang w:val="en-US" w:eastAsia="nl-NL"/>
              </w:rPr>
              <w:t>Star journal dummy, ERIM (S</w:t>
            </w:r>
            <w:r>
              <w:rPr>
                <w:rFonts w:ascii="Calibri" w:eastAsia="Times New Roman" w:hAnsi="Calibri" w:cs="Calibri"/>
                <w:color w:val="000000"/>
                <w:lang w:val="en-US" w:eastAsia="nl-NL"/>
              </w:rPr>
              <w:t>TAR)</w:t>
            </w:r>
          </w:p>
        </w:tc>
        <w:tc>
          <w:tcPr>
            <w:tcW w:w="694"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37</w:t>
            </w:r>
          </w:p>
        </w:tc>
      </w:tr>
      <w:tr w:rsidR="00963EA5" w:rsidRPr="00F3151A" w:rsidTr="00963EA5">
        <w:trPr>
          <w:trHeight w:val="300"/>
        </w:trPr>
        <w:tc>
          <w:tcPr>
            <w:tcW w:w="3586"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19</w:t>
            </w:r>
            <w:r w:rsidRPr="00F3151A">
              <w:rPr>
                <w:rFonts w:ascii="Calibri" w:eastAsia="Times New Roman" w:hAnsi="Calibri" w:cs="Calibri"/>
                <w:color w:val="000000"/>
                <w:lang w:eastAsia="nl-NL"/>
              </w:rPr>
              <w:t>80</w:t>
            </w:r>
            <w:r>
              <w:rPr>
                <w:rFonts w:ascii="Calibri" w:eastAsia="Times New Roman" w:hAnsi="Calibri" w:cs="Calibri"/>
                <w:color w:val="000000"/>
                <w:lang w:eastAsia="nl-NL"/>
              </w:rPr>
              <w:t>’</w:t>
            </w:r>
            <w:r w:rsidRPr="00F3151A">
              <w:rPr>
                <w:rFonts w:ascii="Calibri" w:eastAsia="Times New Roman" w:hAnsi="Calibri" w:cs="Calibri"/>
                <w:color w:val="000000"/>
                <w:lang w:eastAsia="nl-NL"/>
              </w:rPr>
              <w:t>s dummy</w:t>
            </w:r>
            <w:r>
              <w:rPr>
                <w:rFonts w:ascii="Calibri" w:eastAsia="Times New Roman" w:hAnsi="Calibri" w:cs="Calibri"/>
                <w:color w:val="000000"/>
                <w:lang w:eastAsia="nl-NL"/>
              </w:rPr>
              <w:t xml:space="preserve"> (80’s)</w:t>
            </w:r>
          </w:p>
        </w:tc>
        <w:tc>
          <w:tcPr>
            <w:tcW w:w="694"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1</w:t>
            </w:r>
            <w:r>
              <w:rPr>
                <w:rFonts w:ascii="Calibri" w:eastAsia="Times New Roman" w:hAnsi="Calibri" w:cs="Calibri"/>
                <w:b/>
                <w:bCs/>
                <w:color w:val="000000"/>
                <w:lang w:eastAsia="nl-NL"/>
              </w:rPr>
              <w:t>4</w:t>
            </w:r>
          </w:p>
        </w:tc>
      </w:tr>
      <w:tr w:rsidR="00963EA5" w:rsidRPr="00F3151A" w:rsidTr="00963EA5">
        <w:trPr>
          <w:trHeight w:val="300"/>
        </w:trPr>
        <w:tc>
          <w:tcPr>
            <w:tcW w:w="3586" w:type="dxa"/>
            <w:tcBorders>
              <w:top w:val="nil"/>
              <w:left w:val="nil"/>
              <w:bottom w:val="nil"/>
              <w:right w:val="nil"/>
            </w:tcBorders>
            <w:shd w:val="clear" w:color="000000" w:fill="FFFFFF"/>
            <w:noWrap/>
            <w:vAlign w:val="bottom"/>
            <w:hideMark/>
          </w:tcPr>
          <w:p w:rsidR="00963EA5" w:rsidRPr="00061AFB" w:rsidRDefault="00963EA5" w:rsidP="00963EA5">
            <w:pPr>
              <w:spacing w:after="0" w:line="240" w:lineRule="auto"/>
              <w:rPr>
                <w:rFonts w:ascii="Calibri" w:eastAsia="Times New Roman" w:hAnsi="Calibri" w:cs="Calibri"/>
                <w:color w:val="000000"/>
                <w:lang w:val="en-US" w:eastAsia="nl-NL"/>
              </w:rPr>
            </w:pPr>
            <w:r w:rsidRPr="00061AFB">
              <w:rPr>
                <w:rFonts w:ascii="Calibri" w:eastAsia="Times New Roman" w:hAnsi="Calibri" w:cs="Calibri"/>
                <w:color w:val="000000"/>
                <w:lang w:val="en-US" w:eastAsia="nl-NL"/>
              </w:rPr>
              <w:t>1990’s plus Internet dummy (90&amp;Int</w:t>
            </w:r>
            <w:r>
              <w:rPr>
                <w:rFonts w:ascii="Calibri" w:eastAsia="Times New Roman" w:hAnsi="Calibri" w:cs="Calibri"/>
                <w:color w:val="000000"/>
                <w:lang w:val="en-US" w:eastAsia="nl-NL"/>
              </w:rPr>
              <w:t>)</w:t>
            </w:r>
          </w:p>
        </w:tc>
        <w:tc>
          <w:tcPr>
            <w:tcW w:w="694"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Pr>
                <w:rFonts w:ascii="Calibri" w:eastAsia="Times New Roman" w:hAnsi="Calibri" w:cs="Calibri"/>
                <w:b/>
                <w:bCs/>
                <w:color w:val="000000"/>
                <w:lang w:eastAsia="nl-NL"/>
              </w:rPr>
              <w:t>33</w:t>
            </w:r>
          </w:p>
        </w:tc>
      </w:tr>
      <w:tr w:rsidR="00963EA5" w:rsidRPr="00F3151A" w:rsidTr="00963EA5">
        <w:trPr>
          <w:trHeight w:val="300"/>
        </w:trPr>
        <w:tc>
          <w:tcPr>
            <w:tcW w:w="3586"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rPr>
                <w:rFonts w:ascii="Calibri" w:eastAsia="Times New Roman" w:hAnsi="Calibri" w:cs="Calibri"/>
                <w:color w:val="000000"/>
                <w:lang w:eastAsia="nl-NL"/>
              </w:rPr>
            </w:pPr>
            <w:r w:rsidRPr="00F3151A">
              <w:rPr>
                <w:rFonts w:ascii="Calibri" w:eastAsia="Times New Roman" w:hAnsi="Calibri" w:cs="Calibri"/>
                <w:color w:val="000000"/>
                <w:lang w:eastAsia="nl-NL"/>
              </w:rPr>
              <w:t>2000</w:t>
            </w:r>
            <w:r>
              <w:rPr>
                <w:rFonts w:ascii="Calibri" w:eastAsia="Times New Roman" w:hAnsi="Calibri" w:cs="Calibri"/>
                <w:color w:val="000000"/>
                <w:lang w:eastAsia="nl-NL"/>
              </w:rPr>
              <w:t>’</w:t>
            </w:r>
            <w:r w:rsidRPr="00F3151A">
              <w:rPr>
                <w:rFonts w:ascii="Calibri" w:eastAsia="Times New Roman" w:hAnsi="Calibri" w:cs="Calibri"/>
                <w:color w:val="000000"/>
                <w:lang w:eastAsia="nl-NL"/>
              </w:rPr>
              <w:t>s</w:t>
            </w:r>
            <w:r>
              <w:rPr>
                <w:rFonts w:ascii="Calibri" w:eastAsia="Times New Roman" w:hAnsi="Calibri" w:cs="Calibri"/>
                <w:color w:val="000000"/>
                <w:lang w:eastAsia="nl-NL"/>
              </w:rPr>
              <w:t xml:space="preserve"> dummy (00’s)</w:t>
            </w:r>
          </w:p>
        </w:tc>
        <w:tc>
          <w:tcPr>
            <w:tcW w:w="694"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2</w:t>
            </w:r>
          </w:p>
        </w:tc>
      </w:tr>
      <w:tr w:rsidR="00963EA5" w:rsidRPr="00F3151A" w:rsidTr="00963EA5">
        <w:trPr>
          <w:trHeight w:val="300"/>
        </w:trPr>
        <w:tc>
          <w:tcPr>
            <w:tcW w:w="3586" w:type="dxa"/>
            <w:tcBorders>
              <w:top w:val="nil"/>
              <w:left w:val="nil"/>
              <w:bottom w:val="nil"/>
              <w:right w:val="nil"/>
            </w:tcBorders>
            <w:shd w:val="clear" w:color="000000" w:fill="FFFFFF"/>
            <w:noWrap/>
            <w:vAlign w:val="bottom"/>
            <w:hideMark/>
          </w:tcPr>
          <w:p w:rsidR="00963EA5" w:rsidRPr="00061AFB" w:rsidRDefault="00963EA5" w:rsidP="00963EA5">
            <w:pPr>
              <w:spacing w:after="0" w:line="240" w:lineRule="auto"/>
              <w:rPr>
                <w:rFonts w:ascii="Calibri" w:eastAsia="Times New Roman" w:hAnsi="Calibri" w:cs="Calibri"/>
                <w:color w:val="000000"/>
                <w:lang w:val="en-US" w:eastAsia="nl-NL"/>
              </w:rPr>
            </w:pPr>
            <w:r w:rsidRPr="00061AFB">
              <w:rPr>
                <w:rFonts w:ascii="Calibri" w:eastAsia="Times New Roman" w:hAnsi="Calibri" w:cs="Calibri"/>
                <w:color w:val="000000"/>
                <w:lang w:val="en-US" w:eastAsia="nl-NL"/>
              </w:rPr>
              <w:t>Returns not market adjusted (M</w:t>
            </w:r>
            <w:r>
              <w:rPr>
                <w:rFonts w:ascii="Calibri" w:eastAsia="Times New Roman" w:hAnsi="Calibri" w:cs="Calibri"/>
                <w:color w:val="000000"/>
                <w:lang w:val="en-US" w:eastAsia="nl-NL"/>
              </w:rPr>
              <w:t>adj)</w:t>
            </w:r>
          </w:p>
        </w:tc>
        <w:tc>
          <w:tcPr>
            <w:tcW w:w="694"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Pr>
                <w:rFonts w:ascii="Calibri" w:eastAsia="Times New Roman" w:hAnsi="Calibri" w:cs="Calibri"/>
                <w:b/>
                <w:bCs/>
                <w:color w:val="000000"/>
                <w:lang w:eastAsia="nl-NL"/>
              </w:rPr>
              <w:t>41</w:t>
            </w:r>
          </w:p>
        </w:tc>
      </w:tr>
      <w:tr w:rsidR="00963EA5" w:rsidRPr="00F3151A" w:rsidTr="00963EA5">
        <w:trPr>
          <w:trHeight w:val="300"/>
        </w:trPr>
        <w:tc>
          <w:tcPr>
            <w:tcW w:w="3586"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rPr>
                <w:rFonts w:ascii="Calibri" w:eastAsia="Times New Roman" w:hAnsi="Calibri" w:cs="Calibri"/>
                <w:color w:val="000000"/>
                <w:lang w:eastAsia="nl-NL"/>
              </w:rPr>
            </w:pPr>
            <w:r w:rsidRPr="00F3151A">
              <w:rPr>
                <w:rFonts w:ascii="Calibri" w:eastAsia="Times New Roman" w:hAnsi="Calibri" w:cs="Calibri"/>
                <w:color w:val="000000"/>
                <w:lang w:eastAsia="nl-NL"/>
              </w:rPr>
              <w:t>More than 1 week</w:t>
            </w:r>
            <w:r>
              <w:rPr>
                <w:rFonts w:ascii="Calibri" w:eastAsia="Times New Roman" w:hAnsi="Calibri" w:cs="Calibri"/>
                <w:color w:val="000000"/>
                <w:lang w:eastAsia="nl-NL"/>
              </w:rPr>
              <w:t xml:space="preserve"> (M1wk)</w:t>
            </w:r>
          </w:p>
        </w:tc>
        <w:tc>
          <w:tcPr>
            <w:tcW w:w="694"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15</w:t>
            </w:r>
          </w:p>
        </w:tc>
      </w:tr>
      <w:tr w:rsidR="00963EA5" w:rsidRPr="00F3151A" w:rsidTr="00963EA5">
        <w:trPr>
          <w:trHeight w:val="300"/>
        </w:trPr>
        <w:tc>
          <w:tcPr>
            <w:tcW w:w="3586" w:type="dxa"/>
            <w:tcBorders>
              <w:top w:val="nil"/>
              <w:left w:val="nil"/>
              <w:bottom w:val="nil"/>
              <w:right w:val="nil"/>
            </w:tcBorders>
            <w:shd w:val="clear" w:color="000000" w:fill="FFFFFF"/>
            <w:noWrap/>
            <w:vAlign w:val="bottom"/>
            <w:hideMark/>
          </w:tcPr>
          <w:p w:rsidR="00963EA5" w:rsidRPr="00061AFB" w:rsidRDefault="00963EA5" w:rsidP="00963EA5">
            <w:pPr>
              <w:spacing w:after="0" w:line="240" w:lineRule="auto"/>
              <w:rPr>
                <w:rFonts w:ascii="Calibri" w:eastAsia="Times New Roman" w:hAnsi="Calibri" w:cs="Calibri"/>
                <w:color w:val="000000"/>
                <w:lang w:val="en-US" w:eastAsia="nl-NL"/>
              </w:rPr>
            </w:pPr>
            <w:r w:rsidRPr="00061AFB">
              <w:rPr>
                <w:rFonts w:ascii="Calibri" w:eastAsia="Times New Roman" w:hAnsi="Calibri" w:cs="Calibri"/>
                <w:color w:val="000000"/>
                <w:lang w:val="en-US" w:eastAsia="nl-NL"/>
              </w:rPr>
              <w:t xml:space="preserve">Dummy exclude </w:t>
            </w:r>
            <w:r>
              <w:rPr>
                <w:rFonts w:ascii="Calibri" w:eastAsia="Times New Roman" w:hAnsi="Calibri" w:cs="Calibri"/>
                <w:color w:val="000000"/>
                <w:lang w:val="en-US" w:eastAsia="nl-NL"/>
              </w:rPr>
              <w:t>Best Efforts</w:t>
            </w:r>
            <w:r w:rsidRPr="00061AFB">
              <w:rPr>
                <w:rFonts w:ascii="Calibri" w:eastAsia="Times New Roman" w:hAnsi="Calibri" w:cs="Calibri"/>
                <w:color w:val="000000"/>
                <w:lang w:val="en-US" w:eastAsia="nl-NL"/>
              </w:rPr>
              <w:t xml:space="preserve"> (E</w:t>
            </w:r>
            <w:r>
              <w:rPr>
                <w:rFonts w:ascii="Calibri" w:eastAsia="Times New Roman" w:hAnsi="Calibri" w:cs="Calibri"/>
                <w:color w:val="000000"/>
                <w:lang w:val="en-US" w:eastAsia="nl-NL"/>
              </w:rPr>
              <w:t>xBE)</w:t>
            </w:r>
          </w:p>
        </w:tc>
        <w:tc>
          <w:tcPr>
            <w:tcW w:w="694"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1</w:t>
            </w:r>
            <w:r>
              <w:rPr>
                <w:rFonts w:ascii="Calibri" w:eastAsia="Times New Roman" w:hAnsi="Calibri" w:cs="Calibri"/>
                <w:b/>
                <w:bCs/>
                <w:color w:val="000000"/>
                <w:lang w:eastAsia="nl-NL"/>
              </w:rPr>
              <w:t>8</w:t>
            </w:r>
          </w:p>
        </w:tc>
      </w:tr>
      <w:tr w:rsidR="00963EA5" w:rsidRPr="00F3151A" w:rsidTr="00963EA5">
        <w:trPr>
          <w:trHeight w:val="300"/>
        </w:trPr>
        <w:tc>
          <w:tcPr>
            <w:tcW w:w="3586"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rPr>
                <w:rFonts w:ascii="Calibri" w:eastAsia="Times New Roman" w:hAnsi="Calibri" w:cs="Calibri"/>
                <w:color w:val="000000"/>
                <w:lang w:eastAsia="nl-NL"/>
              </w:rPr>
            </w:pPr>
            <w:r w:rsidRPr="00F3151A">
              <w:rPr>
                <w:rFonts w:ascii="Calibri" w:eastAsia="Times New Roman" w:hAnsi="Calibri" w:cs="Calibri"/>
                <w:color w:val="000000"/>
                <w:lang w:eastAsia="nl-NL"/>
              </w:rPr>
              <w:t>Dummy exclude financials</w:t>
            </w:r>
            <w:r>
              <w:rPr>
                <w:rFonts w:ascii="Calibri" w:eastAsia="Times New Roman" w:hAnsi="Calibri" w:cs="Calibri"/>
                <w:color w:val="000000"/>
                <w:lang w:eastAsia="nl-NL"/>
              </w:rPr>
              <w:t xml:space="preserve"> (ExFIN)</w:t>
            </w:r>
          </w:p>
        </w:tc>
        <w:tc>
          <w:tcPr>
            <w:tcW w:w="694"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2</w:t>
            </w:r>
            <w:r>
              <w:rPr>
                <w:rFonts w:ascii="Calibri" w:eastAsia="Times New Roman" w:hAnsi="Calibri" w:cs="Calibri"/>
                <w:b/>
                <w:bCs/>
                <w:color w:val="000000"/>
                <w:lang w:eastAsia="nl-NL"/>
              </w:rPr>
              <w:t>2</w:t>
            </w:r>
          </w:p>
        </w:tc>
      </w:tr>
      <w:tr w:rsidR="00963EA5" w:rsidRPr="00F3151A" w:rsidTr="00963EA5">
        <w:trPr>
          <w:trHeight w:val="300"/>
        </w:trPr>
        <w:tc>
          <w:tcPr>
            <w:tcW w:w="3586" w:type="dxa"/>
            <w:tcBorders>
              <w:top w:val="nil"/>
              <w:left w:val="nil"/>
              <w:bottom w:val="nil"/>
              <w:right w:val="nil"/>
            </w:tcBorders>
            <w:shd w:val="clear" w:color="000000" w:fill="FFFFFF"/>
            <w:noWrap/>
            <w:vAlign w:val="bottom"/>
            <w:hideMark/>
          </w:tcPr>
          <w:p w:rsidR="00963EA5" w:rsidRPr="00061AFB" w:rsidRDefault="00963EA5" w:rsidP="00963EA5">
            <w:pPr>
              <w:spacing w:after="0" w:line="240" w:lineRule="auto"/>
              <w:rPr>
                <w:rFonts w:ascii="Calibri" w:eastAsia="Times New Roman" w:hAnsi="Calibri" w:cs="Calibri"/>
                <w:color w:val="000000"/>
                <w:lang w:val="en-US" w:eastAsia="nl-NL"/>
              </w:rPr>
            </w:pPr>
            <w:r w:rsidRPr="00061AFB">
              <w:rPr>
                <w:rFonts w:ascii="Calibri" w:eastAsia="Times New Roman" w:hAnsi="Calibri" w:cs="Calibri"/>
                <w:color w:val="000000"/>
                <w:lang w:val="en-US" w:eastAsia="nl-NL"/>
              </w:rPr>
              <w:t>Dummy exclude small firms (E</w:t>
            </w:r>
            <w:r>
              <w:rPr>
                <w:rFonts w:ascii="Calibri" w:eastAsia="Times New Roman" w:hAnsi="Calibri" w:cs="Calibri"/>
                <w:color w:val="000000"/>
                <w:lang w:val="en-US" w:eastAsia="nl-NL"/>
              </w:rPr>
              <w:t>xSF)</w:t>
            </w:r>
          </w:p>
        </w:tc>
        <w:tc>
          <w:tcPr>
            <w:tcW w:w="694"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sidRPr="00F3151A">
              <w:rPr>
                <w:rFonts w:ascii="Calibri" w:eastAsia="Times New Roman" w:hAnsi="Calibri" w:cs="Calibri"/>
                <w:b/>
                <w:bCs/>
                <w:color w:val="000000"/>
                <w:lang w:eastAsia="nl-NL"/>
              </w:rPr>
              <w:t>31</w:t>
            </w:r>
          </w:p>
        </w:tc>
      </w:tr>
      <w:tr w:rsidR="00963EA5" w:rsidRPr="00F3151A" w:rsidTr="00963EA5">
        <w:trPr>
          <w:trHeight w:val="300"/>
        </w:trPr>
        <w:tc>
          <w:tcPr>
            <w:tcW w:w="3586"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rPr>
                <w:rFonts w:ascii="Calibri" w:eastAsia="Times New Roman" w:hAnsi="Calibri" w:cs="Calibri"/>
                <w:color w:val="000000"/>
                <w:lang w:eastAsia="nl-NL"/>
              </w:rPr>
            </w:pPr>
            <w:r w:rsidRPr="00F3151A">
              <w:rPr>
                <w:rFonts w:ascii="Calibri" w:eastAsia="Times New Roman" w:hAnsi="Calibri" w:cs="Calibri"/>
                <w:color w:val="000000"/>
                <w:lang w:eastAsia="nl-NL"/>
              </w:rPr>
              <w:t>Dummy  exclude</w:t>
            </w:r>
            <w:r>
              <w:rPr>
                <w:rFonts w:ascii="Calibri" w:eastAsia="Times New Roman" w:hAnsi="Calibri" w:cs="Calibri"/>
                <w:color w:val="000000"/>
                <w:lang w:eastAsia="nl-NL"/>
              </w:rPr>
              <w:t>s</w:t>
            </w:r>
            <w:r w:rsidRPr="00F3151A">
              <w:rPr>
                <w:rFonts w:ascii="Calibri" w:eastAsia="Times New Roman" w:hAnsi="Calibri" w:cs="Calibri"/>
                <w:color w:val="000000"/>
                <w:lang w:eastAsia="nl-NL"/>
              </w:rPr>
              <w:t xml:space="preserve"> </w:t>
            </w:r>
            <w:r>
              <w:rPr>
                <w:rFonts w:ascii="Calibri" w:eastAsia="Times New Roman" w:hAnsi="Calibri" w:cs="Calibri"/>
                <w:color w:val="000000"/>
                <w:lang w:eastAsia="nl-NL"/>
              </w:rPr>
              <w:t>p</w:t>
            </w:r>
            <w:r w:rsidRPr="00F3151A">
              <w:rPr>
                <w:rFonts w:ascii="Calibri" w:eastAsia="Times New Roman" w:hAnsi="Calibri" w:cs="Calibri"/>
                <w:color w:val="000000"/>
                <w:lang w:eastAsia="nl-NL"/>
              </w:rPr>
              <w:t>roceeds</w:t>
            </w:r>
            <w:r>
              <w:rPr>
                <w:rFonts w:ascii="Calibri" w:eastAsia="Times New Roman" w:hAnsi="Calibri" w:cs="Calibri"/>
                <w:color w:val="000000"/>
                <w:lang w:eastAsia="nl-NL"/>
              </w:rPr>
              <w:t xml:space="preserve"> (ExPRO)</w:t>
            </w:r>
          </w:p>
        </w:tc>
        <w:tc>
          <w:tcPr>
            <w:tcW w:w="694" w:type="dxa"/>
            <w:tcBorders>
              <w:top w:val="nil"/>
              <w:left w:val="nil"/>
              <w:bottom w:val="nil"/>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Pr>
                <w:rFonts w:ascii="Calibri" w:eastAsia="Times New Roman" w:hAnsi="Calibri" w:cs="Calibri"/>
                <w:b/>
                <w:bCs/>
                <w:color w:val="000000"/>
                <w:lang w:eastAsia="nl-NL"/>
              </w:rPr>
              <w:t>10</w:t>
            </w:r>
          </w:p>
        </w:tc>
      </w:tr>
      <w:tr w:rsidR="00963EA5" w:rsidRPr="00F3151A" w:rsidTr="00963EA5">
        <w:trPr>
          <w:trHeight w:val="300"/>
        </w:trPr>
        <w:tc>
          <w:tcPr>
            <w:tcW w:w="3586" w:type="dxa"/>
            <w:tcBorders>
              <w:top w:val="nil"/>
              <w:left w:val="nil"/>
              <w:bottom w:val="single" w:sz="4" w:space="0" w:color="auto"/>
              <w:right w:val="nil"/>
            </w:tcBorders>
            <w:shd w:val="clear" w:color="000000" w:fill="FFFFFF"/>
            <w:noWrap/>
            <w:vAlign w:val="bottom"/>
            <w:hideMark/>
          </w:tcPr>
          <w:p w:rsidR="00963EA5" w:rsidRPr="00F3151A" w:rsidRDefault="00963EA5" w:rsidP="00963EA5">
            <w:pPr>
              <w:spacing w:after="0" w:line="240" w:lineRule="auto"/>
              <w:rPr>
                <w:rFonts w:ascii="Calibri" w:eastAsia="Times New Roman" w:hAnsi="Calibri" w:cs="Calibri"/>
                <w:color w:val="000000"/>
                <w:lang w:eastAsia="nl-NL"/>
              </w:rPr>
            </w:pPr>
            <w:r w:rsidRPr="00F3151A">
              <w:rPr>
                <w:rFonts w:ascii="Calibri" w:eastAsia="Times New Roman" w:hAnsi="Calibri" w:cs="Calibri"/>
                <w:color w:val="000000"/>
                <w:lang w:eastAsia="nl-NL"/>
              </w:rPr>
              <w:t>Dummy  exclude</w:t>
            </w:r>
            <w:r>
              <w:rPr>
                <w:rFonts w:ascii="Calibri" w:eastAsia="Times New Roman" w:hAnsi="Calibri" w:cs="Calibri"/>
                <w:color w:val="000000"/>
                <w:lang w:eastAsia="nl-NL"/>
              </w:rPr>
              <w:t>s</w:t>
            </w:r>
            <w:r w:rsidRPr="00F3151A">
              <w:rPr>
                <w:rFonts w:ascii="Calibri" w:eastAsia="Times New Roman" w:hAnsi="Calibri" w:cs="Calibri"/>
                <w:color w:val="000000"/>
                <w:lang w:eastAsia="nl-NL"/>
              </w:rPr>
              <w:t xml:space="preserve">  age</w:t>
            </w:r>
            <w:r>
              <w:rPr>
                <w:rFonts w:ascii="Calibri" w:eastAsia="Times New Roman" w:hAnsi="Calibri" w:cs="Calibri"/>
                <w:color w:val="000000"/>
                <w:lang w:eastAsia="nl-NL"/>
              </w:rPr>
              <w:t xml:space="preserve"> (ExAGE)</w:t>
            </w:r>
          </w:p>
        </w:tc>
        <w:tc>
          <w:tcPr>
            <w:tcW w:w="694" w:type="dxa"/>
            <w:tcBorders>
              <w:top w:val="nil"/>
              <w:left w:val="nil"/>
              <w:bottom w:val="single" w:sz="4" w:space="0" w:color="auto"/>
              <w:right w:val="nil"/>
            </w:tcBorders>
            <w:shd w:val="clear" w:color="000000" w:fill="FFFFFF"/>
            <w:noWrap/>
            <w:vAlign w:val="bottom"/>
            <w:hideMark/>
          </w:tcPr>
          <w:p w:rsidR="00963EA5" w:rsidRPr="00F3151A" w:rsidRDefault="00963EA5" w:rsidP="00963EA5">
            <w:pPr>
              <w:spacing w:after="0" w:line="240" w:lineRule="auto"/>
              <w:jc w:val="right"/>
              <w:rPr>
                <w:rFonts w:ascii="Calibri" w:eastAsia="Times New Roman" w:hAnsi="Calibri" w:cs="Calibri"/>
                <w:b/>
                <w:bCs/>
                <w:color w:val="000000"/>
                <w:lang w:eastAsia="nl-NL"/>
              </w:rPr>
            </w:pPr>
            <w:r>
              <w:rPr>
                <w:rFonts w:ascii="Calibri" w:eastAsia="Times New Roman" w:hAnsi="Calibri" w:cs="Calibri"/>
                <w:b/>
                <w:bCs/>
                <w:color w:val="000000"/>
                <w:lang w:eastAsia="nl-NL"/>
              </w:rPr>
              <w:t>18</w:t>
            </w:r>
          </w:p>
        </w:tc>
      </w:tr>
    </w:tbl>
    <w:p w:rsidR="00963EA5" w:rsidRDefault="00963EA5" w:rsidP="00963EA5">
      <w:pPr>
        <w:spacing w:line="360" w:lineRule="auto"/>
        <w:rPr>
          <w:lang w:val="en-US"/>
        </w:rPr>
      </w:pPr>
    </w:p>
    <w:p w:rsidR="008B78C7" w:rsidRDefault="008B78C7" w:rsidP="007675A0">
      <w:pPr>
        <w:spacing w:line="360" w:lineRule="auto"/>
        <w:rPr>
          <w:lang w:val="en-US"/>
        </w:rPr>
      </w:pPr>
    </w:p>
    <w:p w:rsidR="008B78C7" w:rsidRDefault="008B78C7" w:rsidP="008B78C7">
      <w:pPr>
        <w:rPr>
          <w:lang w:val="en-US"/>
        </w:rPr>
      </w:pPr>
    </w:p>
    <w:p w:rsidR="008B78C7" w:rsidRDefault="008B78C7" w:rsidP="008B78C7">
      <w:pPr>
        <w:rPr>
          <w:lang w:val="en-US"/>
        </w:rPr>
      </w:pPr>
    </w:p>
    <w:p w:rsidR="008B78C7" w:rsidRDefault="008B78C7" w:rsidP="008B78C7">
      <w:pPr>
        <w:rPr>
          <w:lang w:val="en-US"/>
        </w:rPr>
      </w:pPr>
    </w:p>
    <w:p w:rsidR="008B78C7" w:rsidRDefault="008B78C7" w:rsidP="008B78C7">
      <w:pPr>
        <w:rPr>
          <w:lang w:val="en-US"/>
        </w:rPr>
      </w:pPr>
    </w:p>
    <w:p w:rsidR="008B78C7" w:rsidRDefault="008B78C7" w:rsidP="008B78C7">
      <w:pPr>
        <w:rPr>
          <w:lang w:val="en-US"/>
        </w:rPr>
      </w:pPr>
    </w:p>
    <w:p w:rsidR="008B78C7" w:rsidRDefault="008B78C7" w:rsidP="008B78C7">
      <w:pPr>
        <w:rPr>
          <w:lang w:val="en-US"/>
        </w:rPr>
      </w:pPr>
    </w:p>
    <w:p w:rsidR="009362BF" w:rsidRPr="007753B7" w:rsidRDefault="002A6AC5" w:rsidP="007210EF">
      <w:pPr>
        <w:jc w:val="both"/>
        <w:rPr>
          <w:sz w:val="18"/>
          <w:szCs w:val="18"/>
          <w:lang w:val="en-US"/>
        </w:rPr>
      </w:pPr>
      <w:r>
        <w:rPr>
          <w:sz w:val="18"/>
          <w:szCs w:val="18"/>
          <w:lang w:val="en-US"/>
        </w:rPr>
        <w:t xml:space="preserve">Table </w:t>
      </w:r>
      <w:r w:rsidR="00582220">
        <w:rPr>
          <w:sz w:val="18"/>
          <w:szCs w:val="18"/>
          <w:lang w:val="en-US"/>
        </w:rPr>
        <w:t>8</w:t>
      </w:r>
      <w:r w:rsidRPr="002A6AC5">
        <w:rPr>
          <w:sz w:val="18"/>
          <w:szCs w:val="18"/>
          <w:lang w:val="en-US"/>
        </w:rPr>
        <w:t xml:space="preserve"> shows the Z variables used in the </w:t>
      </w:r>
      <w:r w:rsidR="004D3C74">
        <w:rPr>
          <w:sz w:val="18"/>
          <w:szCs w:val="18"/>
          <w:lang w:val="en-US"/>
        </w:rPr>
        <w:t xml:space="preserve">underwriter rank </w:t>
      </w:r>
      <w:r w:rsidRPr="002A6AC5">
        <w:rPr>
          <w:sz w:val="18"/>
          <w:szCs w:val="18"/>
          <w:lang w:val="en-US"/>
        </w:rPr>
        <w:t xml:space="preserve">MRA. All variables are dummy variables. The number </w:t>
      </w:r>
      <w:r w:rsidR="00E82848">
        <w:rPr>
          <w:sz w:val="18"/>
          <w:szCs w:val="18"/>
          <w:lang w:val="en-US"/>
        </w:rPr>
        <w:t>indicates the amount of 1</w:t>
      </w:r>
      <w:r w:rsidRPr="002A6AC5">
        <w:rPr>
          <w:sz w:val="18"/>
          <w:szCs w:val="18"/>
          <w:lang w:val="en-US"/>
        </w:rPr>
        <w:t>s in the dataset, f</w:t>
      </w:r>
      <w:r>
        <w:rPr>
          <w:sz w:val="18"/>
          <w:szCs w:val="18"/>
          <w:lang w:val="en-US"/>
        </w:rPr>
        <w:t>or instance 37 out</w:t>
      </w:r>
      <w:r w:rsidR="00D320D0">
        <w:rPr>
          <w:sz w:val="18"/>
          <w:szCs w:val="18"/>
          <w:lang w:val="en-US"/>
        </w:rPr>
        <w:t xml:space="preserve"> of</w:t>
      </w:r>
      <w:r>
        <w:rPr>
          <w:sz w:val="18"/>
          <w:szCs w:val="18"/>
          <w:lang w:val="en-US"/>
        </w:rPr>
        <w:t xml:space="preserve"> </w:t>
      </w:r>
      <w:r w:rsidR="002B0354">
        <w:rPr>
          <w:sz w:val="18"/>
          <w:szCs w:val="18"/>
          <w:lang w:val="en-US"/>
        </w:rPr>
        <w:t>49</w:t>
      </w:r>
      <w:r w:rsidRPr="002A6AC5">
        <w:rPr>
          <w:sz w:val="18"/>
          <w:szCs w:val="18"/>
          <w:lang w:val="en-US"/>
        </w:rPr>
        <w:t xml:space="preserve"> estimates </w:t>
      </w:r>
      <w:r w:rsidR="00F60D5F">
        <w:rPr>
          <w:sz w:val="18"/>
          <w:szCs w:val="18"/>
          <w:lang w:val="en-US"/>
        </w:rPr>
        <w:t>were</w:t>
      </w:r>
      <w:r w:rsidRPr="002A6AC5">
        <w:rPr>
          <w:sz w:val="18"/>
          <w:szCs w:val="18"/>
          <w:lang w:val="en-US"/>
        </w:rPr>
        <w:t xml:space="preserve"> obtained from articles that </w:t>
      </w:r>
      <w:r w:rsidR="00F60D5F">
        <w:rPr>
          <w:sz w:val="18"/>
          <w:szCs w:val="18"/>
          <w:lang w:val="en-US"/>
        </w:rPr>
        <w:t>were</w:t>
      </w:r>
      <w:r>
        <w:rPr>
          <w:sz w:val="18"/>
          <w:szCs w:val="18"/>
          <w:lang w:val="en-US"/>
        </w:rPr>
        <w:t xml:space="preserve"> published in Star Journals.</w:t>
      </w:r>
      <w:r w:rsidR="004D3C74">
        <w:rPr>
          <w:sz w:val="18"/>
          <w:szCs w:val="18"/>
          <w:lang w:val="en-US"/>
        </w:rPr>
        <w:t xml:space="preserve"> The table includes time dummies. The ‘Returns not market adjusted dummy’ indicates that returns were not adjusted for market returns in calculating underpricing. The ‘More than 1 week dummy’ indicates that a closing price from trading day 6-21 was used in calculating underpricing. The ‘exclude </w:t>
      </w:r>
      <w:r w:rsidR="00F60C96">
        <w:rPr>
          <w:sz w:val="18"/>
          <w:szCs w:val="18"/>
          <w:lang w:val="en-US"/>
        </w:rPr>
        <w:t>Best Efforts</w:t>
      </w:r>
      <w:r w:rsidR="004D3C74">
        <w:rPr>
          <w:sz w:val="18"/>
          <w:szCs w:val="18"/>
          <w:lang w:val="en-US"/>
        </w:rPr>
        <w:t>, financials and small firms dummies’ describe the dataset used in the original regression. The ‘excludes p</w:t>
      </w:r>
      <w:r w:rsidR="000F0F3F">
        <w:rPr>
          <w:sz w:val="18"/>
          <w:szCs w:val="18"/>
          <w:lang w:val="en-US"/>
        </w:rPr>
        <w:t>roceeds dummy’ indicates that</w:t>
      </w:r>
      <w:r w:rsidR="004D3C74">
        <w:rPr>
          <w:sz w:val="18"/>
          <w:szCs w:val="18"/>
          <w:lang w:val="en-US"/>
        </w:rPr>
        <w:t xml:space="preserve"> a proceeds coefficient was </w:t>
      </w:r>
      <w:r w:rsidR="000F0F3F">
        <w:rPr>
          <w:sz w:val="18"/>
          <w:szCs w:val="18"/>
          <w:lang w:val="en-US"/>
        </w:rPr>
        <w:t xml:space="preserve">not </w:t>
      </w:r>
      <w:r w:rsidR="004D3C74">
        <w:rPr>
          <w:sz w:val="18"/>
          <w:szCs w:val="18"/>
          <w:lang w:val="en-US"/>
        </w:rPr>
        <w:t>included in the original regression.</w:t>
      </w:r>
      <w:r w:rsidR="003E4EC1">
        <w:rPr>
          <w:sz w:val="18"/>
          <w:szCs w:val="18"/>
          <w:lang w:val="en-US"/>
        </w:rPr>
        <w:t xml:space="preserve"> The ‘exclu</w:t>
      </w:r>
      <w:r w:rsidR="000F0F3F">
        <w:rPr>
          <w:sz w:val="18"/>
          <w:szCs w:val="18"/>
          <w:lang w:val="en-US"/>
        </w:rPr>
        <w:t>des age dummy’ indicates that</w:t>
      </w:r>
      <w:r w:rsidR="003E4EC1">
        <w:rPr>
          <w:sz w:val="18"/>
          <w:szCs w:val="18"/>
          <w:lang w:val="en-US"/>
        </w:rPr>
        <w:t xml:space="preserve"> an age coefficient was</w:t>
      </w:r>
      <w:r w:rsidR="000F0F3F">
        <w:rPr>
          <w:sz w:val="18"/>
          <w:szCs w:val="18"/>
          <w:lang w:val="en-US"/>
        </w:rPr>
        <w:t xml:space="preserve"> not</w:t>
      </w:r>
      <w:r w:rsidR="003E4EC1">
        <w:rPr>
          <w:sz w:val="18"/>
          <w:szCs w:val="18"/>
          <w:lang w:val="en-US"/>
        </w:rPr>
        <w:t xml:space="preserve"> included in the original regression.</w:t>
      </w:r>
    </w:p>
    <w:p w:rsidR="00CB7BA4" w:rsidRPr="00F363D8" w:rsidRDefault="00CB7BA4" w:rsidP="007675A0">
      <w:pPr>
        <w:spacing w:after="0" w:line="240" w:lineRule="auto"/>
        <w:rPr>
          <w:noProof/>
          <w:lang w:val="en-US" w:eastAsia="nl-NL"/>
        </w:rPr>
      </w:pPr>
    </w:p>
    <w:p w:rsidR="006A3726" w:rsidRPr="002A6AC5" w:rsidRDefault="006A3726" w:rsidP="006A3726">
      <w:pPr>
        <w:rPr>
          <w:sz w:val="18"/>
          <w:szCs w:val="18"/>
          <w:lang w:val="en-US"/>
        </w:rPr>
      </w:pPr>
      <m:oMath>
        <m:r>
          <w:rPr>
            <w:rFonts w:ascii="Cambria Math" w:hAnsi="Cambria Math"/>
            <w:lang w:val="en-US"/>
          </w:rPr>
          <m:t xml:space="preserve">Underwriter rank coefficient= β+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r>
          <w:rPr>
            <w:rFonts w:ascii="Cambria Math" w:hAnsi="Cambria Math"/>
            <w:lang w:val="en-US"/>
          </w:rPr>
          <m:t xml:space="preserve">90&amp;Int+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 xml:space="preserve">Madj+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r>
          <w:rPr>
            <w:rFonts w:ascii="Cambria Math" w:hAnsi="Cambria Math"/>
            <w:lang w:val="en-US"/>
          </w:rPr>
          <m:t>M1wk+</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4</m:t>
            </m:r>
          </m:sub>
        </m:sSub>
        <m:r>
          <w:rPr>
            <w:rFonts w:ascii="Cambria Math" w:hAnsi="Cambria Math"/>
            <w:lang w:val="en-US"/>
          </w:rPr>
          <m:t>ExBE+</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r>
          <w:rPr>
            <w:rFonts w:ascii="Cambria Math" w:hAnsi="Cambria Math"/>
            <w:lang w:val="en-US"/>
          </w:rPr>
          <m:t xml:space="preserve">ExFin+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6</m:t>
            </m:r>
          </m:sub>
        </m:sSub>
        <m:r>
          <w:rPr>
            <w:rFonts w:ascii="Cambria Math" w:hAnsi="Cambria Math"/>
            <w:lang w:val="en-US"/>
          </w:rPr>
          <m:t xml:space="preserve">ExSF+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7</m:t>
            </m:r>
          </m:sub>
        </m:sSub>
        <m:r>
          <w:rPr>
            <w:rFonts w:ascii="Cambria Math" w:hAnsi="Cambria Math"/>
            <w:lang w:val="en-US"/>
          </w:rPr>
          <m:t>ExPR</m:t>
        </m:r>
        <m:r>
          <w:rPr>
            <w:rFonts w:ascii="Cambria Math" w:hAnsi="Cambria Math"/>
            <w:lang w:val="en-US"/>
          </w:rPr>
          <m:t xml:space="preserve">O+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8</m:t>
            </m:r>
          </m:sub>
        </m:sSub>
        <m:r>
          <w:rPr>
            <w:rFonts w:ascii="Cambria Math" w:hAnsi="Cambria Math"/>
            <w:lang w:val="en-US"/>
          </w:rPr>
          <m:t xml:space="preserve">ExAGE+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 xml:space="preserve">  </m:t>
        </m:r>
      </m:oMath>
      <w:r w:rsidR="00A55079">
        <w:rPr>
          <w:rFonts w:eastAsiaTheme="minorEastAsia"/>
          <w:lang w:val="en-US"/>
        </w:rPr>
        <w:tab/>
      </w:r>
      <w:r w:rsidR="00A55079">
        <w:rPr>
          <w:rFonts w:eastAsiaTheme="minorEastAsia"/>
          <w:lang w:val="en-US"/>
        </w:rPr>
        <w:tab/>
      </w:r>
      <w:r w:rsidR="00A55079">
        <w:rPr>
          <w:rFonts w:eastAsiaTheme="minorEastAsia"/>
          <w:lang w:val="en-US"/>
        </w:rPr>
        <w:tab/>
      </w:r>
      <w:r w:rsidR="007753B7">
        <w:rPr>
          <w:rFonts w:eastAsiaTheme="minorEastAsia"/>
          <w:lang w:val="en-US"/>
        </w:rPr>
        <w:tab/>
      </w:r>
      <w:r w:rsidR="00D320D0">
        <w:rPr>
          <w:rFonts w:eastAsiaTheme="minorEastAsia"/>
          <w:lang w:val="en-US"/>
        </w:rPr>
        <w:tab/>
      </w:r>
      <w:r w:rsidR="007753B7">
        <w:rPr>
          <w:rFonts w:eastAsiaTheme="minorEastAsia"/>
          <w:lang w:val="en-US"/>
        </w:rPr>
        <w:tab/>
      </w:r>
      <w:r w:rsidR="00A55079">
        <w:rPr>
          <w:rFonts w:eastAsiaTheme="minorEastAsia"/>
          <w:lang w:val="en-US"/>
        </w:rPr>
        <w:t>(</w:t>
      </w:r>
      <w:r w:rsidR="007E5C57">
        <w:rPr>
          <w:rFonts w:eastAsiaTheme="minorEastAsia"/>
          <w:lang w:val="en-US"/>
        </w:rPr>
        <w:t>7</w:t>
      </w:r>
      <w:r w:rsidR="00A55079">
        <w:rPr>
          <w:rFonts w:eastAsiaTheme="minorEastAsia"/>
          <w:lang w:val="en-US"/>
        </w:rPr>
        <w:t>)</w:t>
      </w:r>
    </w:p>
    <w:p w:rsidR="00CD1557" w:rsidRPr="007753B7" w:rsidRDefault="00CD1557" w:rsidP="00CD1557">
      <w:pPr>
        <w:spacing w:line="360" w:lineRule="auto"/>
        <w:rPr>
          <w:b/>
          <w:color w:val="FF0000"/>
          <w:lang w:val="en-US"/>
        </w:rPr>
      </w:pPr>
      <w:r w:rsidRPr="00B16B5D">
        <w:rPr>
          <w:rFonts w:ascii="Calibri" w:eastAsia="Times New Roman" w:hAnsi="Calibri" w:cs="Times New Roman"/>
          <w:lang w:val="en-US"/>
        </w:rPr>
        <w:t xml:space="preserve">The preliminary test used in section </w:t>
      </w:r>
      <w:r w:rsidR="008771B2">
        <w:rPr>
          <w:rFonts w:ascii="Calibri" w:eastAsia="Times New Roman" w:hAnsi="Calibri" w:cs="Times New Roman"/>
          <w:lang w:val="en-US"/>
        </w:rPr>
        <w:t>5</w:t>
      </w:r>
      <w:r w:rsidRPr="00B16B5D">
        <w:rPr>
          <w:rFonts w:ascii="Calibri" w:eastAsia="Times New Roman" w:hAnsi="Calibri" w:cs="Times New Roman"/>
          <w:lang w:val="en-US"/>
        </w:rPr>
        <w:t xml:space="preserve">.2.1. </w:t>
      </w:r>
      <w:proofErr w:type="gramStart"/>
      <w:r w:rsidRPr="00B16B5D">
        <w:rPr>
          <w:rFonts w:ascii="Calibri" w:eastAsia="Times New Roman" w:hAnsi="Calibri" w:cs="Times New Roman"/>
          <w:lang w:val="en-US"/>
        </w:rPr>
        <w:t>is</w:t>
      </w:r>
      <w:proofErr w:type="gramEnd"/>
      <w:r w:rsidRPr="00B16B5D">
        <w:rPr>
          <w:rFonts w:ascii="Calibri" w:eastAsia="Times New Roman" w:hAnsi="Calibri" w:cs="Times New Roman"/>
          <w:lang w:val="en-US"/>
        </w:rPr>
        <w:t xml:space="preserve"> applied to test the dummies for explanatory power. The dummy variables are </w:t>
      </w:r>
      <w:r w:rsidR="00B16B5D" w:rsidRPr="00B16B5D">
        <w:rPr>
          <w:rFonts w:ascii="Calibri" w:eastAsia="Times New Roman" w:hAnsi="Calibri" w:cs="Times New Roman"/>
          <w:lang w:val="en-US"/>
        </w:rPr>
        <w:t xml:space="preserve">excluded from equation </w:t>
      </w:r>
      <w:r w:rsidR="007E5C57">
        <w:rPr>
          <w:rFonts w:ascii="Calibri" w:eastAsia="Times New Roman" w:hAnsi="Calibri" w:cs="Times New Roman"/>
          <w:lang w:val="en-US"/>
        </w:rPr>
        <w:t>7</w:t>
      </w:r>
      <w:r w:rsidR="00B16B5D" w:rsidRPr="00B16B5D">
        <w:rPr>
          <w:rFonts w:ascii="Calibri" w:eastAsia="Times New Roman" w:hAnsi="Calibri" w:cs="Times New Roman"/>
          <w:lang w:val="en-US"/>
        </w:rPr>
        <w:t xml:space="preserve"> one at the time</w:t>
      </w:r>
      <w:r w:rsidRPr="00B16B5D">
        <w:rPr>
          <w:rFonts w:ascii="Calibri" w:eastAsia="Times New Roman" w:hAnsi="Calibri" w:cs="Times New Roman"/>
          <w:lang w:val="en-US"/>
        </w:rPr>
        <w:t xml:space="preserve"> and the </w:t>
      </w:r>
      <w:r w:rsidR="00B16B5D" w:rsidRPr="00B16B5D">
        <w:rPr>
          <w:rFonts w:ascii="Calibri" w:eastAsia="Times New Roman" w:hAnsi="Calibri" w:cs="Times New Roman"/>
          <w:lang w:val="en-US"/>
        </w:rPr>
        <w:t>change in</w:t>
      </w:r>
      <w:r w:rsidRPr="00B16B5D">
        <w:rPr>
          <w:rFonts w:ascii="Calibri" w:eastAsia="Times New Roman" w:hAnsi="Calibri" w:cs="Times New Roman"/>
          <w:lang w:val="en-US"/>
        </w:rPr>
        <w:t xml:space="preserve"> adjusted r-square is calculated. The results of the preliminary test are shown in appendix 1. </w:t>
      </w:r>
      <w:r w:rsidR="002B0354">
        <w:rPr>
          <w:rFonts w:ascii="Calibri" w:eastAsia="Times New Roman" w:hAnsi="Calibri" w:cs="Times New Roman"/>
          <w:lang w:val="en-US"/>
        </w:rPr>
        <w:t xml:space="preserve">The </w:t>
      </w:r>
      <w:r w:rsidR="001E30D6">
        <w:rPr>
          <w:rFonts w:ascii="Calibri" w:eastAsia="Times New Roman" w:hAnsi="Calibri" w:cs="Times New Roman"/>
          <w:lang w:val="en-US"/>
        </w:rPr>
        <w:t xml:space="preserve">returns not market adjusted dummy, the </w:t>
      </w:r>
      <w:r w:rsidR="002B0354">
        <w:rPr>
          <w:rFonts w:ascii="Calibri" w:eastAsia="Times New Roman" w:hAnsi="Calibri" w:cs="Times New Roman"/>
          <w:lang w:val="en-US"/>
        </w:rPr>
        <w:t xml:space="preserve">exclude financials dummy and </w:t>
      </w:r>
      <w:proofErr w:type="gramStart"/>
      <w:r w:rsidR="002B0354">
        <w:rPr>
          <w:rFonts w:ascii="Calibri" w:eastAsia="Times New Roman" w:hAnsi="Calibri" w:cs="Times New Roman"/>
          <w:lang w:val="en-US"/>
        </w:rPr>
        <w:t>the excludes</w:t>
      </w:r>
      <w:proofErr w:type="gramEnd"/>
      <w:r w:rsidR="002B0354">
        <w:rPr>
          <w:rFonts w:ascii="Calibri" w:eastAsia="Times New Roman" w:hAnsi="Calibri" w:cs="Times New Roman"/>
          <w:lang w:val="en-US"/>
        </w:rPr>
        <w:t xml:space="preserve"> proceeds dummy do</w:t>
      </w:r>
      <w:r w:rsidRPr="00B16B5D">
        <w:rPr>
          <w:rFonts w:ascii="Calibri" w:eastAsia="Times New Roman" w:hAnsi="Calibri" w:cs="Times New Roman"/>
          <w:lang w:val="en-US"/>
        </w:rPr>
        <w:t xml:space="preserve"> not add explanatory power and </w:t>
      </w:r>
      <w:r w:rsidR="002B0354">
        <w:rPr>
          <w:rFonts w:ascii="Calibri" w:eastAsia="Times New Roman" w:hAnsi="Calibri" w:cs="Times New Roman"/>
          <w:lang w:val="en-US"/>
        </w:rPr>
        <w:t>are</w:t>
      </w:r>
      <w:r w:rsidRPr="00B16B5D">
        <w:rPr>
          <w:rFonts w:ascii="Calibri" w:eastAsia="Times New Roman" w:hAnsi="Calibri" w:cs="Times New Roman"/>
          <w:lang w:val="en-US"/>
        </w:rPr>
        <w:t xml:space="preserve"> dropped from the MRA equation. The final MRA equation for </w:t>
      </w:r>
      <w:r w:rsidR="00B16B5D" w:rsidRPr="00B16B5D">
        <w:rPr>
          <w:rFonts w:ascii="Calibri" w:eastAsia="Times New Roman" w:hAnsi="Calibri" w:cs="Times New Roman"/>
          <w:lang w:val="en-US"/>
        </w:rPr>
        <w:t>underwriter reputation</w:t>
      </w:r>
      <w:r w:rsidRPr="00B16B5D">
        <w:rPr>
          <w:rFonts w:ascii="Calibri" w:eastAsia="Times New Roman" w:hAnsi="Calibri" w:cs="Times New Roman"/>
          <w:lang w:val="en-US"/>
        </w:rPr>
        <w:t xml:space="preserve"> is given by equation </w:t>
      </w:r>
      <w:r w:rsidR="007E5C57">
        <w:rPr>
          <w:rFonts w:ascii="Calibri" w:eastAsia="Times New Roman" w:hAnsi="Calibri" w:cs="Times New Roman"/>
          <w:lang w:val="en-US"/>
        </w:rPr>
        <w:t>8</w:t>
      </w:r>
      <w:r w:rsidRPr="00B16B5D">
        <w:rPr>
          <w:rFonts w:ascii="Calibri" w:eastAsia="Times New Roman" w:hAnsi="Calibri" w:cs="Times New Roman"/>
          <w:lang w:val="en-US"/>
        </w:rPr>
        <w:t>.</w:t>
      </w:r>
      <w:r w:rsidRPr="007753B7">
        <w:rPr>
          <w:rFonts w:ascii="Calibri" w:eastAsia="Times New Roman" w:hAnsi="Calibri" w:cs="Times New Roman"/>
          <w:color w:val="FF0000"/>
          <w:lang w:val="en-US"/>
        </w:rPr>
        <w:t xml:space="preserve"> </w:t>
      </w:r>
    </w:p>
    <w:p w:rsidR="00C72939" w:rsidRPr="00ED271E" w:rsidRDefault="00CD1557" w:rsidP="00ED271E">
      <w:pPr>
        <w:rPr>
          <w:sz w:val="18"/>
          <w:szCs w:val="18"/>
          <w:lang w:val="en-US"/>
        </w:rPr>
      </w:pPr>
      <m:oMath>
        <m:r>
          <w:rPr>
            <w:rFonts w:ascii="Cambria Math" w:hAnsi="Cambria Math"/>
            <w:lang w:val="en-US"/>
          </w:rPr>
          <m:t xml:space="preserve">Underwriter rank coefficient= β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r>
          <w:rPr>
            <w:rFonts w:ascii="Cambria Math" w:hAnsi="Cambria Math"/>
            <w:lang w:val="en-US"/>
          </w:rPr>
          <m:t xml:space="preserve">90&amp;Int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 xml:space="preserve">M1wk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3</m:t>
            </m:r>
          </m:sub>
        </m:sSub>
        <m:r>
          <w:rPr>
            <w:rFonts w:ascii="Cambria Math" w:hAnsi="Cambria Math"/>
            <w:lang w:val="en-US"/>
          </w:rPr>
          <m:t xml:space="preserve">ExBE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4</m:t>
            </m:r>
          </m:sub>
        </m:sSub>
        <m:r>
          <w:rPr>
            <w:rFonts w:ascii="Cambria Math" w:hAnsi="Cambria Math"/>
            <w:lang w:val="en-US"/>
          </w:rPr>
          <m:t xml:space="preserve">ExSF +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5</m:t>
            </m:r>
          </m:sub>
        </m:sSub>
        <m:r>
          <w:rPr>
            <w:rFonts w:ascii="Cambria Math" w:hAnsi="Cambria Math"/>
            <w:lang w:val="en-US"/>
          </w:rPr>
          <m:t xml:space="preserve">ExAGE +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r>
          <w:rPr>
            <w:rFonts w:ascii="Cambria Math" w:hAnsi="Cambria Math"/>
            <w:lang w:val="en-US"/>
          </w:rPr>
          <m:t xml:space="preserve">  </m:t>
        </m:r>
      </m:oMath>
      <w:r>
        <w:rPr>
          <w:rFonts w:eastAsiaTheme="minorEastAsia"/>
          <w:lang w:val="en-US"/>
        </w:rPr>
        <w:tab/>
      </w:r>
      <w:r>
        <w:rPr>
          <w:rFonts w:eastAsiaTheme="minorEastAsia"/>
          <w:lang w:val="en-US"/>
        </w:rPr>
        <w:tab/>
      </w:r>
      <w:r>
        <w:rPr>
          <w:rFonts w:eastAsiaTheme="minorEastAsia"/>
          <w:lang w:val="en-US"/>
        </w:rPr>
        <w:tab/>
      </w:r>
      <w:r w:rsidR="007753B7">
        <w:rPr>
          <w:rFonts w:eastAsiaTheme="minorEastAsia"/>
          <w:lang w:val="en-US"/>
        </w:rPr>
        <w:tab/>
      </w:r>
      <w:r w:rsidR="007753B7">
        <w:rPr>
          <w:rFonts w:eastAsiaTheme="minorEastAsia"/>
          <w:lang w:val="en-US"/>
        </w:rPr>
        <w:tab/>
      </w:r>
      <w:r w:rsidR="00D320D0">
        <w:rPr>
          <w:rFonts w:eastAsiaTheme="minorEastAsia"/>
          <w:lang w:val="en-US"/>
        </w:rPr>
        <w:tab/>
      </w:r>
      <w:r w:rsidR="00D320D0">
        <w:rPr>
          <w:rFonts w:eastAsiaTheme="minorEastAsia"/>
          <w:lang w:val="en-US"/>
        </w:rPr>
        <w:tab/>
      </w:r>
      <w:r w:rsidR="00D320D0">
        <w:rPr>
          <w:rFonts w:eastAsiaTheme="minorEastAsia"/>
          <w:lang w:val="en-US"/>
        </w:rPr>
        <w:tab/>
      </w:r>
      <w:r w:rsidR="00D320D0">
        <w:rPr>
          <w:rFonts w:eastAsiaTheme="minorEastAsia"/>
          <w:lang w:val="en-US"/>
        </w:rPr>
        <w:tab/>
      </w:r>
      <w:r w:rsidR="007753B7">
        <w:rPr>
          <w:rFonts w:eastAsiaTheme="minorEastAsia"/>
          <w:lang w:val="en-US"/>
        </w:rPr>
        <w:tab/>
      </w:r>
      <w:r>
        <w:rPr>
          <w:rFonts w:eastAsiaTheme="minorEastAsia"/>
          <w:lang w:val="en-US"/>
        </w:rPr>
        <w:t>(</w:t>
      </w:r>
      <w:r w:rsidR="007E5C57">
        <w:rPr>
          <w:rFonts w:eastAsiaTheme="minorEastAsia"/>
          <w:lang w:val="en-US"/>
        </w:rPr>
        <w:t>8</w:t>
      </w:r>
      <w:r>
        <w:rPr>
          <w:rFonts w:eastAsiaTheme="minorEastAsia"/>
          <w:lang w:val="en-US"/>
        </w:rPr>
        <w:t>)</w:t>
      </w:r>
    </w:p>
    <w:p w:rsidR="008771B2" w:rsidRDefault="008771B2">
      <w:pPr>
        <w:rPr>
          <w:b/>
          <w:lang w:val="en-US"/>
        </w:rPr>
      </w:pPr>
      <w:r>
        <w:rPr>
          <w:b/>
          <w:lang w:val="en-US"/>
        </w:rPr>
        <w:br w:type="page"/>
      </w:r>
    </w:p>
    <w:p w:rsidR="00293CC3" w:rsidRPr="00FD4580" w:rsidRDefault="00C72939" w:rsidP="00FD4580">
      <w:pPr>
        <w:ind w:left="1418" w:hanging="851"/>
        <w:rPr>
          <w:sz w:val="18"/>
          <w:szCs w:val="18"/>
          <w:lang w:val="en-US"/>
        </w:rPr>
      </w:pPr>
      <w:r>
        <w:rPr>
          <w:b/>
          <w:lang w:val="en-US"/>
        </w:rPr>
        <w:lastRenderedPageBreak/>
        <w:t>5</w:t>
      </w:r>
      <w:r w:rsidR="00293CC3">
        <w:rPr>
          <w:b/>
          <w:lang w:val="en-US"/>
        </w:rPr>
        <w:t>.3.</w:t>
      </w:r>
      <w:r w:rsidR="00293CC3">
        <w:rPr>
          <w:b/>
          <w:lang w:val="en-US"/>
        </w:rPr>
        <w:tab/>
        <w:t xml:space="preserve"> </w:t>
      </w:r>
      <w:r w:rsidR="00293CC3" w:rsidRPr="0030498B">
        <w:rPr>
          <w:b/>
          <w:lang w:val="en-US"/>
        </w:rPr>
        <w:t>Publication Bias</w:t>
      </w:r>
    </w:p>
    <w:p w:rsidR="00293CC3" w:rsidRDefault="00293CC3" w:rsidP="00293CC3">
      <w:pPr>
        <w:spacing w:line="360" w:lineRule="auto"/>
        <w:rPr>
          <w:lang w:val="en-US"/>
        </w:rPr>
      </w:pPr>
      <w:r>
        <w:rPr>
          <w:lang w:val="en-US"/>
        </w:rPr>
        <w:t>So far</w:t>
      </w:r>
      <w:r w:rsidR="00E11F56">
        <w:rPr>
          <w:lang w:val="en-US"/>
        </w:rPr>
        <w:t>,</w:t>
      </w:r>
      <w:r>
        <w:rPr>
          <w:lang w:val="en-US"/>
        </w:rPr>
        <w:t xml:space="preserve"> I have talked about study characteristics that co</w:t>
      </w:r>
      <w:r w:rsidR="00D754A0">
        <w:rPr>
          <w:lang w:val="en-US"/>
        </w:rPr>
        <w:t>uld influence the estimated</w:t>
      </w:r>
      <w:r>
        <w:rPr>
          <w:lang w:val="en-US"/>
        </w:rPr>
        <w:t xml:space="preserve"> </w:t>
      </w:r>
      <w:r w:rsidR="00D754A0" w:rsidRPr="00D754A0">
        <w:rPr>
          <w:lang w:val="en-US"/>
        </w:rPr>
        <w:t>regression coefficient</w:t>
      </w:r>
      <w:r w:rsidRPr="00D754A0">
        <w:rPr>
          <w:lang w:val="en-US"/>
        </w:rPr>
        <w:t>.</w:t>
      </w:r>
      <w:r>
        <w:rPr>
          <w:lang w:val="en-US"/>
        </w:rPr>
        <w:t xml:space="preserve"> However, Meta analysis can also be used to study another important topic in scientific literature, known as </w:t>
      </w:r>
      <w:r w:rsidR="00582220">
        <w:rPr>
          <w:lang w:val="en-US"/>
        </w:rPr>
        <w:t>publication bias</w:t>
      </w:r>
      <w:r>
        <w:rPr>
          <w:lang w:val="en-US"/>
        </w:rPr>
        <w:t xml:space="preserve">. </w:t>
      </w:r>
      <w:r w:rsidR="00582220">
        <w:rPr>
          <w:lang w:val="en-US"/>
        </w:rPr>
        <w:t>Publication bias</w:t>
      </w:r>
      <w:r>
        <w:rPr>
          <w:lang w:val="en-US"/>
        </w:rPr>
        <w:t xml:space="preserve"> could arise when studies are accepted for publication based on statistical significance or the size of the reported findings. A popular problem associated with publication bias is the so-called file drawer problem (Rosenthal, 1979; </w:t>
      </w:r>
      <w:r w:rsidRPr="00DA63D3">
        <w:rPr>
          <w:lang w:val="en-US"/>
        </w:rPr>
        <w:t xml:space="preserve">Iyengar </w:t>
      </w:r>
      <w:r>
        <w:rPr>
          <w:lang w:val="en-US"/>
        </w:rPr>
        <w:t>&amp;</w:t>
      </w:r>
      <w:r w:rsidRPr="00DA63D3">
        <w:rPr>
          <w:lang w:val="en-US"/>
        </w:rPr>
        <w:t xml:space="preserve"> Greenhouse, 1988</w:t>
      </w:r>
      <w:r>
        <w:rPr>
          <w:lang w:val="en-US"/>
        </w:rPr>
        <w:t xml:space="preserve">). Let’s say that the true </w:t>
      </w:r>
      <w:r w:rsidR="00D754A0">
        <w:rPr>
          <w:lang w:val="en-US"/>
        </w:rPr>
        <w:t xml:space="preserve">relation between two </w:t>
      </w:r>
      <w:r w:rsidR="00D754A0" w:rsidRPr="00D754A0">
        <w:rPr>
          <w:lang w:val="en-US"/>
        </w:rPr>
        <w:t>variables</w:t>
      </w:r>
      <w:r w:rsidRPr="00D754A0">
        <w:rPr>
          <w:lang w:val="en-US"/>
        </w:rPr>
        <w:t xml:space="preserve"> is </w:t>
      </w:r>
      <w:r w:rsidR="00D754A0" w:rsidRPr="00D754A0">
        <w:rPr>
          <w:lang w:val="en-US"/>
        </w:rPr>
        <w:t>non-existent</w:t>
      </w:r>
      <w:r>
        <w:rPr>
          <w:lang w:val="en-US"/>
        </w:rPr>
        <w:t xml:space="preserve">. If we run a regression and use a t-test for significance, we might find significant results in some cases due to random sampling error. If 1,000 tests are performed and only significant findings will be reported (the most extreme case of </w:t>
      </w:r>
      <w:r w:rsidR="00582220">
        <w:rPr>
          <w:lang w:val="en-US"/>
        </w:rPr>
        <w:t>publication bias</w:t>
      </w:r>
      <w:r>
        <w:rPr>
          <w:lang w:val="en-US"/>
        </w:rPr>
        <w:t xml:space="preserve">) we will have a substantial amount of articles reporting a significant relationship, when in fact there is none (type 2 error). The studies that draw the right conclusion </w:t>
      </w:r>
      <w:r w:rsidR="006416B8">
        <w:rPr>
          <w:lang w:val="en-US"/>
        </w:rPr>
        <w:t xml:space="preserve">are stored in a ‘desk </w:t>
      </w:r>
      <w:proofErr w:type="gramStart"/>
      <w:r w:rsidR="006416B8">
        <w:rPr>
          <w:lang w:val="en-US"/>
        </w:rPr>
        <w:t>drawer’,</w:t>
      </w:r>
      <w:proofErr w:type="gramEnd"/>
      <w:r w:rsidR="006416B8">
        <w:rPr>
          <w:lang w:val="en-US"/>
        </w:rPr>
        <w:t xml:space="preserve"> w</w:t>
      </w:r>
      <w:r>
        <w:rPr>
          <w:lang w:val="en-US"/>
        </w:rPr>
        <w:t>e call this a type 1 error</w:t>
      </w:r>
      <w:r>
        <w:rPr>
          <w:rStyle w:val="FootnoteReference"/>
          <w:lang w:val="en-US"/>
        </w:rPr>
        <w:footnoteReference w:id="36"/>
      </w:r>
      <w:r>
        <w:rPr>
          <w:lang w:val="en-US"/>
        </w:rPr>
        <w:t xml:space="preserve"> (Rosenthal, 1979). This kind of problem could arise when significant results are more likely to be published, but also because authors may be less likely to submit insignificant results (Stanley 2005). </w:t>
      </w:r>
    </w:p>
    <w:p w:rsidR="00293CC3" w:rsidRDefault="00293CC3" w:rsidP="00293CC3">
      <w:pPr>
        <w:spacing w:after="0" w:line="360" w:lineRule="auto"/>
        <w:rPr>
          <w:lang w:val="en-US"/>
        </w:rPr>
      </w:pPr>
      <w:r>
        <w:rPr>
          <w:lang w:val="en-US"/>
        </w:rPr>
        <w:t xml:space="preserve">One way to test for publication </w:t>
      </w:r>
      <w:proofErr w:type="gramStart"/>
      <w:r>
        <w:rPr>
          <w:lang w:val="en-US"/>
        </w:rPr>
        <w:t>bias</w:t>
      </w:r>
      <w:r w:rsidR="006416B8">
        <w:rPr>
          <w:lang w:val="en-US"/>
        </w:rPr>
        <w:t>,</w:t>
      </w:r>
      <w:proofErr w:type="gramEnd"/>
      <w:r>
        <w:rPr>
          <w:lang w:val="en-US"/>
        </w:rPr>
        <w:t xml:space="preserve"> is by including the natural logarithm of the degrees of freedom in a Meta significance test (MST). Note that the sample size of a study should not influence the predicted coefficients, but only its standard deviation, which is smaller the larger the sample size. Therefore, in the absence of publication bias, the t-statistic rises with the sample size. Stanley (2001) proposes that in the absence of publication bias, the natural logarithm (of the absolute value) of the t-statistic should be positively related to the degrees of </w:t>
      </w:r>
      <w:r w:rsidR="00C448B1">
        <w:rPr>
          <w:lang w:val="en-US"/>
        </w:rPr>
        <w:t>freedom.</w:t>
      </w:r>
    </w:p>
    <w:p w:rsidR="00293CC3" w:rsidRDefault="00293CC3" w:rsidP="00293CC3">
      <w:pPr>
        <w:spacing w:after="0" w:line="360" w:lineRule="auto"/>
        <w:rPr>
          <w:color w:val="FF0000"/>
          <w:lang w:val="en-US"/>
        </w:rPr>
      </w:pPr>
    </w:p>
    <w:p w:rsidR="00293CC3" w:rsidRDefault="00293CC3" w:rsidP="00293CC3">
      <w:pPr>
        <w:spacing w:after="0" w:line="240" w:lineRule="auto"/>
        <w:rPr>
          <w:lang w:val="en-US"/>
        </w:rPr>
      </w:pPr>
      <w:r>
        <w:rPr>
          <w:lang w:val="en-US"/>
        </w:rPr>
        <w:t xml:space="preserve">                           </w:t>
      </w:r>
      <m:oMath>
        <m:func>
          <m:funcPr>
            <m:ctrlPr>
              <w:rPr>
                <w:rFonts w:ascii="Cambria Math" w:hAnsi="Cambria Math"/>
                <w:i/>
                <w:lang w:val="en-US"/>
              </w:rPr>
            </m:ctrlPr>
          </m:funcPr>
          <m:fName>
            <m:r>
              <w:rPr>
                <w:rFonts w:ascii="Cambria Math" w:hAnsi="Cambria Math"/>
                <w:lang w:val="en-US"/>
              </w:rPr>
              <m:t>ln</m:t>
            </m:r>
          </m:fName>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e>
            </m:d>
            <m:ctrlPr>
              <w:rPr>
                <w:rFonts w:ascii="Cambria Math" w:hAnsi="Cambria Math"/>
                <w:b/>
                <w:i/>
                <w:lang w:val="en-US"/>
              </w:rPr>
            </m:ctrlPr>
          </m:e>
        </m:func>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func>
          <m:funcPr>
            <m:ctrlPr>
              <w:rPr>
                <w:rFonts w:ascii="Cambria Math" w:hAnsi="Cambria Math"/>
                <w:i/>
                <w:lang w:val="en-US"/>
              </w:rPr>
            </m:ctrlPr>
          </m:funcPr>
          <m:fName>
            <m:r>
              <w:rPr>
                <w:rFonts w:ascii="Cambria Math" w:hAnsi="Cambria Math"/>
                <w:lang w:val="en-US"/>
              </w:rPr>
              <m:t>ln</m:t>
            </m:r>
          </m:fName>
          <m:e>
            <m:sSub>
              <m:sSubPr>
                <m:ctrlPr>
                  <w:rPr>
                    <w:rFonts w:ascii="Cambria Math" w:hAnsi="Cambria Math"/>
                    <w:i/>
                    <w:lang w:val="en-US"/>
                  </w:rPr>
                </m:ctrlPr>
              </m:sSubPr>
              <m:e>
                <m:r>
                  <w:rPr>
                    <w:rFonts w:ascii="Cambria Math" w:hAnsi="Cambria Math"/>
                    <w:lang w:val="en-US"/>
                  </w:rPr>
                  <m:t>df</m:t>
                </m:r>
              </m:e>
              <m:sub>
                <m:r>
                  <w:rPr>
                    <w:rFonts w:ascii="Cambria Math" w:hAnsi="Cambria Math"/>
                    <w:lang w:val="en-US"/>
                  </w:rPr>
                  <m:t>i</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m:t>
                </m:r>
              </m:sub>
            </m:sSub>
          </m:e>
        </m:func>
      </m:oMath>
      <w:r>
        <w:rPr>
          <w:lang w:val="en-US"/>
        </w:rPr>
        <w:tab/>
      </w:r>
      <w:r>
        <w:rPr>
          <w:lang w:val="en-US"/>
        </w:rPr>
        <w:tab/>
      </w:r>
      <w:r>
        <w:rPr>
          <w:lang w:val="en-US"/>
        </w:rPr>
        <w:tab/>
      </w:r>
      <w:r w:rsidR="00582220">
        <w:rPr>
          <w:lang w:val="en-US"/>
        </w:rPr>
        <w:tab/>
      </w:r>
      <w:r w:rsidR="00D320D0">
        <w:rPr>
          <w:lang w:val="en-US"/>
        </w:rPr>
        <w:tab/>
      </w:r>
      <w:r w:rsidR="00582220">
        <w:rPr>
          <w:lang w:val="en-US"/>
        </w:rPr>
        <w:tab/>
      </w:r>
      <w:r>
        <w:rPr>
          <w:lang w:val="en-US"/>
        </w:rPr>
        <w:t>(</w:t>
      </w:r>
      <w:r w:rsidR="007E5C57">
        <w:rPr>
          <w:lang w:val="en-US"/>
        </w:rPr>
        <w:t>9</w:t>
      </w:r>
      <w:r>
        <w:rPr>
          <w:lang w:val="en-US"/>
        </w:rPr>
        <w:t>)</w:t>
      </w:r>
    </w:p>
    <w:p w:rsidR="00293CC3" w:rsidRDefault="00293CC3" w:rsidP="00293CC3">
      <w:pPr>
        <w:spacing w:after="0" w:line="240" w:lineRule="auto"/>
        <w:rPr>
          <w:lang w:val="en-US"/>
        </w:rPr>
      </w:pPr>
    </w:p>
    <w:p w:rsidR="00293CC3" w:rsidRDefault="001C6613" w:rsidP="00293CC3">
      <w:pPr>
        <w:spacing w:after="0" w:line="360" w:lineRule="auto"/>
        <w:rPr>
          <w:lang w:val="en-US"/>
        </w:rPr>
      </w:pPr>
      <m:oMath>
        <m:func>
          <m:funcPr>
            <m:ctrlPr>
              <w:rPr>
                <w:rFonts w:ascii="Cambria Math" w:hAnsi="Cambria Math"/>
                <w:i/>
                <w:lang w:val="en-US"/>
              </w:rPr>
            </m:ctrlPr>
          </m:funcPr>
          <m:fName>
            <m:r>
              <w:rPr>
                <w:rFonts w:ascii="Cambria Math" w:hAnsi="Cambria Math"/>
                <w:lang w:val="en-US"/>
              </w:rPr>
              <m:t>ln</m:t>
            </m:r>
          </m:fName>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e>
            </m:d>
          </m:e>
        </m:func>
      </m:oMath>
      <w:r w:rsidR="00293CC3" w:rsidRPr="00930300">
        <w:rPr>
          <w:lang w:val="en-US"/>
        </w:rPr>
        <w:t xml:space="preserve"> Is the natural logarithm (of the absolute value) </w:t>
      </w:r>
      <w:r w:rsidR="00293CC3">
        <w:rPr>
          <w:lang w:val="en-US"/>
        </w:rPr>
        <w:t>of the t-</w:t>
      </w:r>
      <w:proofErr w:type="gramStart"/>
      <w:r w:rsidR="00293CC3" w:rsidRPr="00930300">
        <w:rPr>
          <w:lang w:val="en-US"/>
        </w:rPr>
        <w:t>statistic.</w:t>
      </w:r>
      <w:proofErr w:type="gramEnd"/>
      <w:r w:rsidR="00293CC3" w:rsidRPr="00930300">
        <w:rPr>
          <w:lang w:val="en-US"/>
        </w:rPr>
        <w:t xml:space="preserve"> The t-statistic belongs to the coefficient of interest in the original regression. </w:t>
      </w:r>
      <m:oMath>
        <m:func>
          <m:funcPr>
            <m:ctrlPr>
              <w:rPr>
                <w:rFonts w:ascii="Cambria Math" w:hAnsi="Cambria Math"/>
                <w:i/>
                <w:lang w:val="en-US"/>
              </w:rPr>
            </m:ctrlPr>
          </m:funcPr>
          <m:fName>
            <m:r>
              <w:rPr>
                <w:rFonts w:ascii="Cambria Math" w:hAnsi="Cambria Math"/>
                <w:lang w:val="en-US"/>
              </w:rPr>
              <m:t>ln</m:t>
            </m:r>
          </m:fName>
          <m:e>
            <m:sSub>
              <m:sSubPr>
                <m:ctrlPr>
                  <w:rPr>
                    <w:rFonts w:ascii="Cambria Math" w:hAnsi="Cambria Math"/>
                    <w:i/>
                    <w:lang w:val="en-US"/>
                  </w:rPr>
                </m:ctrlPr>
              </m:sSubPr>
              <m:e>
                <m:r>
                  <w:rPr>
                    <w:rFonts w:ascii="Cambria Math" w:hAnsi="Cambria Math"/>
                    <w:lang w:val="en-US"/>
                  </w:rPr>
                  <m:t>df</m:t>
                </m:r>
              </m:e>
              <m:sub>
                <m:r>
                  <w:rPr>
                    <w:rFonts w:ascii="Cambria Math" w:hAnsi="Cambria Math"/>
                    <w:lang w:val="en-US"/>
                  </w:rPr>
                  <m:t>i</m:t>
                </m:r>
              </m:sub>
            </m:sSub>
            <m:r>
              <w:rPr>
                <w:rFonts w:ascii="Cambria Math" w:hAnsi="Cambria Math"/>
                <w:lang w:val="en-US"/>
              </w:rPr>
              <m:t xml:space="preserve"> </m:t>
            </m:r>
          </m:e>
        </m:func>
      </m:oMath>
      <w:r w:rsidR="00293CC3" w:rsidRPr="00930300">
        <w:rPr>
          <w:lang w:val="en-US"/>
        </w:rPr>
        <w:t xml:space="preserve"> Is the natural logarithm of the degrees of freedom belonging to the origin</w:t>
      </w:r>
      <w:r w:rsidR="00293CC3">
        <w:rPr>
          <w:lang w:val="en-US"/>
        </w:rPr>
        <w:t>al regressions from which the t-</w:t>
      </w:r>
      <w:r w:rsidR="00293CC3" w:rsidRPr="00930300">
        <w:rPr>
          <w:lang w:val="en-US"/>
        </w:rPr>
        <w:t xml:space="preserve">values were </w:t>
      </w:r>
      <w:proofErr w:type="gramStart"/>
      <w:r w:rsidR="00293CC3" w:rsidRPr="00930300">
        <w:rPr>
          <w:lang w:val="en-US"/>
        </w:rPr>
        <w:t>obtained.</w:t>
      </w:r>
      <w:proofErr w:type="gramEnd"/>
      <w:r w:rsidR="00E11F56">
        <w:rPr>
          <w:lang w:val="en-US"/>
        </w:rPr>
        <w:t xml:space="preserve"> </w:t>
      </w:r>
    </w:p>
    <w:p w:rsidR="00293CC3" w:rsidRDefault="00293CC3" w:rsidP="00293CC3">
      <w:pPr>
        <w:spacing w:after="0" w:line="240" w:lineRule="auto"/>
        <w:rPr>
          <w:lang w:val="en-US"/>
        </w:rPr>
      </w:pPr>
    </w:p>
    <w:p w:rsidR="00293CC3" w:rsidRPr="0030538F" w:rsidRDefault="00293CC3" w:rsidP="00293CC3">
      <w:pPr>
        <w:spacing w:line="360" w:lineRule="auto"/>
        <w:rPr>
          <w:rFonts w:eastAsiaTheme="minorEastAsia"/>
          <w:lang w:val="en-US"/>
        </w:rPr>
      </w:pPr>
      <w:r w:rsidRPr="0030538F">
        <w:rPr>
          <w:rFonts w:eastAsiaTheme="minorEastAsia"/>
          <w:lang w:val="en-US"/>
        </w:rPr>
        <w:t xml:space="preserve">Stanley (2001) shows that the slope coefficient </w:t>
      </w:r>
      <m:oMath>
        <m:sSub>
          <m:sSubPr>
            <m:ctrlPr>
              <w:rPr>
                <w:rFonts w:ascii="Cambria Math" w:eastAsiaTheme="minorEastAsia" w:hAnsi="Cambria Math"/>
                <w:lang w:val="en-US"/>
              </w:rPr>
            </m:ctrlPr>
          </m:sSubPr>
          <m:e>
            <m:r>
              <m:rPr>
                <m:sty m:val="p"/>
              </m:rPr>
              <w:rPr>
                <w:rFonts w:ascii="Cambria Math" w:eastAsiaTheme="minorEastAsia" w:hAnsi="Cambria Math"/>
                <w:lang w:val="en-US"/>
              </w:rPr>
              <m:t>α</m:t>
            </m:r>
          </m:e>
          <m:sub>
            <m:r>
              <m:rPr>
                <m:sty m:val="p"/>
              </m:rPr>
              <w:rPr>
                <w:rFonts w:ascii="Cambria Math" w:eastAsiaTheme="minorEastAsia" w:hAnsi="Cambria Math"/>
                <w:lang w:val="en-US"/>
              </w:rPr>
              <m:t>1</m:t>
            </m:r>
          </m:sub>
        </m:sSub>
      </m:oMath>
      <w:r w:rsidRPr="0030538F">
        <w:rPr>
          <w:rFonts w:eastAsiaTheme="minorEastAsia"/>
          <w:lang w:val="en-US"/>
        </w:rPr>
        <w:t xml:space="preserve"> offers information about true effects. If there is a true effect, the t-statistic will be positively rel</w:t>
      </w:r>
      <w:r w:rsidR="00E11F56">
        <w:rPr>
          <w:rFonts w:eastAsiaTheme="minorEastAsia"/>
          <w:lang w:val="en-US"/>
        </w:rPr>
        <w:t xml:space="preserve">ated to the degrees of freedom, i.e. </w:t>
      </w:r>
      <m:oMath>
        <m:sSub>
          <m:sSubPr>
            <m:ctrlPr>
              <w:rPr>
                <w:rFonts w:ascii="Cambria Math" w:eastAsiaTheme="minorEastAsia" w:hAnsi="Cambria Math"/>
                <w:lang w:val="en-US"/>
              </w:rPr>
            </m:ctrlPr>
          </m:sSubPr>
          <m:e>
            <m:r>
              <m:rPr>
                <m:sty m:val="p"/>
              </m:rPr>
              <w:rPr>
                <w:rFonts w:ascii="Cambria Math" w:eastAsiaTheme="minorEastAsia" w:hAnsi="Cambria Math"/>
                <w:lang w:val="en-US"/>
              </w:rPr>
              <m:t>α</m:t>
            </m:r>
          </m:e>
          <m:sub>
            <m:r>
              <m:rPr>
                <m:sty m:val="p"/>
              </m:rPr>
              <w:rPr>
                <w:rFonts w:ascii="Cambria Math" w:eastAsiaTheme="minorEastAsia" w:hAnsi="Cambria Math"/>
                <w:lang w:val="en-US"/>
              </w:rPr>
              <m:t>1</m:t>
            </m:r>
          </m:sub>
        </m:sSub>
      </m:oMath>
      <w:r w:rsidRPr="0030538F">
        <w:rPr>
          <w:rFonts w:eastAsiaTheme="minorEastAsia"/>
          <w:lang w:val="en-US"/>
        </w:rPr>
        <w:t xml:space="preserve"> is larger than </w:t>
      </w:r>
      <w:r w:rsidR="00FD4580">
        <w:rPr>
          <w:rFonts w:eastAsiaTheme="minorEastAsia"/>
          <w:lang w:val="en-US"/>
        </w:rPr>
        <w:t>zero</w:t>
      </w:r>
      <w:r w:rsidRPr="0030538F">
        <w:rPr>
          <w:rFonts w:eastAsiaTheme="minorEastAsia"/>
          <w:lang w:val="en-US"/>
        </w:rPr>
        <w:t xml:space="preserve">. If there is no true effect, the beta in the original study will vary randomly around </w:t>
      </w:r>
      <w:r w:rsidR="00FD4580">
        <w:rPr>
          <w:rFonts w:eastAsiaTheme="minorEastAsia"/>
          <w:lang w:val="en-US"/>
        </w:rPr>
        <w:t>zero</w:t>
      </w:r>
      <w:r w:rsidRPr="0030538F">
        <w:rPr>
          <w:rFonts w:eastAsiaTheme="minorEastAsia"/>
          <w:lang w:val="en-US"/>
        </w:rPr>
        <w:t xml:space="preserve"> and the t-statistic will not show any relation to the degrees of freedom</w:t>
      </w:r>
      <w:r w:rsidR="00A571DA">
        <w:rPr>
          <w:rFonts w:eastAsiaTheme="minorEastAsia"/>
          <w:lang w:val="en-US"/>
        </w:rPr>
        <w:t xml:space="preserve">. </w:t>
      </w:r>
      <w:r w:rsidRPr="0030538F">
        <w:rPr>
          <w:rFonts w:eastAsiaTheme="minorEastAsia"/>
          <w:lang w:val="en-US"/>
        </w:rPr>
        <w:t xml:space="preserve">If </w:t>
      </w:r>
      <m:oMath>
        <m:sSub>
          <m:sSubPr>
            <m:ctrlPr>
              <w:rPr>
                <w:rFonts w:ascii="Cambria Math" w:eastAsiaTheme="minorEastAsia" w:hAnsi="Cambria Math"/>
                <w:lang w:val="en-US"/>
              </w:rPr>
            </m:ctrlPr>
          </m:sSubPr>
          <m:e>
            <m:r>
              <m:rPr>
                <m:sty m:val="p"/>
              </m:rPr>
              <w:rPr>
                <w:rFonts w:ascii="Cambria Math" w:eastAsiaTheme="minorEastAsia" w:hAnsi="Cambria Math"/>
                <w:lang w:val="en-US"/>
              </w:rPr>
              <m:t>α</m:t>
            </m:r>
          </m:e>
          <m:sub>
            <m:r>
              <m:rPr>
                <m:sty m:val="p"/>
              </m:rPr>
              <w:rPr>
                <w:rFonts w:ascii="Cambria Math" w:eastAsiaTheme="minorEastAsia" w:hAnsi="Cambria Math"/>
                <w:lang w:val="en-US"/>
              </w:rPr>
              <m:t>1</m:t>
            </m:r>
          </m:sub>
        </m:sSub>
      </m:oMath>
      <w:r w:rsidRPr="0030538F">
        <w:rPr>
          <w:rFonts w:eastAsiaTheme="minorEastAsia"/>
          <w:lang w:val="en-US"/>
        </w:rPr>
        <w:t xml:space="preserve"> is smaller than </w:t>
      </w:r>
      <w:r w:rsidR="00FD4580">
        <w:rPr>
          <w:rFonts w:eastAsiaTheme="minorEastAsia"/>
          <w:lang w:val="en-US"/>
        </w:rPr>
        <w:t>zero</w:t>
      </w:r>
      <w:r w:rsidR="00A571DA">
        <w:rPr>
          <w:rFonts w:eastAsiaTheme="minorEastAsia"/>
          <w:lang w:val="en-US"/>
        </w:rPr>
        <w:t>, the</w:t>
      </w:r>
      <w:r w:rsidRPr="0030538F">
        <w:rPr>
          <w:rFonts w:eastAsiaTheme="minorEastAsia"/>
          <w:lang w:val="en-US"/>
        </w:rPr>
        <w:t xml:space="preserve"> t-statistics fall</w:t>
      </w:r>
      <w:r w:rsidR="00A571DA">
        <w:rPr>
          <w:rFonts w:eastAsiaTheme="minorEastAsia"/>
          <w:lang w:val="en-US"/>
        </w:rPr>
        <w:t>s</w:t>
      </w:r>
      <w:r w:rsidRPr="0030538F">
        <w:rPr>
          <w:rFonts w:eastAsiaTheme="minorEastAsia"/>
          <w:lang w:val="en-US"/>
        </w:rPr>
        <w:t xml:space="preserve"> when</w:t>
      </w:r>
      <w:r w:rsidR="00A571DA">
        <w:rPr>
          <w:rFonts w:eastAsiaTheme="minorEastAsia"/>
          <w:lang w:val="en-US"/>
        </w:rPr>
        <w:t xml:space="preserve"> the</w:t>
      </w:r>
      <w:r w:rsidRPr="0030538F">
        <w:rPr>
          <w:rFonts w:eastAsiaTheme="minorEastAsia"/>
          <w:lang w:val="en-US"/>
        </w:rPr>
        <w:t xml:space="preserve"> sample size rise</w:t>
      </w:r>
      <w:r w:rsidR="00A571DA">
        <w:rPr>
          <w:rFonts w:eastAsiaTheme="minorEastAsia"/>
          <w:lang w:val="en-US"/>
        </w:rPr>
        <w:t>s</w:t>
      </w:r>
      <w:r w:rsidRPr="0030538F">
        <w:rPr>
          <w:rFonts w:eastAsiaTheme="minorEastAsia"/>
          <w:lang w:val="en-US"/>
        </w:rPr>
        <w:t xml:space="preserve">. This indicates </w:t>
      </w:r>
      <w:r w:rsidR="00A571DA">
        <w:rPr>
          <w:rFonts w:eastAsiaTheme="minorEastAsia"/>
          <w:lang w:val="en-US"/>
        </w:rPr>
        <w:t xml:space="preserve">that </w:t>
      </w:r>
      <w:r w:rsidRPr="0030538F">
        <w:rPr>
          <w:rFonts w:eastAsiaTheme="minorEastAsia"/>
          <w:lang w:val="en-US"/>
        </w:rPr>
        <w:t xml:space="preserve">smaller studies are only reported when </w:t>
      </w:r>
      <w:r w:rsidRPr="0030538F">
        <w:rPr>
          <w:rFonts w:eastAsiaTheme="minorEastAsia"/>
          <w:lang w:val="en-US"/>
        </w:rPr>
        <w:lastRenderedPageBreak/>
        <w:t xml:space="preserve">large coefficients are found. Therefore if </w:t>
      </w:r>
      <m:oMath>
        <m:sSub>
          <m:sSubPr>
            <m:ctrlPr>
              <w:rPr>
                <w:rFonts w:ascii="Cambria Math" w:eastAsiaTheme="minorEastAsia" w:hAnsi="Cambria Math"/>
                <w:lang w:val="en-US"/>
              </w:rPr>
            </m:ctrlPr>
          </m:sSubPr>
          <m:e>
            <m:r>
              <m:rPr>
                <m:sty m:val="p"/>
              </m:rPr>
              <w:rPr>
                <w:rFonts w:ascii="Cambria Math" w:eastAsiaTheme="minorEastAsia" w:hAnsi="Cambria Math"/>
                <w:lang w:val="en-US"/>
              </w:rPr>
              <m:t>α</m:t>
            </m:r>
          </m:e>
          <m:sub>
            <m:r>
              <m:rPr>
                <m:sty m:val="p"/>
              </m:rPr>
              <w:rPr>
                <w:rFonts w:ascii="Cambria Math" w:eastAsiaTheme="minorEastAsia" w:hAnsi="Cambria Math"/>
                <w:lang w:val="en-US"/>
              </w:rPr>
              <m:t>1</m:t>
            </m:r>
          </m:sub>
        </m:sSub>
      </m:oMath>
      <w:r w:rsidRPr="0030538F">
        <w:rPr>
          <w:rFonts w:eastAsiaTheme="minorEastAsia"/>
          <w:lang w:val="en-US"/>
        </w:rPr>
        <w:t xml:space="preserve"> is smaller than </w:t>
      </w:r>
      <w:r w:rsidR="00FD4580">
        <w:rPr>
          <w:rFonts w:eastAsiaTheme="minorEastAsia"/>
          <w:lang w:val="en-US"/>
        </w:rPr>
        <w:t>zero</w:t>
      </w:r>
      <w:r w:rsidRPr="0030538F">
        <w:rPr>
          <w:rFonts w:eastAsiaTheme="minorEastAsia"/>
          <w:lang w:val="en-US"/>
        </w:rPr>
        <w:t>, publication bias is present.</w:t>
      </w:r>
      <w:r w:rsidR="00C448B1">
        <w:rPr>
          <w:rFonts w:eastAsiaTheme="minorEastAsia"/>
          <w:lang w:val="en-US"/>
        </w:rPr>
        <w:t xml:space="preserve"> I</w:t>
      </w:r>
      <w:r w:rsidR="00C448B1" w:rsidRPr="0030538F">
        <w:rPr>
          <w:rFonts w:eastAsiaTheme="minorEastAsia"/>
          <w:lang w:val="en-US"/>
        </w:rPr>
        <w:t xml:space="preserve">f </w:t>
      </w:r>
      <m:oMath>
        <m:sSub>
          <m:sSubPr>
            <m:ctrlPr>
              <w:rPr>
                <w:rFonts w:ascii="Cambria Math" w:eastAsiaTheme="minorEastAsia" w:hAnsi="Cambria Math"/>
                <w:lang w:val="en-US"/>
              </w:rPr>
            </m:ctrlPr>
          </m:sSubPr>
          <m:e>
            <m:r>
              <m:rPr>
                <m:sty m:val="p"/>
              </m:rPr>
              <w:rPr>
                <w:rFonts w:ascii="Cambria Math" w:eastAsiaTheme="minorEastAsia" w:hAnsi="Cambria Math"/>
                <w:lang w:val="en-US"/>
              </w:rPr>
              <m:t>α</m:t>
            </m:r>
          </m:e>
          <m:sub>
            <m:r>
              <m:rPr>
                <m:sty m:val="p"/>
              </m:rPr>
              <w:rPr>
                <w:rFonts w:ascii="Cambria Math" w:eastAsiaTheme="minorEastAsia" w:hAnsi="Cambria Math"/>
                <w:lang w:val="en-US"/>
              </w:rPr>
              <m:t>1</m:t>
            </m:r>
          </m:sub>
        </m:sSub>
      </m:oMath>
      <w:r w:rsidR="00C448B1">
        <w:rPr>
          <w:rFonts w:eastAsiaTheme="minorEastAsia"/>
          <w:lang w:val="en-US"/>
        </w:rPr>
        <w:t xml:space="preserve"> is larger than</w:t>
      </w:r>
      <w:r w:rsidR="00A932F1">
        <w:rPr>
          <w:rFonts w:eastAsiaTheme="minorEastAsia"/>
          <w:lang w:val="en-US"/>
        </w:rPr>
        <w:t xml:space="preserve"> zero,</w:t>
      </w:r>
      <w:r w:rsidR="00A932F1" w:rsidRPr="00A932F1">
        <w:rPr>
          <w:rFonts w:eastAsiaTheme="minorEastAsia"/>
          <w:color w:val="FF0000"/>
          <w:lang w:val="en-US"/>
        </w:rPr>
        <w:t xml:space="preserve"> </w:t>
      </w:r>
      <w:r w:rsidR="00A932F1" w:rsidRPr="00A178B6">
        <w:rPr>
          <w:rFonts w:eastAsiaTheme="minorEastAsia"/>
          <w:lang w:val="en-US"/>
        </w:rPr>
        <w:t>the</w:t>
      </w:r>
      <w:r w:rsidR="00E11F56" w:rsidRPr="00A178B6">
        <w:rPr>
          <w:rFonts w:eastAsiaTheme="minorEastAsia"/>
          <w:lang w:val="en-US"/>
        </w:rPr>
        <w:t xml:space="preserve"> hypothesis of</w:t>
      </w:r>
      <w:r w:rsidR="00A932F1" w:rsidRPr="00A178B6">
        <w:rPr>
          <w:rFonts w:eastAsiaTheme="minorEastAsia"/>
          <w:lang w:val="en-US"/>
        </w:rPr>
        <w:t xml:space="preserve"> </w:t>
      </w:r>
      <w:r w:rsidR="00A178B6" w:rsidRPr="00A178B6">
        <w:rPr>
          <w:rFonts w:eastAsiaTheme="minorEastAsia"/>
          <w:lang w:val="en-US"/>
        </w:rPr>
        <w:t xml:space="preserve">no </w:t>
      </w:r>
      <w:r w:rsidR="00A932F1" w:rsidRPr="00A178B6">
        <w:rPr>
          <w:rFonts w:eastAsiaTheme="minorEastAsia"/>
          <w:lang w:val="en-US"/>
        </w:rPr>
        <w:t>publication bias (H4a) is accepted</w:t>
      </w:r>
      <w:r w:rsidR="00C448B1" w:rsidRPr="00A178B6">
        <w:rPr>
          <w:rFonts w:eastAsiaTheme="minorEastAsia"/>
          <w:lang w:val="en-US"/>
        </w:rPr>
        <w:t>.</w:t>
      </w:r>
    </w:p>
    <w:p w:rsidR="00293CC3" w:rsidRPr="00CA1FC5" w:rsidRDefault="00293CC3" w:rsidP="00293CC3">
      <w:pPr>
        <w:spacing w:line="360" w:lineRule="auto"/>
        <w:rPr>
          <w:lang w:val="en-US"/>
        </w:rPr>
      </w:pPr>
      <w:r w:rsidRPr="00CA1FC5">
        <w:rPr>
          <w:lang w:val="en-US"/>
        </w:rPr>
        <w:t xml:space="preserve">An extra variable STAR is included in equation </w:t>
      </w:r>
      <w:r w:rsidR="00FD4580">
        <w:rPr>
          <w:lang w:val="en-US"/>
        </w:rPr>
        <w:t>9</w:t>
      </w:r>
      <w:r w:rsidRPr="00CA1FC5">
        <w:rPr>
          <w:lang w:val="en-US"/>
        </w:rPr>
        <w:t xml:space="preserve"> to test for any biases in STAR j</w:t>
      </w:r>
      <w:r w:rsidR="00E11F56">
        <w:rPr>
          <w:lang w:val="en-US"/>
        </w:rPr>
        <w:t>ournals. The STAR dummy</w:t>
      </w:r>
      <w:r>
        <w:rPr>
          <w:lang w:val="en-US"/>
        </w:rPr>
        <w:t xml:space="preserve"> indicates whether the t-</w:t>
      </w:r>
      <w:r w:rsidRPr="00CA1FC5">
        <w:rPr>
          <w:lang w:val="en-US"/>
        </w:rPr>
        <w:t xml:space="preserve">values were obtained from articles that were published in </w:t>
      </w:r>
      <w:r w:rsidR="00C448B1">
        <w:rPr>
          <w:lang w:val="en-US"/>
        </w:rPr>
        <w:t>high ranking</w:t>
      </w:r>
      <w:r w:rsidRPr="00CA1FC5">
        <w:rPr>
          <w:lang w:val="en-US"/>
        </w:rPr>
        <w:t xml:space="preserve"> Journals. </w:t>
      </w:r>
      <w:bookmarkStart w:id="28" w:name="OLE_LINK1"/>
      <w:bookmarkStart w:id="29" w:name="OLE_LINK2"/>
    </w:p>
    <w:bookmarkEnd w:id="28"/>
    <w:bookmarkEnd w:id="29"/>
    <w:p w:rsidR="00293CC3" w:rsidRPr="00CA1FC5" w:rsidRDefault="00293CC3" w:rsidP="00293CC3">
      <w:pPr>
        <w:spacing w:line="360" w:lineRule="auto"/>
        <w:rPr>
          <w:lang w:val="en-US"/>
        </w:rPr>
      </w:pPr>
      <w:r w:rsidRPr="00CA1FC5">
        <w:rPr>
          <w:lang w:val="en-US"/>
        </w:rPr>
        <w:t xml:space="preserve">                           </w:t>
      </w:r>
      <m:oMath>
        <m:func>
          <m:funcPr>
            <m:ctrlPr>
              <w:rPr>
                <w:rFonts w:ascii="Cambria Math" w:hAnsi="Cambria Math"/>
                <w:i/>
                <w:lang w:val="en-US"/>
              </w:rPr>
            </m:ctrlPr>
          </m:funcPr>
          <m:fName>
            <m:r>
              <w:rPr>
                <w:rFonts w:ascii="Cambria Math" w:hAnsi="Cambria Math"/>
                <w:lang w:val="en-US"/>
              </w:rPr>
              <m:t>ln</m:t>
            </m:r>
          </m:fName>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j</m:t>
                    </m:r>
                  </m:sub>
                </m:sSub>
              </m:e>
            </m:d>
            <m:ctrlPr>
              <w:rPr>
                <w:rFonts w:ascii="Cambria Math" w:hAnsi="Cambria Math"/>
                <w:b/>
                <w:i/>
                <w:lang w:val="en-US"/>
              </w:rPr>
            </m:ctrlPr>
          </m:e>
        </m:func>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func>
          <m:funcPr>
            <m:ctrlPr>
              <w:rPr>
                <w:rFonts w:ascii="Cambria Math" w:hAnsi="Cambria Math"/>
                <w:i/>
                <w:lang w:val="en-US"/>
              </w:rPr>
            </m:ctrlPr>
          </m:funcPr>
          <m:fName>
            <m:r>
              <w:rPr>
                <w:rFonts w:ascii="Cambria Math" w:hAnsi="Cambria Math"/>
                <w:lang w:val="en-US"/>
              </w:rPr>
              <m:t>ln</m:t>
            </m:r>
          </m:fName>
          <m:e>
            <m:sSub>
              <m:sSubPr>
                <m:ctrlPr>
                  <w:rPr>
                    <w:rFonts w:ascii="Cambria Math" w:hAnsi="Cambria Math"/>
                    <w:i/>
                    <w:lang w:val="en-US"/>
                  </w:rPr>
                </m:ctrlPr>
              </m:sSubPr>
              <m:e>
                <m:r>
                  <w:rPr>
                    <w:rFonts w:ascii="Cambria Math" w:hAnsi="Cambria Math"/>
                    <w:lang w:val="en-US"/>
                  </w:rPr>
                  <m:t>df</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 xml:space="preserve">STAR+ </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m:t>
                </m:r>
              </m:sub>
            </m:sSub>
          </m:e>
        </m:func>
      </m:oMath>
      <w:r w:rsidRPr="00CA1FC5">
        <w:rPr>
          <w:i/>
          <w:lang w:val="en-US"/>
        </w:rPr>
        <w:tab/>
      </w:r>
      <w:r w:rsidRPr="00CA1FC5">
        <w:rPr>
          <w:lang w:val="en-US"/>
        </w:rPr>
        <w:tab/>
      </w:r>
      <w:r w:rsidR="00D320D0">
        <w:rPr>
          <w:lang w:val="en-US"/>
        </w:rPr>
        <w:tab/>
      </w:r>
      <w:r w:rsidR="00D320D0">
        <w:rPr>
          <w:lang w:val="en-US"/>
        </w:rPr>
        <w:tab/>
      </w:r>
      <w:r w:rsidRPr="00CA1FC5">
        <w:rPr>
          <w:lang w:val="en-US"/>
        </w:rPr>
        <w:tab/>
        <w:t>(</w:t>
      </w:r>
      <w:r w:rsidR="007E5C57">
        <w:rPr>
          <w:lang w:val="en-US"/>
        </w:rPr>
        <w:t>10</w:t>
      </w:r>
      <w:r w:rsidRPr="00CA1FC5">
        <w:rPr>
          <w:lang w:val="en-US"/>
        </w:rPr>
        <w:t>)</w:t>
      </w:r>
    </w:p>
    <w:p w:rsidR="00293CC3" w:rsidRDefault="00FA4349" w:rsidP="00293CC3">
      <w:pPr>
        <w:spacing w:line="360" w:lineRule="auto"/>
        <w:rPr>
          <w:rFonts w:eastAsiaTheme="minorEastAsia"/>
          <w:lang w:val="en-US"/>
        </w:rPr>
      </w:pPr>
      <w:r>
        <w:rPr>
          <w:rFonts w:eastAsiaTheme="minorEastAsia"/>
          <w:lang w:val="en-US"/>
        </w:rPr>
        <w:t>STAR i</w:t>
      </w:r>
      <w:r w:rsidR="00293CC3" w:rsidRPr="00CA1FC5">
        <w:rPr>
          <w:rFonts w:eastAsiaTheme="minorEastAsia"/>
          <w:lang w:val="en-US"/>
        </w:rPr>
        <w:t>s a dumm</w:t>
      </w:r>
      <w:r w:rsidR="00293CC3">
        <w:rPr>
          <w:rFonts w:eastAsiaTheme="minorEastAsia"/>
          <w:lang w:val="en-US"/>
        </w:rPr>
        <w:t xml:space="preserve">y </w:t>
      </w:r>
      <w:r>
        <w:rPr>
          <w:rFonts w:eastAsiaTheme="minorEastAsia"/>
          <w:lang w:val="en-US"/>
        </w:rPr>
        <w:t xml:space="preserve">that </w:t>
      </w:r>
      <w:r w:rsidR="00293CC3">
        <w:rPr>
          <w:rFonts w:eastAsiaTheme="minorEastAsia"/>
          <w:lang w:val="en-US"/>
        </w:rPr>
        <w:t>takes the value of 1 if the t-</w:t>
      </w:r>
      <w:r w:rsidR="00293CC3" w:rsidRPr="00CA1FC5">
        <w:rPr>
          <w:rFonts w:eastAsiaTheme="minorEastAsia"/>
          <w:lang w:val="en-US"/>
        </w:rPr>
        <w:t>statistic was obtained from a paper published in a Star journal.</w:t>
      </w:r>
      <w:r w:rsidR="00293CC3">
        <w:rPr>
          <w:rFonts w:eastAsiaTheme="minorEastAsia"/>
          <w:lang w:val="en-US"/>
        </w:rPr>
        <w:t xml:space="preserve"> If </w:t>
      </w:r>
      <m:oMath>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oMath>
      <w:r w:rsidR="00293CC3">
        <w:rPr>
          <w:rFonts w:eastAsiaTheme="minorEastAsia"/>
          <w:lang w:val="en-US"/>
        </w:rPr>
        <w:t xml:space="preserve"> is positively related to the STAR dummy, coefficients with larger t-statistics (and hence lower p values), are more likely to be published in star journals. Therefore a positive significant value for </w:t>
      </w:r>
      <m:oMath>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oMath>
      <w:r w:rsidR="00293CC3">
        <w:rPr>
          <w:rFonts w:eastAsiaTheme="minorEastAsia"/>
          <w:lang w:val="en-US"/>
        </w:rPr>
        <w:t xml:space="preserve"> indicates publication bias</w:t>
      </w:r>
      <w:r w:rsidR="00A932F1">
        <w:rPr>
          <w:rStyle w:val="FootnoteReference"/>
          <w:rFonts w:eastAsiaTheme="minorEastAsia"/>
          <w:lang w:val="en-US"/>
        </w:rPr>
        <w:footnoteReference w:id="37"/>
      </w:r>
      <w:r w:rsidR="00293CC3">
        <w:rPr>
          <w:rFonts w:eastAsiaTheme="minorEastAsia"/>
          <w:lang w:val="en-US"/>
        </w:rPr>
        <w:t>.</w:t>
      </w:r>
    </w:p>
    <w:p w:rsidR="009D3AFC" w:rsidRPr="00AB52D8" w:rsidRDefault="00293CC3" w:rsidP="00293CC3">
      <w:pPr>
        <w:spacing w:line="360" w:lineRule="auto"/>
        <w:rPr>
          <w:lang w:val="en-US"/>
        </w:rPr>
      </w:pPr>
      <w:r w:rsidRPr="00AB52D8">
        <w:rPr>
          <w:lang w:val="en-US"/>
        </w:rPr>
        <w:t>Descriptive statistics on the degrees of freedom</w:t>
      </w:r>
      <w:r w:rsidR="00AB52D8" w:rsidRPr="00AB52D8">
        <w:rPr>
          <w:lang w:val="en-US"/>
        </w:rPr>
        <w:t xml:space="preserve"> for all three coefficients </w:t>
      </w:r>
      <w:r w:rsidRPr="00AB52D8">
        <w:rPr>
          <w:lang w:val="en-US"/>
        </w:rPr>
        <w:t xml:space="preserve">are stated in table </w:t>
      </w:r>
      <w:r w:rsidR="00AB52D8" w:rsidRPr="00AB52D8">
        <w:rPr>
          <w:lang w:val="en-US"/>
        </w:rPr>
        <w:t>9</w:t>
      </w:r>
      <w:r w:rsidRPr="00AB52D8">
        <w:rPr>
          <w:lang w:val="en-US"/>
        </w:rPr>
        <w:t xml:space="preserve">. The table shows that some estimates were obtained from very large datasets, while other estimates were obtained from sample sets using less than a 100 observations. The data on the degrees of freedom and </w:t>
      </w:r>
      <w:r w:rsidR="00AB52D8" w:rsidRPr="00AB52D8">
        <w:rPr>
          <w:lang w:val="en-US"/>
        </w:rPr>
        <w:t>t</w:t>
      </w:r>
      <w:r w:rsidRPr="00AB52D8">
        <w:rPr>
          <w:lang w:val="en-US"/>
        </w:rPr>
        <w:t>he STAR dummy (see table 4</w:t>
      </w:r>
      <w:r w:rsidR="00AB52D8" w:rsidRPr="00AB52D8">
        <w:rPr>
          <w:lang w:val="en-US"/>
        </w:rPr>
        <w:t>,</w:t>
      </w:r>
      <w:r w:rsidR="00A571DA">
        <w:rPr>
          <w:lang w:val="en-US"/>
        </w:rPr>
        <w:t xml:space="preserve"> </w:t>
      </w:r>
      <w:r w:rsidR="00AB52D8" w:rsidRPr="00AB52D8">
        <w:rPr>
          <w:lang w:val="en-US"/>
        </w:rPr>
        <w:t>6 and 8</w:t>
      </w:r>
      <w:r w:rsidRPr="00AB52D8">
        <w:rPr>
          <w:lang w:val="en-US"/>
        </w:rPr>
        <w:t xml:space="preserve">) are used in the test for </w:t>
      </w:r>
      <w:r w:rsidR="00582220" w:rsidRPr="00AB52D8">
        <w:rPr>
          <w:lang w:val="en-US"/>
        </w:rPr>
        <w:t>publication bias</w:t>
      </w:r>
      <w:r w:rsidRPr="00AB52D8">
        <w:rPr>
          <w:lang w:val="en-US"/>
        </w:rPr>
        <w:t xml:space="preserve"> as stated by equation </w:t>
      </w:r>
      <w:r w:rsidR="00FD4580">
        <w:rPr>
          <w:lang w:val="en-US"/>
        </w:rPr>
        <w:t>9</w:t>
      </w:r>
      <w:r w:rsidRPr="00AB52D8">
        <w:rPr>
          <w:lang w:val="en-US"/>
        </w:rPr>
        <w:t>.</w:t>
      </w:r>
    </w:p>
    <w:tbl>
      <w:tblPr>
        <w:tblW w:w="6220" w:type="dxa"/>
        <w:jc w:val="center"/>
        <w:tblInd w:w="53" w:type="dxa"/>
        <w:tblCellMar>
          <w:left w:w="70" w:type="dxa"/>
          <w:right w:w="70" w:type="dxa"/>
        </w:tblCellMar>
        <w:tblLook w:val="04A0"/>
      </w:tblPr>
      <w:tblGrid>
        <w:gridCol w:w="3123"/>
        <w:gridCol w:w="801"/>
        <w:gridCol w:w="1046"/>
        <w:gridCol w:w="567"/>
        <w:gridCol w:w="683"/>
      </w:tblGrid>
      <w:tr w:rsidR="007E408C" w:rsidRPr="009D4228" w:rsidTr="007E408C">
        <w:trPr>
          <w:trHeight w:val="300"/>
          <w:jc w:val="center"/>
        </w:trPr>
        <w:tc>
          <w:tcPr>
            <w:tcW w:w="6220" w:type="dxa"/>
            <w:gridSpan w:val="5"/>
            <w:tcBorders>
              <w:top w:val="nil"/>
              <w:left w:val="nil"/>
              <w:bottom w:val="single" w:sz="4" w:space="0" w:color="auto"/>
              <w:right w:val="nil"/>
            </w:tcBorders>
            <w:shd w:val="clear" w:color="000000" w:fill="FFFFFF"/>
            <w:noWrap/>
            <w:vAlign w:val="bottom"/>
            <w:hideMark/>
          </w:tcPr>
          <w:p w:rsidR="007E408C" w:rsidRPr="007E408C" w:rsidRDefault="007E408C" w:rsidP="007E408C">
            <w:pPr>
              <w:spacing w:after="0" w:line="240" w:lineRule="auto"/>
              <w:jc w:val="center"/>
              <w:rPr>
                <w:rFonts w:ascii="Calibri" w:eastAsia="Times New Roman" w:hAnsi="Calibri" w:cs="Times New Roman"/>
                <w:b/>
                <w:bCs/>
                <w:color w:val="000000"/>
                <w:lang w:val="en-US" w:eastAsia="nl-NL"/>
              </w:rPr>
            </w:pPr>
            <w:r w:rsidRPr="007E408C">
              <w:rPr>
                <w:rFonts w:ascii="Calibri" w:eastAsia="Times New Roman" w:hAnsi="Calibri" w:cs="Times New Roman"/>
                <w:b/>
                <w:bCs/>
                <w:color w:val="000000"/>
                <w:lang w:val="en-US" w:eastAsia="nl-NL"/>
              </w:rPr>
              <w:t xml:space="preserve">Table 9: </w:t>
            </w:r>
            <w:r w:rsidR="00AB52D8" w:rsidRPr="007E408C">
              <w:rPr>
                <w:rFonts w:ascii="Calibri" w:eastAsia="Times New Roman" w:hAnsi="Calibri" w:cs="Times New Roman"/>
                <w:b/>
                <w:bCs/>
                <w:color w:val="000000"/>
                <w:lang w:val="en-US" w:eastAsia="nl-NL"/>
              </w:rPr>
              <w:t>Descriptive</w:t>
            </w:r>
            <w:r w:rsidRPr="007E408C">
              <w:rPr>
                <w:rFonts w:ascii="Calibri" w:eastAsia="Times New Roman" w:hAnsi="Calibri" w:cs="Times New Roman"/>
                <w:b/>
                <w:bCs/>
                <w:color w:val="000000"/>
                <w:lang w:val="en-US" w:eastAsia="nl-NL"/>
              </w:rPr>
              <w:t xml:space="preserve"> statistics, Degrees of freedom</w:t>
            </w:r>
          </w:p>
        </w:tc>
      </w:tr>
      <w:tr w:rsidR="007E408C" w:rsidRPr="001E30D6" w:rsidTr="007E408C">
        <w:trPr>
          <w:trHeight w:val="315"/>
          <w:jc w:val="center"/>
        </w:trPr>
        <w:tc>
          <w:tcPr>
            <w:tcW w:w="3123" w:type="dxa"/>
            <w:tcBorders>
              <w:top w:val="nil"/>
              <w:left w:val="nil"/>
              <w:bottom w:val="double" w:sz="6" w:space="0" w:color="auto"/>
              <w:right w:val="nil"/>
            </w:tcBorders>
            <w:shd w:val="clear" w:color="000000" w:fill="FFFFFF"/>
            <w:noWrap/>
            <w:vAlign w:val="bottom"/>
            <w:hideMark/>
          </w:tcPr>
          <w:p w:rsidR="007E408C" w:rsidRPr="001E30D6" w:rsidRDefault="007E408C" w:rsidP="007E408C">
            <w:pPr>
              <w:spacing w:after="0" w:line="240" w:lineRule="auto"/>
              <w:rPr>
                <w:rFonts w:ascii="Calibri" w:eastAsia="Times New Roman" w:hAnsi="Calibri" w:cs="Times New Roman"/>
                <w:b/>
                <w:bCs/>
                <w:lang w:eastAsia="nl-NL"/>
              </w:rPr>
            </w:pPr>
            <w:r w:rsidRPr="001E30D6">
              <w:rPr>
                <w:rFonts w:ascii="Calibri" w:eastAsia="Times New Roman" w:hAnsi="Calibri" w:cs="Times New Roman"/>
                <w:b/>
                <w:bCs/>
                <w:lang w:eastAsia="nl-NL"/>
              </w:rPr>
              <w:t>Degrees of freedom</w:t>
            </w:r>
          </w:p>
        </w:tc>
        <w:tc>
          <w:tcPr>
            <w:tcW w:w="801" w:type="dxa"/>
            <w:tcBorders>
              <w:top w:val="nil"/>
              <w:left w:val="nil"/>
              <w:bottom w:val="double" w:sz="6" w:space="0" w:color="auto"/>
              <w:right w:val="nil"/>
            </w:tcBorders>
            <w:shd w:val="clear" w:color="000000" w:fill="FFFFFF"/>
            <w:noWrap/>
            <w:vAlign w:val="bottom"/>
            <w:hideMark/>
          </w:tcPr>
          <w:p w:rsidR="007E408C" w:rsidRPr="001E30D6" w:rsidRDefault="007E408C" w:rsidP="007E408C">
            <w:pPr>
              <w:spacing w:after="0" w:line="240" w:lineRule="auto"/>
              <w:rPr>
                <w:rFonts w:ascii="Calibri" w:eastAsia="Times New Roman" w:hAnsi="Calibri" w:cs="Times New Roman"/>
                <w:b/>
                <w:bCs/>
                <w:lang w:eastAsia="nl-NL"/>
              </w:rPr>
            </w:pPr>
            <w:r w:rsidRPr="001E30D6">
              <w:rPr>
                <w:rFonts w:ascii="Calibri" w:eastAsia="Times New Roman" w:hAnsi="Calibri" w:cs="Times New Roman"/>
                <w:b/>
                <w:bCs/>
                <w:lang w:eastAsia="nl-NL"/>
              </w:rPr>
              <w:t>Mean</w:t>
            </w:r>
          </w:p>
        </w:tc>
        <w:tc>
          <w:tcPr>
            <w:tcW w:w="1046" w:type="dxa"/>
            <w:tcBorders>
              <w:top w:val="nil"/>
              <w:left w:val="nil"/>
              <w:bottom w:val="double" w:sz="6" w:space="0" w:color="auto"/>
              <w:right w:val="nil"/>
            </w:tcBorders>
            <w:shd w:val="clear" w:color="000000" w:fill="FFFFFF"/>
            <w:noWrap/>
            <w:vAlign w:val="bottom"/>
            <w:hideMark/>
          </w:tcPr>
          <w:p w:rsidR="007E408C" w:rsidRPr="001E30D6" w:rsidRDefault="007E408C" w:rsidP="007E408C">
            <w:pPr>
              <w:spacing w:after="0" w:line="240" w:lineRule="auto"/>
              <w:rPr>
                <w:rFonts w:ascii="Calibri" w:eastAsia="Times New Roman" w:hAnsi="Calibri" w:cs="Times New Roman"/>
                <w:b/>
                <w:bCs/>
                <w:lang w:eastAsia="nl-NL"/>
              </w:rPr>
            </w:pPr>
            <w:r w:rsidRPr="001E30D6">
              <w:rPr>
                <w:rFonts w:ascii="Calibri" w:eastAsia="Times New Roman" w:hAnsi="Calibri" w:cs="Times New Roman"/>
                <w:b/>
                <w:bCs/>
                <w:lang w:eastAsia="nl-NL"/>
              </w:rPr>
              <w:t>Median</w:t>
            </w:r>
          </w:p>
        </w:tc>
        <w:tc>
          <w:tcPr>
            <w:tcW w:w="567" w:type="dxa"/>
            <w:tcBorders>
              <w:top w:val="nil"/>
              <w:left w:val="nil"/>
              <w:bottom w:val="double" w:sz="6" w:space="0" w:color="auto"/>
              <w:right w:val="nil"/>
            </w:tcBorders>
            <w:shd w:val="clear" w:color="000000" w:fill="FFFFFF"/>
            <w:noWrap/>
            <w:vAlign w:val="bottom"/>
            <w:hideMark/>
          </w:tcPr>
          <w:p w:rsidR="007E408C" w:rsidRPr="001E30D6" w:rsidRDefault="007E408C" w:rsidP="007E408C">
            <w:pPr>
              <w:spacing w:after="0" w:line="240" w:lineRule="auto"/>
              <w:rPr>
                <w:rFonts w:ascii="Calibri" w:eastAsia="Times New Roman" w:hAnsi="Calibri" w:cs="Times New Roman"/>
                <w:b/>
                <w:bCs/>
                <w:lang w:eastAsia="nl-NL"/>
              </w:rPr>
            </w:pPr>
            <w:r w:rsidRPr="001E30D6">
              <w:rPr>
                <w:rFonts w:ascii="Calibri" w:eastAsia="Times New Roman" w:hAnsi="Calibri" w:cs="Times New Roman"/>
                <w:b/>
                <w:bCs/>
                <w:lang w:eastAsia="nl-NL"/>
              </w:rPr>
              <w:t>Min</w:t>
            </w:r>
          </w:p>
        </w:tc>
        <w:tc>
          <w:tcPr>
            <w:tcW w:w="683" w:type="dxa"/>
            <w:tcBorders>
              <w:top w:val="nil"/>
              <w:left w:val="nil"/>
              <w:bottom w:val="double" w:sz="6" w:space="0" w:color="auto"/>
              <w:right w:val="nil"/>
            </w:tcBorders>
            <w:shd w:val="clear" w:color="000000" w:fill="FFFFFF"/>
            <w:noWrap/>
            <w:vAlign w:val="bottom"/>
            <w:hideMark/>
          </w:tcPr>
          <w:p w:rsidR="007E408C" w:rsidRPr="001E30D6" w:rsidRDefault="007E408C" w:rsidP="007E408C">
            <w:pPr>
              <w:spacing w:after="0" w:line="240" w:lineRule="auto"/>
              <w:rPr>
                <w:rFonts w:ascii="Calibri" w:eastAsia="Times New Roman" w:hAnsi="Calibri" w:cs="Times New Roman"/>
                <w:b/>
                <w:bCs/>
                <w:lang w:eastAsia="nl-NL"/>
              </w:rPr>
            </w:pPr>
            <w:r w:rsidRPr="001E30D6">
              <w:rPr>
                <w:rFonts w:ascii="Calibri" w:eastAsia="Times New Roman" w:hAnsi="Calibri" w:cs="Times New Roman"/>
                <w:b/>
                <w:bCs/>
                <w:lang w:eastAsia="nl-NL"/>
              </w:rPr>
              <w:t>Max</w:t>
            </w:r>
          </w:p>
        </w:tc>
      </w:tr>
      <w:tr w:rsidR="007E408C" w:rsidRPr="001E30D6" w:rsidTr="007E408C">
        <w:trPr>
          <w:trHeight w:val="315"/>
          <w:jc w:val="center"/>
        </w:trPr>
        <w:tc>
          <w:tcPr>
            <w:tcW w:w="3123" w:type="dxa"/>
            <w:tcBorders>
              <w:top w:val="nil"/>
              <w:left w:val="nil"/>
              <w:bottom w:val="nil"/>
              <w:right w:val="nil"/>
            </w:tcBorders>
            <w:shd w:val="clear" w:color="000000" w:fill="FFFFFF"/>
            <w:noWrap/>
            <w:vAlign w:val="bottom"/>
            <w:hideMark/>
          </w:tcPr>
          <w:p w:rsidR="007E408C" w:rsidRPr="001E30D6" w:rsidRDefault="007E408C" w:rsidP="007E408C">
            <w:pPr>
              <w:spacing w:after="0" w:line="240" w:lineRule="auto"/>
              <w:rPr>
                <w:rFonts w:ascii="Calibri" w:eastAsia="Times New Roman" w:hAnsi="Calibri" w:cs="Times New Roman"/>
                <w:b/>
                <w:bCs/>
                <w:lang w:eastAsia="nl-NL"/>
              </w:rPr>
            </w:pPr>
            <w:r w:rsidRPr="001E30D6">
              <w:rPr>
                <w:rFonts w:ascii="Calibri" w:eastAsia="Times New Roman" w:hAnsi="Calibri" w:cs="Times New Roman"/>
                <w:b/>
                <w:bCs/>
                <w:lang w:eastAsia="nl-NL"/>
              </w:rPr>
              <w:t>Age</w:t>
            </w:r>
          </w:p>
        </w:tc>
        <w:tc>
          <w:tcPr>
            <w:tcW w:w="801" w:type="dxa"/>
            <w:tcBorders>
              <w:top w:val="nil"/>
              <w:left w:val="nil"/>
              <w:bottom w:val="nil"/>
              <w:right w:val="nil"/>
            </w:tcBorders>
            <w:shd w:val="clear" w:color="000000" w:fill="FFFFFF"/>
            <w:noWrap/>
            <w:vAlign w:val="bottom"/>
            <w:hideMark/>
          </w:tcPr>
          <w:p w:rsidR="007E408C" w:rsidRPr="001E30D6" w:rsidRDefault="001E30D6"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887</w:t>
            </w:r>
          </w:p>
        </w:tc>
        <w:tc>
          <w:tcPr>
            <w:tcW w:w="1046" w:type="dxa"/>
            <w:tcBorders>
              <w:top w:val="nil"/>
              <w:left w:val="nil"/>
              <w:bottom w:val="nil"/>
              <w:right w:val="nil"/>
            </w:tcBorders>
            <w:shd w:val="clear" w:color="000000" w:fill="FFFFFF"/>
            <w:noWrap/>
            <w:vAlign w:val="bottom"/>
            <w:hideMark/>
          </w:tcPr>
          <w:p w:rsidR="007E408C" w:rsidRPr="001E30D6" w:rsidRDefault="001E30D6"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593</w:t>
            </w:r>
          </w:p>
        </w:tc>
        <w:tc>
          <w:tcPr>
            <w:tcW w:w="567" w:type="dxa"/>
            <w:tcBorders>
              <w:top w:val="nil"/>
              <w:left w:val="nil"/>
              <w:bottom w:val="nil"/>
              <w:right w:val="nil"/>
            </w:tcBorders>
            <w:shd w:val="clear" w:color="000000" w:fill="FFFFFF"/>
            <w:noWrap/>
            <w:vAlign w:val="bottom"/>
            <w:hideMark/>
          </w:tcPr>
          <w:p w:rsidR="007E408C" w:rsidRPr="001E30D6" w:rsidRDefault="007E408C"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64</w:t>
            </w:r>
          </w:p>
        </w:tc>
        <w:tc>
          <w:tcPr>
            <w:tcW w:w="683" w:type="dxa"/>
            <w:tcBorders>
              <w:top w:val="nil"/>
              <w:left w:val="nil"/>
              <w:bottom w:val="nil"/>
              <w:right w:val="nil"/>
            </w:tcBorders>
            <w:shd w:val="clear" w:color="000000" w:fill="FFFFFF"/>
            <w:noWrap/>
            <w:vAlign w:val="bottom"/>
            <w:hideMark/>
          </w:tcPr>
          <w:p w:rsidR="007E408C" w:rsidRPr="001E30D6" w:rsidRDefault="007E408C"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2905</w:t>
            </w:r>
          </w:p>
        </w:tc>
      </w:tr>
      <w:tr w:rsidR="007E408C" w:rsidRPr="001E30D6" w:rsidTr="007E408C">
        <w:trPr>
          <w:trHeight w:val="300"/>
          <w:jc w:val="center"/>
        </w:trPr>
        <w:tc>
          <w:tcPr>
            <w:tcW w:w="3123" w:type="dxa"/>
            <w:tcBorders>
              <w:top w:val="nil"/>
              <w:left w:val="nil"/>
              <w:bottom w:val="nil"/>
              <w:right w:val="nil"/>
            </w:tcBorders>
            <w:shd w:val="clear" w:color="000000" w:fill="FFFFFF"/>
            <w:noWrap/>
            <w:vAlign w:val="bottom"/>
            <w:hideMark/>
          </w:tcPr>
          <w:p w:rsidR="007E408C" w:rsidRPr="001E30D6" w:rsidRDefault="00AB52D8" w:rsidP="007E408C">
            <w:pPr>
              <w:spacing w:after="0" w:line="240" w:lineRule="auto"/>
              <w:rPr>
                <w:rFonts w:ascii="Calibri" w:eastAsia="Times New Roman" w:hAnsi="Calibri" w:cs="Times New Roman"/>
                <w:b/>
                <w:bCs/>
                <w:lang w:eastAsia="nl-NL"/>
              </w:rPr>
            </w:pPr>
            <w:r w:rsidRPr="001E30D6">
              <w:rPr>
                <w:rFonts w:ascii="Calibri" w:eastAsia="Times New Roman" w:hAnsi="Calibri" w:cs="Times New Roman"/>
                <w:b/>
                <w:bCs/>
                <w:lang w:eastAsia="nl-NL"/>
              </w:rPr>
              <w:t xml:space="preserve">Carter &amp; Manaster </w:t>
            </w:r>
            <w:r w:rsidR="007E408C" w:rsidRPr="001E30D6">
              <w:rPr>
                <w:rFonts w:ascii="Calibri" w:eastAsia="Times New Roman" w:hAnsi="Calibri" w:cs="Times New Roman"/>
                <w:b/>
                <w:bCs/>
                <w:lang w:eastAsia="nl-NL"/>
              </w:rPr>
              <w:t>rank</w:t>
            </w:r>
          </w:p>
        </w:tc>
        <w:tc>
          <w:tcPr>
            <w:tcW w:w="801" w:type="dxa"/>
            <w:tcBorders>
              <w:top w:val="nil"/>
              <w:left w:val="nil"/>
              <w:bottom w:val="nil"/>
              <w:right w:val="nil"/>
            </w:tcBorders>
            <w:shd w:val="clear" w:color="000000" w:fill="FFFFFF"/>
            <w:noWrap/>
            <w:vAlign w:val="bottom"/>
            <w:hideMark/>
          </w:tcPr>
          <w:p w:rsidR="007E408C" w:rsidRPr="001E30D6" w:rsidRDefault="001E30D6"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2073</w:t>
            </w:r>
          </w:p>
        </w:tc>
        <w:tc>
          <w:tcPr>
            <w:tcW w:w="1046" w:type="dxa"/>
            <w:tcBorders>
              <w:top w:val="nil"/>
              <w:left w:val="nil"/>
              <w:bottom w:val="nil"/>
              <w:right w:val="nil"/>
            </w:tcBorders>
            <w:shd w:val="clear" w:color="000000" w:fill="FFFFFF"/>
            <w:noWrap/>
            <w:vAlign w:val="bottom"/>
            <w:hideMark/>
          </w:tcPr>
          <w:p w:rsidR="007E408C" w:rsidRPr="001E30D6" w:rsidRDefault="007E408C"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1470</w:t>
            </w:r>
          </w:p>
        </w:tc>
        <w:tc>
          <w:tcPr>
            <w:tcW w:w="567" w:type="dxa"/>
            <w:tcBorders>
              <w:top w:val="nil"/>
              <w:left w:val="nil"/>
              <w:bottom w:val="nil"/>
              <w:right w:val="nil"/>
            </w:tcBorders>
            <w:shd w:val="clear" w:color="000000" w:fill="FFFFFF"/>
            <w:noWrap/>
            <w:vAlign w:val="bottom"/>
            <w:hideMark/>
          </w:tcPr>
          <w:p w:rsidR="007E408C" w:rsidRPr="001E30D6" w:rsidRDefault="007E408C"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46</w:t>
            </w:r>
          </w:p>
        </w:tc>
        <w:tc>
          <w:tcPr>
            <w:tcW w:w="683" w:type="dxa"/>
            <w:tcBorders>
              <w:top w:val="nil"/>
              <w:left w:val="nil"/>
              <w:bottom w:val="nil"/>
              <w:right w:val="nil"/>
            </w:tcBorders>
            <w:shd w:val="clear" w:color="000000" w:fill="FFFFFF"/>
            <w:noWrap/>
            <w:vAlign w:val="bottom"/>
            <w:hideMark/>
          </w:tcPr>
          <w:p w:rsidR="007E408C" w:rsidRPr="001E30D6" w:rsidRDefault="007E408C"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6829</w:t>
            </w:r>
          </w:p>
        </w:tc>
      </w:tr>
      <w:tr w:rsidR="007E408C" w:rsidRPr="001E30D6" w:rsidTr="007E408C">
        <w:trPr>
          <w:trHeight w:val="300"/>
          <w:jc w:val="center"/>
        </w:trPr>
        <w:tc>
          <w:tcPr>
            <w:tcW w:w="3123" w:type="dxa"/>
            <w:tcBorders>
              <w:top w:val="nil"/>
              <w:left w:val="nil"/>
              <w:bottom w:val="single" w:sz="4" w:space="0" w:color="auto"/>
              <w:right w:val="nil"/>
            </w:tcBorders>
            <w:shd w:val="clear" w:color="000000" w:fill="FFFFFF"/>
            <w:noWrap/>
            <w:vAlign w:val="bottom"/>
            <w:hideMark/>
          </w:tcPr>
          <w:p w:rsidR="007E408C" w:rsidRPr="001E30D6" w:rsidRDefault="00043ED2" w:rsidP="007E408C">
            <w:pPr>
              <w:spacing w:after="0" w:line="240" w:lineRule="auto"/>
              <w:rPr>
                <w:rFonts w:ascii="Calibri" w:eastAsia="Times New Roman" w:hAnsi="Calibri" w:cs="Times New Roman"/>
                <w:b/>
                <w:bCs/>
                <w:lang w:eastAsia="nl-NL"/>
              </w:rPr>
            </w:pPr>
            <w:r>
              <w:rPr>
                <w:rFonts w:ascii="Calibri" w:eastAsia="Times New Roman" w:hAnsi="Calibri" w:cs="Times New Roman"/>
                <w:b/>
                <w:bCs/>
                <w:lang w:eastAsia="nl-NL"/>
              </w:rPr>
              <w:t>LN</w:t>
            </w:r>
            <w:r w:rsidR="007E408C" w:rsidRPr="001E30D6">
              <w:rPr>
                <w:rFonts w:ascii="Calibri" w:eastAsia="Times New Roman" w:hAnsi="Calibri" w:cs="Times New Roman"/>
                <w:b/>
                <w:bCs/>
                <w:lang w:eastAsia="nl-NL"/>
              </w:rPr>
              <w:t>(Proceeds)</w:t>
            </w:r>
          </w:p>
        </w:tc>
        <w:tc>
          <w:tcPr>
            <w:tcW w:w="801" w:type="dxa"/>
            <w:tcBorders>
              <w:top w:val="nil"/>
              <w:left w:val="nil"/>
              <w:bottom w:val="single" w:sz="4" w:space="0" w:color="auto"/>
              <w:right w:val="nil"/>
            </w:tcBorders>
            <w:shd w:val="clear" w:color="000000" w:fill="FFFFFF"/>
            <w:noWrap/>
            <w:vAlign w:val="bottom"/>
            <w:hideMark/>
          </w:tcPr>
          <w:p w:rsidR="007E408C" w:rsidRPr="001E30D6" w:rsidRDefault="007E408C"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1214</w:t>
            </w:r>
          </w:p>
        </w:tc>
        <w:tc>
          <w:tcPr>
            <w:tcW w:w="1046" w:type="dxa"/>
            <w:tcBorders>
              <w:top w:val="nil"/>
              <w:left w:val="nil"/>
              <w:bottom w:val="single" w:sz="4" w:space="0" w:color="auto"/>
              <w:right w:val="nil"/>
            </w:tcBorders>
            <w:shd w:val="clear" w:color="000000" w:fill="FFFFFF"/>
            <w:noWrap/>
            <w:vAlign w:val="bottom"/>
            <w:hideMark/>
          </w:tcPr>
          <w:p w:rsidR="007E408C" w:rsidRPr="001E30D6" w:rsidRDefault="007E408C"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592</w:t>
            </w:r>
          </w:p>
        </w:tc>
        <w:tc>
          <w:tcPr>
            <w:tcW w:w="567" w:type="dxa"/>
            <w:tcBorders>
              <w:top w:val="nil"/>
              <w:left w:val="nil"/>
              <w:bottom w:val="single" w:sz="4" w:space="0" w:color="auto"/>
              <w:right w:val="nil"/>
            </w:tcBorders>
            <w:shd w:val="clear" w:color="000000" w:fill="FFFFFF"/>
            <w:noWrap/>
            <w:vAlign w:val="bottom"/>
            <w:hideMark/>
          </w:tcPr>
          <w:p w:rsidR="007E408C" w:rsidRPr="001E30D6" w:rsidRDefault="007E408C"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38</w:t>
            </w:r>
          </w:p>
        </w:tc>
        <w:tc>
          <w:tcPr>
            <w:tcW w:w="683" w:type="dxa"/>
            <w:tcBorders>
              <w:top w:val="nil"/>
              <w:left w:val="nil"/>
              <w:bottom w:val="single" w:sz="4" w:space="0" w:color="auto"/>
              <w:right w:val="nil"/>
            </w:tcBorders>
            <w:shd w:val="clear" w:color="000000" w:fill="FFFFFF"/>
            <w:noWrap/>
            <w:vAlign w:val="bottom"/>
            <w:hideMark/>
          </w:tcPr>
          <w:p w:rsidR="007E408C" w:rsidRPr="001E30D6" w:rsidRDefault="007E408C" w:rsidP="007E408C">
            <w:pPr>
              <w:spacing w:after="0" w:line="240" w:lineRule="auto"/>
              <w:jc w:val="right"/>
              <w:rPr>
                <w:rFonts w:ascii="Calibri" w:eastAsia="Times New Roman" w:hAnsi="Calibri" w:cs="Times New Roman"/>
                <w:lang w:eastAsia="nl-NL"/>
              </w:rPr>
            </w:pPr>
            <w:r w:rsidRPr="001E30D6">
              <w:rPr>
                <w:rFonts w:ascii="Calibri" w:eastAsia="Times New Roman" w:hAnsi="Calibri" w:cs="Times New Roman"/>
                <w:lang w:eastAsia="nl-NL"/>
              </w:rPr>
              <w:t>4315</w:t>
            </w:r>
          </w:p>
        </w:tc>
      </w:tr>
    </w:tbl>
    <w:p w:rsidR="00293CC3" w:rsidRPr="00AB52D8" w:rsidRDefault="00293CC3" w:rsidP="007210EF">
      <w:pPr>
        <w:spacing w:line="240" w:lineRule="auto"/>
        <w:jc w:val="both"/>
        <w:rPr>
          <w:sz w:val="18"/>
          <w:szCs w:val="18"/>
          <w:lang w:val="en-US"/>
        </w:rPr>
      </w:pPr>
      <w:r w:rsidRPr="00AB52D8">
        <w:rPr>
          <w:sz w:val="18"/>
          <w:szCs w:val="18"/>
          <w:lang w:val="en-US"/>
        </w:rPr>
        <w:t xml:space="preserve">Table </w:t>
      </w:r>
      <w:r w:rsidR="00AB52D8" w:rsidRPr="00AB52D8">
        <w:rPr>
          <w:sz w:val="18"/>
          <w:szCs w:val="18"/>
          <w:lang w:val="en-US"/>
        </w:rPr>
        <w:t xml:space="preserve">9 </w:t>
      </w:r>
      <w:r w:rsidRPr="00AB52D8">
        <w:rPr>
          <w:sz w:val="18"/>
          <w:szCs w:val="18"/>
          <w:lang w:val="en-US"/>
        </w:rPr>
        <w:t>shows descriptive statistics on the degrees of freedom of the</w:t>
      </w:r>
      <w:r w:rsidR="00AB52D8">
        <w:rPr>
          <w:sz w:val="18"/>
          <w:szCs w:val="18"/>
          <w:lang w:val="en-US"/>
        </w:rPr>
        <w:t xml:space="preserve"> original</w:t>
      </w:r>
      <w:r w:rsidRPr="00AB52D8">
        <w:rPr>
          <w:sz w:val="18"/>
          <w:szCs w:val="18"/>
          <w:lang w:val="en-US"/>
        </w:rPr>
        <w:t xml:space="preserve"> regression equation</w:t>
      </w:r>
      <w:r w:rsidR="00AB52D8">
        <w:rPr>
          <w:sz w:val="18"/>
          <w:szCs w:val="18"/>
          <w:lang w:val="en-US"/>
        </w:rPr>
        <w:t>s.</w:t>
      </w:r>
      <w:r w:rsidRPr="00AB52D8">
        <w:rPr>
          <w:sz w:val="18"/>
          <w:szCs w:val="18"/>
          <w:lang w:val="en-US"/>
        </w:rPr>
        <w:t xml:space="preserve"> </w:t>
      </w:r>
      <w:r w:rsidR="00AB52D8">
        <w:rPr>
          <w:sz w:val="18"/>
          <w:szCs w:val="18"/>
          <w:lang w:val="en-US"/>
        </w:rPr>
        <w:t>Age,</w:t>
      </w:r>
      <w:r w:rsidR="001E30D6">
        <w:rPr>
          <w:sz w:val="18"/>
          <w:szCs w:val="18"/>
          <w:lang w:val="en-US"/>
        </w:rPr>
        <w:t xml:space="preserve"> Carter and Manaster rank and </w:t>
      </w:r>
      <w:proofErr w:type="gramStart"/>
      <w:r w:rsidR="00043ED2">
        <w:rPr>
          <w:sz w:val="18"/>
          <w:szCs w:val="18"/>
          <w:lang w:val="en-US"/>
        </w:rPr>
        <w:t>LN</w:t>
      </w:r>
      <w:r w:rsidR="00AB52D8">
        <w:rPr>
          <w:sz w:val="18"/>
          <w:szCs w:val="18"/>
          <w:lang w:val="en-US"/>
        </w:rPr>
        <w:t>(</w:t>
      </w:r>
      <w:proofErr w:type="gramEnd"/>
      <w:r w:rsidR="00AB52D8">
        <w:rPr>
          <w:sz w:val="18"/>
          <w:szCs w:val="18"/>
          <w:lang w:val="en-US"/>
        </w:rPr>
        <w:t xml:space="preserve">proceeds) indicate the different MRA dependent variables. </w:t>
      </w:r>
    </w:p>
    <w:p w:rsidR="008C6EFC" w:rsidRDefault="008C6EFC" w:rsidP="008C6EFC">
      <w:pPr>
        <w:rPr>
          <w:lang w:val="en-US"/>
        </w:rPr>
      </w:pPr>
      <w:r>
        <w:rPr>
          <w:lang w:val="en-US"/>
        </w:rPr>
        <w:t>Equation 1</w:t>
      </w:r>
      <w:r w:rsidR="007E5C57">
        <w:rPr>
          <w:lang w:val="en-US"/>
        </w:rPr>
        <w:t>1</w:t>
      </w:r>
      <w:r>
        <w:rPr>
          <w:lang w:val="en-US"/>
        </w:rPr>
        <w:t>, 1</w:t>
      </w:r>
      <w:r w:rsidR="007E5C57">
        <w:rPr>
          <w:lang w:val="en-US"/>
        </w:rPr>
        <w:t>2</w:t>
      </w:r>
      <w:r>
        <w:rPr>
          <w:lang w:val="en-US"/>
        </w:rPr>
        <w:t xml:space="preserve"> and 1</w:t>
      </w:r>
      <w:r w:rsidR="007E5C57">
        <w:rPr>
          <w:lang w:val="en-US"/>
        </w:rPr>
        <w:t>3</w:t>
      </w:r>
      <w:r>
        <w:rPr>
          <w:lang w:val="en-US"/>
        </w:rPr>
        <w:t xml:space="preserve"> are estimated to test for publication bias.</w:t>
      </w:r>
    </w:p>
    <w:p w:rsidR="008C6EFC" w:rsidRDefault="008C6EFC" w:rsidP="008C6EFC">
      <w:pPr>
        <w:rPr>
          <w:lang w:val="en-US"/>
        </w:rPr>
      </w:pPr>
    </w:p>
    <w:p w:rsidR="008C6EFC" w:rsidRDefault="008C6EFC" w:rsidP="008C6EFC">
      <w:pPr>
        <w:rPr>
          <w:lang w:val="en-US"/>
        </w:rPr>
      </w:pPr>
      <w:r w:rsidRPr="00CA1FC5">
        <w:rPr>
          <w:lang w:val="en-US"/>
        </w:rPr>
        <w:t xml:space="preserve">    </w:t>
      </w:r>
      <m:oMath>
        <m:func>
          <m:funcPr>
            <m:ctrlPr>
              <w:rPr>
                <w:rFonts w:ascii="Cambria Math" w:hAnsi="Cambria Math"/>
                <w:i/>
                <w:lang w:val="en-US"/>
              </w:rPr>
            </m:ctrlPr>
          </m:funcPr>
          <m:fName>
            <m:r>
              <w:rPr>
                <w:rFonts w:ascii="Cambria Math" w:hAnsi="Cambria Math"/>
                <w:lang w:val="en-US"/>
              </w:rPr>
              <m:t>ln</m:t>
            </m:r>
          </m:fName>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Firm age</m:t>
                    </m:r>
                  </m:sub>
                </m:sSub>
              </m:e>
            </m:d>
            <m:ctrlPr>
              <w:rPr>
                <w:rFonts w:ascii="Cambria Math" w:hAnsi="Cambria Math"/>
                <w:b/>
                <w:i/>
                <w:lang w:val="en-US"/>
              </w:rPr>
            </m:ctrlPr>
          </m:e>
        </m:func>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func>
          <m:funcPr>
            <m:ctrlPr>
              <w:rPr>
                <w:rFonts w:ascii="Cambria Math" w:hAnsi="Cambria Math"/>
                <w:i/>
                <w:lang w:val="en-US"/>
              </w:rPr>
            </m:ctrlPr>
          </m:funcPr>
          <m:fName>
            <m:r>
              <w:rPr>
                <w:rFonts w:ascii="Cambria Math" w:hAnsi="Cambria Math"/>
                <w:lang w:val="en-US"/>
              </w:rPr>
              <m:t>ln</m:t>
            </m:r>
          </m:fName>
          <m:e>
            <m:sSub>
              <m:sSubPr>
                <m:ctrlPr>
                  <w:rPr>
                    <w:rFonts w:ascii="Cambria Math" w:hAnsi="Cambria Math"/>
                    <w:i/>
                    <w:lang w:val="en-US"/>
                  </w:rPr>
                </m:ctrlPr>
              </m:sSubPr>
              <m:e>
                <m:r>
                  <w:rPr>
                    <w:rFonts w:ascii="Cambria Math" w:hAnsi="Cambria Math"/>
                    <w:lang w:val="en-US"/>
                  </w:rPr>
                  <m:t>df</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 xml:space="preserve">STAR+ </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m:t>
                </m:r>
              </m:sub>
            </m:sSub>
          </m:e>
        </m:func>
      </m:oMath>
      <w:r w:rsidRPr="00CA1FC5">
        <w:rPr>
          <w:i/>
          <w:lang w:val="en-US"/>
        </w:rPr>
        <w:tab/>
      </w:r>
      <w:r w:rsidRPr="00CA1FC5">
        <w:rPr>
          <w:lang w:val="en-US"/>
        </w:rPr>
        <w:tab/>
      </w:r>
      <w:r w:rsidRPr="00CA1FC5">
        <w:rPr>
          <w:lang w:val="en-US"/>
        </w:rPr>
        <w:tab/>
      </w:r>
      <w:r>
        <w:rPr>
          <w:lang w:val="en-US"/>
        </w:rPr>
        <w:tab/>
      </w:r>
      <w:r w:rsidR="00D320D0">
        <w:rPr>
          <w:lang w:val="en-US"/>
        </w:rPr>
        <w:tab/>
      </w:r>
      <w:r>
        <w:rPr>
          <w:lang w:val="en-US"/>
        </w:rPr>
        <w:tab/>
      </w:r>
      <w:r w:rsidRPr="00CA1FC5">
        <w:rPr>
          <w:lang w:val="en-US"/>
        </w:rPr>
        <w:t>(</w:t>
      </w:r>
      <w:r>
        <w:rPr>
          <w:lang w:val="en-US"/>
        </w:rPr>
        <w:t>1</w:t>
      </w:r>
      <w:r w:rsidR="007E5C57">
        <w:rPr>
          <w:lang w:val="en-US"/>
        </w:rPr>
        <w:t>1</w:t>
      </w:r>
      <w:r w:rsidRPr="00CA1FC5">
        <w:rPr>
          <w:lang w:val="en-US"/>
        </w:rPr>
        <w:t>)</w:t>
      </w:r>
    </w:p>
    <w:p w:rsidR="008C6EFC" w:rsidRPr="008C6EFC" w:rsidRDefault="008C6EFC" w:rsidP="008C6EFC">
      <w:pPr>
        <w:rPr>
          <w:b/>
          <w:color w:val="FF0000"/>
          <w:lang w:val="en-US"/>
        </w:rPr>
      </w:pPr>
      <w:r w:rsidRPr="00CA1FC5">
        <w:rPr>
          <w:lang w:val="en-US"/>
        </w:rPr>
        <w:t xml:space="preserve">    </w:t>
      </w:r>
      <m:oMath>
        <m:func>
          <m:funcPr>
            <m:ctrlPr>
              <w:rPr>
                <w:rFonts w:ascii="Cambria Math" w:hAnsi="Cambria Math"/>
                <w:i/>
                <w:lang w:val="en-US"/>
              </w:rPr>
            </m:ctrlPr>
          </m:funcPr>
          <m:fName>
            <m:r>
              <w:rPr>
                <w:rFonts w:ascii="Cambria Math" w:hAnsi="Cambria Math"/>
                <w:lang w:val="en-US"/>
              </w:rPr>
              <m:t>ln</m:t>
            </m:r>
          </m:fName>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IPO Proceeds</m:t>
                    </m:r>
                  </m:sub>
                </m:sSub>
              </m:e>
            </m:d>
            <m:ctrlPr>
              <w:rPr>
                <w:rFonts w:ascii="Cambria Math" w:hAnsi="Cambria Math"/>
                <w:b/>
                <w:i/>
                <w:lang w:val="en-US"/>
              </w:rPr>
            </m:ctrlPr>
          </m:e>
        </m:func>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func>
          <m:funcPr>
            <m:ctrlPr>
              <w:rPr>
                <w:rFonts w:ascii="Cambria Math" w:hAnsi="Cambria Math"/>
                <w:i/>
                <w:lang w:val="en-US"/>
              </w:rPr>
            </m:ctrlPr>
          </m:funcPr>
          <m:fName>
            <m:r>
              <w:rPr>
                <w:rFonts w:ascii="Cambria Math" w:hAnsi="Cambria Math"/>
                <w:lang w:val="en-US"/>
              </w:rPr>
              <m:t>ln</m:t>
            </m:r>
          </m:fName>
          <m:e>
            <m:sSub>
              <m:sSubPr>
                <m:ctrlPr>
                  <w:rPr>
                    <w:rFonts w:ascii="Cambria Math" w:hAnsi="Cambria Math"/>
                    <w:i/>
                    <w:lang w:val="en-US"/>
                  </w:rPr>
                </m:ctrlPr>
              </m:sSubPr>
              <m:e>
                <m:r>
                  <w:rPr>
                    <w:rFonts w:ascii="Cambria Math" w:hAnsi="Cambria Math"/>
                    <w:lang w:val="en-US"/>
                  </w:rPr>
                  <m:t>df</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 xml:space="preserve">STAR+ </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m:t>
                </m:r>
              </m:sub>
            </m:sSub>
          </m:e>
        </m:func>
      </m:oMath>
      <w:r w:rsidRPr="00CA1FC5">
        <w:rPr>
          <w:i/>
          <w:lang w:val="en-US"/>
        </w:rPr>
        <w:tab/>
      </w:r>
      <w:r w:rsidRPr="00CA1FC5">
        <w:rPr>
          <w:lang w:val="en-US"/>
        </w:rPr>
        <w:tab/>
      </w:r>
      <w:r w:rsidRPr="00CA1FC5">
        <w:rPr>
          <w:lang w:val="en-US"/>
        </w:rPr>
        <w:tab/>
      </w:r>
      <w:r>
        <w:rPr>
          <w:lang w:val="en-US"/>
        </w:rPr>
        <w:tab/>
      </w:r>
      <w:r w:rsidR="00D320D0">
        <w:rPr>
          <w:lang w:val="en-US"/>
        </w:rPr>
        <w:tab/>
      </w:r>
      <w:r>
        <w:rPr>
          <w:lang w:val="en-US"/>
        </w:rPr>
        <w:tab/>
      </w:r>
      <w:r w:rsidRPr="00CA1FC5">
        <w:rPr>
          <w:lang w:val="en-US"/>
        </w:rPr>
        <w:t>(</w:t>
      </w:r>
      <w:r>
        <w:rPr>
          <w:lang w:val="en-US"/>
        </w:rPr>
        <w:t>1</w:t>
      </w:r>
      <w:r w:rsidR="007E5C57">
        <w:rPr>
          <w:lang w:val="en-US"/>
        </w:rPr>
        <w:t>2</w:t>
      </w:r>
      <w:r w:rsidRPr="00CA1FC5">
        <w:rPr>
          <w:lang w:val="en-US"/>
        </w:rPr>
        <w:t>)</w:t>
      </w:r>
    </w:p>
    <w:p w:rsidR="008C6EFC" w:rsidRPr="007E408C" w:rsidRDefault="008C6EFC" w:rsidP="00293CC3">
      <w:pPr>
        <w:rPr>
          <w:b/>
          <w:color w:val="FF0000"/>
          <w:lang w:val="en-US"/>
        </w:rPr>
      </w:pPr>
      <w:r w:rsidRPr="00CA1FC5">
        <w:rPr>
          <w:lang w:val="en-US"/>
        </w:rPr>
        <w:t xml:space="preserve">    </w:t>
      </w:r>
      <m:oMath>
        <m:func>
          <m:funcPr>
            <m:ctrlPr>
              <w:rPr>
                <w:rFonts w:ascii="Cambria Math" w:hAnsi="Cambria Math"/>
                <w:i/>
                <w:lang w:val="en-US"/>
              </w:rPr>
            </m:ctrlPr>
          </m:funcPr>
          <m:fName>
            <m:r>
              <w:rPr>
                <w:rFonts w:ascii="Cambria Math" w:hAnsi="Cambria Math"/>
                <w:lang w:val="en-US"/>
              </w:rPr>
              <m:t>ln</m:t>
            </m:r>
          </m:fName>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Underwriter rank</m:t>
                    </m:r>
                  </m:sub>
                </m:sSub>
              </m:e>
            </m:d>
            <m:ctrlPr>
              <w:rPr>
                <w:rFonts w:ascii="Cambria Math" w:hAnsi="Cambria Math"/>
                <w:b/>
                <w:i/>
                <w:lang w:val="en-US"/>
              </w:rPr>
            </m:ctrlPr>
          </m:e>
        </m:func>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0</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func>
          <m:funcPr>
            <m:ctrlPr>
              <w:rPr>
                <w:rFonts w:ascii="Cambria Math" w:hAnsi="Cambria Math"/>
                <w:i/>
                <w:lang w:val="en-US"/>
              </w:rPr>
            </m:ctrlPr>
          </m:funcPr>
          <m:fName>
            <m:r>
              <w:rPr>
                <w:rFonts w:ascii="Cambria Math" w:hAnsi="Cambria Math"/>
                <w:lang w:val="en-US"/>
              </w:rPr>
              <m:t>ln</m:t>
            </m:r>
          </m:fName>
          <m:e>
            <m:sSub>
              <m:sSubPr>
                <m:ctrlPr>
                  <w:rPr>
                    <w:rFonts w:ascii="Cambria Math" w:hAnsi="Cambria Math"/>
                    <w:i/>
                    <w:lang w:val="en-US"/>
                  </w:rPr>
                </m:ctrlPr>
              </m:sSubPr>
              <m:e>
                <m:r>
                  <w:rPr>
                    <w:rFonts w:ascii="Cambria Math" w:hAnsi="Cambria Math"/>
                    <w:lang w:val="en-US"/>
                  </w:rPr>
                  <m:t>df</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r>
              <w:rPr>
                <w:rFonts w:ascii="Cambria Math" w:hAnsi="Cambria Math"/>
                <w:lang w:val="en-US"/>
              </w:rPr>
              <m:t xml:space="preserve">STAR+ </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i</m:t>
                </m:r>
              </m:sub>
            </m:sSub>
          </m:e>
        </m:func>
      </m:oMath>
      <w:r w:rsidRPr="00CA1FC5">
        <w:rPr>
          <w:i/>
          <w:lang w:val="en-US"/>
        </w:rPr>
        <w:tab/>
      </w:r>
      <w:r w:rsidRPr="00CA1FC5">
        <w:rPr>
          <w:lang w:val="en-US"/>
        </w:rPr>
        <w:tab/>
      </w:r>
      <w:r w:rsidRPr="00CA1FC5">
        <w:rPr>
          <w:lang w:val="en-US"/>
        </w:rPr>
        <w:tab/>
      </w:r>
      <w:r w:rsidR="00D320D0">
        <w:rPr>
          <w:lang w:val="en-US"/>
        </w:rPr>
        <w:tab/>
      </w:r>
      <w:r>
        <w:rPr>
          <w:lang w:val="en-US"/>
        </w:rPr>
        <w:tab/>
      </w:r>
      <w:r w:rsidRPr="00CA1FC5">
        <w:rPr>
          <w:lang w:val="en-US"/>
        </w:rPr>
        <w:t>(</w:t>
      </w:r>
      <w:r>
        <w:rPr>
          <w:lang w:val="en-US"/>
        </w:rPr>
        <w:t>1</w:t>
      </w:r>
      <w:r w:rsidR="007E5C57">
        <w:rPr>
          <w:lang w:val="en-US"/>
        </w:rPr>
        <w:t>3</w:t>
      </w:r>
      <w:r w:rsidRPr="00CA1FC5">
        <w:rPr>
          <w:lang w:val="en-US"/>
        </w:rPr>
        <w:t>)</w:t>
      </w:r>
    </w:p>
    <w:p w:rsidR="00C72939" w:rsidRDefault="00C72939">
      <w:pPr>
        <w:rPr>
          <w:rFonts w:ascii="Calibri" w:eastAsia="Calibri" w:hAnsi="Calibri" w:cs="Times New Roman"/>
          <w:b/>
          <w:lang w:val="en-US"/>
        </w:rPr>
      </w:pPr>
      <w:r>
        <w:rPr>
          <w:b/>
          <w:lang w:val="en-US"/>
        </w:rPr>
        <w:br w:type="page"/>
      </w:r>
    </w:p>
    <w:p w:rsidR="00E62D17" w:rsidRDefault="00E62D17" w:rsidP="00E62D17">
      <w:pPr>
        <w:pStyle w:val="ListParagraph"/>
        <w:numPr>
          <w:ilvl w:val="0"/>
          <w:numId w:val="37"/>
        </w:numPr>
        <w:ind w:left="1418" w:hanging="851"/>
        <w:rPr>
          <w:b/>
          <w:lang w:val="en-US"/>
        </w:rPr>
      </w:pPr>
      <w:r w:rsidRPr="00A55079">
        <w:rPr>
          <w:b/>
          <w:lang w:val="en-US"/>
        </w:rPr>
        <w:lastRenderedPageBreak/>
        <w:t>Results</w:t>
      </w:r>
    </w:p>
    <w:p w:rsidR="009548B7" w:rsidRPr="009548B7" w:rsidRDefault="009548B7" w:rsidP="009548B7">
      <w:pPr>
        <w:spacing w:line="360" w:lineRule="auto"/>
        <w:rPr>
          <w:lang w:val="en-US"/>
        </w:rPr>
      </w:pPr>
      <w:r w:rsidRPr="009548B7">
        <w:rPr>
          <w:lang w:val="en-US"/>
        </w:rPr>
        <w:t>This chapter describes the results of the MRA test</w:t>
      </w:r>
      <w:r w:rsidR="00333CE4">
        <w:rPr>
          <w:lang w:val="en-US"/>
        </w:rPr>
        <w:t>s</w:t>
      </w:r>
      <w:r w:rsidRPr="009548B7">
        <w:rPr>
          <w:lang w:val="en-US"/>
        </w:rPr>
        <w:t xml:space="preserve"> conducted for </w:t>
      </w:r>
      <w:r>
        <w:rPr>
          <w:lang w:val="en-US"/>
        </w:rPr>
        <w:t>f</w:t>
      </w:r>
      <w:r w:rsidRPr="009548B7">
        <w:rPr>
          <w:lang w:val="en-US"/>
        </w:rPr>
        <w:t>irm age, IPO proceeds and underwriter reputation.</w:t>
      </w:r>
      <w:r>
        <w:rPr>
          <w:lang w:val="en-US"/>
        </w:rPr>
        <w:t xml:space="preserve"> </w:t>
      </w:r>
    </w:p>
    <w:p w:rsidR="00E62D17" w:rsidRDefault="00C72939" w:rsidP="00A16A11">
      <w:pPr>
        <w:ind w:left="1418" w:hanging="851"/>
        <w:rPr>
          <w:b/>
          <w:lang w:val="en-US"/>
        </w:rPr>
      </w:pPr>
      <w:r>
        <w:rPr>
          <w:b/>
          <w:lang w:val="en-US"/>
        </w:rPr>
        <w:t>6</w:t>
      </w:r>
      <w:r w:rsidR="00E62D17">
        <w:rPr>
          <w:b/>
          <w:lang w:val="en-US"/>
        </w:rPr>
        <w:t xml:space="preserve">.1 </w:t>
      </w:r>
      <w:r w:rsidR="00E62D17">
        <w:rPr>
          <w:b/>
          <w:lang w:val="en-US"/>
        </w:rPr>
        <w:tab/>
      </w:r>
      <w:r w:rsidR="002C03F3">
        <w:rPr>
          <w:b/>
          <w:lang w:val="en-US"/>
        </w:rPr>
        <w:t>Firm a</w:t>
      </w:r>
      <w:r w:rsidR="00E62D17">
        <w:rPr>
          <w:b/>
          <w:lang w:val="en-US"/>
        </w:rPr>
        <w:t>ge</w:t>
      </w:r>
    </w:p>
    <w:p w:rsidR="00193C0C" w:rsidRDefault="00E11F56" w:rsidP="00C77AFD">
      <w:pPr>
        <w:spacing w:line="360" w:lineRule="auto"/>
        <w:rPr>
          <w:lang w:val="en-US"/>
        </w:rPr>
      </w:pPr>
      <w:r>
        <w:rPr>
          <w:lang w:val="en-US"/>
        </w:rPr>
        <w:t>Table 3 indicates</w:t>
      </w:r>
      <w:r w:rsidR="007504AF">
        <w:rPr>
          <w:lang w:val="en-US"/>
        </w:rPr>
        <w:t xml:space="preserve"> that of all included coefficients in the MRA</w:t>
      </w:r>
      <w:r w:rsidR="00193C0C">
        <w:rPr>
          <w:lang w:val="en-US"/>
        </w:rPr>
        <w:t>,</w:t>
      </w:r>
      <w:r w:rsidR="007504AF">
        <w:rPr>
          <w:lang w:val="en-US"/>
        </w:rPr>
        <w:t xml:space="preserve"> 1 </w:t>
      </w:r>
      <w:r w:rsidR="009056C8">
        <w:rPr>
          <w:lang w:val="en-US"/>
        </w:rPr>
        <w:t xml:space="preserve">is </w:t>
      </w:r>
      <w:r w:rsidR="007504AF">
        <w:rPr>
          <w:lang w:val="en-US"/>
        </w:rPr>
        <w:t>positive</w:t>
      </w:r>
      <w:r w:rsidR="009056C8">
        <w:rPr>
          <w:lang w:val="en-US"/>
        </w:rPr>
        <w:t xml:space="preserve"> and</w:t>
      </w:r>
      <w:r w:rsidR="007504AF">
        <w:rPr>
          <w:lang w:val="en-US"/>
        </w:rPr>
        <w:t xml:space="preserve"> significant</w:t>
      </w:r>
      <w:r w:rsidR="009056C8">
        <w:rPr>
          <w:lang w:val="en-US"/>
        </w:rPr>
        <w:t xml:space="preserve">, </w:t>
      </w:r>
      <w:r w:rsidR="007504AF">
        <w:rPr>
          <w:lang w:val="en-US"/>
        </w:rPr>
        <w:t>11</w:t>
      </w:r>
      <w:r w:rsidR="009056C8">
        <w:rPr>
          <w:lang w:val="en-US"/>
        </w:rPr>
        <w:t xml:space="preserve"> are</w:t>
      </w:r>
      <w:r w:rsidR="007504AF">
        <w:rPr>
          <w:lang w:val="en-US"/>
        </w:rPr>
        <w:t xml:space="preserve"> insignificant </w:t>
      </w:r>
      <w:r w:rsidR="009056C8">
        <w:rPr>
          <w:lang w:val="en-US"/>
        </w:rPr>
        <w:t xml:space="preserve">and </w:t>
      </w:r>
      <w:r w:rsidR="00FB4967">
        <w:rPr>
          <w:lang w:val="en-US"/>
        </w:rPr>
        <w:t>15</w:t>
      </w:r>
      <w:r w:rsidR="009056C8">
        <w:rPr>
          <w:lang w:val="en-US"/>
        </w:rPr>
        <w:t xml:space="preserve"> are </w:t>
      </w:r>
      <w:r w:rsidR="007504AF">
        <w:rPr>
          <w:lang w:val="en-US"/>
        </w:rPr>
        <w:t>negative and significant</w:t>
      </w:r>
      <w:r w:rsidR="007504AF">
        <w:rPr>
          <w:rStyle w:val="FootnoteReference"/>
          <w:lang w:val="en-US"/>
        </w:rPr>
        <w:footnoteReference w:id="38"/>
      </w:r>
      <w:r w:rsidR="007504AF">
        <w:rPr>
          <w:lang w:val="en-US"/>
        </w:rPr>
        <w:t xml:space="preserve">. </w:t>
      </w:r>
      <w:r w:rsidR="00E6762B">
        <w:rPr>
          <w:lang w:val="en-US"/>
        </w:rPr>
        <w:t>So a simple summary of the academic literature indicates</w:t>
      </w:r>
      <w:r w:rsidR="007504AF">
        <w:rPr>
          <w:lang w:val="en-US"/>
        </w:rPr>
        <w:t xml:space="preserve"> that the true relationship between firm age and underpricing is in fact negative. This reasoning is in line with Rock’s model (Rock 1986) since Rock states that underpricing increases with firm risk and older firms are assumed to be less risky. However, as explained in </w:t>
      </w:r>
      <w:r w:rsidR="00F2713B">
        <w:rPr>
          <w:lang w:val="en-US"/>
        </w:rPr>
        <w:t>chapter 4</w:t>
      </w:r>
      <w:r w:rsidR="00EC736D">
        <w:rPr>
          <w:lang w:val="en-US"/>
        </w:rPr>
        <w:t>,</w:t>
      </w:r>
      <w:r w:rsidR="007504AF">
        <w:rPr>
          <w:lang w:val="en-US"/>
        </w:rPr>
        <w:t xml:space="preserve"> the observed coefficients could be prone to misspecifications of the underlying mode</w:t>
      </w:r>
      <w:r w:rsidR="00E97C4A">
        <w:rPr>
          <w:lang w:val="en-US"/>
        </w:rPr>
        <w:t>l</w:t>
      </w:r>
      <w:r w:rsidR="007504AF">
        <w:rPr>
          <w:lang w:val="en-US"/>
        </w:rPr>
        <w:t xml:space="preserve">. In equation </w:t>
      </w:r>
      <w:r w:rsidR="00F2713B">
        <w:rPr>
          <w:lang w:val="en-US"/>
        </w:rPr>
        <w:t>4</w:t>
      </w:r>
      <w:r w:rsidR="007504AF">
        <w:rPr>
          <w:lang w:val="en-US"/>
        </w:rPr>
        <w:t xml:space="preserve"> these misspecifications are controlled for. If all misspecifications are controlled for, the intercept </w:t>
      </w:r>
      <w:r w:rsidR="00170749">
        <w:rPr>
          <w:lang w:val="en-US"/>
        </w:rPr>
        <w:t>represents</w:t>
      </w:r>
      <w:r w:rsidR="007504AF">
        <w:rPr>
          <w:lang w:val="en-US"/>
        </w:rPr>
        <w:t xml:space="preserve"> the true effect size</w:t>
      </w:r>
      <w:r w:rsidR="00E97C4A">
        <w:rPr>
          <w:lang w:val="en-US"/>
        </w:rPr>
        <w:t>.</w:t>
      </w:r>
      <w:r w:rsidR="00963EA5">
        <w:rPr>
          <w:lang w:val="en-US"/>
        </w:rPr>
        <w:t xml:space="preserve"> </w:t>
      </w:r>
      <w:r w:rsidR="00963EA5" w:rsidRPr="00A53F85">
        <w:rPr>
          <w:lang w:val="en-US"/>
        </w:rPr>
        <w:t>Table 1</w:t>
      </w:r>
      <w:r w:rsidR="00963EA5">
        <w:rPr>
          <w:lang w:val="en-US"/>
        </w:rPr>
        <w:t>0</w:t>
      </w:r>
      <w:r w:rsidR="00963EA5" w:rsidRPr="00A53F85">
        <w:rPr>
          <w:lang w:val="en-US"/>
        </w:rPr>
        <w:t xml:space="preserve"> </w:t>
      </w:r>
      <w:r w:rsidR="00963EA5">
        <w:rPr>
          <w:lang w:val="en-US"/>
        </w:rPr>
        <w:t>shows the results of equation 4. The dependent variable in equation 4 is the age coefficient.</w:t>
      </w:r>
    </w:p>
    <w:tbl>
      <w:tblPr>
        <w:tblW w:w="7856" w:type="dxa"/>
        <w:jc w:val="center"/>
        <w:tblInd w:w="70" w:type="dxa"/>
        <w:tblCellMar>
          <w:left w:w="70" w:type="dxa"/>
          <w:right w:w="70" w:type="dxa"/>
        </w:tblCellMar>
        <w:tblLook w:val="04A0"/>
      </w:tblPr>
      <w:tblGrid>
        <w:gridCol w:w="1291"/>
        <w:gridCol w:w="1537"/>
        <w:gridCol w:w="1066"/>
        <w:gridCol w:w="939"/>
        <w:gridCol w:w="961"/>
        <w:gridCol w:w="939"/>
        <w:gridCol w:w="1123"/>
      </w:tblGrid>
      <w:tr w:rsidR="00B47C71" w:rsidRPr="009D4228" w:rsidTr="00B47C71">
        <w:trPr>
          <w:trHeight w:val="315"/>
          <w:jc w:val="center"/>
        </w:trPr>
        <w:tc>
          <w:tcPr>
            <w:tcW w:w="7856" w:type="dxa"/>
            <w:gridSpan w:val="7"/>
            <w:tcBorders>
              <w:top w:val="nil"/>
              <w:left w:val="nil"/>
              <w:bottom w:val="single" w:sz="4" w:space="0" w:color="auto"/>
              <w:right w:val="nil"/>
            </w:tcBorders>
            <w:shd w:val="clear" w:color="000000" w:fill="FFFFFF"/>
            <w:noWrap/>
            <w:vAlign w:val="bottom"/>
            <w:hideMark/>
          </w:tcPr>
          <w:p w:rsidR="00B47C71" w:rsidRPr="00B47C71" w:rsidRDefault="007F0D94" w:rsidP="00B47C71">
            <w:pPr>
              <w:spacing w:after="0" w:line="240" w:lineRule="auto"/>
              <w:jc w:val="center"/>
              <w:rPr>
                <w:rFonts w:ascii="Calibri" w:eastAsia="Times New Roman" w:hAnsi="Calibri" w:cs="Calibri"/>
                <w:b/>
                <w:bCs/>
                <w:color w:val="000000"/>
                <w:lang w:val="en-US" w:eastAsia="nl-NL"/>
              </w:rPr>
            </w:pPr>
            <w:r>
              <w:rPr>
                <w:rFonts w:ascii="Calibri" w:eastAsia="Times New Roman" w:hAnsi="Calibri" w:cs="Calibri"/>
                <w:b/>
                <w:bCs/>
                <w:color w:val="000000"/>
                <w:lang w:val="en-US" w:eastAsia="nl-NL"/>
              </w:rPr>
              <w:t xml:space="preserve">Table 10: </w:t>
            </w:r>
            <w:r w:rsidR="00B47C71" w:rsidRPr="00B47C71">
              <w:rPr>
                <w:rFonts w:ascii="Calibri" w:eastAsia="Times New Roman" w:hAnsi="Calibri" w:cs="Calibri"/>
                <w:b/>
                <w:bCs/>
                <w:color w:val="000000"/>
                <w:lang w:val="en-US" w:eastAsia="nl-NL"/>
              </w:rPr>
              <w:t>Age MRA, Sample size: 27, Adjusted R Square: 0.48</w:t>
            </w:r>
          </w:p>
        </w:tc>
      </w:tr>
      <w:tr w:rsidR="00B47C71" w:rsidRPr="00B47C71" w:rsidTr="00B47C71">
        <w:trPr>
          <w:trHeight w:val="315"/>
          <w:jc w:val="center"/>
        </w:trPr>
        <w:tc>
          <w:tcPr>
            <w:tcW w:w="1291" w:type="dxa"/>
            <w:tcBorders>
              <w:top w:val="nil"/>
              <w:left w:val="nil"/>
              <w:bottom w:val="double" w:sz="6" w:space="0" w:color="auto"/>
              <w:right w:val="nil"/>
            </w:tcBorders>
            <w:shd w:val="clear" w:color="000000" w:fill="FFFFFF"/>
            <w:noWrap/>
            <w:vAlign w:val="bottom"/>
            <w:hideMark/>
          </w:tcPr>
          <w:p w:rsidR="00B47C71" w:rsidRPr="00B47C71" w:rsidRDefault="00B47C71" w:rsidP="00B47C71">
            <w:pPr>
              <w:spacing w:after="0" w:line="240" w:lineRule="auto"/>
              <w:rPr>
                <w:rFonts w:ascii="Calibri" w:eastAsia="Times New Roman" w:hAnsi="Calibri" w:cs="Calibri"/>
                <w:b/>
                <w:bCs/>
                <w:color w:val="000000"/>
                <w:lang w:val="en-US" w:eastAsia="nl-NL"/>
              </w:rPr>
            </w:pPr>
            <w:r w:rsidRPr="00B47C71">
              <w:rPr>
                <w:rFonts w:ascii="Calibri" w:eastAsia="Times New Roman" w:hAnsi="Calibri" w:cs="Calibri"/>
                <w:b/>
                <w:bCs/>
                <w:color w:val="000000"/>
                <w:lang w:val="en-US" w:eastAsia="nl-NL"/>
              </w:rPr>
              <w:t> </w:t>
            </w:r>
          </w:p>
        </w:tc>
        <w:tc>
          <w:tcPr>
            <w:tcW w:w="1537" w:type="dxa"/>
            <w:tcBorders>
              <w:top w:val="nil"/>
              <w:left w:val="nil"/>
              <w:bottom w:val="double" w:sz="6"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b/>
                <w:bCs/>
                <w:color w:val="000000"/>
                <w:lang w:eastAsia="nl-NL"/>
              </w:rPr>
            </w:pPr>
            <w:r w:rsidRPr="00B47C71">
              <w:rPr>
                <w:rFonts w:ascii="Calibri" w:eastAsia="Times New Roman" w:hAnsi="Calibri" w:cs="Calibri"/>
                <w:b/>
                <w:bCs/>
                <w:color w:val="000000"/>
                <w:lang w:eastAsia="nl-NL"/>
              </w:rPr>
              <w:t>Constant</w:t>
            </w:r>
          </w:p>
        </w:tc>
        <w:tc>
          <w:tcPr>
            <w:tcW w:w="1066" w:type="dxa"/>
            <w:tcBorders>
              <w:top w:val="nil"/>
              <w:left w:val="nil"/>
              <w:bottom w:val="double" w:sz="6"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b/>
                <w:bCs/>
                <w:color w:val="000000"/>
                <w:lang w:eastAsia="nl-NL"/>
              </w:rPr>
            </w:pPr>
            <w:r w:rsidRPr="00B47C71">
              <w:rPr>
                <w:rFonts w:ascii="Calibri" w:eastAsia="Times New Roman" w:hAnsi="Calibri" w:cs="Calibri"/>
                <w:b/>
                <w:bCs/>
                <w:color w:val="000000"/>
                <w:lang w:eastAsia="nl-NL"/>
              </w:rPr>
              <w:t>EUR</w:t>
            </w:r>
          </w:p>
        </w:tc>
        <w:tc>
          <w:tcPr>
            <w:tcW w:w="939" w:type="dxa"/>
            <w:tcBorders>
              <w:top w:val="nil"/>
              <w:left w:val="nil"/>
              <w:bottom w:val="double" w:sz="6"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b/>
                <w:bCs/>
                <w:color w:val="000000"/>
                <w:lang w:eastAsia="nl-NL"/>
              </w:rPr>
            </w:pPr>
            <w:r w:rsidRPr="00B47C71">
              <w:rPr>
                <w:rFonts w:ascii="Calibri" w:eastAsia="Times New Roman" w:hAnsi="Calibri" w:cs="Calibri"/>
                <w:b/>
                <w:bCs/>
                <w:color w:val="000000"/>
                <w:lang w:eastAsia="nl-NL"/>
              </w:rPr>
              <w:t>Madj</w:t>
            </w:r>
          </w:p>
        </w:tc>
        <w:tc>
          <w:tcPr>
            <w:tcW w:w="961" w:type="dxa"/>
            <w:tcBorders>
              <w:top w:val="nil"/>
              <w:left w:val="nil"/>
              <w:bottom w:val="double" w:sz="6"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b/>
                <w:bCs/>
                <w:color w:val="000000"/>
                <w:lang w:eastAsia="nl-NL"/>
              </w:rPr>
            </w:pPr>
            <w:r w:rsidRPr="00B47C71">
              <w:rPr>
                <w:rFonts w:ascii="Calibri" w:eastAsia="Times New Roman" w:hAnsi="Calibri" w:cs="Calibri"/>
                <w:b/>
                <w:bCs/>
                <w:color w:val="000000"/>
                <w:lang w:eastAsia="nl-NL"/>
              </w:rPr>
              <w:t>ExFIN</w:t>
            </w:r>
          </w:p>
        </w:tc>
        <w:tc>
          <w:tcPr>
            <w:tcW w:w="939" w:type="dxa"/>
            <w:tcBorders>
              <w:top w:val="nil"/>
              <w:left w:val="nil"/>
              <w:bottom w:val="double" w:sz="6"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b/>
                <w:bCs/>
                <w:color w:val="000000"/>
                <w:lang w:eastAsia="nl-NL"/>
              </w:rPr>
            </w:pPr>
            <w:r w:rsidRPr="00B47C71">
              <w:rPr>
                <w:rFonts w:ascii="Calibri" w:eastAsia="Times New Roman" w:hAnsi="Calibri" w:cs="Calibri"/>
                <w:b/>
                <w:bCs/>
                <w:color w:val="000000"/>
                <w:lang w:eastAsia="nl-NL"/>
              </w:rPr>
              <w:t>ExSF</w:t>
            </w:r>
          </w:p>
        </w:tc>
        <w:tc>
          <w:tcPr>
            <w:tcW w:w="1123" w:type="dxa"/>
            <w:tcBorders>
              <w:top w:val="nil"/>
              <w:left w:val="nil"/>
              <w:bottom w:val="double" w:sz="6"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b/>
                <w:bCs/>
                <w:color w:val="000000"/>
                <w:lang w:eastAsia="nl-NL"/>
              </w:rPr>
            </w:pPr>
            <w:r w:rsidRPr="00B47C71">
              <w:rPr>
                <w:rFonts w:ascii="Calibri" w:eastAsia="Times New Roman" w:hAnsi="Calibri" w:cs="Calibri"/>
                <w:b/>
                <w:bCs/>
                <w:color w:val="000000"/>
                <w:lang w:eastAsia="nl-NL"/>
              </w:rPr>
              <w:t>ExPRO</w:t>
            </w:r>
          </w:p>
        </w:tc>
      </w:tr>
      <w:tr w:rsidR="00B47C71" w:rsidRPr="00B47C71" w:rsidTr="00B47C71">
        <w:trPr>
          <w:trHeight w:val="315"/>
          <w:jc w:val="center"/>
        </w:trPr>
        <w:tc>
          <w:tcPr>
            <w:tcW w:w="1291"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rPr>
                <w:rFonts w:ascii="Calibri" w:eastAsia="Times New Roman" w:hAnsi="Calibri" w:cs="Calibri"/>
                <w:b/>
                <w:bCs/>
                <w:color w:val="000000"/>
                <w:lang w:eastAsia="nl-NL"/>
              </w:rPr>
            </w:pPr>
            <w:r w:rsidRPr="00B47C71">
              <w:rPr>
                <w:rFonts w:ascii="Calibri" w:eastAsia="Times New Roman" w:hAnsi="Calibri" w:cs="Calibri"/>
                <w:b/>
                <w:bCs/>
                <w:color w:val="000000"/>
                <w:lang w:eastAsia="nl-NL"/>
              </w:rPr>
              <w:t>Size</w:t>
            </w:r>
          </w:p>
        </w:tc>
        <w:tc>
          <w:tcPr>
            <w:tcW w:w="1537"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-0,003</w:t>
            </w:r>
          </w:p>
        </w:tc>
        <w:tc>
          <w:tcPr>
            <w:tcW w:w="1066"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-0,001</w:t>
            </w:r>
          </w:p>
        </w:tc>
        <w:tc>
          <w:tcPr>
            <w:tcW w:w="939"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0,001</w:t>
            </w:r>
          </w:p>
        </w:tc>
        <w:tc>
          <w:tcPr>
            <w:tcW w:w="961"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0,002</w:t>
            </w:r>
          </w:p>
        </w:tc>
        <w:tc>
          <w:tcPr>
            <w:tcW w:w="939"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0,001</w:t>
            </w:r>
          </w:p>
        </w:tc>
        <w:tc>
          <w:tcPr>
            <w:tcW w:w="1123"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0,001</w:t>
            </w:r>
          </w:p>
        </w:tc>
      </w:tr>
      <w:tr w:rsidR="00B47C71" w:rsidRPr="00B47C71" w:rsidTr="00B47C71">
        <w:trPr>
          <w:trHeight w:val="300"/>
          <w:jc w:val="center"/>
        </w:trPr>
        <w:tc>
          <w:tcPr>
            <w:tcW w:w="1291"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rPr>
                <w:rFonts w:ascii="Calibri" w:eastAsia="Times New Roman" w:hAnsi="Calibri" w:cs="Calibri"/>
                <w:b/>
                <w:bCs/>
                <w:color w:val="000000"/>
                <w:lang w:eastAsia="nl-NL"/>
              </w:rPr>
            </w:pPr>
            <w:r w:rsidRPr="00B47C71">
              <w:rPr>
                <w:rFonts w:ascii="Calibri" w:eastAsia="Times New Roman" w:hAnsi="Calibri" w:cs="Calibri"/>
                <w:b/>
                <w:bCs/>
                <w:color w:val="000000"/>
                <w:lang w:eastAsia="nl-NL"/>
              </w:rPr>
              <w:t>Stdev</w:t>
            </w:r>
          </w:p>
        </w:tc>
        <w:tc>
          <w:tcPr>
            <w:tcW w:w="1537"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0,001</w:t>
            </w:r>
          </w:p>
        </w:tc>
        <w:tc>
          <w:tcPr>
            <w:tcW w:w="1066"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0,001</w:t>
            </w:r>
          </w:p>
        </w:tc>
        <w:tc>
          <w:tcPr>
            <w:tcW w:w="939"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0,001</w:t>
            </w:r>
          </w:p>
        </w:tc>
        <w:tc>
          <w:tcPr>
            <w:tcW w:w="961"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0,001</w:t>
            </w:r>
          </w:p>
        </w:tc>
        <w:tc>
          <w:tcPr>
            <w:tcW w:w="939"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0,001</w:t>
            </w:r>
          </w:p>
        </w:tc>
        <w:tc>
          <w:tcPr>
            <w:tcW w:w="1123"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0,001</w:t>
            </w:r>
          </w:p>
        </w:tc>
      </w:tr>
      <w:tr w:rsidR="00B47C71" w:rsidRPr="00B47C71" w:rsidTr="00B47C71">
        <w:trPr>
          <w:trHeight w:val="300"/>
          <w:jc w:val="center"/>
        </w:trPr>
        <w:tc>
          <w:tcPr>
            <w:tcW w:w="1291"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rPr>
                <w:rFonts w:ascii="Calibri" w:eastAsia="Times New Roman" w:hAnsi="Calibri" w:cs="Calibri"/>
                <w:b/>
                <w:bCs/>
                <w:color w:val="000000"/>
                <w:lang w:eastAsia="nl-NL"/>
              </w:rPr>
            </w:pPr>
            <w:r w:rsidRPr="00B47C71">
              <w:rPr>
                <w:rFonts w:ascii="Calibri" w:eastAsia="Times New Roman" w:hAnsi="Calibri" w:cs="Calibri"/>
                <w:b/>
                <w:bCs/>
                <w:color w:val="000000"/>
                <w:lang w:eastAsia="nl-NL"/>
              </w:rPr>
              <w:t>T value</w:t>
            </w:r>
          </w:p>
        </w:tc>
        <w:tc>
          <w:tcPr>
            <w:tcW w:w="1537"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-3,171</w:t>
            </w:r>
          </w:p>
        </w:tc>
        <w:tc>
          <w:tcPr>
            <w:tcW w:w="1066"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-1,878</w:t>
            </w:r>
          </w:p>
        </w:tc>
        <w:tc>
          <w:tcPr>
            <w:tcW w:w="939"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1,325</w:t>
            </w:r>
          </w:p>
        </w:tc>
        <w:tc>
          <w:tcPr>
            <w:tcW w:w="961"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3,229</w:t>
            </w:r>
          </w:p>
        </w:tc>
        <w:tc>
          <w:tcPr>
            <w:tcW w:w="939"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2,716</w:t>
            </w:r>
          </w:p>
        </w:tc>
        <w:tc>
          <w:tcPr>
            <w:tcW w:w="1123" w:type="dxa"/>
            <w:tcBorders>
              <w:top w:val="nil"/>
              <w:left w:val="nil"/>
              <w:bottom w:val="nil"/>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2,397</w:t>
            </w:r>
          </w:p>
        </w:tc>
      </w:tr>
      <w:tr w:rsidR="00B47C71" w:rsidRPr="00B47C71" w:rsidTr="00B47C71">
        <w:trPr>
          <w:trHeight w:val="300"/>
          <w:jc w:val="center"/>
        </w:trPr>
        <w:tc>
          <w:tcPr>
            <w:tcW w:w="1291" w:type="dxa"/>
            <w:tcBorders>
              <w:top w:val="nil"/>
              <w:left w:val="nil"/>
              <w:bottom w:val="single" w:sz="4" w:space="0" w:color="auto"/>
              <w:right w:val="nil"/>
            </w:tcBorders>
            <w:shd w:val="clear" w:color="000000" w:fill="FFFFFF"/>
            <w:noWrap/>
            <w:vAlign w:val="bottom"/>
            <w:hideMark/>
          </w:tcPr>
          <w:p w:rsidR="00B47C71" w:rsidRPr="00B47C71" w:rsidRDefault="00B47C71" w:rsidP="00B47C71">
            <w:pPr>
              <w:spacing w:after="0" w:line="240" w:lineRule="auto"/>
              <w:rPr>
                <w:rFonts w:ascii="Calibri" w:eastAsia="Times New Roman" w:hAnsi="Calibri" w:cs="Calibri"/>
                <w:b/>
                <w:bCs/>
                <w:color w:val="000000"/>
                <w:lang w:eastAsia="nl-NL"/>
              </w:rPr>
            </w:pPr>
            <w:r w:rsidRPr="00B47C71">
              <w:rPr>
                <w:rFonts w:ascii="Calibri" w:eastAsia="Times New Roman" w:hAnsi="Calibri" w:cs="Calibri"/>
                <w:b/>
                <w:bCs/>
                <w:color w:val="000000"/>
                <w:lang w:eastAsia="nl-NL"/>
              </w:rPr>
              <w:t>P Value</w:t>
            </w:r>
          </w:p>
        </w:tc>
        <w:tc>
          <w:tcPr>
            <w:tcW w:w="1537" w:type="dxa"/>
            <w:tcBorders>
              <w:top w:val="nil"/>
              <w:left w:val="nil"/>
              <w:bottom w:val="single" w:sz="4"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0,005</w:t>
            </w:r>
            <w:r w:rsidR="00FB4967" w:rsidRPr="00FB4967">
              <w:rPr>
                <w:rFonts w:ascii="Calibri" w:eastAsia="Times New Roman" w:hAnsi="Calibri" w:cs="Calibri"/>
                <w:color w:val="000000"/>
                <w:sz w:val="14"/>
                <w:szCs w:val="14"/>
                <w:lang w:eastAsia="nl-NL"/>
              </w:rPr>
              <w:t>**</w:t>
            </w:r>
            <w:r w:rsidR="00F2713B">
              <w:rPr>
                <w:rFonts w:ascii="Calibri" w:eastAsia="Times New Roman" w:hAnsi="Calibri" w:cs="Calibri"/>
                <w:color w:val="000000"/>
                <w:sz w:val="14"/>
                <w:szCs w:val="14"/>
                <w:lang w:eastAsia="nl-NL"/>
              </w:rPr>
              <w:t>*</w:t>
            </w:r>
          </w:p>
        </w:tc>
        <w:tc>
          <w:tcPr>
            <w:tcW w:w="1066" w:type="dxa"/>
            <w:tcBorders>
              <w:top w:val="nil"/>
              <w:left w:val="nil"/>
              <w:bottom w:val="single" w:sz="4"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0,074</w:t>
            </w:r>
            <w:r w:rsidR="00FB4967" w:rsidRPr="00FB4967">
              <w:rPr>
                <w:rFonts w:ascii="Calibri" w:eastAsia="Times New Roman" w:hAnsi="Calibri" w:cs="Calibri"/>
                <w:color w:val="000000"/>
                <w:sz w:val="14"/>
                <w:szCs w:val="14"/>
                <w:lang w:eastAsia="nl-NL"/>
              </w:rPr>
              <w:t>*</w:t>
            </w:r>
          </w:p>
        </w:tc>
        <w:tc>
          <w:tcPr>
            <w:tcW w:w="939" w:type="dxa"/>
            <w:tcBorders>
              <w:top w:val="nil"/>
              <w:left w:val="nil"/>
              <w:bottom w:val="single" w:sz="4"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0,199</w:t>
            </w:r>
          </w:p>
        </w:tc>
        <w:tc>
          <w:tcPr>
            <w:tcW w:w="961" w:type="dxa"/>
            <w:tcBorders>
              <w:top w:val="nil"/>
              <w:left w:val="nil"/>
              <w:bottom w:val="single" w:sz="4"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0,004</w:t>
            </w:r>
            <w:r w:rsidR="00FB4967" w:rsidRPr="00FB4967">
              <w:rPr>
                <w:rFonts w:ascii="Calibri" w:eastAsia="Times New Roman" w:hAnsi="Calibri" w:cs="Calibri"/>
                <w:color w:val="000000"/>
                <w:sz w:val="14"/>
                <w:szCs w:val="14"/>
                <w:lang w:eastAsia="nl-NL"/>
              </w:rPr>
              <w:t>***</w:t>
            </w:r>
          </w:p>
        </w:tc>
        <w:tc>
          <w:tcPr>
            <w:tcW w:w="939" w:type="dxa"/>
            <w:tcBorders>
              <w:top w:val="nil"/>
              <w:left w:val="nil"/>
              <w:bottom w:val="single" w:sz="4"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0,013</w:t>
            </w:r>
            <w:r w:rsidR="00FB4967" w:rsidRPr="00FB4967">
              <w:rPr>
                <w:rFonts w:ascii="Calibri" w:eastAsia="Times New Roman" w:hAnsi="Calibri" w:cs="Calibri"/>
                <w:color w:val="000000"/>
                <w:sz w:val="14"/>
                <w:szCs w:val="14"/>
                <w:lang w:eastAsia="nl-NL"/>
              </w:rPr>
              <w:t>**</w:t>
            </w:r>
          </w:p>
        </w:tc>
        <w:tc>
          <w:tcPr>
            <w:tcW w:w="1123" w:type="dxa"/>
            <w:tcBorders>
              <w:top w:val="nil"/>
              <w:left w:val="nil"/>
              <w:bottom w:val="single" w:sz="4" w:space="0" w:color="auto"/>
              <w:right w:val="nil"/>
            </w:tcBorders>
            <w:shd w:val="clear" w:color="000000" w:fill="FFFFFF"/>
            <w:noWrap/>
            <w:vAlign w:val="bottom"/>
            <w:hideMark/>
          </w:tcPr>
          <w:p w:rsidR="00B47C71" w:rsidRPr="00B47C71" w:rsidRDefault="00B47C71" w:rsidP="00B47C71">
            <w:pPr>
              <w:spacing w:after="0" w:line="240" w:lineRule="auto"/>
              <w:jc w:val="right"/>
              <w:rPr>
                <w:rFonts w:ascii="Calibri" w:eastAsia="Times New Roman" w:hAnsi="Calibri" w:cs="Calibri"/>
                <w:color w:val="000000"/>
                <w:lang w:eastAsia="nl-NL"/>
              </w:rPr>
            </w:pPr>
            <w:r w:rsidRPr="00B47C71">
              <w:rPr>
                <w:rFonts w:ascii="Calibri" w:eastAsia="Times New Roman" w:hAnsi="Calibri" w:cs="Calibri"/>
                <w:color w:val="000000"/>
                <w:lang w:eastAsia="nl-NL"/>
              </w:rPr>
              <w:t>0,026</w:t>
            </w:r>
            <w:r w:rsidR="00FB4967" w:rsidRPr="00FB4967">
              <w:rPr>
                <w:rFonts w:ascii="Calibri" w:eastAsia="Times New Roman" w:hAnsi="Calibri" w:cs="Calibri"/>
                <w:color w:val="000000"/>
                <w:sz w:val="14"/>
                <w:szCs w:val="14"/>
                <w:lang w:eastAsia="nl-NL"/>
              </w:rPr>
              <w:t>**</w:t>
            </w:r>
          </w:p>
        </w:tc>
      </w:tr>
    </w:tbl>
    <w:p w:rsidR="007504AF" w:rsidRPr="007504AF" w:rsidRDefault="007F0D94" w:rsidP="007210EF">
      <w:pPr>
        <w:jc w:val="both"/>
        <w:rPr>
          <w:sz w:val="18"/>
          <w:szCs w:val="18"/>
          <w:lang w:val="en-US"/>
        </w:rPr>
      </w:pPr>
      <w:r>
        <w:rPr>
          <w:sz w:val="18"/>
          <w:szCs w:val="18"/>
          <w:lang w:val="en-US"/>
        </w:rPr>
        <w:t>Table 10</w:t>
      </w:r>
      <w:r w:rsidR="0073013F">
        <w:rPr>
          <w:sz w:val="18"/>
          <w:szCs w:val="18"/>
          <w:lang w:val="en-US"/>
        </w:rPr>
        <w:t xml:space="preserve"> shows the results of equation </w:t>
      </w:r>
      <w:r w:rsidR="007E5C57">
        <w:rPr>
          <w:sz w:val="18"/>
          <w:szCs w:val="18"/>
          <w:lang w:val="en-US"/>
        </w:rPr>
        <w:t>4</w:t>
      </w:r>
      <w:r w:rsidR="00E62D17">
        <w:rPr>
          <w:sz w:val="18"/>
          <w:szCs w:val="18"/>
          <w:lang w:val="en-US"/>
        </w:rPr>
        <w:t>.</w:t>
      </w:r>
      <w:r w:rsidR="0073013F">
        <w:rPr>
          <w:sz w:val="18"/>
          <w:szCs w:val="18"/>
          <w:lang w:val="en-US"/>
        </w:rPr>
        <w:t xml:space="preserve"> The included independent variables are stated in the top row. The dependent variable is the </w:t>
      </w:r>
      <w:r w:rsidR="00F2713B">
        <w:rPr>
          <w:sz w:val="18"/>
          <w:szCs w:val="18"/>
          <w:lang w:val="en-US"/>
        </w:rPr>
        <w:t>age coefficient</w:t>
      </w:r>
      <w:r w:rsidR="0073013F">
        <w:rPr>
          <w:sz w:val="18"/>
          <w:szCs w:val="18"/>
          <w:lang w:val="en-US"/>
        </w:rPr>
        <w:t xml:space="preserve"> from the original regressions. The table contains figures on the size of the coefficients</w:t>
      </w:r>
      <w:r w:rsidR="0030538F">
        <w:rPr>
          <w:sz w:val="18"/>
          <w:szCs w:val="18"/>
          <w:lang w:val="en-US"/>
        </w:rPr>
        <w:t>, the standard deviation, the t-</w:t>
      </w:r>
      <w:r w:rsidR="0073013F">
        <w:rPr>
          <w:sz w:val="18"/>
          <w:szCs w:val="18"/>
          <w:lang w:val="en-US"/>
        </w:rPr>
        <w:t>statistic and the P value. *, ** and **</w:t>
      </w:r>
      <w:r w:rsidR="00F2713B">
        <w:rPr>
          <w:sz w:val="18"/>
          <w:szCs w:val="18"/>
          <w:lang w:val="en-US"/>
        </w:rPr>
        <w:t>* indicate that the coefficient</w:t>
      </w:r>
      <w:r w:rsidR="0073013F">
        <w:rPr>
          <w:sz w:val="18"/>
          <w:szCs w:val="18"/>
          <w:lang w:val="en-US"/>
        </w:rPr>
        <w:t xml:space="preserve"> is significant on the 10%, 5% and 1% level respectively.</w:t>
      </w:r>
    </w:p>
    <w:p w:rsidR="00963EA5" w:rsidRDefault="007504AF" w:rsidP="00963EA5">
      <w:pPr>
        <w:spacing w:line="360" w:lineRule="auto"/>
        <w:rPr>
          <w:lang w:val="en-US"/>
        </w:rPr>
      </w:pPr>
      <w:r>
        <w:rPr>
          <w:lang w:val="en-US"/>
        </w:rPr>
        <w:t>The constant in table 1</w:t>
      </w:r>
      <w:r w:rsidR="00582220">
        <w:rPr>
          <w:lang w:val="en-US"/>
        </w:rPr>
        <w:t>0</w:t>
      </w:r>
      <w:r>
        <w:rPr>
          <w:lang w:val="en-US"/>
        </w:rPr>
        <w:t xml:space="preserve"> is the estimated value of the age coefficient, when all dummies take the value of zero.</w:t>
      </w:r>
      <w:r w:rsidR="005A19B4">
        <w:rPr>
          <w:lang w:val="en-US"/>
        </w:rPr>
        <w:t xml:space="preserve"> </w:t>
      </w:r>
      <w:r>
        <w:rPr>
          <w:lang w:val="en-US"/>
        </w:rPr>
        <w:t xml:space="preserve">The base case in this example is a model based on US data. </w:t>
      </w:r>
      <w:r w:rsidR="005A19B4">
        <w:rPr>
          <w:lang w:val="en-US"/>
        </w:rPr>
        <w:t>So in the US the ‘true effect’ of fi</w:t>
      </w:r>
      <w:r w:rsidR="00FB4967">
        <w:rPr>
          <w:lang w:val="en-US"/>
        </w:rPr>
        <w:t>rm age on underpricing was -0.003</w:t>
      </w:r>
      <w:r w:rsidR="005A19B4">
        <w:rPr>
          <w:lang w:val="en-US"/>
        </w:rPr>
        <w:t xml:space="preserve">. This </w:t>
      </w:r>
      <w:r w:rsidR="00963EA5">
        <w:rPr>
          <w:lang w:val="en-US"/>
        </w:rPr>
        <w:t>constant is significant on the 1</w:t>
      </w:r>
      <w:r w:rsidR="002F6302">
        <w:rPr>
          <w:lang w:val="en-US"/>
        </w:rPr>
        <w:t xml:space="preserve">% level and indicates that an additional year between incorporation and the </w:t>
      </w:r>
      <w:proofErr w:type="gramStart"/>
      <w:r w:rsidR="002F6302">
        <w:rPr>
          <w:lang w:val="en-US"/>
        </w:rPr>
        <w:t>IPO,</w:t>
      </w:r>
      <w:proofErr w:type="gramEnd"/>
      <w:r w:rsidR="002F6302">
        <w:rPr>
          <w:lang w:val="en-US"/>
        </w:rPr>
        <w:t xml:space="preserve"> reduc</w:t>
      </w:r>
      <w:r w:rsidR="00FB4967">
        <w:rPr>
          <w:lang w:val="en-US"/>
        </w:rPr>
        <w:t>es underpricing by 0.3</w:t>
      </w:r>
      <w:r w:rsidR="00963EA5">
        <w:rPr>
          <w:lang w:val="en-US"/>
        </w:rPr>
        <w:t>%, thus providing</w:t>
      </w:r>
      <w:r w:rsidR="00E97C4A">
        <w:rPr>
          <w:lang w:val="en-US"/>
        </w:rPr>
        <w:t xml:space="preserve"> significant </w:t>
      </w:r>
      <w:r w:rsidR="00193C0C">
        <w:rPr>
          <w:lang w:val="en-US"/>
        </w:rPr>
        <w:t>evidence</w:t>
      </w:r>
      <w:r w:rsidR="00963EA5">
        <w:rPr>
          <w:lang w:val="en-US"/>
        </w:rPr>
        <w:t xml:space="preserve"> for hypothesis 1. </w:t>
      </w:r>
    </w:p>
    <w:p w:rsidR="00963EA5" w:rsidRPr="00963EA5" w:rsidRDefault="00963EA5" w:rsidP="00963EA5">
      <w:pPr>
        <w:pStyle w:val="ListParagraph"/>
        <w:numPr>
          <w:ilvl w:val="0"/>
          <w:numId w:val="45"/>
        </w:numPr>
        <w:spacing w:line="360" w:lineRule="auto"/>
        <w:rPr>
          <w:i/>
          <w:lang w:val="en-US"/>
        </w:rPr>
      </w:pPr>
      <w:r w:rsidRPr="00963EA5">
        <w:rPr>
          <w:i/>
          <w:lang w:val="en-US"/>
        </w:rPr>
        <w:t>H1: Firm age is negatively related to underpricing</w:t>
      </w:r>
    </w:p>
    <w:p w:rsidR="006159D3" w:rsidRDefault="00963EA5" w:rsidP="00963EA5">
      <w:pPr>
        <w:spacing w:line="360" w:lineRule="auto"/>
        <w:rPr>
          <w:lang w:val="en-US"/>
        </w:rPr>
      </w:pPr>
      <w:r>
        <w:rPr>
          <w:lang w:val="en-US"/>
        </w:rPr>
        <w:t>The results are</w:t>
      </w:r>
      <w:r w:rsidR="000E2FD8">
        <w:rPr>
          <w:lang w:val="en-US"/>
        </w:rPr>
        <w:t xml:space="preserve"> in line with</w:t>
      </w:r>
      <w:r>
        <w:rPr>
          <w:lang w:val="en-US"/>
        </w:rPr>
        <w:t xml:space="preserve"> Rock’s (1986) model and</w:t>
      </w:r>
      <w:r w:rsidR="000E2FD8">
        <w:rPr>
          <w:lang w:val="en-US"/>
        </w:rPr>
        <w:t xml:space="preserve"> the Meta analysis used by Daily et al. (2003</w:t>
      </w:r>
      <w:r>
        <w:rPr>
          <w:lang w:val="en-US"/>
        </w:rPr>
        <w:t>).</w:t>
      </w:r>
    </w:p>
    <w:p w:rsidR="006159D3" w:rsidRDefault="006159D3" w:rsidP="00963EA5">
      <w:pPr>
        <w:spacing w:line="360" w:lineRule="auto"/>
        <w:rPr>
          <w:lang w:val="en-US"/>
        </w:rPr>
      </w:pPr>
    </w:p>
    <w:p w:rsidR="006159D3" w:rsidRDefault="006159D3" w:rsidP="00963EA5">
      <w:pPr>
        <w:spacing w:line="360" w:lineRule="auto"/>
        <w:rPr>
          <w:lang w:val="en-US"/>
        </w:rPr>
      </w:pPr>
    </w:p>
    <w:p w:rsidR="00E97C4A" w:rsidRPr="000426A0" w:rsidRDefault="002904D0" w:rsidP="006159D3">
      <w:pPr>
        <w:spacing w:line="360" w:lineRule="auto"/>
        <w:rPr>
          <w:lang w:val="en-US"/>
        </w:rPr>
      </w:pPr>
      <w:r w:rsidRPr="000426A0">
        <w:rPr>
          <w:lang w:val="en-US"/>
        </w:rPr>
        <w:lastRenderedPageBreak/>
        <w:t>The European equity mar</w:t>
      </w:r>
      <w:r w:rsidR="006159D3">
        <w:rPr>
          <w:lang w:val="en-US"/>
        </w:rPr>
        <w:t>kets differ from the US markets,</w:t>
      </w:r>
      <w:r w:rsidRPr="000426A0">
        <w:rPr>
          <w:lang w:val="en-US"/>
        </w:rPr>
        <w:t xml:space="preserve"> </w:t>
      </w:r>
      <w:r w:rsidR="006159D3">
        <w:rPr>
          <w:lang w:val="en-US"/>
        </w:rPr>
        <w:t>with a much higher</w:t>
      </w:r>
      <w:r w:rsidRPr="000426A0">
        <w:rPr>
          <w:lang w:val="en-US"/>
        </w:rPr>
        <w:t xml:space="preserve"> relative amount of institutional/informed investors</w:t>
      </w:r>
      <w:r w:rsidR="006159D3">
        <w:rPr>
          <w:lang w:val="en-US"/>
        </w:rPr>
        <w:t>. I</w:t>
      </w:r>
      <w:r w:rsidR="00333CE4" w:rsidRPr="000426A0">
        <w:rPr>
          <w:lang w:val="en-US"/>
        </w:rPr>
        <w:t xml:space="preserve">f underwriters are able to allocate </w:t>
      </w:r>
      <w:r w:rsidR="00FB4967" w:rsidRPr="000426A0">
        <w:rPr>
          <w:lang w:val="en-US"/>
        </w:rPr>
        <w:t>most</w:t>
      </w:r>
      <w:r w:rsidR="00333CE4" w:rsidRPr="000426A0">
        <w:rPr>
          <w:lang w:val="en-US"/>
        </w:rPr>
        <w:t xml:space="preserve"> of the IPO to institutional investors,</w:t>
      </w:r>
      <w:r w:rsidRPr="000426A0">
        <w:rPr>
          <w:lang w:val="en-US"/>
        </w:rPr>
        <w:t xml:space="preserve"> the information asymmetry problem </w:t>
      </w:r>
      <w:r w:rsidR="00FB4967" w:rsidRPr="000426A0">
        <w:rPr>
          <w:lang w:val="en-US"/>
        </w:rPr>
        <w:t>should be less severe</w:t>
      </w:r>
      <w:r w:rsidR="006159D3">
        <w:rPr>
          <w:lang w:val="en-US"/>
        </w:rPr>
        <w:t xml:space="preserve">. </w:t>
      </w:r>
      <w:r w:rsidR="00FB4967" w:rsidRPr="000426A0">
        <w:rPr>
          <w:lang w:val="en-US"/>
        </w:rPr>
        <w:t>This should reduce the</w:t>
      </w:r>
      <w:r w:rsidR="009056C8" w:rsidRPr="000426A0">
        <w:rPr>
          <w:lang w:val="en-US"/>
        </w:rPr>
        <w:t xml:space="preserve"> </w:t>
      </w:r>
      <w:r w:rsidR="00E174CF">
        <w:rPr>
          <w:lang w:val="en-US"/>
        </w:rPr>
        <w:t>Winner’s Curse</w:t>
      </w:r>
      <w:r w:rsidR="009056C8" w:rsidRPr="000426A0">
        <w:rPr>
          <w:lang w:val="en-US"/>
        </w:rPr>
        <w:t xml:space="preserve"> problem as proposed by Rock (1986)</w:t>
      </w:r>
      <w:r w:rsidR="006159D3">
        <w:rPr>
          <w:lang w:val="en-US"/>
        </w:rPr>
        <w:t>, and hence</w:t>
      </w:r>
      <w:r w:rsidR="00FB4967" w:rsidRPr="000426A0">
        <w:rPr>
          <w:lang w:val="en-US"/>
        </w:rPr>
        <w:t xml:space="preserve"> the explanatory power of the</w:t>
      </w:r>
      <w:r w:rsidR="0090517A" w:rsidRPr="000426A0">
        <w:rPr>
          <w:lang w:val="en-US"/>
        </w:rPr>
        <w:t xml:space="preserve"> risk proxy firm age.</w:t>
      </w:r>
      <w:r w:rsidR="000426A0" w:rsidRPr="000426A0">
        <w:rPr>
          <w:lang w:val="en-US"/>
        </w:rPr>
        <w:t xml:space="preserve"> However the Europe dummy coefficient amounts to -0.001 and is significant on the 10% level. This result </w:t>
      </w:r>
      <w:r w:rsidR="000426A0" w:rsidRPr="00193C0C">
        <w:rPr>
          <w:lang w:val="en-US"/>
        </w:rPr>
        <w:t>indicates that the negative relationship between underpricing and firm age is st</w:t>
      </w:r>
      <w:r w:rsidR="006159D3">
        <w:rPr>
          <w:lang w:val="en-US"/>
        </w:rPr>
        <w:t>ronger in Europe, instead of weaker</w:t>
      </w:r>
      <w:r w:rsidR="000426A0" w:rsidRPr="00193C0C">
        <w:rPr>
          <w:lang w:val="en-US"/>
        </w:rPr>
        <w:t>.</w:t>
      </w:r>
      <w:r w:rsidR="00547BD4">
        <w:rPr>
          <w:lang w:val="en-US"/>
        </w:rPr>
        <w:t xml:space="preserve"> Note that the econ</w:t>
      </w:r>
      <w:r w:rsidR="00F2713B">
        <w:rPr>
          <w:lang w:val="en-US"/>
        </w:rPr>
        <w:t>omic significance of the result</w:t>
      </w:r>
      <w:r w:rsidR="00547BD4">
        <w:rPr>
          <w:lang w:val="en-US"/>
        </w:rPr>
        <w:t xml:space="preserve"> is small, since for US firm</w:t>
      </w:r>
      <w:r w:rsidR="00F2713B">
        <w:rPr>
          <w:lang w:val="en-US"/>
        </w:rPr>
        <w:t>s</w:t>
      </w:r>
      <w:r w:rsidR="00547BD4">
        <w:rPr>
          <w:lang w:val="en-US"/>
        </w:rPr>
        <w:t xml:space="preserve"> underpricing is reduced by 0.3% for each year of incorporation and for European firms, underpricing is reduced by 0.4% for each year of incorporation.</w:t>
      </w:r>
    </w:p>
    <w:p w:rsidR="00547BD4" w:rsidRDefault="006159D3" w:rsidP="00A53F85">
      <w:pPr>
        <w:spacing w:line="360" w:lineRule="auto"/>
        <w:rPr>
          <w:lang w:val="en-US"/>
        </w:rPr>
      </w:pPr>
      <w:r>
        <w:rPr>
          <w:lang w:val="en-US"/>
        </w:rPr>
        <w:t>First d</w:t>
      </w:r>
      <w:r w:rsidR="000426A0" w:rsidRPr="000426A0">
        <w:rPr>
          <w:lang w:val="en-US"/>
        </w:rPr>
        <w:t xml:space="preserve">ay market returns are positive (though small) on average. Not adjusting for market returns leads to a slightly higher level of underpricing on average. Even though this is the case, firm age should not be able to explain this extra underpricing and hence the coefficient should not be biased if returns are not market adjusted. </w:t>
      </w:r>
      <w:r w:rsidR="00193C0C">
        <w:rPr>
          <w:lang w:val="en-US"/>
        </w:rPr>
        <w:t>This reasoning is in line with the reported insignificant coefficient.</w:t>
      </w:r>
      <w:r w:rsidR="00547BD4">
        <w:rPr>
          <w:lang w:val="en-US"/>
        </w:rPr>
        <w:t xml:space="preserve"> </w:t>
      </w:r>
    </w:p>
    <w:p w:rsidR="00741BC2" w:rsidRPr="00741BC2" w:rsidRDefault="006F5000" w:rsidP="00A53F85">
      <w:pPr>
        <w:spacing w:line="360" w:lineRule="auto"/>
        <w:rPr>
          <w:lang w:val="en-US"/>
        </w:rPr>
      </w:pPr>
      <w:r w:rsidRPr="00741BC2">
        <w:rPr>
          <w:lang w:val="en-US"/>
        </w:rPr>
        <w:t>Some researchers exclude financial firms</w:t>
      </w:r>
      <w:r w:rsidR="000426A0">
        <w:rPr>
          <w:lang w:val="en-US"/>
        </w:rPr>
        <w:t xml:space="preserve"> and small firms</w:t>
      </w:r>
      <w:r w:rsidRPr="00741BC2">
        <w:rPr>
          <w:lang w:val="en-US"/>
        </w:rPr>
        <w:t xml:space="preserve"> from their dataset.</w:t>
      </w:r>
      <w:r w:rsidR="001B79AD" w:rsidRPr="00741BC2">
        <w:rPr>
          <w:lang w:val="en-US"/>
        </w:rPr>
        <w:t xml:space="preserve"> </w:t>
      </w:r>
      <w:r w:rsidR="000426A0">
        <w:rPr>
          <w:lang w:val="en-US"/>
        </w:rPr>
        <w:t>Small and f</w:t>
      </w:r>
      <w:r w:rsidR="001B79AD" w:rsidRPr="00741BC2">
        <w:rPr>
          <w:lang w:val="en-US"/>
        </w:rPr>
        <w:t xml:space="preserve">inancial firms </w:t>
      </w:r>
      <w:r w:rsidR="000426A0">
        <w:rPr>
          <w:lang w:val="en-US"/>
        </w:rPr>
        <w:t xml:space="preserve">are often </w:t>
      </w:r>
      <w:r w:rsidR="00741BC2" w:rsidRPr="00741BC2">
        <w:rPr>
          <w:lang w:val="en-US"/>
        </w:rPr>
        <w:t xml:space="preserve">considered risky. </w:t>
      </w:r>
      <w:r w:rsidR="000426A0">
        <w:rPr>
          <w:lang w:val="en-US"/>
        </w:rPr>
        <w:t xml:space="preserve"> If risk proxies are more important for risky firms</w:t>
      </w:r>
      <w:r w:rsidR="008B7979">
        <w:rPr>
          <w:rStyle w:val="FootnoteReference"/>
          <w:lang w:val="en-US"/>
        </w:rPr>
        <w:footnoteReference w:id="39"/>
      </w:r>
      <w:r w:rsidR="000426A0">
        <w:rPr>
          <w:lang w:val="en-US"/>
        </w:rPr>
        <w:t>, o</w:t>
      </w:r>
      <w:r w:rsidR="00152FD0">
        <w:rPr>
          <w:lang w:val="en-US"/>
        </w:rPr>
        <w:t xml:space="preserve">ne </w:t>
      </w:r>
      <w:r w:rsidR="00741BC2" w:rsidRPr="00741BC2">
        <w:rPr>
          <w:lang w:val="en-US"/>
        </w:rPr>
        <w:t>would expect that the relation between firm age and underpricing is stronger for these firms</w:t>
      </w:r>
      <w:r w:rsidR="000426A0">
        <w:rPr>
          <w:lang w:val="en-US"/>
        </w:rPr>
        <w:t>. So</w:t>
      </w:r>
      <w:r w:rsidR="008341CA">
        <w:rPr>
          <w:lang w:val="en-US"/>
        </w:rPr>
        <w:t xml:space="preserve"> the exclusion of these firms should weaken the negative relation between firm age and underpricing</w:t>
      </w:r>
      <w:r w:rsidR="00741BC2" w:rsidRPr="00741BC2">
        <w:rPr>
          <w:lang w:val="en-US"/>
        </w:rPr>
        <w:t>.</w:t>
      </w:r>
      <w:r w:rsidRPr="00741BC2">
        <w:rPr>
          <w:lang w:val="en-US"/>
        </w:rPr>
        <w:t xml:space="preserve"> </w:t>
      </w:r>
      <w:r w:rsidR="00741BC2" w:rsidRPr="00741BC2">
        <w:rPr>
          <w:lang w:val="en-US"/>
        </w:rPr>
        <w:t>This reasoning is in line with the reported</w:t>
      </w:r>
      <w:r w:rsidR="000426A0">
        <w:rPr>
          <w:lang w:val="en-US"/>
        </w:rPr>
        <w:t xml:space="preserve"> positive significant</w:t>
      </w:r>
      <w:r w:rsidRPr="00741BC2">
        <w:rPr>
          <w:lang w:val="en-US"/>
        </w:rPr>
        <w:t xml:space="preserve"> coefficient</w:t>
      </w:r>
      <w:r w:rsidR="000426A0">
        <w:rPr>
          <w:lang w:val="en-US"/>
        </w:rPr>
        <w:t>s</w:t>
      </w:r>
      <w:r w:rsidR="00741BC2" w:rsidRPr="00741BC2">
        <w:rPr>
          <w:lang w:val="en-US"/>
        </w:rPr>
        <w:t>.</w:t>
      </w:r>
      <w:r w:rsidR="008B7979">
        <w:rPr>
          <w:lang w:val="en-US"/>
        </w:rPr>
        <w:t xml:space="preserve"> Note that this type of reasoning implies that the relationship between age and underpricing could be exponential instead of linear. Therefore</w:t>
      </w:r>
      <w:r w:rsidR="001F4ADA">
        <w:rPr>
          <w:lang w:val="en-US"/>
        </w:rPr>
        <w:t>,</w:t>
      </w:r>
      <w:r w:rsidR="008B7979">
        <w:rPr>
          <w:lang w:val="en-US"/>
        </w:rPr>
        <w:t xml:space="preserve"> if </w:t>
      </w:r>
      <w:r w:rsidR="001F4ADA">
        <w:rPr>
          <w:lang w:val="en-US"/>
        </w:rPr>
        <w:t>very risky firms</w:t>
      </w:r>
      <w:r w:rsidR="008B7979">
        <w:rPr>
          <w:lang w:val="en-US"/>
        </w:rPr>
        <w:t xml:space="preserve"> such as small or financial </w:t>
      </w:r>
      <w:proofErr w:type="gramStart"/>
      <w:r w:rsidR="008B7979">
        <w:rPr>
          <w:lang w:val="en-US"/>
        </w:rPr>
        <w:t>firms,</w:t>
      </w:r>
      <w:proofErr w:type="gramEnd"/>
      <w:r w:rsidR="008B7979">
        <w:rPr>
          <w:lang w:val="en-US"/>
        </w:rPr>
        <w:t xml:space="preserve"> are excluded the reported coefficient could be biased.</w:t>
      </w:r>
    </w:p>
    <w:p w:rsidR="00B47318" w:rsidRPr="00F01B17" w:rsidRDefault="00F0271B" w:rsidP="000E2FD8">
      <w:pPr>
        <w:spacing w:line="360" w:lineRule="auto"/>
        <w:rPr>
          <w:lang w:val="en-US"/>
        </w:rPr>
      </w:pPr>
      <w:r>
        <w:rPr>
          <w:lang w:val="en-US"/>
        </w:rPr>
        <w:t xml:space="preserve">The ExPRO variable indicates whether the proceeds variable was </w:t>
      </w:r>
      <w:r w:rsidR="003A50B8">
        <w:rPr>
          <w:lang w:val="en-US"/>
        </w:rPr>
        <w:t>not</w:t>
      </w:r>
      <w:r>
        <w:rPr>
          <w:lang w:val="en-US"/>
        </w:rPr>
        <w:t xml:space="preserve"> included in the original regression. If the proceeds variable is not included, the age variable could be</w:t>
      </w:r>
      <w:r w:rsidR="00193C0C">
        <w:rPr>
          <w:lang w:val="en-US"/>
        </w:rPr>
        <w:t xml:space="preserve"> prone to omitted variable bias, since o</w:t>
      </w:r>
      <w:r>
        <w:rPr>
          <w:lang w:val="en-US"/>
        </w:rPr>
        <w:t xml:space="preserve">lder firms also tend to be larger and therefore issue larger </w:t>
      </w:r>
      <w:proofErr w:type="gramStart"/>
      <w:r>
        <w:rPr>
          <w:lang w:val="en-US"/>
        </w:rPr>
        <w:t>IPOs</w:t>
      </w:r>
      <w:r w:rsidR="00193C0C">
        <w:rPr>
          <w:lang w:val="en-US"/>
        </w:rPr>
        <w:t xml:space="preserve"> .</w:t>
      </w:r>
      <w:proofErr w:type="gramEnd"/>
      <w:r w:rsidR="00193C0C">
        <w:rPr>
          <w:lang w:val="en-US"/>
        </w:rPr>
        <w:t xml:space="preserve"> Therefore</w:t>
      </w:r>
      <w:r w:rsidR="00687455">
        <w:rPr>
          <w:lang w:val="en-US"/>
        </w:rPr>
        <w:t>,</w:t>
      </w:r>
      <w:r w:rsidR="003A50B8">
        <w:rPr>
          <w:lang w:val="en-US"/>
        </w:rPr>
        <w:t xml:space="preserve"> firm age could capture some of the explanatory power of the IPO proceeds variable.</w:t>
      </w:r>
      <w:r>
        <w:rPr>
          <w:lang w:val="en-US"/>
        </w:rPr>
        <w:t xml:space="preserve"> Hence if </w:t>
      </w:r>
      <w:r w:rsidR="002E0446">
        <w:rPr>
          <w:lang w:val="en-US"/>
        </w:rPr>
        <w:t xml:space="preserve">the </w:t>
      </w:r>
      <w:r>
        <w:rPr>
          <w:lang w:val="en-US"/>
        </w:rPr>
        <w:t>IPO proceeds</w:t>
      </w:r>
      <w:r w:rsidR="002E0446">
        <w:rPr>
          <w:lang w:val="en-US"/>
        </w:rPr>
        <w:t xml:space="preserve"> variable</w:t>
      </w:r>
      <w:r>
        <w:rPr>
          <w:lang w:val="en-US"/>
        </w:rPr>
        <w:t xml:space="preserve"> is not included, the age coefficient </w:t>
      </w:r>
      <w:r w:rsidR="003A50B8">
        <w:rPr>
          <w:lang w:val="en-US"/>
        </w:rPr>
        <w:t>should</w:t>
      </w:r>
      <w:r>
        <w:rPr>
          <w:lang w:val="en-US"/>
        </w:rPr>
        <w:t xml:space="preserve"> be smaller (more negative). The significant (5% </w:t>
      </w:r>
      <w:r w:rsidR="00333CE4">
        <w:rPr>
          <w:lang w:val="en-US"/>
        </w:rPr>
        <w:t>level</w:t>
      </w:r>
      <w:r>
        <w:rPr>
          <w:lang w:val="en-US"/>
        </w:rPr>
        <w:t xml:space="preserve">) coefficient for the ExPRO dummy does indeed show that if </w:t>
      </w:r>
      <w:r w:rsidR="002E0446">
        <w:rPr>
          <w:lang w:val="en-US"/>
        </w:rPr>
        <w:t xml:space="preserve">the </w:t>
      </w:r>
      <w:r>
        <w:rPr>
          <w:lang w:val="en-US"/>
        </w:rPr>
        <w:t>IPO proceeds</w:t>
      </w:r>
      <w:r w:rsidR="002E0446">
        <w:rPr>
          <w:lang w:val="en-US"/>
        </w:rPr>
        <w:t xml:space="preserve"> variable </w:t>
      </w:r>
      <w:r>
        <w:rPr>
          <w:lang w:val="en-US"/>
        </w:rPr>
        <w:t>is not included, the age coefficient is prone to omitted variable bias. However the bias is positive instead of negative. This raises the question whether IPO proceeds is indeed negatively related to underpricing. This qu</w:t>
      </w:r>
      <w:r w:rsidR="000E2FD8">
        <w:rPr>
          <w:lang w:val="en-US"/>
        </w:rPr>
        <w:t>estion is discussed in section 6</w:t>
      </w:r>
      <w:r>
        <w:rPr>
          <w:lang w:val="en-US"/>
        </w:rPr>
        <w:t>.2.</w:t>
      </w:r>
    </w:p>
    <w:p w:rsidR="006159D3" w:rsidRDefault="006159D3">
      <w:pPr>
        <w:rPr>
          <w:i/>
          <w:lang w:val="en-US"/>
        </w:rPr>
      </w:pPr>
      <w:r>
        <w:rPr>
          <w:i/>
          <w:lang w:val="en-US"/>
        </w:rPr>
        <w:br w:type="page"/>
      </w:r>
    </w:p>
    <w:p w:rsidR="00E62D17" w:rsidRPr="007405E8" w:rsidRDefault="00671123" w:rsidP="007405E8">
      <w:pPr>
        <w:rPr>
          <w:i/>
          <w:lang w:val="en-US"/>
        </w:rPr>
      </w:pPr>
      <w:r w:rsidRPr="007405E8">
        <w:rPr>
          <w:i/>
          <w:lang w:val="en-US"/>
        </w:rPr>
        <w:lastRenderedPageBreak/>
        <w:t>Publication Bias</w:t>
      </w:r>
    </w:p>
    <w:p w:rsidR="00A178B6" w:rsidRDefault="00F0271B" w:rsidP="001A1E34">
      <w:pPr>
        <w:spacing w:line="360" w:lineRule="auto"/>
        <w:rPr>
          <w:lang w:val="en-US"/>
        </w:rPr>
      </w:pPr>
      <w:r w:rsidRPr="009548B7">
        <w:rPr>
          <w:lang w:val="en-US"/>
        </w:rPr>
        <w:t xml:space="preserve">In the previous section the true effect of firm age on IPO underpricing </w:t>
      </w:r>
      <w:r w:rsidR="007C2D7B">
        <w:rPr>
          <w:lang w:val="en-US"/>
        </w:rPr>
        <w:t>was</w:t>
      </w:r>
      <w:r w:rsidRPr="009548B7">
        <w:rPr>
          <w:lang w:val="en-US"/>
        </w:rPr>
        <w:t xml:space="preserve"> estimated. The reported findings used in the MRA could however be prone to publication bias.</w:t>
      </w:r>
      <w:r w:rsidR="001A1E34" w:rsidRPr="009548B7">
        <w:rPr>
          <w:lang w:val="en-US"/>
        </w:rPr>
        <w:t xml:space="preserve"> Table 13 shows the results for the publication bias test described in </w:t>
      </w:r>
      <w:r w:rsidR="009548B7">
        <w:rPr>
          <w:lang w:val="en-US"/>
        </w:rPr>
        <w:t>equation 1</w:t>
      </w:r>
      <w:r w:rsidR="007E5C57">
        <w:rPr>
          <w:lang w:val="en-US"/>
        </w:rPr>
        <w:t>1</w:t>
      </w:r>
      <w:r w:rsidR="001A1E34" w:rsidRPr="009548B7">
        <w:rPr>
          <w:lang w:val="en-US"/>
        </w:rPr>
        <w:t xml:space="preserve">. </w:t>
      </w:r>
      <w:r w:rsidR="00741BC2">
        <w:rPr>
          <w:lang w:val="en-US"/>
        </w:rPr>
        <w:t>In the absence of publication bias</w:t>
      </w:r>
      <w:r w:rsidR="003A50B8">
        <w:rPr>
          <w:lang w:val="en-US"/>
        </w:rPr>
        <w:t>,</w:t>
      </w:r>
      <w:r w:rsidR="00741BC2">
        <w:rPr>
          <w:lang w:val="en-US"/>
        </w:rPr>
        <w:t xml:space="preserve"> the natural logarithm of the degrees of freedom should be positively related to the natural logarithm</w:t>
      </w:r>
      <w:r w:rsidR="00EC06C2">
        <w:rPr>
          <w:lang w:val="en-US"/>
        </w:rPr>
        <w:t xml:space="preserve"> of the t </w:t>
      </w:r>
      <w:r w:rsidR="00C81CDE">
        <w:rPr>
          <w:lang w:val="en-US"/>
        </w:rPr>
        <w:t>statistic</w:t>
      </w:r>
      <w:r w:rsidR="00EC06C2">
        <w:rPr>
          <w:lang w:val="en-US"/>
        </w:rPr>
        <w:t xml:space="preserve"> (see section </w:t>
      </w:r>
      <w:r w:rsidR="00687455">
        <w:rPr>
          <w:lang w:val="en-US"/>
        </w:rPr>
        <w:t>5</w:t>
      </w:r>
      <w:r w:rsidR="00EC06C2">
        <w:rPr>
          <w:lang w:val="en-US"/>
        </w:rPr>
        <w:t>.3</w:t>
      </w:r>
      <w:r w:rsidR="00741BC2">
        <w:rPr>
          <w:lang w:val="en-US"/>
        </w:rPr>
        <w:t xml:space="preserve">). Table 11 shows that the relation between </w:t>
      </w:r>
      <w:proofErr w:type="gramStart"/>
      <w:r w:rsidR="00043ED2">
        <w:rPr>
          <w:lang w:val="en-US"/>
        </w:rPr>
        <w:t>LN</w:t>
      </w:r>
      <w:r w:rsidR="00741BC2">
        <w:rPr>
          <w:lang w:val="en-US"/>
        </w:rPr>
        <w:t>(</w:t>
      </w:r>
      <w:proofErr w:type="gramEnd"/>
      <w:r w:rsidR="00741BC2">
        <w:rPr>
          <w:lang w:val="en-US"/>
        </w:rPr>
        <w:t xml:space="preserve">DF) and </w:t>
      </w:r>
      <w:r w:rsidR="00043ED2">
        <w:rPr>
          <w:lang w:val="en-US"/>
        </w:rPr>
        <w:t>LN</w:t>
      </w:r>
      <w:r w:rsidR="00741BC2">
        <w:rPr>
          <w:lang w:val="en-US"/>
        </w:rPr>
        <w:t>(absT) is positive but not significant. Therefore</w:t>
      </w:r>
      <w:r w:rsidR="007210EF">
        <w:rPr>
          <w:lang w:val="en-US"/>
        </w:rPr>
        <w:t xml:space="preserve">, </w:t>
      </w:r>
      <w:r w:rsidR="00741BC2">
        <w:rPr>
          <w:lang w:val="en-US"/>
        </w:rPr>
        <w:t xml:space="preserve">we cannot </w:t>
      </w:r>
      <w:r w:rsidR="00A178B6">
        <w:rPr>
          <w:lang w:val="en-US"/>
        </w:rPr>
        <w:t>accept</w:t>
      </w:r>
      <w:r w:rsidR="00A932F1">
        <w:rPr>
          <w:lang w:val="en-US"/>
        </w:rPr>
        <w:t xml:space="preserve"> the</w:t>
      </w:r>
      <w:r w:rsidR="00193C0C">
        <w:rPr>
          <w:lang w:val="en-US"/>
        </w:rPr>
        <w:t xml:space="preserve"> hypothesis of</w:t>
      </w:r>
      <w:r w:rsidR="00741BC2">
        <w:rPr>
          <w:lang w:val="en-US"/>
        </w:rPr>
        <w:t xml:space="preserve"> </w:t>
      </w:r>
      <w:r w:rsidR="00A932F1">
        <w:rPr>
          <w:lang w:val="en-US"/>
        </w:rPr>
        <w:t xml:space="preserve">no </w:t>
      </w:r>
      <w:r w:rsidR="00741BC2">
        <w:rPr>
          <w:lang w:val="en-US"/>
        </w:rPr>
        <w:t xml:space="preserve">publication bias. </w:t>
      </w:r>
    </w:p>
    <w:p w:rsidR="00A178B6" w:rsidRPr="00A178B6" w:rsidRDefault="00A178B6" w:rsidP="001A1E34">
      <w:pPr>
        <w:pStyle w:val="ListParagraph"/>
        <w:numPr>
          <w:ilvl w:val="0"/>
          <w:numId w:val="30"/>
        </w:numPr>
        <w:spacing w:before="200" w:line="360" w:lineRule="auto"/>
        <w:ind w:left="714" w:hanging="357"/>
        <w:contextualSpacing w:val="0"/>
        <w:rPr>
          <w:i/>
          <w:lang w:val="en-US"/>
        </w:rPr>
      </w:pPr>
      <w:r>
        <w:rPr>
          <w:i/>
          <w:lang w:val="en-US"/>
        </w:rPr>
        <w:t xml:space="preserve">H4A: Publication bias is </w:t>
      </w:r>
      <w:r w:rsidRPr="00A178B6">
        <w:rPr>
          <w:i/>
          <w:u w:val="single"/>
          <w:lang w:val="en-US"/>
        </w:rPr>
        <w:t>not</w:t>
      </w:r>
      <w:r>
        <w:rPr>
          <w:i/>
          <w:lang w:val="en-US"/>
        </w:rPr>
        <w:t xml:space="preserve"> present in underpricing literature</w:t>
      </w:r>
    </w:p>
    <w:p w:rsidR="00F0271B" w:rsidRDefault="00741BC2" w:rsidP="001A1E34">
      <w:pPr>
        <w:spacing w:line="360" w:lineRule="auto"/>
        <w:rPr>
          <w:lang w:val="en-US"/>
        </w:rPr>
      </w:pPr>
      <w:r>
        <w:rPr>
          <w:lang w:val="en-US"/>
        </w:rPr>
        <w:t xml:space="preserve">The positive Star coefficient is </w:t>
      </w:r>
      <w:proofErr w:type="gramStart"/>
      <w:r>
        <w:rPr>
          <w:lang w:val="en-US"/>
        </w:rPr>
        <w:t>positive,</w:t>
      </w:r>
      <w:proofErr w:type="gramEnd"/>
      <w:r>
        <w:rPr>
          <w:lang w:val="en-US"/>
        </w:rPr>
        <w:t xml:space="preserve"> this indicates that T tests on the effect of firm age on underpricing tend to be more significant if they were published in high ranking journals. However this results is not significant</w:t>
      </w:r>
      <w:r w:rsidR="00750730">
        <w:rPr>
          <w:lang w:val="en-US"/>
        </w:rPr>
        <w:t>.</w:t>
      </w:r>
      <w:r w:rsidR="000F0F3F">
        <w:rPr>
          <w:lang w:val="en-US"/>
        </w:rPr>
        <w:t xml:space="preserve"> Therefore I cannot accept hypothesis H4B.</w:t>
      </w:r>
    </w:p>
    <w:p w:rsidR="00A178B6" w:rsidRPr="00A178B6" w:rsidRDefault="00A178B6" w:rsidP="001A1E34">
      <w:pPr>
        <w:pStyle w:val="ListParagraph"/>
        <w:numPr>
          <w:ilvl w:val="0"/>
          <w:numId w:val="30"/>
        </w:numPr>
        <w:spacing w:before="200" w:line="360" w:lineRule="auto"/>
        <w:ind w:left="714" w:hanging="357"/>
        <w:contextualSpacing w:val="0"/>
        <w:rPr>
          <w:i/>
          <w:lang w:val="en-US"/>
        </w:rPr>
      </w:pPr>
      <w:r>
        <w:rPr>
          <w:i/>
          <w:lang w:val="en-US"/>
        </w:rPr>
        <w:t>H4B:Star journal bias is present in underpricing literature</w:t>
      </w:r>
    </w:p>
    <w:tbl>
      <w:tblPr>
        <w:tblW w:w="4496" w:type="dxa"/>
        <w:jc w:val="center"/>
        <w:tblInd w:w="70" w:type="dxa"/>
        <w:tblCellMar>
          <w:left w:w="70" w:type="dxa"/>
          <w:right w:w="70" w:type="dxa"/>
        </w:tblCellMar>
        <w:tblLook w:val="04A0"/>
      </w:tblPr>
      <w:tblGrid>
        <w:gridCol w:w="1183"/>
        <w:gridCol w:w="1443"/>
        <w:gridCol w:w="1010"/>
        <w:gridCol w:w="860"/>
      </w:tblGrid>
      <w:tr w:rsidR="000426A0" w:rsidRPr="009D4228" w:rsidTr="00647E59">
        <w:trPr>
          <w:trHeight w:val="300"/>
          <w:jc w:val="center"/>
        </w:trPr>
        <w:tc>
          <w:tcPr>
            <w:tcW w:w="4496" w:type="dxa"/>
            <w:gridSpan w:val="4"/>
            <w:tcBorders>
              <w:left w:val="nil"/>
              <w:bottom w:val="nil"/>
              <w:right w:val="nil"/>
            </w:tcBorders>
            <w:shd w:val="clear" w:color="000000" w:fill="FFFFFF"/>
            <w:noWrap/>
            <w:vAlign w:val="bottom"/>
            <w:hideMark/>
          </w:tcPr>
          <w:p w:rsidR="007F0D94" w:rsidRDefault="007F0D94" w:rsidP="000426A0">
            <w:pPr>
              <w:spacing w:after="0" w:line="240" w:lineRule="auto"/>
              <w:jc w:val="center"/>
              <w:rPr>
                <w:rFonts w:ascii="Calibri" w:eastAsia="Times New Roman" w:hAnsi="Calibri" w:cs="Calibri"/>
                <w:b/>
                <w:bCs/>
                <w:color w:val="000000"/>
                <w:lang w:val="en-US" w:eastAsia="nl-NL"/>
              </w:rPr>
            </w:pPr>
            <w:r>
              <w:rPr>
                <w:rFonts w:ascii="Calibri" w:eastAsia="Times New Roman" w:hAnsi="Calibri" w:cs="Calibri"/>
                <w:b/>
                <w:bCs/>
                <w:color w:val="000000"/>
                <w:lang w:val="en-US" w:eastAsia="nl-NL"/>
              </w:rPr>
              <w:t xml:space="preserve">Table 11: Publication bias test: </w:t>
            </w:r>
          </w:p>
          <w:p w:rsidR="000426A0" w:rsidRPr="000426A0" w:rsidRDefault="007F0D94" w:rsidP="000426A0">
            <w:pPr>
              <w:spacing w:after="0" w:line="240" w:lineRule="auto"/>
              <w:jc w:val="center"/>
              <w:rPr>
                <w:rFonts w:ascii="Calibri" w:eastAsia="Times New Roman" w:hAnsi="Calibri" w:cs="Calibri"/>
                <w:b/>
                <w:bCs/>
                <w:color w:val="000000"/>
                <w:lang w:val="en-US" w:eastAsia="nl-NL"/>
              </w:rPr>
            </w:pPr>
            <w:r>
              <w:rPr>
                <w:rFonts w:ascii="Calibri" w:eastAsia="Times New Roman" w:hAnsi="Calibri" w:cs="Calibri"/>
                <w:b/>
                <w:bCs/>
                <w:color w:val="000000"/>
                <w:lang w:val="en-US" w:eastAsia="nl-NL"/>
              </w:rPr>
              <w:t xml:space="preserve">The age </w:t>
            </w:r>
            <w:r w:rsidR="000426A0" w:rsidRPr="000426A0">
              <w:rPr>
                <w:rFonts w:ascii="Calibri" w:eastAsia="Times New Roman" w:hAnsi="Calibri" w:cs="Calibri"/>
                <w:b/>
                <w:bCs/>
                <w:color w:val="000000"/>
                <w:lang w:val="en-US" w:eastAsia="nl-NL"/>
              </w:rPr>
              <w:t>coefficient</w:t>
            </w:r>
          </w:p>
        </w:tc>
      </w:tr>
      <w:tr w:rsidR="000426A0" w:rsidRPr="009D4228" w:rsidTr="000426A0">
        <w:trPr>
          <w:trHeight w:val="300"/>
          <w:jc w:val="center"/>
        </w:trPr>
        <w:tc>
          <w:tcPr>
            <w:tcW w:w="4496" w:type="dxa"/>
            <w:gridSpan w:val="4"/>
            <w:tcBorders>
              <w:top w:val="nil"/>
              <w:left w:val="nil"/>
              <w:bottom w:val="nil"/>
              <w:right w:val="nil"/>
            </w:tcBorders>
            <w:shd w:val="clear" w:color="auto" w:fill="auto"/>
            <w:noWrap/>
            <w:vAlign w:val="bottom"/>
            <w:hideMark/>
          </w:tcPr>
          <w:p w:rsidR="000426A0" w:rsidRPr="000426A0" w:rsidRDefault="000426A0" w:rsidP="000426A0">
            <w:pPr>
              <w:spacing w:after="0" w:line="240" w:lineRule="auto"/>
              <w:jc w:val="center"/>
              <w:rPr>
                <w:rFonts w:ascii="Calibri" w:eastAsia="Times New Roman" w:hAnsi="Calibri" w:cs="Calibri"/>
                <w:b/>
                <w:bCs/>
                <w:color w:val="000000"/>
                <w:lang w:val="en-US" w:eastAsia="nl-NL"/>
              </w:rPr>
            </w:pPr>
            <w:r w:rsidRPr="000426A0">
              <w:rPr>
                <w:rFonts w:ascii="Calibri" w:eastAsia="Times New Roman" w:hAnsi="Calibri" w:cs="Calibri"/>
                <w:b/>
                <w:bCs/>
                <w:color w:val="000000"/>
                <w:lang w:val="en-US" w:eastAsia="nl-NL"/>
              </w:rPr>
              <w:t>Sample size: 27, Adjusted R square: 0.00</w:t>
            </w:r>
          </w:p>
        </w:tc>
      </w:tr>
      <w:tr w:rsidR="000426A0" w:rsidRPr="000426A0" w:rsidTr="000426A0">
        <w:trPr>
          <w:trHeight w:val="315"/>
          <w:jc w:val="center"/>
        </w:trPr>
        <w:tc>
          <w:tcPr>
            <w:tcW w:w="1183" w:type="dxa"/>
            <w:tcBorders>
              <w:top w:val="single" w:sz="4" w:space="0" w:color="auto"/>
              <w:left w:val="nil"/>
              <w:bottom w:val="double" w:sz="6" w:space="0" w:color="auto"/>
              <w:right w:val="nil"/>
            </w:tcBorders>
            <w:shd w:val="clear" w:color="000000" w:fill="FFFFFF"/>
            <w:noWrap/>
            <w:vAlign w:val="bottom"/>
            <w:hideMark/>
          </w:tcPr>
          <w:p w:rsidR="000426A0" w:rsidRPr="000426A0" w:rsidRDefault="000426A0" w:rsidP="000426A0">
            <w:pPr>
              <w:spacing w:after="0" w:line="240" w:lineRule="auto"/>
              <w:rPr>
                <w:rFonts w:ascii="Calibri" w:eastAsia="Times New Roman" w:hAnsi="Calibri" w:cs="Calibri"/>
                <w:b/>
                <w:bCs/>
                <w:color w:val="000000"/>
                <w:lang w:val="en-US" w:eastAsia="nl-NL"/>
              </w:rPr>
            </w:pPr>
            <w:r w:rsidRPr="000426A0">
              <w:rPr>
                <w:rFonts w:ascii="Calibri" w:eastAsia="Times New Roman" w:hAnsi="Calibri" w:cs="Calibri"/>
                <w:b/>
                <w:bCs/>
                <w:color w:val="000000"/>
                <w:lang w:val="en-US" w:eastAsia="nl-NL"/>
              </w:rPr>
              <w:t> </w:t>
            </w:r>
          </w:p>
        </w:tc>
        <w:tc>
          <w:tcPr>
            <w:tcW w:w="1443" w:type="dxa"/>
            <w:tcBorders>
              <w:top w:val="single" w:sz="4" w:space="0" w:color="auto"/>
              <w:left w:val="nil"/>
              <w:bottom w:val="double" w:sz="6" w:space="0" w:color="auto"/>
              <w:right w:val="nil"/>
            </w:tcBorders>
            <w:shd w:val="clear" w:color="000000" w:fill="FFFFFF"/>
            <w:noWrap/>
            <w:vAlign w:val="bottom"/>
            <w:hideMark/>
          </w:tcPr>
          <w:p w:rsidR="000426A0" w:rsidRPr="000426A0" w:rsidRDefault="000426A0" w:rsidP="000426A0">
            <w:pPr>
              <w:spacing w:after="0" w:line="240" w:lineRule="auto"/>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Intercept</w:t>
            </w:r>
          </w:p>
        </w:tc>
        <w:tc>
          <w:tcPr>
            <w:tcW w:w="1010" w:type="dxa"/>
            <w:tcBorders>
              <w:top w:val="single" w:sz="4" w:space="0" w:color="auto"/>
              <w:left w:val="nil"/>
              <w:bottom w:val="double" w:sz="6" w:space="0" w:color="auto"/>
              <w:right w:val="nil"/>
            </w:tcBorders>
            <w:shd w:val="clear" w:color="000000" w:fill="FFFFFF"/>
            <w:noWrap/>
            <w:vAlign w:val="bottom"/>
            <w:hideMark/>
          </w:tcPr>
          <w:p w:rsidR="000426A0" w:rsidRPr="000426A0" w:rsidRDefault="00043ED2" w:rsidP="000426A0">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LN</w:t>
            </w:r>
            <w:r w:rsidR="000426A0" w:rsidRPr="000426A0">
              <w:rPr>
                <w:rFonts w:ascii="Calibri" w:eastAsia="Times New Roman" w:hAnsi="Calibri" w:cs="Calibri"/>
                <w:b/>
                <w:bCs/>
                <w:color w:val="000000"/>
                <w:lang w:eastAsia="nl-NL"/>
              </w:rPr>
              <w:t>(DF)</w:t>
            </w:r>
          </w:p>
        </w:tc>
        <w:tc>
          <w:tcPr>
            <w:tcW w:w="860" w:type="dxa"/>
            <w:tcBorders>
              <w:top w:val="single" w:sz="4" w:space="0" w:color="auto"/>
              <w:left w:val="nil"/>
              <w:bottom w:val="double" w:sz="6" w:space="0" w:color="auto"/>
              <w:right w:val="nil"/>
            </w:tcBorders>
            <w:shd w:val="clear" w:color="000000" w:fill="FFFFFF"/>
            <w:noWrap/>
            <w:vAlign w:val="bottom"/>
            <w:hideMark/>
          </w:tcPr>
          <w:p w:rsidR="000426A0" w:rsidRPr="000426A0" w:rsidRDefault="000426A0" w:rsidP="000426A0">
            <w:pPr>
              <w:spacing w:after="0" w:line="240" w:lineRule="auto"/>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STAR</w:t>
            </w:r>
          </w:p>
        </w:tc>
      </w:tr>
      <w:tr w:rsidR="000426A0" w:rsidRPr="000426A0" w:rsidTr="000426A0">
        <w:trPr>
          <w:trHeight w:val="315"/>
          <w:jc w:val="center"/>
        </w:trPr>
        <w:tc>
          <w:tcPr>
            <w:tcW w:w="1183"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Size</w:t>
            </w:r>
          </w:p>
        </w:tc>
        <w:tc>
          <w:tcPr>
            <w:tcW w:w="1443"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-0,018</w:t>
            </w:r>
          </w:p>
        </w:tc>
        <w:tc>
          <w:tcPr>
            <w:tcW w:w="1010"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0,056</w:t>
            </w:r>
          </w:p>
        </w:tc>
        <w:tc>
          <w:tcPr>
            <w:tcW w:w="860"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0,354</w:t>
            </w:r>
          </w:p>
        </w:tc>
      </w:tr>
      <w:tr w:rsidR="000426A0" w:rsidRPr="000426A0" w:rsidTr="000426A0">
        <w:trPr>
          <w:trHeight w:val="300"/>
          <w:jc w:val="center"/>
        </w:trPr>
        <w:tc>
          <w:tcPr>
            <w:tcW w:w="1183"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Stdev</w:t>
            </w:r>
          </w:p>
        </w:tc>
        <w:tc>
          <w:tcPr>
            <w:tcW w:w="1443"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0,860</w:t>
            </w:r>
          </w:p>
        </w:tc>
        <w:tc>
          <w:tcPr>
            <w:tcW w:w="1010"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0,134</w:t>
            </w:r>
          </w:p>
        </w:tc>
        <w:tc>
          <w:tcPr>
            <w:tcW w:w="860"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0,284</w:t>
            </w:r>
          </w:p>
        </w:tc>
      </w:tr>
      <w:tr w:rsidR="000426A0" w:rsidRPr="000426A0" w:rsidTr="000426A0">
        <w:trPr>
          <w:trHeight w:val="300"/>
          <w:jc w:val="center"/>
        </w:trPr>
        <w:tc>
          <w:tcPr>
            <w:tcW w:w="1183"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T value</w:t>
            </w:r>
          </w:p>
        </w:tc>
        <w:tc>
          <w:tcPr>
            <w:tcW w:w="1443"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-0,021</w:t>
            </w:r>
          </w:p>
        </w:tc>
        <w:tc>
          <w:tcPr>
            <w:tcW w:w="1010"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0,417</w:t>
            </w:r>
          </w:p>
        </w:tc>
        <w:tc>
          <w:tcPr>
            <w:tcW w:w="860" w:type="dxa"/>
            <w:tcBorders>
              <w:top w:val="nil"/>
              <w:left w:val="nil"/>
              <w:bottom w:val="nil"/>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1,246</w:t>
            </w:r>
          </w:p>
        </w:tc>
      </w:tr>
      <w:tr w:rsidR="000426A0" w:rsidRPr="000426A0" w:rsidTr="000426A0">
        <w:trPr>
          <w:trHeight w:val="300"/>
          <w:jc w:val="center"/>
        </w:trPr>
        <w:tc>
          <w:tcPr>
            <w:tcW w:w="1183" w:type="dxa"/>
            <w:tcBorders>
              <w:top w:val="nil"/>
              <w:left w:val="nil"/>
              <w:bottom w:val="single" w:sz="4" w:space="0" w:color="auto"/>
              <w:right w:val="nil"/>
            </w:tcBorders>
            <w:shd w:val="clear" w:color="000000" w:fill="FFFFFF"/>
            <w:noWrap/>
            <w:vAlign w:val="bottom"/>
            <w:hideMark/>
          </w:tcPr>
          <w:p w:rsidR="000426A0" w:rsidRPr="000426A0" w:rsidRDefault="000426A0" w:rsidP="000426A0">
            <w:pPr>
              <w:spacing w:after="0" w:line="240" w:lineRule="auto"/>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P Value</w:t>
            </w:r>
          </w:p>
        </w:tc>
        <w:tc>
          <w:tcPr>
            <w:tcW w:w="1443" w:type="dxa"/>
            <w:tcBorders>
              <w:top w:val="nil"/>
              <w:left w:val="nil"/>
              <w:bottom w:val="single" w:sz="4" w:space="0" w:color="auto"/>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0,984</w:t>
            </w:r>
          </w:p>
        </w:tc>
        <w:tc>
          <w:tcPr>
            <w:tcW w:w="1010" w:type="dxa"/>
            <w:tcBorders>
              <w:top w:val="nil"/>
              <w:left w:val="nil"/>
              <w:bottom w:val="single" w:sz="4" w:space="0" w:color="auto"/>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0,680</w:t>
            </w:r>
          </w:p>
        </w:tc>
        <w:tc>
          <w:tcPr>
            <w:tcW w:w="860" w:type="dxa"/>
            <w:tcBorders>
              <w:top w:val="nil"/>
              <w:left w:val="nil"/>
              <w:bottom w:val="single" w:sz="4" w:space="0" w:color="auto"/>
              <w:right w:val="nil"/>
            </w:tcBorders>
            <w:shd w:val="clear" w:color="000000" w:fill="FFFFFF"/>
            <w:noWrap/>
            <w:vAlign w:val="bottom"/>
            <w:hideMark/>
          </w:tcPr>
          <w:p w:rsidR="000426A0" w:rsidRPr="000426A0" w:rsidRDefault="000426A0" w:rsidP="000426A0">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0,225</w:t>
            </w:r>
          </w:p>
        </w:tc>
      </w:tr>
    </w:tbl>
    <w:p w:rsidR="00E62D17" w:rsidRPr="0073013F" w:rsidRDefault="0073013F" w:rsidP="006159D3">
      <w:pPr>
        <w:jc w:val="both"/>
        <w:rPr>
          <w:sz w:val="18"/>
          <w:szCs w:val="18"/>
          <w:lang w:val="en-US"/>
        </w:rPr>
      </w:pPr>
      <w:r w:rsidRPr="0073013F">
        <w:rPr>
          <w:sz w:val="18"/>
          <w:szCs w:val="18"/>
          <w:lang w:val="en-US"/>
        </w:rPr>
        <w:t>Table 1</w:t>
      </w:r>
      <w:r w:rsidR="007F0D94">
        <w:rPr>
          <w:sz w:val="18"/>
          <w:szCs w:val="18"/>
          <w:lang w:val="en-US"/>
        </w:rPr>
        <w:t>1</w:t>
      </w:r>
      <w:r>
        <w:rPr>
          <w:sz w:val="18"/>
          <w:szCs w:val="18"/>
          <w:lang w:val="en-US"/>
        </w:rPr>
        <w:t xml:space="preserve"> shows the results of equation </w:t>
      </w:r>
      <w:r w:rsidR="008C6EFC">
        <w:rPr>
          <w:sz w:val="18"/>
          <w:szCs w:val="18"/>
          <w:lang w:val="en-US"/>
        </w:rPr>
        <w:t>1</w:t>
      </w:r>
      <w:r w:rsidR="007E5C57">
        <w:rPr>
          <w:sz w:val="18"/>
          <w:szCs w:val="18"/>
          <w:lang w:val="en-US"/>
        </w:rPr>
        <w:t>1</w:t>
      </w:r>
      <w:r>
        <w:rPr>
          <w:sz w:val="18"/>
          <w:szCs w:val="18"/>
          <w:lang w:val="en-US"/>
        </w:rPr>
        <w:t>. The dependent variable is the natural logarithm of the ab</w:t>
      </w:r>
      <w:r w:rsidR="0030538F">
        <w:rPr>
          <w:sz w:val="18"/>
          <w:szCs w:val="18"/>
          <w:lang w:val="en-US"/>
        </w:rPr>
        <w:t>solute value of the t-</w:t>
      </w:r>
      <w:r w:rsidR="004361D6">
        <w:rPr>
          <w:sz w:val="18"/>
          <w:szCs w:val="18"/>
          <w:lang w:val="en-US"/>
        </w:rPr>
        <w:t>statistic</w:t>
      </w:r>
      <w:r w:rsidR="00687455">
        <w:rPr>
          <w:sz w:val="18"/>
          <w:szCs w:val="18"/>
          <w:lang w:val="en-US"/>
        </w:rPr>
        <w:t xml:space="preserve">. </w:t>
      </w:r>
      <w:r w:rsidR="0030538F">
        <w:rPr>
          <w:sz w:val="18"/>
          <w:szCs w:val="18"/>
          <w:lang w:val="en-US"/>
        </w:rPr>
        <w:t>The</w:t>
      </w:r>
      <w:r w:rsidR="004361D6">
        <w:rPr>
          <w:sz w:val="18"/>
          <w:szCs w:val="18"/>
          <w:lang w:val="en-US"/>
        </w:rPr>
        <w:t xml:space="preserve"> </w:t>
      </w:r>
      <w:r w:rsidR="0030538F">
        <w:rPr>
          <w:sz w:val="18"/>
          <w:szCs w:val="18"/>
          <w:lang w:val="en-US"/>
        </w:rPr>
        <w:t>t-</w:t>
      </w:r>
      <w:r w:rsidR="004361D6">
        <w:rPr>
          <w:sz w:val="18"/>
          <w:szCs w:val="18"/>
          <w:lang w:val="en-US"/>
        </w:rPr>
        <w:t xml:space="preserve">statistics belong to the age coefficients obtained from the original regressions. The independent variables are stated in the top row. </w:t>
      </w:r>
      <w:proofErr w:type="gramStart"/>
      <w:r w:rsidR="00043ED2">
        <w:rPr>
          <w:sz w:val="18"/>
          <w:szCs w:val="18"/>
          <w:lang w:val="en-US"/>
        </w:rPr>
        <w:t>LN</w:t>
      </w:r>
      <w:r w:rsidR="004361D6">
        <w:rPr>
          <w:sz w:val="18"/>
          <w:szCs w:val="18"/>
          <w:lang w:val="en-US"/>
        </w:rPr>
        <w:t>(</w:t>
      </w:r>
      <w:proofErr w:type="gramEnd"/>
      <w:r w:rsidR="004361D6">
        <w:rPr>
          <w:sz w:val="18"/>
          <w:szCs w:val="18"/>
          <w:lang w:val="en-US"/>
        </w:rPr>
        <w:t>DF) is the natural logarithm of the degrees of freedom in the original regression. The Sta</w:t>
      </w:r>
      <w:r w:rsidR="00687455">
        <w:rPr>
          <w:sz w:val="18"/>
          <w:szCs w:val="18"/>
          <w:lang w:val="en-US"/>
        </w:rPr>
        <w:t>r dummy takes the value of one i</w:t>
      </w:r>
      <w:r w:rsidR="004361D6">
        <w:rPr>
          <w:sz w:val="18"/>
          <w:szCs w:val="18"/>
          <w:lang w:val="en-US"/>
        </w:rPr>
        <w:t xml:space="preserve">f the </w:t>
      </w:r>
      <w:r w:rsidR="0030538F">
        <w:rPr>
          <w:sz w:val="18"/>
          <w:szCs w:val="18"/>
          <w:lang w:val="en-US"/>
        </w:rPr>
        <w:t>t-</w:t>
      </w:r>
      <w:r w:rsidR="004361D6">
        <w:rPr>
          <w:sz w:val="18"/>
          <w:szCs w:val="18"/>
          <w:lang w:val="en-US"/>
        </w:rPr>
        <w:t>statistic was obtained from an article that was published in a top ranked journal. None of the findings are statistically significant.</w:t>
      </w:r>
    </w:p>
    <w:p w:rsidR="00E62D17" w:rsidRDefault="001A1E34" w:rsidP="00A95957">
      <w:pPr>
        <w:ind w:left="1418" w:hanging="851"/>
        <w:rPr>
          <w:b/>
          <w:lang w:val="en-US"/>
        </w:rPr>
      </w:pPr>
      <w:r>
        <w:rPr>
          <w:b/>
          <w:lang w:val="en-US"/>
        </w:rPr>
        <w:br w:type="page"/>
      </w:r>
      <w:r w:rsidR="00C72939">
        <w:rPr>
          <w:b/>
          <w:lang w:val="en-US"/>
        </w:rPr>
        <w:lastRenderedPageBreak/>
        <w:t>6</w:t>
      </w:r>
      <w:r w:rsidR="00E62D17">
        <w:rPr>
          <w:b/>
          <w:lang w:val="en-US"/>
        </w:rPr>
        <w:t xml:space="preserve">.2. </w:t>
      </w:r>
      <w:r w:rsidR="004A2D37">
        <w:rPr>
          <w:b/>
          <w:lang w:val="en-US"/>
        </w:rPr>
        <w:tab/>
      </w:r>
      <w:r w:rsidR="00E62D17">
        <w:rPr>
          <w:b/>
          <w:lang w:val="en-US"/>
        </w:rPr>
        <w:t>Proceeds</w:t>
      </w:r>
    </w:p>
    <w:p w:rsidR="00193C0C" w:rsidRDefault="007C2D7B" w:rsidP="00EC06C2">
      <w:pPr>
        <w:spacing w:line="360" w:lineRule="auto"/>
        <w:rPr>
          <w:lang w:val="en-US"/>
        </w:rPr>
      </w:pPr>
      <w:r>
        <w:rPr>
          <w:lang w:val="en-US"/>
        </w:rPr>
        <w:t>Table 5 shows that of</w:t>
      </w:r>
      <w:r w:rsidR="00BE45B7">
        <w:rPr>
          <w:lang w:val="en-US"/>
        </w:rPr>
        <w:t xml:space="preserve"> the</w:t>
      </w:r>
      <w:r w:rsidR="0003240E">
        <w:rPr>
          <w:lang w:val="en-US"/>
        </w:rPr>
        <w:t xml:space="preserve"> 57</w:t>
      </w:r>
      <w:r w:rsidR="00EC06C2">
        <w:rPr>
          <w:lang w:val="en-US"/>
        </w:rPr>
        <w:t xml:space="preserve"> coefficients</w:t>
      </w:r>
      <w:r w:rsidR="00BE45B7">
        <w:rPr>
          <w:lang w:val="en-US"/>
        </w:rPr>
        <w:t xml:space="preserve"> included in the MRA, only</w:t>
      </w:r>
      <w:r w:rsidR="00EC06C2">
        <w:rPr>
          <w:lang w:val="en-US"/>
        </w:rPr>
        <w:t xml:space="preserve"> </w:t>
      </w:r>
      <w:r w:rsidR="00BE45B7">
        <w:rPr>
          <w:lang w:val="en-US"/>
        </w:rPr>
        <w:t>1 is</w:t>
      </w:r>
      <w:r w:rsidR="00EC06C2">
        <w:rPr>
          <w:lang w:val="en-US"/>
        </w:rPr>
        <w:t xml:space="preserve"> positive and significant, </w:t>
      </w:r>
      <w:r w:rsidR="00BE45B7">
        <w:rPr>
          <w:lang w:val="en-US"/>
        </w:rPr>
        <w:t>29</w:t>
      </w:r>
      <w:r w:rsidR="00EC06C2">
        <w:rPr>
          <w:lang w:val="en-US"/>
        </w:rPr>
        <w:t xml:space="preserve"> are insignificant and </w:t>
      </w:r>
      <w:r w:rsidR="00BE45B7">
        <w:rPr>
          <w:lang w:val="en-US"/>
        </w:rPr>
        <w:t>27</w:t>
      </w:r>
      <w:r w:rsidR="000F0F3F">
        <w:rPr>
          <w:lang w:val="en-US"/>
        </w:rPr>
        <w:t xml:space="preserve"> are </w:t>
      </w:r>
      <w:r w:rsidR="00EC06C2">
        <w:rPr>
          <w:lang w:val="en-US"/>
        </w:rPr>
        <w:t xml:space="preserve">negative and significant. </w:t>
      </w:r>
      <w:r w:rsidR="00E6762B">
        <w:rPr>
          <w:lang w:val="en-US"/>
        </w:rPr>
        <w:t>So a simple summary of the academic literature indicates</w:t>
      </w:r>
      <w:r w:rsidR="00EC06C2">
        <w:rPr>
          <w:lang w:val="en-US"/>
        </w:rPr>
        <w:t xml:space="preserve"> that the true relation between IPO procee</w:t>
      </w:r>
      <w:r w:rsidR="00B2467E">
        <w:rPr>
          <w:lang w:val="en-US"/>
        </w:rPr>
        <w:t>ds and underpricing is negative</w:t>
      </w:r>
      <w:r w:rsidR="003A50B8">
        <w:rPr>
          <w:lang w:val="en-US"/>
        </w:rPr>
        <w:t xml:space="preserve">. However, as explained in section </w:t>
      </w:r>
      <w:r w:rsidR="00687455">
        <w:rPr>
          <w:lang w:val="en-US"/>
        </w:rPr>
        <w:t>4</w:t>
      </w:r>
      <w:r w:rsidR="003A50B8">
        <w:rPr>
          <w:lang w:val="en-US"/>
        </w:rPr>
        <w:t xml:space="preserve">.1 and </w:t>
      </w:r>
      <w:r w:rsidR="00687455">
        <w:rPr>
          <w:lang w:val="en-US"/>
        </w:rPr>
        <w:t>4</w:t>
      </w:r>
      <w:r w:rsidR="003A50B8">
        <w:rPr>
          <w:lang w:val="en-US"/>
        </w:rPr>
        <w:t>.2</w:t>
      </w:r>
      <w:r>
        <w:rPr>
          <w:lang w:val="en-US"/>
        </w:rPr>
        <w:t>,</w:t>
      </w:r>
      <w:r w:rsidR="003A50B8">
        <w:rPr>
          <w:lang w:val="en-US"/>
        </w:rPr>
        <w:t xml:space="preserve"> the observed coefficients could be prone to misspecifications of the underlying model. In equation </w:t>
      </w:r>
      <w:r w:rsidR="00687455">
        <w:rPr>
          <w:lang w:val="en-US"/>
        </w:rPr>
        <w:t>6</w:t>
      </w:r>
      <w:r w:rsidR="003A50B8">
        <w:rPr>
          <w:lang w:val="en-US"/>
        </w:rPr>
        <w:t xml:space="preserve"> these misspecifications are controlled for. If all misspecifications are controlled for, the intercept represents the true effect</w:t>
      </w:r>
      <w:r w:rsidR="00193C0C">
        <w:rPr>
          <w:lang w:val="en-US"/>
        </w:rPr>
        <w:t>.</w:t>
      </w:r>
      <w:r w:rsidR="00A8632D">
        <w:rPr>
          <w:lang w:val="en-US"/>
        </w:rPr>
        <w:t xml:space="preserve"> </w:t>
      </w:r>
      <w:r w:rsidR="00A8632D" w:rsidRPr="00A95957">
        <w:rPr>
          <w:lang w:val="en-US"/>
        </w:rPr>
        <w:t xml:space="preserve">The results of equation </w:t>
      </w:r>
      <w:r w:rsidR="00A8632D">
        <w:rPr>
          <w:lang w:val="en-US"/>
        </w:rPr>
        <w:t>6</w:t>
      </w:r>
      <w:r w:rsidR="00A8632D" w:rsidRPr="00A95957">
        <w:rPr>
          <w:lang w:val="en-US"/>
        </w:rPr>
        <w:t xml:space="preserve"> are stated in table 1</w:t>
      </w:r>
      <w:r w:rsidR="00A8632D">
        <w:rPr>
          <w:lang w:val="en-US"/>
        </w:rPr>
        <w:t>2</w:t>
      </w:r>
      <w:r w:rsidR="00A8632D" w:rsidRPr="00A95957">
        <w:rPr>
          <w:lang w:val="en-US"/>
        </w:rPr>
        <w:t xml:space="preserve">. </w:t>
      </w:r>
    </w:p>
    <w:tbl>
      <w:tblPr>
        <w:tblW w:w="5936" w:type="dxa"/>
        <w:tblInd w:w="1579" w:type="dxa"/>
        <w:tblCellMar>
          <w:left w:w="70" w:type="dxa"/>
          <w:right w:w="70" w:type="dxa"/>
        </w:tblCellMar>
        <w:tblLook w:val="04A0"/>
      </w:tblPr>
      <w:tblGrid>
        <w:gridCol w:w="1101"/>
        <w:gridCol w:w="1310"/>
        <w:gridCol w:w="801"/>
        <w:gridCol w:w="908"/>
        <w:gridCol w:w="908"/>
        <w:gridCol w:w="908"/>
      </w:tblGrid>
      <w:tr w:rsidR="004E097E" w:rsidRPr="009D4228" w:rsidTr="007F0D94">
        <w:trPr>
          <w:trHeight w:val="300"/>
        </w:trPr>
        <w:tc>
          <w:tcPr>
            <w:tcW w:w="5936" w:type="dxa"/>
            <w:gridSpan w:val="6"/>
            <w:tcBorders>
              <w:top w:val="nil"/>
              <w:left w:val="nil"/>
              <w:bottom w:val="single" w:sz="4" w:space="0" w:color="auto"/>
              <w:right w:val="nil"/>
            </w:tcBorders>
            <w:shd w:val="clear" w:color="000000" w:fill="FFFFFF"/>
            <w:noWrap/>
            <w:vAlign w:val="bottom"/>
            <w:hideMark/>
          </w:tcPr>
          <w:p w:rsidR="004E097E" w:rsidRPr="004E097E" w:rsidRDefault="007F0D94" w:rsidP="004E097E">
            <w:pPr>
              <w:spacing w:after="0" w:line="240" w:lineRule="auto"/>
              <w:jc w:val="center"/>
              <w:rPr>
                <w:rFonts w:ascii="Calibri" w:eastAsia="Times New Roman" w:hAnsi="Calibri" w:cs="Times New Roman"/>
                <w:b/>
                <w:bCs/>
                <w:color w:val="000000"/>
                <w:lang w:val="en-US" w:eastAsia="nl-NL"/>
              </w:rPr>
            </w:pPr>
            <w:r>
              <w:rPr>
                <w:rFonts w:ascii="Calibri" w:eastAsia="Times New Roman" w:hAnsi="Calibri" w:cs="Times New Roman"/>
                <w:b/>
                <w:bCs/>
                <w:color w:val="000000"/>
                <w:lang w:val="en-US" w:eastAsia="nl-NL"/>
              </w:rPr>
              <w:t xml:space="preserve">Table 12: </w:t>
            </w:r>
            <w:r w:rsidR="004E097E" w:rsidRPr="004E097E">
              <w:rPr>
                <w:rFonts w:ascii="Calibri" w:eastAsia="Times New Roman" w:hAnsi="Calibri" w:cs="Times New Roman"/>
                <w:b/>
                <w:bCs/>
                <w:color w:val="000000"/>
                <w:lang w:val="en-US" w:eastAsia="nl-NL"/>
              </w:rPr>
              <w:t>Proceeds MRA, Sample size: 57, Adjusted R Square: 0.19</w:t>
            </w:r>
          </w:p>
        </w:tc>
      </w:tr>
      <w:tr w:rsidR="004E097E" w:rsidRPr="004E097E" w:rsidTr="007F0D94">
        <w:trPr>
          <w:trHeight w:val="315"/>
        </w:trPr>
        <w:tc>
          <w:tcPr>
            <w:tcW w:w="1101" w:type="dxa"/>
            <w:tcBorders>
              <w:top w:val="nil"/>
              <w:left w:val="nil"/>
              <w:bottom w:val="double" w:sz="6" w:space="0" w:color="auto"/>
              <w:right w:val="nil"/>
            </w:tcBorders>
            <w:shd w:val="clear" w:color="000000" w:fill="FFFFFF"/>
            <w:noWrap/>
            <w:vAlign w:val="bottom"/>
            <w:hideMark/>
          </w:tcPr>
          <w:p w:rsidR="004E097E" w:rsidRPr="004E097E" w:rsidRDefault="004E097E" w:rsidP="004E097E">
            <w:pPr>
              <w:spacing w:after="0" w:line="240" w:lineRule="auto"/>
              <w:rPr>
                <w:rFonts w:ascii="Calibri" w:eastAsia="Times New Roman" w:hAnsi="Calibri" w:cs="Times New Roman"/>
                <w:b/>
                <w:bCs/>
                <w:color w:val="000000"/>
                <w:lang w:val="en-US" w:eastAsia="nl-NL"/>
              </w:rPr>
            </w:pPr>
            <w:r w:rsidRPr="004E097E">
              <w:rPr>
                <w:rFonts w:ascii="Calibri" w:eastAsia="Times New Roman" w:hAnsi="Calibri" w:cs="Times New Roman"/>
                <w:b/>
                <w:bCs/>
                <w:color w:val="000000"/>
                <w:lang w:val="en-US" w:eastAsia="nl-NL"/>
              </w:rPr>
              <w:t> </w:t>
            </w:r>
          </w:p>
        </w:tc>
        <w:tc>
          <w:tcPr>
            <w:tcW w:w="1310" w:type="dxa"/>
            <w:tcBorders>
              <w:top w:val="nil"/>
              <w:left w:val="nil"/>
              <w:bottom w:val="double" w:sz="6" w:space="0" w:color="auto"/>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b/>
                <w:bCs/>
                <w:color w:val="000000"/>
                <w:lang w:eastAsia="nl-NL"/>
              </w:rPr>
            </w:pPr>
            <w:r w:rsidRPr="004E097E">
              <w:rPr>
                <w:rFonts w:ascii="Calibri" w:eastAsia="Times New Roman" w:hAnsi="Calibri" w:cs="Times New Roman"/>
                <w:b/>
                <w:bCs/>
                <w:color w:val="000000"/>
                <w:lang w:eastAsia="nl-NL"/>
              </w:rPr>
              <w:t>Constant</w:t>
            </w:r>
          </w:p>
        </w:tc>
        <w:tc>
          <w:tcPr>
            <w:tcW w:w="801" w:type="dxa"/>
            <w:tcBorders>
              <w:top w:val="nil"/>
              <w:left w:val="nil"/>
              <w:bottom w:val="double" w:sz="6" w:space="0" w:color="auto"/>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b/>
                <w:bCs/>
                <w:color w:val="000000"/>
                <w:lang w:eastAsia="nl-NL"/>
              </w:rPr>
            </w:pPr>
            <w:r w:rsidRPr="004E097E">
              <w:rPr>
                <w:rFonts w:ascii="Calibri" w:eastAsia="Times New Roman" w:hAnsi="Calibri" w:cs="Times New Roman"/>
                <w:b/>
                <w:bCs/>
                <w:color w:val="000000"/>
                <w:lang w:eastAsia="nl-NL"/>
              </w:rPr>
              <w:t>EUR</w:t>
            </w:r>
          </w:p>
        </w:tc>
        <w:tc>
          <w:tcPr>
            <w:tcW w:w="908" w:type="dxa"/>
            <w:tcBorders>
              <w:top w:val="nil"/>
              <w:left w:val="nil"/>
              <w:bottom w:val="double" w:sz="6" w:space="0" w:color="auto"/>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b/>
                <w:bCs/>
                <w:color w:val="000000"/>
                <w:lang w:eastAsia="nl-NL"/>
              </w:rPr>
            </w:pPr>
            <w:r w:rsidRPr="004E097E">
              <w:rPr>
                <w:rFonts w:ascii="Calibri" w:eastAsia="Times New Roman" w:hAnsi="Calibri" w:cs="Times New Roman"/>
                <w:b/>
                <w:bCs/>
                <w:color w:val="000000"/>
                <w:lang w:eastAsia="nl-NL"/>
              </w:rPr>
              <w:t>Pac</w:t>
            </w:r>
          </w:p>
        </w:tc>
        <w:tc>
          <w:tcPr>
            <w:tcW w:w="908" w:type="dxa"/>
            <w:tcBorders>
              <w:top w:val="nil"/>
              <w:left w:val="nil"/>
              <w:bottom w:val="double" w:sz="6" w:space="0" w:color="auto"/>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b/>
                <w:bCs/>
                <w:color w:val="000000"/>
                <w:lang w:eastAsia="nl-NL"/>
              </w:rPr>
            </w:pPr>
            <w:r w:rsidRPr="004E097E">
              <w:rPr>
                <w:rFonts w:ascii="Calibri" w:eastAsia="Times New Roman" w:hAnsi="Calibri" w:cs="Times New Roman"/>
                <w:b/>
                <w:bCs/>
                <w:color w:val="000000"/>
                <w:lang w:eastAsia="nl-NL"/>
              </w:rPr>
              <w:t>ExBE</w:t>
            </w:r>
          </w:p>
        </w:tc>
        <w:tc>
          <w:tcPr>
            <w:tcW w:w="908" w:type="dxa"/>
            <w:tcBorders>
              <w:top w:val="nil"/>
              <w:left w:val="nil"/>
              <w:bottom w:val="double" w:sz="6" w:space="0" w:color="auto"/>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b/>
                <w:bCs/>
                <w:color w:val="000000"/>
                <w:lang w:eastAsia="nl-NL"/>
              </w:rPr>
            </w:pPr>
            <w:r w:rsidRPr="004E097E">
              <w:rPr>
                <w:rFonts w:ascii="Calibri" w:eastAsia="Times New Roman" w:hAnsi="Calibri" w:cs="Times New Roman"/>
                <w:b/>
                <w:bCs/>
                <w:color w:val="000000"/>
                <w:lang w:eastAsia="nl-NL"/>
              </w:rPr>
              <w:t>ExFIN</w:t>
            </w:r>
          </w:p>
        </w:tc>
      </w:tr>
      <w:tr w:rsidR="004E097E" w:rsidRPr="004E097E" w:rsidTr="007F0D94">
        <w:trPr>
          <w:trHeight w:val="315"/>
        </w:trPr>
        <w:tc>
          <w:tcPr>
            <w:tcW w:w="1101"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rPr>
                <w:rFonts w:ascii="Calibri" w:eastAsia="Times New Roman" w:hAnsi="Calibri" w:cs="Times New Roman"/>
                <w:b/>
                <w:bCs/>
                <w:color w:val="000000"/>
                <w:lang w:eastAsia="nl-NL"/>
              </w:rPr>
            </w:pPr>
            <w:r w:rsidRPr="004E097E">
              <w:rPr>
                <w:rFonts w:ascii="Calibri" w:eastAsia="Times New Roman" w:hAnsi="Calibri" w:cs="Times New Roman"/>
                <w:b/>
                <w:bCs/>
                <w:color w:val="000000"/>
                <w:lang w:eastAsia="nl-NL"/>
              </w:rPr>
              <w:t>Size</w:t>
            </w:r>
          </w:p>
        </w:tc>
        <w:tc>
          <w:tcPr>
            <w:tcW w:w="1310"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0.009</w:t>
            </w:r>
          </w:p>
        </w:tc>
        <w:tc>
          <w:tcPr>
            <w:tcW w:w="801"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0.022</w:t>
            </w:r>
          </w:p>
        </w:tc>
        <w:tc>
          <w:tcPr>
            <w:tcW w:w="908"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-0.017</w:t>
            </w:r>
          </w:p>
        </w:tc>
        <w:tc>
          <w:tcPr>
            <w:tcW w:w="908"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-0.025</w:t>
            </w:r>
          </w:p>
        </w:tc>
        <w:tc>
          <w:tcPr>
            <w:tcW w:w="908"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-0.027</w:t>
            </w:r>
          </w:p>
        </w:tc>
      </w:tr>
      <w:tr w:rsidR="004E097E" w:rsidRPr="004E097E" w:rsidTr="007F0D94">
        <w:trPr>
          <w:trHeight w:val="300"/>
        </w:trPr>
        <w:tc>
          <w:tcPr>
            <w:tcW w:w="1101"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rPr>
                <w:rFonts w:ascii="Calibri" w:eastAsia="Times New Roman" w:hAnsi="Calibri" w:cs="Times New Roman"/>
                <w:b/>
                <w:bCs/>
                <w:color w:val="000000"/>
                <w:lang w:eastAsia="nl-NL"/>
              </w:rPr>
            </w:pPr>
            <w:r w:rsidRPr="004E097E">
              <w:rPr>
                <w:rFonts w:ascii="Calibri" w:eastAsia="Times New Roman" w:hAnsi="Calibri" w:cs="Times New Roman"/>
                <w:b/>
                <w:bCs/>
                <w:color w:val="000000"/>
                <w:lang w:eastAsia="nl-NL"/>
              </w:rPr>
              <w:t>Stdev</w:t>
            </w:r>
          </w:p>
        </w:tc>
        <w:tc>
          <w:tcPr>
            <w:tcW w:w="1310"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0.008</w:t>
            </w:r>
          </w:p>
        </w:tc>
        <w:tc>
          <w:tcPr>
            <w:tcW w:w="801"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0.011</w:t>
            </w:r>
          </w:p>
        </w:tc>
        <w:tc>
          <w:tcPr>
            <w:tcW w:w="908"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0.011</w:t>
            </w:r>
          </w:p>
        </w:tc>
        <w:tc>
          <w:tcPr>
            <w:tcW w:w="908"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0.012</w:t>
            </w:r>
          </w:p>
        </w:tc>
        <w:tc>
          <w:tcPr>
            <w:tcW w:w="908"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0.009</w:t>
            </w:r>
          </w:p>
        </w:tc>
      </w:tr>
      <w:tr w:rsidR="004E097E" w:rsidRPr="004E097E" w:rsidTr="007F0D94">
        <w:trPr>
          <w:trHeight w:val="300"/>
        </w:trPr>
        <w:tc>
          <w:tcPr>
            <w:tcW w:w="1101"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rPr>
                <w:rFonts w:ascii="Calibri" w:eastAsia="Times New Roman" w:hAnsi="Calibri" w:cs="Times New Roman"/>
                <w:b/>
                <w:bCs/>
                <w:color w:val="000000"/>
                <w:lang w:eastAsia="nl-NL"/>
              </w:rPr>
            </w:pPr>
            <w:r w:rsidRPr="004E097E">
              <w:rPr>
                <w:rFonts w:ascii="Calibri" w:eastAsia="Times New Roman" w:hAnsi="Calibri" w:cs="Times New Roman"/>
                <w:b/>
                <w:bCs/>
                <w:color w:val="000000"/>
                <w:lang w:eastAsia="nl-NL"/>
              </w:rPr>
              <w:t>T value</w:t>
            </w:r>
          </w:p>
        </w:tc>
        <w:tc>
          <w:tcPr>
            <w:tcW w:w="1310"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1.089</w:t>
            </w:r>
          </w:p>
        </w:tc>
        <w:tc>
          <w:tcPr>
            <w:tcW w:w="801"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1.969</w:t>
            </w:r>
          </w:p>
        </w:tc>
        <w:tc>
          <w:tcPr>
            <w:tcW w:w="908"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-1.535</w:t>
            </w:r>
          </w:p>
        </w:tc>
        <w:tc>
          <w:tcPr>
            <w:tcW w:w="908"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-2.108</w:t>
            </w:r>
          </w:p>
        </w:tc>
        <w:tc>
          <w:tcPr>
            <w:tcW w:w="908" w:type="dxa"/>
            <w:tcBorders>
              <w:top w:val="nil"/>
              <w:left w:val="nil"/>
              <w:bottom w:val="nil"/>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-2.905</w:t>
            </w:r>
          </w:p>
        </w:tc>
      </w:tr>
      <w:tr w:rsidR="004E097E" w:rsidRPr="004E097E" w:rsidTr="007F0D94">
        <w:trPr>
          <w:trHeight w:val="300"/>
        </w:trPr>
        <w:tc>
          <w:tcPr>
            <w:tcW w:w="1101" w:type="dxa"/>
            <w:tcBorders>
              <w:top w:val="nil"/>
              <w:left w:val="nil"/>
              <w:bottom w:val="single" w:sz="4" w:space="0" w:color="auto"/>
              <w:right w:val="nil"/>
            </w:tcBorders>
            <w:shd w:val="clear" w:color="000000" w:fill="FFFFFF"/>
            <w:noWrap/>
            <w:vAlign w:val="bottom"/>
            <w:hideMark/>
          </w:tcPr>
          <w:p w:rsidR="004E097E" w:rsidRPr="004E097E" w:rsidRDefault="004E097E" w:rsidP="004E097E">
            <w:pPr>
              <w:spacing w:after="0" w:line="240" w:lineRule="auto"/>
              <w:rPr>
                <w:rFonts w:ascii="Calibri" w:eastAsia="Times New Roman" w:hAnsi="Calibri" w:cs="Times New Roman"/>
                <w:b/>
                <w:bCs/>
                <w:color w:val="000000"/>
                <w:lang w:eastAsia="nl-NL"/>
              </w:rPr>
            </w:pPr>
            <w:r w:rsidRPr="004E097E">
              <w:rPr>
                <w:rFonts w:ascii="Calibri" w:eastAsia="Times New Roman" w:hAnsi="Calibri" w:cs="Times New Roman"/>
                <w:b/>
                <w:bCs/>
                <w:color w:val="000000"/>
                <w:lang w:eastAsia="nl-NL"/>
              </w:rPr>
              <w:t>P Value</w:t>
            </w:r>
          </w:p>
        </w:tc>
        <w:tc>
          <w:tcPr>
            <w:tcW w:w="1310" w:type="dxa"/>
            <w:tcBorders>
              <w:top w:val="nil"/>
              <w:left w:val="nil"/>
              <w:bottom w:val="single" w:sz="4" w:space="0" w:color="auto"/>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0.281</w:t>
            </w:r>
          </w:p>
        </w:tc>
        <w:tc>
          <w:tcPr>
            <w:tcW w:w="801" w:type="dxa"/>
            <w:tcBorders>
              <w:top w:val="nil"/>
              <w:left w:val="nil"/>
              <w:bottom w:val="single" w:sz="4" w:space="0" w:color="auto"/>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0.054</w:t>
            </w:r>
            <w:r w:rsidRPr="004E097E">
              <w:rPr>
                <w:rFonts w:ascii="Calibri" w:eastAsia="Times New Roman" w:hAnsi="Calibri" w:cs="Times New Roman"/>
                <w:color w:val="000000"/>
                <w:sz w:val="14"/>
                <w:szCs w:val="14"/>
                <w:lang w:eastAsia="nl-NL"/>
              </w:rPr>
              <w:t>*</w:t>
            </w:r>
          </w:p>
        </w:tc>
        <w:tc>
          <w:tcPr>
            <w:tcW w:w="908" w:type="dxa"/>
            <w:tcBorders>
              <w:top w:val="nil"/>
              <w:left w:val="nil"/>
              <w:bottom w:val="single" w:sz="4" w:space="0" w:color="auto"/>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0.131</w:t>
            </w:r>
          </w:p>
        </w:tc>
        <w:tc>
          <w:tcPr>
            <w:tcW w:w="908" w:type="dxa"/>
            <w:tcBorders>
              <w:top w:val="nil"/>
              <w:left w:val="nil"/>
              <w:bottom w:val="single" w:sz="4" w:space="0" w:color="auto"/>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0.040</w:t>
            </w:r>
            <w:r w:rsidRPr="004E097E">
              <w:rPr>
                <w:rFonts w:ascii="Calibri" w:eastAsia="Times New Roman" w:hAnsi="Calibri" w:cs="Times New Roman"/>
                <w:color w:val="000000"/>
                <w:sz w:val="14"/>
                <w:szCs w:val="14"/>
                <w:lang w:eastAsia="nl-NL"/>
              </w:rPr>
              <w:t>**</w:t>
            </w:r>
          </w:p>
        </w:tc>
        <w:tc>
          <w:tcPr>
            <w:tcW w:w="908" w:type="dxa"/>
            <w:tcBorders>
              <w:top w:val="nil"/>
              <w:left w:val="nil"/>
              <w:bottom w:val="single" w:sz="4" w:space="0" w:color="auto"/>
              <w:right w:val="nil"/>
            </w:tcBorders>
            <w:shd w:val="clear" w:color="000000" w:fill="FFFFFF"/>
            <w:noWrap/>
            <w:vAlign w:val="bottom"/>
            <w:hideMark/>
          </w:tcPr>
          <w:p w:rsidR="004E097E" w:rsidRPr="004E097E" w:rsidRDefault="004E097E" w:rsidP="004E097E">
            <w:pPr>
              <w:spacing w:after="0" w:line="240" w:lineRule="auto"/>
              <w:jc w:val="right"/>
              <w:rPr>
                <w:rFonts w:ascii="Calibri" w:eastAsia="Times New Roman" w:hAnsi="Calibri" w:cs="Times New Roman"/>
                <w:color w:val="000000"/>
                <w:lang w:eastAsia="nl-NL"/>
              </w:rPr>
            </w:pPr>
            <w:r w:rsidRPr="004E097E">
              <w:rPr>
                <w:rFonts w:ascii="Calibri" w:eastAsia="Times New Roman" w:hAnsi="Calibri" w:cs="Times New Roman"/>
                <w:color w:val="000000"/>
                <w:lang w:eastAsia="nl-NL"/>
              </w:rPr>
              <w:t>0.005</w:t>
            </w:r>
            <w:r w:rsidRPr="004E097E">
              <w:rPr>
                <w:rFonts w:ascii="Calibri" w:eastAsia="Times New Roman" w:hAnsi="Calibri" w:cs="Times New Roman"/>
                <w:color w:val="000000"/>
                <w:sz w:val="14"/>
                <w:szCs w:val="14"/>
                <w:lang w:eastAsia="nl-NL"/>
              </w:rPr>
              <w:t>***</w:t>
            </w:r>
          </w:p>
        </w:tc>
      </w:tr>
    </w:tbl>
    <w:p w:rsidR="00931973" w:rsidRDefault="00931973" w:rsidP="004E097E">
      <w:pPr>
        <w:rPr>
          <w:lang w:val="en-US"/>
        </w:rPr>
      </w:pPr>
    </w:p>
    <w:p w:rsidR="00A5463B" w:rsidRPr="00A5463B" w:rsidRDefault="007F0D94" w:rsidP="006159D3">
      <w:pPr>
        <w:jc w:val="both"/>
        <w:rPr>
          <w:sz w:val="18"/>
          <w:szCs w:val="18"/>
          <w:lang w:val="en-US"/>
        </w:rPr>
      </w:pPr>
      <w:r>
        <w:rPr>
          <w:sz w:val="18"/>
          <w:szCs w:val="18"/>
          <w:lang w:val="en-US"/>
        </w:rPr>
        <w:t>Table 12</w:t>
      </w:r>
      <w:r w:rsidR="00A5463B">
        <w:rPr>
          <w:sz w:val="18"/>
          <w:szCs w:val="18"/>
          <w:lang w:val="en-US"/>
        </w:rPr>
        <w:t xml:space="preserve"> shows the results of equation </w:t>
      </w:r>
      <w:r w:rsidR="007E5C57">
        <w:rPr>
          <w:sz w:val="18"/>
          <w:szCs w:val="18"/>
          <w:lang w:val="en-US"/>
        </w:rPr>
        <w:t>6</w:t>
      </w:r>
      <w:r w:rsidR="00A5463B">
        <w:rPr>
          <w:sz w:val="18"/>
          <w:szCs w:val="18"/>
          <w:lang w:val="en-US"/>
        </w:rPr>
        <w:t>. The included independent variables are stated in the top row. The dependent varia</w:t>
      </w:r>
      <w:r w:rsidR="00F2713B">
        <w:rPr>
          <w:sz w:val="18"/>
          <w:szCs w:val="18"/>
          <w:lang w:val="en-US"/>
        </w:rPr>
        <w:t>ble is the</w:t>
      </w:r>
      <w:r w:rsidR="000F0F3F">
        <w:rPr>
          <w:sz w:val="18"/>
          <w:szCs w:val="18"/>
          <w:lang w:val="en-US"/>
        </w:rPr>
        <w:t xml:space="preserve"> </w:t>
      </w:r>
      <w:proofErr w:type="gramStart"/>
      <w:r w:rsidR="000F0F3F">
        <w:rPr>
          <w:sz w:val="18"/>
          <w:szCs w:val="18"/>
          <w:lang w:val="en-US"/>
        </w:rPr>
        <w:t>ln(</w:t>
      </w:r>
      <w:proofErr w:type="gramEnd"/>
      <w:r w:rsidR="00F2713B">
        <w:rPr>
          <w:sz w:val="18"/>
          <w:szCs w:val="18"/>
          <w:lang w:val="en-US"/>
        </w:rPr>
        <w:t>proceeds</w:t>
      </w:r>
      <w:r w:rsidR="000F0F3F">
        <w:rPr>
          <w:sz w:val="18"/>
          <w:szCs w:val="18"/>
          <w:lang w:val="en-US"/>
        </w:rPr>
        <w:t>)</w:t>
      </w:r>
      <w:r w:rsidR="00F2713B">
        <w:rPr>
          <w:sz w:val="18"/>
          <w:szCs w:val="18"/>
          <w:lang w:val="en-US"/>
        </w:rPr>
        <w:t xml:space="preserve"> coefficient</w:t>
      </w:r>
      <w:r w:rsidR="00A5463B">
        <w:rPr>
          <w:sz w:val="18"/>
          <w:szCs w:val="18"/>
          <w:lang w:val="en-US"/>
        </w:rPr>
        <w:t xml:space="preserve"> from the original regressions. The table contains figures on the size of the coefficients, the standard deviation, the t-statistic and the P value. *, ** and **</w:t>
      </w:r>
      <w:r w:rsidR="00F2713B">
        <w:rPr>
          <w:sz w:val="18"/>
          <w:szCs w:val="18"/>
          <w:lang w:val="en-US"/>
        </w:rPr>
        <w:t>* indicate that the coefficient</w:t>
      </w:r>
      <w:r w:rsidR="00A5463B">
        <w:rPr>
          <w:sz w:val="18"/>
          <w:szCs w:val="18"/>
          <w:lang w:val="en-US"/>
        </w:rPr>
        <w:t xml:space="preserve"> is significant on the 10%, 5% and 1% level respectively.</w:t>
      </w:r>
    </w:p>
    <w:p w:rsidR="006159D3" w:rsidRDefault="00A95957" w:rsidP="00787CA8">
      <w:pPr>
        <w:spacing w:before="200" w:line="360" w:lineRule="auto"/>
        <w:rPr>
          <w:lang w:val="en-US"/>
        </w:rPr>
      </w:pPr>
      <w:r>
        <w:rPr>
          <w:lang w:val="en-US"/>
        </w:rPr>
        <w:t xml:space="preserve">The general </w:t>
      </w:r>
      <w:r w:rsidR="006D2DBC">
        <w:rPr>
          <w:lang w:val="en-US"/>
        </w:rPr>
        <w:t>consensus</w:t>
      </w:r>
      <w:r>
        <w:rPr>
          <w:lang w:val="en-US"/>
        </w:rPr>
        <w:t xml:space="preserve"> is </w:t>
      </w:r>
      <w:proofErr w:type="gramStart"/>
      <w:r>
        <w:rPr>
          <w:lang w:val="en-US"/>
        </w:rPr>
        <w:t xml:space="preserve">that </w:t>
      </w:r>
      <w:r w:rsidR="006D2DBC">
        <w:rPr>
          <w:lang w:val="en-US"/>
        </w:rPr>
        <w:t>IPO proceeds is</w:t>
      </w:r>
      <w:proofErr w:type="gramEnd"/>
      <w:r w:rsidR="006D2DBC">
        <w:rPr>
          <w:lang w:val="en-US"/>
        </w:rPr>
        <w:t xml:space="preserve"> nega</w:t>
      </w:r>
      <w:r w:rsidR="006159D3">
        <w:rPr>
          <w:lang w:val="en-US"/>
        </w:rPr>
        <w:t>tively related to underpricing</w:t>
      </w:r>
      <w:r w:rsidR="00787CA8" w:rsidRPr="00787CA8">
        <w:rPr>
          <w:lang w:val="en-US"/>
        </w:rPr>
        <w:t>.</w:t>
      </w:r>
      <w:r w:rsidR="00787CA8">
        <w:rPr>
          <w:lang w:val="en-US"/>
        </w:rPr>
        <w:t xml:space="preserve"> </w:t>
      </w:r>
      <w:r w:rsidR="006159D3">
        <w:rPr>
          <w:lang w:val="en-US"/>
        </w:rPr>
        <w:t xml:space="preserve">The constant is positive but not significant, therefore the test does not provide conclusive evidence on the relation between IPO proceeds and underpricing and I do not accept hypothesis 2. </w:t>
      </w:r>
    </w:p>
    <w:p w:rsidR="006159D3" w:rsidRPr="006159D3" w:rsidRDefault="006159D3" w:rsidP="00787CA8">
      <w:pPr>
        <w:pStyle w:val="ListParagraph"/>
        <w:numPr>
          <w:ilvl w:val="0"/>
          <w:numId w:val="29"/>
        </w:numPr>
        <w:spacing w:before="200" w:after="0" w:line="360" w:lineRule="auto"/>
        <w:contextualSpacing w:val="0"/>
        <w:rPr>
          <w:i/>
          <w:lang w:val="en-US"/>
        </w:rPr>
      </w:pPr>
      <w:r>
        <w:rPr>
          <w:i/>
          <w:lang w:val="en-US"/>
        </w:rPr>
        <w:t>H2</w:t>
      </w:r>
      <w:r w:rsidRPr="00625DA7">
        <w:rPr>
          <w:i/>
          <w:lang w:val="en-US"/>
        </w:rPr>
        <w:t xml:space="preserve">: </w:t>
      </w:r>
      <w:r>
        <w:rPr>
          <w:i/>
          <w:lang w:val="en-US"/>
        </w:rPr>
        <w:t>IPO</w:t>
      </w:r>
      <w:r w:rsidRPr="00625DA7">
        <w:rPr>
          <w:i/>
          <w:lang w:val="en-US"/>
        </w:rPr>
        <w:t xml:space="preserve"> proceeds are negatively related to underpricing</w:t>
      </w:r>
    </w:p>
    <w:p w:rsidR="002C443E" w:rsidRDefault="00787CA8" w:rsidP="00787CA8">
      <w:pPr>
        <w:spacing w:before="200" w:line="360" w:lineRule="auto"/>
        <w:rPr>
          <w:lang w:val="en-US"/>
        </w:rPr>
      </w:pPr>
      <w:r w:rsidRPr="00787CA8">
        <w:rPr>
          <w:lang w:val="en-US"/>
        </w:rPr>
        <w:t>Note that Daily et al. (2003) also reject the negative relation between IPO proceeds and underprcing in a Meta analysis</w:t>
      </w:r>
      <w:r w:rsidR="000F0F3F">
        <w:rPr>
          <w:lang w:val="en-US"/>
        </w:rPr>
        <w:t>, since they find a positive significant relation</w:t>
      </w:r>
      <w:r w:rsidRPr="00787CA8">
        <w:rPr>
          <w:lang w:val="en-US"/>
        </w:rPr>
        <w:t>.</w:t>
      </w:r>
      <w:r w:rsidR="00A34189">
        <w:rPr>
          <w:lang w:val="en-US"/>
        </w:rPr>
        <w:t xml:space="preserve"> The result violates Rock’s model, because Rock (1990) states that underpricing should be larger for riskier firms. However, it could also be the case that </w:t>
      </w:r>
      <w:r w:rsidR="00E6762B">
        <w:rPr>
          <w:lang w:val="en-US"/>
        </w:rPr>
        <w:t>‘</w:t>
      </w:r>
      <w:r w:rsidR="00A34189">
        <w:rPr>
          <w:lang w:val="en-US"/>
        </w:rPr>
        <w:t>IPO proceeds</w:t>
      </w:r>
      <w:r w:rsidR="00E6762B">
        <w:rPr>
          <w:lang w:val="en-US"/>
        </w:rPr>
        <w:t>’</w:t>
      </w:r>
      <w:r w:rsidR="00A34189">
        <w:rPr>
          <w:lang w:val="en-US"/>
        </w:rPr>
        <w:t xml:space="preserve"> is not a good risk proxy.</w:t>
      </w:r>
    </w:p>
    <w:p w:rsidR="004828FA" w:rsidRDefault="004828FA">
      <w:pPr>
        <w:rPr>
          <w:lang w:val="en-US"/>
        </w:rPr>
      </w:pPr>
      <w:r>
        <w:rPr>
          <w:lang w:val="en-US"/>
        </w:rPr>
        <w:br w:type="page"/>
      </w:r>
    </w:p>
    <w:p w:rsidR="00A34189" w:rsidRDefault="004828FA" w:rsidP="00787CA8">
      <w:pPr>
        <w:spacing w:before="200" w:after="0" w:line="360" w:lineRule="auto"/>
        <w:rPr>
          <w:lang w:val="en-US"/>
        </w:rPr>
      </w:pPr>
      <w:r>
        <w:rPr>
          <w:lang w:val="en-US"/>
        </w:rPr>
        <w:lastRenderedPageBreak/>
        <w:t xml:space="preserve">Older firms mostly issue larger IPOs, </w:t>
      </w:r>
      <w:r w:rsidR="006159D3">
        <w:rPr>
          <w:lang w:val="en-US"/>
        </w:rPr>
        <w:t>so</w:t>
      </w:r>
      <w:r>
        <w:rPr>
          <w:lang w:val="en-US"/>
        </w:rPr>
        <w:t xml:space="preserve"> firm age and I</w:t>
      </w:r>
      <w:r w:rsidR="006159D3">
        <w:rPr>
          <w:lang w:val="en-US"/>
        </w:rPr>
        <w:t>PO proceeds could therefore capture</w:t>
      </w:r>
      <w:r>
        <w:rPr>
          <w:lang w:val="en-US"/>
        </w:rPr>
        <w:t xml:space="preserve"> the same underlying effect on underpricing. However,</w:t>
      </w:r>
      <w:r w:rsidR="00E6762B">
        <w:rPr>
          <w:lang w:val="en-US"/>
        </w:rPr>
        <w:t xml:space="preserve"> the results of the MRAs show</w:t>
      </w:r>
      <w:r>
        <w:rPr>
          <w:lang w:val="en-US"/>
        </w:rPr>
        <w:t xml:space="preserve"> that the effect of firm age on underpricing</w:t>
      </w:r>
      <w:r w:rsidR="006159D3">
        <w:rPr>
          <w:lang w:val="en-US"/>
        </w:rPr>
        <w:t xml:space="preserve"> is negative and significant while</w:t>
      </w:r>
      <w:r>
        <w:rPr>
          <w:lang w:val="en-US"/>
        </w:rPr>
        <w:t xml:space="preserve"> the effect of IPO proceeds on underpricing </w:t>
      </w:r>
      <w:r w:rsidR="007210EF">
        <w:rPr>
          <w:lang w:val="en-US"/>
        </w:rPr>
        <w:t>is positive but</w:t>
      </w:r>
      <w:r w:rsidR="00805C66">
        <w:rPr>
          <w:lang w:val="en-US"/>
        </w:rPr>
        <w:t xml:space="preserve"> not significant.</w:t>
      </w:r>
      <w:r>
        <w:rPr>
          <w:lang w:val="en-US"/>
        </w:rPr>
        <w:t xml:space="preserve"> </w:t>
      </w:r>
      <w:r w:rsidR="007210EF">
        <w:rPr>
          <w:lang w:val="en-US"/>
        </w:rPr>
        <w:t>Therefore, I dismiss this argument.</w:t>
      </w:r>
    </w:p>
    <w:p w:rsidR="003F6EFC" w:rsidRPr="007210EF" w:rsidRDefault="003F6EFC" w:rsidP="00787CA8">
      <w:pPr>
        <w:spacing w:before="200" w:after="0" w:line="360" w:lineRule="auto"/>
        <w:rPr>
          <w:lang w:val="en-US"/>
        </w:rPr>
      </w:pPr>
      <w:r w:rsidRPr="003F6EFC">
        <w:rPr>
          <w:lang w:val="en-US"/>
        </w:rPr>
        <w:t xml:space="preserve">The </w:t>
      </w:r>
      <w:r w:rsidR="004E3C72">
        <w:rPr>
          <w:lang w:val="en-US"/>
        </w:rPr>
        <w:t>region dummy</w:t>
      </w:r>
      <w:r w:rsidRPr="003F6EFC">
        <w:rPr>
          <w:lang w:val="en-US"/>
        </w:rPr>
        <w:t xml:space="preserve"> EUR </w:t>
      </w:r>
      <w:r w:rsidR="004E3C72">
        <w:rPr>
          <w:lang w:val="en-US"/>
        </w:rPr>
        <w:t>is positive</w:t>
      </w:r>
      <w:r>
        <w:rPr>
          <w:lang w:val="en-US"/>
        </w:rPr>
        <w:t xml:space="preserve"> and significant, indicating that for European data, there might be a </w:t>
      </w:r>
      <w:r w:rsidR="004E3C72">
        <w:rPr>
          <w:lang w:val="en-US"/>
        </w:rPr>
        <w:t>positive</w:t>
      </w:r>
      <w:r>
        <w:rPr>
          <w:lang w:val="en-US"/>
        </w:rPr>
        <w:t xml:space="preserve"> relation between IPO u</w:t>
      </w:r>
      <w:r w:rsidR="00946984">
        <w:rPr>
          <w:lang w:val="en-US"/>
        </w:rPr>
        <w:t>nderpricing</w:t>
      </w:r>
      <w:r>
        <w:rPr>
          <w:lang w:val="en-US"/>
        </w:rPr>
        <w:t xml:space="preserve"> and IPO proceeds. </w:t>
      </w:r>
      <w:r w:rsidR="00BE45B7">
        <w:rPr>
          <w:lang w:val="en-US"/>
        </w:rPr>
        <w:t xml:space="preserve">As explained in section 6.1 European equity markets differ from US equity markets and these differences could drive the </w:t>
      </w:r>
      <w:r w:rsidR="00BE45B7" w:rsidRPr="004B4CEF">
        <w:rPr>
          <w:lang w:val="en-US"/>
        </w:rPr>
        <w:t xml:space="preserve">results. </w:t>
      </w:r>
      <w:r w:rsidR="004E3C72" w:rsidRPr="004B4CEF">
        <w:rPr>
          <w:lang w:val="en-US"/>
        </w:rPr>
        <w:t>A positive relation between IPO proceeds</w:t>
      </w:r>
      <w:r w:rsidR="00787CA8">
        <w:rPr>
          <w:lang w:val="en-US"/>
        </w:rPr>
        <w:t xml:space="preserve"> and underpricing violates</w:t>
      </w:r>
      <w:r w:rsidR="004E3C72" w:rsidRPr="004B4CEF">
        <w:rPr>
          <w:lang w:val="en-US"/>
        </w:rPr>
        <w:t xml:space="preserve"> Rock’s model.</w:t>
      </w:r>
      <w:r w:rsidR="00BE45B7" w:rsidRPr="004E3C72">
        <w:rPr>
          <w:color w:val="FF0000"/>
          <w:lang w:val="en-US"/>
        </w:rPr>
        <w:t xml:space="preserve"> </w:t>
      </w:r>
      <w:r w:rsidR="007210EF" w:rsidRPr="007210EF">
        <w:rPr>
          <w:lang w:val="en-US"/>
        </w:rPr>
        <w:t>The pacific dummy is not significant.</w:t>
      </w:r>
    </w:p>
    <w:p w:rsidR="00BE45B7" w:rsidRPr="004E3C72" w:rsidRDefault="007210EF" w:rsidP="00CC2D01">
      <w:pPr>
        <w:spacing w:before="200" w:after="0" w:line="360" w:lineRule="auto"/>
        <w:rPr>
          <w:color w:val="FF0000"/>
          <w:lang w:val="en-US"/>
        </w:rPr>
      </w:pPr>
      <w:r>
        <w:rPr>
          <w:lang w:val="en-US"/>
        </w:rPr>
        <w:t>Both t</w:t>
      </w:r>
      <w:r w:rsidR="00E62078" w:rsidRPr="008B7979">
        <w:rPr>
          <w:lang w:val="en-US"/>
        </w:rPr>
        <w:t xml:space="preserve">he </w:t>
      </w:r>
      <w:r w:rsidR="004E3C72">
        <w:rPr>
          <w:lang w:val="en-US"/>
        </w:rPr>
        <w:t>ExBE and ExFIN dummies are</w:t>
      </w:r>
      <w:r w:rsidR="00E62078" w:rsidRPr="008B7979">
        <w:rPr>
          <w:lang w:val="en-US"/>
        </w:rPr>
        <w:t xml:space="preserve"> </w:t>
      </w:r>
      <w:r w:rsidR="00787CA8">
        <w:rPr>
          <w:lang w:val="en-US"/>
        </w:rPr>
        <w:t>negative and significant, thus indicating</w:t>
      </w:r>
      <w:r w:rsidR="00E62078" w:rsidRPr="008B7979">
        <w:rPr>
          <w:lang w:val="en-US"/>
        </w:rPr>
        <w:t xml:space="preserve"> that excluding </w:t>
      </w:r>
      <w:r w:rsidR="00F60C96">
        <w:rPr>
          <w:lang w:val="en-US"/>
        </w:rPr>
        <w:t>Best Efforts</w:t>
      </w:r>
      <w:r w:rsidR="004E3C72">
        <w:rPr>
          <w:lang w:val="en-US"/>
        </w:rPr>
        <w:t xml:space="preserve"> contracts and </w:t>
      </w:r>
      <w:r w:rsidR="00E62078" w:rsidRPr="008B7979">
        <w:rPr>
          <w:lang w:val="en-US"/>
        </w:rPr>
        <w:t xml:space="preserve">financial firms causes the coefficient to be biased </w:t>
      </w:r>
      <w:r w:rsidR="004E3C72">
        <w:rPr>
          <w:lang w:val="en-US"/>
        </w:rPr>
        <w:t>down</w:t>
      </w:r>
      <w:r w:rsidR="00E62078" w:rsidRPr="008B7979">
        <w:rPr>
          <w:lang w:val="en-US"/>
        </w:rPr>
        <w:t>wards</w:t>
      </w:r>
      <w:r w:rsidR="008B7979" w:rsidRPr="004E3C72">
        <w:rPr>
          <w:lang w:val="en-US"/>
        </w:rPr>
        <w:t>.</w:t>
      </w:r>
      <w:r w:rsidR="004B4CEF">
        <w:rPr>
          <w:lang w:val="en-US"/>
        </w:rPr>
        <w:t xml:space="preserve"> The</w:t>
      </w:r>
      <w:r>
        <w:rPr>
          <w:lang w:val="en-US"/>
        </w:rPr>
        <w:t xml:space="preserve"> large</w:t>
      </w:r>
      <w:r w:rsidR="004B4CEF">
        <w:rPr>
          <w:lang w:val="en-US"/>
        </w:rPr>
        <w:t xml:space="preserve"> </w:t>
      </w:r>
      <w:proofErr w:type="gramStart"/>
      <w:r w:rsidR="004B4CEF">
        <w:rPr>
          <w:lang w:val="en-US"/>
        </w:rPr>
        <w:t>si</w:t>
      </w:r>
      <w:r w:rsidR="001A61F9">
        <w:rPr>
          <w:lang w:val="en-US"/>
        </w:rPr>
        <w:t>ze of the coef</w:t>
      </w:r>
      <w:r>
        <w:rPr>
          <w:lang w:val="en-US"/>
        </w:rPr>
        <w:t>ficients suggest</w:t>
      </w:r>
      <w:proofErr w:type="gramEnd"/>
      <w:r w:rsidR="004B4CEF">
        <w:rPr>
          <w:lang w:val="en-US"/>
        </w:rPr>
        <w:t xml:space="preserve"> that the insignificant relation between IP</w:t>
      </w:r>
      <w:r>
        <w:rPr>
          <w:lang w:val="en-US"/>
        </w:rPr>
        <w:t xml:space="preserve">O proceeds and underpricing could become </w:t>
      </w:r>
      <w:r w:rsidR="004B4CEF">
        <w:rPr>
          <w:lang w:val="en-US"/>
        </w:rPr>
        <w:t xml:space="preserve">negative </w:t>
      </w:r>
      <w:r w:rsidR="001A61F9">
        <w:rPr>
          <w:lang w:val="en-US"/>
        </w:rPr>
        <w:t xml:space="preserve">and significant </w:t>
      </w:r>
      <w:r w:rsidR="004B4CEF">
        <w:rPr>
          <w:lang w:val="en-US"/>
        </w:rPr>
        <w:t xml:space="preserve">when </w:t>
      </w:r>
      <w:r w:rsidR="00F60C96">
        <w:rPr>
          <w:lang w:val="en-US"/>
        </w:rPr>
        <w:t>Best Efforts</w:t>
      </w:r>
      <w:r w:rsidR="004B4CEF">
        <w:rPr>
          <w:lang w:val="en-US"/>
        </w:rPr>
        <w:t xml:space="preserve"> contracts and/or small firms are excluded from the dataset.</w:t>
      </w:r>
      <w:r w:rsidR="001A61F9">
        <w:rPr>
          <w:lang w:val="en-US"/>
        </w:rPr>
        <w:t xml:space="preserve"> A separate MRA including only studies that excluded financial firms (not reported</w:t>
      </w:r>
      <w:r w:rsidR="00787CA8">
        <w:rPr>
          <w:lang w:val="en-US"/>
        </w:rPr>
        <w:t>, N = 29</w:t>
      </w:r>
      <w:r w:rsidR="001A61F9">
        <w:rPr>
          <w:lang w:val="en-US"/>
        </w:rPr>
        <w:t>) confirms t</w:t>
      </w:r>
      <w:r w:rsidR="004147EF">
        <w:rPr>
          <w:lang w:val="en-US"/>
        </w:rPr>
        <w:t xml:space="preserve">hat </w:t>
      </w:r>
      <w:r w:rsidR="001A61F9">
        <w:rPr>
          <w:lang w:val="en-US"/>
        </w:rPr>
        <w:t>the true relation between IPO proceeds and underpricing is negative</w:t>
      </w:r>
      <w:r w:rsidR="004147EF">
        <w:rPr>
          <w:lang w:val="en-US"/>
        </w:rPr>
        <w:t xml:space="preserve"> and significant</w:t>
      </w:r>
      <w:r>
        <w:rPr>
          <w:lang w:val="en-US"/>
        </w:rPr>
        <w:t xml:space="preserve"> for non-financial firms, which is consistent with Rock’s model.</w:t>
      </w:r>
    </w:p>
    <w:p w:rsidR="00A178B6" w:rsidRDefault="00A178B6" w:rsidP="001A61F9">
      <w:pPr>
        <w:spacing w:line="360" w:lineRule="auto"/>
        <w:rPr>
          <w:lang w:val="en-US"/>
        </w:rPr>
      </w:pPr>
    </w:p>
    <w:p w:rsidR="00A178B6" w:rsidRDefault="00A5463B" w:rsidP="001A61F9">
      <w:pPr>
        <w:spacing w:line="360" w:lineRule="auto"/>
        <w:rPr>
          <w:lang w:val="en-US"/>
        </w:rPr>
      </w:pPr>
      <w:r w:rsidRPr="00A5463B">
        <w:rPr>
          <w:lang w:val="en-US"/>
        </w:rPr>
        <w:t>Table 1</w:t>
      </w:r>
      <w:r w:rsidR="007F0D94">
        <w:rPr>
          <w:lang w:val="en-US"/>
        </w:rPr>
        <w:t>3</w:t>
      </w:r>
      <w:r w:rsidRPr="00A5463B">
        <w:rPr>
          <w:lang w:val="en-US"/>
        </w:rPr>
        <w:t xml:space="preserve"> shows the results of the publication bias test. </w:t>
      </w:r>
    </w:p>
    <w:p w:rsidR="00A178B6" w:rsidRPr="00BE45B7" w:rsidRDefault="00A178B6" w:rsidP="00A178B6">
      <w:pPr>
        <w:spacing w:before="200"/>
        <w:rPr>
          <w:b/>
          <w:lang w:val="en-US"/>
        </w:rPr>
      </w:pPr>
      <w:r w:rsidRPr="007405E8">
        <w:rPr>
          <w:i/>
          <w:lang w:val="en-US"/>
        </w:rPr>
        <w:t>Publication Bias</w:t>
      </w:r>
    </w:p>
    <w:tbl>
      <w:tblPr>
        <w:tblW w:w="6356" w:type="dxa"/>
        <w:jc w:val="center"/>
        <w:tblInd w:w="70" w:type="dxa"/>
        <w:tblCellMar>
          <w:left w:w="70" w:type="dxa"/>
          <w:right w:w="70" w:type="dxa"/>
        </w:tblCellMar>
        <w:tblLook w:val="04A0"/>
      </w:tblPr>
      <w:tblGrid>
        <w:gridCol w:w="1559"/>
        <w:gridCol w:w="1901"/>
        <w:gridCol w:w="1609"/>
        <w:gridCol w:w="1287"/>
      </w:tblGrid>
      <w:tr w:rsidR="00A178B6" w:rsidRPr="009D4228" w:rsidTr="00F01E80">
        <w:trPr>
          <w:trHeight w:val="300"/>
          <w:jc w:val="center"/>
        </w:trPr>
        <w:tc>
          <w:tcPr>
            <w:tcW w:w="6356" w:type="dxa"/>
            <w:gridSpan w:val="4"/>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jc w:val="center"/>
              <w:rPr>
                <w:rFonts w:ascii="Calibri" w:eastAsia="Times New Roman" w:hAnsi="Calibri" w:cs="Times New Roman"/>
                <w:b/>
                <w:bCs/>
                <w:color w:val="000000"/>
                <w:lang w:val="en-US" w:eastAsia="nl-NL"/>
              </w:rPr>
            </w:pPr>
            <w:r>
              <w:rPr>
                <w:rFonts w:ascii="Calibri" w:eastAsia="Times New Roman" w:hAnsi="Calibri" w:cs="Times New Roman"/>
                <w:b/>
                <w:bCs/>
                <w:color w:val="000000"/>
                <w:lang w:val="en-US" w:eastAsia="nl-NL"/>
              </w:rPr>
              <w:t>Table 13: Publication bias</w:t>
            </w:r>
            <w:r w:rsidRPr="00F15932">
              <w:rPr>
                <w:rFonts w:ascii="Calibri" w:eastAsia="Times New Roman" w:hAnsi="Calibri" w:cs="Times New Roman"/>
                <w:b/>
                <w:bCs/>
                <w:color w:val="000000"/>
                <w:lang w:val="en-US" w:eastAsia="nl-NL"/>
              </w:rPr>
              <w:t xml:space="preserve"> test: The proceeds coefficient</w:t>
            </w:r>
          </w:p>
        </w:tc>
      </w:tr>
      <w:tr w:rsidR="00A178B6" w:rsidRPr="009D4228" w:rsidTr="00F01E80">
        <w:trPr>
          <w:trHeight w:val="315"/>
          <w:jc w:val="center"/>
        </w:trPr>
        <w:tc>
          <w:tcPr>
            <w:tcW w:w="6356" w:type="dxa"/>
            <w:gridSpan w:val="4"/>
            <w:tcBorders>
              <w:top w:val="nil"/>
              <w:left w:val="nil"/>
              <w:bottom w:val="nil"/>
              <w:right w:val="nil"/>
            </w:tcBorders>
            <w:shd w:val="clear" w:color="auto" w:fill="auto"/>
            <w:noWrap/>
            <w:vAlign w:val="bottom"/>
            <w:hideMark/>
          </w:tcPr>
          <w:p w:rsidR="00A178B6" w:rsidRPr="00F15932" w:rsidRDefault="00A178B6" w:rsidP="00F01E80">
            <w:pPr>
              <w:spacing w:after="0" w:line="240" w:lineRule="auto"/>
              <w:jc w:val="center"/>
              <w:rPr>
                <w:rFonts w:ascii="Calibri" w:eastAsia="Times New Roman" w:hAnsi="Calibri" w:cs="Times New Roman"/>
                <w:b/>
                <w:bCs/>
                <w:color w:val="000000"/>
                <w:lang w:val="en-US" w:eastAsia="nl-NL"/>
              </w:rPr>
            </w:pPr>
            <w:r w:rsidRPr="00F15932">
              <w:rPr>
                <w:rFonts w:ascii="Calibri" w:eastAsia="Times New Roman" w:hAnsi="Calibri" w:cs="Times New Roman"/>
                <w:b/>
                <w:bCs/>
                <w:color w:val="000000"/>
                <w:lang w:val="en-US" w:eastAsia="nl-NL"/>
              </w:rPr>
              <w:t>Sample size: 57, Adjusted R square: 0.25</w:t>
            </w:r>
          </w:p>
        </w:tc>
      </w:tr>
      <w:tr w:rsidR="00A178B6" w:rsidRPr="00BE45B7" w:rsidTr="00F01E80">
        <w:trPr>
          <w:trHeight w:val="330"/>
          <w:jc w:val="center"/>
        </w:trPr>
        <w:tc>
          <w:tcPr>
            <w:tcW w:w="1559" w:type="dxa"/>
            <w:tcBorders>
              <w:top w:val="single" w:sz="4" w:space="0" w:color="auto"/>
              <w:left w:val="nil"/>
              <w:bottom w:val="double" w:sz="6" w:space="0" w:color="auto"/>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b/>
                <w:bCs/>
                <w:color w:val="000000"/>
                <w:lang w:val="en-US" w:eastAsia="nl-NL"/>
              </w:rPr>
            </w:pPr>
            <w:r w:rsidRPr="00F15932">
              <w:rPr>
                <w:rFonts w:ascii="Calibri" w:eastAsia="Times New Roman" w:hAnsi="Calibri" w:cs="Times New Roman"/>
                <w:b/>
                <w:bCs/>
                <w:color w:val="000000"/>
                <w:lang w:val="en-US" w:eastAsia="nl-NL"/>
              </w:rPr>
              <w:t> </w:t>
            </w:r>
          </w:p>
        </w:tc>
        <w:tc>
          <w:tcPr>
            <w:tcW w:w="1901" w:type="dxa"/>
            <w:tcBorders>
              <w:top w:val="single" w:sz="4" w:space="0" w:color="auto"/>
              <w:left w:val="nil"/>
              <w:bottom w:val="double" w:sz="6" w:space="0" w:color="auto"/>
              <w:right w:val="nil"/>
            </w:tcBorders>
            <w:shd w:val="clear" w:color="000000" w:fill="FFFFFF"/>
            <w:noWrap/>
            <w:vAlign w:val="bottom"/>
            <w:hideMark/>
          </w:tcPr>
          <w:p w:rsidR="00A178B6" w:rsidRPr="00BE45B7" w:rsidRDefault="00A178B6" w:rsidP="00F01E80">
            <w:pPr>
              <w:spacing w:after="0" w:line="240" w:lineRule="auto"/>
              <w:jc w:val="right"/>
              <w:rPr>
                <w:rFonts w:ascii="Calibri" w:eastAsia="Times New Roman" w:hAnsi="Calibri" w:cs="Times New Roman"/>
                <w:b/>
                <w:bCs/>
                <w:color w:val="000000"/>
                <w:lang w:val="en-US" w:eastAsia="nl-NL"/>
              </w:rPr>
            </w:pPr>
            <w:r w:rsidRPr="00BE45B7">
              <w:rPr>
                <w:rFonts w:ascii="Calibri" w:eastAsia="Times New Roman" w:hAnsi="Calibri" w:cs="Times New Roman"/>
                <w:b/>
                <w:bCs/>
                <w:color w:val="000000"/>
                <w:lang w:val="en-US" w:eastAsia="nl-NL"/>
              </w:rPr>
              <w:t>Intercept</w:t>
            </w:r>
          </w:p>
        </w:tc>
        <w:tc>
          <w:tcPr>
            <w:tcW w:w="1609" w:type="dxa"/>
            <w:tcBorders>
              <w:top w:val="single" w:sz="4" w:space="0" w:color="auto"/>
              <w:left w:val="nil"/>
              <w:bottom w:val="double" w:sz="6" w:space="0" w:color="auto"/>
              <w:right w:val="nil"/>
            </w:tcBorders>
            <w:shd w:val="clear" w:color="000000" w:fill="FFFFFF"/>
            <w:noWrap/>
            <w:vAlign w:val="bottom"/>
            <w:hideMark/>
          </w:tcPr>
          <w:p w:rsidR="00A178B6" w:rsidRPr="00BE45B7" w:rsidRDefault="00A178B6" w:rsidP="00F01E80">
            <w:pPr>
              <w:spacing w:after="0" w:line="240" w:lineRule="auto"/>
              <w:jc w:val="right"/>
              <w:rPr>
                <w:rFonts w:ascii="Calibri" w:eastAsia="Times New Roman" w:hAnsi="Calibri" w:cs="Times New Roman"/>
                <w:b/>
                <w:bCs/>
                <w:color w:val="000000"/>
                <w:lang w:val="en-US" w:eastAsia="nl-NL"/>
              </w:rPr>
            </w:pPr>
            <w:r>
              <w:rPr>
                <w:rFonts w:ascii="Calibri" w:eastAsia="Times New Roman" w:hAnsi="Calibri" w:cs="Times New Roman"/>
                <w:b/>
                <w:bCs/>
                <w:color w:val="000000"/>
                <w:lang w:val="en-US" w:eastAsia="nl-NL"/>
              </w:rPr>
              <w:t>LN</w:t>
            </w:r>
            <w:r w:rsidRPr="00BE45B7">
              <w:rPr>
                <w:rFonts w:ascii="Calibri" w:eastAsia="Times New Roman" w:hAnsi="Calibri" w:cs="Times New Roman"/>
                <w:b/>
                <w:bCs/>
                <w:color w:val="000000"/>
                <w:lang w:val="en-US" w:eastAsia="nl-NL"/>
              </w:rPr>
              <w:t>(DF)</w:t>
            </w:r>
          </w:p>
        </w:tc>
        <w:tc>
          <w:tcPr>
            <w:tcW w:w="1287" w:type="dxa"/>
            <w:tcBorders>
              <w:top w:val="single" w:sz="4" w:space="0" w:color="auto"/>
              <w:left w:val="nil"/>
              <w:bottom w:val="double" w:sz="6" w:space="0" w:color="auto"/>
              <w:right w:val="nil"/>
            </w:tcBorders>
            <w:shd w:val="clear" w:color="000000" w:fill="FFFFFF"/>
            <w:noWrap/>
            <w:vAlign w:val="bottom"/>
            <w:hideMark/>
          </w:tcPr>
          <w:p w:rsidR="00A178B6" w:rsidRPr="00BE45B7" w:rsidRDefault="00A178B6" w:rsidP="00F01E80">
            <w:pPr>
              <w:spacing w:after="0" w:line="240" w:lineRule="auto"/>
              <w:jc w:val="right"/>
              <w:rPr>
                <w:rFonts w:ascii="Calibri" w:eastAsia="Times New Roman" w:hAnsi="Calibri" w:cs="Times New Roman"/>
                <w:b/>
                <w:bCs/>
                <w:color w:val="000000"/>
                <w:lang w:val="en-US" w:eastAsia="nl-NL"/>
              </w:rPr>
            </w:pPr>
            <w:r w:rsidRPr="00BE45B7">
              <w:rPr>
                <w:rFonts w:ascii="Calibri" w:eastAsia="Times New Roman" w:hAnsi="Calibri" w:cs="Times New Roman"/>
                <w:b/>
                <w:bCs/>
                <w:color w:val="000000"/>
                <w:lang w:val="en-US" w:eastAsia="nl-NL"/>
              </w:rPr>
              <w:t>STAR</w:t>
            </w:r>
          </w:p>
        </w:tc>
      </w:tr>
      <w:tr w:rsidR="00A178B6" w:rsidRPr="00F15932" w:rsidTr="00F01E80">
        <w:trPr>
          <w:trHeight w:val="315"/>
          <w:jc w:val="center"/>
        </w:trPr>
        <w:tc>
          <w:tcPr>
            <w:tcW w:w="1559"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rPr>
                <w:rFonts w:ascii="Calibri" w:eastAsia="Times New Roman" w:hAnsi="Calibri" w:cs="Times New Roman"/>
                <w:b/>
                <w:bCs/>
                <w:color w:val="000000"/>
                <w:lang w:eastAsia="nl-NL"/>
              </w:rPr>
            </w:pPr>
            <w:r w:rsidRPr="00BE45B7">
              <w:rPr>
                <w:rFonts w:ascii="Calibri" w:eastAsia="Times New Roman" w:hAnsi="Calibri" w:cs="Times New Roman"/>
                <w:b/>
                <w:bCs/>
                <w:color w:val="000000"/>
                <w:lang w:val="en-US" w:eastAsia="nl-NL"/>
              </w:rPr>
              <w:t>Si</w:t>
            </w:r>
            <w:r w:rsidRPr="00F15932">
              <w:rPr>
                <w:rFonts w:ascii="Calibri" w:eastAsia="Times New Roman" w:hAnsi="Calibri" w:cs="Times New Roman"/>
                <w:b/>
                <w:bCs/>
                <w:color w:val="000000"/>
                <w:lang w:eastAsia="nl-NL"/>
              </w:rPr>
              <w:t>ze</w:t>
            </w:r>
          </w:p>
        </w:tc>
        <w:tc>
          <w:tcPr>
            <w:tcW w:w="1901"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-1.921</w:t>
            </w:r>
          </w:p>
        </w:tc>
        <w:tc>
          <w:tcPr>
            <w:tcW w:w="1609"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0.361</w:t>
            </w:r>
          </w:p>
        </w:tc>
        <w:tc>
          <w:tcPr>
            <w:tcW w:w="1287"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-0.501</w:t>
            </w:r>
          </w:p>
        </w:tc>
      </w:tr>
      <w:tr w:rsidR="00A178B6" w:rsidRPr="00F15932" w:rsidTr="00F01E80">
        <w:trPr>
          <w:trHeight w:val="300"/>
          <w:jc w:val="center"/>
        </w:trPr>
        <w:tc>
          <w:tcPr>
            <w:tcW w:w="1559"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rPr>
                <w:rFonts w:ascii="Calibri" w:eastAsia="Times New Roman" w:hAnsi="Calibri" w:cs="Times New Roman"/>
                <w:b/>
                <w:bCs/>
                <w:color w:val="000000"/>
                <w:lang w:eastAsia="nl-NL"/>
              </w:rPr>
            </w:pPr>
            <w:r w:rsidRPr="00F15932">
              <w:rPr>
                <w:rFonts w:ascii="Calibri" w:eastAsia="Times New Roman" w:hAnsi="Calibri" w:cs="Times New Roman"/>
                <w:b/>
                <w:bCs/>
                <w:color w:val="000000"/>
                <w:lang w:eastAsia="nl-NL"/>
              </w:rPr>
              <w:t>Stdev</w:t>
            </w:r>
          </w:p>
        </w:tc>
        <w:tc>
          <w:tcPr>
            <w:tcW w:w="1901"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0.689</w:t>
            </w:r>
          </w:p>
        </w:tc>
        <w:tc>
          <w:tcPr>
            <w:tcW w:w="1609"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0.101</w:t>
            </w:r>
          </w:p>
        </w:tc>
        <w:tc>
          <w:tcPr>
            <w:tcW w:w="1287"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0.318</w:t>
            </w:r>
          </w:p>
        </w:tc>
      </w:tr>
      <w:tr w:rsidR="00A178B6" w:rsidRPr="00F15932" w:rsidTr="00F01E80">
        <w:trPr>
          <w:trHeight w:val="300"/>
          <w:jc w:val="center"/>
        </w:trPr>
        <w:tc>
          <w:tcPr>
            <w:tcW w:w="1559"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rPr>
                <w:rFonts w:ascii="Calibri" w:eastAsia="Times New Roman" w:hAnsi="Calibri" w:cs="Times New Roman"/>
                <w:b/>
                <w:bCs/>
                <w:color w:val="000000"/>
                <w:lang w:eastAsia="nl-NL"/>
              </w:rPr>
            </w:pPr>
            <w:r w:rsidRPr="00F15932">
              <w:rPr>
                <w:rFonts w:ascii="Calibri" w:eastAsia="Times New Roman" w:hAnsi="Calibri" w:cs="Times New Roman"/>
                <w:b/>
                <w:bCs/>
                <w:color w:val="000000"/>
                <w:lang w:eastAsia="nl-NL"/>
              </w:rPr>
              <w:t>T value</w:t>
            </w:r>
          </w:p>
        </w:tc>
        <w:tc>
          <w:tcPr>
            <w:tcW w:w="1901"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-2.788</w:t>
            </w:r>
          </w:p>
        </w:tc>
        <w:tc>
          <w:tcPr>
            <w:tcW w:w="1609"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3.563</w:t>
            </w:r>
          </w:p>
        </w:tc>
        <w:tc>
          <w:tcPr>
            <w:tcW w:w="1287" w:type="dxa"/>
            <w:tcBorders>
              <w:top w:val="nil"/>
              <w:left w:val="nil"/>
              <w:bottom w:val="nil"/>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-1.574</w:t>
            </w:r>
          </w:p>
        </w:tc>
      </w:tr>
      <w:tr w:rsidR="00A178B6" w:rsidRPr="00F15932" w:rsidTr="00F01E80">
        <w:trPr>
          <w:trHeight w:val="300"/>
          <w:jc w:val="center"/>
        </w:trPr>
        <w:tc>
          <w:tcPr>
            <w:tcW w:w="1559" w:type="dxa"/>
            <w:tcBorders>
              <w:top w:val="nil"/>
              <w:left w:val="nil"/>
              <w:bottom w:val="single" w:sz="4" w:space="0" w:color="auto"/>
              <w:right w:val="nil"/>
            </w:tcBorders>
            <w:shd w:val="clear" w:color="000000" w:fill="FFFFFF"/>
            <w:noWrap/>
            <w:vAlign w:val="bottom"/>
            <w:hideMark/>
          </w:tcPr>
          <w:p w:rsidR="00A178B6" w:rsidRPr="00F15932" w:rsidRDefault="00A178B6" w:rsidP="00F01E80">
            <w:pPr>
              <w:spacing w:after="0" w:line="240" w:lineRule="auto"/>
              <w:rPr>
                <w:rFonts w:ascii="Calibri" w:eastAsia="Times New Roman" w:hAnsi="Calibri" w:cs="Times New Roman"/>
                <w:b/>
                <w:bCs/>
                <w:color w:val="000000"/>
                <w:lang w:eastAsia="nl-NL"/>
              </w:rPr>
            </w:pPr>
            <w:r w:rsidRPr="00F15932">
              <w:rPr>
                <w:rFonts w:ascii="Calibri" w:eastAsia="Times New Roman" w:hAnsi="Calibri" w:cs="Times New Roman"/>
                <w:b/>
                <w:bCs/>
                <w:color w:val="000000"/>
                <w:lang w:eastAsia="nl-NL"/>
              </w:rPr>
              <w:t>P Value</w:t>
            </w:r>
          </w:p>
        </w:tc>
        <w:tc>
          <w:tcPr>
            <w:tcW w:w="1901" w:type="dxa"/>
            <w:tcBorders>
              <w:top w:val="nil"/>
              <w:left w:val="nil"/>
              <w:bottom w:val="single" w:sz="4" w:space="0" w:color="auto"/>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0.007</w:t>
            </w:r>
          </w:p>
        </w:tc>
        <w:tc>
          <w:tcPr>
            <w:tcW w:w="1609" w:type="dxa"/>
            <w:tcBorders>
              <w:top w:val="nil"/>
              <w:left w:val="nil"/>
              <w:bottom w:val="single" w:sz="4" w:space="0" w:color="auto"/>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0.001</w:t>
            </w:r>
            <w:r w:rsidRPr="00F15932">
              <w:rPr>
                <w:rFonts w:ascii="Calibri" w:eastAsia="Times New Roman" w:hAnsi="Calibri" w:cs="Times New Roman"/>
                <w:color w:val="000000"/>
                <w:sz w:val="14"/>
                <w:szCs w:val="14"/>
                <w:lang w:eastAsia="nl-NL"/>
              </w:rPr>
              <w:t>***</w:t>
            </w:r>
          </w:p>
        </w:tc>
        <w:tc>
          <w:tcPr>
            <w:tcW w:w="1287" w:type="dxa"/>
            <w:tcBorders>
              <w:top w:val="nil"/>
              <w:left w:val="nil"/>
              <w:bottom w:val="single" w:sz="4" w:space="0" w:color="auto"/>
              <w:right w:val="nil"/>
            </w:tcBorders>
            <w:shd w:val="clear" w:color="000000" w:fill="FFFFFF"/>
            <w:noWrap/>
            <w:vAlign w:val="bottom"/>
            <w:hideMark/>
          </w:tcPr>
          <w:p w:rsidR="00A178B6" w:rsidRPr="00F15932" w:rsidRDefault="00A178B6" w:rsidP="00F01E80">
            <w:pPr>
              <w:spacing w:after="0" w:line="240" w:lineRule="auto"/>
              <w:jc w:val="right"/>
              <w:rPr>
                <w:rFonts w:ascii="Calibri" w:eastAsia="Times New Roman" w:hAnsi="Calibri" w:cs="Times New Roman"/>
                <w:color w:val="000000"/>
                <w:lang w:eastAsia="nl-NL"/>
              </w:rPr>
            </w:pPr>
            <w:r w:rsidRPr="00F15932">
              <w:rPr>
                <w:rFonts w:ascii="Calibri" w:eastAsia="Times New Roman" w:hAnsi="Calibri" w:cs="Times New Roman"/>
                <w:color w:val="000000"/>
                <w:lang w:eastAsia="nl-NL"/>
              </w:rPr>
              <w:t>0.121</w:t>
            </w:r>
          </w:p>
        </w:tc>
      </w:tr>
    </w:tbl>
    <w:p w:rsidR="00A178B6" w:rsidRPr="0073013F" w:rsidRDefault="00A178B6" w:rsidP="00A178B6">
      <w:pPr>
        <w:jc w:val="both"/>
        <w:rPr>
          <w:sz w:val="18"/>
          <w:szCs w:val="18"/>
          <w:lang w:val="en-US"/>
        </w:rPr>
      </w:pPr>
      <w:r>
        <w:rPr>
          <w:sz w:val="18"/>
          <w:szCs w:val="18"/>
          <w:lang w:val="en-US"/>
        </w:rPr>
        <w:t xml:space="preserve">Table 13 shows the results of equation 12. The dependent variable is the natural logarithm of the absolute value of the t-statistic. The t-statistics belong to the proceeds coefficients obtained from the original regressions. The independent variables are stated in the top row. </w:t>
      </w:r>
      <w:proofErr w:type="gramStart"/>
      <w:r>
        <w:rPr>
          <w:sz w:val="18"/>
          <w:szCs w:val="18"/>
          <w:lang w:val="en-US"/>
        </w:rPr>
        <w:t>LN(</w:t>
      </w:r>
      <w:proofErr w:type="gramEnd"/>
      <w:r>
        <w:rPr>
          <w:sz w:val="18"/>
          <w:szCs w:val="18"/>
          <w:lang w:val="en-US"/>
        </w:rPr>
        <w:t>DF) is the natural logarithm of the degrees of freedom in the original regression. The Star dummy takes the value of one if the t-statistic was obtained from an article that was published in a top ranked journal. *** Indicates that the reported statistic is significant on the 1% level.</w:t>
      </w:r>
    </w:p>
    <w:p w:rsidR="00A178B6" w:rsidRDefault="00A178B6">
      <w:pPr>
        <w:rPr>
          <w:lang w:val="en-US"/>
        </w:rPr>
      </w:pPr>
      <w:r>
        <w:rPr>
          <w:lang w:val="en-US"/>
        </w:rPr>
        <w:br w:type="page"/>
      </w:r>
    </w:p>
    <w:p w:rsidR="00A178B6" w:rsidRDefault="00A5463B" w:rsidP="001A61F9">
      <w:pPr>
        <w:spacing w:line="360" w:lineRule="auto"/>
        <w:rPr>
          <w:lang w:val="en-US"/>
        </w:rPr>
      </w:pPr>
      <w:r w:rsidRPr="00A5463B">
        <w:rPr>
          <w:lang w:val="en-US"/>
        </w:rPr>
        <w:lastRenderedPageBreak/>
        <w:t xml:space="preserve">The positive significant relation between the natural logarithm of the degrees of freedom and the natural logarithm of the T statistic obtained from the original regression can be seen as </w:t>
      </w:r>
      <w:r w:rsidR="00BE45B7">
        <w:rPr>
          <w:lang w:val="en-US"/>
        </w:rPr>
        <w:t xml:space="preserve">evidence </w:t>
      </w:r>
      <w:r w:rsidR="00A178B6">
        <w:rPr>
          <w:lang w:val="en-US"/>
        </w:rPr>
        <w:t>in favor of hypothesis 4A.</w:t>
      </w:r>
    </w:p>
    <w:p w:rsidR="00A178B6" w:rsidRPr="00A178B6" w:rsidRDefault="00A178B6" w:rsidP="00A178B6">
      <w:pPr>
        <w:pStyle w:val="ListParagraph"/>
        <w:numPr>
          <w:ilvl w:val="0"/>
          <w:numId w:val="30"/>
        </w:numPr>
        <w:spacing w:before="200" w:line="360" w:lineRule="auto"/>
        <w:ind w:left="714" w:hanging="357"/>
        <w:contextualSpacing w:val="0"/>
        <w:rPr>
          <w:i/>
          <w:lang w:val="en-US"/>
        </w:rPr>
      </w:pPr>
      <w:r>
        <w:rPr>
          <w:i/>
          <w:lang w:val="en-US"/>
        </w:rPr>
        <w:t xml:space="preserve">H4A: Publication bias is </w:t>
      </w:r>
      <w:r w:rsidRPr="00A178B6">
        <w:rPr>
          <w:i/>
          <w:u w:val="single"/>
          <w:lang w:val="en-US"/>
        </w:rPr>
        <w:t>not</w:t>
      </w:r>
      <w:r>
        <w:rPr>
          <w:i/>
          <w:lang w:val="en-US"/>
        </w:rPr>
        <w:t xml:space="preserve"> present in underpricing literature</w:t>
      </w:r>
    </w:p>
    <w:p w:rsidR="00A178B6" w:rsidRDefault="00A5463B" w:rsidP="001A61F9">
      <w:pPr>
        <w:spacing w:line="360" w:lineRule="auto"/>
        <w:rPr>
          <w:lang w:val="en-US"/>
        </w:rPr>
      </w:pPr>
      <w:r w:rsidRPr="00A5463B">
        <w:rPr>
          <w:lang w:val="en-US"/>
        </w:rPr>
        <w:t xml:space="preserve">The insignificant coefficient for the Star dummy does not provide significant evidence for </w:t>
      </w:r>
      <w:r>
        <w:rPr>
          <w:lang w:val="en-US"/>
        </w:rPr>
        <w:t>any bias in results published in high ranking journals.</w:t>
      </w:r>
    </w:p>
    <w:p w:rsidR="00A178B6" w:rsidRPr="00A178B6" w:rsidRDefault="00A178B6" w:rsidP="00A178B6">
      <w:pPr>
        <w:pStyle w:val="ListParagraph"/>
        <w:numPr>
          <w:ilvl w:val="0"/>
          <w:numId w:val="30"/>
        </w:numPr>
        <w:spacing w:before="200" w:line="360" w:lineRule="auto"/>
        <w:ind w:left="714" w:hanging="357"/>
        <w:contextualSpacing w:val="0"/>
        <w:rPr>
          <w:i/>
          <w:lang w:val="en-US"/>
        </w:rPr>
      </w:pPr>
      <w:r>
        <w:rPr>
          <w:i/>
          <w:lang w:val="en-US"/>
        </w:rPr>
        <w:t>H4B:Star journal bias is present in underpricing literature</w:t>
      </w:r>
    </w:p>
    <w:p w:rsidR="00A178B6" w:rsidRDefault="00A178B6" w:rsidP="001A61F9">
      <w:pPr>
        <w:spacing w:line="360" w:lineRule="auto"/>
        <w:rPr>
          <w:lang w:val="en-US"/>
        </w:rPr>
      </w:pPr>
    </w:p>
    <w:p w:rsidR="00E62D17" w:rsidRPr="001A61F9" w:rsidRDefault="00E62D17" w:rsidP="001A61F9">
      <w:pPr>
        <w:spacing w:line="360" w:lineRule="auto"/>
        <w:rPr>
          <w:lang w:val="en-US"/>
        </w:rPr>
      </w:pPr>
      <w:r>
        <w:rPr>
          <w:b/>
          <w:lang w:val="en-US"/>
        </w:rPr>
        <w:br w:type="page"/>
      </w:r>
    </w:p>
    <w:p w:rsidR="00E62D17" w:rsidRDefault="00E62D17" w:rsidP="00A16A11">
      <w:pPr>
        <w:pStyle w:val="ListParagraph"/>
        <w:numPr>
          <w:ilvl w:val="1"/>
          <w:numId w:val="37"/>
        </w:numPr>
        <w:ind w:left="1418" w:hanging="851"/>
        <w:rPr>
          <w:b/>
          <w:lang w:val="en-US"/>
        </w:rPr>
      </w:pPr>
      <w:r w:rsidRPr="00F15932">
        <w:rPr>
          <w:b/>
          <w:lang w:val="en-US"/>
        </w:rPr>
        <w:lastRenderedPageBreak/>
        <w:t>Underwriter rep</w:t>
      </w:r>
      <w:r w:rsidR="00DC47AD">
        <w:rPr>
          <w:b/>
          <w:lang w:val="en-US"/>
        </w:rPr>
        <w:t>utation</w:t>
      </w:r>
    </w:p>
    <w:p w:rsidR="00A8632D" w:rsidRDefault="00787CA8" w:rsidP="00A8632D">
      <w:pPr>
        <w:spacing w:line="360" w:lineRule="auto"/>
        <w:rPr>
          <w:lang w:val="en-US"/>
        </w:rPr>
      </w:pPr>
      <w:r>
        <w:rPr>
          <w:lang w:val="en-US"/>
        </w:rPr>
        <w:t>Table 7 shows that o</w:t>
      </w:r>
      <w:r w:rsidR="00BE45B7">
        <w:rPr>
          <w:lang w:val="en-US"/>
        </w:rPr>
        <w:t xml:space="preserve">f the </w:t>
      </w:r>
      <w:r w:rsidR="00D6664C">
        <w:rPr>
          <w:lang w:val="en-US"/>
        </w:rPr>
        <w:t>49</w:t>
      </w:r>
      <w:r w:rsidR="00BE45B7">
        <w:rPr>
          <w:lang w:val="en-US"/>
        </w:rPr>
        <w:t xml:space="preserve"> coefficients included in the MRA,</w:t>
      </w:r>
      <w:r w:rsidR="00946984">
        <w:rPr>
          <w:lang w:val="en-US"/>
        </w:rPr>
        <w:t xml:space="preserve"> </w:t>
      </w:r>
      <w:r w:rsidR="00BE45B7">
        <w:rPr>
          <w:lang w:val="en-US"/>
        </w:rPr>
        <w:t>13</w:t>
      </w:r>
      <w:r w:rsidR="00946984">
        <w:rPr>
          <w:lang w:val="en-US"/>
        </w:rPr>
        <w:t xml:space="preserve"> are positive and significant, </w:t>
      </w:r>
      <w:r w:rsidR="00BE45B7">
        <w:rPr>
          <w:lang w:val="en-US"/>
        </w:rPr>
        <w:t>2</w:t>
      </w:r>
      <w:r w:rsidR="00FB4967">
        <w:rPr>
          <w:lang w:val="en-US"/>
        </w:rPr>
        <w:t>0</w:t>
      </w:r>
      <w:r w:rsidR="00946984">
        <w:rPr>
          <w:lang w:val="en-US"/>
        </w:rPr>
        <w:t xml:space="preserve"> are insignificant and </w:t>
      </w:r>
      <w:r w:rsidR="00BE45B7">
        <w:rPr>
          <w:lang w:val="en-US"/>
        </w:rPr>
        <w:t>16</w:t>
      </w:r>
      <w:r w:rsidR="00946984">
        <w:rPr>
          <w:lang w:val="en-US"/>
        </w:rPr>
        <w:t xml:space="preserve"> are negative and significant</w:t>
      </w:r>
      <w:r w:rsidR="0003240E">
        <w:rPr>
          <w:rStyle w:val="FootnoteReference"/>
          <w:lang w:val="en-US"/>
        </w:rPr>
        <w:footnoteReference w:id="40"/>
      </w:r>
      <w:r w:rsidR="00946984">
        <w:rPr>
          <w:lang w:val="en-US"/>
        </w:rPr>
        <w:t xml:space="preserve">. </w:t>
      </w:r>
      <w:r w:rsidR="00805C66">
        <w:rPr>
          <w:lang w:val="en-US"/>
        </w:rPr>
        <w:t xml:space="preserve">So a simple summary of the academic </w:t>
      </w:r>
      <w:proofErr w:type="gramStart"/>
      <w:r w:rsidR="00805C66">
        <w:rPr>
          <w:lang w:val="en-US"/>
        </w:rPr>
        <w:t xml:space="preserve">literature </w:t>
      </w:r>
      <w:r w:rsidR="00946984">
        <w:rPr>
          <w:lang w:val="en-US"/>
        </w:rPr>
        <w:t xml:space="preserve"> portray</w:t>
      </w:r>
      <w:r w:rsidR="00805C66">
        <w:rPr>
          <w:lang w:val="en-US"/>
        </w:rPr>
        <w:t>s</w:t>
      </w:r>
      <w:proofErr w:type="gramEnd"/>
      <w:r w:rsidR="00805C66">
        <w:rPr>
          <w:lang w:val="en-US"/>
        </w:rPr>
        <w:t xml:space="preserve"> a mixed image of the </w:t>
      </w:r>
      <w:r w:rsidR="00946984">
        <w:rPr>
          <w:lang w:val="en-US"/>
        </w:rPr>
        <w:t>true relation between IPO underpri</w:t>
      </w:r>
      <w:r w:rsidR="0003240E">
        <w:rPr>
          <w:lang w:val="en-US"/>
        </w:rPr>
        <w:t>cing and unde</w:t>
      </w:r>
      <w:r w:rsidR="000F0F3F">
        <w:rPr>
          <w:lang w:val="en-US"/>
        </w:rPr>
        <w:t>rwriter reputation. In e</w:t>
      </w:r>
      <w:r w:rsidR="007F0D94">
        <w:rPr>
          <w:lang w:val="en-US"/>
        </w:rPr>
        <w:t>quation 8</w:t>
      </w:r>
      <w:r w:rsidR="0003240E">
        <w:rPr>
          <w:lang w:val="en-US"/>
        </w:rPr>
        <w:t xml:space="preserve"> the misspecifications are controlled for. If all misspecifications are controlled for, the intercept represents the true effect size.</w:t>
      </w:r>
      <w:r w:rsidR="00A8632D">
        <w:rPr>
          <w:lang w:val="en-US"/>
        </w:rPr>
        <w:t xml:space="preserve"> </w:t>
      </w:r>
      <w:r w:rsidR="00A8632D" w:rsidRPr="00946984">
        <w:rPr>
          <w:lang w:val="en-US"/>
        </w:rPr>
        <w:t>Table 1</w:t>
      </w:r>
      <w:r w:rsidR="00A8632D">
        <w:rPr>
          <w:lang w:val="en-US"/>
        </w:rPr>
        <w:t>4</w:t>
      </w:r>
      <w:r w:rsidR="00A8632D" w:rsidRPr="00946984">
        <w:rPr>
          <w:lang w:val="en-US"/>
        </w:rPr>
        <w:t xml:space="preserve"> s</w:t>
      </w:r>
      <w:r w:rsidR="00A8632D">
        <w:rPr>
          <w:lang w:val="en-US"/>
        </w:rPr>
        <w:t>hows the results of equation 8.</w:t>
      </w:r>
      <w:r w:rsidR="00946984">
        <w:rPr>
          <w:lang w:val="en-US"/>
        </w:rPr>
        <w:t xml:space="preserve"> </w:t>
      </w:r>
    </w:p>
    <w:tbl>
      <w:tblPr>
        <w:tblW w:w="6896" w:type="dxa"/>
        <w:jc w:val="center"/>
        <w:tblCellMar>
          <w:left w:w="70" w:type="dxa"/>
          <w:right w:w="70" w:type="dxa"/>
        </w:tblCellMar>
        <w:tblLook w:val="04A0"/>
      </w:tblPr>
      <w:tblGrid>
        <w:gridCol w:w="1104"/>
        <w:gridCol w:w="1313"/>
        <w:gridCol w:w="1011"/>
        <w:gridCol w:w="919"/>
        <w:gridCol w:w="802"/>
        <w:gridCol w:w="851"/>
        <w:gridCol w:w="945"/>
      </w:tblGrid>
      <w:tr w:rsidR="00A8632D" w:rsidRPr="009D4228" w:rsidTr="00A932F1">
        <w:trPr>
          <w:trHeight w:val="300"/>
          <w:jc w:val="center"/>
        </w:trPr>
        <w:tc>
          <w:tcPr>
            <w:tcW w:w="6896" w:type="dxa"/>
            <w:gridSpan w:val="7"/>
            <w:tcBorders>
              <w:top w:val="nil"/>
              <w:left w:val="nil"/>
              <w:bottom w:val="single" w:sz="4" w:space="0" w:color="auto"/>
              <w:right w:val="nil"/>
            </w:tcBorders>
            <w:shd w:val="clear" w:color="000000" w:fill="FFFFFF"/>
            <w:noWrap/>
            <w:vAlign w:val="bottom"/>
            <w:hideMark/>
          </w:tcPr>
          <w:p w:rsidR="00A8632D" w:rsidRPr="000426A0" w:rsidRDefault="00A8632D" w:rsidP="00A932F1">
            <w:pPr>
              <w:spacing w:after="0" w:line="240" w:lineRule="auto"/>
              <w:jc w:val="center"/>
              <w:rPr>
                <w:rFonts w:ascii="Calibri" w:eastAsia="Times New Roman" w:hAnsi="Calibri" w:cs="Calibri"/>
                <w:b/>
                <w:bCs/>
                <w:color w:val="000000"/>
                <w:lang w:val="en-US" w:eastAsia="nl-NL"/>
              </w:rPr>
            </w:pPr>
            <w:r>
              <w:rPr>
                <w:rFonts w:ascii="Calibri" w:eastAsia="Times New Roman" w:hAnsi="Calibri" w:cs="Calibri"/>
                <w:b/>
                <w:bCs/>
                <w:color w:val="000000"/>
                <w:lang w:val="en-US" w:eastAsia="nl-NL"/>
              </w:rPr>
              <w:t xml:space="preserve">Table 14: </w:t>
            </w:r>
            <w:r w:rsidRPr="000426A0">
              <w:rPr>
                <w:rFonts w:ascii="Calibri" w:eastAsia="Times New Roman" w:hAnsi="Calibri" w:cs="Calibri"/>
                <w:b/>
                <w:bCs/>
                <w:color w:val="000000"/>
                <w:lang w:val="en-US" w:eastAsia="nl-NL"/>
              </w:rPr>
              <w:t>Underwriter rank MRA, Sample size: 49, Adjusted R Square: 0.36</w:t>
            </w:r>
          </w:p>
        </w:tc>
      </w:tr>
      <w:tr w:rsidR="00A8632D" w:rsidRPr="000426A0" w:rsidTr="00A932F1">
        <w:trPr>
          <w:trHeight w:val="315"/>
          <w:jc w:val="center"/>
        </w:trPr>
        <w:tc>
          <w:tcPr>
            <w:tcW w:w="1104" w:type="dxa"/>
            <w:tcBorders>
              <w:top w:val="nil"/>
              <w:left w:val="nil"/>
              <w:bottom w:val="double" w:sz="6" w:space="0" w:color="auto"/>
              <w:right w:val="nil"/>
            </w:tcBorders>
            <w:shd w:val="clear" w:color="000000" w:fill="FFFFFF"/>
            <w:noWrap/>
            <w:vAlign w:val="bottom"/>
            <w:hideMark/>
          </w:tcPr>
          <w:p w:rsidR="00A8632D" w:rsidRPr="000426A0" w:rsidRDefault="00A8632D" w:rsidP="00A932F1">
            <w:pPr>
              <w:spacing w:after="0" w:line="240" w:lineRule="auto"/>
              <w:rPr>
                <w:rFonts w:ascii="Calibri" w:eastAsia="Times New Roman" w:hAnsi="Calibri" w:cs="Calibri"/>
                <w:b/>
                <w:bCs/>
                <w:color w:val="000000"/>
                <w:lang w:val="en-US" w:eastAsia="nl-NL"/>
              </w:rPr>
            </w:pPr>
            <w:r w:rsidRPr="000426A0">
              <w:rPr>
                <w:rFonts w:ascii="Calibri" w:eastAsia="Times New Roman" w:hAnsi="Calibri" w:cs="Calibri"/>
                <w:b/>
                <w:bCs/>
                <w:color w:val="000000"/>
                <w:lang w:val="en-US" w:eastAsia="nl-NL"/>
              </w:rPr>
              <w:t> </w:t>
            </w:r>
          </w:p>
        </w:tc>
        <w:tc>
          <w:tcPr>
            <w:tcW w:w="1313" w:type="dxa"/>
            <w:tcBorders>
              <w:top w:val="nil"/>
              <w:left w:val="nil"/>
              <w:bottom w:val="double" w:sz="6"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Constant</w:t>
            </w:r>
          </w:p>
        </w:tc>
        <w:tc>
          <w:tcPr>
            <w:tcW w:w="1011" w:type="dxa"/>
            <w:tcBorders>
              <w:top w:val="nil"/>
              <w:left w:val="nil"/>
              <w:bottom w:val="double" w:sz="6"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90&amp;Int</w:t>
            </w:r>
          </w:p>
        </w:tc>
        <w:tc>
          <w:tcPr>
            <w:tcW w:w="919" w:type="dxa"/>
            <w:tcBorders>
              <w:top w:val="nil"/>
              <w:left w:val="nil"/>
              <w:bottom w:val="double" w:sz="6"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M1wk</w:t>
            </w:r>
          </w:p>
        </w:tc>
        <w:tc>
          <w:tcPr>
            <w:tcW w:w="802" w:type="dxa"/>
            <w:tcBorders>
              <w:top w:val="nil"/>
              <w:left w:val="nil"/>
              <w:bottom w:val="double" w:sz="6"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ExBE</w:t>
            </w:r>
          </w:p>
        </w:tc>
        <w:tc>
          <w:tcPr>
            <w:tcW w:w="802" w:type="dxa"/>
            <w:tcBorders>
              <w:top w:val="nil"/>
              <w:left w:val="nil"/>
              <w:bottom w:val="double" w:sz="6"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ExSF</w:t>
            </w:r>
          </w:p>
        </w:tc>
        <w:tc>
          <w:tcPr>
            <w:tcW w:w="945" w:type="dxa"/>
            <w:tcBorders>
              <w:top w:val="nil"/>
              <w:left w:val="nil"/>
              <w:bottom w:val="double" w:sz="6"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ExAGE</w:t>
            </w:r>
          </w:p>
        </w:tc>
      </w:tr>
      <w:tr w:rsidR="00A8632D" w:rsidRPr="000426A0" w:rsidTr="00A932F1">
        <w:trPr>
          <w:trHeight w:val="330"/>
          <w:jc w:val="center"/>
        </w:trPr>
        <w:tc>
          <w:tcPr>
            <w:tcW w:w="1104"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Size</w:t>
            </w:r>
          </w:p>
        </w:tc>
        <w:tc>
          <w:tcPr>
            <w:tcW w:w="1313"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-0,026</w:t>
            </w:r>
          </w:p>
        </w:tc>
        <w:tc>
          <w:tcPr>
            <w:tcW w:w="1011"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0,018</w:t>
            </w:r>
          </w:p>
        </w:tc>
        <w:tc>
          <w:tcPr>
            <w:tcW w:w="919"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0,009</w:t>
            </w:r>
          </w:p>
        </w:tc>
        <w:tc>
          <w:tcPr>
            <w:tcW w:w="802"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0,004</w:t>
            </w:r>
          </w:p>
        </w:tc>
        <w:tc>
          <w:tcPr>
            <w:tcW w:w="802"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0,013</w:t>
            </w:r>
          </w:p>
        </w:tc>
        <w:tc>
          <w:tcPr>
            <w:tcW w:w="945"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0,015</w:t>
            </w:r>
          </w:p>
        </w:tc>
      </w:tr>
      <w:tr w:rsidR="00A8632D" w:rsidRPr="000426A0" w:rsidTr="00A932F1">
        <w:trPr>
          <w:trHeight w:val="315"/>
          <w:jc w:val="center"/>
        </w:trPr>
        <w:tc>
          <w:tcPr>
            <w:tcW w:w="1104"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Stdev</w:t>
            </w:r>
          </w:p>
        </w:tc>
        <w:tc>
          <w:tcPr>
            <w:tcW w:w="1313"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0,009</w:t>
            </w:r>
          </w:p>
        </w:tc>
        <w:tc>
          <w:tcPr>
            <w:tcW w:w="1011"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0,005</w:t>
            </w:r>
          </w:p>
        </w:tc>
        <w:tc>
          <w:tcPr>
            <w:tcW w:w="919"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0,006</w:t>
            </w:r>
          </w:p>
        </w:tc>
        <w:tc>
          <w:tcPr>
            <w:tcW w:w="802"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0,006</w:t>
            </w:r>
          </w:p>
        </w:tc>
        <w:tc>
          <w:tcPr>
            <w:tcW w:w="802"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0,005</w:t>
            </w:r>
          </w:p>
        </w:tc>
        <w:tc>
          <w:tcPr>
            <w:tcW w:w="945"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0,006</w:t>
            </w:r>
          </w:p>
        </w:tc>
      </w:tr>
      <w:tr w:rsidR="00A8632D" w:rsidRPr="000426A0" w:rsidTr="00A932F1">
        <w:trPr>
          <w:trHeight w:val="300"/>
          <w:jc w:val="center"/>
        </w:trPr>
        <w:tc>
          <w:tcPr>
            <w:tcW w:w="1104"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T value</w:t>
            </w:r>
          </w:p>
        </w:tc>
        <w:tc>
          <w:tcPr>
            <w:tcW w:w="1313"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-2,999</w:t>
            </w:r>
          </w:p>
        </w:tc>
        <w:tc>
          <w:tcPr>
            <w:tcW w:w="1011"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3,315</w:t>
            </w:r>
          </w:p>
        </w:tc>
        <w:tc>
          <w:tcPr>
            <w:tcW w:w="919"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1,505</w:t>
            </w:r>
          </w:p>
        </w:tc>
        <w:tc>
          <w:tcPr>
            <w:tcW w:w="802"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0,735</w:t>
            </w:r>
          </w:p>
        </w:tc>
        <w:tc>
          <w:tcPr>
            <w:tcW w:w="802"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2,826</w:t>
            </w:r>
          </w:p>
        </w:tc>
        <w:tc>
          <w:tcPr>
            <w:tcW w:w="945" w:type="dxa"/>
            <w:tcBorders>
              <w:top w:val="nil"/>
              <w:left w:val="nil"/>
              <w:bottom w:val="nil"/>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2,588</w:t>
            </w:r>
          </w:p>
        </w:tc>
      </w:tr>
      <w:tr w:rsidR="00A8632D" w:rsidRPr="000426A0" w:rsidTr="00A932F1">
        <w:trPr>
          <w:trHeight w:val="300"/>
          <w:jc w:val="center"/>
        </w:trPr>
        <w:tc>
          <w:tcPr>
            <w:tcW w:w="1104" w:type="dxa"/>
            <w:tcBorders>
              <w:top w:val="nil"/>
              <w:left w:val="nil"/>
              <w:bottom w:val="single" w:sz="4" w:space="0" w:color="auto"/>
              <w:right w:val="nil"/>
            </w:tcBorders>
            <w:shd w:val="clear" w:color="000000" w:fill="FFFFFF"/>
            <w:noWrap/>
            <w:vAlign w:val="bottom"/>
            <w:hideMark/>
          </w:tcPr>
          <w:p w:rsidR="00A8632D" w:rsidRPr="000426A0" w:rsidRDefault="00A8632D" w:rsidP="00A932F1">
            <w:pPr>
              <w:spacing w:after="0" w:line="240" w:lineRule="auto"/>
              <w:rPr>
                <w:rFonts w:ascii="Calibri" w:eastAsia="Times New Roman" w:hAnsi="Calibri" w:cs="Calibri"/>
                <w:b/>
                <w:bCs/>
                <w:color w:val="000000"/>
                <w:lang w:eastAsia="nl-NL"/>
              </w:rPr>
            </w:pPr>
            <w:r w:rsidRPr="000426A0">
              <w:rPr>
                <w:rFonts w:ascii="Calibri" w:eastAsia="Times New Roman" w:hAnsi="Calibri" w:cs="Calibri"/>
                <w:b/>
                <w:bCs/>
                <w:color w:val="000000"/>
                <w:lang w:eastAsia="nl-NL"/>
              </w:rPr>
              <w:t>P Value</w:t>
            </w:r>
          </w:p>
        </w:tc>
        <w:tc>
          <w:tcPr>
            <w:tcW w:w="1313" w:type="dxa"/>
            <w:tcBorders>
              <w:top w:val="nil"/>
              <w:left w:val="nil"/>
              <w:bottom w:val="single" w:sz="4"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0,004</w:t>
            </w:r>
            <w:r w:rsidRPr="00D6664C">
              <w:rPr>
                <w:rFonts w:ascii="Calibri" w:eastAsia="Times New Roman" w:hAnsi="Calibri" w:cs="Calibri"/>
                <w:color w:val="000000"/>
                <w:sz w:val="14"/>
                <w:szCs w:val="14"/>
                <w:lang w:eastAsia="nl-NL"/>
              </w:rPr>
              <w:t>***</w:t>
            </w:r>
          </w:p>
        </w:tc>
        <w:tc>
          <w:tcPr>
            <w:tcW w:w="1011" w:type="dxa"/>
            <w:tcBorders>
              <w:top w:val="nil"/>
              <w:left w:val="nil"/>
              <w:bottom w:val="single" w:sz="4"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0,002</w:t>
            </w:r>
            <w:r w:rsidRPr="00D6664C">
              <w:rPr>
                <w:rFonts w:ascii="Calibri" w:eastAsia="Times New Roman" w:hAnsi="Calibri" w:cs="Calibri"/>
                <w:color w:val="000000"/>
                <w:sz w:val="14"/>
                <w:szCs w:val="14"/>
                <w:lang w:eastAsia="nl-NL"/>
              </w:rPr>
              <w:t>***</w:t>
            </w:r>
          </w:p>
        </w:tc>
        <w:tc>
          <w:tcPr>
            <w:tcW w:w="919" w:type="dxa"/>
            <w:tcBorders>
              <w:top w:val="nil"/>
              <w:left w:val="nil"/>
              <w:bottom w:val="single" w:sz="4"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0,140</w:t>
            </w:r>
          </w:p>
        </w:tc>
        <w:tc>
          <w:tcPr>
            <w:tcW w:w="802" w:type="dxa"/>
            <w:tcBorders>
              <w:top w:val="nil"/>
              <w:left w:val="nil"/>
              <w:bottom w:val="single" w:sz="4"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0,466</w:t>
            </w:r>
          </w:p>
        </w:tc>
        <w:tc>
          <w:tcPr>
            <w:tcW w:w="802" w:type="dxa"/>
            <w:tcBorders>
              <w:top w:val="nil"/>
              <w:left w:val="nil"/>
              <w:bottom w:val="single" w:sz="4"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0,007</w:t>
            </w:r>
            <w:r w:rsidRPr="00D6664C">
              <w:rPr>
                <w:rFonts w:ascii="Calibri" w:eastAsia="Times New Roman" w:hAnsi="Calibri" w:cs="Calibri"/>
                <w:color w:val="000000"/>
                <w:sz w:val="14"/>
                <w:szCs w:val="14"/>
                <w:lang w:eastAsia="nl-NL"/>
              </w:rPr>
              <w:t>***</w:t>
            </w:r>
          </w:p>
        </w:tc>
        <w:tc>
          <w:tcPr>
            <w:tcW w:w="945" w:type="dxa"/>
            <w:tcBorders>
              <w:top w:val="nil"/>
              <w:left w:val="nil"/>
              <w:bottom w:val="single" w:sz="4" w:space="0" w:color="auto"/>
              <w:right w:val="nil"/>
            </w:tcBorders>
            <w:shd w:val="clear" w:color="000000" w:fill="FFFFFF"/>
            <w:noWrap/>
            <w:vAlign w:val="bottom"/>
            <w:hideMark/>
          </w:tcPr>
          <w:p w:rsidR="00A8632D" w:rsidRPr="000426A0" w:rsidRDefault="00A8632D" w:rsidP="00A932F1">
            <w:pPr>
              <w:spacing w:after="0" w:line="240" w:lineRule="auto"/>
              <w:jc w:val="right"/>
              <w:rPr>
                <w:rFonts w:ascii="Calibri" w:eastAsia="Times New Roman" w:hAnsi="Calibri" w:cs="Calibri"/>
                <w:color w:val="000000"/>
                <w:lang w:eastAsia="nl-NL"/>
              </w:rPr>
            </w:pPr>
            <w:r w:rsidRPr="000426A0">
              <w:rPr>
                <w:rFonts w:ascii="Calibri" w:eastAsia="Times New Roman" w:hAnsi="Calibri" w:cs="Calibri"/>
                <w:color w:val="000000"/>
                <w:lang w:eastAsia="nl-NL"/>
              </w:rPr>
              <w:t>0,013</w:t>
            </w:r>
            <w:r w:rsidRPr="00D6664C">
              <w:rPr>
                <w:rFonts w:ascii="Calibri" w:eastAsia="Times New Roman" w:hAnsi="Calibri" w:cs="Calibri"/>
                <w:color w:val="000000"/>
                <w:sz w:val="14"/>
                <w:szCs w:val="14"/>
                <w:lang w:eastAsia="nl-NL"/>
              </w:rPr>
              <w:t>**</w:t>
            </w:r>
          </w:p>
        </w:tc>
      </w:tr>
    </w:tbl>
    <w:p w:rsidR="00A8632D" w:rsidRPr="00A8632D" w:rsidRDefault="00A8632D" w:rsidP="00A8632D">
      <w:pPr>
        <w:ind w:left="360"/>
        <w:jc w:val="both"/>
        <w:rPr>
          <w:sz w:val="18"/>
          <w:szCs w:val="18"/>
          <w:lang w:val="en-US"/>
        </w:rPr>
      </w:pPr>
      <w:r w:rsidRPr="00787CA8">
        <w:rPr>
          <w:sz w:val="18"/>
          <w:szCs w:val="18"/>
          <w:lang w:val="en-US"/>
        </w:rPr>
        <w:t>Table 14 shows the results of equation 8. The included independent variables are stated in the top row. The dependent variable is the C&amp;M rank coefficient from the original regressions. The table contains figures on the size of the coefficients, the standard deviation, the t-statistic and the P value. *, ** and *** indicate that the coefficient is significant on the 10%, 5% and 1% level respectively.</w:t>
      </w:r>
    </w:p>
    <w:p w:rsidR="00946984" w:rsidRDefault="00946984" w:rsidP="00A8632D">
      <w:pPr>
        <w:spacing w:line="360" w:lineRule="auto"/>
        <w:rPr>
          <w:lang w:val="en-US"/>
        </w:rPr>
      </w:pPr>
      <w:r>
        <w:rPr>
          <w:lang w:val="en-US"/>
        </w:rPr>
        <w:t>The constant in table 1</w:t>
      </w:r>
      <w:r w:rsidR="00575454">
        <w:rPr>
          <w:lang w:val="en-US"/>
        </w:rPr>
        <w:t>4</w:t>
      </w:r>
      <w:r>
        <w:rPr>
          <w:lang w:val="en-US"/>
        </w:rPr>
        <w:t xml:space="preserve"> describes the true effect of underwriter rank </w:t>
      </w:r>
      <w:r w:rsidR="0003240E">
        <w:rPr>
          <w:lang w:val="en-US"/>
        </w:rPr>
        <w:t>on IPO underpricing. The result</w:t>
      </w:r>
      <w:r>
        <w:rPr>
          <w:lang w:val="en-US"/>
        </w:rPr>
        <w:t xml:space="preserve"> is negative</w:t>
      </w:r>
      <w:r w:rsidR="00D6664C">
        <w:rPr>
          <w:lang w:val="en-US"/>
        </w:rPr>
        <w:t xml:space="preserve"> and significant on the 1% level, so I accept</w:t>
      </w:r>
      <w:r w:rsidR="0003240E">
        <w:rPr>
          <w:lang w:val="en-US"/>
        </w:rPr>
        <w:t xml:space="preserve"> hypothesis 3A.</w:t>
      </w:r>
    </w:p>
    <w:p w:rsidR="00787CA8" w:rsidRDefault="0003240E" w:rsidP="00B5235E">
      <w:pPr>
        <w:pStyle w:val="ListParagraph"/>
        <w:numPr>
          <w:ilvl w:val="0"/>
          <w:numId w:val="30"/>
        </w:numPr>
        <w:spacing w:before="200" w:line="360" w:lineRule="auto"/>
        <w:contextualSpacing w:val="0"/>
        <w:rPr>
          <w:i/>
          <w:lang w:val="en-US"/>
        </w:rPr>
      </w:pPr>
      <w:r w:rsidRPr="00625DA7">
        <w:rPr>
          <w:i/>
          <w:lang w:val="en-US"/>
        </w:rPr>
        <w:t>H3A: Underwriter reputation is negatively related to underpricing</w:t>
      </w:r>
    </w:p>
    <w:p w:rsidR="00787CA8" w:rsidRPr="000E2FD8" w:rsidRDefault="00D3707E" w:rsidP="00B5235E">
      <w:pPr>
        <w:spacing w:before="200" w:line="360" w:lineRule="auto"/>
        <w:rPr>
          <w:lang w:val="en-US"/>
        </w:rPr>
      </w:pPr>
      <w:r>
        <w:rPr>
          <w:lang w:val="en-US"/>
        </w:rPr>
        <w:t xml:space="preserve">This result </w:t>
      </w:r>
      <w:r w:rsidR="00A34189" w:rsidRPr="00D3707E">
        <w:rPr>
          <w:lang w:val="en-US"/>
        </w:rPr>
        <w:t xml:space="preserve">is in line with Carter and Manaster </w:t>
      </w:r>
      <w:r w:rsidRPr="00D3707E">
        <w:rPr>
          <w:lang w:val="en-US"/>
        </w:rPr>
        <w:t xml:space="preserve">(1990), who state that low risk firms signal their riskiness by selecting prestigious underwriters. </w:t>
      </w:r>
      <w:r w:rsidR="000E2FD8">
        <w:rPr>
          <w:lang w:val="en-US"/>
        </w:rPr>
        <w:t xml:space="preserve"> </w:t>
      </w:r>
      <w:r w:rsidR="00D80CF2">
        <w:rPr>
          <w:lang w:val="en-US"/>
        </w:rPr>
        <w:t xml:space="preserve">Benveniste and Spindt (1989) also argue that prestigious underwriters should underprice less, since they are better at extracting information from informed investors. </w:t>
      </w:r>
      <w:r w:rsidR="000F0F3F">
        <w:rPr>
          <w:lang w:val="en-US"/>
        </w:rPr>
        <w:t>The result</w:t>
      </w:r>
      <w:r w:rsidR="000E2FD8">
        <w:rPr>
          <w:lang w:val="en-US"/>
        </w:rPr>
        <w:t xml:space="preserve"> is also in line with the Meta anal</w:t>
      </w:r>
      <w:r w:rsidR="000F0F3F">
        <w:rPr>
          <w:lang w:val="en-US"/>
        </w:rPr>
        <w:t>ysis of</w:t>
      </w:r>
      <w:r w:rsidR="00B5235E">
        <w:rPr>
          <w:lang w:val="en-US"/>
        </w:rPr>
        <w:t xml:space="preserve"> Daily et al. (2003)</w:t>
      </w:r>
      <w:r w:rsidR="000E2FD8">
        <w:rPr>
          <w:lang w:val="en-US"/>
        </w:rPr>
        <w:t>, who also find a negative relation between underwriter reputation and underpricing.</w:t>
      </w:r>
      <w:r w:rsidR="00B5235E">
        <w:rPr>
          <w:lang w:val="en-US"/>
        </w:rPr>
        <w:t xml:space="preserve"> </w:t>
      </w:r>
      <w:proofErr w:type="gramStart"/>
      <w:r w:rsidR="00B5235E">
        <w:rPr>
          <w:lang w:val="en-US"/>
        </w:rPr>
        <w:t>Ljunqvist &amp; Wilhelm (2003) note that the choice of underwriter could be endogenous.</w:t>
      </w:r>
      <w:proofErr w:type="gramEnd"/>
      <w:r w:rsidR="00B5235E">
        <w:rPr>
          <w:lang w:val="en-US"/>
        </w:rPr>
        <w:t xml:space="preserve">  In order to test whether not accounting for endogeneity leads to biased results, the MRA model could be fitted with </w:t>
      </w:r>
      <w:proofErr w:type="gramStart"/>
      <w:r w:rsidR="00B5235E">
        <w:rPr>
          <w:lang w:val="en-US"/>
        </w:rPr>
        <w:t>a</w:t>
      </w:r>
      <w:proofErr w:type="gramEnd"/>
      <w:r w:rsidR="00B5235E">
        <w:rPr>
          <w:lang w:val="en-US"/>
        </w:rPr>
        <w:t xml:space="preserve"> ‘account for endogeneity dummy’. Unfortunately, of the 49 observations included in the MRA only 1 observation was obtained from a 2 stage least squares model that accounted for the endogeneity of underwriter choice. Therefore, the results could be prone to endogeneity problems in the original regression equations.</w:t>
      </w:r>
    </w:p>
    <w:p w:rsidR="00A8632D" w:rsidRDefault="00A8632D">
      <w:pPr>
        <w:rPr>
          <w:lang w:val="en-US"/>
        </w:rPr>
      </w:pPr>
      <w:r>
        <w:rPr>
          <w:lang w:val="en-US"/>
        </w:rPr>
        <w:br w:type="page"/>
      </w:r>
    </w:p>
    <w:p w:rsidR="00787CA8" w:rsidRDefault="008A057A" w:rsidP="00787CA8">
      <w:pPr>
        <w:spacing w:before="200" w:line="360" w:lineRule="auto"/>
        <w:rPr>
          <w:lang w:val="en-US"/>
        </w:rPr>
      </w:pPr>
      <w:r>
        <w:rPr>
          <w:lang w:val="en-US"/>
        </w:rPr>
        <w:lastRenderedPageBreak/>
        <w:t>Interestingly, the 90&amp;Internet du</w:t>
      </w:r>
      <w:r w:rsidR="0003240E">
        <w:rPr>
          <w:lang w:val="en-US"/>
        </w:rPr>
        <w:t>m</w:t>
      </w:r>
      <w:r w:rsidR="007F0D94">
        <w:rPr>
          <w:lang w:val="en-US"/>
        </w:rPr>
        <w:t>my is positive and significant</w:t>
      </w:r>
      <w:r w:rsidR="0003240E">
        <w:rPr>
          <w:lang w:val="en-US"/>
        </w:rPr>
        <w:t>.</w:t>
      </w:r>
      <w:r w:rsidR="007F0D94">
        <w:rPr>
          <w:lang w:val="en-US"/>
        </w:rPr>
        <w:t xml:space="preserve"> This can be seen as evidence for hypothesis 3B, however </w:t>
      </w:r>
      <w:r w:rsidR="00575454">
        <w:rPr>
          <w:lang w:val="en-US"/>
        </w:rPr>
        <w:t xml:space="preserve">it could also be the case that the negative relation between underwriter reputation and underpricing was also less strong, but still negative in the nineties. </w:t>
      </w:r>
      <w:r w:rsidR="00787CA8">
        <w:rPr>
          <w:lang w:val="en-US"/>
        </w:rPr>
        <w:t>So although the evidence corroborates hypothesis 3B, I cannot accept the hypothesis.</w:t>
      </w:r>
    </w:p>
    <w:p w:rsidR="00D6664C" w:rsidRPr="00787CA8" w:rsidRDefault="0003240E" w:rsidP="00787CA8">
      <w:pPr>
        <w:pStyle w:val="ListParagraph"/>
        <w:numPr>
          <w:ilvl w:val="0"/>
          <w:numId w:val="30"/>
        </w:numPr>
        <w:spacing w:before="200" w:line="360" w:lineRule="auto"/>
        <w:rPr>
          <w:i/>
          <w:lang w:val="en-US"/>
        </w:rPr>
      </w:pPr>
      <w:r w:rsidRPr="00787CA8">
        <w:rPr>
          <w:i/>
          <w:lang w:val="en-US"/>
        </w:rPr>
        <w:t>H3B: Underwriter reputation was positively related to underpricing during the 1990’s</w:t>
      </w:r>
    </w:p>
    <w:p w:rsidR="0003240E" w:rsidRDefault="008A057A" w:rsidP="00C835F2">
      <w:pPr>
        <w:spacing w:line="360" w:lineRule="auto"/>
        <w:rPr>
          <w:lang w:val="en-US"/>
        </w:rPr>
      </w:pPr>
      <w:r>
        <w:rPr>
          <w:lang w:val="en-US"/>
        </w:rPr>
        <w:t xml:space="preserve"> This result is in line with Loughran and Ritter (2004) who state that during nineties and Internet bubble prestigious underwriters tended to underprice more. </w:t>
      </w:r>
      <w:r w:rsidR="0046760F">
        <w:rPr>
          <w:lang w:val="en-US"/>
        </w:rPr>
        <w:t>Loughran and Ritter state that prestigious underwriters used spinning, directed s</w:t>
      </w:r>
      <w:r w:rsidR="00A8632D">
        <w:rPr>
          <w:lang w:val="en-US"/>
        </w:rPr>
        <w:t>hares programs and analyst lust</w:t>
      </w:r>
      <w:r w:rsidR="0046760F">
        <w:rPr>
          <w:lang w:val="en-US"/>
        </w:rPr>
        <w:t xml:space="preserve"> to allow higher levels of underpricing. Ljungqvist and Wilhelm (2003) dispute the analyst lust and spinning explanations and they state that a change in ownership structure can better explain the high levels of underpricing observed in the late nineties. Ljungqvist and Wilhelm criticize Loughran and Ritter by showing that by accounting for the endogenous choice of underwriter, underwriter reputation was not positively related to underpricing in the early nineties. </w:t>
      </w:r>
      <w:r>
        <w:rPr>
          <w:lang w:val="en-US"/>
        </w:rPr>
        <w:t xml:space="preserve">Unfortunately I was unable to separate the nineties and Internet bubble period, since most papers use data that include both periods in one test. </w:t>
      </w:r>
    </w:p>
    <w:p w:rsidR="00D6664C" w:rsidRDefault="00DD7B4F" w:rsidP="00BE45B7">
      <w:pPr>
        <w:spacing w:line="360" w:lineRule="auto"/>
        <w:rPr>
          <w:lang w:val="en-US"/>
        </w:rPr>
      </w:pPr>
      <w:r>
        <w:rPr>
          <w:lang w:val="en-US"/>
        </w:rPr>
        <w:t xml:space="preserve">The </w:t>
      </w:r>
      <w:r w:rsidR="001A61F9">
        <w:rPr>
          <w:lang w:val="en-US"/>
        </w:rPr>
        <w:t>‘</w:t>
      </w:r>
      <w:r>
        <w:rPr>
          <w:lang w:val="en-US"/>
        </w:rPr>
        <w:t>excludes small firms</w:t>
      </w:r>
      <w:r w:rsidR="001A61F9">
        <w:rPr>
          <w:lang w:val="en-US"/>
        </w:rPr>
        <w:t>’</w:t>
      </w:r>
      <w:r>
        <w:rPr>
          <w:lang w:val="en-US"/>
        </w:rPr>
        <w:t xml:space="preserve"> coefficient is positive and significant. This result indicates that the exclusion of small firms leads to a weaker negative relation between underwriter rank and underpricing. So the negative relation between underwriter reputation and underpricing is strong</w:t>
      </w:r>
      <w:r w:rsidR="001A61F9">
        <w:rPr>
          <w:lang w:val="en-US"/>
        </w:rPr>
        <w:t>er for small firms. This result</w:t>
      </w:r>
      <w:r>
        <w:rPr>
          <w:lang w:val="en-US"/>
        </w:rPr>
        <w:t xml:space="preserve"> is in line with Carter and Manaster’s reasoning. </w:t>
      </w:r>
      <w:proofErr w:type="gramStart"/>
      <w:r>
        <w:rPr>
          <w:lang w:val="en-US"/>
        </w:rPr>
        <w:t>Carter and Manaster (1990) note that risky firms use prestigious underwriters to signal firm quality.</w:t>
      </w:r>
      <w:proofErr w:type="gramEnd"/>
      <w:r>
        <w:rPr>
          <w:lang w:val="en-US"/>
        </w:rPr>
        <w:t xml:space="preserve"> Since small firms are associated with more risk, the relation between underwriter reputation and underpricing should be stronger</w:t>
      </w:r>
      <w:r w:rsidR="001A61F9">
        <w:rPr>
          <w:rStyle w:val="FootnoteReference"/>
          <w:lang w:val="en-US"/>
        </w:rPr>
        <w:footnoteReference w:id="41"/>
      </w:r>
      <w:r>
        <w:rPr>
          <w:lang w:val="en-US"/>
        </w:rPr>
        <w:t>.</w:t>
      </w:r>
    </w:p>
    <w:p w:rsidR="00A8632D" w:rsidRDefault="00DD7B4F" w:rsidP="00495A41">
      <w:pPr>
        <w:spacing w:line="360" w:lineRule="auto"/>
        <w:rPr>
          <w:lang w:val="en-US"/>
        </w:rPr>
      </w:pPr>
      <w:r w:rsidRPr="000D69A9">
        <w:rPr>
          <w:lang w:val="en-US"/>
        </w:rPr>
        <w:t xml:space="preserve">The </w:t>
      </w:r>
      <w:r w:rsidR="00575454">
        <w:rPr>
          <w:lang w:val="en-US"/>
        </w:rPr>
        <w:t>‘</w:t>
      </w:r>
      <w:r w:rsidRPr="000D69A9">
        <w:rPr>
          <w:lang w:val="en-US"/>
        </w:rPr>
        <w:t>excludes age dummy</w:t>
      </w:r>
      <w:r w:rsidR="00575454">
        <w:rPr>
          <w:lang w:val="en-US"/>
        </w:rPr>
        <w:t>’</w:t>
      </w:r>
      <w:r w:rsidRPr="000D69A9">
        <w:rPr>
          <w:lang w:val="en-US"/>
        </w:rPr>
        <w:t xml:space="preserve"> is positive and significant. This result indicates that if the original regression</w:t>
      </w:r>
      <w:r w:rsidR="00787CA8">
        <w:rPr>
          <w:lang w:val="en-US"/>
        </w:rPr>
        <w:t xml:space="preserve"> on underpricing</w:t>
      </w:r>
      <w:r w:rsidRPr="000D69A9">
        <w:rPr>
          <w:lang w:val="en-US"/>
        </w:rPr>
        <w:t xml:space="preserve"> did not include the age variable, the result of the underwriter reputation coefficient is biased upwards. </w:t>
      </w:r>
      <w:r w:rsidR="000D69A9" w:rsidRPr="000D69A9">
        <w:rPr>
          <w:lang w:val="en-US"/>
        </w:rPr>
        <w:t>Since older firms are more likely to choo</w:t>
      </w:r>
      <w:r w:rsidR="00575454">
        <w:rPr>
          <w:lang w:val="en-US"/>
        </w:rPr>
        <w:t xml:space="preserve">se prestigious underwriters, </w:t>
      </w:r>
      <w:r w:rsidR="000D69A9" w:rsidRPr="000D69A9">
        <w:rPr>
          <w:lang w:val="en-US"/>
        </w:rPr>
        <w:t>underwriter rank could be highly correlated with firm age in the original dataset. This could lead to multicolinarity problems and hence</w:t>
      </w:r>
      <w:r w:rsidR="00A8632D">
        <w:rPr>
          <w:lang w:val="en-US"/>
        </w:rPr>
        <w:t xml:space="preserve"> downward</w:t>
      </w:r>
      <w:r w:rsidR="000D69A9" w:rsidRPr="000D69A9">
        <w:rPr>
          <w:lang w:val="en-US"/>
        </w:rPr>
        <w:t xml:space="preserve"> biased estimates of the coefficients. </w:t>
      </w:r>
    </w:p>
    <w:p w:rsidR="000D69A9" w:rsidRPr="00495A41" w:rsidRDefault="00A8632D" w:rsidP="00495A41">
      <w:pPr>
        <w:spacing w:line="360" w:lineRule="auto"/>
        <w:rPr>
          <w:lang w:val="en-US"/>
        </w:rPr>
      </w:pPr>
      <w:r>
        <w:rPr>
          <w:lang w:val="en-US"/>
        </w:rPr>
        <w:t>The more than 1 week an</w:t>
      </w:r>
      <w:r w:rsidR="000F0F3F">
        <w:rPr>
          <w:lang w:val="en-US"/>
        </w:rPr>
        <w:t>d the exclude best efforts dummies</w:t>
      </w:r>
      <w:r>
        <w:rPr>
          <w:lang w:val="en-US"/>
        </w:rPr>
        <w:t xml:space="preserve"> are not significant.</w:t>
      </w:r>
      <w:r w:rsidR="000D69A9">
        <w:rPr>
          <w:i/>
          <w:lang w:val="en-US"/>
        </w:rPr>
        <w:br w:type="page"/>
      </w:r>
    </w:p>
    <w:p w:rsidR="00E62D17" w:rsidRPr="00BE45B7" w:rsidRDefault="00671123" w:rsidP="00BE45B7">
      <w:pPr>
        <w:spacing w:line="360" w:lineRule="auto"/>
        <w:rPr>
          <w:lang w:val="en-US"/>
        </w:rPr>
      </w:pPr>
      <w:r w:rsidRPr="007405E8">
        <w:rPr>
          <w:i/>
          <w:lang w:val="en-US"/>
        </w:rPr>
        <w:lastRenderedPageBreak/>
        <w:t>Publication Bias</w:t>
      </w:r>
    </w:p>
    <w:p w:rsidR="00A178B6" w:rsidRDefault="008A057A" w:rsidP="004A2D37">
      <w:pPr>
        <w:spacing w:line="360" w:lineRule="auto"/>
        <w:rPr>
          <w:lang w:val="en-US"/>
        </w:rPr>
      </w:pPr>
      <w:bookmarkStart w:id="30" w:name="OLE_LINK5"/>
      <w:bookmarkStart w:id="31" w:name="OLE_LINK6"/>
      <w:r w:rsidRPr="008A057A">
        <w:rPr>
          <w:lang w:val="en-US"/>
        </w:rPr>
        <w:t>Table 1</w:t>
      </w:r>
      <w:r w:rsidR="007F0D94">
        <w:rPr>
          <w:lang w:val="en-US"/>
        </w:rPr>
        <w:t>5</w:t>
      </w:r>
      <w:r w:rsidR="00575454">
        <w:rPr>
          <w:lang w:val="en-US"/>
        </w:rPr>
        <w:t xml:space="preserve"> shows the results of</w:t>
      </w:r>
      <w:r w:rsidRPr="008A057A">
        <w:rPr>
          <w:lang w:val="en-US"/>
        </w:rPr>
        <w:t xml:space="preserve"> the publication bias test described in equation 1</w:t>
      </w:r>
      <w:r w:rsidR="007E5C57">
        <w:rPr>
          <w:lang w:val="en-US"/>
        </w:rPr>
        <w:t>3</w:t>
      </w:r>
      <w:r w:rsidRPr="008A057A">
        <w:rPr>
          <w:lang w:val="en-US"/>
        </w:rPr>
        <w:t>.</w:t>
      </w:r>
    </w:p>
    <w:tbl>
      <w:tblPr>
        <w:tblW w:w="5256" w:type="dxa"/>
        <w:jc w:val="center"/>
        <w:tblCellMar>
          <w:left w:w="70" w:type="dxa"/>
          <w:right w:w="70" w:type="dxa"/>
        </w:tblCellMar>
        <w:tblLook w:val="04A0"/>
      </w:tblPr>
      <w:tblGrid>
        <w:gridCol w:w="1348"/>
        <w:gridCol w:w="1644"/>
        <w:gridCol w:w="1151"/>
        <w:gridCol w:w="1113"/>
      </w:tblGrid>
      <w:tr w:rsidR="00A178B6" w:rsidRPr="009D4228" w:rsidTr="00F01E80">
        <w:trPr>
          <w:trHeight w:val="300"/>
          <w:jc w:val="center"/>
        </w:trPr>
        <w:tc>
          <w:tcPr>
            <w:tcW w:w="5256" w:type="dxa"/>
            <w:gridSpan w:val="4"/>
            <w:tcBorders>
              <w:left w:val="nil"/>
              <w:bottom w:val="nil"/>
              <w:right w:val="nil"/>
            </w:tcBorders>
            <w:shd w:val="clear" w:color="000000" w:fill="FFFFFF"/>
            <w:noWrap/>
            <w:vAlign w:val="bottom"/>
            <w:hideMark/>
          </w:tcPr>
          <w:p w:rsidR="00A178B6" w:rsidRDefault="00A178B6" w:rsidP="00F01E80">
            <w:pPr>
              <w:spacing w:after="0" w:line="240" w:lineRule="auto"/>
              <w:jc w:val="center"/>
              <w:rPr>
                <w:rFonts w:ascii="Calibri" w:eastAsia="Times New Roman" w:hAnsi="Calibri" w:cs="Calibri"/>
                <w:b/>
                <w:bCs/>
                <w:color w:val="000000"/>
                <w:lang w:val="en-US" w:eastAsia="nl-NL"/>
              </w:rPr>
            </w:pPr>
            <w:r>
              <w:rPr>
                <w:rFonts w:ascii="Calibri" w:eastAsia="Times New Roman" w:hAnsi="Calibri" w:cs="Calibri"/>
                <w:b/>
                <w:bCs/>
                <w:color w:val="000000"/>
                <w:lang w:val="en-US" w:eastAsia="nl-NL"/>
              </w:rPr>
              <w:t xml:space="preserve">Table 15: </w:t>
            </w:r>
            <w:r w:rsidRPr="00D6664C">
              <w:rPr>
                <w:rFonts w:ascii="Calibri" w:eastAsia="Times New Roman" w:hAnsi="Calibri" w:cs="Calibri"/>
                <w:b/>
                <w:bCs/>
                <w:color w:val="000000"/>
                <w:lang w:val="en-US" w:eastAsia="nl-NL"/>
              </w:rPr>
              <w:t xml:space="preserve">Publication bias test: </w:t>
            </w:r>
          </w:p>
          <w:p w:rsidR="00A178B6" w:rsidRPr="00D6664C" w:rsidRDefault="00A178B6" w:rsidP="00F01E80">
            <w:pPr>
              <w:spacing w:after="0" w:line="240" w:lineRule="auto"/>
              <w:jc w:val="center"/>
              <w:rPr>
                <w:rFonts w:ascii="Calibri" w:eastAsia="Times New Roman" w:hAnsi="Calibri" w:cs="Calibri"/>
                <w:b/>
                <w:bCs/>
                <w:color w:val="000000"/>
                <w:lang w:val="en-US" w:eastAsia="nl-NL"/>
              </w:rPr>
            </w:pPr>
            <w:r w:rsidRPr="00D6664C">
              <w:rPr>
                <w:rFonts w:ascii="Calibri" w:eastAsia="Times New Roman" w:hAnsi="Calibri" w:cs="Calibri"/>
                <w:b/>
                <w:bCs/>
                <w:color w:val="000000"/>
                <w:lang w:val="en-US" w:eastAsia="nl-NL"/>
              </w:rPr>
              <w:t>The underwriter rank coefficient</w:t>
            </w:r>
          </w:p>
        </w:tc>
      </w:tr>
      <w:tr w:rsidR="00A178B6" w:rsidRPr="009D4228" w:rsidTr="00F01E80">
        <w:trPr>
          <w:trHeight w:val="315"/>
          <w:jc w:val="center"/>
        </w:trPr>
        <w:tc>
          <w:tcPr>
            <w:tcW w:w="5256" w:type="dxa"/>
            <w:gridSpan w:val="4"/>
            <w:tcBorders>
              <w:top w:val="nil"/>
              <w:left w:val="nil"/>
              <w:bottom w:val="single" w:sz="4" w:space="0" w:color="auto"/>
              <w:right w:val="nil"/>
            </w:tcBorders>
            <w:shd w:val="clear" w:color="000000" w:fill="FFFFFF"/>
            <w:noWrap/>
            <w:vAlign w:val="bottom"/>
            <w:hideMark/>
          </w:tcPr>
          <w:p w:rsidR="00A178B6" w:rsidRPr="00D6664C" w:rsidRDefault="00A178B6" w:rsidP="00F01E80">
            <w:pPr>
              <w:spacing w:after="0" w:line="240" w:lineRule="auto"/>
              <w:jc w:val="center"/>
              <w:rPr>
                <w:rFonts w:ascii="Calibri" w:eastAsia="Times New Roman" w:hAnsi="Calibri" w:cs="Calibri"/>
                <w:b/>
                <w:bCs/>
                <w:color w:val="000000"/>
                <w:lang w:val="en-US" w:eastAsia="nl-NL"/>
              </w:rPr>
            </w:pPr>
            <w:r w:rsidRPr="00D6664C">
              <w:rPr>
                <w:rFonts w:ascii="Calibri" w:eastAsia="Times New Roman" w:hAnsi="Calibri" w:cs="Calibri"/>
                <w:b/>
                <w:bCs/>
                <w:color w:val="000000"/>
                <w:lang w:val="en-US" w:eastAsia="nl-NL"/>
              </w:rPr>
              <w:t>Sample size: 48, Adjusted R square: 0.11</w:t>
            </w:r>
          </w:p>
        </w:tc>
      </w:tr>
      <w:tr w:rsidR="00A178B6" w:rsidRPr="00D6664C" w:rsidTr="00F01E80">
        <w:trPr>
          <w:trHeight w:val="330"/>
          <w:jc w:val="center"/>
        </w:trPr>
        <w:tc>
          <w:tcPr>
            <w:tcW w:w="1348" w:type="dxa"/>
            <w:tcBorders>
              <w:top w:val="nil"/>
              <w:left w:val="nil"/>
              <w:bottom w:val="double" w:sz="6" w:space="0" w:color="auto"/>
              <w:right w:val="nil"/>
            </w:tcBorders>
            <w:shd w:val="clear" w:color="000000" w:fill="FFFFFF"/>
            <w:noWrap/>
            <w:vAlign w:val="bottom"/>
            <w:hideMark/>
          </w:tcPr>
          <w:p w:rsidR="00A178B6" w:rsidRPr="00D6664C" w:rsidRDefault="00A178B6" w:rsidP="00F01E80">
            <w:pPr>
              <w:spacing w:after="0" w:line="240" w:lineRule="auto"/>
              <w:rPr>
                <w:rFonts w:ascii="Calibri" w:eastAsia="Times New Roman" w:hAnsi="Calibri" w:cs="Calibri"/>
                <w:b/>
                <w:bCs/>
                <w:color w:val="000000"/>
                <w:lang w:val="en-US" w:eastAsia="nl-NL"/>
              </w:rPr>
            </w:pPr>
            <w:r w:rsidRPr="00D6664C">
              <w:rPr>
                <w:rFonts w:ascii="Calibri" w:eastAsia="Times New Roman" w:hAnsi="Calibri" w:cs="Calibri"/>
                <w:b/>
                <w:bCs/>
                <w:color w:val="000000"/>
                <w:lang w:val="en-US" w:eastAsia="nl-NL"/>
              </w:rPr>
              <w:t> </w:t>
            </w:r>
          </w:p>
        </w:tc>
        <w:tc>
          <w:tcPr>
            <w:tcW w:w="1644" w:type="dxa"/>
            <w:tcBorders>
              <w:top w:val="nil"/>
              <w:left w:val="nil"/>
              <w:bottom w:val="double" w:sz="6" w:space="0" w:color="auto"/>
              <w:right w:val="nil"/>
            </w:tcBorders>
            <w:shd w:val="clear" w:color="000000" w:fill="FFFFFF"/>
            <w:noWrap/>
            <w:vAlign w:val="bottom"/>
            <w:hideMark/>
          </w:tcPr>
          <w:p w:rsidR="00A178B6" w:rsidRPr="00D6664C" w:rsidRDefault="00A178B6" w:rsidP="00F01E80">
            <w:pPr>
              <w:spacing w:after="0" w:line="240" w:lineRule="auto"/>
              <w:rPr>
                <w:rFonts w:ascii="Calibri" w:eastAsia="Times New Roman" w:hAnsi="Calibri" w:cs="Calibri"/>
                <w:b/>
                <w:bCs/>
                <w:color w:val="000000"/>
                <w:lang w:eastAsia="nl-NL"/>
              </w:rPr>
            </w:pPr>
            <w:r w:rsidRPr="00D6664C">
              <w:rPr>
                <w:rFonts w:ascii="Calibri" w:eastAsia="Times New Roman" w:hAnsi="Calibri" w:cs="Calibri"/>
                <w:b/>
                <w:bCs/>
                <w:color w:val="000000"/>
                <w:lang w:eastAsia="nl-NL"/>
              </w:rPr>
              <w:t>Intercept</w:t>
            </w:r>
          </w:p>
        </w:tc>
        <w:tc>
          <w:tcPr>
            <w:tcW w:w="1151" w:type="dxa"/>
            <w:tcBorders>
              <w:top w:val="nil"/>
              <w:left w:val="nil"/>
              <w:bottom w:val="double" w:sz="6" w:space="0" w:color="auto"/>
              <w:right w:val="nil"/>
            </w:tcBorders>
            <w:shd w:val="clear" w:color="000000" w:fill="FFFFFF"/>
            <w:noWrap/>
            <w:vAlign w:val="bottom"/>
            <w:hideMark/>
          </w:tcPr>
          <w:p w:rsidR="00A178B6" w:rsidRPr="00D6664C" w:rsidRDefault="00A178B6" w:rsidP="00F01E80">
            <w:pPr>
              <w:spacing w:after="0"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LN</w:t>
            </w:r>
            <w:r w:rsidRPr="00D6664C">
              <w:rPr>
                <w:rFonts w:ascii="Calibri" w:eastAsia="Times New Roman" w:hAnsi="Calibri" w:cs="Calibri"/>
                <w:b/>
                <w:bCs/>
                <w:color w:val="000000"/>
                <w:lang w:eastAsia="nl-NL"/>
              </w:rPr>
              <w:t>(DF)</w:t>
            </w:r>
          </w:p>
        </w:tc>
        <w:tc>
          <w:tcPr>
            <w:tcW w:w="1113" w:type="dxa"/>
            <w:tcBorders>
              <w:top w:val="nil"/>
              <w:left w:val="nil"/>
              <w:bottom w:val="double" w:sz="6" w:space="0" w:color="auto"/>
              <w:right w:val="nil"/>
            </w:tcBorders>
            <w:shd w:val="clear" w:color="000000" w:fill="FFFFFF"/>
            <w:noWrap/>
            <w:vAlign w:val="bottom"/>
            <w:hideMark/>
          </w:tcPr>
          <w:p w:rsidR="00A178B6" w:rsidRPr="00D6664C" w:rsidRDefault="00A178B6" w:rsidP="00F01E80">
            <w:pPr>
              <w:spacing w:after="0" w:line="240" w:lineRule="auto"/>
              <w:rPr>
                <w:rFonts w:ascii="Calibri" w:eastAsia="Times New Roman" w:hAnsi="Calibri" w:cs="Calibri"/>
                <w:b/>
                <w:bCs/>
                <w:color w:val="000000"/>
                <w:lang w:eastAsia="nl-NL"/>
              </w:rPr>
            </w:pPr>
            <w:r w:rsidRPr="00D6664C">
              <w:rPr>
                <w:rFonts w:ascii="Calibri" w:eastAsia="Times New Roman" w:hAnsi="Calibri" w:cs="Calibri"/>
                <w:b/>
                <w:bCs/>
                <w:color w:val="000000"/>
                <w:lang w:eastAsia="nl-NL"/>
              </w:rPr>
              <w:t>STAR</w:t>
            </w:r>
          </w:p>
        </w:tc>
      </w:tr>
      <w:tr w:rsidR="00A178B6" w:rsidRPr="00D6664C" w:rsidTr="00F01E80">
        <w:trPr>
          <w:trHeight w:val="315"/>
          <w:jc w:val="center"/>
        </w:trPr>
        <w:tc>
          <w:tcPr>
            <w:tcW w:w="1348"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rPr>
                <w:rFonts w:ascii="Calibri" w:eastAsia="Times New Roman" w:hAnsi="Calibri" w:cs="Calibri"/>
                <w:b/>
                <w:bCs/>
                <w:color w:val="000000"/>
                <w:lang w:eastAsia="nl-NL"/>
              </w:rPr>
            </w:pPr>
            <w:r w:rsidRPr="00D6664C">
              <w:rPr>
                <w:rFonts w:ascii="Calibri" w:eastAsia="Times New Roman" w:hAnsi="Calibri" w:cs="Calibri"/>
                <w:b/>
                <w:bCs/>
                <w:color w:val="000000"/>
                <w:lang w:eastAsia="nl-NL"/>
              </w:rPr>
              <w:t>Size</w:t>
            </w:r>
          </w:p>
        </w:tc>
        <w:tc>
          <w:tcPr>
            <w:tcW w:w="1644"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-0,066</w:t>
            </w:r>
          </w:p>
        </w:tc>
        <w:tc>
          <w:tcPr>
            <w:tcW w:w="1151"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0,163</w:t>
            </w:r>
          </w:p>
        </w:tc>
        <w:tc>
          <w:tcPr>
            <w:tcW w:w="1113"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-0,542</w:t>
            </w:r>
          </w:p>
        </w:tc>
      </w:tr>
      <w:tr w:rsidR="00A178B6" w:rsidRPr="00D6664C" w:rsidTr="00F01E80">
        <w:trPr>
          <w:trHeight w:val="300"/>
          <w:jc w:val="center"/>
        </w:trPr>
        <w:tc>
          <w:tcPr>
            <w:tcW w:w="1348"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rPr>
                <w:rFonts w:ascii="Calibri" w:eastAsia="Times New Roman" w:hAnsi="Calibri" w:cs="Calibri"/>
                <w:b/>
                <w:bCs/>
                <w:color w:val="000000"/>
                <w:lang w:eastAsia="nl-NL"/>
              </w:rPr>
            </w:pPr>
            <w:r w:rsidRPr="00D6664C">
              <w:rPr>
                <w:rFonts w:ascii="Calibri" w:eastAsia="Times New Roman" w:hAnsi="Calibri" w:cs="Calibri"/>
                <w:b/>
                <w:bCs/>
                <w:color w:val="000000"/>
                <w:lang w:eastAsia="nl-NL"/>
              </w:rPr>
              <w:t>Stdev</w:t>
            </w:r>
          </w:p>
        </w:tc>
        <w:tc>
          <w:tcPr>
            <w:tcW w:w="1644"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0,777</w:t>
            </w:r>
          </w:p>
        </w:tc>
        <w:tc>
          <w:tcPr>
            <w:tcW w:w="1151"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0,101</w:t>
            </w:r>
          </w:p>
        </w:tc>
        <w:tc>
          <w:tcPr>
            <w:tcW w:w="1113"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0,249</w:t>
            </w:r>
          </w:p>
        </w:tc>
      </w:tr>
      <w:tr w:rsidR="00A178B6" w:rsidRPr="00D6664C" w:rsidTr="00F01E80">
        <w:trPr>
          <w:trHeight w:val="300"/>
          <w:jc w:val="center"/>
        </w:trPr>
        <w:tc>
          <w:tcPr>
            <w:tcW w:w="1348"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rPr>
                <w:rFonts w:ascii="Calibri" w:eastAsia="Times New Roman" w:hAnsi="Calibri" w:cs="Calibri"/>
                <w:b/>
                <w:bCs/>
                <w:color w:val="000000"/>
                <w:lang w:eastAsia="nl-NL"/>
              </w:rPr>
            </w:pPr>
            <w:r w:rsidRPr="00D6664C">
              <w:rPr>
                <w:rFonts w:ascii="Calibri" w:eastAsia="Times New Roman" w:hAnsi="Calibri" w:cs="Calibri"/>
                <w:b/>
                <w:bCs/>
                <w:color w:val="000000"/>
                <w:lang w:eastAsia="nl-NL"/>
              </w:rPr>
              <w:t>T value</w:t>
            </w:r>
          </w:p>
        </w:tc>
        <w:tc>
          <w:tcPr>
            <w:tcW w:w="1644"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-0,085</w:t>
            </w:r>
          </w:p>
        </w:tc>
        <w:tc>
          <w:tcPr>
            <w:tcW w:w="1151"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1,609</w:t>
            </w:r>
          </w:p>
        </w:tc>
        <w:tc>
          <w:tcPr>
            <w:tcW w:w="1113" w:type="dxa"/>
            <w:tcBorders>
              <w:top w:val="nil"/>
              <w:left w:val="nil"/>
              <w:bottom w:val="nil"/>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-2,175</w:t>
            </w:r>
          </w:p>
        </w:tc>
      </w:tr>
      <w:tr w:rsidR="00A178B6" w:rsidRPr="00D6664C" w:rsidTr="00F01E80">
        <w:trPr>
          <w:trHeight w:val="300"/>
          <w:jc w:val="center"/>
        </w:trPr>
        <w:tc>
          <w:tcPr>
            <w:tcW w:w="1348" w:type="dxa"/>
            <w:tcBorders>
              <w:top w:val="nil"/>
              <w:left w:val="nil"/>
              <w:bottom w:val="single" w:sz="4" w:space="0" w:color="auto"/>
              <w:right w:val="nil"/>
            </w:tcBorders>
            <w:shd w:val="clear" w:color="000000" w:fill="FFFFFF"/>
            <w:noWrap/>
            <w:vAlign w:val="bottom"/>
            <w:hideMark/>
          </w:tcPr>
          <w:p w:rsidR="00A178B6" w:rsidRPr="00D6664C" w:rsidRDefault="00A178B6" w:rsidP="00F01E80">
            <w:pPr>
              <w:spacing w:after="0" w:line="240" w:lineRule="auto"/>
              <w:rPr>
                <w:rFonts w:ascii="Calibri" w:eastAsia="Times New Roman" w:hAnsi="Calibri" w:cs="Calibri"/>
                <w:b/>
                <w:bCs/>
                <w:color w:val="000000"/>
                <w:lang w:eastAsia="nl-NL"/>
              </w:rPr>
            </w:pPr>
            <w:r w:rsidRPr="00D6664C">
              <w:rPr>
                <w:rFonts w:ascii="Calibri" w:eastAsia="Times New Roman" w:hAnsi="Calibri" w:cs="Calibri"/>
                <w:b/>
                <w:bCs/>
                <w:color w:val="000000"/>
                <w:lang w:eastAsia="nl-NL"/>
              </w:rPr>
              <w:t>P Value</w:t>
            </w:r>
          </w:p>
        </w:tc>
        <w:tc>
          <w:tcPr>
            <w:tcW w:w="1644" w:type="dxa"/>
            <w:tcBorders>
              <w:top w:val="nil"/>
              <w:left w:val="nil"/>
              <w:bottom w:val="single" w:sz="4" w:space="0" w:color="auto"/>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0,933</w:t>
            </w:r>
          </w:p>
        </w:tc>
        <w:tc>
          <w:tcPr>
            <w:tcW w:w="1151" w:type="dxa"/>
            <w:tcBorders>
              <w:top w:val="nil"/>
              <w:left w:val="nil"/>
              <w:bottom w:val="single" w:sz="4" w:space="0" w:color="auto"/>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0,115</w:t>
            </w:r>
          </w:p>
        </w:tc>
        <w:tc>
          <w:tcPr>
            <w:tcW w:w="1113" w:type="dxa"/>
            <w:tcBorders>
              <w:top w:val="nil"/>
              <w:left w:val="nil"/>
              <w:bottom w:val="single" w:sz="4" w:space="0" w:color="auto"/>
              <w:right w:val="nil"/>
            </w:tcBorders>
            <w:shd w:val="clear" w:color="000000" w:fill="FFFFFF"/>
            <w:noWrap/>
            <w:vAlign w:val="bottom"/>
            <w:hideMark/>
          </w:tcPr>
          <w:p w:rsidR="00A178B6" w:rsidRPr="00D6664C" w:rsidRDefault="00A178B6" w:rsidP="00F01E80">
            <w:pPr>
              <w:spacing w:after="0" w:line="240" w:lineRule="auto"/>
              <w:jc w:val="right"/>
              <w:rPr>
                <w:rFonts w:ascii="Calibri" w:eastAsia="Times New Roman" w:hAnsi="Calibri" w:cs="Calibri"/>
                <w:color w:val="000000"/>
                <w:lang w:eastAsia="nl-NL"/>
              </w:rPr>
            </w:pPr>
            <w:r w:rsidRPr="00D6664C">
              <w:rPr>
                <w:rFonts w:ascii="Calibri" w:eastAsia="Times New Roman" w:hAnsi="Calibri" w:cs="Calibri"/>
                <w:color w:val="000000"/>
                <w:lang w:eastAsia="nl-NL"/>
              </w:rPr>
              <w:t>0,035</w:t>
            </w:r>
          </w:p>
        </w:tc>
      </w:tr>
    </w:tbl>
    <w:p w:rsidR="00A178B6" w:rsidRPr="00A178B6" w:rsidRDefault="00A178B6" w:rsidP="00A178B6">
      <w:pPr>
        <w:jc w:val="both"/>
        <w:rPr>
          <w:sz w:val="18"/>
          <w:szCs w:val="18"/>
          <w:lang w:val="en-US"/>
        </w:rPr>
      </w:pPr>
      <w:r w:rsidRPr="00E52B7D">
        <w:rPr>
          <w:sz w:val="18"/>
          <w:szCs w:val="18"/>
          <w:lang w:val="en-US"/>
        </w:rPr>
        <w:t>Table 1</w:t>
      </w:r>
      <w:r>
        <w:rPr>
          <w:sz w:val="18"/>
          <w:szCs w:val="18"/>
          <w:lang w:val="en-US"/>
        </w:rPr>
        <w:t>5</w:t>
      </w:r>
      <w:r w:rsidRPr="00E52B7D">
        <w:rPr>
          <w:sz w:val="18"/>
          <w:szCs w:val="18"/>
          <w:lang w:val="en-US"/>
        </w:rPr>
        <w:t xml:space="preserve"> shows the results of equation 13. The dependent variable is the natural logarithm of the abso</w:t>
      </w:r>
      <w:r>
        <w:rPr>
          <w:sz w:val="18"/>
          <w:szCs w:val="18"/>
          <w:lang w:val="en-US"/>
        </w:rPr>
        <w:t xml:space="preserve">lute value of the t-statistic. </w:t>
      </w:r>
      <w:r w:rsidRPr="00E52B7D">
        <w:rPr>
          <w:sz w:val="18"/>
          <w:szCs w:val="18"/>
          <w:lang w:val="en-US"/>
        </w:rPr>
        <w:t xml:space="preserve">The t-statistics belong to the C&amp;M rank coefficients obtained from the original regressions. The independent variables are stated in the top row. </w:t>
      </w:r>
      <w:proofErr w:type="gramStart"/>
      <w:r>
        <w:rPr>
          <w:sz w:val="18"/>
          <w:szCs w:val="18"/>
          <w:lang w:val="en-US"/>
        </w:rPr>
        <w:t>LN</w:t>
      </w:r>
      <w:r w:rsidRPr="00E52B7D">
        <w:rPr>
          <w:sz w:val="18"/>
          <w:szCs w:val="18"/>
          <w:lang w:val="en-US"/>
        </w:rPr>
        <w:t>(</w:t>
      </w:r>
      <w:proofErr w:type="gramEnd"/>
      <w:r w:rsidRPr="00E52B7D">
        <w:rPr>
          <w:sz w:val="18"/>
          <w:szCs w:val="18"/>
          <w:lang w:val="en-US"/>
        </w:rPr>
        <w:t>DF) is the natural logarithm of the degrees of freedom in the original regression. The Sta</w:t>
      </w:r>
      <w:r>
        <w:rPr>
          <w:sz w:val="18"/>
          <w:szCs w:val="18"/>
          <w:lang w:val="en-US"/>
        </w:rPr>
        <w:t>r dummy takes the value of one i</w:t>
      </w:r>
      <w:r w:rsidRPr="00E52B7D">
        <w:rPr>
          <w:sz w:val="18"/>
          <w:szCs w:val="18"/>
          <w:lang w:val="en-US"/>
        </w:rPr>
        <w:t>f the t-statistic was obtained from an article that was published in a top ranked journal. None of the findings are statistically significant.</w:t>
      </w:r>
      <w:r w:rsidRPr="00E52B7D">
        <w:rPr>
          <w:sz w:val="18"/>
          <w:szCs w:val="18"/>
          <w:vertAlign w:val="superscript"/>
          <w:lang w:val="en-US"/>
        </w:rPr>
        <w:footnoteReference w:id="42"/>
      </w:r>
    </w:p>
    <w:p w:rsidR="00A178B6" w:rsidRDefault="008A057A" w:rsidP="004A2D37">
      <w:pPr>
        <w:spacing w:line="360" w:lineRule="auto"/>
        <w:rPr>
          <w:lang w:val="en-US"/>
        </w:rPr>
      </w:pPr>
      <w:r w:rsidRPr="008A057A">
        <w:rPr>
          <w:lang w:val="en-US"/>
        </w:rPr>
        <w:t xml:space="preserve"> In the absence of publication bias the natural logarithm of the degrees of freedom should be positively related to the natural logarithm of the t value (see section 4.3). Table 1</w:t>
      </w:r>
      <w:r w:rsidR="007F0D94">
        <w:rPr>
          <w:lang w:val="en-US"/>
        </w:rPr>
        <w:t>5</w:t>
      </w:r>
      <w:r w:rsidRPr="008A057A">
        <w:rPr>
          <w:lang w:val="en-US"/>
        </w:rPr>
        <w:t xml:space="preserve"> shows that the relation between </w:t>
      </w:r>
      <w:proofErr w:type="gramStart"/>
      <w:r w:rsidR="00043ED2">
        <w:rPr>
          <w:lang w:val="en-US"/>
        </w:rPr>
        <w:t>LN</w:t>
      </w:r>
      <w:r w:rsidRPr="008A057A">
        <w:rPr>
          <w:lang w:val="en-US"/>
        </w:rPr>
        <w:t>(</w:t>
      </w:r>
      <w:proofErr w:type="gramEnd"/>
      <w:r w:rsidRPr="008A057A">
        <w:rPr>
          <w:lang w:val="en-US"/>
        </w:rPr>
        <w:t xml:space="preserve">DF) and </w:t>
      </w:r>
      <w:r w:rsidR="00043ED2">
        <w:rPr>
          <w:lang w:val="en-US"/>
        </w:rPr>
        <w:t>LN</w:t>
      </w:r>
      <w:r w:rsidRPr="008A057A">
        <w:rPr>
          <w:lang w:val="en-US"/>
        </w:rPr>
        <w:t>(absT) is positive but not significant</w:t>
      </w:r>
      <w:r w:rsidR="00D6664C">
        <w:rPr>
          <w:lang w:val="en-US"/>
        </w:rPr>
        <w:t xml:space="preserve"> on the conventional levels</w:t>
      </w:r>
      <w:r w:rsidRPr="008A057A">
        <w:rPr>
          <w:lang w:val="en-US"/>
        </w:rPr>
        <w:t xml:space="preserve">. Therefore we </w:t>
      </w:r>
      <w:r w:rsidR="00A178B6">
        <w:rPr>
          <w:lang w:val="en-US"/>
        </w:rPr>
        <w:t>cannot accept the</w:t>
      </w:r>
      <w:r w:rsidRPr="008A057A">
        <w:rPr>
          <w:lang w:val="en-US"/>
        </w:rPr>
        <w:t xml:space="preserve"> hypothesis of no publication bias. </w:t>
      </w:r>
    </w:p>
    <w:p w:rsidR="00A178B6" w:rsidRPr="00A178B6" w:rsidRDefault="00A178B6" w:rsidP="004A2D37">
      <w:pPr>
        <w:pStyle w:val="ListParagraph"/>
        <w:numPr>
          <w:ilvl w:val="0"/>
          <w:numId w:val="30"/>
        </w:numPr>
        <w:spacing w:before="200" w:line="360" w:lineRule="auto"/>
        <w:ind w:left="714" w:hanging="357"/>
        <w:contextualSpacing w:val="0"/>
        <w:rPr>
          <w:i/>
          <w:lang w:val="en-US"/>
        </w:rPr>
      </w:pPr>
      <w:r>
        <w:rPr>
          <w:i/>
          <w:lang w:val="en-US"/>
        </w:rPr>
        <w:t xml:space="preserve">H4A: Publication bias is </w:t>
      </w:r>
      <w:r w:rsidRPr="00A178B6">
        <w:rPr>
          <w:i/>
          <w:u w:val="single"/>
          <w:lang w:val="en-US"/>
        </w:rPr>
        <w:t>not</w:t>
      </w:r>
      <w:r>
        <w:rPr>
          <w:i/>
          <w:lang w:val="en-US"/>
        </w:rPr>
        <w:t xml:space="preserve"> present in underpricing literature</w:t>
      </w:r>
    </w:p>
    <w:p w:rsidR="00647E59" w:rsidRDefault="008A057A" w:rsidP="004A2D37">
      <w:pPr>
        <w:spacing w:line="360" w:lineRule="auto"/>
        <w:rPr>
          <w:lang w:val="en-US"/>
        </w:rPr>
      </w:pPr>
      <w:r w:rsidRPr="008A057A">
        <w:rPr>
          <w:lang w:val="en-US"/>
        </w:rPr>
        <w:t>The insignificant coefficient for the Star dummy does not provide evidence for any bias in results published in high ranking journals.</w:t>
      </w:r>
      <w:bookmarkEnd w:id="30"/>
      <w:bookmarkEnd w:id="31"/>
    </w:p>
    <w:p w:rsidR="00A178B6" w:rsidRPr="00A178B6" w:rsidRDefault="00A178B6" w:rsidP="004A2D37">
      <w:pPr>
        <w:pStyle w:val="ListParagraph"/>
        <w:numPr>
          <w:ilvl w:val="0"/>
          <w:numId w:val="30"/>
        </w:numPr>
        <w:spacing w:before="200" w:line="360" w:lineRule="auto"/>
        <w:ind w:left="714" w:hanging="357"/>
        <w:contextualSpacing w:val="0"/>
        <w:rPr>
          <w:i/>
          <w:lang w:val="en-US"/>
        </w:rPr>
      </w:pPr>
      <w:r>
        <w:rPr>
          <w:i/>
          <w:lang w:val="en-US"/>
        </w:rPr>
        <w:t>H4B:Star journal bias is present in underpricing literature</w:t>
      </w:r>
    </w:p>
    <w:p w:rsidR="00E52B7D" w:rsidRDefault="00E52B7D" w:rsidP="00E52B7D">
      <w:pPr>
        <w:jc w:val="center"/>
        <w:rPr>
          <w:b/>
          <w:lang w:val="en-US"/>
        </w:rPr>
      </w:pPr>
    </w:p>
    <w:p w:rsidR="00E52B7D" w:rsidRDefault="00E52B7D">
      <w:pPr>
        <w:rPr>
          <w:b/>
          <w:lang w:val="en-US"/>
        </w:rPr>
      </w:pPr>
    </w:p>
    <w:p w:rsidR="00E52B7D" w:rsidRDefault="00E52B7D">
      <w:pPr>
        <w:rPr>
          <w:b/>
          <w:lang w:val="en-US"/>
        </w:rPr>
      </w:pPr>
    </w:p>
    <w:p w:rsidR="00E52B7D" w:rsidRDefault="00E52B7D">
      <w:pPr>
        <w:rPr>
          <w:b/>
          <w:lang w:val="en-US"/>
        </w:rPr>
      </w:pPr>
    </w:p>
    <w:p w:rsidR="00E52B7D" w:rsidRDefault="00E52B7D">
      <w:pPr>
        <w:rPr>
          <w:b/>
          <w:lang w:val="en-US"/>
        </w:rPr>
      </w:pPr>
    </w:p>
    <w:p w:rsidR="000D69A9" w:rsidRDefault="000D69A9" w:rsidP="006963D6">
      <w:pPr>
        <w:rPr>
          <w:b/>
          <w:lang w:val="en-US"/>
        </w:rPr>
      </w:pPr>
      <w:r>
        <w:rPr>
          <w:b/>
          <w:lang w:val="en-US"/>
        </w:rPr>
        <w:br w:type="page"/>
      </w:r>
    </w:p>
    <w:p w:rsidR="00A34189" w:rsidRPr="00A34189" w:rsidRDefault="00A34189" w:rsidP="00A34189">
      <w:pPr>
        <w:ind w:left="1418" w:hanging="851"/>
        <w:rPr>
          <w:b/>
          <w:lang w:val="en-US"/>
        </w:rPr>
      </w:pPr>
      <w:r w:rsidRPr="00A34189">
        <w:rPr>
          <w:b/>
          <w:lang w:val="en-US"/>
        </w:rPr>
        <w:lastRenderedPageBreak/>
        <w:t>6.</w:t>
      </w:r>
      <w:r>
        <w:rPr>
          <w:b/>
          <w:lang w:val="en-US"/>
        </w:rPr>
        <w:t xml:space="preserve">4. </w:t>
      </w:r>
      <w:r>
        <w:rPr>
          <w:b/>
          <w:lang w:val="en-US"/>
        </w:rPr>
        <w:tab/>
      </w:r>
      <w:r w:rsidR="000D69A9" w:rsidRPr="00A34189">
        <w:rPr>
          <w:b/>
          <w:lang w:val="en-US"/>
        </w:rPr>
        <w:t>Results summary</w:t>
      </w:r>
    </w:p>
    <w:p w:rsidR="00A34189" w:rsidRPr="00A34189" w:rsidRDefault="00A34189" w:rsidP="00A34189">
      <w:pPr>
        <w:ind w:left="1418" w:hanging="851"/>
        <w:contextualSpacing/>
        <w:rPr>
          <w:lang w:val="en-US"/>
        </w:rPr>
      </w:pPr>
    </w:p>
    <w:p w:rsidR="000D69A9" w:rsidRDefault="000D69A9" w:rsidP="006963D6">
      <w:pPr>
        <w:rPr>
          <w:lang w:val="en-US"/>
        </w:rPr>
      </w:pPr>
      <w:r w:rsidRPr="006963D6">
        <w:rPr>
          <w:lang w:val="en-US"/>
        </w:rPr>
        <w:t>Table 1</w:t>
      </w:r>
      <w:r w:rsidR="007F0D94">
        <w:rPr>
          <w:lang w:val="en-US"/>
        </w:rPr>
        <w:t>6</w:t>
      </w:r>
      <w:r w:rsidRPr="006963D6">
        <w:rPr>
          <w:lang w:val="en-US"/>
        </w:rPr>
        <w:t xml:space="preserve"> summarizes the results </w:t>
      </w:r>
      <w:r>
        <w:rPr>
          <w:lang w:val="en-US"/>
        </w:rPr>
        <w:t>of the three MRAs.</w:t>
      </w:r>
    </w:p>
    <w:tbl>
      <w:tblPr>
        <w:tblpPr w:leftFromText="141" w:rightFromText="141" w:vertAnchor="page" w:horzAnchor="margin" w:tblpY="2998"/>
        <w:tblW w:w="8920" w:type="dxa"/>
        <w:tblCellMar>
          <w:left w:w="70" w:type="dxa"/>
          <w:right w:w="70" w:type="dxa"/>
        </w:tblCellMar>
        <w:tblLook w:val="04A0"/>
      </w:tblPr>
      <w:tblGrid>
        <w:gridCol w:w="1993"/>
        <w:gridCol w:w="2397"/>
        <w:gridCol w:w="1709"/>
        <w:gridCol w:w="2821"/>
      </w:tblGrid>
      <w:tr w:rsidR="00575454" w:rsidRPr="000D69A9" w:rsidTr="00575454">
        <w:trPr>
          <w:trHeight w:val="300"/>
        </w:trPr>
        <w:tc>
          <w:tcPr>
            <w:tcW w:w="8920" w:type="dxa"/>
            <w:gridSpan w:val="4"/>
            <w:tcBorders>
              <w:top w:val="nil"/>
              <w:left w:val="nil"/>
              <w:bottom w:val="nil"/>
              <w:right w:val="nil"/>
            </w:tcBorders>
            <w:shd w:val="clear" w:color="000000" w:fill="FFFFFF"/>
            <w:noWrap/>
            <w:vAlign w:val="bottom"/>
            <w:hideMark/>
          </w:tcPr>
          <w:p w:rsidR="00575454" w:rsidRPr="000D69A9" w:rsidRDefault="00575454" w:rsidP="00575454">
            <w:pPr>
              <w:spacing w:after="0" w:line="240" w:lineRule="auto"/>
              <w:jc w:val="center"/>
              <w:rPr>
                <w:rFonts w:ascii="Calibri" w:eastAsia="Times New Roman" w:hAnsi="Calibri" w:cs="Times New Roman"/>
                <w:b/>
                <w:bCs/>
                <w:color w:val="000000"/>
                <w:lang w:val="en-US" w:eastAsia="nl-NL"/>
              </w:rPr>
            </w:pPr>
            <w:r w:rsidRPr="000D69A9">
              <w:rPr>
                <w:rFonts w:ascii="Calibri" w:eastAsia="Times New Roman" w:hAnsi="Calibri" w:cs="Times New Roman"/>
                <w:b/>
                <w:bCs/>
                <w:color w:val="000000"/>
                <w:lang w:val="en-US" w:eastAsia="nl-NL"/>
              </w:rPr>
              <w:t>Table 1</w:t>
            </w:r>
            <w:r>
              <w:rPr>
                <w:rFonts w:ascii="Calibri" w:eastAsia="Times New Roman" w:hAnsi="Calibri" w:cs="Times New Roman"/>
                <w:b/>
                <w:bCs/>
                <w:color w:val="000000"/>
                <w:lang w:val="en-US" w:eastAsia="nl-NL"/>
              </w:rPr>
              <w:t>6</w:t>
            </w:r>
            <w:r w:rsidRPr="000D69A9">
              <w:rPr>
                <w:rFonts w:ascii="Calibri" w:eastAsia="Times New Roman" w:hAnsi="Calibri" w:cs="Times New Roman"/>
                <w:b/>
                <w:bCs/>
                <w:color w:val="000000"/>
                <w:lang w:val="en-US" w:eastAsia="nl-NL"/>
              </w:rPr>
              <w:t>: Results summary</w:t>
            </w:r>
          </w:p>
        </w:tc>
      </w:tr>
      <w:tr w:rsidR="00575454" w:rsidRPr="000D69A9" w:rsidTr="00575454">
        <w:trPr>
          <w:trHeight w:val="405"/>
        </w:trPr>
        <w:tc>
          <w:tcPr>
            <w:tcW w:w="1993" w:type="dxa"/>
            <w:tcBorders>
              <w:top w:val="single" w:sz="4" w:space="0" w:color="auto"/>
              <w:left w:val="nil"/>
              <w:bottom w:val="double" w:sz="6" w:space="0" w:color="auto"/>
              <w:right w:val="nil"/>
            </w:tcBorders>
            <w:shd w:val="clear" w:color="000000" w:fill="FFFFFF"/>
            <w:noWrap/>
            <w:hideMark/>
          </w:tcPr>
          <w:p w:rsidR="00575454" w:rsidRPr="000D69A9" w:rsidRDefault="00575454" w:rsidP="00575454">
            <w:pPr>
              <w:spacing w:after="0" w:line="240" w:lineRule="auto"/>
              <w:rPr>
                <w:rFonts w:ascii="Calibri" w:eastAsia="Times New Roman" w:hAnsi="Calibri" w:cs="Times New Roman"/>
                <w:b/>
                <w:bCs/>
                <w:color w:val="000000"/>
                <w:lang w:val="en-US" w:eastAsia="nl-NL"/>
              </w:rPr>
            </w:pPr>
            <w:r w:rsidRPr="000D69A9">
              <w:rPr>
                <w:rFonts w:ascii="Calibri" w:eastAsia="Times New Roman" w:hAnsi="Calibri" w:cs="Times New Roman"/>
                <w:b/>
                <w:bCs/>
                <w:color w:val="000000"/>
                <w:lang w:val="en-US" w:eastAsia="nl-NL"/>
              </w:rPr>
              <w:t> </w:t>
            </w:r>
          </w:p>
        </w:tc>
        <w:tc>
          <w:tcPr>
            <w:tcW w:w="2397" w:type="dxa"/>
            <w:tcBorders>
              <w:top w:val="single" w:sz="4" w:space="0" w:color="auto"/>
              <w:left w:val="nil"/>
              <w:bottom w:val="double" w:sz="6" w:space="0" w:color="auto"/>
              <w:right w:val="nil"/>
            </w:tcBorders>
            <w:shd w:val="clear" w:color="000000" w:fill="FFFFFF"/>
            <w:noWrap/>
            <w:hideMark/>
          </w:tcPr>
          <w:p w:rsidR="00575454" w:rsidRPr="000D69A9" w:rsidRDefault="00575454" w:rsidP="00575454">
            <w:pPr>
              <w:spacing w:after="0" w:line="240" w:lineRule="auto"/>
              <w:rPr>
                <w:rFonts w:ascii="Calibri" w:eastAsia="Times New Roman" w:hAnsi="Calibri" w:cs="Times New Roman"/>
                <w:b/>
                <w:bCs/>
                <w:color w:val="000000"/>
                <w:lang w:val="en-US" w:eastAsia="nl-NL"/>
              </w:rPr>
            </w:pPr>
            <w:r w:rsidRPr="000D69A9">
              <w:rPr>
                <w:rFonts w:ascii="Calibri" w:eastAsia="Times New Roman" w:hAnsi="Calibri" w:cs="Times New Roman"/>
                <w:b/>
                <w:bCs/>
                <w:color w:val="000000"/>
                <w:lang w:val="en-US" w:eastAsia="nl-NL"/>
              </w:rPr>
              <w:t>Firm age</w:t>
            </w:r>
          </w:p>
        </w:tc>
        <w:tc>
          <w:tcPr>
            <w:tcW w:w="1709" w:type="dxa"/>
            <w:tcBorders>
              <w:top w:val="single" w:sz="4" w:space="0" w:color="auto"/>
              <w:left w:val="nil"/>
              <w:bottom w:val="double" w:sz="6" w:space="0" w:color="auto"/>
              <w:right w:val="nil"/>
            </w:tcBorders>
            <w:shd w:val="clear" w:color="000000" w:fill="FFFFFF"/>
            <w:noWrap/>
            <w:hideMark/>
          </w:tcPr>
          <w:p w:rsidR="00575454" w:rsidRPr="000D69A9" w:rsidRDefault="00575454" w:rsidP="00575454">
            <w:pPr>
              <w:spacing w:after="0" w:line="240" w:lineRule="auto"/>
              <w:rPr>
                <w:rFonts w:ascii="Calibri" w:eastAsia="Times New Roman" w:hAnsi="Calibri" w:cs="Times New Roman"/>
                <w:b/>
                <w:bCs/>
                <w:color w:val="000000"/>
                <w:lang w:val="en-US" w:eastAsia="nl-NL"/>
              </w:rPr>
            </w:pPr>
            <w:r w:rsidRPr="000D69A9">
              <w:rPr>
                <w:rFonts w:ascii="Calibri" w:eastAsia="Times New Roman" w:hAnsi="Calibri" w:cs="Times New Roman"/>
                <w:b/>
                <w:bCs/>
                <w:color w:val="000000"/>
                <w:lang w:val="en-US" w:eastAsia="nl-NL"/>
              </w:rPr>
              <w:t>IPO proceeds</w:t>
            </w:r>
          </w:p>
        </w:tc>
        <w:tc>
          <w:tcPr>
            <w:tcW w:w="2821" w:type="dxa"/>
            <w:tcBorders>
              <w:top w:val="single" w:sz="4" w:space="0" w:color="auto"/>
              <w:left w:val="nil"/>
              <w:bottom w:val="double" w:sz="6" w:space="0" w:color="auto"/>
              <w:right w:val="nil"/>
            </w:tcBorders>
            <w:shd w:val="clear" w:color="000000" w:fill="FFFFFF"/>
            <w:noWrap/>
            <w:hideMark/>
          </w:tcPr>
          <w:p w:rsidR="00575454" w:rsidRPr="000D69A9" w:rsidRDefault="00575454" w:rsidP="00575454">
            <w:pPr>
              <w:spacing w:after="0" w:line="240" w:lineRule="auto"/>
              <w:rPr>
                <w:rFonts w:ascii="Calibri" w:eastAsia="Times New Roman" w:hAnsi="Calibri" w:cs="Times New Roman"/>
                <w:b/>
                <w:bCs/>
                <w:color w:val="000000"/>
                <w:lang w:val="en-US" w:eastAsia="nl-NL"/>
              </w:rPr>
            </w:pPr>
            <w:r w:rsidRPr="000D69A9">
              <w:rPr>
                <w:rFonts w:ascii="Calibri" w:eastAsia="Times New Roman" w:hAnsi="Calibri" w:cs="Times New Roman"/>
                <w:b/>
                <w:bCs/>
                <w:color w:val="000000"/>
                <w:lang w:val="en-US" w:eastAsia="nl-NL"/>
              </w:rPr>
              <w:t>Underwriter reputation</w:t>
            </w:r>
          </w:p>
        </w:tc>
      </w:tr>
      <w:tr w:rsidR="00575454" w:rsidRPr="0032496B" w:rsidTr="00787CA8">
        <w:trPr>
          <w:trHeight w:val="796"/>
        </w:trPr>
        <w:tc>
          <w:tcPr>
            <w:tcW w:w="1993" w:type="dxa"/>
            <w:tcBorders>
              <w:top w:val="nil"/>
              <w:left w:val="nil"/>
              <w:bottom w:val="nil"/>
              <w:right w:val="nil"/>
            </w:tcBorders>
            <w:shd w:val="clear" w:color="000000" w:fill="FFFFFF"/>
            <w:noWrap/>
            <w:hideMark/>
          </w:tcPr>
          <w:p w:rsidR="00575454" w:rsidRDefault="00575454" w:rsidP="00575454">
            <w:pPr>
              <w:spacing w:after="0" w:line="240" w:lineRule="auto"/>
              <w:rPr>
                <w:rFonts w:ascii="Calibri" w:eastAsia="Times New Roman" w:hAnsi="Calibri" w:cs="Times New Roman"/>
                <w:b/>
                <w:bCs/>
                <w:color w:val="000000"/>
                <w:lang w:eastAsia="nl-NL"/>
              </w:rPr>
            </w:pPr>
            <w:r w:rsidRPr="0032496B">
              <w:rPr>
                <w:rFonts w:ascii="Calibri" w:eastAsia="Times New Roman" w:hAnsi="Calibri" w:cs="Times New Roman"/>
                <w:b/>
                <w:bCs/>
                <w:color w:val="000000"/>
                <w:lang w:eastAsia="nl-NL"/>
              </w:rPr>
              <w:t>True effect</w:t>
            </w:r>
          </w:p>
          <w:p w:rsidR="00A8632D" w:rsidRDefault="00A8632D" w:rsidP="00575454">
            <w:pPr>
              <w:spacing w:after="0" w:line="240" w:lineRule="auto"/>
              <w:rPr>
                <w:rFonts w:ascii="Calibri" w:eastAsia="Times New Roman" w:hAnsi="Calibri" w:cs="Times New Roman"/>
                <w:b/>
                <w:bCs/>
                <w:color w:val="000000"/>
                <w:lang w:eastAsia="nl-NL"/>
              </w:rPr>
            </w:pPr>
          </w:p>
          <w:p w:rsidR="00A8632D" w:rsidRDefault="00A8632D" w:rsidP="00575454">
            <w:pPr>
              <w:spacing w:after="0" w:line="240" w:lineRule="auto"/>
              <w:rPr>
                <w:rFonts w:ascii="Calibri" w:eastAsia="Times New Roman" w:hAnsi="Calibri" w:cs="Times New Roman"/>
                <w:b/>
                <w:bCs/>
                <w:color w:val="000000"/>
                <w:lang w:eastAsia="nl-NL"/>
              </w:rPr>
            </w:pPr>
          </w:p>
          <w:p w:rsidR="00A8632D" w:rsidRDefault="00A8632D" w:rsidP="00575454">
            <w:pPr>
              <w:spacing w:after="0" w:line="240" w:lineRule="auto"/>
              <w:rPr>
                <w:rFonts w:ascii="Calibri" w:eastAsia="Times New Roman" w:hAnsi="Calibri" w:cs="Times New Roman"/>
                <w:b/>
                <w:bCs/>
                <w:color w:val="000000"/>
                <w:lang w:eastAsia="nl-NL"/>
              </w:rPr>
            </w:pPr>
            <w:r>
              <w:rPr>
                <w:rFonts w:ascii="Calibri" w:eastAsia="Times New Roman" w:hAnsi="Calibri" w:cs="Times New Roman"/>
                <w:b/>
                <w:bCs/>
                <w:color w:val="000000"/>
                <w:lang w:eastAsia="nl-NL"/>
              </w:rPr>
              <w:t>Expected sign</w:t>
            </w:r>
          </w:p>
          <w:p w:rsidR="00A8632D" w:rsidRPr="0032496B" w:rsidRDefault="00A8632D" w:rsidP="00575454">
            <w:pPr>
              <w:spacing w:after="0" w:line="240" w:lineRule="auto"/>
              <w:rPr>
                <w:rFonts w:ascii="Calibri" w:eastAsia="Times New Roman" w:hAnsi="Calibri" w:cs="Times New Roman"/>
                <w:b/>
                <w:bCs/>
                <w:color w:val="000000"/>
                <w:lang w:eastAsia="nl-NL"/>
              </w:rPr>
            </w:pPr>
          </w:p>
        </w:tc>
        <w:tc>
          <w:tcPr>
            <w:tcW w:w="2397" w:type="dxa"/>
            <w:tcBorders>
              <w:top w:val="nil"/>
              <w:left w:val="nil"/>
              <w:bottom w:val="nil"/>
              <w:right w:val="nil"/>
            </w:tcBorders>
            <w:shd w:val="clear" w:color="000000" w:fill="FFFFFF"/>
            <w:noWrap/>
            <w:hideMark/>
          </w:tcPr>
          <w:p w:rsidR="00575454" w:rsidRDefault="00575454" w:rsidP="00575454">
            <w:pPr>
              <w:spacing w:after="0" w:line="240" w:lineRule="auto"/>
              <w:rPr>
                <w:rFonts w:ascii="Calibri" w:eastAsia="Times New Roman" w:hAnsi="Calibri" w:cs="Times New Roman"/>
                <w:color w:val="000000"/>
                <w:lang w:eastAsia="nl-NL"/>
              </w:rPr>
            </w:pPr>
            <w:r w:rsidRPr="0032496B">
              <w:rPr>
                <w:rFonts w:ascii="Calibri" w:eastAsia="Times New Roman" w:hAnsi="Calibri" w:cs="Times New Roman"/>
                <w:color w:val="000000"/>
                <w:lang w:eastAsia="nl-NL"/>
              </w:rPr>
              <w:t>Negative</w:t>
            </w:r>
          </w:p>
          <w:p w:rsidR="00A8632D" w:rsidRDefault="00A8632D" w:rsidP="00575454">
            <w:pPr>
              <w:spacing w:after="0" w:line="240" w:lineRule="auto"/>
              <w:rPr>
                <w:rFonts w:ascii="Calibri" w:eastAsia="Times New Roman" w:hAnsi="Calibri" w:cs="Times New Roman"/>
                <w:color w:val="000000"/>
                <w:lang w:eastAsia="nl-NL"/>
              </w:rPr>
            </w:pPr>
          </w:p>
          <w:p w:rsidR="00A8632D" w:rsidRDefault="00A8632D" w:rsidP="00575454">
            <w:pPr>
              <w:spacing w:after="0" w:line="240" w:lineRule="auto"/>
              <w:rPr>
                <w:rFonts w:ascii="Calibri" w:eastAsia="Times New Roman" w:hAnsi="Calibri" w:cs="Times New Roman"/>
                <w:color w:val="000000"/>
                <w:lang w:eastAsia="nl-NL"/>
              </w:rPr>
            </w:pPr>
          </w:p>
          <w:p w:rsidR="00A8632D" w:rsidRPr="0032496B" w:rsidRDefault="00A8632D" w:rsidP="0057545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Negative</w:t>
            </w:r>
          </w:p>
        </w:tc>
        <w:tc>
          <w:tcPr>
            <w:tcW w:w="1709" w:type="dxa"/>
            <w:tcBorders>
              <w:top w:val="nil"/>
              <w:left w:val="nil"/>
              <w:bottom w:val="nil"/>
              <w:right w:val="nil"/>
            </w:tcBorders>
            <w:shd w:val="clear" w:color="000000" w:fill="FFFFFF"/>
            <w:noWrap/>
            <w:hideMark/>
          </w:tcPr>
          <w:p w:rsidR="00575454" w:rsidRPr="00A932F1" w:rsidRDefault="00787CA8" w:rsidP="00575454">
            <w:pPr>
              <w:spacing w:after="0" w:line="240" w:lineRule="auto"/>
              <w:rPr>
                <w:rFonts w:ascii="Calibri" w:eastAsia="Times New Roman" w:hAnsi="Calibri" w:cs="Times New Roman"/>
                <w:color w:val="000000"/>
                <w:lang w:val="en-US" w:eastAsia="nl-NL"/>
              </w:rPr>
            </w:pPr>
            <w:r w:rsidRPr="00A932F1">
              <w:rPr>
                <w:rFonts w:ascii="Calibri" w:eastAsia="Times New Roman" w:hAnsi="Calibri" w:cs="Times New Roman"/>
                <w:color w:val="000000"/>
                <w:lang w:val="en-US" w:eastAsia="nl-NL"/>
              </w:rPr>
              <w:t>Positive but n</w:t>
            </w:r>
            <w:r w:rsidR="00575454" w:rsidRPr="00A932F1">
              <w:rPr>
                <w:rFonts w:ascii="Calibri" w:eastAsia="Times New Roman" w:hAnsi="Calibri" w:cs="Times New Roman"/>
                <w:color w:val="000000"/>
                <w:lang w:val="en-US" w:eastAsia="nl-NL"/>
              </w:rPr>
              <w:t>ot significant</w:t>
            </w:r>
          </w:p>
          <w:p w:rsidR="00A8632D" w:rsidRPr="00A932F1" w:rsidRDefault="00A8632D" w:rsidP="00575454">
            <w:pPr>
              <w:spacing w:after="0" w:line="240" w:lineRule="auto"/>
              <w:rPr>
                <w:rFonts w:ascii="Calibri" w:eastAsia="Times New Roman" w:hAnsi="Calibri" w:cs="Times New Roman"/>
                <w:color w:val="000000"/>
                <w:lang w:val="en-US" w:eastAsia="nl-NL"/>
              </w:rPr>
            </w:pPr>
          </w:p>
          <w:p w:rsidR="00A8632D" w:rsidRPr="00A932F1" w:rsidRDefault="00A8632D" w:rsidP="00575454">
            <w:pPr>
              <w:spacing w:after="0" w:line="240" w:lineRule="auto"/>
              <w:rPr>
                <w:rFonts w:ascii="Calibri" w:eastAsia="Times New Roman" w:hAnsi="Calibri" w:cs="Times New Roman"/>
                <w:color w:val="000000"/>
                <w:lang w:val="en-US" w:eastAsia="nl-NL"/>
              </w:rPr>
            </w:pPr>
            <w:r w:rsidRPr="00A932F1">
              <w:rPr>
                <w:rFonts w:ascii="Calibri" w:eastAsia="Times New Roman" w:hAnsi="Calibri" w:cs="Times New Roman"/>
                <w:color w:val="000000"/>
                <w:lang w:val="en-US" w:eastAsia="nl-NL"/>
              </w:rPr>
              <w:t>Negative</w:t>
            </w:r>
          </w:p>
        </w:tc>
        <w:tc>
          <w:tcPr>
            <w:tcW w:w="2821" w:type="dxa"/>
            <w:tcBorders>
              <w:top w:val="nil"/>
              <w:left w:val="nil"/>
              <w:bottom w:val="nil"/>
              <w:right w:val="nil"/>
            </w:tcBorders>
            <w:shd w:val="clear" w:color="000000" w:fill="FFFFFF"/>
            <w:noWrap/>
            <w:hideMark/>
          </w:tcPr>
          <w:p w:rsidR="00575454" w:rsidRDefault="00575454" w:rsidP="0057545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Negative</w:t>
            </w:r>
          </w:p>
          <w:p w:rsidR="00A8632D" w:rsidRDefault="00A8632D" w:rsidP="00575454">
            <w:pPr>
              <w:spacing w:after="0" w:line="240" w:lineRule="auto"/>
              <w:rPr>
                <w:rFonts w:ascii="Calibri" w:eastAsia="Times New Roman" w:hAnsi="Calibri" w:cs="Times New Roman"/>
                <w:color w:val="000000"/>
                <w:lang w:eastAsia="nl-NL"/>
              </w:rPr>
            </w:pPr>
          </w:p>
          <w:p w:rsidR="00A8632D" w:rsidRDefault="00A8632D" w:rsidP="00575454">
            <w:pPr>
              <w:spacing w:after="0" w:line="240" w:lineRule="auto"/>
              <w:rPr>
                <w:rFonts w:ascii="Calibri" w:eastAsia="Times New Roman" w:hAnsi="Calibri" w:cs="Times New Roman"/>
                <w:color w:val="000000"/>
                <w:lang w:eastAsia="nl-NL"/>
              </w:rPr>
            </w:pPr>
          </w:p>
          <w:p w:rsidR="00A8632D" w:rsidRPr="0032496B" w:rsidRDefault="00A8632D" w:rsidP="0057545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Negative</w:t>
            </w:r>
          </w:p>
        </w:tc>
      </w:tr>
      <w:tr w:rsidR="00575454" w:rsidRPr="0032496B" w:rsidTr="00575454">
        <w:trPr>
          <w:trHeight w:val="750"/>
        </w:trPr>
        <w:tc>
          <w:tcPr>
            <w:tcW w:w="1993"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b/>
                <w:bCs/>
                <w:color w:val="000000"/>
                <w:lang w:eastAsia="nl-NL"/>
              </w:rPr>
            </w:pPr>
            <w:r w:rsidRPr="0032496B">
              <w:rPr>
                <w:rFonts w:ascii="Calibri" w:eastAsia="Times New Roman" w:hAnsi="Calibri" w:cs="Times New Roman"/>
                <w:b/>
                <w:bCs/>
                <w:color w:val="000000"/>
                <w:lang w:eastAsia="nl-NL"/>
              </w:rPr>
              <w:t>Upwards bias</w:t>
            </w:r>
          </w:p>
        </w:tc>
        <w:tc>
          <w:tcPr>
            <w:tcW w:w="2397" w:type="dxa"/>
            <w:tcBorders>
              <w:top w:val="nil"/>
              <w:left w:val="nil"/>
              <w:bottom w:val="nil"/>
              <w:right w:val="nil"/>
            </w:tcBorders>
            <w:shd w:val="clear" w:color="000000" w:fill="FFFFFF"/>
            <w:hideMark/>
          </w:tcPr>
          <w:p w:rsidR="00575454" w:rsidRPr="0032496B" w:rsidRDefault="00575454" w:rsidP="00575454">
            <w:pPr>
              <w:spacing w:after="0" w:line="240" w:lineRule="auto"/>
              <w:rPr>
                <w:rFonts w:ascii="Calibri" w:eastAsia="Times New Roman" w:hAnsi="Calibri" w:cs="Times New Roman"/>
                <w:color w:val="000000"/>
                <w:lang w:eastAsia="nl-NL"/>
              </w:rPr>
            </w:pPr>
            <w:r w:rsidRPr="0032496B">
              <w:rPr>
                <w:rFonts w:ascii="Calibri" w:eastAsia="Times New Roman" w:hAnsi="Calibri" w:cs="Times New Roman"/>
                <w:color w:val="000000"/>
                <w:lang w:eastAsia="nl-NL"/>
              </w:rPr>
              <w:t xml:space="preserve">ExFIN, </w:t>
            </w:r>
            <w:r>
              <w:rPr>
                <w:rFonts w:ascii="Calibri" w:eastAsia="Times New Roman" w:hAnsi="Calibri" w:cs="Times New Roman"/>
                <w:color w:val="000000"/>
                <w:lang w:eastAsia="nl-NL"/>
              </w:rPr>
              <w:t>ExSF,</w:t>
            </w:r>
            <w:r w:rsidRPr="0032496B">
              <w:rPr>
                <w:rFonts w:ascii="Calibri" w:eastAsia="Times New Roman" w:hAnsi="Calibri" w:cs="Times New Roman"/>
                <w:color w:val="000000"/>
                <w:lang w:eastAsia="nl-NL"/>
              </w:rPr>
              <w:br/>
              <w:t>ExPRO</w:t>
            </w:r>
          </w:p>
        </w:tc>
        <w:tc>
          <w:tcPr>
            <w:tcW w:w="1709"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EUR</w:t>
            </w:r>
          </w:p>
        </w:tc>
        <w:tc>
          <w:tcPr>
            <w:tcW w:w="2821"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sidRPr="0032496B">
              <w:rPr>
                <w:rFonts w:ascii="Calibri" w:eastAsia="Times New Roman" w:hAnsi="Calibri" w:cs="Times New Roman"/>
                <w:color w:val="000000"/>
                <w:lang w:eastAsia="nl-NL"/>
              </w:rPr>
              <w:t>90&amp;Int</w:t>
            </w:r>
            <w:r>
              <w:rPr>
                <w:rFonts w:ascii="Calibri" w:eastAsia="Times New Roman" w:hAnsi="Calibri" w:cs="Times New Roman"/>
                <w:color w:val="000000"/>
                <w:lang w:eastAsia="nl-NL"/>
              </w:rPr>
              <w:t xml:space="preserve">, </w:t>
            </w:r>
            <w:r w:rsidRPr="0032496B">
              <w:rPr>
                <w:rFonts w:ascii="Calibri" w:eastAsia="Times New Roman" w:hAnsi="Calibri" w:cs="Times New Roman"/>
                <w:color w:val="000000"/>
                <w:lang w:eastAsia="nl-NL"/>
              </w:rPr>
              <w:t xml:space="preserve"> Ex</w:t>
            </w:r>
            <w:r>
              <w:rPr>
                <w:rFonts w:ascii="Calibri" w:eastAsia="Times New Roman" w:hAnsi="Calibri" w:cs="Times New Roman"/>
                <w:color w:val="000000"/>
                <w:lang w:eastAsia="nl-NL"/>
              </w:rPr>
              <w:t>SF, ExAge</w:t>
            </w:r>
          </w:p>
        </w:tc>
      </w:tr>
      <w:tr w:rsidR="00575454" w:rsidRPr="0032496B" w:rsidTr="00575454">
        <w:trPr>
          <w:trHeight w:val="750"/>
        </w:trPr>
        <w:tc>
          <w:tcPr>
            <w:tcW w:w="1993"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b/>
                <w:bCs/>
                <w:color w:val="000000"/>
                <w:lang w:eastAsia="nl-NL"/>
              </w:rPr>
            </w:pPr>
            <w:r w:rsidRPr="0032496B">
              <w:rPr>
                <w:rFonts w:ascii="Calibri" w:eastAsia="Times New Roman" w:hAnsi="Calibri" w:cs="Times New Roman"/>
                <w:b/>
                <w:bCs/>
                <w:color w:val="000000"/>
                <w:lang w:eastAsia="nl-NL"/>
              </w:rPr>
              <w:t>Downwards bias</w:t>
            </w:r>
          </w:p>
        </w:tc>
        <w:tc>
          <w:tcPr>
            <w:tcW w:w="2397"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EUR</w:t>
            </w:r>
          </w:p>
        </w:tc>
        <w:tc>
          <w:tcPr>
            <w:tcW w:w="1709"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ExFin, ExBE</w:t>
            </w:r>
          </w:p>
        </w:tc>
        <w:tc>
          <w:tcPr>
            <w:tcW w:w="2821"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Pr>
                <w:rFonts w:ascii="Calibri" w:eastAsia="Times New Roman" w:hAnsi="Calibri" w:cs="Times New Roman"/>
                <w:color w:val="000000"/>
                <w:lang w:eastAsia="nl-NL"/>
              </w:rPr>
              <w:t>None</w:t>
            </w:r>
          </w:p>
        </w:tc>
      </w:tr>
      <w:tr w:rsidR="00575454" w:rsidRPr="0032496B" w:rsidTr="00A34189">
        <w:trPr>
          <w:trHeight w:val="633"/>
        </w:trPr>
        <w:tc>
          <w:tcPr>
            <w:tcW w:w="1993"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b/>
                <w:bCs/>
                <w:color w:val="000000"/>
                <w:lang w:eastAsia="nl-NL"/>
              </w:rPr>
            </w:pPr>
            <w:r w:rsidRPr="0032496B">
              <w:rPr>
                <w:rFonts w:ascii="Calibri" w:eastAsia="Times New Roman" w:hAnsi="Calibri" w:cs="Times New Roman"/>
                <w:b/>
                <w:bCs/>
                <w:color w:val="000000"/>
                <w:lang w:eastAsia="nl-NL"/>
              </w:rPr>
              <w:t>Publication bias</w:t>
            </w:r>
          </w:p>
        </w:tc>
        <w:tc>
          <w:tcPr>
            <w:tcW w:w="2397"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sidRPr="0032496B">
              <w:rPr>
                <w:rFonts w:ascii="Calibri" w:eastAsia="Times New Roman" w:hAnsi="Calibri" w:cs="Times New Roman"/>
                <w:color w:val="000000"/>
                <w:lang w:eastAsia="nl-NL"/>
              </w:rPr>
              <w:t>Not rejected</w:t>
            </w:r>
          </w:p>
        </w:tc>
        <w:tc>
          <w:tcPr>
            <w:tcW w:w="1709"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sidRPr="0032496B">
              <w:rPr>
                <w:rFonts w:ascii="Calibri" w:eastAsia="Times New Roman" w:hAnsi="Calibri" w:cs="Times New Roman"/>
                <w:color w:val="000000"/>
                <w:lang w:eastAsia="nl-NL"/>
              </w:rPr>
              <w:t>Rejected</w:t>
            </w:r>
          </w:p>
        </w:tc>
        <w:tc>
          <w:tcPr>
            <w:tcW w:w="2821" w:type="dxa"/>
            <w:tcBorders>
              <w:top w:val="nil"/>
              <w:left w:val="nil"/>
              <w:bottom w:val="nil"/>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sidRPr="0032496B">
              <w:rPr>
                <w:rFonts w:ascii="Calibri" w:eastAsia="Times New Roman" w:hAnsi="Calibri" w:cs="Times New Roman"/>
                <w:color w:val="000000"/>
                <w:lang w:eastAsia="nl-NL"/>
              </w:rPr>
              <w:t>Not rejected</w:t>
            </w:r>
          </w:p>
        </w:tc>
      </w:tr>
      <w:tr w:rsidR="00575454" w:rsidRPr="0032496B" w:rsidTr="00575454">
        <w:trPr>
          <w:trHeight w:val="375"/>
        </w:trPr>
        <w:tc>
          <w:tcPr>
            <w:tcW w:w="1993" w:type="dxa"/>
            <w:tcBorders>
              <w:top w:val="nil"/>
              <w:left w:val="nil"/>
              <w:bottom w:val="single" w:sz="4" w:space="0" w:color="auto"/>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b/>
                <w:bCs/>
                <w:color w:val="000000"/>
                <w:lang w:eastAsia="nl-NL"/>
              </w:rPr>
            </w:pPr>
            <w:r w:rsidRPr="0032496B">
              <w:rPr>
                <w:rFonts w:ascii="Calibri" w:eastAsia="Times New Roman" w:hAnsi="Calibri" w:cs="Times New Roman"/>
                <w:b/>
                <w:bCs/>
                <w:color w:val="000000"/>
                <w:lang w:eastAsia="nl-NL"/>
              </w:rPr>
              <w:t>Star Journal bias</w:t>
            </w:r>
          </w:p>
        </w:tc>
        <w:tc>
          <w:tcPr>
            <w:tcW w:w="2397" w:type="dxa"/>
            <w:tcBorders>
              <w:top w:val="nil"/>
              <w:left w:val="nil"/>
              <w:bottom w:val="single" w:sz="4" w:space="0" w:color="auto"/>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sidRPr="0032496B">
              <w:rPr>
                <w:rFonts w:ascii="Calibri" w:eastAsia="Times New Roman" w:hAnsi="Calibri" w:cs="Times New Roman"/>
                <w:color w:val="000000"/>
                <w:lang w:eastAsia="nl-NL"/>
              </w:rPr>
              <w:t>No Evidence</w:t>
            </w:r>
          </w:p>
        </w:tc>
        <w:tc>
          <w:tcPr>
            <w:tcW w:w="1709" w:type="dxa"/>
            <w:tcBorders>
              <w:top w:val="nil"/>
              <w:left w:val="nil"/>
              <w:bottom w:val="single" w:sz="4" w:space="0" w:color="auto"/>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sidRPr="0032496B">
              <w:rPr>
                <w:rFonts w:ascii="Calibri" w:eastAsia="Times New Roman" w:hAnsi="Calibri" w:cs="Times New Roman"/>
                <w:color w:val="000000"/>
                <w:lang w:eastAsia="nl-NL"/>
              </w:rPr>
              <w:t>No Evidence</w:t>
            </w:r>
          </w:p>
        </w:tc>
        <w:tc>
          <w:tcPr>
            <w:tcW w:w="2821" w:type="dxa"/>
            <w:tcBorders>
              <w:top w:val="nil"/>
              <w:left w:val="nil"/>
              <w:bottom w:val="single" w:sz="4" w:space="0" w:color="auto"/>
              <w:right w:val="nil"/>
            </w:tcBorders>
            <w:shd w:val="clear" w:color="000000" w:fill="FFFFFF"/>
            <w:noWrap/>
            <w:hideMark/>
          </w:tcPr>
          <w:p w:rsidR="00575454" w:rsidRPr="0032496B" w:rsidRDefault="00575454" w:rsidP="00575454">
            <w:pPr>
              <w:spacing w:after="0" w:line="240" w:lineRule="auto"/>
              <w:rPr>
                <w:rFonts w:ascii="Calibri" w:eastAsia="Times New Roman" w:hAnsi="Calibri" w:cs="Times New Roman"/>
                <w:color w:val="000000"/>
                <w:lang w:eastAsia="nl-NL"/>
              </w:rPr>
            </w:pPr>
            <w:r w:rsidRPr="0032496B">
              <w:rPr>
                <w:rFonts w:ascii="Calibri" w:eastAsia="Times New Roman" w:hAnsi="Calibri" w:cs="Times New Roman"/>
                <w:color w:val="000000"/>
                <w:lang w:eastAsia="nl-NL"/>
              </w:rPr>
              <w:t>No Evidence</w:t>
            </w:r>
          </w:p>
        </w:tc>
      </w:tr>
    </w:tbl>
    <w:p w:rsidR="004A2D37" w:rsidRDefault="00496C41" w:rsidP="007210EF">
      <w:pPr>
        <w:jc w:val="both"/>
        <w:rPr>
          <w:sz w:val="18"/>
          <w:szCs w:val="18"/>
          <w:lang w:val="en-US"/>
        </w:rPr>
      </w:pPr>
      <w:r w:rsidRPr="007B63D1">
        <w:rPr>
          <w:sz w:val="18"/>
          <w:szCs w:val="18"/>
          <w:lang w:val="en-US"/>
        </w:rPr>
        <w:t>Table 1</w:t>
      </w:r>
      <w:r w:rsidR="007F0D94">
        <w:rPr>
          <w:sz w:val="18"/>
          <w:szCs w:val="18"/>
          <w:lang w:val="en-US"/>
        </w:rPr>
        <w:t>6</w:t>
      </w:r>
      <w:r w:rsidRPr="007B63D1">
        <w:rPr>
          <w:sz w:val="18"/>
          <w:szCs w:val="18"/>
          <w:lang w:val="en-US"/>
        </w:rPr>
        <w:t xml:space="preserve"> summarizes the results of the three MRA tests conducted in this thesis.</w:t>
      </w:r>
      <w:r w:rsidR="007B63D1" w:rsidRPr="007B63D1">
        <w:rPr>
          <w:sz w:val="18"/>
          <w:szCs w:val="18"/>
          <w:lang w:val="en-US"/>
        </w:rPr>
        <w:t xml:space="preserve"> The table shows the true </w:t>
      </w:r>
      <w:r w:rsidR="00A8632D">
        <w:rPr>
          <w:sz w:val="18"/>
          <w:szCs w:val="18"/>
          <w:lang w:val="en-US"/>
        </w:rPr>
        <w:t xml:space="preserve">and expected </w:t>
      </w:r>
      <w:r w:rsidR="000F0F3F">
        <w:rPr>
          <w:sz w:val="18"/>
          <w:szCs w:val="18"/>
          <w:lang w:val="en-US"/>
        </w:rPr>
        <w:t>relation</w:t>
      </w:r>
      <w:r w:rsidR="007B63D1" w:rsidRPr="007B63D1">
        <w:rPr>
          <w:sz w:val="18"/>
          <w:szCs w:val="18"/>
          <w:lang w:val="en-US"/>
        </w:rPr>
        <w:t xml:space="preserve"> between the three variables and IPO underpricing. The table also shows which study characteristics bias the coefficient upwards and downwards. The abbreviations are </w:t>
      </w:r>
      <w:r w:rsidR="006963D6">
        <w:rPr>
          <w:sz w:val="18"/>
          <w:szCs w:val="18"/>
          <w:lang w:val="en-US"/>
        </w:rPr>
        <w:t xml:space="preserve">as follows: EUR: European data. </w:t>
      </w:r>
      <w:r w:rsidR="007B63D1" w:rsidRPr="007B63D1">
        <w:rPr>
          <w:sz w:val="18"/>
          <w:szCs w:val="18"/>
          <w:lang w:val="en-US"/>
        </w:rPr>
        <w:t>Pac: Data from the pacific</w:t>
      </w:r>
      <w:r w:rsidR="00575454">
        <w:rPr>
          <w:sz w:val="18"/>
          <w:szCs w:val="18"/>
          <w:lang w:val="en-US"/>
        </w:rPr>
        <w:t xml:space="preserve"> region.</w:t>
      </w:r>
      <w:r w:rsidR="007B63D1" w:rsidRPr="007B63D1">
        <w:rPr>
          <w:sz w:val="18"/>
          <w:szCs w:val="18"/>
          <w:lang w:val="en-US"/>
        </w:rPr>
        <w:t xml:space="preserve"> 90&amp;Int: Data from the 90’s inclu</w:t>
      </w:r>
      <w:r w:rsidR="006963D6">
        <w:rPr>
          <w:sz w:val="18"/>
          <w:szCs w:val="18"/>
          <w:lang w:val="en-US"/>
        </w:rPr>
        <w:t>ding the Internet bubble period.</w:t>
      </w:r>
      <w:r w:rsidR="007B63D1" w:rsidRPr="007B63D1">
        <w:rPr>
          <w:sz w:val="18"/>
          <w:szCs w:val="18"/>
          <w:lang w:val="en-US"/>
        </w:rPr>
        <w:t xml:space="preserve"> Madj: First day </w:t>
      </w:r>
      <w:r w:rsidR="006963D6">
        <w:rPr>
          <w:sz w:val="18"/>
          <w:szCs w:val="18"/>
          <w:lang w:val="en-US"/>
        </w:rPr>
        <w:t>returns are not market adjusted.</w:t>
      </w:r>
      <w:r w:rsidR="007B63D1" w:rsidRPr="007B63D1">
        <w:rPr>
          <w:sz w:val="18"/>
          <w:szCs w:val="18"/>
          <w:lang w:val="en-US"/>
        </w:rPr>
        <w:t xml:space="preserve"> ExFin: Financial firms are excluded</w:t>
      </w:r>
      <w:r w:rsidR="006963D6">
        <w:rPr>
          <w:sz w:val="18"/>
          <w:szCs w:val="18"/>
          <w:lang w:val="en-US"/>
        </w:rPr>
        <w:t>.</w:t>
      </w:r>
      <w:r w:rsidR="007B63D1" w:rsidRPr="007B63D1">
        <w:rPr>
          <w:sz w:val="18"/>
          <w:szCs w:val="18"/>
          <w:lang w:val="en-US"/>
        </w:rPr>
        <w:t xml:space="preserve"> ExSF: Small firm are excluded</w:t>
      </w:r>
      <w:r w:rsidR="006963D6">
        <w:rPr>
          <w:sz w:val="18"/>
          <w:szCs w:val="18"/>
          <w:lang w:val="en-US"/>
        </w:rPr>
        <w:t>.</w:t>
      </w:r>
      <w:r w:rsidR="007B63D1" w:rsidRPr="007B63D1">
        <w:rPr>
          <w:sz w:val="18"/>
          <w:szCs w:val="18"/>
          <w:lang w:val="en-US"/>
        </w:rPr>
        <w:t xml:space="preserve"> ExBE: </w:t>
      </w:r>
      <w:r w:rsidR="00F60C96">
        <w:rPr>
          <w:sz w:val="18"/>
          <w:szCs w:val="18"/>
          <w:lang w:val="en-US"/>
        </w:rPr>
        <w:t>Best Efforts</w:t>
      </w:r>
      <w:r w:rsidR="007B63D1" w:rsidRPr="007B63D1">
        <w:rPr>
          <w:sz w:val="18"/>
          <w:szCs w:val="18"/>
          <w:lang w:val="en-US"/>
        </w:rPr>
        <w:t xml:space="preserve"> contracts are excluded and ExPRO: The proceeds variable was excluded from the original regression. Finally the table shows the results of the publication bias tests. No evidence is found for any star journal bias, the general test for publication bias can only be rejected for the IPO proceeds MRA.</w:t>
      </w:r>
    </w:p>
    <w:p w:rsidR="004A2D37" w:rsidRDefault="004A2D37">
      <w:pPr>
        <w:rPr>
          <w:sz w:val="18"/>
          <w:szCs w:val="18"/>
          <w:lang w:val="en-US"/>
        </w:rPr>
      </w:pPr>
      <w:r>
        <w:rPr>
          <w:sz w:val="18"/>
          <w:szCs w:val="18"/>
          <w:lang w:val="en-US"/>
        </w:rPr>
        <w:br w:type="page"/>
      </w:r>
    </w:p>
    <w:p w:rsidR="00E62D17" w:rsidRPr="004A2D37" w:rsidRDefault="004A2D37" w:rsidP="004A2D37">
      <w:pPr>
        <w:pStyle w:val="ListParagraph"/>
        <w:numPr>
          <w:ilvl w:val="0"/>
          <w:numId w:val="37"/>
        </w:numPr>
        <w:ind w:left="1418" w:hanging="851"/>
        <w:rPr>
          <w:b/>
          <w:lang w:val="en-US"/>
        </w:rPr>
      </w:pPr>
      <w:r>
        <w:rPr>
          <w:b/>
          <w:lang w:val="en-US"/>
        </w:rPr>
        <w:lastRenderedPageBreak/>
        <w:t xml:space="preserve">Robustness </w:t>
      </w:r>
    </w:p>
    <w:p w:rsidR="00FA70F1" w:rsidRDefault="00787CA8" w:rsidP="00FA70F1">
      <w:pPr>
        <w:spacing w:line="360" w:lineRule="auto"/>
        <w:rPr>
          <w:lang w:val="en-US"/>
        </w:rPr>
      </w:pPr>
      <w:r>
        <w:rPr>
          <w:lang w:val="en-US"/>
        </w:rPr>
        <w:t>This chapter describes several robustness checks</w:t>
      </w:r>
      <w:r w:rsidR="00FA70F1">
        <w:rPr>
          <w:lang w:val="en-US"/>
        </w:rPr>
        <w:t>.</w:t>
      </w:r>
    </w:p>
    <w:p w:rsidR="00261556" w:rsidRDefault="00261556" w:rsidP="00FA70F1">
      <w:pPr>
        <w:spacing w:line="360" w:lineRule="auto"/>
        <w:rPr>
          <w:i/>
          <w:lang w:val="en-US"/>
        </w:rPr>
      </w:pPr>
      <w:r w:rsidRPr="00261556">
        <w:rPr>
          <w:i/>
          <w:lang w:val="en-US"/>
        </w:rPr>
        <w:t>Quality of the underlying studies</w:t>
      </w:r>
    </w:p>
    <w:p w:rsidR="00261556" w:rsidRDefault="00261556" w:rsidP="00FA70F1">
      <w:pPr>
        <w:spacing w:line="360" w:lineRule="auto"/>
        <w:rPr>
          <w:lang w:val="en-US"/>
        </w:rPr>
      </w:pPr>
      <w:r>
        <w:rPr>
          <w:lang w:val="en-US"/>
        </w:rPr>
        <w:t>Meta regression analysis summarizes the results of previous studies and correct</w:t>
      </w:r>
      <w:r w:rsidR="00E049B7">
        <w:rPr>
          <w:lang w:val="en-US"/>
        </w:rPr>
        <w:t>s</w:t>
      </w:r>
      <w:r>
        <w:rPr>
          <w:lang w:val="en-US"/>
        </w:rPr>
        <w:t xml:space="preserve"> for biasing study specifications. However if not all biases in the underlying studies are identified, the result of the Meta regression analysis itself could be biased.</w:t>
      </w:r>
    </w:p>
    <w:p w:rsidR="00261556" w:rsidRDefault="00261556" w:rsidP="00FA70F1">
      <w:pPr>
        <w:spacing w:line="360" w:lineRule="auto"/>
        <w:rPr>
          <w:i/>
          <w:lang w:val="en-US"/>
        </w:rPr>
      </w:pPr>
      <w:r w:rsidRPr="00261556">
        <w:rPr>
          <w:i/>
          <w:lang w:val="en-US"/>
        </w:rPr>
        <w:t>Agenda driven bias</w:t>
      </w:r>
    </w:p>
    <w:p w:rsidR="00261556" w:rsidRPr="00261556" w:rsidRDefault="00261556" w:rsidP="00FA70F1">
      <w:pPr>
        <w:spacing w:line="360" w:lineRule="auto"/>
        <w:rPr>
          <w:lang w:val="en-US"/>
        </w:rPr>
      </w:pPr>
      <w:r>
        <w:rPr>
          <w:lang w:val="en-US"/>
        </w:rPr>
        <w:t>A researcher performing a Meta regression analysis can steer the results by ‘cherry picking’ the underlying studies.</w:t>
      </w:r>
      <w:r w:rsidR="00F66CF4">
        <w:rPr>
          <w:lang w:val="en-US"/>
        </w:rPr>
        <w:t xml:space="preserve"> </w:t>
      </w:r>
      <w:r w:rsidR="000F0F3F">
        <w:rPr>
          <w:lang w:val="en-US"/>
        </w:rPr>
        <w:t>Since a</w:t>
      </w:r>
      <w:r w:rsidR="00F66CF4">
        <w:rPr>
          <w:lang w:val="en-US"/>
        </w:rPr>
        <w:t xml:space="preserve">ll available papers were included in the dataset, </w:t>
      </w:r>
      <w:r w:rsidR="000F0F3F">
        <w:rPr>
          <w:lang w:val="en-US"/>
        </w:rPr>
        <w:t>the results are not prone to ‘cherry picking’</w:t>
      </w:r>
      <w:r w:rsidR="00F66CF4">
        <w:rPr>
          <w:lang w:val="en-US"/>
        </w:rPr>
        <w:t>.</w:t>
      </w:r>
      <w:r>
        <w:rPr>
          <w:lang w:val="en-US"/>
        </w:rPr>
        <w:t xml:space="preserve"> </w:t>
      </w:r>
      <w:proofErr w:type="gramStart"/>
      <w:r w:rsidR="000F0F3F">
        <w:rPr>
          <w:lang w:val="en-US"/>
        </w:rPr>
        <w:t>However ,t</w:t>
      </w:r>
      <w:r w:rsidR="004147EF">
        <w:rPr>
          <w:lang w:val="en-US"/>
        </w:rPr>
        <w:t>he</w:t>
      </w:r>
      <w:proofErr w:type="gramEnd"/>
      <w:r w:rsidR="004147EF">
        <w:rPr>
          <w:lang w:val="en-US"/>
        </w:rPr>
        <w:t xml:space="preserve"> </w:t>
      </w:r>
      <w:r w:rsidR="00A8632D">
        <w:rPr>
          <w:lang w:val="en-US"/>
        </w:rPr>
        <w:t xml:space="preserve">majority of the </w:t>
      </w:r>
      <w:r w:rsidR="004147EF">
        <w:rPr>
          <w:lang w:val="en-US"/>
        </w:rPr>
        <w:t xml:space="preserve">included papers are published </w:t>
      </w:r>
      <w:r w:rsidR="00A8632D">
        <w:rPr>
          <w:lang w:val="en-US"/>
        </w:rPr>
        <w:t>ones</w:t>
      </w:r>
      <w:r w:rsidR="004147EF">
        <w:rPr>
          <w:lang w:val="en-US"/>
        </w:rPr>
        <w:t>, since these papers are easier to find.</w:t>
      </w:r>
      <w:r w:rsidR="00F66CF4">
        <w:rPr>
          <w:lang w:val="en-US"/>
        </w:rPr>
        <w:t xml:space="preserve"> </w:t>
      </w:r>
    </w:p>
    <w:p w:rsidR="00261556" w:rsidRDefault="00261556" w:rsidP="009C63FE">
      <w:pPr>
        <w:spacing w:line="360" w:lineRule="auto"/>
        <w:rPr>
          <w:i/>
          <w:lang w:val="en-US"/>
        </w:rPr>
      </w:pPr>
      <w:r>
        <w:rPr>
          <w:i/>
          <w:lang w:val="en-US"/>
        </w:rPr>
        <w:t>Publication bias</w:t>
      </w:r>
    </w:p>
    <w:p w:rsidR="0023347F" w:rsidRDefault="004147EF" w:rsidP="009C63FE">
      <w:pPr>
        <w:spacing w:line="360" w:lineRule="auto"/>
        <w:rPr>
          <w:lang w:val="en-US"/>
        </w:rPr>
      </w:pPr>
      <w:r>
        <w:rPr>
          <w:lang w:val="en-US"/>
        </w:rPr>
        <w:t>T</w:t>
      </w:r>
      <w:r w:rsidR="00261556">
        <w:rPr>
          <w:lang w:val="en-US"/>
        </w:rPr>
        <w:t>he null</w:t>
      </w:r>
      <w:r w:rsidR="0023347F">
        <w:rPr>
          <w:lang w:val="en-US"/>
        </w:rPr>
        <w:t xml:space="preserve"> hypothesis of publication bias</w:t>
      </w:r>
      <w:r w:rsidR="00261556">
        <w:rPr>
          <w:lang w:val="en-US"/>
        </w:rPr>
        <w:t xml:space="preserve"> could not be rejected for the firm age and underwriter reputation MRA.</w:t>
      </w:r>
      <w:r w:rsidR="0023347F">
        <w:rPr>
          <w:lang w:val="en-US"/>
        </w:rPr>
        <w:t xml:space="preserve"> If significant results are more likely to be published, the negative significant relation between firm age/underwriter reputation and </w:t>
      </w:r>
      <w:proofErr w:type="gramStart"/>
      <w:r w:rsidR="0023347F">
        <w:rPr>
          <w:lang w:val="en-US"/>
        </w:rPr>
        <w:t>underpricing,</w:t>
      </w:r>
      <w:proofErr w:type="gramEnd"/>
      <w:r w:rsidR="0023347F">
        <w:rPr>
          <w:lang w:val="en-US"/>
        </w:rPr>
        <w:t xml:space="preserve"> could be </w:t>
      </w:r>
      <w:r>
        <w:rPr>
          <w:lang w:val="en-US"/>
        </w:rPr>
        <w:t>prone to publication bias.</w:t>
      </w:r>
    </w:p>
    <w:p w:rsidR="004314D2" w:rsidRPr="00CC183A" w:rsidRDefault="004314D2" w:rsidP="001F4ADA">
      <w:pPr>
        <w:spacing w:line="360" w:lineRule="auto"/>
        <w:rPr>
          <w:i/>
          <w:lang w:val="en-US"/>
        </w:rPr>
      </w:pPr>
      <w:r w:rsidRPr="00CC183A">
        <w:rPr>
          <w:i/>
          <w:lang w:val="en-US"/>
        </w:rPr>
        <w:t>Heteroscedasticity</w:t>
      </w:r>
    </w:p>
    <w:p w:rsidR="00CE3444" w:rsidRDefault="00DB7902" w:rsidP="001F4ADA">
      <w:pPr>
        <w:spacing w:line="360" w:lineRule="auto"/>
        <w:rPr>
          <w:lang w:val="en-US"/>
        </w:rPr>
      </w:pPr>
      <w:r w:rsidRPr="009C63FE">
        <w:rPr>
          <w:lang w:val="en-US"/>
        </w:rPr>
        <w:t xml:space="preserve">Since the studies included in the MRA each use different data </w:t>
      </w:r>
      <w:r w:rsidR="000267E7" w:rsidRPr="009C63FE">
        <w:rPr>
          <w:lang w:val="en-US"/>
        </w:rPr>
        <w:t>sets</w:t>
      </w:r>
      <w:r w:rsidRPr="009C63FE">
        <w:rPr>
          <w:lang w:val="en-US"/>
        </w:rPr>
        <w:t>, sample sizes and independent variables</w:t>
      </w:r>
      <w:r w:rsidR="009C63FE" w:rsidRPr="009C63FE">
        <w:rPr>
          <w:lang w:val="en-US"/>
        </w:rPr>
        <w:t xml:space="preserve">, the variances of the estimated coefficients (included as the dependent in the MRA) may not be equal. Therefore, meta-regression errors are likely to be heteroscedastic (Stanley &amp; Jarrell, 1989). A common test for heteroscedasticity is White’s test. A White’s test includes the original independent variables, their squares and their cross-products. </w:t>
      </w:r>
      <w:r w:rsidR="000D50B8">
        <w:rPr>
          <w:lang w:val="en-US"/>
        </w:rPr>
        <w:t>Dummy variables have to be dropped in White’s test</w:t>
      </w:r>
      <w:r w:rsidR="00F01B17">
        <w:rPr>
          <w:lang w:val="en-US"/>
        </w:rPr>
        <w:t>. Unfortunately since</w:t>
      </w:r>
      <w:r w:rsidR="000D50B8">
        <w:rPr>
          <w:lang w:val="en-US"/>
        </w:rPr>
        <w:t xml:space="preserve"> the</w:t>
      </w:r>
      <w:r w:rsidR="00E049B7">
        <w:rPr>
          <w:lang w:val="en-US"/>
        </w:rPr>
        <w:t xml:space="preserve"> MRA</w:t>
      </w:r>
      <w:r w:rsidR="009C63FE" w:rsidRPr="009C63FE">
        <w:rPr>
          <w:lang w:val="en-US"/>
        </w:rPr>
        <w:t>s only include dummy variables as independent</w:t>
      </w:r>
      <w:r w:rsidR="00F01B17">
        <w:rPr>
          <w:lang w:val="en-US"/>
        </w:rPr>
        <w:t>s</w:t>
      </w:r>
      <w:r w:rsidR="009C63FE" w:rsidRPr="009C63FE">
        <w:rPr>
          <w:lang w:val="en-US"/>
        </w:rPr>
        <w:t>, White’s test cannot be conducted.</w:t>
      </w:r>
      <w:r w:rsidR="000D50B8">
        <w:rPr>
          <w:lang w:val="en-US"/>
        </w:rPr>
        <w:t xml:space="preserve"> </w:t>
      </w:r>
      <w:r w:rsidR="00F01B17">
        <w:rPr>
          <w:lang w:val="en-US"/>
        </w:rPr>
        <w:t>An alternative way to detect heteroscedasticity is by using standardized residual plot</w:t>
      </w:r>
      <w:r w:rsidR="004147EF">
        <w:rPr>
          <w:lang w:val="en-US"/>
        </w:rPr>
        <w:t>s</w:t>
      </w:r>
      <w:r w:rsidR="00F01B17">
        <w:rPr>
          <w:lang w:val="en-US"/>
        </w:rPr>
        <w:t xml:space="preserve">. </w:t>
      </w:r>
      <w:r w:rsidR="000D50B8">
        <w:rPr>
          <w:lang w:val="en-US"/>
        </w:rPr>
        <w:t>Appendix II shows the standardized residual plots</w:t>
      </w:r>
      <w:r w:rsidR="00F01B17">
        <w:rPr>
          <w:lang w:val="en-US"/>
        </w:rPr>
        <w:t xml:space="preserve"> for all three MRAs</w:t>
      </w:r>
      <w:r w:rsidR="000D50B8">
        <w:rPr>
          <w:lang w:val="en-US"/>
        </w:rPr>
        <w:t xml:space="preserve">. The residual plots for </w:t>
      </w:r>
      <w:r w:rsidR="00CE3444">
        <w:rPr>
          <w:lang w:val="en-US"/>
        </w:rPr>
        <w:t>all three MRAs</w:t>
      </w:r>
      <w:r w:rsidR="000D50B8">
        <w:rPr>
          <w:lang w:val="en-US"/>
        </w:rPr>
        <w:t xml:space="preserve"> do not show </w:t>
      </w:r>
      <w:r w:rsidR="00CE3444">
        <w:rPr>
          <w:lang w:val="en-US"/>
        </w:rPr>
        <w:t>a</w:t>
      </w:r>
      <w:r w:rsidR="000D50B8">
        <w:rPr>
          <w:lang w:val="en-US"/>
        </w:rPr>
        <w:t xml:space="preserve"> trend or curve, therefore these (subjective) tests do not show signs of </w:t>
      </w:r>
      <w:r w:rsidR="000D50B8" w:rsidRPr="000D50B8">
        <w:rPr>
          <w:lang w:val="en-US"/>
        </w:rPr>
        <w:t>heteroscedasticity</w:t>
      </w:r>
      <w:r w:rsidR="000D50B8">
        <w:rPr>
          <w:lang w:val="en-US"/>
        </w:rPr>
        <w:t xml:space="preserve">. </w:t>
      </w:r>
    </w:p>
    <w:p w:rsidR="001F4ADA" w:rsidRDefault="001F4ADA">
      <w:pPr>
        <w:rPr>
          <w:i/>
          <w:lang w:val="en-US"/>
        </w:rPr>
      </w:pPr>
      <w:r>
        <w:rPr>
          <w:i/>
          <w:lang w:val="en-US"/>
        </w:rPr>
        <w:br w:type="page"/>
      </w:r>
    </w:p>
    <w:p w:rsidR="004A2D37" w:rsidRPr="00CC183A" w:rsidRDefault="00E049B7" w:rsidP="005758DF">
      <w:pPr>
        <w:spacing w:line="360" w:lineRule="auto"/>
        <w:rPr>
          <w:i/>
          <w:lang w:val="en-US"/>
        </w:rPr>
      </w:pPr>
      <w:r>
        <w:rPr>
          <w:i/>
          <w:lang w:val="en-US"/>
        </w:rPr>
        <w:lastRenderedPageBreak/>
        <w:t>Omitted variable bias</w:t>
      </w:r>
    </w:p>
    <w:p w:rsidR="00261556" w:rsidRPr="0023347F" w:rsidRDefault="00D47FBA" w:rsidP="005758DF">
      <w:pPr>
        <w:spacing w:line="360" w:lineRule="auto"/>
        <w:rPr>
          <w:lang w:val="en-US"/>
        </w:rPr>
      </w:pPr>
      <w:r w:rsidRPr="00F01B17">
        <w:rPr>
          <w:lang w:val="en-US"/>
        </w:rPr>
        <w:t>Just like ordinary regression models, MRA</w:t>
      </w:r>
      <w:r w:rsidR="00E049B7">
        <w:rPr>
          <w:lang w:val="en-US"/>
        </w:rPr>
        <w:t>s are</w:t>
      </w:r>
      <w:r w:rsidRPr="00F01B17">
        <w:rPr>
          <w:lang w:val="en-US"/>
        </w:rPr>
        <w:t xml:space="preserve"> prone to omitted variable bias</w:t>
      </w:r>
      <w:r w:rsidR="00F01B17" w:rsidRPr="00F01B17">
        <w:rPr>
          <w:lang w:val="en-US"/>
        </w:rPr>
        <w:t xml:space="preserve">. When one is working with small datasets and dummy variables, missing variable bias could easily lead to misinterpretations </w:t>
      </w:r>
      <w:r w:rsidR="00E049B7">
        <w:rPr>
          <w:lang w:val="en-US"/>
        </w:rPr>
        <w:t>of the reported findings.</w:t>
      </w:r>
      <w:r w:rsidR="00F01B17">
        <w:rPr>
          <w:lang w:val="en-US"/>
        </w:rPr>
        <w:t xml:space="preserve"> In the MRA</w:t>
      </w:r>
      <w:r w:rsidR="00E049B7">
        <w:rPr>
          <w:lang w:val="en-US"/>
        </w:rPr>
        <w:t>s</w:t>
      </w:r>
      <w:r w:rsidR="00F01B17">
        <w:rPr>
          <w:lang w:val="en-US"/>
        </w:rPr>
        <w:t xml:space="preserve"> several model and data specifications were identified and dummy variables were used to incorporate </w:t>
      </w:r>
      <w:r w:rsidR="00B22626">
        <w:rPr>
          <w:lang w:val="en-US"/>
        </w:rPr>
        <w:t>these specifications</w:t>
      </w:r>
      <w:r w:rsidR="00F01B17">
        <w:rPr>
          <w:lang w:val="en-US"/>
        </w:rPr>
        <w:t>. For instance</w:t>
      </w:r>
      <w:r w:rsidR="00F66CF4">
        <w:rPr>
          <w:lang w:val="en-US"/>
        </w:rPr>
        <w:t>,</w:t>
      </w:r>
      <w:r w:rsidR="00F01B17">
        <w:rPr>
          <w:lang w:val="en-US"/>
        </w:rPr>
        <w:t xml:space="preserve"> if the paper used data from Europe, the EUR dummy took the value of one. If the coefficient for the EUR dummy is significant, I conclude that in Europe the relation between firm age and underpricing differs from the relation in the US. </w:t>
      </w:r>
      <w:r w:rsidR="00B22626">
        <w:rPr>
          <w:lang w:val="en-US"/>
        </w:rPr>
        <w:t xml:space="preserve">However, if only a few studies contained data from Europe, these studies could also have some other common characteristic that drives the results.  </w:t>
      </w:r>
    </w:p>
    <w:p w:rsidR="00333CE4" w:rsidRPr="00CC183A" w:rsidRDefault="005758DF" w:rsidP="001F4ADA">
      <w:pPr>
        <w:spacing w:line="360" w:lineRule="auto"/>
        <w:rPr>
          <w:i/>
          <w:lang w:val="en-US"/>
        </w:rPr>
      </w:pPr>
      <w:r w:rsidRPr="00CC183A">
        <w:rPr>
          <w:i/>
          <w:lang w:val="en-US"/>
        </w:rPr>
        <w:t>Missing time dummies</w:t>
      </w:r>
    </w:p>
    <w:p w:rsidR="0023347F" w:rsidRPr="003E550C" w:rsidRDefault="005758DF" w:rsidP="001F4ADA">
      <w:pPr>
        <w:spacing w:line="360" w:lineRule="auto"/>
        <w:rPr>
          <w:lang w:val="en-US"/>
        </w:rPr>
      </w:pPr>
      <w:r w:rsidRPr="005758DF">
        <w:rPr>
          <w:lang w:val="en-US"/>
        </w:rPr>
        <w:t>By including time dummies in an MRA, one test</w:t>
      </w:r>
      <w:r w:rsidR="00E049B7">
        <w:rPr>
          <w:lang w:val="en-US"/>
        </w:rPr>
        <w:t>s</w:t>
      </w:r>
      <w:r w:rsidRPr="005758DF">
        <w:rPr>
          <w:lang w:val="en-US"/>
        </w:rPr>
        <w:t xml:space="preserve"> whether the relationship between 2 variables of interest has changed true time.</w:t>
      </w:r>
      <w:r>
        <w:rPr>
          <w:lang w:val="en-US"/>
        </w:rPr>
        <w:t xml:space="preserve"> Although MRA is a good method to check variations through time, it is often hard to implement. In order to use time dummies, one has to make several none overlapping classes, for instance by decade. If some of the included papers use data from 1970-1980 but other papers use data from 1965-1975, the researcher is unable to divide the data by decade. For this reason I was unable to divide the dataset for the IPO proceeds MRA and the underwriter reputation MRA into a separate nineties and Internet bubble period. Since two well know papers on underpricing </w:t>
      </w:r>
      <w:r w:rsidR="00D47FBA">
        <w:rPr>
          <w:lang w:val="en-US"/>
        </w:rPr>
        <w:t>have different views on the relation between underwriter reputation and underpr</w:t>
      </w:r>
      <w:r w:rsidR="007405E8">
        <w:rPr>
          <w:lang w:val="en-US"/>
        </w:rPr>
        <w:t>i</w:t>
      </w:r>
      <w:r w:rsidR="00D47FBA">
        <w:rPr>
          <w:lang w:val="en-US"/>
        </w:rPr>
        <w:t xml:space="preserve">cing in the </w:t>
      </w:r>
      <w:r w:rsidR="00F01B17">
        <w:rPr>
          <w:lang w:val="en-US"/>
        </w:rPr>
        <w:t xml:space="preserve">early </w:t>
      </w:r>
      <w:r w:rsidR="00D47FBA">
        <w:rPr>
          <w:lang w:val="en-US"/>
        </w:rPr>
        <w:t>nineties (Loughran &amp; Ritter, 2004; Ljungqvist &amp; Wilhelm, 2003</w:t>
      </w:r>
      <w:r w:rsidR="007405E8">
        <w:rPr>
          <w:lang w:val="en-US"/>
        </w:rPr>
        <w:t>) this</w:t>
      </w:r>
      <w:r w:rsidR="00D47FBA">
        <w:rPr>
          <w:lang w:val="en-US"/>
        </w:rPr>
        <w:t xml:space="preserve"> problem is especially unfortunate.</w:t>
      </w:r>
    </w:p>
    <w:p w:rsidR="00333CE4" w:rsidRPr="00CC183A" w:rsidRDefault="00D47FBA" w:rsidP="005758DF">
      <w:pPr>
        <w:spacing w:line="360" w:lineRule="auto"/>
        <w:rPr>
          <w:i/>
          <w:lang w:val="en-US"/>
        </w:rPr>
      </w:pPr>
      <w:r w:rsidRPr="00CC183A">
        <w:rPr>
          <w:i/>
          <w:lang w:val="en-US"/>
        </w:rPr>
        <w:t xml:space="preserve">Lack of </w:t>
      </w:r>
      <w:r w:rsidR="00333CE4" w:rsidRPr="00CC183A">
        <w:rPr>
          <w:i/>
          <w:lang w:val="en-US"/>
        </w:rPr>
        <w:t>data</w:t>
      </w:r>
    </w:p>
    <w:p w:rsidR="0023347F" w:rsidRPr="0023347F" w:rsidRDefault="00D47FBA" w:rsidP="005758DF">
      <w:pPr>
        <w:spacing w:line="360" w:lineRule="auto"/>
        <w:rPr>
          <w:b/>
          <w:lang w:val="en-US"/>
        </w:rPr>
      </w:pPr>
      <w:r w:rsidRPr="00D47FBA">
        <w:rPr>
          <w:lang w:val="en-US"/>
        </w:rPr>
        <w:t>Since every observation in a Meta regression is a result of a regression itself, it is hard to construct a large dataset.</w:t>
      </w:r>
      <w:r>
        <w:rPr>
          <w:b/>
          <w:lang w:val="en-US"/>
        </w:rPr>
        <w:t xml:space="preserve"> </w:t>
      </w:r>
      <w:r w:rsidRPr="00D47FBA">
        <w:rPr>
          <w:lang w:val="en-US"/>
        </w:rPr>
        <w:t xml:space="preserve">Not only are </w:t>
      </w:r>
      <w:r w:rsidR="007405E8" w:rsidRPr="00D47FBA">
        <w:rPr>
          <w:lang w:val="en-US"/>
        </w:rPr>
        <w:t>useful</w:t>
      </w:r>
      <w:r w:rsidRPr="00D47FBA">
        <w:rPr>
          <w:lang w:val="en-US"/>
        </w:rPr>
        <w:t xml:space="preserve"> papers scarce, authors also </w:t>
      </w:r>
      <w:proofErr w:type="gramStart"/>
      <w:r w:rsidRPr="00D47FBA">
        <w:rPr>
          <w:lang w:val="en-US"/>
        </w:rPr>
        <w:t>tend</w:t>
      </w:r>
      <w:proofErr w:type="gramEnd"/>
      <w:r w:rsidRPr="00D47FBA">
        <w:rPr>
          <w:lang w:val="en-US"/>
        </w:rPr>
        <w:t xml:space="preserve"> to include variables in transformed and untransformed ways. For instance, the results of an age and </w:t>
      </w:r>
      <w:proofErr w:type="gramStart"/>
      <w:r w:rsidR="00043ED2">
        <w:rPr>
          <w:lang w:val="en-US"/>
        </w:rPr>
        <w:t>LN</w:t>
      </w:r>
      <w:r w:rsidRPr="00D47FBA">
        <w:rPr>
          <w:lang w:val="en-US"/>
        </w:rPr>
        <w:t>(</w:t>
      </w:r>
      <w:proofErr w:type="gramEnd"/>
      <w:r w:rsidRPr="00D47FBA">
        <w:rPr>
          <w:lang w:val="en-US"/>
        </w:rPr>
        <w:t>age) coefficient cannot be used in the same MRA.</w:t>
      </w:r>
    </w:p>
    <w:p w:rsidR="001F4ADA" w:rsidRDefault="001F4ADA">
      <w:pPr>
        <w:rPr>
          <w:i/>
          <w:lang w:val="en-US"/>
        </w:rPr>
      </w:pPr>
      <w:r>
        <w:rPr>
          <w:i/>
          <w:lang w:val="en-US"/>
        </w:rPr>
        <w:br w:type="page"/>
      </w:r>
    </w:p>
    <w:p w:rsidR="0023347F" w:rsidRPr="00A71035" w:rsidRDefault="0023347F" w:rsidP="00184753">
      <w:pPr>
        <w:rPr>
          <w:i/>
          <w:lang w:val="en-US"/>
        </w:rPr>
      </w:pPr>
      <w:r w:rsidRPr="00A71035">
        <w:rPr>
          <w:i/>
          <w:lang w:val="en-US"/>
        </w:rPr>
        <w:lastRenderedPageBreak/>
        <w:t>Autocorrelation</w:t>
      </w:r>
    </w:p>
    <w:p w:rsidR="00B8039D" w:rsidRDefault="00A71035" w:rsidP="005758DF">
      <w:pPr>
        <w:spacing w:line="360" w:lineRule="auto"/>
        <w:rPr>
          <w:lang w:val="en-US"/>
        </w:rPr>
      </w:pPr>
      <w:r>
        <w:rPr>
          <w:lang w:val="en-US"/>
        </w:rPr>
        <w:t>Since most studies included in the MRA contained more than 1 observation, some observations were drawn from the same dataset. This could cause the observations to be dependent on one another</w:t>
      </w:r>
      <w:r w:rsidR="00066394">
        <w:rPr>
          <w:lang w:val="en-US"/>
        </w:rPr>
        <w:t>,</w:t>
      </w:r>
      <w:r>
        <w:rPr>
          <w:lang w:val="en-US"/>
        </w:rPr>
        <w:t xml:space="preserve"> leading to autocorrelation.</w:t>
      </w:r>
      <w:r w:rsidR="00066394">
        <w:rPr>
          <w:lang w:val="en-US"/>
        </w:rPr>
        <w:t xml:space="preserve"> To test for autocorrelation I use the Durbin-Watson test. SPSS calculates the Durbin-Watson</w:t>
      </w:r>
      <w:r w:rsidR="00B8039D">
        <w:rPr>
          <w:lang w:val="en-US"/>
        </w:rPr>
        <w:t xml:space="preserve"> </w:t>
      </w:r>
      <m:oMath>
        <m:r>
          <w:rPr>
            <w:rFonts w:ascii="Cambria Math" w:hAnsi="Cambria Math"/>
            <w:lang w:val="en-US"/>
          </w:rPr>
          <m:t>(d)</m:t>
        </m:r>
      </m:oMath>
      <w:r w:rsidR="00066394">
        <w:rPr>
          <w:lang w:val="en-US"/>
        </w:rPr>
        <w:t xml:space="preserve"> statistic and this statistic is compared to the lower</w:t>
      </w:r>
      <w:r w:rsidR="00B8039D">
        <w:rPr>
          <w:lang w:val="en-US"/>
        </w:rPr>
        <w:t xml:space="preserve">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l</m:t>
            </m:r>
          </m:sub>
        </m:sSub>
      </m:oMath>
      <w:r w:rsidR="00B8039D">
        <w:rPr>
          <w:rFonts w:eastAsiaTheme="minorEastAsia"/>
          <w:lang w:val="en-US"/>
        </w:rPr>
        <w:t>)</w:t>
      </w:r>
      <w:r w:rsidR="00066394">
        <w:rPr>
          <w:lang w:val="en-US"/>
        </w:rPr>
        <w:t xml:space="preserve"> and upper bound</w:t>
      </w:r>
      <w:r w:rsidR="00B8039D">
        <w:rPr>
          <w:lang w:val="en-US"/>
        </w:rPr>
        <w:t>s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u</m:t>
            </m:r>
          </m:sub>
        </m:sSub>
      </m:oMath>
      <w:r w:rsidR="00B8039D">
        <w:rPr>
          <w:lang w:val="en-US"/>
        </w:rPr>
        <w:t xml:space="preserve">) </w:t>
      </w:r>
      <w:r w:rsidR="00066394">
        <w:rPr>
          <w:lang w:val="en-US"/>
        </w:rPr>
        <w:t xml:space="preserve">from the Durbin-Watson critical values table. </w:t>
      </w:r>
      <w:r w:rsidR="00B8039D">
        <w:rPr>
          <w:lang w:val="en-US"/>
        </w:rPr>
        <w:t xml:space="preserve"> The Durban-Watson statistic can fall in five </w:t>
      </w:r>
      <w:r>
        <w:rPr>
          <w:rFonts w:ascii="Cambria Math" w:hAnsi="Cambria Math"/>
          <w:lang w:val="en-US"/>
        </w:rPr>
        <w:br/>
      </w:r>
      <w:r w:rsidR="00B8039D">
        <w:rPr>
          <w:lang w:val="en-US"/>
        </w:rPr>
        <w:t>regions:</w:t>
      </w:r>
    </w:p>
    <w:p w:rsidR="006F182E" w:rsidRPr="006F182E" w:rsidRDefault="00184753" w:rsidP="006F182E">
      <w:pPr>
        <w:spacing w:line="360" w:lineRule="auto"/>
        <w:rPr>
          <w:rFonts w:eastAsiaTheme="minorEastAsia"/>
          <w:lang w:val="en-US"/>
        </w:rPr>
      </w:pPr>
      <w:r>
        <w:rPr>
          <w:lang w:val="en-US"/>
        </w:rPr>
        <w:t>1)</w:t>
      </w:r>
      <w:r>
        <w:rPr>
          <w:lang w:val="en-US"/>
        </w:rPr>
        <w:tab/>
      </w:r>
      <w:r w:rsidR="00B8039D">
        <w:rPr>
          <w:lang w:val="en-US"/>
        </w:rPr>
        <w:t xml:space="preserve"> </w:t>
      </w:r>
      <m:oMath>
        <m:r>
          <w:rPr>
            <w:rFonts w:ascii="Cambria Math" w:hAnsi="Cambria Math"/>
            <w:lang w:val="en-US"/>
          </w:rPr>
          <m:t xml:space="preserve">0&lt;d&lt; </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l</m:t>
            </m:r>
          </m:sub>
        </m:sSub>
        <m:r>
          <w:rPr>
            <w:rFonts w:ascii="Cambria Math" w:hAnsi="Cambria Math"/>
            <w:lang w:val="en-US"/>
          </w:rPr>
          <m:t xml:space="preserve"> :</m:t>
        </m:r>
      </m:oMath>
      <w:r w:rsidR="006F182E">
        <w:rPr>
          <w:rFonts w:eastAsiaTheme="minorEastAsia"/>
          <w:lang w:val="en-US"/>
        </w:rPr>
        <w:t xml:space="preserve"> </w:t>
      </w:r>
      <w:r w:rsidR="006F182E">
        <w:rPr>
          <w:rFonts w:eastAsiaTheme="minorEastAsia"/>
          <w:lang w:val="en-US"/>
        </w:rPr>
        <w:tab/>
      </w:r>
      <w:r w:rsidR="006F182E">
        <w:rPr>
          <w:rFonts w:eastAsiaTheme="minorEastAsia"/>
          <w:lang w:val="en-US"/>
        </w:rPr>
        <w:tab/>
      </w:r>
      <w:r w:rsidR="006F182E">
        <w:rPr>
          <w:rFonts w:eastAsiaTheme="minorEastAsia"/>
          <w:lang w:val="en-US"/>
        </w:rPr>
        <w:tab/>
        <w:t xml:space="preserve">Reject  </w:t>
      </w: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oMath>
      <w:r w:rsidR="006F182E">
        <w:rPr>
          <w:rFonts w:eastAsiaTheme="minorEastAsia"/>
          <w:lang w:val="en-US"/>
        </w:rPr>
        <w:t xml:space="preserve"> , Positive autocorrelation</w:t>
      </w:r>
    </w:p>
    <w:p w:rsidR="00B8039D" w:rsidRDefault="00184753" w:rsidP="006F182E">
      <w:pPr>
        <w:spacing w:line="360" w:lineRule="auto"/>
        <w:rPr>
          <w:rFonts w:eastAsiaTheme="minorEastAsia"/>
          <w:lang w:val="en-US"/>
        </w:rPr>
      </w:pPr>
      <w:r>
        <w:rPr>
          <w:rFonts w:eastAsiaTheme="minorEastAsia"/>
          <w:lang w:val="en-US"/>
        </w:rPr>
        <w:t xml:space="preserve">2)    </w:t>
      </w:r>
      <w:r>
        <w:rPr>
          <w:rFonts w:eastAsiaTheme="minorEastAsia"/>
          <w:lang w:val="en-US"/>
        </w:rPr>
        <w:tab/>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l</m:t>
            </m:r>
          </m:sub>
        </m:sSub>
        <m:r>
          <w:rPr>
            <w:rFonts w:ascii="Cambria Math" w:hAnsi="Cambria Math"/>
            <w:lang w:val="en-US"/>
          </w:rPr>
          <m:t xml:space="preserve">&lt;d&lt; </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u</m:t>
            </m:r>
          </m:sub>
        </m:sSub>
        <m:r>
          <w:rPr>
            <w:rFonts w:ascii="Cambria Math" w:hAnsi="Cambria Math"/>
            <w:lang w:val="en-US"/>
          </w:rPr>
          <m:t xml:space="preserve"> :</m:t>
        </m:r>
      </m:oMath>
      <w:r>
        <w:rPr>
          <w:rFonts w:eastAsiaTheme="minorEastAsia"/>
          <w:lang w:val="en-US"/>
        </w:rPr>
        <w:t xml:space="preserve"> </w:t>
      </w:r>
      <w:r w:rsidR="00B8039D">
        <w:rPr>
          <w:rFonts w:eastAsiaTheme="minorEastAsia"/>
          <w:lang w:val="en-US"/>
        </w:rPr>
        <w:t xml:space="preserve"> </w:t>
      </w:r>
      <w:r w:rsidR="006F182E">
        <w:rPr>
          <w:rFonts w:eastAsiaTheme="minorEastAsia"/>
          <w:lang w:val="en-US"/>
        </w:rPr>
        <w:tab/>
      </w:r>
      <w:r>
        <w:rPr>
          <w:rFonts w:eastAsiaTheme="minorEastAsia"/>
          <w:lang w:val="en-US"/>
        </w:rPr>
        <w:tab/>
      </w:r>
      <w:r w:rsidR="006F182E">
        <w:rPr>
          <w:rFonts w:eastAsiaTheme="minorEastAsia"/>
          <w:lang w:val="en-US"/>
        </w:rPr>
        <w:t>Inconclusive</w:t>
      </w:r>
    </w:p>
    <w:p w:rsidR="006F182E" w:rsidRDefault="00184753" w:rsidP="006F182E">
      <w:pPr>
        <w:spacing w:line="360" w:lineRule="auto"/>
        <w:rPr>
          <w:rFonts w:eastAsiaTheme="minorEastAsia"/>
          <w:lang w:val="en-US"/>
        </w:rPr>
      </w:pPr>
      <w:r>
        <w:rPr>
          <w:rFonts w:eastAsiaTheme="minorEastAsia"/>
          <w:lang w:val="en-US"/>
        </w:rPr>
        <w:t>3)</w:t>
      </w:r>
      <w:r>
        <w:rPr>
          <w:rFonts w:eastAsiaTheme="minorEastAsia"/>
          <w:lang w:val="en-US"/>
        </w:rPr>
        <w:tab/>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u</m:t>
            </m:r>
          </m:sub>
        </m:sSub>
        <m:r>
          <w:rPr>
            <w:rFonts w:ascii="Cambria Math" w:hAnsi="Cambria Math"/>
            <w:lang w:val="en-US"/>
          </w:rPr>
          <m:t xml:space="preserve">&lt;d&lt; </m:t>
        </m:r>
        <m:sSub>
          <m:sSubPr>
            <m:ctrlPr>
              <w:rPr>
                <w:rFonts w:ascii="Cambria Math" w:hAnsi="Cambria Math"/>
                <w:i/>
                <w:lang w:val="en-US"/>
              </w:rPr>
            </m:ctrlPr>
          </m:sSubPr>
          <m:e>
            <m:r>
              <w:rPr>
                <w:rFonts w:ascii="Cambria Math" w:hAnsi="Cambria Math"/>
                <w:lang w:val="en-US"/>
              </w:rPr>
              <m:t>4- d</m:t>
            </m:r>
          </m:e>
          <m:sub>
            <m:r>
              <w:rPr>
                <w:rFonts w:ascii="Cambria Math" w:hAnsi="Cambria Math"/>
                <w:lang w:val="en-US"/>
              </w:rPr>
              <m:t>u</m:t>
            </m:r>
          </m:sub>
        </m:sSub>
        <m:r>
          <w:rPr>
            <w:rFonts w:ascii="Cambria Math" w:hAnsi="Cambria Math"/>
            <w:lang w:val="en-US"/>
          </w:rPr>
          <m:t xml:space="preserve"> :</m:t>
        </m:r>
      </m:oMath>
      <w:r w:rsidR="006F182E">
        <w:rPr>
          <w:rFonts w:eastAsiaTheme="minorEastAsia"/>
          <w:lang w:val="en-US"/>
        </w:rPr>
        <w:t xml:space="preserve"> </w:t>
      </w:r>
      <w:r w:rsidR="006F182E">
        <w:rPr>
          <w:rFonts w:eastAsiaTheme="minorEastAsia"/>
          <w:lang w:val="en-US"/>
        </w:rPr>
        <w:tab/>
      </w:r>
      <w:r w:rsidR="006F182E">
        <w:rPr>
          <w:rFonts w:eastAsiaTheme="minorEastAsia"/>
          <w:lang w:val="en-US"/>
        </w:rPr>
        <w:tab/>
        <w:t xml:space="preserve">Do not </w:t>
      </w:r>
      <w:proofErr w:type="gramStart"/>
      <w:r w:rsidR="006F182E">
        <w:rPr>
          <w:rFonts w:eastAsiaTheme="minorEastAsia"/>
          <w:lang w:val="en-US"/>
        </w:rPr>
        <w:t>reject</w:t>
      </w:r>
      <w:r>
        <w:rPr>
          <w:rFonts w:eastAsiaTheme="minorEastAsia"/>
          <w:lang w:val="en-US"/>
        </w:rPr>
        <w:t xml:space="preserve"> </w:t>
      </w:r>
      <w:r w:rsidR="006F182E">
        <w:rPr>
          <w:rFonts w:eastAsiaTheme="minorEastAsia"/>
          <w:lang w:val="en-US"/>
        </w:rPr>
        <w:t xml:space="preserve"> </w:t>
      </w:r>
      <m:oMath>
        <w:proofErr w:type="gramEnd"/>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0</m:t>
            </m:r>
          </m:sub>
        </m:sSub>
        <m:r>
          <w:rPr>
            <w:rFonts w:ascii="Cambria Math" w:hAnsi="Cambria Math"/>
            <w:lang w:val="en-US"/>
          </w:rPr>
          <m:t xml:space="preserve"> </m:t>
        </m:r>
      </m:oMath>
      <w:r w:rsidR="006F182E">
        <w:rPr>
          <w:rFonts w:eastAsiaTheme="minorEastAsia"/>
          <w:lang w:val="en-US"/>
        </w:rPr>
        <w:t>, No evidence of autocorrelation</w:t>
      </w:r>
    </w:p>
    <w:p w:rsidR="00184753" w:rsidRDefault="00184753" w:rsidP="00184753">
      <w:pPr>
        <w:spacing w:line="360" w:lineRule="auto"/>
        <w:rPr>
          <w:rFonts w:eastAsiaTheme="minorEastAsia"/>
          <w:lang w:val="en-US"/>
        </w:rPr>
      </w:pPr>
      <w:r>
        <w:rPr>
          <w:rFonts w:eastAsiaTheme="minorEastAsia"/>
          <w:lang w:val="en-US"/>
        </w:rPr>
        <w:t>4)</w:t>
      </w:r>
      <w:r>
        <w:rPr>
          <w:rFonts w:eastAsiaTheme="minorEastAsia"/>
          <w:lang w:val="en-US"/>
        </w:rPr>
        <w:tab/>
      </w:r>
      <m:oMath>
        <m:sSub>
          <m:sSubPr>
            <m:ctrlPr>
              <w:rPr>
                <w:rFonts w:ascii="Cambria Math" w:hAnsi="Cambria Math"/>
                <w:i/>
                <w:lang w:val="en-US"/>
              </w:rPr>
            </m:ctrlPr>
          </m:sSubPr>
          <m:e>
            <m:r>
              <w:rPr>
                <w:rFonts w:ascii="Cambria Math" w:hAnsi="Cambria Math"/>
                <w:lang w:val="en-US"/>
              </w:rPr>
              <m:t>4- d</m:t>
            </m:r>
          </m:e>
          <m:sub>
            <m:r>
              <w:rPr>
                <w:rFonts w:ascii="Cambria Math" w:hAnsi="Cambria Math"/>
                <w:lang w:val="en-US"/>
              </w:rPr>
              <m:t>u</m:t>
            </m:r>
          </m:sub>
        </m:sSub>
        <m:r>
          <w:rPr>
            <w:rFonts w:ascii="Cambria Math" w:hAnsi="Cambria Math"/>
            <w:lang w:val="en-US"/>
          </w:rPr>
          <m:t xml:space="preserve">&lt;d&lt; </m:t>
        </m:r>
        <m:sSub>
          <m:sSubPr>
            <m:ctrlPr>
              <w:rPr>
                <w:rFonts w:ascii="Cambria Math" w:hAnsi="Cambria Math"/>
                <w:i/>
                <w:lang w:val="en-US"/>
              </w:rPr>
            </m:ctrlPr>
          </m:sSubPr>
          <m:e>
            <m:r>
              <w:rPr>
                <w:rFonts w:ascii="Cambria Math" w:hAnsi="Cambria Math"/>
                <w:lang w:val="en-US"/>
              </w:rPr>
              <m:t>4- d</m:t>
            </m:r>
          </m:e>
          <m:sub>
            <m:r>
              <w:rPr>
                <w:rFonts w:ascii="Cambria Math" w:hAnsi="Cambria Math"/>
                <w:lang w:val="en-US"/>
              </w:rPr>
              <m:t>l</m:t>
            </m:r>
          </m:sub>
        </m:sSub>
        <m:r>
          <w:rPr>
            <w:rFonts w:ascii="Cambria Math" w:hAnsi="Cambria Math"/>
            <w:lang w:val="en-US"/>
          </w:rPr>
          <m:t xml:space="preserve"> :</m:t>
        </m:r>
      </m:oMath>
      <w:r>
        <w:rPr>
          <w:rFonts w:eastAsiaTheme="minorEastAsia"/>
          <w:lang w:val="en-US"/>
        </w:rPr>
        <w:t xml:space="preserve"> </w:t>
      </w:r>
      <w:r>
        <w:rPr>
          <w:rFonts w:eastAsiaTheme="minorEastAsia"/>
          <w:lang w:val="en-US"/>
        </w:rPr>
        <w:tab/>
        <w:t>Inconclusive</w:t>
      </w:r>
    </w:p>
    <w:p w:rsidR="00184753" w:rsidRDefault="00184753" w:rsidP="00184753">
      <w:pPr>
        <w:spacing w:line="360" w:lineRule="auto"/>
        <w:rPr>
          <w:rFonts w:eastAsiaTheme="minorEastAsia"/>
          <w:lang w:val="en-US"/>
        </w:rPr>
      </w:pPr>
      <w:r>
        <w:rPr>
          <w:rFonts w:eastAsiaTheme="minorEastAsia"/>
          <w:lang w:val="en-US"/>
        </w:rPr>
        <w:t>5)</w:t>
      </w:r>
      <w:r>
        <w:rPr>
          <w:rFonts w:eastAsiaTheme="minorEastAsia"/>
          <w:lang w:val="en-US"/>
        </w:rPr>
        <w:tab/>
      </w:r>
      <m:oMath>
        <m:sSub>
          <m:sSubPr>
            <m:ctrlPr>
              <w:rPr>
                <w:rFonts w:ascii="Cambria Math" w:hAnsi="Cambria Math"/>
                <w:i/>
                <w:lang w:val="en-US"/>
              </w:rPr>
            </m:ctrlPr>
          </m:sSubPr>
          <m:e>
            <m:r>
              <w:rPr>
                <w:rFonts w:ascii="Cambria Math" w:hAnsi="Cambria Math"/>
                <w:lang w:val="en-US"/>
              </w:rPr>
              <m:t>4- d</m:t>
            </m:r>
          </m:e>
          <m:sub>
            <m:r>
              <w:rPr>
                <w:rFonts w:ascii="Cambria Math" w:hAnsi="Cambria Math"/>
                <w:lang w:val="en-US"/>
              </w:rPr>
              <m:t>l</m:t>
            </m:r>
          </m:sub>
        </m:sSub>
        <m:r>
          <w:rPr>
            <w:rFonts w:ascii="Cambria Math" w:hAnsi="Cambria Math"/>
            <w:lang w:val="en-US"/>
          </w:rPr>
          <m:t>&lt;d&lt; 4 :</m:t>
        </m:r>
      </m:oMath>
      <w:r>
        <w:rPr>
          <w:rFonts w:eastAsiaTheme="minorEastAsia"/>
          <w:lang w:val="en-US"/>
        </w:rPr>
        <w:t xml:space="preserve"> </w:t>
      </w:r>
      <w:r>
        <w:rPr>
          <w:rFonts w:eastAsiaTheme="minorEastAsia"/>
          <w:lang w:val="en-US"/>
        </w:rPr>
        <w:tab/>
      </w:r>
      <w:r>
        <w:rPr>
          <w:rFonts w:eastAsiaTheme="minorEastAsia"/>
          <w:lang w:val="en-US"/>
        </w:rPr>
        <w:tab/>
      </w:r>
      <w:proofErr w:type="gramStart"/>
      <w:r>
        <w:rPr>
          <w:rFonts w:eastAsiaTheme="minorEastAsia"/>
          <w:lang w:val="en-US"/>
        </w:rPr>
        <w:t xml:space="preserve">Reject </w:t>
      </w:r>
      <m:oMath>
        <m:sSub>
          <m:sSubPr>
            <m:ctrlPr>
              <w:rPr>
                <w:rFonts w:ascii="Cambria Math" w:hAnsi="Cambria Math"/>
                <w:i/>
                <w:lang w:val="en-US"/>
              </w:rPr>
            </m:ctrlPr>
          </m:sSubPr>
          <m:e>
            <w:proofErr w:type="gramEnd"/>
            <m:r>
              <w:rPr>
                <w:rFonts w:ascii="Cambria Math" w:hAnsi="Cambria Math"/>
                <w:lang w:val="en-US"/>
              </w:rPr>
              <m:t xml:space="preserve"> H</m:t>
            </m:r>
          </m:e>
          <m:sub>
            <m:r>
              <w:rPr>
                <w:rFonts w:ascii="Cambria Math" w:hAnsi="Cambria Math"/>
                <w:lang w:val="en-US"/>
              </w:rPr>
              <m:t>0</m:t>
            </m:r>
          </m:sub>
        </m:sSub>
      </m:oMath>
      <w:r>
        <w:rPr>
          <w:rFonts w:eastAsiaTheme="minorEastAsia"/>
          <w:lang w:val="en-US"/>
        </w:rPr>
        <w:t xml:space="preserve"> , negative autocorrelation</w:t>
      </w:r>
    </w:p>
    <w:p w:rsidR="00184753" w:rsidRDefault="006F182E" w:rsidP="005758DF">
      <w:pPr>
        <w:spacing w:line="360" w:lineRule="auto"/>
        <w:rPr>
          <w:lang w:val="en-US"/>
        </w:rPr>
      </w:pPr>
      <w:r w:rsidRPr="006F182E">
        <w:rPr>
          <w:rFonts w:eastAsiaTheme="minorEastAsia"/>
          <w:lang w:val="en-US"/>
        </w:rPr>
        <w:t xml:space="preserve">The </w:t>
      </w:r>
      <w:r w:rsidR="00066394" w:rsidRPr="006F182E">
        <w:rPr>
          <w:lang w:val="en-US"/>
        </w:rPr>
        <w:t>Durbin-Watson</w:t>
      </w:r>
      <w:r w:rsidR="00066394">
        <w:rPr>
          <w:lang w:val="en-US"/>
        </w:rPr>
        <w:t xml:space="preserve"> statistic for firm age, IPO proceeds and underwriter reputation amount to </w:t>
      </w:r>
      <w:r w:rsidR="009C0B72">
        <w:rPr>
          <w:lang w:val="en-US"/>
        </w:rPr>
        <w:t>1.48</w:t>
      </w:r>
      <w:r w:rsidR="00066394">
        <w:rPr>
          <w:lang w:val="en-US"/>
        </w:rPr>
        <w:t>,</w:t>
      </w:r>
      <w:r w:rsidR="009C0B72">
        <w:rPr>
          <w:lang w:val="en-US"/>
        </w:rPr>
        <w:t xml:space="preserve"> 2.18</w:t>
      </w:r>
      <w:r w:rsidR="00066394">
        <w:rPr>
          <w:lang w:val="en-US"/>
        </w:rPr>
        <w:t xml:space="preserve"> and 1.17 respectively.  </w:t>
      </w:r>
      <w:r w:rsidR="009C0B72">
        <w:rPr>
          <w:lang w:val="en-US"/>
        </w:rPr>
        <w:t>The upper and lower bounds for firm age, IPO proceeds and underwriter rank are 0.81 - 1.63</w:t>
      </w:r>
      <w:r w:rsidR="00066394">
        <w:rPr>
          <w:lang w:val="en-US"/>
        </w:rPr>
        <w:t xml:space="preserve">, </w:t>
      </w:r>
      <w:r w:rsidR="009C0B72">
        <w:rPr>
          <w:lang w:val="en-US"/>
        </w:rPr>
        <w:t xml:space="preserve">1.25 - 1.55 and </w:t>
      </w:r>
      <w:r w:rsidR="00066394">
        <w:rPr>
          <w:lang w:val="en-US"/>
        </w:rPr>
        <w:t>1.05</w:t>
      </w:r>
      <w:r w:rsidR="009C0B72">
        <w:rPr>
          <w:lang w:val="en-US"/>
        </w:rPr>
        <w:t xml:space="preserve"> </w:t>
      </w:r>
      <w:r w:rsidR="00066394">
        <w:rPr>
          <w:lang w:val="en-US"/>
        </w:rPr>
        <w:t>-</w:t>
      </w:r>
      <w:r w:rsidR="009C0B72">
        <w:rPr>
          <w:lang w:val="en-US"/>
        </w:rPr>
        <w:t xml:space="preserve"> </w:t>
      </w:r>
      <w:r w:rsidR="00066394">
        <w:rPr>
          <w:lang w:val="en-US"/>
        </w:rPr>
        <w:t>1.58</w:t>
      </w:r>
      <w:r w:rsidR="009C0B72">
        <w:rPr>
          <w:lang w:val="en-US"/>
        </w:rPr>
        <w:t xml:space="preserve"> respectively.  </w:t>
      </w:r>
      <w:r w:rsidR="00184753">
        <w:rPr>
          <w:lang w:val="en-US"/>
        </w:rPr>
        <w:t xml:space="preserve">The Durbin-Watson statistic for firm age and underwriter reputation fall in region 2, and hence these </w:t>
      </w:r>
      <w:proofErr w:type="gramStart"/>
      <w:r w:rsidR="00184753">
        <w:rPr>
          <w:lang w:val="en-US"/>
        </w:rPr>
        <w:t>test</w:t>
      </w:r>
      <w:proofErr w:type="gramEnd"/>
      <w:r w:rsidR="00184753">
        <w:rPr>
          <w:lang w:val="en-US"/>
        </w:rPr>
        <w:t xml:space="preserve"> are inconclusive. The test for IPO proceeds falls in region 4. The null hypothesis of no autocorrelation is not rejected for all three MRAs.</w:t>
      </w:r>
    </w:p>
    <w:p w:rsidR="00612A50" w:rsidRDefault="00066394" w:rsidP="005758DF">
      <w:pPr>
        <w:spacing w:line="360" w:lineRule="auto"/>
        <w:rPr>
          <w:i/>
          <w:lang w:val="en-US"/>
        </w:rPr>
      </w:pPr>
      <w:r w:rsidRPr="00066394">
        <w:rPr>
          <w:i/>
          <w:lang w:val="en-US"/>
        </w:rPr>
        <w:t>N</w:t>
      </w:r>
      <w:r w:rsidR="00612A50" w:rsidRPr="00066394">
        <w:rPr>
          <w:i/>
          <w:lang w:val="en-US"/>
        </w:rPr>
        <w:t>otes</w:t>
      </w:r>
    </w:p>
    <w:p w:rsidR="00070467" w:rsidRPr="00BE424C" w:rsidRDefault="00070467" w:rsidP="005758DF">
      <w:pPr>
        <w:spacing w:line="360" w:lineRule="auto"/>
        <w:rPr>
          <w:lang w:val="en-US"/>
        </w:rPr>
      </w:pPr>
      <w:r w:rsidRPr="00BE424C">
        <w:rPr>
          <w:lang w:val="en-US"/>
        </w:rPr>
        <w:t xml:space="preserve">In table 3, 5 and 7, I described part of the MRA dataset. The tables show statistics on the dependent variables. Since variables that are transformed in different ways, cannot be included in the same MRA (for instance log proceeds and ln proceeds), the size of the datasets </w:t>
      </w:r>
      <w:r w:rsidR="00026D31" w:rsidRPr="00BE424C">
        <w:rPr>
          <w:lang w:val="en-US"/>
        </w:rPr>
        <w:t>is</w:t>
      </w:r>
      <w:r w:rsidRPr="00BE424C">
        <w:rPr>
          <w:lang w:val="en-US"/>
        </w:rPr>
        <w:t xml:space="preserve"> </w:t>
      </w:r>
      <w:r w:rsidR="00026D31" w:rsidRPr="00BE424C">
        <w:rPr>
          <w:lang w:val="en-US"/>
        </w:rPr>
        <w:t>limited</w:t>
      </w:r>
      <w:r w:rsidRPr="00BE424C">
        <w:rPr>
          <w:lang w:val="en-US"/>
        </w:rPr>
        <w:t xml:space="preserve">. One way to test the robustness of the results presented in this thesis is to run separate </w:t>
      </w:r>
      <w:r w:rsidR="00BE424C" w:rsidRPr="00BE424C">
        <w:rPr>
          <w:lang w:val="en-US"/>
        </w:rPr>
        <w:t>Meta</w:t>
      </w:r>
      <w:r w:rsidRPr="00BE424C">
        <w:rPr>
          <w:lang w:val="en-US"/>
        </w:rPr>
        <w:t xml:space="preserve"> regression a</w:t>
      </w:r>
      <w:r w:rsidR="00BE424C" w:rsidRPr="00BE424C">
        <w:rPr>
          <w:lang w:val="en-US"/>
        </w:rPr>
        <w:t>nalysis using a dependent variable</w:t>
      </w:r>
      <w:r w:rsidRPr="00BE424C">
        <w:rPr>
          <w:lang w:val="en-US"/>
        </w:rPr>
        <w:t xml:space="preserve"> transformed in a different matter. </w:t>
      </w:r>
      <w:r w:rsidR="00026D31" w:rsidRPr="00BE424C">
        <w:rPr>
          <w:lang w:val="en-US"/>
        </w:rPr>
        <w:t>The results of an MRA explaining the log proceeds coefficient should be similar to the results of an MRA explaining ln proceeds. Since the constructing of an MRA dataset is very time consuming, I only constructed an extra MRA dataset for log proceeds. Unfortunately, I was unable to compare the results of the two MRAs. The ln proceeds MRA included the Europe dummy and the Pacific dummy. Since all observation in the log proceeds dataset originate from US data, these dummies cannot be included in the log proceeds MRA, rendering these two MRA</w:t>
      </w:r>
      <w:r w:rsidR="00BE424C" w:rsidRPr="00BE424C">
        <w:rPr>
          <w:lang w:val="en-US"/>
        </w:rPr>
        <w:t>s</w:t>
      </w:r>
      <w:r w:rsidR="00026D31" w:rsidRPr="00BE424C">
        <w:rPr>
          <w:lang w:val="en-US"/>
        </w:rPr>
        <w:t xml:space="preserve"> </w:t>
      </w:r>
      <w:r w:rsidR="00BE424C" w:rsidRPr="00BE424C">
        <w:rPr>
          <w:lang w:val="en-US"/>
        </w:rPr>
        <w:t>incomparable</w:t>
      </w:r>
      <w:r w:rsidR="00026D31" w:rsidRPr="00BE424C">
        <w:rPr>
          <w:lang w:val="en-US"/>
        </w:rPr>
        <w:t xml:space="preserve">. </w:t>
      </w:r>
    </w:p>
    <w:p w:rsidR="003E550C" w:rsidRDefault="00612A50" w:rsidP="005758DF">
      <w:pPr>
        <w:spacing w:line="360" w:lineRule="auto"/>
        <w:rPr>
          <w:lang w:val="en-US"/>
        </w:rPr>
      </w:pPr>
      <w:r w:rsidRPr="00612A50">
        <w:rPr>
          <w:lang w:val="en-US"/>
        </w:rPr>
        <w:lastRenderedPageBreak/>
        <w:t>MRA correct</w:t>
      </w:r>
      <w:r w:rsidR="00651DFA">
        <w:rPr>
          <w:lang w:val="en-US"/>
        </w:rPr>
        <w:t>s</w:t>
      </w:r>
      <w:r w:rsidRPr="00612A50">
        <w:rPr>
          <w:lang w:val="en-US"/>
        </w:rPr>
        <w:t xml:space="preserve"> for model misspecification to find the ‘true’</w:t>
      </w:r>
      <w:r>
        <w:rPr>
          <w:lang w:val="en-US"/>
        </w:rPr>
        <w:t xml:space="preserve"> relationship between two variables. The researcher is free in defining misspecifications. Note that in the MRA I include dummies that indicate whether small firms, financials firms, or </w:t>
      </w:r>
      <w:r w:rsidR="00F60C96">
        <w:rPr>
          <w:lang w:val="en-US"/>
        </w:rPr>
        <w:t>Best Efforts</w:t>
      </w:r>
      <w:r>
        <w:rPr>
          <w:lang w:val="en-US"/>
        </w:rPr>
        <w:t xml:space="preserve"> contracts were excluded from the original regression. I interpret the exclusion of this type of data as biasing misspecifications, even though the original authors obviously had their reasons to exclude these observations</w:t>
      </w:r>
      <w:r w:rsidR="007816B6">
        <w:rPr>
          <w:rStyle w:val="FootnoteReference"/>
          <w:lang w:val="en-US"/>
        </w:rPr>
        <w:footnoteReference w:id="43"/>
      </w:r>
      <w:r>
        <w:rPr>
          <w:lang w:val="en-US"/>
        </w:rPr>
        <w:t xml:space="preserve">. Therefore the reader should interpret the dummy coefficients as the influence that the characteristic has on the coefficient investigated in the MRA. Whether the model specification is biasing or simply </w:t>
      </w:r>
      <w:r w:rsidR="007405E8">
        <w:rPr>
          <w:lang w:val="en-US"/>
        </w:rPr>
        <w:t>an alternate way to calculate the relationship is up to the reader</w:t>
      </w:r>
      <w:r w:rsidR="004147EF">
        <w:rPr>
          <w:lang w:val="en-US"/>
        </w:rPr>
        <w:t>.</w:t>
      </w:r>
      <w:r>
        <w:rPr>
          <w:lang w:val="en-US"/>
        </w:rPr>
        <w:t xml:space="preserve"> </w:t>
      </w:r>
      <w:r w:rsidR="004147EF">
        <w:rPr>
          <w:lang w:val="en-US"/>
        </w:rPr>
        <w:t>For instance, when the researcher excludes financial</w:t>
      </w:r>
      <w:r w:rsidR="00F66CF4">
        <w:rPr>
          <w:lang w:val="en-US"/>
        </w:rPr>
        <w:t xml:space="preserve"> firms</w:t>
      </w:r>
      <w:r w:rsidR="004147EF">
        <w:rPr>
          <w:lang w:val="en-US"/>
        </w:rPr>
        <w:t xml:space="preserve"> when testing the relation between IPO proceeds and underpricing, does this bias the results? Or is the result only applicable for non financial firms?</w:t>
      </w:r>
      <w:r>
        <w:rPr>
          <w:lang w:val="en-US"/>
        </w:rPr>
        <w:t xml:space="preserve"> </w:t>
      </w:r>
    </w:p>
    <w:p w:rsidR="00F3692B" w:rsidRPr="00F3692B" w:rsidRDefault="003E550C" w:rsidP="00F3692B">
      <w:pPr>
        <w:spacing w:line="360" w:lineRule="auto"/>
        <w:rPr>
          <w:lang w:val="en-US"/>
        </w:rPr>
      </w:pPr>
      <w:r>
        <w:rPr>
          <w:lang w:val="en-US"/>
        </w:rPr>
        <w:t xml:space="preserve">Note that most of the robustness problems discussed in this chapter </w:t>
      </w:r>
      <w:proofErr w:type="gramStart"/>
      <w:r>
        <w:rPr>
          <w:lang w:val="en-US"/>
        </w:rPr>
        <w:t>are</w:t>
      </w:r>
      <w:proofErr w:type="gramEnd"/>
      <w:r>
        <w:rPr>
          <w:lang w:val="en-US"/>
        </w:rPr>
        <w:t xml:space="preserve"> not unique to MRA, but also pose a threat to ordinary least squares.  </w:t>
      </w:r>
      <w:r w:rsidR="00C72939">
        <w:rPr>
          <w:lang w:val="en-US"/>
        </w:rPr>
        <w:br w:type="page"/>
      </w:r>
    </w:p>
    <w:p w:rsidR="00F3692B" w:rsidRPr="00F3692B" w:rsidRDefault="00F3692B" w:rsidP="00F3692B">
      <w:pPr>
        <w:spacing w:line="360" w:lineRule="auto"/>
        <w:ind w:left="1418" w:hanging="851"/>
        <w:rPr>
          <w:b/>
          <w:lang w:val="en-US"/>
        </w:rPr>
      </w:pPr>
      <w:r w:rsidRPr="00F3692B">
        <w:rPr>
          <w:b/>
          <w:lang w:val="en-US"/>
        </w:rPr>
        <w:lastRenderedPageBreak/>
        <w:t xml:space="preserve">8. </w:t>
      </w:r>
      <w:r w:rsidRPr="00F3692B">
        <w:rPr>
          <w:b/>
          <w:lang w:val="en-US"/>
        </w:rPr>
        <w:tab/>
        <w:t>Conclusion</w:t>
      </w:r>
    </w:p>
    <w:p w:rsidR="00D40B32" w:rsidRDefault="007A0697" w:rsidP="007A0697">
      <w:pPr>
        <w:spacing w:line="360" w:lineRule="auto"/>
        <w:rPr>
          <w:lang w:val="en-US"/>
        </w:rPr>
      </w:pPr>
      <w:r>
        <w:rPr>
          <w:lang w:val="en-US"/>
        </w:rPr>
        <w:t>I use Meta regression analysis (MRA) to test the relation between IPO underpricing and three variables</w:t>
      </w:r>
      <w:r w:rsidR="00F66CF4">
        <w:rPr>
          <w:lang w:val="en-US"/>
        </w:rPr>
        <w:t>: firm age, IPO proceeds and underwriter reputation</w:t>
      </w:r>
      <w:r>
        <w:rPr>
          <w:lang w:val="en-US"/>
        </w:rPr>
        <w:t>. Meta regression analysis is an objective method to summarize the findings of previous studies, indentify the true re</w:t>
      </w:r>
      <w:r w:rsidR="00A8632D">
        <w:rPr>
          <w:lang w:val="en-US"/>
        </w:rPr>
        <w:t>lation between two variables,</w:t>
      </w:r>
      <w:r>
        <w:rPr>
          <w:lang w:val="en-US"/>
        </w:rPr>
        <w:t xml:space="preserve"> indentify study characteristics that </w:t>
      </w:r>
      <w:r w:rsidR="00A8632D">
        <w:rPr>
          <w:lang w:val="en-US"/>
        </w:rPr>
        <w:t>influence the reported relation</w:t>
      </w:r>
      <w:r w:rsidR="000F0F3F">
        <w:rPr>
          <w:lang w:val="en-US"/>
        </w:rPr>
        <w:t>,</w:t>
      </w:r>
      <w:r w:rsidR="00A8632D">
        <w:rPr>
          <w:lang w:val="en-US"/>
        </w:rPr>
        <w:t xml:space="preserve"> and indentify publication bias.</w:t>
      </w:r>
      <w:r w:rsidR="00D40B32">
        <w:rPr>
          <w:lang w:val="en-US"/>
        </w:rPr>
        <w:t xml:space="preserve"> </w:t>
      </w:r>
    </w:p>
    <w:p w:rsidR="007A0697" w:rsidRDefault="007A0697" w:rsidP="007A0697">
      <w:pPr>
        <w:spacing w:line="360" w:lineRule="auto"/>
        <w:rPr>
          <w:lang w:val="en-US"/>
        </w:rPr>
      </w:pPr>
      <w:r>
        <w:rPr>
          <w:lang w:val="en-US"/>
        </w:rPr>
        <w:t>I find that firm age is negatively related to underpricing as predicted by Rock’s model. Several study characteristics have a significant influence on the reported relationship. The negative relation between firm age and IPO underpricing is biased upwards when small and financial firms are excluded from the dataset. This result indicates that the relation between IPO underpricing and firm age for ‘regular’ firm</w:t>
      </w:r>
      <w:r w:rsidR="004E3C72">
        <w:rPr>
          <w:lang w:val="en-US"/>
        </w:rPr>
        <w:t>s</w:t>
      </w:r>
      <w:r>
        <w:rPr>
          <w:lang w:val="en-US"/>
        </w:rPr>
        <w:t xml:space="preserve"> differs from the relation between firm age and underpricing for small and financial firms. The particular riskiness of these firms could be driving these results. Another remarkable result is that the negative relation between firm age and IPO underpr</w:t>
      </w:r>
      <w:r w:rsidR="004147EF">
        <w:rPr>
          <w:lang w:val="en-US"/>
        </w:rPr>
        <w:t>i</w:t>
      </w:r>
      <w:r>
        <w:rPr>
          <w:lang w:val="en-US"/>
        </w:rPr>
        <w:t xml:space="preserve">cing is stronger when European data is used. </w:t>
      </w:r>
      <w:r w:rsidR="004E3C72">
        <w:rPr>
          <w:lang w:val="en-US"/>
        </w:rPr>
        <w:t xml:space="preserve">This result is counterintuitive. European equity markets differ from US equity markets. In Europe the market is dominated by institutional (informed investors). Therefore, one would expect that information asymmetry problems between informed and uninformed investors are less severe in Europe. If this was the case, risk proxies should be less important in Europe instead of more. </w:t>
      </w:r>
    </w:p>
    <w:p w:rsidR="007D398C" w:rsidRDefault="007A0697" w:rsidP="007A0697">
      <w:pPr>
        <w:spacing w:line="360" w:lineRule="auto"/>
        <w:rPr>
          <w:lang w:val="en-US"/>
        </w:rPr>
      </w:pPr>
      <w:r>
        <w:rPr>
          <w:lang w:val="en-US"/>
        </w:rPr>
        <w:t xml:space="preserve">Contrary to popular belief, I find </w:t>
      </w:r>
      <w:r w:rsidR="000F0F3F">
        <w:rPr>
          <w:lang w:val="en-US"/>
        </w:rPr>
        <w:t xml:space="preserve">a </w:t>
      </w:r>
      <w:r>
        <w:rPr>
          <w:lang w:val="en-US"/>
        </w:rPr>
        <w:t>positive relation betwee</w:t>
      </w:r>
      <w:r w:rsidR="00A8632D">
        <w:rPr>
          <w:lang w:val="en-US"/>
        </w:rPr>
        <w:t>n IPO proceeds and underpricing, albeit not significant.</w:t>
      </w:r>
      <w:r>
        <w:rPr>
          <w:lang w:val="en-US"/>
        </w:rPr>
        <w:t xml:space="preserve"> </w:t>
      </w:r>
      <w:r w:rsidR="004E097E">
        <w:rPr>
          <w:lang w:val="en-US"/>
        </w:rPr>
        <w:t xml:space="preserve">The relationship is </w:t>
      </w:r>
      <w:r w:rsidR="004E097E" w:rsidRPr="004147EF">
        <w:rPr>
          <w:lang w:val="en-US"/>
        </w:rPr>
        <w:t>biased up</w:t>
      </w:r>
      <w:r w:rsidRPr="004147EF">
        <w:rPr>
          <w:lang w:val="en-US"/>
        </w:rPr>
        <w:t>wards when European data is used</w:t>
      </w:r>
      <w:r w:rsidR="00A8632D">
        <w:rPr>
          <w:lang w:val="en-US"/>
        </w:rPr>
        <w:t xml:space="preserve"> and </w:t>
      </w:r>
      <w:r w:rsidR="007B54E1">
        <w:rPr>
          <w:lang w:val="en-US"/>
        </w:rPr>
        <w:t xml:space="preserve">downwards when financial firms are </w:t>
      </w:r>
      <w:r w:rsidR="004147EF" w:rsidRPr="004147EF">
        <w:rPr>
          <w:lang w:val="en-US"/>
        </w:rPr>
        <w:t xml:space="preserve">excluded. This result indicates that the relation between IPO proceeds and underpricing might be </w:t>
      </w:r>
      <w:r w:rsidR="007B54E1">
        <w:rPr>
          <w:lang w:val="en-US"/>
        </w:rPr>
        <w:t>negative for</w:t>
      </w:r>
      <w:r w:rsidR="004E191D">
        <w:rPr>
          <w:lang w:val="en-US"/>
        </w:rPr>
        <w:t xml:space="preserve"> ‘</w:t>
      </w:r>
      <w:r w:rsidR="00A60924">
        <w:rPr>
          <w:lang w:val="en-US"/>
        </w:rPr>
        <w:t>regular</w:t>
      </w:r>
      <w:r w:rsidR="004E191D">
        <w:rPr>
          <w:lang w:val="en-US"/>
        </w:rPr>
        <w:t>’</w:t>
      </w:r>
      <w:r w:rsidR="004147EF" w:rsidRPr="004147EF">
        <w:rPr>
          <w:lang w:val="en-US"/>
        </w:rPr>
        <w:t xml:space="preserve"> firms. Since financial firms are considered risky, the result is counterintuitive.</w:t>
      </w:r>
      <w:r w:rsidR="004E191D">
        <w:rPr>
          <w:lang w:val="en-US"/>
        </w:rPr>
        <w:t xml:space="preserve"> A separate MRA that only included studies that excluded financials firms shows a negative significant relation between IPO proceeds and underpricing.</w:t>
      </w:r>
    </w:p>
    <w:p w:rsidR="00055A7F" w:rsidRDefault="00055A7F" w:rsidP="006112EB">
      <w:pPr>
        <w:widowControl w:val="0"/>
        <w:spacing w:line="360" w:lineRule="auto"/>
        <w:rPr>
          <w:lang w:val="en-US"/>
        </w:rPr>
      </w:pPr>
      <w:r>
        <w:rPr>
          <w:lang w:val="en-US"/>
        </w:rPr>
        <w:t xml:space="preserve">In accordance with Carter and Manaster (1990), I find that underwriter reputation is negatively related to underpricing. I also find </w:t>
      </w:r>
      <w:r w:rsidR="004E191D">
        <w:rPr>
          <w:lang w:val="en-US"/>
        </w:rPr>
        <w:t xml:space="preserve">some evidence </w:t>
      </w:r>
      <w:r>
        <w:rPr>
          <w:lang w:val="en-US"/>
        </w:rPr>
        <w:t xml:space="preserve">that during the nineties the negative relation </w:t>
      </w:r>
      <w:r w:rsidR="004E191D">
        <w:rPr>
          <w:lang w:val="en-US"/>
        </w:rPr>
        <w:t xml:space="preserve">might have </w:t>
      </w:r>
      <w:r>
        <w:rPr>
          <w:lang w:val="en-US"/>
        </w:rPr>
        <w:t xml:space="preserve">flipped to positive. This is in line with Loughran and Ritter (2004) and Ljunqvist and Wilhelm (2003).  Loughran and Ritter state that underwriter rank was positively related to underpricing throughout the nineties, due to analyst lust and </w:t>
      </w:r>
      <w:proofErr w:type="gramStart"/>
      <w:r>
        <w:rPr>
          <w:lang w:val="en-US"/>
        </w:rPr>
        <w:t>spinning,</w:t>
      </w:r>
      <w:proofErr w:type="gramEnd"/>
      <w:r>
        <w:rPr>
          <w:lang w:val="en-US"/>
        </w:rPr>
        <w:t xml:space="preserve"> while Ljunqvist and Wilhelm (2003) state that the relation was not positive in the early nineties, but only during the Internet bubble. Ljungqvist and Wilhelm give an explanation that differs from Loughran and Ritter by stating that changes in ownership structure drove the reported findings. Unfortunately I was unable to distingquish between the two explanations. </w:t>
      </w:r>
    </w:p>
    <w:p w:rsidR="007A0697" w:rsidRDefault="007A0697" w:rsidP="00055A7F">
      <w:pPr>
        <w:spacing w:line="360" w:lineRule="auto"/>
        <w:rPr>
          <w:lang w:val="en-US"/>
        </w:rPr>
      </w:pPr>
      <w:r w:rsidRPr="00EF56E2">
        <w:rPr>
          <w:lang w:val="en-US"/>
        </w:rPr>
        <w:lastRenderedPageBreak/>
        <w:t xml:space="preserve">Although the results reported in this thesis are fairly robust, the results are prone to several pitfalls. First the adjusted r-square for all three MRAs is below 0.5, indicating that the study characteristics included in the MRA are unable to explain the larger part of the differences in reported findings. Second </w:t>
      </w:r>
      <w:r w:rsidR="00CE3444">
        <w:rPr>
          <w:lang w:val="en-US"/>
        </w:rPr>
        <w:t xml:space="preserve">since White’s test could not be conducted, the results could be prone to </w:t>
      </w:r>
      <w:r w:rsidR="00852EFC">
        <w:rPr>
          <w:lang w:val="en-US"/>
        </w:rPr>
        <w:t>heteroscedasticity</w:t>
      </w:r>
      <w:r w:rsidR="00CE3444">
        <w:rPr>
          <w:lang w:val="en-US"/>
        </w:rPr>
        <w:t>. So</w:t>
      </w:r>
      <w:r w:rsidRPr="00EF56E2">
        <w:rPr>
          <w:lang w:val="en-US"/>
        </w:rPr>
        <w:t xml:space="preserve"> the reported standard deviations of the coefficients could be biased. Third the sample size of all three MRAs is relatively small, especially for the firm Age MRA. </w:t>
      </w:r>
    </w:p>
    <w:p w:rsidR="00D76CF7" w:rsidRDefault="00D76CF7" w:rsidP="00055A7F">
      <w:pPr>
        <w:spacing w:line="360" w:lineRule="auto"/>
        <w:rPr>
          <w:color w:val="FF0000"/>
          <w:lang w:val="en-US"/>
        </w:rPr>
      </w:pPr>
      <w:r>
        <w:rPr>
          <w:lang w:val="en-US"/>
        </w:rPr>
        <w:t xml:space="preserve">Finally I look at a problem common in academics: publication bias. Publication bias can occur when the chance of publication is influenced by the size or the significance of the reported findings.  </w:t>
      </w:r>
      <w:r w:rsidR="000D30D8">
        <w:rPr>
          <w:lang w:val="en-US"/>
        </w:rPr>
        <w:t xml:space="preserve">The test for publication bias is inconclusive for the firm age and </w:t>
      </w:r>
      <w:r w:rsidR="0095028A">
        <w:rPr>
          <w:lang w:val="en-US"/>
        </w:rPr>
        <w:t xml:space="preserve">the </w:t>
      </w:r>
      <w:r w:rsidR="000D30D8">
        <w:rPr>
          <w:lang w:val="en-US"/>
        </w:rPr>
        <w:t>under</w:t>
      </w:r>
      <w:r w:rsidR="00A178B6">
        <w:rPr>
          <w:lang w:val="en-US"/>
        </w:rPr>
        <w:t xml:space="preserve">writer reputation MRA. The </w:t>
      </w:r>
      <w:r w:rsidR="000D30D8">
        <w:rPr>
          <w:lang w:val="en-US"/>
        </w:rPr>
        <w:t xml:space="preserve">hypothesis of </w:t>
      </w:r>
      <w:r w:rsidR="00A178B6">
        <w:rPr>
          <w:lang w:val="en-US"/>
        </w:rPr>
        <w:t xml:space="preserve">no </w:t>
      </w:r>
      <w:r w:rsidR="000D30D8">
        <w:rPr>
          <w:lang w:val="en-US"/>
        </w:rPr>
        <w:t xml:space="preserve">publication bias is however </w:t>
      </w:r>
      <w:r w:rsidR="00A178B6">
        <w:rPr>
          <w:lang w:val="en-US"/>
        </w:rPr>
        <w:t>accepted</w:t>
      </w:r>
      <w:r w:rsidR="000D30D8">
        <w:rPr>
          <w:lang w:val="en-US"/>
        </w:rPr>
        <w:t xml:space="preserve"> for the IPO proceeds MRA. So the results of the firm age and underwriter reputation MRA could be prone to publication bias.</w:t>
      </w:r>
      <w:r w:rsidR="00A178B6">
        <w:rPr>
          <w:lang w:val="en-US"/>
        </w:rPr>
        <w:t xml:space="preserve"> None of the star journal bias tests provide any conclusive evidence.</w:t>
      </w:r>
    </w:p>
    <w:p w:rsidR="00852EFC" w:rsidRPr="00852EFC" w:rsidRDefault="00852EFC" w:rsidP="00055A7F">
      <w:pPr>
        <w:spacing w:line="360" w:lineRule="auto"/>
        <w:rPr>
          <w:lang w:val="en-US"/>
        </w:rPr>
      </w:pPr>
      <w:r w:rsidRPr="00852EFC">
        <w:rPr>
          <w:lang w:val="en-US"/>
        </w:rPr>
        <w:t xml:space="preserve">Meta regression analysis forces the reviewer to take a closer look at the study characteristics before drawing a conclusion about the ‘true’ relation between two variables. </w:t>
      </w:r>
      <w:r w:rsidR="00D40B32">
        <w:rPr>
          <w:lang w:val="en-US"/>
        </w:rPr>
        <w:t>As</w:t>
      </w:r>
      <w:r w:rsidRPr="00852EFC">
        <w:rPr>
          <w:lang w:val="en-US"/>
        </w:rPr>
        <w:t xml:space="preserve"> study characteristics can strongly influence results, MRA </w:t>
      </w:r>
      <w:r w:rsidR="00D40B32">
        <w:rPr>
          <w:lang w:val="en-US"/>
        </w:rPr>
        <w:t>is</w:t>
      </w:r>
      <w:r w:rsidRPr="00852EFC">
        <w:rPr>
          <w:lang w:val="en-US"/>
        </w:rPr>
        <w:t xml:space="preserve"> a promising</w:t>
      </w:r>
      <w:r w:rsidR="001D3599">
        <w:rPr>
          <w:lang w:val="en-US"/>
        </w:rPr>
        <w:t xml:space="preserve"> and exiting</w:t>
      </w:r>
      <w:r w:rsidRPr="00852EFC">
        <w:rPr>
          <w:lang w:val="en-US"/>
        </w:rPr>
        <w:t xml:space="preserve"> tool in evaluating economic </w:t>
      </w:r>
      <w:r w:rsidR="00D40B32">
        <w:rPr>
          <w:lang w:val="en-US"/>
        </w:rPr>
        <w:t>relations</w:t>
      </w:r>
      <w:r w:rsidRPr="00852EFC">
        <w:rPr>
          <w:lang w:val="en-US"/>
        </w:rPr>
        <w:t xml:space="preserve">. </w:t>
      </w:r>
    </w:p>
    <w:p w:rsidR="00DC6B05" w:rsidRDefault="00DC6B05" w:rsidP="00055A7F">
      <w:pPr>
        <w:spacing w:line="360" w:lineRule="auto"/>
        <w:rPr>
          <w:lang w:val="en-US"/>
        </w:rPr>
      </w:pPr>
    </w:p>
    <w:p w:rsidR="004361D6" w:rsidRPr="007405E8" w:rsidRDefault="004361D6" w:rsidP="007405E8">
      <w:pPr>
        <w:rPr>
          <w:lang w:val="en-US"/>
        </w:rPr>
      </w:pPr>
      <w:r w:rsidRPr="007405E8">
        <w:rPr>
          <w:lang w:val="en-US"/>
        </w:rPr>
        <w:br w:type="page"/>
      </w:r>
    </w:p>
    <w:p w:rsidR="007675A0" w:rsidRDefault="00A16A11" w:rsidP="00A16A11">
      <w:pPr>
        <w:spacing w:after="0" w:line="240" w:lineRule="auto"/>
        <w:ind w:left="1418" w:hanging="1418"/>
        <w:rPr>
          <w:b/>
          <w:lang w:val="en-US"/>
        </w:rPr>
      </w:pPr>
      <w:r>
        <w:rPr>
          <w:b/>
          <w:lang w:val="en-US"/>
        </w:rPr>
        <w:lastRenderedPageBreak/>
        <w:tab/>
      </w:r>
      <w:r w:rsidR="007675A0" w:rsidRPr="008016F9">
        <w:rPr>
          <w:b/>
          <w:lang w:val="en-US"/>
        </w:rPr>
        <w:t>Literature</w:t>
      </w:r>
      <w:bookmarkEnd w:id="18"/>
    </w:p>
    <w:p w:rsidR="007968A1" w:rsidRDefault="007968A1" w:rsidP="009D5452">
      <w:pPr>
        <w:spacing w:after="0" w:line="240" w:lineRule="auto"/>
        <w:rPr>
          <w:b/>
          <w:lang w:val="en-US"/>
        </w:rPr>
      </w:pPr>
    </w:p>
    <w:p w:rsidR="009D5452" w:rsidRDefault="00406600" w:rsidP="007968A1">
      <w:pPr>
        <w:rPr>
          <w:i/>
          <w:lang w:val="en-US"/>
        </w:rPr>
      </w:pPr>
      <w:r>
        <w:rPr>
          <w:i/>
          <w:lang w:val="en-US"/>
        </w:rPr>
        <w:t xml:space="preserve">The text between brackets </w:t>
      </w:r>
      <w:r w:rsidR="007968A1" w:rsidRPr="004121AD">
        <w:rPr>
          <w:i/>
          <w:lang w:val="en-US"/>
        </w:rPr>
        <w:t>(MRA: A, P, U)</w:t>
      </w:r>
      <w:r w:rsidR="007968A1">
        <w:rPr>
          <w:i/>
          <w:lang w:val="en-US"/>
        </w:rPr>
        <w:t xml:space="preserve"> indicates that the paper was used in the </w:t>
      </w:r>
      <w:r w:rsidR="009F25D4">
        <w:rPr>
          <w:i/>
          <w:lang w:val="en-US"/>
        </w:rPr>
        <w:t>Meta</w:t>
      </w:r>
      <w:r w:rsidR="007968A1">
        <w:rPr>
          <w:i/>
          <w:lang w:val="en-US"/>
        </w:rPr>
        <w:t xml:space="preserve"> database. </w:t>
      </w:r>
      <w:proofErr w:type="gramStart"/>
      <w:r w:rsidR="007968A1">
        <w:rPr>
          <w:i/>
          <w:lang w:val="en-US"/>
        </w:rPr>
        <w:t>A, P and U indicate in which MRA</w:t>
      </w:r>
      <w:r w:rsidR="007968A1" w:rsidRPr="004121AD">
        <w:rPr>
          <w:i/>
          <w:lang w:val="en-US"/>
        </w:rPr>
        <w:t>s the paper’s coefficients were included.</w:t>
      </w:r>
      <w:proofErr w:type="gramEnd"/>
      <w:r w:rsidR="007968A1" w:rsidRPr="004121AD">
        <w:rPr>
          <w:i/>
          <w:lang w:val="en-US"/>
        </w:rPr>
        <w:t xml:space="preserve"> A: Age, P: Proceeds and U: Underwriter Rank</w:t>
      </w:r>
      <w:r w:rsidR="007968A1">
        <w:rPr>
          <w:i/>
          <w:lang w:val="en-US"/>
        </w:rPr>
        <w:t xml:space="preserve">. A * indicates that the paper was included in both the </w:t>
      </w:r>
      <w:r w:rsidR="009F25D4">
        <w:rPr>
          <w:i/>
          <w:lang w:val="en-US"/>
        </w:rPr>
        <w:t>Meta</w:t>
      </w:r>
      <w:r w:rsidR="007968A1">
        <w:rPr>
          <w:i/>
          <w:lang w:val="en-US"/>
        </w:rPr>
        <w:t xml:space="preserve"> database and the literature review.</w:t>
      </w:r>
    </w:p>
    <w:p w:rsidR="007968A1" w:rsidRDefault="007968A1" w:rsidP="007968A1">
      <w:pPr>
        <w:rPr>
          <w:lang w:val="en-US"/>
        </w:rPr>
      </w:pPr>
      <w:r w:rsidRPr="004121AD">
        <w:rPr>
          <w:lang w:val="en-US"/>
        </w:rPr>
        <w:t xml:space="preserve">Affleck-Graves, J., Hegde, S.P., Miller, R.E., &amp; Reilly, F.K., 1993, </w:t>
      </w:r>
      <w:proofErr w:type="gramStart"/>
      <w:r w:rsidRPr="004121AD">
        <w:rPr>
          <w:lang w:val="en-US"/>
        </w:rPr>
        <w:t>The</w:t>
      </w:r>
      <w:proofErr w:type="gramEnd"/>
      <w:r w:rsidRPr="004121AD">
        <w:rPr>
          <w:lang w:val="en-US"/>
        </w:rPr>
        <w:t xml:space="preserve"> effect of the trading system on the underpricing of initial public offerings. </w:t>
      </w:r>
      <w:proofErr w:type="gramStart"/>
      <w:r w:rsidRPr="004121AD">
        <w:rPr>
          <w:lang w:val="en-US"/>
        </w:rPr>
        <w:t>Financial Management</w:t>
      </w:r>
      <w:r w:rsidR="003963BE">
        <w:rPr>
          <w:lang w:val="en-US"/>
        </w:rPr>
        <w:t>.</w:t>
      </w:r>
      <w:proofErr w:type="gramEnd"/>
      <w:r>
        <w:rPr>
          <w:lang w:val="en-US"/>
        </w:rPr>
        <w:t xml:space="preserve"> (MRA: A)</w:t>
      </w:r>
    </w:p>
    <w:p w:rsidR="007968A1" w:rsidRDefault="007968A1" w:rsidP="007968A1">
      <w:pPr>
        <w:rPr>
          <w:bCs/>
          <w:lang w:val="en-US"/>
        </w:rPr>
      </w:pPr>
      <w:r w:rsidRPr="00E54365">
        <w:rPr>
          <w:bCs/>
          <w:lang w:val="en-US"/>
        </w:rPr>
        <w:t xml:space="preserve">Aggarwal, R., 2000. </w:t>
      </w:r>
      <w:proofErr w:type="gramStart"/>
      <w:r w:rsidRPr="00E54365">
        <w:rPr>
          <w:bCs/>
          <w:lang w:val="en-US"/>
        </w:rPr>
        <w:t>Stabilization activities by underwriters after initial public offerings.</w:t>
      </w:r>
      <w:proofErr w:type="gramEnd"/>
      <w:r w:rsidRPr="00E54365">
        <w:rPr>
          <w:bCs/>
          <w:lang w:val="en-US"/>
        </w:rPr>
        <w:t xml:space="preserve"> </w:t>
      </w:r>
      <w:r>
        <w:rPr>
          <w:bCs/>
          <w:lang w:val="en-US"/>
        </w:rPr>
        <w:t xml:space="preserve">The </w:t>
      </w:r>
      <w:r w:rsidRPr="00E54365">
        <w:rPr>
          <w:bCs/>
          <w:lang w:val="en-US"/>
        </w:rPr>
        <w:t>Journal of Finance 55, 1075-1103.</w:t>
      </w:r>
    </w:p>
    <w:p w:rsidR="007968A1" w:rsidRPr="007968A1" w:rsidRDefault="007968A1" w:rsidP="007968A1">
      <w:pPr>
        <w:rPr>
          <w:bCs/>
          <w:lang w:val="en-GB"/>
        </w:rPr>
      </w:pPr>
      <w:r w:rsidRPr="0036082B">
        <w:rPr>
          <w:bCs/>
          <w:lang w:val="en-GB"/>
        </w:rPr>
        <w:t>Aggarwal, R., Prabhala, N.R., Puri, M., 2002, Institutional Allocation in Initial Public Offerings: Empirical Evidence,</w:t>
      </w:r>
      <w:r w:rsidRPr="00503AF2">
        <w:rPr>
          <w:bCs/>
          <w:lang w:val="en-US"/>
        </w:rPr>
        <w:t xml:space="preserve"> </w:t>
      </w:r>
      <w:proofErr w:type="gramStart"/>
      <w:r>
        <w:rPr>
          <w:bCs/>
          <w:lang w:val="en-US"/>
        </w:rPr>
        <w:t>The</w:t>
      </w:r>
      <w:proofErr w:type="gramEnd"/>
      <w:r w:rsidRPr="0036082B">
        <w:rPr>
          <w:bCs/>
          <w:lang w:val="en-GB"/>
        </w:rPr>
        <w:t xml:space="preserve"> Jo</w:t>
      </w:r>
      <w:r>
        <w:rPr>
          <w:bCs/>
          <w:lang w:val="en-GB"/>
        </w:rPr>
        <w:t>urnal of Finance 57, 1421-1442.</w:t>
      </w:r>
    </w:p>
    <w:p w:rsidR="007675A0" w:rsidRPr="00686870" w:rsidRDefault="007675A0" w:rsidP="007675A0">
      <w:pPr>
        <w:rPr>
          <w:lang w:val="en-GB"/>
        </w:rPr>
      </w:pPr>
      <w:r w:rsidRPr="00686870">
        <w:rPr>
          <w:lang w:val="en-GB"/>
        </w:rPr>
        <w:t>Amihud, Y., Hauser, S., Kirsh, A., 2003, Allocations, Adverse Selection and Cascades in IPOs: Evidence from the Tel Aviv Stock Exchange, Journal of Financial Economics 68, 137- 158.</w:t>
      </w:r>
    </w:p>
    <w:p w:rsidR="007675A0" w:rsidRDefault="007675A0" w:rsidP="007675A0">
      <w:pPr>
        <w:rPr>
          <w:lang w:val="en-US"/>
        </w:rPr>
      </w:pPr>
      <w:proofErr w:type="gramStart"/>
      <w:r w:rsidRPr="00E54365">
        <w:rPr>
          <w:lang w:val="en-US"/>
        </w:rPr>
        <w:t>Ang, J.S., Brau, J.C., 2002, Firm Transparency and the Costs of Going Public.</w:t>
      </w:r>
      <w:proofErr w:type="gramEnd"/>
      <w:r w:rsidRPr="00E54365">
        <w:rPr>
          <w:lang w:val="en-US"/>
        </w:rPr>
        <w:t xml:space="preserve"> </w:t>
      </w:r>
      <w:r>
        <w:rPr>
          <w:bCs/>
          <w:lang w:val="en-US"/>
        </w:rPr>
        <w:t>The</w:t>
      </w:r>
      <w:r w:rsidRPr="00E54365">
        <w:rPr>
          <w:lang w:val="en-US"/>
        </w:rPr>
        <w:t xml:space="preserve"> Journal of Financial Research 25, 1-17</w:t>
      </w:r>
      <w:r w:rsidR="003963BE">
        <w:rPr>
          <w:lang w:val="en-US"/>
        </w:rPr>
        <w:t>.</w:t>
      </w:r>
    </w:p>
    <w:p w:rsidR="009D77FA" w:rsidRPr="009D77FA" w:rsidRDefault="009D77FA" w:rsidP="007675A0">
      <w:pPr>
        <w:rPr>
          <w:lang w:val="en-US"/>
        </w:rPr>
      </w:pPr>
      <w:proofErr w:type="gramStart"/>
      <w:r>
        <w:rPr>
          <w:lang w:val="en-US"/>
        </w:rPr>
        <w:t>Baker, M., Wurgler, J., 2002.</w:t>
      </w:r>
      <w:proofErr w:type="gramEnd"/>
      <w:r>
        <w:rPr>
          <w:lang w:val="en-US"/>
        </w:rPr>
        <w:t xml:space="preserve"> </w:t>
      </w:r>
      <w:proofErr w:type="gramStart"/>
      <w:r w:rsidRPr="009D77FA">
        <w:rPr>
          <w:lang w:val="en-US"/>
        </w:rPr>
        <w:t>Market Timing and Capital Structure.</w:t>
      </w:r>
      <w:proofErr w:type="gramEnd"/>
      <w:r>
        <w:rPr>
          <w:lang w:val="en-US"/>
        </w:rPr>
        <w:t xml:space="preserve"> The Journal of Finance 57, 1-32</w:t>
      </w:r>
      <w:r w:rsidR="003963BE">
        <w:rPr>
          <w:lang w:val="en-US"/>
        </w:rPr>
        <w:t>.</w:t>
      </w:r>
    </w:p>
    <w:p w:rsidR="007675A0" w:rsidRDefault="007675A0" w:rsidP="007675A0">
      <w:pPr>
        <w:rPr>
          <w:bCs/>
          <w:lang w:val="en-US"/>
        </w:rPr>
      </w:pPr>
      <w:r w:rsidRPr="00E54365">
        <w:rPr>
          <w:bCs/>
          <w:lang w:val="en-US"/>
        </w:rPr>
        <w:t xml:space="preserve">Baron, D.P., 1982, </w:t>
      </w:r>
      <w:proofErr w:type="gramStart"/>
      <w:r w:rsidRPr="00E54365">
        <w:rPr>
          <w:bCs/>
          <w:lang w:val="en-US"/>
        </w:rPr>
        <w:t>A</w:t>
      </w:r>
      <w:proofErr w:type="gramEnd"/>
      <w:r w:rsidRPr="00E54365">
        <w:rPr>
          <w:bCs/>
          <w:lang w:val="en-US"/>
        </w:rPr>
        <w:t xml:space="preserve"> model of the demand for investment banking advising and distribution services for new issues,</w:t>
      </w:r>
      <w:r w:rsidRPr="00503AF2">
        <w:rPr>
          <w:bCs/>
          <w:lang w:val="en-US"/>
        </w:rPr>
        <w:t xml:space="preserve"> </w:t>
      </w:r>
      <w:r>
        <w:rPr>
          <w:bCs/>
          <w:lang w:val="en-US"/>
        </w:rPr>
        <w:t>The</w:t>
      </w:r>
      <w:r w:rsidRPr="00E54365">
        <w:rPr>
          <w:bCs/>
          <w:lang w:val="en-US"/>
        </w:rPr>
        <w:t xml:space="preserve"> Journal of Finance 37, 955-976.</w:t>
      </w:r>
    </w:p>
    <w:p w:rsidR="007968A1" w:rsidRPr="007968A1" w:rsidRDefault="007968A1" w:rsidP="007675A0">
      <w:pPr>
        <w:rPr>
          <w:lang w:val="en-US"/>
        </w:rPr>
      </w:pPr>
      <w:r w:rsidRPr="004121AD">
        <w:rPr>
          <w:lang w:val="en-US"/>
        </w:rPr>
        <w:t xml:space="preserve">Barry, C.B., Muscarella, C.J., Peavy, J.W., Vetsuypens, M.R., 1990, </w:t>
      </w:r>
      <w:proofErr w:type="gramStart"/>
      <w:r w:rsidRPr="004121AD">
        <w:rPr>
          <w:lang w:val="en-US"/>
        </w:rPr>
        <w:t>The</w:t>
      </w:r>
      <w:proofErr w:type="gramEnd"/>
      <w:r w:rsidRPr="004121AD">
        <w:rPr>
          <w:lang w:val="en-US"/>
        </w:rPr>
        <w:t xml:space="preserve"> role of venture capital in the creation of public companies: Evidence from the going-public process. </w:t>
      </w:r>
      <w:proofErr w:type="gramStart"/>
      <w:r w:rsidRPr="004121AD">
        <w:rPr>
          <w:lang w:val="en-US"/>
        </w:rPr>
        <w:t>Journal of Financial Economic</w:t>
      </w:r>
      <w:r w:rsidR="003963BE">
        <w:rPr>
          <w:lang w:val="en-US"/>
        </w:rPr>
        <w:t>s.</w:t>
      </w:r>
      <w:proofErr w:type="gramEnd"/>
      <w:r>
        <w:rPr>
          <w:lang w:val="en-US"/>
        </w:rPr>
        <w:t xml:space="preserve"> (MRA: A)</w:t>
      </w:r>
    </w:p>
    <w:p w:rsidR="007675A0" w:rsidRPr="00E54365" w:rsidRDefault="007675A0" w:rsidP="007675A0">
      <w:pPr>
        <w:rPr>
          <w:lang w:val="en-US"/>
        </w:rPr>
      </w:pPr>
      <w:r w:rsidRPr="00E54365">
        <w:rPr>
          <w:lang w:val="en-US"/>
        </w:rPr>
        <w:t>Barry, C. B., Muscarella, C.J., Vetsuypens, M.R., 1991, Underwriter warrants, underwriter compensation</w:t>
      </w:r>
      <w:proofErr w:type="gramStart"/>
      <w:r w:rsidRPr="00E54365">
        <w:rPr>
          <w:lang w:val="en-US"/>
        </w:rPr>
        <w:t>,and</w:t>
      </w:r>
      <w:proofErr w:type="gramEnd"/>
      <w:r w:rsidRPr="00E54365">
        <w:rPr>
          <w:lang w:val="en-US"/>
        </w:rPr>
        <w:t xml:space="preserve"> the costs of going public. </w:t>
      </w:r>
      <w:proofErr w:type="gramStart"/>
      <w:r w:rsidRPr="00503AF2">
        <w:rPr>
          <w:iCs/>
          <w:lang w:val="en-US"/>
        </w:rPr>
        <w:t>Journal of Financial Economics</w:t>
      </w:r>
      <w:r w:rsidRPr="00E54365">
        <w:rPr>
          <w:i/>
          <w:iCs/>
          <w:lang w:val="en-US"/>
        </w:rPr>
        <w:t xml:space="preserve"> </w:t>
      </w:r>
      <w:r w:rsidRPr="00E54365">
        <w:rPr>
          <w:lang w:val="en-US"/>
        </w:rPr>
        <w:t>29, 113-35.</w:t>
      </w:r>
      <w:proofErr w:type="gramEnd"/>
      <w:r w:rsidR="007968A1">
        <w:rPr>
          <w:lang w:val="en-US"/>
        </w:rPr>
        <w:t xml:space="preserve"> (MRA: A</w:t>
      </w:r>
      <w:r w:rsidR="007968A1" w:rsidRPr="004121AD">
        <w:rPr>
          <w:lang w:val="en-US"/>
        </w:rPr>
        <w:t>)</w:t>
      </w:r>
      <w:r w:rsidR="007968A1">
        <w:rPr>
          <w:lang w:val="en-US"/>
        </w:rPr>
        <w:t>*</w:t>
      </w:r>
    </w:p>
    <w:p w:rsidR="007675A0" w:rsidRPr="00E54365" w:rsidRDefault="007675A0" w:rsidP="007675A0">
      <w:pPr>
        <w:rPr>
          <w:lang w:val="en-US"/>
        </w:rPr>
      </w:pPr>
      <w:proofErr w:type="gramStart"/>
      <w:r w:rsidRPr="00E54365">
        <w:rPr>
          <w:lang w:val="en-US"/>
        </w:rPr>
        <w:t>Beatty, R., Ritter, J., 1986, Investment banking, reputation, and the underpricing of initial public offerings.</w:t>
      </w:r>
      <w:proofErr w:type="gramEnd"/>
      <w:r w:rsidRPr="00E54365">
        <w:rPr>
          <w:lang w:val="en-US"/>
        </w:rPr>
        <w:t xml:space="preserve"> Journal of Financial Economics</w:t>
      </w:r>
      <w:r>
        <w:rPr>
          <w:lang w:val="en-US"/>
        </w:rPr>
        <w:t xml:space="preserve"> 15, 213-232</w:t>
      </w:r>
      <w:r w:rsidR="003963BE">
        <w:rPr>
          <w:lang w:val="en-US"/>
        </w:rPr>
        <w:t>.</w:t>
      </w:r>
      <w:r w:rsidR="007968A1">
        <w:rPr>
          <w:lang w:val="en-US"/>
        </w:rPr>
        <w:t xml:space="preserve"> (MRA: A</w:t>
      </w:r>
      <w:r w:rsidR="007968A1" w:rsidRPr="004121AD">
        <w:rPr>
          <w:lang w:val="en-US"/>
        </w:rPr>
        <w:t>)</w:t>
      </w:r>
      <w:r w:rsidR="007968A1">
        <w:rPr>
          <w:lang w:val="en-US"/>
        </w:rPr>
        <w:t>*</w:t>
      </w:r>
    </w:p>
    <w:p w:rsidR="007675A0" w:rsidRPr="00E54365" w:rsidRDefault="007675A0" w:rsidP="007675A0">
      <w:pPr>
        <w:rPr>
          <w:bCs/>
          <w:iCs/>
          <w:lang w:val="en-US"/>
        </w:rPr>
      </w:pPr>
      <w:proofErr w:type="gramStart"/>
      <w:r w:rsidRPr="00E54365">
        <w:rPr>
          <w:bCs/>
          <w:iCs/>
          <w:lang w:val="en-US"/>
        </w:rPr>
        <w:t>Benveniste, L.M., Spindt, P.A., 1989, How investment bankers determine the offer price and allocation of new issues, Journal of Financial Economics 24, 343-362.</w:t>
      </w:r>
      <w:proofErr w:type="gramEnd"/>
    </w:p>
    <w:p w:rsidR="007675A0" w:rsidRPr="00A829FD" w:rsidRDefault="007675A0" w:rsidP="007675A0">
      <w:pPr>
        <w:rPr>
          <w:bCs/>
          <w:iCs/>
          <w:lang w:val="en-US"/>
        </w:rPr>
      </w:pPr>
      <w:r w:rsidRPr="00A829FD">
        <w:rPr>
          <w:bCs/>
          <w:iCs/>
          <w:lang w:val="en-US"/>
        </w:rPr>
        <w:t xml:space="preserve">Benveniste, L.M., Wilhelm, W.J., 1990, </w:t>
      </w:r>
      <w:proofErr w:type="gramStart"/>
      <w:r w:rsidRPr="00A829FD">
        <w:rPr>
          <w:bCs/>
          <w:iCs/>
          <w:lang w:val="en-US"/>
        </w:rPr>
        <w:t>A</w:t>
      </w:r>
      <w:proofErr w:type="gramEnd"/>
      <w:r w:rsidRPr="00A829FD">
        <w:rPr>
          <w:bCs/>
          <w:iCs/>
          <w:lang w:val="en-US"/>
        </w:rPr>
        <w:t xml:space="preserve"> comparative analysis of </w:t>
      </w:r>
      <w:r w:rsidR="0030498B">
        <w:rPr>
          <w:bCs/>
          <w:iCs/>
          <w:lang w:val="en-US"/>
        </w:rPr>
        <w:t>IPO</w:t>
      </w:r>
      <w:r w:rsidRPr="00A829FD">
        <w:rPr>
          <w:bCs/>
          <w:iCs/>
          <w:lang w:val="en-US"/>
        </w:rPr>
        <w:t xml:space="preserve"> proceeds under alternative regulatory environments, Journal of Financial Economics 28, 173-208.</w:t>
      </w:r>
    </w:p>
    <w:p w:rsidR="007675A0" w:rsidRPr="00E54365" w:rsidRDefault="007675A0" w:rsidP="007675A0">
      <w:pPr>
        <w:rPr>
          <w:bCs/>
          <w:iCs/>
          <w:lang w:val="en-US"/>
        </w:rPr>
      </w:pPr>
      <w:proofErr w:type="gramStart"/>
      <w:r w:rsidRPr="00E54365">
        <w:rPr>
          <w:bCs/>
          <w:iCs/>
          <w:lang w:val="en-US"/>
        </w:rPr>
        <w:t>Biais, B., and A. M. Faugeron-Crouzet, 2002.</w:t>
      </w:r>
      <w:proofErr w:type="gramEnd"/>
      <w:r w:rsidRPr="00E54365">
        <w:rPr>
          <w:bCs/>
          <w:iCs/>
          <w:lang w:val="en-US"/>
        </w:rPr>
        <w:t xml:space="preserve"> </w:t>
      </w:r>
      <w:r w:rsidR="0030498B">
        <w:rPr>
          <w:bCs/>
          <w:iCs/>
          <w:lang w:val="en-US"/>
        </w:rPr>
        <w:t>IPO</w:t>
      </w:r>
      <w:r w:rsidRPr="00E54365">
        <w:rPr>
          <w:bCs/>
          <w:iCs/>
          <w:lang w:val="en-US"/>
        </w:rPr>
        <w:t xml:space="preserve"> Auctions: English, Dutch</w:t>
      </w:r>
      <w:proofErr w:type="gramStart"/>
      <w:r w:rsidRPr="00E54365">
        <w:rPr>
          <w:bCs/>
          <w:iCs/>
          <w:lang w:val="en-US"/>
        </w:rPr>
        <w:t>, ...</w:t>
      </w:r>
      <w:proofErr w:type="gramEnd"/>
      <w:r w:rsidRPr="00E54365">
        <w:rPr>
          <w:bCs/>
          <w:iCs/>
          <w:lang w:val="en-US"/>
        </w:rPr>
        <w:t xml:space="preserve"> </w:t>
      </w:r>
      <w:proofErr w:type="gramStart"/>
      <w:r w:rsidRPr="00E54365">
        <w:rPr>
          <w:bCs/>
          <w:iCs/>
          <w:lang w:val="en-US"/>
        </w:rPr>
        <w:t>French,</w:t>
      </w:r>
      <w:proofErr w:type="gramEnd"/>
      <w:r w:rsidRPr="00E54365">
        <w:rPr>
          <w:bCs/>
          <w:iCs/>
          <w:lang w:val="en-US"/>
        </w:rPr>
        <w:t xml:space="preserve"> and </w:t>
      </w:r>
      <w:r w:rsidR="009C2F54">
        <w:rPr>
          <w:bCs/>
          <w:iCs/>
          <w:lang w:val="en-US"/>
        </w:rPr>
        <w:t>Internet</w:t>
      </w:r>
      <w:r w:rsidRPr="00E54365">
        <w:rPr>
          <w:bCs/>
          <w:iCs/>
          <w:lang w:val="en-US"/>
        </w:rPr>
        <w:t>. Journal of Financial Intermediation, 11, 9-36.</w:t>
      </w:r>
    </w:p>
    <w:p w:rsidR="007675A0" w:rsidRPr="00E54365" w:rsidRDefault="007675A0" w:rsidP="007675A0">
      <w:pPr>
        <w:rPr>
          <w:bCs/>
          <w:iCs/>
          <w:lang w:val="en-US"/>
        </w:rPr>
      </w:pPr>
      <w:r w:rsidRPr="00E54365">
        <w:rPr>
          <w:bCs/>
          <w:iCs/>
          <w:lang w:val="en-US"/>
        </w:rPr>
        <w:t xml:space="preserve">Bikhchandani, S., Hirshleifer, D., Welch, </w:t>
      </w:r>
      <w:smartTag w:uri="urn:schemas-microsoft-com:office:smarttags" w:element="place">
        <w:r w:rsidRPr="00E54365">
          <w:rPr>
            <w:bCs/>
            <w:iCs/>
            <w:lang w:val="en-US"/>
          </w:rPr>
          <w:t>I.</w:t>
        </w:r>
      </w:smartTag>
      <w:r w:rsidRPr="00E54365">
        <w:rPr>
          <w:bCs/>
          <w:iCs/>
          <w:lang w:val="en-US"/>
        </w:rPr>
        <w:t xml:space="preserve">, 1992, A Theory of Fads, Fashion, Custom, and Cultural Change as Informational Cascades. </w:t>
      </w:r>
      <w:proofErr w:type="gramStart"/>
      <w:r w:rsidRPr="00E54365">
        <w:rPr>
          <w:bCs/>
          <w:iCs/>
          <w:lang w:val="en-US"/>
        </w:rPr>
        <w:t>Journal of Political Economy 100, 992-026</w:t>
      </w:r>
      <w:r w:rsidR="003963BE">
        <w:rPr>
          <w:bCs/>
          <w:iCs/>
          <w:lang w:val="en-US"/>
        </w:rPr>
        <w:t>.</w:t>
      </w:r>
      <w:proofErr w:type="gramEnd"/>
    </w:p>
    <w:p w:rsidR="007675A0" w:rsidRDefault="007675A0" w:rsidP="007675A0">
      <w:pPr>
        <w:rPr>
          <w:bCs/>
          <w:lang w:val="en-US"/>
        </w:rPr>
      </w:pPr>
      <w:proofErr w:type="gramStart"/>
      <w:r w:rsidRPr="00E54365">
        <w:rPr>
          <w:bCs/>
          <w:lang w:val="en-US"/>
        </w:rPr>
        <w:t>Bommel, van, J., Vermaelen, T., 2003, Post-</w:t>
      </w:r>
      <w:r w:rsidR="0030498B">
        <w:rPr>
          <w:bCs/>
          <w:lang w:val="en-US"/>
        </w:rPr>
        <w:t>IPO</w:t>
      </w:r>
      <w:r w:rsidRPr="00E54365">
        <w:rPr>
          <w:bCs/>
          <w:lang w:val="en-US"/>
        </w:rPr>
        <w:t xml:space="preserve"> capital expenditures and market feedback.</w:t>
      </w:r>
      <w:proofErr w:type="gramEnd"/>
      <w:r w:rsidRPr="00E54365">
        <w:rPr>
          <w:bCs/>
          <w:lang w:val="en-US"/>
        </w:rPr>
        <w:t xml:space="preserve"> </w:t>
      </w:r>
      <w:proofErr w:type="gramStart"/>
      <w:r w:rsidRPr="00E54365">
        <w:rPr>
          <w:bCs/>
          <w:lang w:val="en-US"/>
        </w:rPr>
        <w:t>Journal of Banking and Finance</w:t>
      </w:r>
      <w:r w:rsidR="003963BE">
        <w:rPr>
          <w:bCs/>
          <w:lang w:val="en-US"/>
        </w:rPr>
        <w:t>.</w:t>
      </w:r>
      <w:proofErr w:type="gramEnd"/>
    </w:p>
    <w:p w:rsidR="007675A0" w:rsidRDefault="007675A0" w:rsidP="007675A0">
      <w:pPr>
        <w:rPr>
          <w:lang w:val="en-GB"/>
        </w:rPr>
      </w:pPr>
      <w:proofErr w:type="gramStart"/>
      <w:r w:rsidRPr="009A2661">
        <w:rPr>
          <w:lang w:val="en-GB"/>
        </w:rPr>
        <w:lastRenderedPageBreak/>
        <w:t>Booth, J</w:t>
      </w:r>
      <w:r>
        <w:rPr>
          <w:lang w:val="en-GB"/>
        </w:rPr>
        <w:t xml:space="preserve">.R., </w:t>
      </w:r>
      <w:r w:rsidRPr="009A2661">
        <w:rPr>
          <w:lang w:val="en-GB"/>
        </w:rPr>
        <w:t>Chua,</w:t>
      </w:r>
      <w:r>
        <w:rPr>
          <w:lang w:val="en-GB"/>
        </w:rPr>
        <w:t xml:space="preserve"> L.,</w:t>
      </w:r>
      <w:r w:rsidRPr="009A2661">
        <w:rPr>
          <w:lang w:val="en-GB"/>
        </w:rPr>
        <w:t xml:space="preserve"> 1996, Ownership dispersion, costly in</w:t>
      </w:r>
      <w:r>
        <w:rPr>
          <w:lang w:val="en-GB"/>
        </w:rPr>
        <w:t xml:space="preserve">formation, and </w:t>
      </w:r>
      <w:r w:rsidR="0030498B">
        <w:rPr>
          <w:lang w:val="en-GB"/>
        </w:rPr>
        <w:t>IPO</w:t>
      </w:r>
      <w:r>
        <w:rPr>
          <w:lang w:val="en-GB"/>
        </w:rPr>
        <w:t xml:space="preserve"> underpricing.</w:t>
      </w:r>
      <w:proofErr w:type="gramEnd"/>
      <w:r w:rsidRPr="009A2661">
        <w:rPr>
          <w:lang w:val="en-GB"/>
        </w:rPr>
        <w:t xml:space="preserve"> Journal of Financial Economics 41, 291-310. </w:t>
      </w:r>
      <w:r w:rsidR="007968A1">
        <w:rPr>
          <w:lang w:val="en-US"/>
        </w:rPr>
        <w:t>(MRA: P</w:t>
      </w:r>
      <w:r w:rsidR="007968A1" w:rsidRPr="004121AD">
        <w:rPr>
          <w:lang w:val="en-US"/>
        </w:rPr>
        <w:t>)</w:t>
      </w:r>
      <w:r w:rsidR="007968A1">
        <w:rPr>
          <w:lang w:val="en-US"/>
        </w:rPr>
        <w:t>*</w:t>
      </w:r>
    </w:p>
    <w:p w:rsidR="007968A1" w:rsidRPr="004121AD" w:rsidRDefault="007968A1" w:rsidP="007968A1">
      <w:pPr>
        <w:rPr>
          <w:lang w:val="en-US"/>
        </w:rPr>
      </w:pPr>
      <w:r w:rsidRPr="004121AD">
        <w:rPr>
          <w:lang w:val="en-US"/>
        </w:rPr>
        <w:t>Booth, J.R., Booth, L.C.</w:t>
      </w:r>
      <w:proofErr w:type="gramStart"/>
      <w:r w:rsidRPr="004121AD">
        <w:rPr>
          <w:lang w:val="en-US"/>
        </w:rPr>
        <w:t>,2003</w:t>
      </w:r>
      <w:proofErr w:type="gramEnd"/>
      <w:r w:rsidRPr="004121AD">
        <w:rPr>
          <w:lang w:val="en-US"/>
        </w:rPr>
        <w:t xml:space="preserve">, Agreeing to Disagree: Why IPOs are Underpriced? </w:t>
      </w:r>
      <w:proofErr w:type="gramStart"/>
      <w:r w:rsidRPr="004121AD">
        <w:rPr>
          <w:lang w:val="en-US"/>
        </w:rPr>
        <w:t>Unpublished working paper, Arizona State University, 2003</w:t>
      </w:r>
      <w:r w:rsidR="003963BE">
        <w:rPr>
          <w:lang w:val="en-US"/>
        </w:rPr>
        <w:t>.</w:t>
      </w:r>
      <w:proofErr w:type="gramEnd"/>
      <w:r>
        <w:rPr>
          <w:lang w:val="en-US"/>
        </w:rPr>
        <w:t xml:space="preserve"> (MRA: P</w:t>
      </w:r>
      <w:r w:rsidRPr="004121AD">
        <w:rPr>
          <w:lang w:val="en-US"/>
        </w:rPr>
        <w:t>)</w:t>
      </w:r>
    </w:p>
    <w:p w:rsidR="007968A1" w:rsidRDefault="007968A1" w:rsidP="007968A1">
      <w:pPr>
        <w:rPr>
          <w:lang w:val="en-GB"/>
        </w:rPr>
      </w:pPr>
      <w:r w:rsidRPr="004121AD">
        <w:rPr>
          <w:lang w:val="en-US"/>
        </w:rPr>
        <w:t>Booth, J.R., Booth, L.C.</w:t>
      </w:r>
      <w:proofErr w:type="gramStart"/>
      <w:r w:rsidRPr="004121AD">
        <w:rPr>
          <w:lang w:val="en-US"/>
        </w:rPr>
        <w:t>,2010</w:t>
      </w:r>
      <w:proofErr w:type="gramEnd"/>
      <w:r w:rsidRPr="004121AD">
        <w:rPr>
          <w:lang w:val="en-US"/>
        </w:rPr>
        <w:t xml:space="preserve">, Why is </w:t>
      </w:r>
      <w:r w:rsidR="0030498B">
        <w:rPr>
          <w:lang w:val="en-US"/>
        </w:rPr>
        <w:t>IPO</w:t>
      </w:r>
      <w:r w:rsidRPr="004121AD">
        <w:rPr>
          <w:lang w:val="en-US"/>
        </w:rPr>
        <w:t xml:space="preserve"> Underpricing a Global Phenomenon? </w:t>
      </w:r>
      <w:proofErr w:type="gramStart"/>
      <w:r w:rsidRPr="004121AD">
        <w:rPr>
          <w:lang w:val="en-US"/>
        </w:rPr>
        <w:t>23rd Australasian Finance and Banking Conference 2010 Paper</w:t>
      </w:r>
      <w:r w:rsidR="003963BE">
        <w:rPr>
          <w:lang w:val="en-US"/>
        </w:rPr>
        <w:t>.</w:t>
      </w:r>
      <w:proofErr w:type="gramEnd"/>
      <w:r>
        <w:rPr>
          <w:lang w:val="en-US"/>
        </w:rPr>
        <w:t xml:space="preserve"> (MRA: P</w:t>
      </w:r>
      <w:r w:rsidRPr="004121AD">
        <w:rPr>
          <w:lang w:val="en-US"/>
        </w:rPr>
        <w:t>)</w:t>
      </w:r>
    </w:p>
    <w:p w:rsidR="007675A0" w:rsidRPr="00E54365" w:rsidRDefault="007675A0" w:rsidP="007675A0">
      <w:pPr>
        <w:rPr>
          <w:lang w:val="en-GB"/>
        </w:rPr>
      </w:pPr>
      <w:r w:rsidRPr="00E54365">
        <w:rPr>
          <w:lang w:val="en-GB"/>
        </w:rPr>
        <w:t>Brau, C.B., Fawcett, S.E., 2006, Initial Public Offerings: An Analysis of Theory and Practice.</w:t>
      </w:r>
      <w:r w:rsidRPr="00503AF2">
        <w:rPr>
          <w:bCs/>
          <w:lang w:val="en-US"/>
        </w:rPr>
        <w:t xml:space="preserve"> </w:t>
      </w:r>
      <w:proofErr w:type="gramStart"/>
      <w:r>
        <w:rPr>
          <w:bCs/>
          <w:lang w:val="en-US"/>
        </w:rPr>
        <w:t>The</w:t>
      </w:r>
      <w:r w:rsidRPr="00E54365">
        <w:rPr>
          <w:lang w:val="en-GB"/>
        </w:rPr>
        <w:t xml:space="preserve"> Journal of Finance 61</w:t>
      </w:r>
      <w:r w:rsidR="003963BE">
        <w:rPr>
          <w:lang w:val="en-GB"/>
        </w:rPr>
        <w:t>.</w:t>
      </w:r>
      <w:proofErr w:type="gramEnd"/>
    </w:p>
    <w:p w:rsidR="007675A0" w:rsidRPr="00E54365" w:rsidRDefault="007675A0" w:rsidP="007675A0">
      <w:pPr>
        <w:rPr>
          <w:lang w:val="en-US"/>
        </w:rPr>
      </w:pPr>
      <w:r w:rsidRPr="00E54365">
        <w:rPr>
          <w:lang w:val="en-US"/>
        </w:rPr>
        <w:t xml:space="preserve">Brau, J.C., Ryan P.A., Degraw, </w:t>
      </w:r>
      <w:smartTag w:uri="urn:schemas-microsoft-com:office:smarttags" w:element="place">
        <w:r w:rsidRPr="00E54365">
          <w:rPr>
            <w:lang w:val="en-US"/>
          </w:rPr>
          <w:t>I.</w:t>
        </w:r>
      </w:smartTag>
      <w:r w:rsidRPr="00E54365">
        <w:rPr>
          <w:lang w:val="en-US"/>
        </w:rPr>
        <w:t>, 2006, Initial Public Offerings: CFO Perceptions, Financial Review</w:t>
      </w:r>
      <w:r w:rsidR="003963BE">
        <w:rPr>
          <w:lang w:val="en-US"/>
        </w:rPr>
        <w:t>.</w:t>
      </w:r>
    </w:p>
    <w:p w:rsidR="007675A0" w:rsidRPr="00E54365" w:rsidRDefault="007675A0" w:rsidP="007675A0">
      <w:pPr>
        <w:rPr>
          <w:bCs/>
          <w:lang w:val="en-US"/>
        </w:rPr>
      </w:pPr>
      <w:r w:rsidRPr="00E54365">
        <w:rPr>
          <w:bCs/>
          <w:lang w:val="en-US"/>
        </w:rPr>
        <w:t xml:space="preserve">Bradley, D., Jordan, B., Ritter, J., 2003, </w:t>
      </w:r>
      <w:proofErr w:type="gramStart"/>
      <w:r w:rsidRPr="00E54365">
        <w:rPr>
          <w:bCs/>
          <w:lang w:val="en-US"/>
        </w:rPr>
        <w:t>The</w:t>
      </w:r>
      <w:proofErr w:type="gramEnd"/>
      <w:r w:rsidRPr="00E54365">
        <w:rPr>
          <w:bCs/>
          <w:lang w:val="en-US"/>
        </w:rPr>
        <w:t xml:space="preserve"> qu</w:t>
      </w:r>
      <w:r>
        <w:rPr>
          <w:bCs/>
          <w:lang w:val="en-US"/>
        </w:rPr>
        <w:t>iet period goes out with a bang.</w:t>
      </w:r>
      <w:r w:rsidRPr="00E54365">
        <w:rPr>
          <w:bCs/>
          <w:lang w:val="en-US"/>
        </w:rPr>
        <w:t xml:space="preserve"> </w:t>
      </w:r>
      <w:r>
        <w:rPr>
          <w:bCs/>
          <w:lang w:val="en-US"/>
        </w:rPr>
        <w:t>The</w:t>
      </w:r>
      <w:r w:rsidRPr="00E54365">
        <w:rPr>
          <w:bCs/>
          <w:lang w:val="en-US"/>
        </w:rPr>
        <w:t xml:space="preserve"> Journal of Finance 58, 1-36.</w:t>
      </w:r>
    </w:p>
    <w:p w:rsidR="007968A1" w:rsidRDefault="007968A1" w:rsidP="007968A1">
      <w:pPr>
        <w:rPr>
          <w:lang w:val="en-US"/>
        </w:rPr>
      </w:pPr>
      <w:r w:rsidRPr="004121AD">
        <w:rPr>
          <w:lang w:val="en-US"/>
        </w:rPr>
        <w:t xml:space="preserve">Busaba, W.Y., Benveniste, L.M., Guo, R., 2001, </w:t>
      </w:r>
      <w:proofErr w:type="gramStart"/>
      <w:r w:rsidRPr="004121AD">
        <w:rPr>
          <w:lang w:val="en-US"/>
        </w:rPr>
        <w:t>The</w:t>
      </w:r>
      <w:proofErr w:type="gramEnd"/>
      <w:r w:rsidRPr="004121AD">
        <w:rPr>
          <w:lang w:val="en-US"/>
        </w:rPr>
        <w:t xml:space="preserve"> option to withdraw IPOs during the premarket: empirical analysis. </w:t>
      </w:r>
      <w:proofErr w:type="gramStart"/>
      <w:r w:rsidRPr="004121AD">
        <w:rPr>
          <w:lang w:val="en-US"/>
        </w:rPr>
        <w:t>Journal of Financial Economics</w:t>
      </w:r>
      <w:r w:rsidR="003963BE">
        <w:rPr>
          <w:lang w:val="en-US"/>
        </w:rPr>
        <w:t>.</w:t>
      </w:r>
      <w:proofErr w:type="gramEnd"/>
      <w:r>
        <w:rPr>
          <w:lang w:val="en-US"/>
        </w:rPr>
        <w:t xml:space="preserve"> (MRA: U)</w:t>
      </w:r>
    </w:p>
    <w:p w:rsidR="007968A1" w:rsidRPr="00A61EB6" w:rsidRDefault="007968A1" w:rsidP="007968A1">
      <w:pPr>
        <w:rPr>
          <w:lang w:val="en-US"/>
        </w:rPr>
      </w:pPr>
      <w:proofErr w:type="gramStart"/>
      <w:r w:rsidRPr="004121AD">
        <w:rPr>
          <w:lang w:val="en-US"/>
        </w:rPr>
        <w:t xml:space="preserve">Carter, R.B., Dark, F.H., &amp; Singh, A.K., 1998, Underwriter reputation, initial returns, and the long-run performance of </w:t>
      </w:r>
      <w:r w:rsidR="0030498B">
        <w:rPr>
          <w:lang w:val="en-US"/>
        </w:rPr>
        <w:t>IPO</w:t>
      </w:r>
      <w:r w:rsidRPr="004121AD">
        <w:rPr>
          <w:lang w:val="en-US"/>
        </w:rPr>
        <w:t xml:space="preserve"> stocks.</w:t>
      </w:r>
      <w:proofErr w:type="gramEnd"/>
      <w:r w:rsidRPr="004121AD">
        <w:rPr>
          <w:lang w:val="en-US"/>
        </w:rPr>
        <w:t xml:space="preserve"> </w:t>
      </w:r>
      <w:proofErr w:type="gramStart"/>
      <w:r w:rsidRPr="004121AD">
        <w:rPr>
          <w:lang w:val="en-US"/>
        </w:rPr>
        <w:t>Journal of Finance</w:t>
      </w:r>
      <w:r w:rsidR="003963BE">
        <w:rPr>
          <w:lang w:val="en-US"/>
        </w:rPr>
        <w:t>.</w:t>
      </w:r>
      <w:proofErr w:type="gramEnd"/>
      <w:r>
        <w:rPr>
          <w:lang w:val="en-US"/>
        </w:rPr>
        <w:t xml:space="preserve"> (MRA: P)</w:t>
      </w:r>
    </w:p>
    <w:p w:rsidR="007968A1" w:rsidRPr="00E54365" w:rsidRDefault="007675A0" w:rsidP="007675A0">
      <w:pPr>
        <w:rPr>
          <w:lang w:val="en-US"/>
        </w:rPr>
      </w:pPr>
      <w:proofErr w:type="gramStart"/>
      <w:r w:rsidRPr="00E54365">
        <w:rPr>
          <w:lang w:val="en-US"/>
        </w:rPr>
        <w:t>Carter, R., Manaster, S., 1990, Initial public offerings and underwriter reputation</w:t>
      </w:r>
      <w:r>
        <w:rPr>
          <w:lang w:val="en-US"/>
        </w:rPr>
        <w:t>.</w:t>
      </w:r>
      <w:proofErr w:type="gramEnd"/>
      <w:r>
        <w:rPr>
          <w:lang w:val="en-US"/>
        </w:rPr>
        <w:t xml:space="preserve"> </w:t>
      </w:r>
      <w:r>
        <w:rPr>
          <w:bCs/>
          <w:lang w:val="en-US"/>
        </w:rPr>
        <w:t>The</w:t>
      </w:r>
      <w:r w:rsidRPr="00E54365">
        <w:rPr>
          <w:lang w:val="en-US"/>
        </w:rPr>
        <w:t xml:space="preserve"> Journal of Finance 45, 1045-1067</w:t>
      </w:r>
      <w:r w:rsidR="003963BE">
        <w:rPr>
          <w:lang w:val="en-US"/>
        </w:rPr>
        <w:t xml:space="preserve">. </w:t>
      </w:r>
      <w:r w:rsidR="007968A1">
        <w:rPr>
          <w:lang w:val="en-US"/>
        </w:rPr>
        <w:t xml:space="preserve">(MRA: </w:t>
      </w:r>
      <w:r w:rsidR="007968A1" w:rsidRPr="004121AD">
        <w:rPr>
          <w:lang w:val="en-US"/>
        </w:rPr>
        <w:t>A, P, U)</w:t>
      </w:r>
      <w:r w:rsidR="007968A1">
        <w:rPr>
          <w:lang w:val="en-US"/>
        </w:rPr>
        <w:t>*</w:t>
      </w:r>
    </w:p>
    <w:p w:rsidR="003963BE" w:rsidRDefault="007675A0" w:rsidP="007675A0">
      <w:pPr>
        <w:contextualSpacing/>
        <w:rPr>
          <w:lang w:val="en-US"/>
        </w:rPr>
      </w:pPr>
      <w:r w:rsidRPr="00E54365">
        <w:rPr>
          <w:lang w:val="en-US"/>
        </w:rPr>
        <w:t xml:space="preserve">Certo, S.T., Daily, C.M., </w:t>
      </w:r>
      <w:smartTag w:uri="urn:schemas-microsoft-com:office:smarttags" w:element="place">
        <w:smartTag w:uri="urn:schemas-microsoft-com:office:smarttags" w:element="City">
          <w:r w:rsidRPr="00E54365">
            <w:rPr>
              <w:lang w:val="en-US"/>
            </w:rPr>
            <w:t>Dalton</w:t>
          </w:r>
        </w:smartTag>
      </w:smartTag>
      <w:r w:rsidRPr="00E54365">
        <w:rPr>
          <w:lang w:val="en-US"/>
        </w:rPr>
        <w:t xml:space="preserve">, D.R., 2001. </w:t>
      </w:r>
      <w:proofErr w:type="gramStart"/>
      <w:r w:rsidRPr="00E54365">
        <w:rPr>
          <w:lang w:val="en-US"/>
        </w:rPr>
        <w:t>Signaling firm value through board structure: An investigation of initial public offerings.</w:t>
      </w:r>
      <w:proofErr w:type="gramEnd"/>
      <w:r w:rsidRPr="00E54365">
        <w:rPr>
          <w:lang w:val="en-US"/>
        </w:rPr>
        <w:t xml:space="preserve"> </w:t>
      </w:r>
    </w:p>
    <w:p w:rsidR="00D704E2" w:rsidRPr="00E54365" w:rsidRDefault="007675A0" w:rsidP="007675A0">
      <w:pPr>
        <w:rPr>
          <w:lang w:val="en-US"/>
        </w:rPr>
      </w:pPr>
      <w:r w:rsidRPr="00E54365">
        <w:rPr>
          <w:iCs/>
          <w:lang w:val="en-US"/>
        </w:rPr>
        <w:t>Entrepreneurship Theory and Practice</w:t>
      </w:r>
      <w:r w:rsidR="007968A1">
        <w:rPr>
          <w:lang w:val="en-US"/>
        </w:rPr>
        <w:t>, 26(2), 33–50</w:t>
      </w:r>
      <w:r w:rsidR="003963BE">
        <w:rPr>
          <w:lang w:val="en-US"/>
        </w:rPr>
        <w:t>.</w:t>
      </w:r>
      <w:r w:rsidR="007968A1">
        <w:rPr>
          <w:lang w:val="en-US"/>
        </w:rPr>
        <w:t xml:space="preserve"> (MRA: U</w:t>
      </w:r>
      <w:r w:rsidR="007968A1" w:rsidRPr="004121AD">
        <w:rPr>
          <w:lang w:val="en-US"/>
        </w:rPr>
        <w:t>)</w:t>
      </w:r>
      <w:r w:rsidR="007968A1">
        <w:rPr>
          <w:lang w:val="en-US"/>
        </w:rPr>
        <w:t>*</w:t>
      </w:r>
    </w:p>
    <w:p w:rsidR="007675A0" w:rsidRDefault="007675A0" w:rsidP="007675A0">
      <w:pPr>
        <w:rPr>
          <w:lang w:val="en-US"/>
        </w:rPr>
      </w:pPr>
      <w:r w:rsidRPr="00E54365">
        <w:rPr>
          <w:bCs/>
          <w:lang w:val="en-US"/>
        </w:rPr>
        <w:t>Chemmanur, T.J., Fulghieri, P., 1999</w:t>
      </w:r>
      <w:r w:rsidRPr="00E54365">
        <w:rPr>
          <w:lang w:val="en-US"/>
        </w:rPr>
        <w:t xml:space="preserve"> A Theory of the Going Public Decision, Review of Financial Studies 12, 249-279</w:t>
      </w:r>
      <w:r w:rsidR="003963BE">
        <w:rPr>
          <w:lang w:val="en-US"/>
        </w:rPr>
        <w:t>.</w:t>
      </w:r>
    </w:p>
    <w:p w:rsidR="007968A1" w:rsidRPr="00E54365" w:rsidRDefault="007968A1" w:rsidP="007675A0">
      <w:pPr>
        <w:rPr>
          <w:lang w:val="en-US"/>
        </w:rPr>
      </w:pPr>
      <w:r w:rsidRPr="004121AD">
        <w:rPr>
          <w:lang w:val="en-US"/>
        </w:rPr>
        <w:t xml:space="preserve">Chen, C.R., Mohan, N.J., 2002, Underwriter Spread, Underwriter Reputation, and </w:t>
      </w:r>
      <w:r w:rsidR="0030498B">
        <w:rPr>
          <w:lang w:val="en-US"/>
        </w:rPr>
        <w:t>IPO</w:t>
      </w:r>
      <w:r w:rsidRPr="004121AD">
        <w:rPr>
          <w:lang w:val="en-US"/>
        </w:rPr>
        <w:t xml:space="preserve"> Underpricing: A Simultaneous Equation Analysis. </w:t>
      </w:r>
      <w:proofErr w:type="gramStart"/>
      <w:r w:rsidRPr="004121AD">
        <w:rPr>
          <w:lang w:val="en-US"/>
        </w:rPr>
        <w:t>Journal of Business Finance &amp; Accounting</w:t>
      </w:r>
      <w:r w:rsidR="003963BE">
        <w:rPr>
          <w:lang w:val="en-US"/>
        </w:rPr>
        <w:t>.</w:t>
      </w:r>
      <w:proofErr w:type="gramEnd"/>
      <w:r>
        <w:rPr>
          <w:lang w:val="en-US"/>
        </w:rPr>
        <w:t xml:space="preserve"> (MRA: U)</w:t>
      </w:r>
    </w:p>
    <w:p w:rsidR="007675A0" w:rsidRDefault="007675A0" w:rsidP="007675A0">
      <w:pPr>
        <w:outlineLvl w:val="0"/>
        <w:rPr>
          <w:lang w:val="en-US"/>
        </w:rPr>
      </w:pPr>
      <w:bookmarkStart w:id="32" w:name="_Toc280276131"/>
      <w:r w:rsidRPr="00E54365">
        <w:rPr>
          <w:lang w:val="en-US"/>
        </w:rPr>
        <w:t xml:space="preserve">Chen, H.C., Ritter, J.R., 2000. </w:t>
      </w:r>
      <w:proofErr w:type="gramStart"/>
      <w:r w:rsidRPr="00E54365">
        <w:rPr>
          <w:lang w:val="en-US"/>
        </w:rPr>
        <w:t>The seven percent solution.</w:t>
      </w:r>
      <w:proofErr w:type="gramEnd"/>
      <w:r w:rsidRPr="00503AF2">
        <w:rPr>
          <w:bCs/>
          <w:lang w:val="en-US"/>
        </w:rPr>
        <w:t xml:space="preserve"> </w:t>
      </w:r>
      <w:proofErr w:type="gramStart"/>
      <w:r>
        <w:rPr>
          <w:bCs/>
          <w:lang w:val="en-US"/>
        </w:rPr>
        <w:t>The</w:t>
      </w:r>
      <w:r w:rsidRPr="00E54365">
        <w:rPr>
          <w:lang w:val="en-US"/>
        </w:rPr>
        <w:t xml:space="preserve"> Journal of Finance</w:t>
      </w:r>
      <w:bookmarkEnd w:id="32"/>
      <w:r w:rsidR="003963BE">
        <w:rPr>
          <w:lang w:val="en-US"/>
        </w:rPr>
        <w:t>.</w:t>
      </w:r>
      <w:proofErr w:type="gramEnd"/>
    </w:p>
    <w:p w:rsidR="00D704E2" w:rsidRDefault="00D704E2" w:rsidP="00D704E2">
      <w:pPr>
        <w:rPr>
          <w:lang w:val="en-US"/>
        </w:rPr>
      </w:pPr>
      <w:r w:rsidRPr="004121AD">
        <w:rPr>
          <w:lang w:val="en-US"/>
        </w:rPr>
        <w:t xml:space="preserve">Chishty, M.R.K., Hasan, I., &amp; Smith, S.D., 1996, </w:t>
      </w:r>
      <w:proofErr w:type="gramStart"/>
      <w:r w:rsidRPr="004121AD">
        <w:rPr>
          <w:lang w:val="en-US"/>
        </w:rPr>
        <w:t>A</w:t>
      </w:r>
      <w:proofErr w:type="gramEnd"/>
      <w:r w:rsidRPr="004121AD">
        <w:rPr>
          <w:lang w:val="en-US"/>
        </w:rPr>
        <w:t xml:space="preserve"> note on underwriter competition and initial public offerings. </w:t>
      </w:r>
      <w:proofErr w:type="gramStart"/>
      <w:r w:rsidRPr="004121AD">
        <w:rPr>
          <w:lang w:val="en-US"/>
        </w:rPr>
        <w:t>Journal of Business Finance and Accounting</w:t>
      </w:r>
      <w:r w:rsidR="003963BE">
        <w:rPr>
          <w:lang w:val="en-US"/>
        </w:rPr>
        <w:t>.</w:t>
      </w:r>
      <w:proofErr w:type="gramEnd"/>
      <w:r>
        <w:rPr>
          <w:lang w:val="en-US"/>
        </w:rPr>
        <w:t xml:space="preserve"> (MRA: A, P, U)</w:t>
      </w:r>
    </w:p>
    <w:p w:rsidR="007675A0" w:rsidRPr="00E54365" w:rsidRDefault="007675A0" w:rsidP="007675A0">
      <w:pPr>
        <w:spacing w:line="360" w:lineRule="auto"/>
        <w:rPr>
          <w:lang w:val="en-US"/>
        </w:rPr>
      </w:pPr>
      <w:proofErr w:type="gramStart"/>
      <w:r w:rsidRPr="008173A0">
        <w:rPr>
          <w:lang w:val="en-US"/>
        </w:rPr>
        <w:t>Chowdhry,</w:t>
      </w:r>
      <w:r>
        <w:rPr>
          <w:lang w:val="en-US"/>
        </w:rPr>
        <w:t xml:space="preserve"> </w:t>
      </w:r>
      <w:r w:rsidRPr="008173A0">
        <w:rPr>
          <w:lang w:val="en-US"/>
        </w:rPr>
        <w:t>B., Sherman, A., 1996 "The Winner's Curse and International Methods of Allocating Initial Public Offerings."</w:t>
      </w:r>
      <w:proofErr w:type="gramEnd"/>
      <w:r w:rsidRPr="008173A0">
        <w:rPr>
          <w:lang w:val="en-US"/>
        </w:rPr>
        <w:t xml:space="preserve"> Pacific-Basin Finance Journal 4, 15-30.</w:t>
      </w:r>
    </w:p>
    <w:p w:rsidR="007675A0" w:rsidRDefault="007675A0" w:rsidP="007675A0">
      <w:pPr>
        <w:spacing w:line="360" w:lineRule="auto"/>
        <w:rPr>
          <w:bCs/>
          <w:lang w:val="en-US"/>
        </w:rPr>
      </w:pPr>
      <w:proofErr w:type="gramStart"/>
      <w:r w:rsidRPr="00E54365">
        <w:rPr>
          <w:bCs/>
          <w:lang w:val="en-US"/>
        </w:rPr>
        <w:t>Chowdhry, B., Nanda, V., 1996, Stabilization, syndication, and pricing of IPOs.</w:t>
      </w:r>
      <w:proofErr w:type="gramEnd"/>
      <w:r w:rsidRPr="00E54365">
        <w:rPr>
          <w:bCs/>
          <w:lang w:val="en-US"/>
        </w:rPr>
        <w:t xml:space="preserve"> Journal of Financial and Quantitative Analysis 31, 25-42.</w:t>
      </w:r>
    </w:p>
    <w:p w:rsidR="00D704E2" w:rsidRPr="00D704E2" w:rsidRDefault="00D704E2" w:rsidP="00D704E2">
      <w:pPr>
        <w:rPr>
          <w:lang w:val="en-US"/>
        </w:rPr>
      </w:pPr>
      <w:r w:rsidRPr="004121AD">
        <w:rPr>
          <w:lang w:val="en-US"/>
        </w:rPr>
        <w:t xml:space="preserve">Chua, L., 1995, </w:t>
      </w:r>
      <w:proofErr w:type="gramStart"/>
      <w:r w:rsidRPr="004121AD">
        <w:rPr>
          <w:lang w:val="en-US"/>
        </w:rPr>
        <w:t>A</w:t>
      </w:r>
      <w:proofErr w:type="gramEnd"/>
      <w:r w:rsidRPr="004121AD">
        <w:rPr>
          <w:lang w:val="en-US"/>
        </w:rPr>
        <w:t xml:space="preserve"> reexamination of the costs of </w:t>
      </w:r>
      <w:r w:rsidR="00F60C96">
        <w:rPr>
          <w:lang w:val="en-US"/>
        </w:rPr>
        <w:t>Firm Commitment</w:t>
      </w:r>
      <w:r w:rsidRPr="004121AD">
        <w:rPr>
          <w:lang w:val="en-US"/>
        </w:rPr>
        <w:t xml:space="preserve"> and </w:t>
      </w:r>
      <w:r w:rsidR="00F60C96">
        <w:rPr>
          <w:lang w:val="en-US"/>
        </w:rPr>
        <w:t>Best Efforts</w:t>
      </w:r>
      <w:r w:rsidRPr="004121AD">
        <w:rPr>
          <w:lang w:val="en-US"/>
        </w:rPr>
        <w:t xml:space="preserve"> IPOs. </w:t>
      </w:r>
      <w:proofErr w:type="gramStart"/>
      <w:r w:rsidRPr="004121AD">
        <w:rPr>
          <w:lang w:val="en-US"/>
        </w:rPr>
        <w:t>The Financial Review</w:t>
      </w:r>
      <w:r w:rsidR="003963BE">
        <w:rPr>
          <w:lang w:val="en-US"/>
        </w:rPr>
        <w:t>.</w:t>
      </w:r>
      <w:proofErr w:type="gramEnd"/>
      <w:r w:rsidR="00651F15">
        <w:rPr>
          <w:lang w:val="en-US"/>
        </w:rPr>
        <w:t xml:space="preserve"> (MRA: A, P</w:t>
      </w:r>
      <w:r>
        <w:rPr>
          <w:lang w:val="en-US"/>
        </w:rPr>
        <w:t>)</w:t>
      </w:r>
    </w:p>
    <w:p w:rsidR="007675A0" w:rsidRPr="00E54365" w:rsidRDefault="007675A0" w:rsidP="007675A0">
      <w:pPr>
        <w:spacing w:line="360" w:lineRule="auto"/>
        <w:rPr>
          <w:lang w:val="en-US"/>
        </w:rPr>
      </w:pPr>
      <w:r w:rsidRPr="00E54365">
        <w:rPr>
          <w:bCs/>
          <w:lang w:val="en-US"/>
        </w:rPr>
        <w:lastRenderedPageBreak/>
        <w:t xml:space="preserve">Cliff, M.T., Denis, </w:t>
      </w:r>
      <w:proofErr w:type="gramStart"/>
      <w:r w:rsidRPr="00E54365">
        <w:rPr>
          <w:bCs/>
          <w:lang w:val="en-US"/>
        </w:rPr>
        <w:t>D.j</w:t>
      </w:r>
      <w:proofErr w:type="gramEnd"/>
      <w:r w:rsidRPr="00E54365">
        <w:rPr>
          <w:bCs/>
          <w:lang w:val="en-US"/>
        </w:rPr>
        <w:t>., 2004, Do initial public offering firms purchase analyst coverage with underpricing?</w:t>
      </w:r>
      <w:r w:rsidRPr="00503AF2">
        <w:rPr>
          <w:bCs/>
          <w:lang w:val="en-US"/>
        </w:rPr>
        <w:t xml:space="preserve"> </w:t>
      </w:r>
      <w:proofErr w:type="gramStart"/>
      <w:r>
        <w:rPr>
          <w:bCs/>
          <w:lang w:val="en-US"/>
        </w:rPr>
        <w:t>The</w:t>
      </w:r>
      <w:r w:rsidRPr="00E54365">
        <w:rPr>
          <w:bCs/>
          <w:lang w:val="en-US"/>
        </w:rPr>
        <w:t xml:space="preserve"> Journal of Finance 59, 2871-2901</w:t>
      </w:r>
      <w:r w:rsidR="003963BE">
        <w:rPr>
          <w:bCs/>
          <w:lang w:val="en-US"/>
        </w:rPr>
        <w:t>.</w:t>
      </w:r>
      <w:proofErr w:type="gramEnd"/>
      <w:r w:rsidR="00D704E2">
        <w:rPr>
          <w:bCs/>
          <w:lang w:val="en-US"/>
        </w:rPr>
        <w:t xml:space="preserve"> </w:t>
      </w:r>
      <w:r w:rsidR="00D704E2">
        <w:rPr>
          <w:lang w:val="en-US"/>
        </w:rPr>
        <w:t>(MRA: U</w:t>
      </w:r>
      <w:r w:rsidR="00D704E2" w:rsidRPr="004121AD">
        <w:rPr>
          <w:lang w:val="en-US"/>
        </w:rPr>
        <w:t>)</w:t>
      </w:r>
      <w:r w:rsidR="00D704E2">
        <w:rPr>
          <w:lang w:val="en-US"/>
        </w:rPr>
        <w:t>*</w:t>
      </w:r>
    </w:p>
    <w:p w:rsidR="007675A0" w:rsidRDefault="007675A0" w:rsidP="007675A0">
      <w:pPr>
        <w:rPr>
          <w:bCs/>
          <w:lang w:val="en-US"/>
        </w:rPr>
      </w:pPr>
      <w:proofErr w:type="gramStart"/>
      <w:r w:rsidRPr="00E54365">
        <w:rPr>
          <w:bCs/>
          <w:lang w:val="en-US"/>
        </w:rPr>
        <w:t>Cornelli, F., Goldreich, D., 2001, Bookbu</w:t>
      </w:r>
      <w:r>
        <w:rPr>
          <w:bCs/>
          <w:lang w:val="en-US"/>
        </w:rPr>
        <w:t>ilding and strategic allocation.</w:t>
      </w:r>
      <w:proofErr w:type="gramEnd"/>
      <w:r>
        <w:rPr>
          <w:bCs/>
          <w:lang w:val="en-US"/>
        </w:rPr>
        <w:t xml:space="preserve"> </w:t>
      </w:r>
      <w:proofErr w:type="gramStart"/>
      <w:r>
        <w:rPr>
          <w:bCs/>
          <w:lang w:val="en-US"/>
        </w:rPr>
        <w:t>The</w:t>
      </w:r>
      <w:r w:rsidRPr="00E54365">
        <w:rPr>
          <w:bCs/>
          <w:lang w:val="en-US"/>
        </w:rPr>
        <w:t xml:space="preserve"> Journal of Finance 56, 2337-2369.</w:t>
      </w:r>
      <w:proofErr w:type="gramEnd"/>
    </w:p>
    <w:p w:rsidR="007675A0" w:rsidRDefault="007675A0" w:rsidP="007675A0">
      <w:pPr>
        <w:rPr>
          <w:lang w:val="en-US"/>
        </w:rPr>
      </w:pPr>
      <w:r w:rsidRPr="00E54365">
        <w:rPr>
          <w:lang w:val="en-US"/>
        </w:rPr>
        <w:t>Daily, C.M., Certo, S.T., Dalton, D.R., Roengpitya, R., 2003</w:t>
      </w:r>
      <w:r>
        <w:rPr>
          <w:lang w:val="en-US"/>
        </w:rPr>
        <w:t>,</w:t>
      </w:r>
      <w:r w:rsidRPr="00E54365">
        <w:rPr>
          <w:lang w:val="en-US"/>
        </w:rPr>
        <w:t xml:space="preserve"> </w:t>
      </w:r>
      <w:r w:rsidR="0030498B">
        <w:rPr>
          <w:lang w:val="en-US"/>
        </w:rPr>
        <w:t>IPO</w:t>
      </w:r>
      <w:r w:rsidRPr="00E54365">
        <w:rPr>
          <w:lang w:val="en-US"/>
        </w:rPr>
        <w:t xml:space="preserve"> Underpricing: A </w:t>
      </w:r>
      <w:r w:rsidR="009F25D4">
        <w:rPr>
          <w:lang w:val="en-US"/>
        </w:rPr>
        <w:t>Meta</w:t>
      </w:r>
      <w:r w:rsidRPr="00E54365">
        <w:rPr>
          <w:lang w:val="en-US"/>
        </w:rPr>
        <w:t xml:space="preserve">-Analysis and Research Synthesis. </w:t>
      </w:r>
      <w:proofErr w:type="gramStart"/>
      <w:r w:rsidRPr="00E54365">
        <w:rPr>
          <w:lang w:val="en-US"/>
        </w:rPr>
        <w:t>Entrepreneurship theory and practice</w:t>
      </w:r>
      <w:r w:rsidR="003963BE">
        <w:rPr>
          <w:lang w:val="en-US"/>
        </w:rPr>
        <w:t>.</w:t>
      </w:r>
      <w:proofErr w:type="gramEnd"/>
    </w:p>
    <w:p w:rsidR="007675A0" w:rsidRDefault="007675A0" w:rsidP="007675A0">
      <w:pPr>
        <w:rPr>
          <w:lang w:val="en-US"/>
        </w:rPr>
      </w:pPr>
      <w:r>
        <w:rPr>
          <w:lang w:val="en-US"/>
        </w:rPr>
        <w:t xml:space="preserve">Derrien, F., 2005, </w:t>
      </w:r>
      <w:r w:rsidR="0030498B">
        <w:rPr>
          <w:lang w:val="en-US"/>
        </w:rPr>
        <w:t>IPO</w:t>
      </w:r>
      <w:r w:rsidRPr="00FC3708">
        <w:rPr>
          <w:lang w:val="en-US"/>
        </w:rPr>
        <w:t xml:space="preserve"> Pricing in "Hot" Market Conditions: Who Leaves Money on the Table?</w:t>
      </w:r>
      <w:r w:rsidRPr="00503AF2">
        <w:rPr>
          <w:bCs/>
          <w:lang w:val="en-US"/>
        </w:rPr>
        <w:t xml:space="preserve"> </w:t>
      </w:r>
      <w:r>
        <w:rPr>
          <w:bCs/>
          <w:lang w:val="en-US"/>
        </w:rPr>
        <w:t>The</w:t>
      </w:r>
      <w:r>
        <w:rPr>
          <w:lang w:val="en-US"/>
        </w:rPr>
        <w:t xml:space="preserve"> Journal of Finance 60, 487-521</w:t>
      </w:r>
      <w:r w:rsidR="003963BE">
        <w:rPr>
          <w:lang w:val="en-US"/>
        </w:rPr>
        <w:t xml:space="preserve">. </w:t>
      </w:r>
      <w:r w:rsidR="00D704E2">
        <w:rPr>
          <w:lang w:val="en-US"/>
        </w:rPr>
        <w:t>(MRA: P</w:t>
      </w:r>
      <w:r w:rsidR="00D704E2" w:rsidRPr="004121AD">
        <w:rPr>
          <w:lang w:val="en-US"/>
        </w:rPr>
        <w:t>)</w:t>
      </w:r>
      <w:r w:rsidR="00D704E2">
        <w:rPr>
          <w:lang w:val="en-US"/>
        </w:rPr>
        <w:t>*</w:t>
      </w:r>
    </w:p>
    <w:p w:rsidR="00D704E2" w:rsidRPr="00E54365" w:rsidRDefault="00D704E2" w:rsidP="007675A0">
      <w:pPr>
        <w:rPr>
          <w:lang w:val="en-US"/>
        </w:rPr>
      </w:pPr>
      <w:r w:rsidRPr="004121AD">
        <w:rPr>
          <w:lang w:val="en-US"/>
        </w:rPr>
        <w:t xml:space="preserve">Derrien, F., Kecskes, A., 2007, </w:t>
      </w:r>
      <w:proofErr w:type="gramStart"/>
      <w:r w:rsidRPr="004121AD">
        <w:rPr>
          <w:lang w:val="en-US"/>
        </w:rPr>
        <w:t>The</w:t>
      </w:r>
      <w:proofErr w:type="gramEnd"/>
      <w:r w:rsidRPr="004121AD">
        <w:rPr>
          <w:lang w:val="en-US"/>
        </w:rPr>
        <w:t xml:space="preserve"> Initial Public Offerings of Listed Firms. </w:t>
      </w:r>
      <w:proofErr w:type="gramStart"/>
      <w:r w:rsidRPr="004121AD">
        <w:rPr>
          <w:lang w:val="en-US"/>
        </w:rPr>
        <w:t>The Journal of Finance</w:t>
      </w:r>
      <w:r w:rsidR="003963BE">
        <w:rPr>
          <w:lang w:val="en-US"/>
        </w:rPr>
        <w:t>.</w:t>
      </w:r>
      <w:proofErr w:type="gramEnd"/>
      <w:r>
        <w:rPr>
          <w:lang w:val="en-US"/>
        </w:rPr>
        <w:t xml:space="preserve"> (MRA: P)</w:t>
      </w:r>
    </w:p>
    <w:p w:rsidR="007675A0" w:rsidRDefault="007675A0" w:rsidP="007675A0">
      <w:pPr>
        <w:rPr>
          <w:lang w:val="en-US"/>
        </w:rPr>
      </w:pPr>
      <w:proofErr w:type="gramStart"/>
      <w:r w:rsidRPr="00E54365">
        <w:rPr>
          <w:lang w:val="en-US"/>
        </w:rPr>
        <w:t>Derrien, F., Womack, K.L., 2003.</w:t>
      </w:r>
      <w:proofErr w:type="gramEnd"/>
      <w:r w:rsidRPr="00E54365">
        <w:rPr>
          <w:lang w:val="en-US"/>
        </w:rPr>
        <w:t xml:space="preserve"> </w:t>
      </w:r>
      <w:proofErr w:type="gramStart"/>
      <w:r w:rsidRPr="00E54365">
        <w:rPr>
          <w:lang w:val="en-US"/>
        </w:rPr>
        <w:t xml:space="preserve">Auctions vs. Bookbuilding and the Control of Underpricing in Hot </w:t>
      </w:r>
      <w:r w:rsidR="0030498B">
        <w:rPr>
          <w:lang w:val="en-US"/>
        </w:rPr>
        <w:t>IPO</w:t>
      </w:r>
      <w:r w:rsidRPr="00E54365">
        <w:rPr>
          <w:lang w:val="en-US"/>
        </w:rPr>
        <w:t xml:space="preserve"> Markets.</w:t>
      </w:r>
      <w:proofErr w:type="gramEnd"/>
      <w:r w:rsidRPr="00E54365">
        <w:rPr>
          <w:lang w:val="en-US"/>
        </w:rPr>
        <w:t xml:space="preserve">  </w:t>
      </w:r>
      <w:proofErr w:type="gramStart"/>
      <w:r w:rsidRPr="00E54365">
        <w:rPr>
          <w:lang w:val="en-US"/>
        </w:rPr>
        <w:t>The review of financial studies</w:t>
      </w:r>
      <w:r w:rsidR="003963BE">
        <w:rPr>
          <w:lang w:val="en-US"/>
        </w:rPr>
        <w:t>.</w:t>
      </w:r>
      <w:proofErr w:type="gramEnd"/>
    </w:p>
    <w:p w:rsidR="007675A0" w:rsidRPr="00D05774" w:rsidRDefault="007675A0" w:rsidP="007675A0">
      <w:pPr>
        <w:rPr>
          <w:lang w:val="en-US"/>
        </w:rPr>
      </w:pPr>
      <w:r>
        <w:rPr>
          <w:lang w:val="en-US"/>
        </w:rPr>
        <w:t xml:space="preserve">Drake, P.D., </w:t>
      </w:r>
      <w:r w:rsidRPr="00D05774">
        <w:rPr>
          <w:lang w:val="en-US"/>
        </w:rPr>
        <w:t xml:space="preserve">Vetsuypens, </w:t>
      </w:r>
      <w:r>
        <w:rPr>
          <w:lang w:val="en-US"/>
        </w:rPr>
        <w:t xml:space="preserve">M.R., </w:t>
      </w:r>
      <w:r w:rsidRPr="00D05774">
        <w:rPr>
          <w:lang w:val="en-US"/>
        </w:rPr>
        <w:t xml:space="preserve">1993, </w:t>
      </w:r>
      <w:r w:rsidR="0030498B">
        <w:rPr>
          <w:lang w:val="en-US"/>
        </w:rPr>
        <w:t>IPO</w:t>
      </w:r>
      <w:r w:rsidRPr="00D05774">
        <w:rPr>
          <w:lang w:val="en-US"/>
        </w:rPr>
        <w:t xml:space="preserve"> underpricing and in</w:t>
      </w:r>
      <w:r>
        <w:rPr>
          <w:lang w:val="en-US"/>
        </w:rPr>
        <w:t>surance against legal liability.</w:t>
      </w:r>
      <w:r w:rsidRPr="00D05774">
        <w:rPr>
          <w:lang w:val="en-US"/>
        </w:rPr>
        <w:t xml:space="preserve"> Financial Management 22, 64-73.</w:t>
      </w:r>
    </w:p>
    <w:p w:rsidR="007675A0" w:rsidRDefault="007675A0" w:rsidP="007675A0">
      <w:pPr>
        <w:rPr>
          <w:lang w:val="en-GB"/>
        </w:rPr>
      </w:pPr>
      <w:r>
        <w:rPr>
          <w:lang w:val="en-GB"/>
        </w:rPr>
        <w:t>Dunbar, C.</w:t>
      </w:r>
      <w:r w:rsidRPr="00E54365">
        <w:rPr>
          <w:lang w:val="en-GB"/>
        </w:rPr>
        <w:t xml:space="preserve">, 2000. </w:t>
      </w:r>
      <w:proofErr w:type="gramStart"/>
      <w:r w:rsidRPr="00E54365">
        <w:rPr>
          <w:lang w:val="en-GB"/>
        </w:rPr>
        <w:t>Factors Affecting Investment Bank Initial Public Offering Market Share</w:t>
      </w:r>
      <w:r w:rsidRPr="00E54365">
        <w:rPr>
          <w:i/>
          <w:lang w:val="en-GB"/>
        </w:rPr>
        <w:t xml:space="preserve">, </w:t>
      </w:r>
      <w:r w:rsidRPr="00503AF2">
        <w:rPr>
          <w:iCs/>
          <w:lang w:val="en-GB"/>
        </w:rPr>
        <w:t xml:space="preserve">Journal of Financial Economics </w:t>
      </w:r>
      <w:r w:rsidRPr="00503AF2">
        <w:rPr>
          <w:lang w:val="en-GB"/>
        </w:rPr>
        <w:t>55, 3-41</w:t>
      </w:r>
      <w:r w:rsidR="003963BE">
        <w:rPr>
          <w:lang w:val="en-GB"/>
        </w:rPr>
        <w:t>.</w:t>
      </w:r>
      <w:proofErr w:type="gramEnd"/>
    </w:p>
    <w:p w:rsidR="00D704E2" w:rsidRPr="00D704E2" w:rsidRDefault="00D704E2" w:rsidP="007675A0">
      <w:pPr>
        <w:rPr>
          <w:lang w:val="en-US"/>
        </w:rPr>
      </w:pPr>
      <w:r w:rsidRPr="004121AD">
        <w:rPr>
          <w:lang w:val="en-US"/>
        </w:rPr>
        <w:t xml:space="preserve">Edelen, R.M., Kadlec, G.B., 2005, Issuer surplus and the partial adjustment of </w:t>
      </w:r>
      <w:r w:rsidR="0030498B">
        <w:rPr>
          <w:lang w:val="en-US"/>
        </w:rPr>
        <w:t>IPO</w:t>
      </w:r>
      <w:r w:rsidRPr="004121AD">
        <w:rPr>
          <w:lang w:val="en-US"/>
        </w:rPr>
        <w:t xml:space="preserve"> prices to public information. </w:t>
      </w:r>
      <w:proofErr w:type="gramStart"/>
      <w:r w:rsidRPr="004121AD">
        <w:rPr>
          <w:lang w:val="en-US"/>
        </w:rPr>
        <w:t>Journal of Financial Economics</w:t>
      </w:r>
      <w:r w:rsidR="003963BE">
        <w:rPr>
          <w:lang w:val="en-US"/>
        </w:rPr>
        <w:t>.</w:t>
      </w:r>
      <w:proofErr w:type="gramEnd"/>
      <w:r>
        <w:rPr>
          <w:lang w:val="en-US"/>
        </w:rPr>
        <w:t xml:space="preserve"> (MRA: U)</w:t>
      </w:r>
    </w:p>
    <w:p w:rsidR="007675A0" w:rsidRDefault="007675A0" w:rsidP="007675A0">
      <w:pPr>
        <w:rPr>
          <w:lang w:val="en-US"/>
        </w:rPr>
      </w:pPr>
      <w:r w:rsidRPr="00E54365">
        <w:rPr>
          <w:lang w:val="en-US"/>
        </w:rPr>
        <w:t xml:space="preserve">Ellis, K., Michaely, R.M., &amp; O’Hara, M. 1999. </w:t>
      </w:r>
      <w:proofErr w:type="gramStart"/>
      <w:r w:rsidRPr="00E54365">
        <w:rPr>
          <w:lang w:val="en-US"/>
        </w:rPr>
        <w:t>A guide to the initial public offering process.</w:t>
      </w:r>
      <w:proofErr w:type="gramEnd"/>
      <w:r w:rsidRPr="00E54365">
        <w:rPr>
          <w:lang w:val="en-US"/>
        </w:rPr>
        <w:t xml:space="preserve"> </w:t>
      </w:r>
      <w:r w:rsidRPr="003963BE">
        <w:rPr>
          <w:iCs/>
          <w:lang w:val="en-US"/>
        </w:rPr>
        <w:t>Corporate Finance Review</w:t>
      </w:r>
      <w:r w:rsidRPr="00E54365">
        <w:rPr>
          <w:lang w:val="en-US"/>
        </w:rPr>
        <w:t>, 3, 14–18.</w:t>
      </w:r>
    </w:p>
    <w:p w:rsidR="007675A0" w:rsidRDefault="007675A0" w:rsidP="007675A0">
      <w:pPr>
        <w:rPr>
          <w:lang w:val="en-US"/>
        </w:rPr>
      </w:pPr>
      <w:r w:rsidRPr="00E54365">
        <w:rPr>
          <w:lang w:val="en-US"/>
        </w:rPr>
        <w:t>Ellis, K., Michaely, R.M., &amp; O’Hara, M.</w:t>
      </w:r>
      <w:r w:rsidRPr="00CA3177">
        <w:rPr>
          <w:lang w:val="en-US"/>
        </w:rPr>
        <w:t xml:space="preserve">, 2000, </w:t>
      </w:r>
      <w:proofErr w:type="gramStart"/>
      <w:r w:rsidRPr="00CA3177">
        <w:rPr>
          <w:lang w:val="en-US"/>
        </w:rPr>
        <w:t>When</w:t>
      </w:r>
      <w:proofErr w:type="gramEnd"/>
      <w:r w:rsidRPr="00CA3177">
        <w:rPr>
          <w:lang w:val="en-US"/>
        </w:rPr>
        <w:t xml:space="preserve"> the underwriter is the market maker: An examination of trading in the </w:t>
      </w:r>
      <w:r w:rsidR="0030498B">
        <w:rPr>
          <w:lang w:val="en-US"/>
        </w:rPr>
        <w:t>IPO</w:t>
      </w:r>
      <w:r w:rsidRPr="00CA3177">
        <w:rPr>
          <w:lang w:val="en-US"/>
        </w:rPr>
        <w:t xml:space="preserve"> aftermarket, Journal of Finance 55, 1039- 1074</w:t>
      </w:r>
      <w:r w:rsidR="003963BE">
        <w:rPr>
          <w:lang w:val="en-US"/>
        </w:rPr>
        <w:t>.</w:t>
      </w:r>
    </w:p>
    <w:p w:rsidR="00D704E2" w:rsidRDefault="00D704E2" w:rsidP="007675A0">
      <w:pPr>
        <w:rPr>
          <w:lang w:val="en-US"/>
        </w:rPr>
      </w:pPr>
      <w:r w:rsidRPr="004121AD">
        <w:rPr>
          <w:lang w:val="en-US"/>
        </w:rPr>
        <w:t xml:space="preserve">Engelen, O.J., Essen M. Van., 2010, Underpricing of IPOs: Firm-, issue- and country-specific characteristics. </w:t>
      </w:r>
      <w:proofErr w:type="gramStart"/>
      <w:r w:rsidRPr="004121AD">
        <w:rPr>
          <w:lang w:val="en-US"/>
        </w:rPr>
        <w:t>Journal of Banking and Finance</w:t>
      </w:r>
      <w:r w:rsidR="003963BE">
        <w:rPr>
          <w:lang w:val="en-US"/>
        </w:rPr>
        <w:t>.</w:t>
      </w:r>
      <w:proofErr w:type="gramEnd"/>
      <w:r>
        <w:rPr>
          <w:lang w:val="en-US"/>
        </w:rPr>
        <w:t xml:space="preserve"> (MRA: A)</w:t>
      </w:r>
    </w:p>
    <w:p w:rsidR="00D704E2" w:rsidRPr="004121AD" w:rsidRDefault="00D704E2" w:rsidP="00D704E2">
      <w:pPr>
        <w:rPr>
          <w:lang w:val="en-US"/>
        </w:rPr>
      </w:pPr>
      <w:r w:rsidRPr="004121AD">
        <w:rPr>
          <w:lang w:val="en-US"/>
        </w:rPr>
        <w:t xml:space="preserve">Finn, R.J., Higham, R., 1987, The Performance </w:t>
      </w:r>
      <w:proofErr w:type="gramStart"/>
      <w:r w:rsidRPr="004121AD">
        <w:rPr>
          <w:lang w:val="en-US"/>
        </w:rPr>
        <w:t>Of</w:t>
      </w:r>
      <w:proofErr w:type="gramEnd"/>
      <w:r w:rsidRPr="004121AD">
        <w:rPr>
          <w:lang w:val="en-US"/>
        </w:rPr>
        <w:t xml:space="preserve"> Unseasoned New Equity Issues Cum-stock Eschange Listings in Australia. </w:t>
      </w:r>
      <w:proofErr w:type="gramStart"/>
      <w:r w:rsidRPr="004121AD">
        <w:rPr>
          <w:lang w:val="en-US"/>
        </w:rPr>
        <w:t>Journal of banking and finance</w:t>
      </w:r>
      <w:r w:rsidR="003963BE">
        <w:rPr>
          <w:lang w:val="en-US"/>
        </w:rPr>
        <w:t>.</w:t>
      </w:r>
      <w:proofErr w:type="gramEnd"/>
      <w:r>
        <w:rPr>
          <w:lang w:val="en-US"/>
        </w:rPr>
        <w:t xml:space="preserve"> (MRA: P</w:t>
      </w:r>
      <w:r w:rsidRPr="004121AD">
        <w:rPr>
          <w:lang w:val="en-US"/>
        </w:rPr>
        <w:t>)</w:t>
      </w:r>
    </w:p>
    <w:p w:rsidR="00D704E2" w:rsidRPr="004121AD" w:rsidRDefault="00D704E2" w:rsidP="00D704E2">
      <w:pPr>
        <w:rPr>
          <w:lang w:val="en-US"/>
        </w:rPr>
      </w:pPr>
      <w:r w:rsidRPr="004121AD">
        <w:rPr>
          <w:lang w:val="en-US"/>
        </w:rPr>
        <w:t xml:space="preserve">Fohlin, C., 2000, </w:t>
      </w:r>
      <w:r w:rsidR="0030498B">
        <w:rPr>
          <w:lang w:val="en-US"/>
        </w:rPr>
        <w:t>IPO</w:t>
      </w:r>
      <w:r w:rsidRPr="004121AD">
        <w:rPr>
          <w:lang w:val="en-US"/>
        </w:rPr>
        <w:t xml:space="preserve"> Underpricing in Two Universes: Berlin, 1882-1892 and New York 1998-2000. </w:t>
      </w:r>
      <w:proofErr w:type="gramStart"/>
      <w:r w:rsidRPr="004121AD">
        <w:rPr>
          <w:lang w:val="en-US"/>
        </w:rPr>
        <w:t>SSRN Working paper</w:t>
      </w:r>
      <w:r w:rsidR="003963BE">
        <w:rPr>
          <w:lang w:val="en-US"/>
        </w:rPr>
        <w:t>.</w:t>
      </w:r>
      <w:proofErr w:type="gramEnd"/>
      <w:r>
        <w:rPr>
          <w:lang w:val="en-US"/>
        </w:rPr>
        <w:t xml:space="preserve"> (MRA: </w:t>
      </w:r>
      <w:r w:rsidRPr="004121AD">
        <w:rPr>
          <w:lang w:val="en-US"/>
        </w:rPr>
        <w:t>P, U)</w:t>
      </w:r>
    </w:p>
    <w:p w:rsidR="00D704E2" w:rsidRPr="004121AD" w:rsidRDefault="00D704E2" w:rsidP="00D704E2">
      <w:pPr>
        <w:rPr>
          <w:lang w:val="en-US"/>
        </w:rPr>
      </w:pPr>
      <w:r w:rsidRPr="004121AD">
        <w:rPr>
          <w:lang w:val="en-US"/>
        </w:rPr>
        <w:t xml:space="preserve">Garfinkel, J.A., 1993, </w:t>
      </w:r>
      <w:r w:rsidR="0030498B">
        <w:rPr>
          <w:lang w:val="en-US"/>
        </w:rPr>
        <w:t>IPO</w:t>
      </w:r>
      <w:r w:rsidRPr="004121AD">
        <w:rPr>
          <w:lang w:val="en-US"/>
        </w:rPr>
        <w:t xml:space="preserve"> underpricing, insider selling and subsequent equity offerings: Is underpricing a signal of quality? </w:t>
      </w:r>
      <w:proofErr w:type="gramStart"/>
      <w:r w:rsidRPr="004121AD">
        <w:rPr>
          <w:lang w:val="en-US"/>
        </w:rPr>
        <w:t>Financial Management</w:t>
      </w:r>
      <w:r w:rsidR="003963BE">
        <w:rPr>
          <w:lang w:val="en-US"/>
        </w:rPr>
        <w:t>.</w:t>
      </w:r>
      <w:proofErr w:type="gramEnd"/>
      <w:r>
        <w:rPr>
          <w:lang w:val="en-US"/>
        </w:rPr>
        <w:t xml:space="preserve"> (MRA: P</w:t>
      </w:r>
      <w:r w:rsidRPr="004121AD">
        <w:rPr>
          <w:lang w:val="en-US"/>
        </w:rPr>
        <w:t>)</w:t>
      </w:r>
    </w:p>
    <w:p w:rsidR="00D704E2" w:rsidRPr="004121AD" w:rsidRDefault="00D704E2" w:rsidP="00D704E2">
      <w:pPr>
        <w:rPr>
          <w:lang w:val="en-US"/>
        </w:rPr>
      </w:pPr>
      <w:r w:rsidRPr="004121AD">
        <w:rPr>
          <w:lang w:val="en-US"/>
        </w:rPr>
        <w:t xml:space="preserve">Giudici, G., Paleari, S., 1999, Underpricing, Price Stabilization and Long Run Performance in Inital Public Offerings: A Study on the Italian Stock </w:t>
      </w:r>
      <w:r>
        <w:rPr>
          <w:lang w:val="en-US"/>
        </w:rPr>
        <w:t xml:space="preserve">Market </w:t>
      </w:r>
      <w:proofErr w:type="gramStart"/>
      <w:r>
        <w:rPr>
          <w:lang w:val="en-US"/>
        </w:rPr>
        <w:t>Between</w:t>
      </w:r>
      <w:proofErr w:type="gramEnd"/>
      <w:r>
        <w:rPr>
          <w:lang w:val="en-US"/>
        </w:rPr>
        <w:t xml:space="preserve"> 1985 and 1998. </w:t>
      </w:r>
      <w:proofErr w:type="gramStart"/>
      <w:r>
        <w:rPr>
          <w:lang w:val="en-US"/>
        </w:rPr>
        <w:t>Working paper</w:t>
      </w:r>
      <w:r w:rsidR="003963BE">
        <w:rPr>
          <w:lang w:val="en-US"/>
        </w:rPr>
        <w:t>.</w:t>
      </w:r>
      <w:proofErr w:type="gramEnd"/>
      <w:r>
        <w:rPr>
          <w:lang w:val="en-US"/>
        </w:rPr>
        <w:t xml:space="preserve"> (MRA: A</w:t>
      </w:r>
      <w:r w:rsidRPr="004121AD">
        <w:rPr>
          <w:lang w:val="en-US"/>
        </w:rPr>
        <w:t>)</w:t>
      </w:r>
    </w:p>
    <w:p w:rsidR="00D704E2" w:rsidRPr="004121AD" w:rsidRDefault="00D704E2" w:rsidP="00D704E2">
      <w:pPr>
        <w:rPr>
          <w:lang w:val="en-US"/>
        </w:rPr>
      </w:pPr>
      <w:r w:rsidRPr="004121AD">
        <w:rPr>
          <w:lang w:val="en-US"/>
        </w:rPr>
        <w:lastRenderedPageBreak/>
        <w:t xml:space="preserve">Giudici, G., Roosenboom, P., 2004, Pricing Initial Public Offerings on </w:t>
      </w:r>
      <w:r>
        <w:rPr>
          <w:lang w:val="en-US"/>
        </w:rPr>
        <w:t xml:space="preserve">‘New’ European Stock Markets. </w:t>
      </w:r>
      <w:proofErr w:type="gramStart"/>
      <w:r>
        <w:rPr>
          <w:lang w:val="en-US"/>
        </w:rPr>
        <w:t>Working paper</w:t>
      </w:r>
      <w:r w:rsidR="003963BE">
        <w:rPr>
          <w:lang w:val="en-US"/>
        </w:rPr>
        <w:t>.</w:t>
      </w:r>
      <w:proofErr w:type="gramEnd"/>
      <w:r>
        <w:rPr>
          <w:lang w:val="en-US"/>
        </w:rPr>
        <w:t xml:space="preserve"> (MRA: A</w:t>
      </w:r>
      <w:r w:rsidRPr="004121AD">
        <w:rPr>
          <w:lang w:val="en-US"/>
        </w:rPr>
        <w:t>)</w:t>
      </w:r>
    </w:p>
    <w:p w:rsidR="00D704E2" w:rsidRDefault="00D704E2" w:rsidP="007675A0">
      <w:pPr>
        <w:rPr>
          <w:lang w:val="en-US"/>
        </w:rPr>
      </w:pPr>
      <w:r w:rsidRPr="004121AD">
        <w:rPr>
          <w:lang w:val="en-US"/>
        </w:rPr>
        <w:t xml:space="preserve">Guenther, D.A. &amp; Willenhorg, M., 1999, Capital gains tax rates and the cost of capital for small business: Evidence from the </w:t>
      </w:r>
      <w:r w:rsidR="0030498B">
        <w:rPr>
          <w:lang w:val="en-US"/>
        </w:rPr>
        <w:t>IPO</w:t>
      </w:r>
      <w:r w:rsidRPr="004121AD">
        <w:rPr>
          <w:lang w:val="en-US"/>
        </w:rPr>
        <w:t xml:space="preserve"> market. </w:t>
      </w:r>
      <w:proofErr w:type="gramStart"/>
      <w:r w:rsidRPr="004121AD">
        <w:rPr>
          <w:lang w:val="en-US"/>
        </w:rPr>
        <w:t>Journal of Financial Economics</w:t>
      </w:r>
      <w:r w:rsidR="003963BE">
        <w:rPr>
          <w:lang w:val="en-US"/>
        </w:rPr>
        <w:t>.</w:t>
      </w:r>
      <w:proofErr w:type="gramEnd"/>
      <w:r>
        <w:rPr>
          <w:lang w:val="en-US"/>
        </w:rPr>
        <w:t xml:space="preserve"> (MRA: U)</w:t>
      </w:r>
    </w:p>
    <w:p w:rsidR="007675A0" w:rsidRPr="00DA7EFF" w:rsidRDefault="007675A0" w:rsidP="007675A0">
      <w:pPr>
        <w:rPr>
          <w:lang w:val="en-US"/>
        </w:rPr>
      </w:pPr>
      <w:r w:rsidRPr="00DA7EFF">
        <w:rPr>
          <w:lang w:val="en-US"/>
        </w:rPr>
        <w:t>Habib, M.A., Ljungqvist, A.P., 2001 Underpricing and entrepreneurial wealth losses in IPOs: Theory and evidence. Review of Financial Studies 14, 433-458</w:t>
      </w:r>
      <w:r w:rsidR="003963BE">
        <w:rPr>
          <w:lang w:val="en-US"/>
        </w:rPr>
        <w:t>.</w:t>
      </w:r>
      <w:r w:rsidR="00D704E2">
        <w:rPr>
          <w:lang w:val="en-US"/>
        </w:rPr>
        <w:t xml:space="preserve"> (MRA: A</w:t>
      </w:r>
      <w:r w:rsidR="00D704E2" w:rsidRPr="004121AD">
        <w:rPr>
          <w:lang w:val="en-US"/>
        </w:rPr>
        <w:t>)</w:t>
      </w:r>
      <w:r w:rsidR="00D704E2">
        <w:rPr>
          <w:lang w:val="en-US"/>
        </w:rPr>
        <w:t>*</w:t>
      </w:r>
    </w:p>
    <w:p w:rsidR="007675A0" w:rsidRPr="00DA7EFF" w:rsidRDefault="007675A0" w:rsidP="007675A0">
      <w:pPr>
        <w:rPr>
          <w:lang w:val="en-US"/>
        </w:rPr>
      </w:pPr>
      <w:r w:rsidRPr="00DA7EFF">
        <w:rPr>
          <w:lang w:val="en-US"/>
        </w:rPr>
        <w:t xml:space="preserve">Hanley, K.W., 1993, </w:t>
      </w:r>
      <w:proofErr w:type="gramStart"/>
      <w:r w:rsidRPr="00DA7EFF">
        <w:rPr>
          <w:lang w:val="en-US"/>
        </w:rPr>
        <w:t>The</w:t>
      </w:r>
      <w:proofErr w:type="gramEnd"/>
      <w:r w:rsidRPr="00DA7EFF">
        <w:rPr>
          <w:lang w:val="en-US"/>
        </w:rPr>
        <w:t xml:space="preserve"> underpricing of initial public offerings and the partial adjustment phenomenon, Journal of Financial Economics 34, 231-250</w:t>
      </w:r>
      <w:r w:rsidR="003963BE">
        <w:rPr>
          <w:lang w:val="en-US"/>
        </w:rPr>
        <w:t>.</w:t>
      </w:r>
    </w:p>
    <w:p w:rsidR="007675A0" w:rsidRDefault="007675A0" w:rsidP="007675A0">
      <w:pPr>
        <w:rPr>
          <w:lang w:val="en-US"/>
        </w:rPr>
      </w:pPr>
      <w:r w:rsidRPr="00E54365">
        <w:rPr>
          <w:lang w:val="en-US"/>
        </w:rPr>
        <w:t xml:space="preserve">Hansen, R. S., Fuller, B.R., Janjigian, V., 1987, </w:t>
      </w:r>
      <w:proofErr w:type="gramStart"/>
      <w:r w:rsidRPr="00E54365">
        <w:rPr>
          <w:lang w:val="en-US"/>
        </w:rPr>
        <w:t>The</w:t>
      </w:r>
      <w:proofErr w:type="gramEnd"/>
      <w:r w:rsidRPr="00E54365">
        <w:rPr>
          <w:lang w:val="en-US"/>
        </w:rPr>
        <w:t xml:space="preserve"> over-allotment option and equity financing flotationcosts: An empirical investigation. </w:t>
      </w:r>
      <w:r w:rsidRPr="00E54365">
        <w:rPr>
          <w:i/>
          <w:iCs/>
          <w:lang w:val="en-US"/>
        </w:rPr>
        <w:t xml:space="preserve">Financial Management </w:t>
      </w:r>
      <w:r w:rsidRPr="00E54365">
        <w:rPr>
          <w:lang w:val="en-US"/>
        </w:rPr>
        <w:t>16, 24-32.</w:t>
      </w:r>
    </w:p>
    <w:p w:rsidR="00D704E2" w:rsidRPr="00D704E2" w:rsidRDefault="00D704E2" w:rsidP="007675A0">
      <w:pPr>
        <w:rPr>
          <w:lang w:val="en-US"/>
        </w:rPr>
      </w:pPr>
      <w:r w:rsidRPr="004121AD">
        <w:rPr>
          <w:lang w:val="en-US"/>
        </w:rPr>
        <w:t xml:space="preserve">Hogan, C.E., 1997, Costs and benefits of audit quality in the </w:t>
      </w:r>
      <w:r w:rsidR="0030498B">
        <w:rPr>
          <w:lang w:val="en-US"/>
        </w:rPr>
        <w:t>IPO</w:t>
      </w:r>
      <w:r w:rsidRPr="004121AD">
        <w:rPr>
          <w:lang w:val="en-US"/>
        </w:rPr>
        <w:t xml:space="preserve"> market: A self-selection analysis.  </w:t>
      </w:r>
      <w:proofErr w:type="gramStart"/>
      <w:r w:rsidRPr="004121AD">
        <w:rPr>
          <w:lang w:val="en-US"/>
        </w:rPr>
        <w:t>The Accounting Review</w:t>
      </w:r>
      <w:r w:rsidR="003963BE">
        <w:rPr>
          <w:lang w:val="en-US"/>
        </w:rPr>
        <w:t>.</w:t>
      </w:r>
      <w:proofErr w:type="gramEnd"/>
      <w:r>
        <w:rPr>
          <w:lang w:val="en-US"/>
        </w:rPr>
        <w:t xml:space="preserve"> (MRA: P)</w:t>
      </w:r>
    </w:p>
    <w:p w:rsidR="007675A0" w:rsidRDefault="007675A0" w:rsidP="007675A0">
      <w:pPr>
        <w:rPr>
          <w:lang w:val="en-US"/>
        </w:rPr>
      </w:pPr>
      <w:proofErr w:type="gramStart"/>
      <w:r w:rsidRPr="00E54365">
        <w:rPr>
          <w:lang w:val="en-US"/>
        </w:rPr>
        <w:t>H</w:t>
      </w:r>
      <w:r w:rsidRPr="00E54365">
        <w:rPr>
          <w:lang w:val="en-GB"/>
        </w:rPr>
        <w:t>ö</w:t>
      </w:r>
      <w:r w:rsidRPr="00E54365">
        <w:rPr>
          <w:lang w:val="en-US"/>
        </w:rPr>
        <w:t>lmstrum, B., Tirole, J., 1993, Market liquidity and performance monitoring.</w:t>
      </w:r>
      <w:proofErr w:type="gramEnd"/>
      <w:r w:rsidRPr="00E54365">
        <w:rPr>
          <w:lang w:val="en-US"/>
        </w:rPr>
        <w:t xml:space="preserve"> Journal of Political Economy 101, 678-709</w:t>
      </w:r>
      <w:r w:rsidR="003963BE">
        <w:rPr>
          <w:lang w:val="en-US"/>
        </w:rPr>
        <w:t>.</w:t>
      </w:r>
    </w:p>
    <w:p w:rsidR="00D704E2" w:rsidRDefault="00D704E2" w:rsidP="00D704E2">
      <w:pPr>
        <w:rPr>
          <w:lang w:val="en-US"/>
        </w:rPr>
      </w:pPr>
      <w:r w:rsidRPr="004121AD">
        <w:rPr>
          <w:lang w:val="en-US"/>
        </w:rPr>
        <w:t xml:space="preserve">Howt, J.C.Y., Izan, H.Y., Monroe, G.S., 1995, Differential information and the underpricing of initial public offerings: </w:t>
      </w:r>
      <w:proofErr w:type="gramStart"/>
      <w:r w:rsidRPr="004121AD">
        <w:rPr>
          <w:lang w:val="en-US"/>
        </w:rPr>
        <w:t>australian</w:t>
      </w:r>
      <w:proofErr w:type="gramEnd"/>
      <w:r w:rsidRPr="004121AD">
        <w:rPr>
          <w:lang w:val="en-US"/>
        </w:rPr>
        <w:t xml:space="preserve"> evidence. Accounting and finance</w:t>
      </w:r>
      <w:r w:rsidR="003963BE">
        <w:rPr>
          <w:lang w:val="en-US"/>
        </w:rPr>
        <w:t>.</w:t>
      </w:r>
      <w:r>
        <w:rPr>
          <w:lang w:val="en-US"/>
        </w:rPr>
        <w:t xml:space="preserve"> (MRA: P</w:t>
      </w:r>
      <w:r w:rsidRPr="004121AD">
        <w:rPr>
          <w:lang w:val="en-US"/>
        </w:rPr>
        <w:t>)</w:t>
      </w:r>
    </w:p>
    <w:p w:rsidR="00D704E2" w:rsidRPr="00E54365" w:rsidRDefault="00D704E2" w:rsidP="007675A0">
      <w:pPr>
        <w:rPr>
          <w:lang w:val="en-US"/>
        </w:rPr>
      </w:pPr>
      <w:proofErr w:type="gramStart"/>
      <w:r w:rsidRPr="004121AD">
        <w:rPr>
          <w:lang w:val="en-US"/>
        </w:rPr>
        <w:t>Humphery-Jenner, M.L., 2010, Bookbuilding, Underpricing, and Information Asymmetry.</w:t>
      </w:r>
      <w:proofErr w:type="gramEnd"/>
      <w:r w:rsidRPr="004121AD">
        <w:rPr>
          <w:lang w:val="en-US"/>
        </w:rPr>
        <w:t xml:space="preserve"> </w:t>
      </w:r>
      <w:proofErr w:type="gramStart"/>
      <w:r w:rsidRPr="004121AD">
        <w:rPr>
          <w:lang w:val="en-US"/>
        </w:rPr>
        <w:t>SSRN Working paper</w:t>
      </w:r>
      <w:r w:rsidR="003963BE">
        <w:rPr>
          <w:lang w:val="en-US"/>
        </w:rPr>
        <w:t>.</w:t>
      </w:r>
      <w:proofErr w:type="gramEnd"/>
      <w:r>
        <w:rPr>
          <w:lang w:val="en-US"/>
        </w:rPr>
        <w:t xml:space="preserve"> (MRA: P)</w:t>
      </w:r>
    </w:p>
    <w:p w:rsidR="007675A0" w:rsidRDefault="007675A0" w:rsidP="007675A0">
      <w:pPr>
        <w:rPr>
          <w:lang w:val="en-US"/>
        </w:rPr>
      </w:pPr>
      <w:r w:rsidRPr="00E54365">
        <w:rPr>
          <w:lang w:val="en-US"/>
        </w:rPr>
        <w:t xml:space="preserve">Ibbotson, R.G., 1975, Price performance of common stock new issues. </w:t>
      </w:r>
      <w:proofErr w:type="gramStart"/>
      <w:r w:rsidRPr="00E54365">
        <w:rPr>
          <w:lang w:val="en-US"/>
        </w:rPr>
        <w:t>Journal of Financial Economics.</w:t>
      </w:r>
      <w:proofErr w:type="gramEnd"/>
      <w:r w:rsidRPr="00E54365">
        <w:rPr>
          <w:lang w:val="en-US"/>
        </w:rPr>
        <w:t xml:space="preserve"> 2, 235-272.</w:t>
      </w:r>
    </w:p>
    <w:p w:rsidR="00D704E2" w:rsidRPr="00E54365" w:rsidRDefault="00D704E2" w:rsidP="007675A0">
      <w:pPr>
        <w:rPr>
          <w:lang w:val="en-US"/>
        </w:rPr>
      </w:pPr>
      <w:r w:rsidRPr="004121AD">
        <w:rPr>
          <w:lang w:val="en-US"/>
        </w:rPr>
        <w:t xml:space="preserve">Jain, B., 1994, </w:t>
      </w:r>
      <w:proofErr w:type="gramStart"/>
      <w:r w:rsidRPr="004121AD">
        <w:rPr>
          <w:lang w:val="en-US"/>
        </w:rPr>
        <w:t>The</w:t>
      </w:r>
      <w:proofErr w:type="gramEnd"/>
      <w:r w:rsidRPr="004121AD">
        <w:rPr>
          <w:lang w:val="en-US"/>
        </w:rPr>
        <w:t xml:space="preserve"> underpricing of ‘unit’ initial public offerings. </w:t>
      </w:r>
      <w:proofErr w:type="gramStart"/>
      <w:r w:rsidRPr="004121AD">
        <w:rPr>
          <w:lang w:val="en-US"/>
        </w:rPr>
        <w:t>The Quarterly Review of Economics and Finance</w:t>
      </w:r>
      <w:r w:rsidR="003963BE">
        <w:rPr>
          <w:lang w:val="en-US"/>
        </w:rPr>
        <w:t>.</w:t>
      </w:r>
      <w:proofErr w:type="gramEnd"/>
      <w:r>
        <w:rPr>
          <w:lang w:val="en-US"/>
        </w:rPr>
        <w:t xml:space="preserve"> (MRA: U)</w:t>
      </w:r>
    </w:p>
    <w:p w:rsidR="007675A0" w:rsidRDefault="007675A0" w:rsidP="007675A0">
      <w:pPr>
        <w:rPr>
          <w:lang w:val="en-US"/>
        </w:rPr>
      </w:pPr>
      <w:r w:rsidRPr="00E54365">
        <w:rPr>
          <w:lang w:val="en-US"/>
        </w:rPr>
        <w:t xml:space="preserve">Jain, B.A., Kini, O., 1999. </w:t>
      </w:r>
      <w:proofErr w:type="gramStart"/>
      <w:r w:rsidRPr="00E54365">
        <w:rPr>
          <w:lang w:val="en-US"/>
        </w:rPr>
        <w:t xml:space="preserve">The post-issue operating performance of </w:t>
      </w:r>
      <w:r w:rsidR="0030498B">
        <w:rPr>
          <w:lang w:val="en-US"/>
        </w:rPr>
        <w:t>IPO</w:t>
      </w:r>
      <w:r w:rsidRPr="00E54365">
        <w:rPr>
          <w:lang w:val="en-US"/>
        </w:rPr>
        <w:t xml:space="preserve"> firms.</w:t>
      </w:r>
      <w:proofErr w:type="gramEnd"/>
      <w:r w:rsidRPr="00E54365">
        <w:rPr>
          <w:lang w:val="en-US"/>
        </w:rPr>
        <w:t xml:space="preserve">  </w:t>
      </w:r>
      <w:proofErr w:type="gramStart"/>
      <w:r w:rsidRPr="00E54365">
        <w:rPr>
          <w:lang w:val="en-US"/>
        </w:rPr>
        <w:t>Journal of Banking &amp; Finance 23</w:t>
      </w:r>
      <w:r w:rsidR="003963BE">
        <w:rPr>
          <w:lang w:val="en-US"/>
        </w:rPr>
        <w:t>.</w:t>
      </w:r>
      <w:proofErr w:type="gramEnd"/>
    </w:p>
    <w:p w:rsidR="00D704E2" w:rsidRPr="00E54365" w:rsidRDefault="00D704E2" w:rsidP="007675A0">
      <w:pPr>
        <w:rPr>
          <w:lang w:val="en-US"/>
        </w:rPr>
      </w:pPr>
      <w:proofErr w:type="gramStart"/>
      <w:r w:rsidRPr="004121AD">
        <w:rPr>
          <w:lang w:val="en-US"/>
        </w:rPr>
        <w:t>James, C. &amp; Wier, P., 1990, Borrowing relationships, intermediation, and the cost of issuing public securities.</w:t>
      </w:r>
      <w:proofErr w:type="gramEnd"/>
      <w:r>
        <w:rPr>
          <w:lang w:val="en-US"/>
        </w:rPr>
        <w:t xml:space="preserve"> </w:t>
      </w:r>
      <w:proofErr w:type="gramStart"/>
      <w:r>
        <w:rPr>
          <w:lang w:val="en-US"/>
        </w:rPr>
        <w:t>Journal of Financial Economics</w:t>
      </w:r>
      <w:r w:rsidR="003963BE">
        <w:rPr>
          <w:lang w:val="en-US"/>
        </w:rPr>
        <w:t>.</w:t>
      </w:r>
      <w:proofErr w:type="gramEnd"/>
      <w:r>
        <w:rPr>
          <w:lang w:val="en-US"/>
        </w:rPr>
        <w:t xml:space="preserve"> (MRA: U)</w:t>
      </w:r>
    </w:p>
    <w:p w:rsidR="007675A0" w:rsidRPr="00E54365" w:rsidRDefault="007675A0" w:rsidP="007675A0">
      <w:pPr>
        <w:rPr>
          <w:lang w:val="en-US"/>
        </w:rPr>
      </w:pPr>
      <w:r w:rsidRPr="00E54365">
        <w:rPr>
          <w:bCs/>
          <w:lang w:val="en-US"/>
        </w:rPr>
        <w:t xml:space="preserve">Jegadeesh, N., Weinstein, M., Welch, </w:t>
      </w:r>
      <w:smartTag w:uri="urn:schemas-microsoft-com:office:smarttags" w:element="place">
        <w:r w:rsidRPr="00E54365">
          <w:rPr>
            <w:bCs/>
            <w:lang w:val="en-US"/>
          </w:rPr>
          <w:t>I.</w:t>
        </w:r>
      </w:smartTag>
      <w:r w:rsidRPr="00E54365">
        <w:rPr>
          <w:bCs/>
          <w:lang w:val="en-US"/>
        </w:rPr>
        <w:t xml:space="preserve">, 1993, </w:t>
      </w:r>
      <w:proofErr w:type="gramStart"/>
      <w:r w:rsidRPr="00E54365">
        <w:rPr>
          <w:bCs/>
          <w:lang w:val="en-US"/>
        </w:rPr>
        <w:t>An</w:t>
      </w:r>
      <w:proofErr w:type="gramEnd"/>
      <w:r w:rsidRPr="00E54365">
        <w:rPr>
          <w:bCs/>
          <w:lang w:val="en-US"/>
        </w:rPr>
        <w:t xml:space="preserve"> empirical investigation of </w:t>
      </w:r>
      <w:r w:rsidR="0030498B">
        <w:rPr>
          <w:bCs/>
          <w:lang w:val="en-US"/>
        </w:rPr>
        <w:t>IPO</w:t>
      </w:r>
      <w:r w:rsidRPr="00E54365">
        <w:rPr>
          <w:bCs/>
          <w:lang w:val="en-US"/>
        </w:rPr>
        <w:t xml:space="preserve"> returns and subsequent equity offerings, Journal of </w:t>
      </w:r>
      <w:r w:rsidR="00D704E2">
        <w:rPr>
          <w:bCs/>
          <w:lang w:val="en-US"/>
        </w:rPr>
        <w:t>Financial Economics 34, 153-175</w:t>
      </w:r>
      <w:r w:rsidR="003963BE">
        <w:rPr>
          <w:bCs/>
          <w:lang w:val="en-US"/>
        </w:rPr>
        <w:t>.</w:t>
      </w:r>
      <w:r w:rsidR="00D704E2">
        <w:rPr>
          <w:bCs/>
          <w:lang w:val="en-US"/>
        </w:rPr>
        <w:t xml:space="preserve"> </w:t>
      </w:r>
      <w:r w:rsidR="00D704E2">
        <w:rPr>
          <w:lang w:val="en-US"/>
        </w:rPr>
        <w:t>(MRA:</w:t>
      </w:r>
      <w:r w:rsidR="00D704E2" w:rsidRPr="004121AD">
        <w:rPr>
          <w:lang w:val="en-US"/>
        </w:rPr>
        <w:t xml:space="preserve"> U)</w:t>
      </w:r>
      <w:r w:rsidR="00D704E2">
        <w:rPr>
          <w:lang w:val="en-US"/>
        </w:rPr>
        <w:t>*</w:t>
      </w:r>
    </w:p>
    <w:p w:rsidR="007675A0" w:rsidRDefault="007675A0" w:rsidP="007675A0">
      <w:pPr>
        <w:rPr>
          <w:bCs/>
          <w:lang w:val="en-US"/>
        </w:rPr>
      </w:pPr>
      <w:r w:rsidRPr="000669DC">
        <w:rPr>
          <w:bCs/>
          <w:lang w:val="en-US"/>
        </w:rPr>
        <w:t xml:space="preserve">Jensen, M.C., Meckling, W.H. 1976. </w:t>
      </w:r>
      <w:r w:rsidRPr="00E54365">
        <w:rPr>
          <w:bCs/>
          <w:lang w:val="en-US"/>
        </w:rPr>
        <w:t xml:space="preserve">Theory of the firm: Managerial behavior, agency costs and ownership structure. </w:t>
      </w:r>
      <w:r w:rsidRPr="00E54365">
        <w:rPr>
          <w:bCs/>
          <w:iCs/>
          <w:lang w:val="en-US"/>
        </w:rPr>
        <w:t>Journal of Financial Economics</w:t>
      </w:r>
      <w:r w:rsidR="00D704E2">
        <w:rPr>
          <w:bCs/>
          <w:lang w:val="en-US"/>
        </w:rPr>
        <w:t>, 3, 305–360</w:t>
      </w:r>
      <w:r w:rsidR="003963BE">
        <w:rPr>
          <w:bCs/>
          <w:lang w:val="en-US"/>
        </w:rPr>
        <w:t>.</w:t>
      </w:r>
    </w:p>
    <w:p w:rsidR="00D704E2" w:rsidRPr="004121AD" w:rsidRDefault="00D704E2" w:rsidP="00D704E2">
      <w:pPr>
        <w:rPr>
          <w:lang w:val="en-US"/>
        </w:rPr>
      </w:pPr>
      <w:r w:rsidRPr="004121AD">
        <w:rPr>
          <w:lang w:val="en-US"/>
        </w:rPr>
        <w:t xml:space="preserve">Kennedy, D.B., Sivakumar, R., Vetzal, K.R., 2006, </w:t>
      </w:r>
      <w:proofErr w:type="gramStart"/>
      <w:r w:rsidRPr="004121AD">
        <w:rPr>
          <w:lang w:val="en-US"/>
        </w:rPr>
        <w:t>The</w:t>
      </w:r>
      <w:proofErr w:type="gramEnd"/>
      <w:r w:rsidRPr="004121AD">
        <w:rPr>
          <w:lang w:val="en-US"/>
        </w:rPr>
        <w:t xml:space="preserve"> implications of </w:t>
      </w:r>
      <w:r w:rsidR="0030498B">
        <w:rPr>
          <w:lang w:val="en-US"/>
        </w:rPr>
        <w:t>IPO</w:t>
      </w:r>
      <w:r w:rsidRPr="004121AD">
        <w:rPr>
          <w:lang w:val="en-US"/>
        </w:rPr>
        <w:t xml:space="preserve"> underpricing for the firm and insiders: Tests of asymmetric information theories. </w:t>
      </w:r>
      <w:proofErr w:type="gramStart"/>
      <w:r w:rsidRPr="004121AD">
        <w:rPr>
          <w:lang w:val="en-US"/>
        </w:rPr>
        <w:t>Journal of Emperical Finance</w:t>
      </w:r>
      <w:r w:rsidR="003963BE">
        <w:rPr>
          <w:lang w:val="en-US"/>
        </w:rPr>
        <w:t>.</w:t>
      </w:r>
      <w:proofErr w:type="gramEnd"/>
      <w:r>
        <w:rPr>
          <w:lang w:val="en-US"/>
        </w:rPr>
        <w:t xml:space="preserve"> (MRA: </w:t>
      </w:r>
      <w:r w:rsidRPr="004121AD">
        <w:rPr>
          <w:lang w:val="en-US"/>
        </w:rPr>
        <w:t>P, U)</w:t>
      </w:r>
    </w:p>
    <w:p w:rsidR="00D704E2" w:rsidRPr="00D704E2" w:rsidRDefault="00D704E2" w:rsidP="007675A0">
      <w:pPr>
        <w:rPr>
          <w:lang w:val="en-US"/>
        </w:rPr>
      </w:pPr>
      <w:r w:rsidRPr="004121AD">
        <w:rPr>
          <w:lang w:val="en-US"/>
        </w:rPr>
        <w:t xml:space="preserve">Kerins, F., Kutsuna, K., Smith, R., 2004, Why Are IPOs Underpriced? </w:t>
      </w:r>
      <w:proofErr w:type="gramStart"/>
      <w:r w:rsidRPr="004121AD">
        <w:rPr>
          <w:lang w:val="en-US"/>
        </w:rPr>
        <w:t>Evidence from Japan’s Hyb</w:t>
      </w:r>
      <w:r>
        <w:rPr>
          <w:lang w:val="en-US"/>
        </w:rPr>
        <w:t>rid Auction-Method Offerings.</w:t>
      </w:r>
      <w:proofErr w:type="gramEnd"/>
      <w:r>
        <w:rPr>
          <w:lang w:val="en-US"/>
        </w:rPr>
        <w:t xml:space="preserve"> </w:t>
      </w:r>
      <w:proofErr w:type="gramStart"/>
      <w:r>
        <w:rPr>
          <w:lang w:val="en-US"/>
        </w:rPr>
        <w:t>Working paper</w:t>
      </w:r>
      <w:r w:rsidR="003963BE">
        <w:rPr>
          <w:lang w:val="en-US"/>
        </w:rPr>
        <w:t>.</w:t>
      </w:r>
      <w:proofErr w:type="gramEnd"/>
      <w:r>
        <w:rPr>
          <w:lang w:val="en-US"/>
        </w:rPr>
        <w:t xml:space="preserve"> (MRA: P)</w:t>
      </w:r>
    </w:p>
    <w:p w:rsidR="007675A0" w:rsidRDefault="007675A0" w:rsidP="007675A0">
      <w:pPr>
        <w:rPr>
          <w:bCs/>
          <w:lang w:val="en-US"/>
        </w:rPr>
      </w:pPr>
      <w:proofErr w:type="gramStart"/>
      <w:r w:rsidRPr="00E54365">
        <w:rPr>
          <w:bCs/>
          <w:lang w:val="en-US"/>
        </w:rPr>
        <w:lastRenderedPageBreak/>
        <w:t>Koh, F., Walter, T., 1989, A direct test of Rock's model of the pricing of unseasoned issues, Journal of Financial Economics 23, 251-272.</w:t>
      </w:r>
      <w:proofErr w:type="gramEnd"/>
    </w:p>
    <w:p w:rsidR="00D704E2" w:rsidRPr="00D704E2" w:rsidRDefault="00D704E2" w:rsidP="007675A0">
      <w:pPr>
        <w:rPr>
          <w:lang w:val="en-US"/>
        </w:rPr>
      </w:pPr>
      <w:r w:rsidRPr="004121AD">
        <w:rPr>
          <w:lang w:val="en-US"/>
        </w:rPr>
        <w:t xml:space="preserve">Lee, P.J., Taylor, S.L., Walter, T.S., 1995, Australian </w:t>
      </w:r>
      <w:r w:rsidR="0030498B">
        <w:rPr>
          <w:lang w:val="en-US"/>
        </w:rPr>
        <w:t>IPO</w:t>
      </w:r>
      <w:r w:rsidRPr="004121AD">
        <w:rPr>
          <w:lang w:val="en-US"/>
        </w:rPr>
        <w:t xml:space="preserve"> pricing in the short and long run. </w:t>
      </w:r>
      <w:proofErr w:type="gramStart"/>
      <w:r w:rsidRPr="004121AD">
        <w:rPr>
          <w:lang w:val="en-US"/>
        </w:rPr>
        <w:t>Journal of banking and finance</w:t>
      </w:r>
      <w:r w:rsidR="003963BE">
        <w:rPr>
          <w:lang w:val="en-US"/>
        </w:rPr>
        <w:t>.</w:t>
      </w:r>
      <w:proofErr w:type="gramEnd"/>
      <w:r>
        <w:rPr>
          <w:lang w:val="en-US"/>
        </w:rPr>
        <w:t xml:space="preserve"> (MRA: P)</w:t>
      </w:r>
    </w:p>
    <w:p w:rsidR="007675A0" w:rsidRPr="00E54365" w:rsidRDefault="007675A0" w:rsidP="007675A0">
      <w:pPr>
        <w:rPr>
          <w:bCs/>
          <w:lang w:val="en-US"/>
        </w:rPr>
      </w:pPr>
      <w:r w:rsidRPr="00E54365">
        <w:rPr>
          <w:bCs/>
          <w:lang w:val="en-US"/>
        </w:rPr>
        <w:t xml:space="preserve">Lee, P.J., </w:t>
      </w:r>
      <w:smartTag w:uri="urn:schemas-microsoft-com:office:smarttags" w:element="place">
        <w:smartTag w:uri="urn:schemas-microsoft-com:office:smarttags" w:element="City">
          <w:r w:rsidRPr="00E54365">
            <w:rPr>
              <w:bCs/>
              <w:lang w:val="en-US"/>
            </w:rPr>
            <w:t>Taylor</w:t>
          </w:r>
        </w:smartTag>
      </w:smartTag>
      <w:r w:rsidRPr="00E54365">
        <w:rPr>
          <w:bCs/>
          <w:lang w:val="en-US"/>
        </w:rPr>
        <w:t xml:space="preserve">, S.L., Walter, T.S., 1999, </w:t>
      </w:r>
      <w:r w:rsidR="0030498B">
        <w:rPr>
          <w:bCs/>
          <w:lang w:val="en-US"/>
        </w:rPr>
        <w:t>IPO</w:t>
      </w:r>
      <w:r w:rsidRPr="00E54365">
        <w:rPr>
          <w:bCs/>
          <w:lang w:val="en-US"/>
        </w:rPr>
        <w:t xml:space="preserve"> underpricing explanations: Implications from investor application and allocation schedules, Journal of Financial and Quantitative Analysis 34, 425-444.</w:t>
      </w:r>
    </w:p>
    <w:p w:rsidR="007675A0" w:rsidRPr="00A91C25" w:rsidRDefault="007675A0" w:rsidP="007675A0">
      <w:pPr>
        <w:rPr>
          <w:bCs/>
          <w:lang w:val="en-US"/>
        </w:rPr>
      </w:pPr>
      <w:proofErr w:type="gramStart"/>
      <w:r w:rsidRPr="00A91C25">
        <w:rPr>
          <w:bCs/>
          <w:lang w:val="en-US"/>
        </w:rPr>
        <w:t>Leland, H.E., Pyle D.E., 1977 Informational asymmetries, financial structure and financial intermediation</w:t>
      </w:r>
      <w:r>
        <w:rPr>
          <w:bCs/>
          <w:lang w:val="en-US"/>
        </w:rPr>
        <w:t>.</w:t>
      </w:r>
      <w:proofErr w:type="gramEnd"/>
      <w:r w:rsidRPr="00503AF2">
        <w:rPr>
          <w:bCs/>
          <w:lang w:val="en-US"/>
        </w:rPr>
        <w:t xml:space="preserve"> </w:t>
      </w:r>
      <w:r>
        <w:rPr>
          <w:bCs/>
          <w:lang w:val="en-US"/>
        </w:rPr>
        <w:t>The</w:t>
      </w:r>
      <w:r w:rsidRPr="00A91C25">
        <w:rPr>
          <w:bCs/>
          <w:lang w:val="en-US"/>
        </w:rPr>
        <w:t xml:space="preserve"> Journal of Finance 32 371-387</w:t>
      </w:r>
      <w:r w:rsidR="003963BE">
        <w:rPr>
          <w:bCs/>
          <w:lang w:val="en-US"/>
        </w:rPr>
        <w:t>.</w:t>
      </w:r>
    </w:p>
    <w:p w:rsidR="007675A0" w:rsidRDefault="007675A0" w:rsidP="007675A0">
      <w:pPr>
        <w:rPr>
          <w:bCs/>
          <w:lang w:val="en-US"/>
        </w:rPr>
      </w:pPr>
      <w:proofErr w:type="gramStart"/>
      <w:r w:rsidRPr="00E54365">
        <w:rPr>
          <w:bCs/>
          <w:lang w:val="en-US"/>
        </w:rPr>
        <w:t>Lerner, J., 1994, Venture capitalists and the decision to go public, Journal of Financial Economics 35, 293-316.</w:t>
      </w:r>
      <w:proofErr w:type="gramEnd"/>
      <w:r w:rsidRPr="00E54365">
        <w:rPr>
          <w:bCs/>
          <w:lang w:val="en-US"/>
        </w:rPr>
        <w:t xml:space="preserve">  </w:t>
      </w:r>
    </w:p>
    <w:p w:rsidR="00D704E2" w:rsidRPr="004121AD" w:rsidRDefault="00D704E2" w:rsidP="00D704E2">
      <w:pPr>
        <w:rPr>
          <w:lang w:val="en-US"/>
        </w:rPr>
      </w:pPr>
      <w:r w:rsidRPr="004121AD">
        <w:rPr>
          <w:lang w:val="en-US"/>
        </w:rPr>
        <w:t xml:space="preserve">Lin, H.L., Pukthuanthong-Le, K., Walker, T.J., 2005, </w:t>
      </w:r>
      <w:proofErr w:type="gramStart"/>
      <w:r w:rsidRPr="004121AD">
        <w:rPr>
          <w:lang w:val="en-US"/>
        </w:rPr>
        <w:t>An</w:t>
      </w:r>
      <w:proofErr w:type="gramEnd"/>
      <w:r w:rsidRPr="004121AD">
        <w:rPr>
          <w:lang w:val="en-US"/>
        </w:rPr>
        <w:t xml:space="preserve"> International Look at the Lawsuit Avoidance Hy</w:t>
      </w:r>
      <w:r>
        <w:rPr>
          <w:lang w:val="en-US"/>
        </w:rPr>
        <w:t xml:space="preserve">pothesis of </w:t>
      </w:r>
      <w:r w:rsidR="0030498B">
        <w:rPr>
          <w:lang w:val="en-US"/>
        </w:rPr>
        <w:t>IPO</w:t>
      </w:r>
      <w:r>
        <w:rPr>
          <w:lang w:val="en-US"/>
        </w:rPr>
        <w:t xml:space="preserve"> Underpricing. </w:t>
      </w:r>
      <w:proofErr w:type="gramStart"/>
      <w:r>
        <w:rPr>
          <w:lang w:val="en-US"/>
        </w:rPr>
        <w:t>Working paper</w:t>
      </w:r>
      <w:r w:rsidR="003963BE">
        <w:rPr>
          <w:lang w:val="en-US"/>
        </w:rPr>
        <w:t>.</w:t>
      </w:r>
      <w:proofErr w:type="gramEnd"/>
      <w:r>
        <w:rPr>
          <w:lang w:val="en-US"/>
        </w:rPr>
        <w:t xml:space="preserve"> (MRA: U</w:t>
      </w:r>
      <w:r w:rsidRPr="004121AD">
        <w:rPr>
          <w:lang w:val="en-US"/>
        </w:rPr>
        <w:t>)</w:t>
      </w:r>
    </w:p>
    <w:p w:rsidR="00D704E2" w:rsidRPr="004121AD" w:rsidRDefault="00D704E2" w:rsidP="00D704E2">
      <w:pPr>
        <w:rPr>
          <w:lang w:val="en-US"/>
        </w:rPr>
      </w:pPr>
      <w:r w:rsidRPr="004121AD">
        <w:rPr>
          <w:lang w:val="en-US"/>
        </w:rPr>
        <w:t xml:space="preserve">Ljungqvist, A.P., Wilhelm, W.J., 2003, </w:t>
      </w:r>
      <w:r w:rsidR="0030498B">
        <w:rPr>
          <w:lang w:val="en-US"/>
        </w:rPr>
        <w:t>IPO</w:t>
      </w:r>
      <w:r w:rsidRPr="004121AD">
        <w:rPr>
          <w:lang w:val="en-US"/>
        </w:rPr>
        <w:t xml:space="preserve"> Pricing in the Dot-Com Bubble.</w:t>
      </w:r>
      <w:r>
        <w:rPr>
          <w:lang w:val="en-US"/>
        </w:rPr>
        <w:t xml:space="preserve"> </w:t>
      </w:r>
      <w:proofErr w:type="gramStart"/>
      <w:r w:rsidRPr="004121AD">
        <w:rPr>
          <w:lang w:val="en-US"/>
        </w:rPr>
        <w:t>Journal of Finance</w:t>
      </w:r>
      <w:r>
        <w:rPr>
          <w:lang w:val="en-US"/>
        </w:rPr>
        <w:t xml:space="preserve"> 58.</w:t>
      </w:r>
      <w:proofErr w:type="gramEnd"/>
      <w:r>
        <w:rPr>
          <w:lang w:val="en-US"/>
        </w:rPr>
        <w:t xml:space="preserve"> (MRA: A,</w:t>
      </w:r>
      <w:r w:rsidRPr="004121AD">
        <w:rPr>
          <w:lang w:val="en-US"/>
        </w:rPr>
        <w:t xml:space="preserve"> U)</w:t>
      </w:r>
      <w:r>
        <w:rPr>
          <w:lang w:val="en-US"/>
        </w:rPr>
        <w:t>*</w:t>
      </w:r>
    </w:p>
    <w:p w:rsidR="003963BE" w:rsidRDefault="00D704E2" w:rsidP="007675A0">
      <w:pPr>
        <w:contextualSpacing/>
        <w:rPr>
          <w:lang w:val="en-US"/>
        </w:rPr>
      </w:pPr>
      <w:r w:rsidRPr="004121AD">
        <w:rPr>
          <w:lang w:val="en-US"/>
        </w:rPr>
        <w:t xml:space="preserve">Logue, D.E., Rogalski, R.J., Seward, J.K., Foster-Johnson, L., 2002, What Is Special about the Roles of Underwriter Reputation and Market Activities in Initial Public Offerings? </w:t>
      </w:r>
    </w:p>
    <w:p w:rsidR="00D704E2" w:rsidRPr="00D704E2" w:rsidRDefault="00D704E2" w:rsidP="007675A0">
      <w:pPr>
        <w:rPr>
          <w:lang w:val="en-US"/>
        </w:rPr>
      </w:pPr>
      <w:proofErr w:type="gramStart"/>
      <w:r w:rsidRPr="004121AD">
        <w:rPr>
          <w:lang w:val="en-US"/>
        </w:rPr>
        <w:t>Journal of business</w:t>
      </w:r>
      <w:r w:rsidR="003963BE">
        <w:rPr>
          <w:lang w:val="en-US"/>
        </w:rPr>
        <w:t>.</w:t>
      </w:r>
      <w:proofErr w:type="gramEnd"/>
      <w:r>
        <w:rPr>
          <w:lang w:val="en-US"/>
        </w:rPr>
        <w:t xml:space="preserve"> (MRA: U)</w:t>
      </w:r>
    </w:p>
    <w:p w:rsidR="007675A0" w:rsidRPr="00503AF2" w:rsidRDefault="007675A0" w:rsidP="007675A0">
      <w:pPr>
        <w:rPr>
          <w:bCs/>
          <w:lang w:val="en-US"/>
        </w:rPr>
      </w:pPr>
      <w:r w:rsidRPr="00503AF2">
        <w:rPr>
          <w:bCs/>
          <w:lang w:val="en-US"/>
        </w:rPr>
        <w:t xml:space="preserve">Loughran, T., Ritter, J.R., 1995, </w:t>
      </w:r>
      <w:proofErr w:type="gramStart"/>
      <w:r w:rsidRPr="00503AF2">
        <w:rPr>
          <w:bCs/>
          <w:lang w:val="en-US"/>
        </w:rPr>
        <w:t>The</w:t>
      </w:r>
      <w:proofErr w:type="gramEnd"/>
      <w:r w:rsidRPr="00503AF2">
        <w:rPr>
          <w:bCs/>
          <w:lang w:val="en-US"/>
        </w:rPr>
        <w:t xml:space="preserve"> New Issues Puzzle. The Journal of Finance 1, 23-51</w:t>
      </w:r>
      <w:r w:rsidR="003963BE">
        <w:rPr>
          <w:bCs/>
          <w:lang w:val="en-US"/>
        </w:rPr>
        <w:t>.</w:t>
      </w:r>
    </w:p>
    <w:p w:rsidR="007675A0" w:rsidRDefault="007675A0" w:rsidP="007675A0">
      <w:pPr>
        <w:rPr>
          <w:bCs/>
          <w:color w:val="FF0000"/>
          <w:lang w:val="en-US"/>
        </w:rPr>
      </w:pPr>
      <w:r w:rsidRPr="003D49EB">
        <w:rPr>
          <w:bCs/>
          <w:lang w:val="en-US"/>
        </w:rPr>
        <w:t>Loughran, T., Ritter, J.R., 2002, Why don't issuers get upset about leaving money on the table in IPOs? Review of Financial Studies 15, 413-443</w:t>
      </w:r>
      <w:r w:rsidR="003963BE">
        <w:rPr>
          <w:bCs/>
          <w:lang w:val="en-US"/>
        </w:rPr>
        <w:t>.</w:t>
      </w:r>
    </w:p>
    <w:p w:rsidR="007675A0" w:rsidRPr="00556CE1" w:rsidRDefault="007675A0" w:rsidP="007675A0">
      <w:pPr>
        <w:rPr>
          <w:bCs/>
          <w:lang w:val="en-US"/>
        </w:rPr>
      </w:pPr>
      <w:r w:rsidRPr="00556CE1">
        <w:rPr>
          <w:bCs/>
          <w:lang w:val="en-US"/>
        </w:rPr>
        <w:t>Loughran, T.</w:t>
      </w:r>
      <w:proofErr w:type="gramStart"/>
      <w:r w:rsidRPr="00556CE1">
        <w:rPr>
          <w:bCs/>
          <w:lang w:val="en-US"/>
        </w:rPr>
        <w:t>,  Ritter</w:t>
      </w:r>
      <w:proofErr w:type="gramEnd"/>
      <w:r w:rsidRPr="00556CE1">
        <w:rPr>
          <w:bCs/>
          <w:lang w:val="en-US"/>
        </w:rPr>
        <w:t>, J</w:t>
      </w:r>
      <w:r>
        <w:rPr>
          <w:bCs/>
          <w:lang w:val="en-US"/>
        </w:rPr>
        <w:t>.R</w:t>
      </w:r>
      <w:r w:rsidRPr="00556CE1">
        <w:rPr>
          <w:bCs/>
          <w:lang w:val="en-US"/>
        </w:rPr>
        <w:t xml:space="preserve">., 2004, Why has </w:t>
      </w:r>
      <w:r w:rsidR="0030498B">
        <w:rPr>
          <w:bCs/>
          <w:lang w:val="en-US"/>
        </w:rPr>
        <w:t>IPO</w:t>
      </w:r>
      <w:r w:rsidRPr="00556CE1">
        <w:rPr>
          <w:bCs/>
          <w:lang w:val="en-US"/>
        </w:rPr>
        <w:t xml:space="preserve"> underpricing changed over time? </w:t>
      </w:r>
      <w:proofErr w:type="gramStart"/>
      <w:r w:rsidRPr="00556CE1">
        <w:rPr>
          <w:bCs/>
          <w:lang w:val="en-US"/>
        </w:rPr>
        <w:t>Financial management 33</w:t>
      </w:r>
      <w:r>
        <w:rPr>
          <w:bCs/>
          <w:lang w:val="en-US"/>
        </w:rPr>
        <w:t>, 2-34</w:t>
      </w:r>
      <w:r w:rsidR="003963BE">
        <w:rPr>
          <w:bCs/>
          <w:lang w:val="en-US"/>
        </w:rPr>
        <w:t>.</w:t>
      </w:r>
      <w:proofErr w:type="gramEnd"/>
    </w:p>
    <w:p w:rsidR="007675A0" w:rsidRDefault="007675A0" w:rsidP="007675A0">
      <w:pPr>
        <w:rPr>
          <w:bCs/>
          <w:lang w:val="en-US"/>
        </w:rPr>
      </w:pPr>
      <w:r w:rsidRPr="00E54365">
        <w:rPr>
          <w:bCs/>
          <w:lang w:val="en-US"/>
        </w:rPr>
        <w:t xml:space="preserve">Lowry, M., 2002, </w:t>
      </w:r>
      <w:proofErr w:type="gramStart"/>
      <w:r w:rsidRPr="00E54365">
        <w:rPr>
          <w:bCs/>
          <w:lang w:val="en-US"/>
        </w:rPr>
        <w:t>Why</w:t>
      </w:r>
      <w:proofErr w:type="gramEnd"/>
      <w:r w:rsidRPr="00E54365">
        <w:rPr>
          <w:bCs/>
          <w:lang w:val="en-US"/>
        </w:rPr>
        <w:t xml:space="preserve"> does </w:t>
      </w:r>
      <w:r w:rsidR="0030498B">
        <w:rPr>
          <w:bCs/>
          <w:lang w:val="en-US"/>
        </w:rPr>
        <w:t>IPO</w:t>
      </w:r>
      <w:r w:rsidRPr="00E54365">
        <w:rPr>
          <w:bCs/>
          <w:lang w:val="en-US"/>
        </w:rPr>
        <w:t xml:space="preserve"> volume fluctuate? </w:t>
      </w:r>
      <w:proofErr w:type="gramStart"/>
      <w:r w:rsidR="003963BE">
        <w:rPr>
          <w:bCs/>
          <w:lang w:val="en-US"/>
        </w:rPr>
        <w:t>Growth o</w:t>
      </w:r>
      <w:r w:rsidRPr="00E54365">
        <w:rPr>
          <w:bCs/>
          <w:lang w:val="en-US"/>
        </w:rPr>
        <w:t>ppurtunities and adverse selection considerations</w:t>
      </w:r>
      <w:r w:rsidR="003963BE">
        <w:rPr>
          <w:bCs/>
          <w:lang w:val="en-US"/>
        </w:rPr>
        <w:t>.</w:t>
      </w:r>
      <w:proofErr w:type="gramEnd"/>
      <w:r w:rsidR="003963BE">
        <w:rPr>
          <w:bCs/>
          <w:lang w:val="en-US"/>
        </w:rPr>
        <w:t xml:space="preserve"> </w:t>
      </w:r>
      <w:proofErr w:type="gramStart"/>
      <w:r w:rsidR="003963BE" w:rsidRPr="00E54365">
        <w:rPr>
          <w:bCs/>
          <w:lang w:val="en-US"/>
        </w:rPr>
        <w:t>Journal</w:t>
      </w:r>
      <w:r w:rsidR="003963BE">
        <w:rPr>
          <w:bCs/>
          <w:lang w:val="en-US"/>
        </w:rPr>
        <w:t xml:space="preserve"> of Financial Economics.</w:t>
      </w:r>
      <w:proofErr w:type="gramEnd"/>
    </w:p>
    <w:p w:rsidR="00D704E2" w:rsidRPr="004121AD" w:rsidRDefault="00D704E2" w:rsidP="00D704E2">
      <w:pPr>
        <w:rPr>
          <w:lang w:val="en-US"/>
        </w:rPr>
      </w:pPr>
      <w:r w:rsidRPr="004121AD">
        <w:rPr>
          <w:lang w:val="en-US"/>
        </w:rPr>
        <w:t xml:space="preserve">Lowry, M., Officer, M.S., Schwerty, G.W., 2010, The Variability of </w:t>
      </w:r>
      <w:r w:rsidR="0030498B">
        <w:rPr>
          <w:lang w:val="en-US"/>
        </w:rPr>
        <w:t>IPO</w:t>
      </w:r>
      <w:r w:rsidRPr="004121AD">
        <w:rPr>
          <w:lang w:val="en-US"/>
        </w:rPr>
        <w:t xml:space="preserve"> Initial Returns. </w:t>
      </w:r>
      <w:proofErr w:type="gramStart"/>
      <w:r w:rsidRPr="004121AD">
        <w:rPr>
          <w:lang w:val="en-US"/>
        </w:rPr>
        <w:t>The Journal of Finance</w:t>
      </w:r>
      <w:r w:rsidR="003963BE">
        <w:rPr>
          <w:lang w:val="en-US"/>
        </w:rPr>
        <w:t>.</w:t>
      </w:r>
      <w:proofErr w:type="gramEnd"/>
      <w:r>
        <w:rPr>
          <w:lang w:val="en-US"/>
        </w:rPr>
        <w:t xml:space="preserve"> (MRA:</w:t>
      </w:r>
      <w:r w:rsidRPr="004121AD">
        <w:rPr>
          <w:lang w:val="en-US"/>
        </w:rPr>
        <w:t xml:space="preserve"> U)</w:t>
      </w:r>
    </w:p>
    <w:p w:rsidR="00D704E2" w:rsidRPr="00D704E2" w:rsidRDefault="00D704E2" w:rsidP="007675A0">
      <w:pPr>
        <w:rPr>
          <w:lang w:val="en-US"/>
        </w:rPr>
      </w:pPr>
      <w:r w:rsidRPr="004121AD">
        <w:rPr>
          <w:lang w:val="en-US"/>
        </w:rPr>
        <w:t xml:space="preserve">Lowry, M., Schwert, G.W., 2003, </w:t>
      </w:r>
      <w:proofErr w:type="gramStart"/>
      <w:r w:rsidRPr="004121AD">
        <w:rPr>
          <w:lang w:val="en-US"/>
        </w:rPr>
        <w:t>Is</w:t>
      </w:r>
      <w:proofErr w:type="gramEnd"/>
      <w:r w:rsidRPr="004121AD">
        <w:rPr>
          <w:lang w:val="en-US"/>
        </w:rPr>
        <w:t xml:space="preserve"> the </w:t>
      </w:r>
      <w:r w:rsidR="0030498B">
        <w:rPr>
          <w:lang w:val="en-US"/>
        </w:rPr>
        <w:t>IPO</w:t>
      </w:r>
      <w:r w:rsidRPr="004121AD">
        <w:rPr>
          <w:lang w:val="en-US"/>
        </w:rPr>
        <w:t xml:space="preserve"> pricing process efficient? </w:t>
      </w:r>
      <w:proofErr w:type="gramStart"/>
      <w:r w:rsidRPr="004121AD">
        <w:rPr>
          <w:lang w:val="en-US"/>
        </w:rPr>
        <w:t>Journal of Financial Economics</w:t>
      </w:r>
      <w:r w:rsidR="003963BE">
        <w:rPr>
          <w:lang w:val="en-US"/>
        </w:rPr>
        <w:t>.</w:t>
      </w:r>
      <w:proofErr w:type="gramEnd"/>
      <w:r>
        <w:rPr>
          <w:lang w:val="en-US"/>
        </w:rPr>
        <w:t xml:space="preserve"> (MRA: U)</w:t>
      </w:r>
    </w:p>
    <w:p w:rsidR="007675A0" w:rsidRPr="00E25B6B" w:rsidRDefault="007675A0" w:rsidP="007675A0">
      <w:pPr>
        <w:rPr>
          <w:bCs/>
          <w:lang w:val="en-US"/>
        </w:rPr>
      </w:pPr>
      <w:proofErr w:type="gramStart"/>
      <w:r w:rsidRPr="00E25B6B">
        <w:rPr>
          <w:bCs/>
          <w:lang w:val="en-US"/>
        </w:rPr>
        <w:t xml:space="preserve">Lowry, </w:t>
      </w:r>
      <w:r>
        <w:rPr>
          <w:bCs/>
          <w:lang w:val="en-US"/>
        </w:rPr>
        <w:t>M.,</w:t>
      </w:r>
      <w:r w:rsidRPr="00E25B6B">
        <w:rPr>
          <w:bCs/>
          <w:lang w:val="en-US"/>
        </w:rPr>
        <w:t xml:space="preserve"> Shu,</w:t>
      </w:r>
      <w:r>
        <w:rPr>
          <w:bCs/>
          <w:lang w:val="en-US"/>
        </w:rPr>
        <w:t xml:space="preserve"> S.,</w:t>
      </w:r>
      <w:r w:rsidRPr="00E25B6B">
        <w:rPr>
          <w:bCs/>
          <w:lang w:val="en-US"/>
        </w:rPr>
        <w:t xml:space="preserve"> 2002, Litig</w:t>
      </w:r>
      <w:r>
        <w:rPr>
          <w:bCs/>
          <w:lang w:val="en-US"/>
        </w:rPr>
        <w:t xml:space="preserve">ation risk and </w:t>
      </w:r>
      <w:r w:rsidR="0030498B">
        <w:rPr>
          <w:bCs/>
          <w:lang w:val="en-US"/>
        </w:rPr>
        <w:t>IPO</w:t>
      </w:r>
      <w:r>
        <w:rPr>
          <w:bCs/>
          <w:lang w:val="en-US"/>
        </w:rPr>
        <w:t xml:space="preserve"> underpricing.</w:t>
      </w:r>
      <w:proofErr w:type="gramEnd"/>
      <w:r>
        <w:rPr>
          <w:bCs/>
          <w:lang w:val="en-US"/>
        </w:rPr>
        <w:t xml:space="preserve"> Journal of Financial Economics 65, 309-335</w:t>
      </w:r>
      <w:r w:rsidR="003963BE">
        <w:rPr>
          <w:bCs/>
          <w:lang w:val="en-US"/>
        </w:rPr>
        <w:t>.</w:t>
      </w:r>
    </w:p>
    <w:p w:rsidR="007675A0" w:rsidRPr="00503AF2" w:rsidRDefault="007675A0" w:rsidP="007675A0">
      <w:pPr>
        <w:rPr>
          <w:bCs/>
          <w:lang w:val="en-US"/>
        </w:rPr>
      </w:pPr>
      <w:r w:rsidRPr="00503AF2">
        <w:rPr>
          <w:bCs/>
          <w:lang w:val="en-US"/>
        </w:rPr>
        <w:t xml:space="preserve">Lowry, M., Schwert, G.W., 2002, </w:t>
      </w:r>
      <w:r w:rsidR="0030498B">
        <w:rPr>
          <w:bCs/>
          <w:lang w:val="en-US"/>
        </w:rPr>
        <w:t>IPO</w:t>
      </w:r>
      <w:r w:rsidRPr="00503AF2">
        <w:rPr>
          <w:bCs/>
          <w:lang w:val="en-US"/>
        </w:rPr>
        <w:t xml:space="preserve"> market cycles: Bubbles or sequential learning? </w:t>
      </w:r>
      <w:r>
        <w:rPr>
          <w:bCs/>
          <w:lang w:val="en-US"/>
        </w:rPr>
        <w:t>The</w:t>
      </w:r>
      <w:r w:rsidRPr="00503AF2">
        <w:rPr>
          <w:bCs/>
          <w:lang w:val="en-US"/>
        </w:rPr>
        <w:t xml:space="preserve"> Journal of Finance 57, 1171-1200. </w:t>
      </w:r>
    </w:p>
    <w:p w:rsidR="007675A0" w:rsidRPr="00E54365" w:rsidRDefault="007675A0" w:rsidP="007675A0">
      <w:pPr>
        <w:rPr>
          <w:bCs/>
          <w:lang w:val="en-US"/>
        </w:rPr>
      </w:pPr>
      <w:proofErr w:type="gramStart"/>
      <w:r w:rsidRPr="00E54365">
        <w:rPr>
          <w:bCs/>
          <w:lang w:val="en-US"/>
        </w:rPr>
        <w:t>Maksimovic, V., Pichler, P., 2001, Technological innovation and initial public offerings.</w:t>
      </w:r>
      <w:proofErr w:type="gramEnd"/>
      <w:r w:rsidRPr="00E54365">
        <w:rPr>
          <w:bCs/>
          <w:lang w:val="en-US"/>
        </w:rPr>
        <w:t xml:space="preserve"> Review of Financial Studies 14, 459-494</w:t>
      </w:r>
      <w:r w:rsidR="003963BE">
        <w:rPr>
          <w:bCs/>
          <w:lang w:val="en-US"/>
        </w:rPr>
        <w:t>.</w:t>
      </w:r>
    </w:p>
    <w:p w:rsidR="00D704E2" w:rsidRDefault="007675A0" w:rsidP="007675A0">
      <w:pPr>
        <w:rPr>
          <w:lang w:val="en-US"/>
        </w:rPr>
      </w:pPr>
      <w:r w:rsidRPr="00E54365">
        <w:rPr>
          <w:lang w:val="en-US"/>
        </w:rPr>
        <w:lastRenderedPageBreak/>
        <w:t xml:space="preserve">Maug, E., 2001. Ownership Structure and the Life-Cycle of the Firm: A Theory of the Decision to go Public. </w:t>
      </w:r>
      <w:proofErr w:type="gramStart"/>
      <w:r w:rsidRPr="00E54365">
        <w:rPr>
          <w:lang w:val="en-US"/>
        </w:rPr>
        <w:t>Review of Finance 5, 167-20</w:t>
      </w:r>
      <w:r w:rsidR="003963BE">
        <w:rPr>
          <w:lang w:val="en-US"/>
        </w:rPr>
        <w:t>.</w:t>
      </w:r>
      <w:proofErr w:type="gramEnd"/>
    </w:p>
    <w:p w:rsidR="007675A0" w:rsidRPr="00E54365" w:rsidRDefault="00D704E2" w:rsidP="007675A0">
      <w:pPr>
        <w:rPr>
          <w:lang w:val="en-US"/>
        </w:rPr>
      </w:pPr>
      <w:r w:rsidRPr="004121AD">
        <w:rPr>
          <w:lang w:val="en-US"/>
        </w:rPr>
        <w:t xml:space="preserve">Megginson, W.L. &amp; Weiss, K.A., 1991, Venture capitalist certification in initial public offerings. </w:t>
      </w:r>
      <w:proofErr w:type="gramStart"/>
      <w:r w:rsidRPr="004121AD">
        <w:rPr>
          <w:lang w:val="en-US"/>
        </w:rPr>
        <w:t>Journal of Finance</w:t>
      </w:r>
      <w:r w:rsidR="003963BE">
        <w:rPr>
          <w:lang w:val="en-US"/>
        </w:rPr>
        <w:t>.</w:t>
      </w:r>
      <w:proofErr w:type="gramEnd"/>
      <w:r>
        <w:rPr>
          <w:lang w:val="en-US"/>
        </w:rPr>
        <w:t xml:space="preserve"> (MRA: A)</w:t>
      </w:r>
    </w:p>
    <w:p w:rsidR="007675A0" w:rsidRPr="00DA7EFF" w:rsidRDefault="007675A0" w:rsidP="007675A0">
      <w:pPr>
        <w:rPr>
          <w:lang w:val="en-US"/>
        </w:rPr>
      </w:pPr>
      <w:r w:rsidRPr="00DA7EFF">
        <w:rPr>
          <w:lang w:val="en-US"/>
        </w:rPr>
        <w:t xml:space="preserve">Michaely, R., Shaw, W.H., 1994, </w:t>
      </w:r>
      <w:proofErr w:type="gramStart"/>
      <w:r w:rsidRPr="00DA7EFF">
        <w:rPr>
          <w:lang w:val="en-US"/>
        </w:rPr>
        <w:t>The</w:t>
      </w:r>
      <w:proofErr w:type="gramEnd"/>
      <w:r w:rsidRPr="00DA7EFF">
        <w:rPr>
          <w:lang w:val="en-US"/>
        </w:rPr>
        <w:t xml:space="preserve"> pricing of initial public offerings: Tests of adverse</w:t>
      </w:r>
      <w:r>
        <w:rPr>
          <w:lang w:val="en-US"/>
        </w:rPr>
        <w:t xml:space="preserve"> </w:t>
      </w:r>
      <w:r w:rsidRPr="00DA7EFF">
        <w:rPr>
          <w:lang w:val="en-US"/>
        </w:rPr>
        <w:t>selection and signaling theories, Review of Financial Studies 7, 279-319.</w:t>
      </w:r>
    </w:p>
    <w:p w:rsidR="007675A0" w:rsidRPr="00DA7EFF" w:rsidRDefault="007675A0" w:rsidP="007675A0">
      <w:pPr>
        <w:rPr>
          <w:color w:val="FF0000"/>
          <w:lang w:val="en-US"/>
        </w:rPr>
      </w:pPr>
      <w:r w:rsidRPr="00E54365">
        <w:rPr>
          <w:lang w:val="en-US"/>
        </w:rPr>
        <w:t>Mikkelson, W.H., Partch, M.M., Shah, K., 1997, Ownership and operating performance of companies that go public. Journal of Financial Economics 44, 281-307</w:t>
      </w:r>
      <w:r w:rsidR="003963BE">
        <w:rPr>
          <w:lang w:val="en-US"/>
        </w:rPr>
        <w:t>.</w:t>
      </w:r>
    </w:p>
    <w:p w:rsidR="007675A0" w:rsidRPr="00DA7EFF" w:rsidRDefault="007675A0" w:rsidP="007675A0">
      <w:pPr>
        <w:rPr>
          <w:lang w:val="en-US"/>
        </w:rPr>
      </w:pPr>
      <w:proofErr w:type="gramStart"/>
      <w:r w:rsidRPr="00DA7EFF">
        <w:rPr>
          <w:lang w:val="en-US"/>
        </w:rPr>
        <w:t xml:space="preserve">Muscarella, C.J., Vetsuypens, M.R., 1989, A simple test of Baron's model of </w:t>
      </w:r>
      <w:r w:rsidR="0030498B">
        <w:rPr>
          <w:lang w:val="en-US"/>
        </w:rPr>
        <w:t>IPO</w:t>
      </w:r>
      <w:r w:rsidRPr="00DA7EFF">
        <w:rPr>
          <w:lang w:val="en-US"/>
        </w:rPr>
        <w:t xml:space="preserve"> underpricing, Journal of Financial Economics 24, 125-136.</w:t>
      </w:r>
      <w:proofErr w:type="gramEnd"/>
      <w:r w:rsidRPr="00DA7EFF">
        <w:rPr>
          <w:lang w:val="en-US"/>
        </w:rPr>
        <w:t xml:space="preserve"> </w:t>
      </w:r>
    </w:p>
    <w:p w:rsidR="007675A0" w:rsidRPr="00DA7EFF" w:rsidRDefault="007675A0" w:rsidP="007675A0">
      <w:pPr>
        <w:rPr>
          <w:color w:val="FF0000"/>
          <w:lang w:val="en-US"/>
        </w:rPr>
      </w:pPr>
      <w:r w:rsidRPr="00E54365">
        <w:rPr>
          <w:lang w:val="en-US"/>
        </w:rPr>
        <w:t xml:space="preserve">Myers, S.C., Majluf, N., 1984, Corporate financing and investment decisions when firms have information investors do not have. </w:t>
      </w:r>
      <w:proofErr w:type="gramStart"/>
      <w:r w:rsidRPr="00E54365">
        <w:rPr>
          <w:lang w:val="en-US"/>
        </w:rPr>
        <w:t>Journal of Financial Economics</w:t>
      </w:r>
      <w:r w:rsidR="003963BE">
        <w:rPr>
          <w:lang w:val="en-US"/>
        </w:rPr>
        <w:t>.</w:t>
      </w:r>
      <w:proofErr w:type="gramEnd"/>
      <w:r w:rsidRPr="00E54365">
        <w:rPr>
          <w:lang w:val="en-US"/>
        </w:rPr>
        <w:t xml:space="preserve"> </w:t>
      </w:r>
    </w:p>
    <w:p w:rsidR="007675A0" w:rsidRPr="00E54365" w:rsidRDefault="007675A0" w:rsidP="007675A0">
      <w:pPr>
        <w:rPr>
          <w:lang w:val="en-US"/>
        </w:rPr>
      </w:pPr>
      <w:r w:rsidRPr="00E54365">
        <w:rPr>
          <w:lang w:val="en-US"/>
        </w:rPr>
        <w:t xml:space="preserve">Pagano, M., 1993 </w:t>
      </w:r>
      <w:proofErr w:type="gramStart"/>
      <w:r w:rsidRPr="00E54365">
        <w:rPr>
          <w:lang w:val="en-US"/>
        </w:rPr>
        <w:t>The</w:t>
      </w:r>
      <w:proofErr w:type="gramEnd"/>
      <w:r w:rsidRPr="00E54365">
        <w:rPr>
          <w:lang w:val="en-US"/>
        </w:rPr>
        <w:t xml:space="preserve"> flotation of companies on the stock market: A coordination failure model, European economic review 37, 1101-1125</w:t>
      </w:r>
      <w:r w:rsidR="003963BE">
        <w:rPr>
          <w:lang w:val="en-US"/>
        </w:rPr>
        <w:t>.</w:t>
      </w:r>
    </w:p>
    <w:p w:rsidR="007675A0" w:rsidRPr="00E54365" w:rsidRDefault="007675A0" w:rsidP="007675A0">
      <w:pPr>
        <w:rPr>
          <w:bCs/>
          <w:lang w:val="en-US"/>
        </w:rPr>
      </w:pPr>
      <w:r w:rsidRPr="00E54365">
        <w:rPr>
          <w:bCs/>
          <w:lang w:val="en-US"/>
        </w:rPr>
        <w:t xml:space="preserve">Pagano, M., Panetta, F., Zingales, L., 1998, Why do companies go public? </w:t>
      </w:r>
      <w:proofErr w:type="gramStart"/>
      <w:r w:rsidRPr="00E54365">
        <w:rPr>
          <w:bCs/>
          <w:lang w:val="en-US"/>
        </w:rPr>
        <w:t>An empirical analysis.</w:t>
      </w:r>
      <w:proofErr w:type="gramEnd"/>
      <w:r w:rsidRPr="00E54365">
        <w:rPr>
          <w:bCs/>
          <w:lang w:val="en-US"/>
        </w:rPr>
        <w:t xml:space="preserve"> </w:t>
      </w:r>
      <w:r>
        <w:rPr>
          <w:bCs/>
          <w:lang w:val="en-US"/>
        </w:rPr>
        <w:t>The</w:t>
      </w:r>
      <w:r w:rsidRPr="00E54365">
        <w:rPr>
          <w:bCs/>
          <w:lang w:val="en-US"/>
        </w:rPr>
        <w:t xml:space="preserve"> Journal of Finance 53, 27-64.  </w:t>
      </w:r>
    </w:p>
    <w:p w:rsidR="007675A0" w:rsidRPr="00E54365" w:rsidRDefault="007675A0" w:rsidP="007675A0">
      <w:pPr>
        <w:rPr>
          <w:lang w:val="en-US"/>
        </w:rPr>
      </w:pPr>
      <w:r w:rsidRPr="00E54365">
        <w:rPr>
          <w:lang w:val="en-US"/>
        </w:rPr>
        <w:t xml:space="preserve">Pagano, M. and A. Röell, 1998, The Choice of Stock Ownership Structure: Agency Costs, Monitoring and The Decision To Go Public. </w:t>
      </w:r>
      <w:proofErr w:type="gramStart"/>
      <w:r w:rsidRPr="00E54365">
        <w:rPr>
          <w:lang w:val="en-US"/>
        </w:rPr>
        <w:t>Quarterly journal of economics 113, 187-225</w:t>
      </w:r>
      <w:r w:rsidR="003963BE">
        <w:rPr>
          <w:lang w:val="en-US"/>
        </w:rPr>
        <w:t>.</w:t>
      </w:r>
      <w:proofErr w:type="gramEnd"/>
    </w:p>
    <w:p w:rsidR="007675A0" w:rsidRPr="003D49EB" w:rsidRDefault="007675A0" w:rsidP="007675A0">
      <w:pPr>
        <w:rPr>
          <w:lang w:val="en-US"/>
        </w:rPr>
      </w:pPr>
      <w:r w:rsidRPr="003D49EB">
        <w:rPr>
          <w:lang w:val="en-US"/>
        </w:rPr>
        <w:t xml:space="preserve">Purnanandam, A.K., Swaminathan, B., 2004, Are IPOs Really Underpriced? </w:t>
      </w:r>
      <w:proofErr w:type="gramStart"/>
      <w:r w:rsidRPr="003D49EB">
        <w:rPr>
          <w:lang w:val="en-US"/>
        </w:rPr>
        <w:t>Review of Financial Studies 17, 911-848</w:t>
      </w:r>
      <w:r w:rsidR="003963BE">
        <w:rPr>
          <w:lang w:val="en-US"/>
        </w:rPr>
        <w:t>.</w:t>
      </w:r>
      <w:proofErr w:type="gramEnd"/>
    </w:p>
    <w:p w:rsidR="007675A0" w:rsidRPr="00E54365" w:rsidRDefault="007675A0" w:rsidP="007675A0">
      <w:pPr>
        <w:rPr>
          <w:bCs/>
          <w:lang w:val="en-GB"/>
        </w:rPr>
      </w:pPr>
      <w:r w:rsidRPr="00E54365">
        <w:rPr>
          <w:bCs/>
          <w:lang w:val="en-GB"/>
        </w:rPr>
        <w:t>Rajan, R., Servaes, H., 1997, Analyst following of initial public offerings</w:t>
      </w:r>
      <w:r>
        <w:rPr>
          <w:bCs/>
          <w:lang w:val="en-GB"/>
        </w:rPr>
        <w:t>.</w:t>
      </w:r>
      <w:r w:rsidRPr="00503AF2">
        <w:rPr>
          <w:bCs/>
          <w:lang w:val="en-US"/>
        </w:rPr>
        <w:t xml:space="preserve"> </w:t>
      </w:r>
      <w:r>
        <w:rPr>
          <w:bCs/>
          <w:lang w:val="en-US"/>
        </w:rPr>
        <w:t>The</w:t>
      </w:r>
      <w:r w:rsidRPr="00E54365">
        <w:rPr>
          <w:bCs/>
          <w:lang w:val="en-GB"/>
        </w:rPr>
        <w:t xml:space="preserve"> </w:t>
      </w:r>
      <w:r w:rsidRPr="00E54365">
        <w:rPr>
          <w:bCs/>
          <w:iCs/>
          <w:lang w:val="en-GB"/>
        </w:rPr>
        <w:t>Journal of Finance</w:t>
      </w:r>
      <w:r w:rsidRPr="00E54365">
        <w:rPr>
          <w:bCs/>
          <w:i/>
          <w:iCs/>
          <w:lang w:val="en-GB"/>
        </w:rPr>
        <w:t xml:space="preserve"> </w:t>
      </w:r>
      <w:r w:rsidRPr="00E54365">
        <w:rPr>
          <w:bCs/>
          <w:lang w:val="en-GB"/>
        </w:rPr>
        <w:t>52, 507-529.</w:t>
      </w:r>
    </w:p>
    <w:p w:rsidR="007675A0" w:rsidRPr="00E54365" w:rsidRDefault="007675A0" w:rsidP="007675A0">
      <w:pPr>
        <w:outlineLvl w:val="0"/>
        <w:rPr>
          <w:lang w:val="en-US"/>
        </w:rPr>
      </w:pPr>
      <w:bookmarkStart w:id="33" w:name="_Toc280276132"/>
      <w:r w:rsidRPr="00E54365">
        <w:rPr>
          <w:lang w:val="en-US"/>
        </w:rPr>
        <w:t xml:space="preserve">Ritter, J.R., 1987. </w:t>
      </w:r>
      <w:proofErr w:type="gramStart"/>
      <w:r w:rsidRPr="00E54365">
        <w:rPr>
          <w:lang w:val="en-US"/>
        </w:rPr>
        <w:t>The costs of going public.</w:t>
      </w:r>
      <w:proofErr w:type="gramEnd"/>
      <w:r w:rsidRPr="00E54365">
        <w:rPr>
          <w:lang w:val="en-US"/>
        </w:rPr>
        <w:t xml:space="preserve"> </w:t>
      </w:r>
      <w:proofErr w:type="gramStart"/>
      <w:r w:rsidRPr="00E54365">
        <w:rPr>
          <w:lang w:val="en-US"/>
        </w:rPr>
        <w:t>Journal of Financial Economics</w:t>
      </w:r>
      <w:bookmarkEnd w:id="33"/>
      <w:r w:rsidR="003963BE">
        <w:rPr>
          <w:lang w:val="en-US"/>
        </w:rPr>
        <w:t>.</w:t>
      </w:r>
      <w:proofErr w:type="gramEnd"/>
    </w:p>
    <w:p w:rsidR="007675A0" w:rsidRPr="00E54365" w:rsidRDefault="007675A0" w:rsidP="007675A0">
      <w:pPr>
        <w:rPr>
          <w:lang w:val="en-US"/>
        </w:rPr>
      </w:pPr>
      <w:r w:rsidRPr="00E54365">
        <w:rPr>
          <w:lang w:val="en-US"/>
        </w:rPr>
        <w:t xml:space="preserve">Ritter, J.R., 1998. </w:t>
      </w:r>
      <w:proofErr w:type="gramStart"/>
      <w:r w:rsidRPr="00E54365">
        <w:rPr>
          <w:lang w:val="en-US"/>
        </w:rPr>
        <w:t>Initial Public Offerings.</w:t>
      </w:r>
      <w:proofErr w:type="gramEnd"/>
      <w:r w:rsidRPr="00E54365">
        <w:rPr>
          <w:lang w:val="en-US"/>
        </w:rPr>
        <w:t xml:space="preserve"> </w:t>
      </w:r>
      <w:proofErr w:type="gramStart"/>
      <w:r w:rsidRPr="00E54365">
        <w:rPr>
          <w:lang w:val="en-US"/>
        </w:rPr>
        <w:t>Contemporary Finance Digest</w:t>
      </w:r>
      <w:r w:rsidR="003963BE">
        <w:rPr>
          <w:lang w:val="en-US"/>
        </w:rPr>
        <w:t>.</w:t>
      </w:r>
      <w:proofErr w:type="gramEnd"/>
      <w:r w:rsidRPr="00E54365">
        <w:rPr>
          <w:lang w:val="en-US"/>
        </w:rPr>
        <w:t xml:space="preserve"> </w:t>
      </w:r>
    </w:p>
    <w:p w:rsidR="007675A0" w:rsidRPr="00E54365" w:rsidRDefault="007675A0" w:rsidP="007675A0">
      <w:pPr>
        <w:rPr>
          <w:lang w:val="en-US"/>
        </w:rPr>
      </w:pPr>
      <w:r w:rsidRPr="00E54365">
        <w:rPr>
          <w:lang w:val="en-US"/>
        </w:rPr>
        <w:t xml:space="preserve">Ritter, J.R., Welch, I., 2002. </w:t>
      </w:r>
      <w:proofErr w:type="gramStart"/>
      <w:r w:rsidRPr="00E54365">
        <w:rPr>
          <w:lang w:val="en-US"/>
        </w:rPr>
        <w:t xml:space="preserve">A Review of </w:t>
      </w:r>
      <w:r w:rsidR="0030498B">
        <w:rPr>
          <w:lang w:val="en-US"/>
        </w:rPr>
        <w:t>IPO</w:t>
      </w:r>
      <w:r w:rsidRPr="00E54365">
        <w:rPr>
          <w:lang w:val="en-US"/>
        </w:rPr>
        <w:t xml:space="preserve"> Activity, Pricing, and Allocations.</w:t>
      </w:r>
      <w:proofErr w:type="gramEnd"/>
      <w:r w:rsidRPr="00E54365">
        <w:rPr>
          <w:lang w:val="en-US"/>
        </w:rPr>
        <w:t xml:space="preserve"> </w:t>
      </w:r>
      <w:proofErr w:type="gramStart"/>
      <w:r w:rsidRPr="00E54365">
        <w:rPr>
          <w:lang w:val="en-US"/>
        </w:rPr>
        <w:t>The Journal of Finance</w:t>
      </w:r>
      <w:r w:rsidR="003963BE">
        <w:rPr>
          <w:lang w:val="en-US"/>
        </w:rPr>
        <w:t>.</w:t>
      </w:r>
      <w:proofErr w:type="gramEnd"/>
    </w:p>
    <w:p w:rsidR="007675A0" w:rsidRPr="00E54365" w:rsidRDefault="007675A0" w:rsidP="007675A0">
      <w:pPr>
        <w:rPr>
          <w:bCs/>
          <w:iCs/>
          <w:lang w:val="en-US"/>
        </w:rPr>
      </w:pPr>
      <w:r w:rsidRPr="00E54365">
        <w:rPr>
          <w:bCs/>
          <w:iCs/>
          <w:lang w:val="en-US"/>
        </w:rPr>
        <w:t xml:space="preserve">Rhyne, W.J., 2007. </w:t>
      </w:r>
      <w:r w:rsidRPr="006917E1">
        <w:rPr>
          <w:bCs/>
          <w:iCs/>
          <w:lang w:val="en-US"/>
        </w:rPr>
        <w:t>An Attempt to Improve Fairness, Efficiency, and Access in the Financial Markets:</w:t>
      </w:r>
      <w:r w:rsidRPr="00E54365">
        <w:rPr>
          <w:bCs/>
          <w:i/>
          <w:iCs/>
          <w:lang w:val="en-US"/>
        </w:rPr>
        <w:t xml:space="preserve"> </w:t>
      </w:r>
      <w:r w:rsidRPr="00E54365">
        <w:rPr>
          <w:bCs/>
          <w:iCs/>
          <w:lang w:val="en-US"/>
        </w:rPr>
        <w:t xml:space="preserve">The WRH + Co OpenIPO Process. </w:t>
      </w:r>
      <w:proofErr w:type="gramStart"/>
      <w:r w:rsidRPr="00E54365">
        <w:rPr>
          <w:bCs/>
          <w:iCs/>
          <w:lang w:val="en-US"/>
        </w:rPr>
        <w:t>Working Paper</w:t>
      </w:r>
      <w:r w:rsidR="006917E1">
        <w:rPr>
          <w:bCs/>
          <w:iCs/>
          <w:lang w:val="en-US"/>
        </w:rPr>
        <w:t>.</w:t>
      </w:r>
      <w:proofErr w:type="gramEnd"/>
    </w:p>
    <w:p w:rsidR="007675A0" w:rsidRPr="00E54365" w:rsidRDefault="007675A0" w:rsidP="007675A0">
      <w:pPr>
        <w:rPr>
          <w:lang w:val="en-US"/>
        </w:rPr>
      </w:pPr>
      <w:proofErr w:type="gramStart"/>
      <w:r w:rsidRPr="00E54365">
        <w:rPr>
          <w:bCs/>
          <w:lang w:val="en-US"/>
        </w:rPr>
        <w:t>Robicheaux</w:t>
      </w:r>
      <w:r w:rsidRPr="00E54365">
        <w:rPr>
          <w:lang w:val="en-US"/>
        </w:rPr>
        <w:t xml:space="preserve">, S., </w:t>
      </w:r>
      <w:r w:rsidRPr="00E54365">
        <w:rPr>
          <w:bCs/>
          <w:lang w:val="en-US"/>
        </w:rPr>
        <w:t>Herrington, C.,</w:t>
      </w:r>
      <w:r w:rsidRPr="00E54365">
        <w:rPr>
          <w:b/>
          <w:bCs/>
          <w:lang w:val="en-US"/>
        </w:rPr>
        <w:t xml:space="preserve"> </w:t>
      </w:r>
      <w:r w:rsidRPr="00E54365">
        <w:rPr>
          <w:lang w:val="en-US"/>
        </w:rPr>
        <w:t>2007.</w:t>
      </w:r>
      <w:proofErr w:type="gramEnd"/>
      <w:r w:rsidRPr="00E54365">
        <w:rPr>
          <w:lang w:val="en-US"/>
        </w:rPr>
        <w:t xml:space="preserve"> </w:t>
      </w:r>
      <w:r w:rsidRPr="00E54365">
        <w:rPr>
          <w:bCs/>
          <w:lang w:val="en-US"/>
        </w:rPr>
        <w:t>Google’s Dutch Auction initial public offering.</w:t>
      </w:r>
      <w:r w:rsidRPr="00E54365">
        <w:rPr>
          <w:lang w:val="en-US"/>
        </w:rPr>
        <w:t xml:space="preserve"> </w:t>
      </w:r>
      <w:proofErr w:type="gramStart"/>
      <w:r w:rsidRPr="00E54365">
        <w:rPr>
          <w:lang w:val="en-US"/>
        </w:rPr>
        <w:t>Journal of the International Academy for Case Studies</w:t>
      </w:r>
      <w:r w:rsidR="006917E1">
        <w:rPr>
          <w:lang w:val="en-US"/>
        </w:rPr>
        <w:t>.</w:t>
      </w:r>
      <w:proofErr w:type="gramEnd"/>
    </w:p>
    <w:p w:rsidR="007675A0" w:rsidRPr="00DA7EFF" w:rsidRDefault="007675A0" w:rsidP="007675A0">
      <w:pPr>
        <w:rPr>
          <w:lang w:val="en-US"/>
        </w:rPr>
      </w:pPr>
      <w:r w:rsidRPr="00DA7EFF">
        <w:rPr>
          <w:lang w:val="en-US"/>
        </w:rPr>
        <w:t xml:space="preserve">Rock, K., 1986, </w:t>
      </w:r>
      <w:proofErr w:type="gramStart"/>
      <w:r w:rsidRPr="00DA7EFF">
        <w:rPr>
          <w:lang w:val="en-US"/>
        </w:rPr>
        <w:t>Why</w:t>
      </w:r>
      <w:proofErr w:type="gramEnd"/>
      <w:r w:rsidRPr="00DA7EFF">
        <w:rPr>
          <w:lang w:val="en-US"/>
        </w:rPr>
        <w:t xml:space="preserve"> new issues are underpriced, Journal of Financial Economics 15, 187-212.</w:t>
      </w:r>
    </w:p>
    <w:p w:rsidR="007675A0" w:rsidRPr="00E54365" w:rsidRDefault="007675A0" w:rsidP="007675A0">
      <w:pPr>
        <w:rPr>
          <w:lang w:val="en-US"/>
        </w:rPr>
      </w:pPr>
      <w:r w:rsidRPr="00E54365">
        <w:rPr>
          <w:lang w:val="en-US"/>
        </w:rPr>
        <w:t>R</w:t>
      </w:r>
      <w:r w:rsidRPr="00E54365">
        <w:rPr>
          <w:lang w:val="en-GB"/>
        </w:rPr>
        <w:t>ö</w:t>
      </w:r>
      <w:r w:rsidRPr="00E54365">
        <w:rPr>
          <w:lang w:val="en-US"/>
        </w:rPr>
        <w:t xml:space="preserve">ell, A., 1996, </w:t>
      </w:r>
      <w:proofErr w:type="gramStart"/>
      <w:r w:rsidRPr="00E54365">
        <w:rPr>
          <w:lang w:val="en-US"/>
        </w:rPr>
        <w:t>The</w:t>
      </w:r>
      <w:proofErr w:type="gramEnd"/>
      <w:r w:rsidRPr="00E54365">
        <w:rPr>
          <w:lang w:val="en-US"/>
        </w:rPr>
        <w:t xml:space="preserve"> decision to go public: An overview. European Economic Review 40, 1071-1081</w:t>
      </w:r>
      <w:r w:rsidR="006917E1">
        <w:rPr>
          <w:lang w:val="en-US"/>
        </w:rPr>
        <w:t>.</w:t>
      </w:r>
    </w:p>
    <w:p w:rsidR="007675A0" w:rsidRDefault="007675A0" w:rsidP="007675A0">
      <w:pPr>
        <w:rPr>
          <w:lang w:val="en-US"/>
        </w:rPr>
      </w:pPr>
      <w:r w:rsidRPr="00E54365">
        <w:rPr>
          <w:lang w:val="en-US"/>
        </w:rPr>
        <w:t xml:space="preserve">Rosenstein, S., Wyat, J.G., 2002 </w:t>
      </w:r>
      <w:proofErr w:type="gramStart"/>
      <w:r w:rsidRPr="00E54365">
        <w:rPr>
          <w:lang w:val="en-US"/>
        </w:rPr>
        <w:t>Outside</w:t>
      </w:r>
      <w:proofErr w:type="gramEnd"/>
      <w:r w:rsidRPr="00E54365">
        <w:rPr>
          <w:lang w:val="en-US"/>
        </w:rPr>
        <w:t xml:space="preserve"> directors, board independence and shareholder wealth. Journal of Financial Economic 26(2), 175-191</w:t>
      </w:r>
      <w:r w:rsidR="006917E1">
        <w:rPr>
          <w:lang w:val="en-US"/>
        </w:rPr>
        <w:t>.</w:t>
      </w:r>
    </w:p>
    <w:p w:rsidR="007675A0" w:rsidRDefault="007675A0" w:rsidP="007675A0">
      <w:pPr>
        <w:rPr>
          <w:lang w:val="en-US"/>
        </w:rPr>
      </w:pPr>
      <w:proofErr w:type="gramStart"/>
      <w:r>
        <w:rPr>
          <w:lang w:val="en-US"/>
        </w:rPr>
        <w:lastRenderedPageBreak/>
        <w:t xml:space="preserve">Ruud, J.S., 1993, Underwriter price support and the </w:t>
      </w:r>
      <w:r w:rsidR="0030498B">
        <w:rPr>
          <w:lang w:val="en-US"/>
        </w:rPr>
        <w:t>IPO</w:t>
      </w:r>
      <w:r>
        <w:rPr>
          <w:lang w:val="en-US"/>
        </w:rPr>
        <w:t xml:space="preserve"> underpricing puzzle.</w:t>
      </w:r>
      <w:proofErr w:type="gramEnd"/>
      <w:r>
        <w:rPr>
          <w:lang w:val="en-US"/>
        </w:rPr>
        <w:t xml:space="preserve"> Journal of Financial Economics 34, 135-151</w:t>
      </w:r>
      <w:r w:rsidR="006917E1">
        <w:rPr>
          <w:lang w:val="en-US"/>
        </w:rPr>
        <w:t>.</w:t>
      </w:r>
    </w:p>
    <w:p w:rsidR="00D704E2" w:rsidRPr="00E54365" w:rsidRDefault="00D704E2" w:rsidP="007675A0">
      <w:pPr>
        <w:rPr>
          <w:lang w:val="en-US"/>
        </w:rPr>
      </w:pPr>
      <w:proofErr w:type="gramStart"/>
      <w:r w:rsidRPr="004121AD">
        <w:rPr>
          <w:lang w:val="en-US"/>
        </w:rPr>
        <w:t>Schultz, P., 1993, Unit initial public offerings.</w:t>
      </w:r>
      <w:proofErr w:type="gramEnd"/>
      <w:r w:rsidRPr="004121AD">
        <w:rPr>
          <w:lang w:val="en-US"/>
        </w:rPr>
        <w:t xml:space="preserve"> </w:t>
      </w:r>
      <w:proofErr w:type="gramStart"/>
      <w:r w:rsidRPr="004121AD">
        <w:rPr>
          <w:lang w:val="en-US"/>
        </w:rPr>
        <w:t>Journal of Financial Economics</w:t>
      </w:r>
      <w:r w:rsidR="006917E1">
        <w:rPr>
          <w:lang w:val="en-US"/>
        </w:rPr>
        <w:t>.</w:t>
      </w:r>
      <w:proofErr w:type="gramEnd"/>
      <w:r>
        <w:rPr>
          <w:lang w:val="en-US"/>
        </w:rPr>
        <w:t xml:space="preserve"> (MRA: P)</w:t>
      </w:r>
    </w:p>
    <w:p w:rsidR="007675A0" w:rsidRDefault="007675A0" w:rsidP="007675A0">
      <w:pPr>
        <w:spacing w:line="360" w:lineRule="auto"/>
        <w:rPr>
          <w:bCs/>
          <w:lang w:val="en-US"/>
        </w:rPr>
      </w:pPr>
      <w:r w:rsidRPr="00DA7EFF">
        <w:rPr>
          <w:bCs/>
          <w:lang w:val="en-US"/>
        </w:rPr>
        <w:t xml:space="preserve">Sherman, A., 2000, IPOs and long-term relationships: An advantage of bookbuilding, Review of Financial Studies 13, 697-714. </w:t>
      </w:r>
    </w:p>
    <w:p w:rsidR="00D704E2" w:rsidRDefault="00D704E2" w:rsidP="00D704E2">
      <w:pPr>
        <w:rPr>
          <w:lang w:val="en-US"/>
        </w:rPr>
      </w:pPr>
      <w:r w:rsidRPr="004121AD">
        <w:rPr>
          <w:lang w:val="en-US"/>
        </w:rPr>
        <w:t xml:space="preserve">Tykvová, T., Walz, U., 2007, How important is participation of different venture capitalists in German IPOs? </w:t>
      </w:r>
      <w:proofErr w:type="gramStart"/>
      <w:r w:rsidRPr="004121AD">
        <w:rPr>
          <w:lang w:val="en-US"/>
        </w:rPr>
        <w:t>Global Finance Journal</w:t>
      </w:r>
      <w:r w:rsidR="006917E1">
        <w:rPr>
          <w:lang w:val="en-US"/>
        </w:rPr>
        <w:t>.</w:t>
      </w:r>
      <w:proofErr w:type="gramEnd"/>
      <w:r>
        <w:rPr>
          <w:lang w:val="en-US"/>
        </w:rPr>
        <w:t xml:space="preserve"> (MRA: A)</w:t>
      </w:r>
    </w:p>
    <w:p w:rsidR="00D704E2" w:rsidRPr="00E54365" w:rsidRDefault="00D704E2" w:rsidP="00D704E2">
      <w:pPr>
        <w:rPr>
          <w:lang w:val="en-US"/>
        </w:rPr>
      </w:pPr>
      <w:proofErr w:type="gramStart"/>
      <w:r w:rsidRPr="004121AD">
        <w:rPr>
          <w:lang w:val="en-US"/>
        </w:rPr>
        <w:t>Wasserfallen, W., Wittleder, C., 1994, Pricing initial public offerings Evidence from Germany.</w:t>
      </w:r>
      <w:proofErr w:type="gramEnd"/>
      <w:r w:rsidRPr="004121AD">
        <w:rPr>
          <w:lang w:val="en-US"/>
        </w:rPr>
        <w:t xml:space="preserve"> </w:t>
      </w:r>
      <w:proofErr w:type="gramStart"/>
      <w:r w:rsidRPr="00706709">
        <w:rPr>
          <w:lang w:val="en-US"/>
        </w:rPr>
        <w:t>European economic review</w:t>
      </w:r>
      <w:r w:rsidR="006917E1">
        <w:rPr>
          <w:lang w:val="en-US"/>
        </w:rPr>
        <w:t>.</w:t>
      </w:r>
      <w:proofErr w:type="gramEnd"/>
      <w:r w:rsidRPr="00706709">
        <w:rPr>
          <w:lang w:val="en-US"/>
        </w:rPr>
        <w:t xml:space="preserve"> </w:t>
      </w:r>
      <w:r>
        <w:rPr>
          <w:lang w:val="en-US"/>
        </w:rPr>
        <w:t>(MRA: A</w:t>
      </w:r>
      <w:r w:rsidRPr="004121AD">
        <w:rPr>
          <w:lang w:val="en-US"/>
        </w:rPr>
        <w:t>)</w:t>
      </w:r>
    </w:p>
    <w:p w:rsidR="007675A0" w:rsidRDefault="0097241C" w:rsidP="007675A0">
      <w:pPr>
        <w:rPr>
          <w:bCs/>
          <w:lang w:val="en-US"/>
        </w:rPr>
      </w:pPr>
      <w:r>
        <w:rPr>
          <w:bCs/>
          <w:lang w:val="en-US"/>
        </w:rPr>
        <w:t>Welch, I.</w:t>
      </w:r>
      <w:r w:rsidR="007675A0" w:rsidRPr="00DA7EFF">
        <w:rPr>
          <w:bCs/>
          <w:lang w:val="en-US"/>
        </w:rPr>
        <w:t xml:space="preserve">, 1989, Seasoned offerings, imitation costs, and the underpricing </w:t>
      </w:r>
      <w:r w:rsidR="007675A0">
        <w:rPr>
          <w:bCs/>
          <w:lang w:val="en-US"/>
        </w:rPr>
        <w:t>of initial public offerings.</w:t>
      </w:r>
      <w:r w:rsidR="007675A0" w:rsidRPr="00DA7EFF">
        <w:rPr>
          <w:bCs/>
          <w:lang w:val="en-US"/>
        </w:rPr>
        <w:t xml:space="preserve"> </w:t>
      </w:r>
      <w:r w:rsidR="007675A0">
        <w:rPr>
          <w:bCs/>
          <w:lang w:val="en-US"/>
        </w:rPr>
        <w:t>The</w:t>
      </w:r>
      <w:r w:rsidR="007675A0" w:rsidRPr="00DA7EFF">
        <w:rPr>
          <w:bCs/>
          <w:lang w:val="en-US"/>
        </w:rPr>
        <w:t xml:space="preserve"> Journal of Finance 44, 421-450. </w:t>
      </w:r>
    </w:p>
    <w:p w:rsidR="00D704E2" w:rsidRPr="00D704E2" w:rsidRDefault="00D704E2" w:rsidP="007675A0">
      <w:pPr>
        <w:rPr>
          <w:lang w:val="en-US"/>
        </w:rPr>
      </w:pPr>
      <w:r w:rsidRPr="004121AD">
        <w:rPr>
          <w:lang w:val="en-US"/>
        </w:rPr>
        <w:t xml:space="preserve">Young, J.E. &amp; Zaima, J.K., Does it pay to invest in small business IPOs? </w:t>
      </w:r>
      <w:r w:rsidRPr="0060244B">
        <w:rPr>
          <w:lang w:val="en-US"/>
        </w:rPr>
        <w:t>Journal of Small Business Management</w:t>
      </w:r>
      <w:proofErr w:type="gramStart"/>
      <w:r w:rsidR="006917E1">
        <w:rPr>
          <w:lang w:val="en-US"/>
        </w:rPr>
        <w:t>.</w:t>
      </w:r>
      <w:r>
        <w:rPr>
          <w:lang w:val="en-US"/>
        </w:rPr>
        <w:t>(</w:t>
      </w:r>
      <w:proofErr w:type="gramEnd"/>
      <w:r>
        <w:rPr>
          <w:lang w:val="en-US"/>
        </w:rPr>
        <w:t>MRA: A</w:t>
      </w:r>
      <w:r w:rsidRPr="004121AD">
        <w:rPr>
          <w:lang w:val="en-US"/>
        </w:rPr>
        <w:t>)</w:t>
      </w:r>
    </w:p>
    <w:p w:rsidR="007675A0" w:rsidRPr="00E54365" w:rsidRDefault="007675A0" w:rsidP="007675A0">
      <w:pPr>
        <w:rPr>
          <w:bCs/>
          <w:lang w:val="en-US"/>
        </w:rPr>
      </w:pPr>
      <w:r w:rsidRPr="00E54365">
        <w:rPr>
          <w:bCs/>
          <w:lang w:val="en-US"/>
        </w:rPr>
        <w:t xml:space="preserve">Zhang, D., 2001. Why do </w:t>
      </w:r>
      <w:r w:rsidR="0030498B">
        <w:rPr>
          <w:bCs/>
          <w:lang w:val="en-US"/>
        </w:rPr>
        <w:t>IPO</w:t>
      </w:r>
      <w:r w:rsidRPr="00E54365">
        <w:rPr>
          <w:bCs/>
          <w:lang w:val="en-US"/>
        </w:rPr>
        <w:t xml:space="preserve"> underwriters allocate extra shares when they expect to buy them back? </w:t>
      </w:r>
      <w:proofErr w:type="gramStart"/>
      <w:r w:rsidRPr="00E54365">
        <w:rPr>
          <w:bCs/>
          <w:lang w:val="en-US"/>
        </w:rPr>
        <w:t>Working paper, University of Florida.</w:t>
      </w:r>
      <w:proofErr w:type="gramEnd"/>
    </w:p>
    <w:p w:rsidR="007675A0" w:rsidRPr="00D704E2" w:rsidRDefault="007675A0" w:rsidP="007675A0">
      <w:pPr>
        <w:rPr>
          <w:lang w:val="en-US"/>
        </w:rPr>
      </w:pPr>
      <w:r w:rsidRPr="00E54365">
        <w:rPr>
          <w:lang w:val="en-US"/>
        </w:rPr>
        <w:t>Zingales, L., 1995, Insider ownership and the Decision to go Public. Review of Economic Studies 62, 425-448</w:t>
      </w:r>
      <w:r w:rsidR="006917E1">
        <w:rPr>
          <w:lang w:val="en-US"/>
        </w:rPr>
        <w:t>.</w:t>
      </w:r>
    </w:p>
    <w:p w:rsidR="0097241C" w:rsidRDefault="0097241C">
      <w:pPr>
        <w:rPr>
          <w:b/>
          <w:lang w:val="en-US"/>
        </w:rPr>
      </w:pPr>
      <w:bookmarkStart w:id="34" w:name="_Toc280276133"/>
      <w:r>
        <w:rPr>
          <w:b/>
          <w:lang w:val="en-US"/>
        </w:rPr>
        <w:br w:type="page"/>
      </w:r>
    </w:p>
    <w:p w:rsidR="007675A0" w:rsidRDefault="007675A0" w:rsidP="00D704E2">
      <w:pPr>
        <w:spacing w:after="0" w:line="240" w:lineRule="auto"/>
        <w:rPr>
          <w:b/>
          <w:lang w:val="en-US"/>
        </w:rPr>
      </w:pPr>
      <w:r w:rsidRPr="00C23F2A">
        <w:rPr>
          <w:b/>
          <w:lang w:val="en-US"/>
        </w:rPr>
        <w:lastRenderedPageBreak/>
        <w:t xml:space="preserve">Literature </w:t>
      </w:r>
      <w:r w:rsidR="009F25D4">
        <w:rPr>
          <w:b/>
          <w:lang w:val="en-US"/>
        </w:rPr>
        <w:t>META</w:t>
      </w:r>
      <w:r w:rsidRPr="00C23F2A">
        <w:rPr>
          <w:b/>
          <w:lang w:val="en-US"/>
        </w:rPr>
        <w:t xml:space="preserve"> methodology</w:t>
      </w:r>
      <w:bookmarkEnd w:id="34"/>
    </w:p>
    <w:p w:rsidR="00D704E2" w:rsidRPr="00C23F2A" w:rsidRDefault="00D704E2" w:rsidP="00D704E2">
      <w:pPr>
        <w:spacing w:after="0" w:line="240" w:lineRule="auto"/>
        <w:rPr>
          <w:b/>
          <w:lang w:val="en-US"/>
        </w:rPr>
      </w:pPr>
    </w:p>
    <w:p w:rsidR="007675A0" w:rsidRDefault="007675A0" w:rsidP="007675A0">
      <w:pPr>
        <w:rPr>
          <w:bCs/>
          <w:i/>
          <w:lang w:val="en-US"/>
        </w:rPr>
      </w:pPr>
      <w:r w:rsidRPr="00EC06C2">
        <w:rPr>
          <w:bCs/>
        </w:rPr>
        <w:t xml:space="preserve">Abrue, M., Groot de, H.L.F., Florax, R.J.G.M. (2005). </w:t>
      </w:r>
      <w:r w:rsidRPr="00BA420A">
        <w:rPr>
          <w:bCs/>
          <w:lang w:val="en-US"/>
        </w:rPr>
        <w:t xml:space="preserve">A </w:t>
      </w:r>
      <w:r w:rsidR="009F25D4">
        <w:rPr>
          <w:bCs/>
          <w:lang w:val="en-US"/>
        </w:rPr>
        <w:t>Meta</w:t>
      </w:r>
      <w:r w:rsidRPr="00BA420A">
        <w:rPr>
          <w:bCs/>
          <w:lang w:val="en-US"/>
        </w:rPr>
        <w:t>-Analysis of Beta-Convergence:</w:t>
      </w:r>
      <w:r w:rsidRPr="00E40AB4">
        <w:rPr>
          <w:bCs/>
          <w:i/>
          <w:lang w:val="en-US"/>
        </w:rPr>
        <w:t xml:space="preserve"> </w:t>
      </w:r>
      <w:r w:rsidRPr="00BA420A">
        <w:rPr>
          <w:bCs/>
          <w:lang w:val="en-US"/>
        </w:rPr>
        <w:t xml:space="preserve">The Legendary Two-Percent. </w:t>
      </w:r>
      <w:r w:rsidRPr="00E40AB4">
        <w:rPr>
          <w:bCs/>
          <w:i/>
          <w:lang w:val="en-US"/>
        </w:rPr>
        <w:t xml:space="preserve"> </w:t>
      </w:r>
      <w:proofErr w:type="gramStart"/>
      <w:r w:rsidRPr="006917E1">
        <w:rPr>
          <w:bCs/>
          <w:lang w:val="en-US"/>
        </w:rPr>
        <w:t>Tinbergen Institute Amsterdam</w:t>
      </w:r>
      <w:r w:rsidR="006917E1">
        <w:rPr>
          <w:bCs/>
          <w:lang w:val="en-US"/>
        </w:rPr>
        <w:t>.</w:t>
      </w:r>
      <w:proofErr w:type="gramEnd"/>
    </w:p>
    <w:p w:rsidR="007675A0" w:rsidRDefault="007675A0" w:rsidP="007675A0">
      <w:pPr>
        <w:rPr>
          <w:bCs/>
          <w:lang w:val="en-US"/>
        </w:rPr>
      </w:pPr>
      <w:proofErr w:type="gramStart"/>
      <w:r w:rsidRPr="005A448F">
        <w:rPr>
          <w:bCs/>
          <w:lang w:val="en-US"/>
        </w:rPr>
        <w:t>Doucouliagos</w:t>
      </w:r>
      <w:r>
        <w:rPr>
          <w:bCs/>
          <w:lang w:val="en-US"/>
        </w:rPr>
        <w:t xml:space="preserve">, C., 2005, </w:t>
      </w:r>
      <w:r w:rsidR="00671123">
        <w:rPr>
          <w:bCs/>
          <w:lang w:val="en-US"/>
        </w:rPr>
        <w:t>Publication Bias</w:t>
      </w:r>
      <w:r>
        <w:rPr>
          <w:bCs/>
          <w:lang w:val="en-US"/>
        </w:rPr>
        <w:t xml:space="preserve"> in the Economic Freedom and Economic Growth Literature.</w:t>
      </w:r>
      <w:proofErr w:type="gramEnd"/>
      <w:r>
        <w:rPr>
          <w:bCs/>
          <w:lang w:val="en-US"/>
        </w:rPr>
        <w:t xml:space="preserve"> </w:t>
      </w:r>
      <w:proofErr w:type="gramStart"/>
      <w:r>
        <w:rPr>
          <w:bCs/>
          <w:lang w:val="en-US"/>
        </w:rPr>
        <w:t>Journal of Economic Surveys 19 (3)</w:t>
      </w:r>
      <w:r w:rsidR="006917E1">
        <w:rPr>
          <w:bCs/>
          <w:lang w:val="en-US"/>
        </w:rPr>
        <w:t>.</w:t>
      </w:r>
      <w:proofErr w:type="gramEnd"/>
      <w:r>
        <w:rPr>
          <w:bCs/>
          <w:lang w:val="en-US"/>
        </w:rPr>
        <w:t xml:space="preserve"> </w:t>
      </w:r>
    </w:p>
    <w:p w:rsidR="007675A0" w:rsidRPr="00BA420A" w:rsidRDefault="007675A0" w:rsidP="007675A0">
      <w:pPr>
        <w:rPr>
          <w:lang w:val="en-US"/>
        </w:rPr>
      </w:pPr>
      <w:r w:rsidRPr="00BA420A">
        <w:rPr>
          <w:lang w:val="en-US"/>
        </w:rPr>
        <w:t xml:space="preserve">Glass, G. V. (1976). </w:t>
      </w:r>
      <w:proofErr w:type="gramStart"/>
      <w:r w:rsidRPr="00BA420A">
        <w:rPr>
          <w:lang w:val="en-US"/>
        </w:rPr>
        <w:t xml:space="preserve">Primary, secondary, and </w:t>
      </w:r>
      <w:r w:rsidR="009F25D4">
        <w:rPr>
          <w:lang w:val="en-US"/>
        </w:rPr>
        <w:t>Meta</w:t>
      </w:r>
      <w:r w:rsidRPr="00BA420A">
        <w:rPr>
          <w:lang w:val="en-US"/>
        </w:rPr>
        <w:t>-analysis of research</w:t>
      </w:r>
      <w:r w:rsidRPr="00BA420A">
        <w:rPr>
          <w:i/>
          <w:lang w:val="en-US"/>
        </w:rPr>
        <w:t>.</w:t>
      </w:r>
      <w:proofErr w:type="gramEnd"/>
      <w:r w:rsidRPr="00BA420A">
        <w:rPr>
          <w:i/>
          <w:lang w:val="en-US"/>
        </w:rPr>
        <w:t xml:space="preserve"> </w:t>
      </w:r>
      <w:r w:rsidRPr="006917E1">
        <w:rPr>
          <w:lang w:val="en-US"/>
        </w:rPr>
        <w:t>Educational Researcher 5: 3-8</w:t>
      </w:r>
      <w:r w:rsidR="006917E1">
        <w:rPr>
          <w:lang w:val="en-US"/>
        </w:rPr>
        <w:t>.</w:t>
      </w:r>
    </w:p>
    <w:p w:rsidR="007675A0" w:rsidRPr="006917E1" w:rsidRDefault="007675A0" w:rsidP="007675A0">
      <w:pPr>
        <w:rPr>
          <w:lang w:val="en-US"/>
        </w:rPr>
      </w:pPr>
      <w:r w:rsidRPr="00BA420A">
        <w:rPr>
          <w:lang w:val="en-US"/>
        </w:rPr>
        <w:t xml:space="preserve">Glass, G. V. (1977) Integrating findings: the </w:t>
      </w:r>
      <w:r w:rsidR="009F25D4">
        <w:rPr>
          <w:lang w:val="en-US"/>
        </w:rPr>
        <w:t>Meta</w:t>
      </w:r>
      <w:r w:rsidRPr="00BA420A">
        <w:rPr>
          <w:lang w:val="en-US"/>
        </w:rPr>
        <w:t xml:space="preserve">-analysis of research. </w:t>
      </w:r>
      <w:r w:rsidRPr="006917E1">
        <w:rPr>
          <w:lang w:val="en-US"/>
        </w:rPr>
        <w:t>Review of Research in Education 5: 351–379.</w:t>
      </w:r>
    </w:p>
    <w:p w:rsidR="007675A0" w:rsidRPr="00A60C47" w:rsidRDefault="007675A0" w:rsidP="007675A0">
      <w:pPr>
        <w:rPr>
          <w:i/>
          <w:iCs/>
          <w:lang w:val="en-US"/>
        </w:rPr>
      </w:pPr>
      <w:proofErr w:type="gramStart"/>
      <w:r w:rsidRPr="009D4228">
        <w:rPr>
          <w:lang w:val="en-US"/>
        </w:rPr>
        <w:t>Hunter, J.E. &amp; Schmidt, F.L. (1990).</w:t>
      </w:r>
      <w:proofErr w:type="gramEnd"/>
      <w:r w:rsidRPr="009D4228">
        <w:rPr>
          <w:lang w:val="en-US"/>
        </w:rPr>
        <w:t xml:space="preserve"> </w:t>
      </w:r>
      <w:r w:rsidRPr="00A60C47">
        <w:rPr>
          <w:iCs/>
          <w:lang w:val="en-US"/>
        </w:rPr>
        <w:t xml:space="preserve">Methods of </w:t>
      </w:r>
      <w:r w:rsidR="009F25D4">
        <w:rPr>
          <w:iCs/>
          <w:lang w:val="en-US"/>
        </w:rPr>
        <w:t>Meta</w:t>
      </w:r>
      <w:r w:rsidRPr="00A60C47">
        <w:rPr>
          <w:iCs/>
          <w:lang w:val="en-US"/>
        </w:rPr>
        <w:t>-analysis: Correcting error and bias in research findings</w:t>
      </w:r>
      <w:r w:rsidRPr="00A60C47">
        <w:rPr>
          <w:lang w:val="en-US"/>
        </w:rPr>
        <w:t xml:space="preserve">. </w:t>
      </w:r>
      <w:r w:rsidRPr="00A60C47">
        <w:rPr>
          <w:i/>
          <w:lang w:val="en-US"/>
        </w:rPr>
        <w:t xml:space="preserve">Beverly Hills, </w:t>
      </w:r>
      <w:r w:rsidRPr="006917E1">
        <w:rPr>
          <w:lang w:val="en-US"/>
        </w:rPr>
        <w:t>CA: Sage Publications.</w:t>
      </w:r>
    </w:p>
    <w:p w:rsidR="007675A0" w:rsidRPr="00BA420A" w:rsidRDefault="007675A0" w:rsidP="007675A0">
      <w:pPr>
        <w:rPr>
          <w:lang w:val="en-US"/>
        </w:rPr>
      </w:pPr>
      <w:proofErr w:type="gramStart"/>
      <w:r w:rsidRPr="00BA420A">
        <w:rPr>
          <w:lang w:val="en-US"/>
        </w:rPr>
        <w:t>Iyengar, S. and Greenhouse, J. B. (1988).</w:t>
      </w:r>
      <w:proofErr w:type="gramEnd"/>
      <w:r w:rsidRPr="00BA420A">
        <w:rPr>
          <w:lang w:val="en-US"/>
        </w:rPr>
        <w:t xml:space="preserve"> </w:t>
      </w:r>
      <w:proofErr w:type="gramStart"/>
      <w:r w:rsidRPr="00BA420A">
        <w:rPr>
          <w:lang w:val="en-US"/>
        </w:rPr>
        <w:t>Selection models and the file drawer problem.</w:t>
      </w:r>
      <w:proofErr w:type="gramEnd"/>
      <w:r>
        <w:rPr>
          <w:lang w:val="en-US"/>
        </w:rPr>
        <w:t xml:space="preserve"> </w:t>
      </w:r>
      <w:r w:rsidRPr="00BA420A">
        <w:rPr>
          <w:i/>
          <w:lang w:val="en-US"/>
        </w:rPr>
        <w:t>Statistical Science</w:t>
      </w:r>
      <w:r w:rsidRPr="00BA420A">
        <w:rPr>
          <w:lang w:val="en-US"/>
        </w:rPr>
        <w:t xml:space="preserve"> 3: 109–135.</w:t>
      </w:r>
    </w:p>
    <w:p w:rsidR="007675A0" w:rsidRPr="006917E1" w:rsidRDefault="007675A0" w:rsidP="007675A0">
      <w:pPr>
        <w:rPr>
          <w:bCs/>
          <w:lang w:val="en-US"/>
        </w:rPr>
      </w:pPr>
      <w:r w:rsidRPr="00A60C47">
        <w:rPr>
          <w:bCs/>
          <w:lang w:val="en-US"/>
        </w:rPr>
        <w:t xml:space="preserve">Knell, M. and Stix, H. (2005). The income elasticity of money demand: </w:t>
      </w:r>
      <w:r w:rsidRPr="006917E1">
        <w:rPr>
          <w:bCs/>
          <w:lang w:val="en-US"/>
        </w:rPr>
        <w:t xml:space="preserve">a </w:t>
      </w:r>
      <w:r w:rsidR="009F25D4">
        <w:rPr>
          <w:bCs/>
          <w:lang w:val="en-US"/>
        </w:rPr>
        <w:t>Meta</w:t>
      </w:r>
      <w:r w:rsidRPr="006917E1">
        <w:rPr>
          <w:bCs/>
          <w:lang w:val="en-US"/>
        </w:rPr>
        <w:t xml:space="preserve">-analysis of empirical results. </w:t>
      </w:r>
      <w:proofErr w:type="gramStart"/>
      <w:r w:rsidRPr="006917E1">
        <w:rPr>
          <w:bCs/>
          <w:lang w:val="en-US"/>
        </w:rPr>
        <w:t>Journal of Economic Surveys 19</w:t>
      </w:r>
      <w:r w:rsidR="006917E1">
        <w:rPr>
          <w:bCs/>
          <w:lang w:val="en-US"/>
        </w:rPr>
        <w:t>.</w:t>
      </w:r>
      <w:proofErr w:type="gramEnd"/>
    </w:p>
    <w:p w:rsidR="007675A0" w:rsidRPr="006917E1" w:rsidRDefault="007675A0" w:rsidP="007675A0">
      <w:pPr>
        <w:rPr>
          <w:i/>
          <w:lang w:val="en-US"/>
        </w:rPr>
      </w:pPr>
      <w:proofErr w:type="gramStart"/>
      <w:r w:rsidRPr="00DA63D3">
        <w:rPr>
          <w:lang w:val="en-US"/>
        </w:rPr>
        <w:t>Light, R. and Pillemer, D. (1984).</w:t>
      </w:r>
      <w:proofErr w:type="gramEnd"/>
      <w:r w:rsidRPr="00DA63D3">
        <w:rPr>
          <w:lang w:val="en-US"/>
        </w:rPr>
        <w:t xml:space="preserve"> </w:t>
      </w:r>
      <w:proofErr w:type="gramStart"/>
      <w:r w:rsidRPr="00DA63D3">
        <w:rPr>
          <w:lang w:val="en-US"/>
        </w:rPr>
        <w:t>Summing Up: The Science of Reviewing Research</w:t>
      </w:r>
      <w:r w:rsidRPr="006917E1">
        <w:rPr>
          <w:i/>
          <w:lang w:val="en-US"/>
        </w:rPr>
        <w:t>.</w:t>
      </w:r>
      <w:proofErr w:type="gramEnd"/>
      <w:r w:rsidRPr="006917E1">
        <w:rPr>
          <w:i/>
          <w:lang w:val="en-US"/>
        </w:rPr>
        <w:t xml:space="preserve"> Cambridge: Harvard University Press.</w:t>
      </w:r>
    </w:p>
    <w:p w:rsidR="007675A0" w:rsidRPr="00A60C47" w:rsidRDefault="007675A0" w:rsidP="007675A0">
      <w:pPr>
        <w:rPr>
          <w:lang w:val="en-US"/>
        </w:rPr>
      </w:pPr>
      <w:r w:rsidRPr="008A1806">
        <w:rPr>
          <w:lang w:val="en-US"/>
        </w:rPr>
        <w:t>Rosenthal, R. (1979). The ‘file drawer problem’ and tolerance for null results.</w:t>
      </w:r>
      <w:r>
        <w:rPr>
          <w:lang w:val="en-US"/>
        </w:rPr>
        <w:t xml:space="preserve"> </w:t>
      </w:r>
      <w:proofErr w:type="gramStart"/>
      <w:r w:rsidRPr="006917E1">
        <w:rPr>
          <w:lang w:val="en-US"/>
        </w:rPr>
        <w:t>Psychological Bulletin</w:t>
      </w:r>
      <w:r w:rsidR="006917E1" w:rsidRPr="006917E1">
        <w:rPr>
          <w:lang w:val="en-US"/>
        </w:rPr>
        <w:t>.</w:t>
      </w:r>
      <w:proofErr w:type="gramEnd"/>
      <w:r w:rsidRPr="008A1806">
        <w:rPr>
          <w:lang w:val="en-US"/>
        </w:rPr>
        <w:t xml:space="preserve"> </w:t>
      </w:r>
    </w:p>
    <w:p w:rsidR="007675A0" w:rsidRPr="006917E1" w:rsidRDefault="007675A0" w:rsidP="007675A0">
      <w:pPr>
        <w:rPr>
          <w:bCs/>
          <w:iCs/>
          <w:lang w:val="en-US"/>
        </w:rPr>
      </w:pPr>
      <w:r w:rsidRPr="00FD67AD">
        <w:rPr>
          <w:bCs/>
          <w:lang w:val="en-US"/>
        </w:rPr>
        <w:t>Stanley, T.D., Jarrell, S.B.</w:t>
      </w:r>
      <w:r w:rsidRPr="00E40AB4">
        <w:rPr>
          <w:bCs/>
          <w:i/>
          <w:lang w:val="en-US"/>
        </w:rPr>
        <w:t xml:space="preserve"> (1990</w:t>
      </w:r>
      <w:r w:rsidRPr="008A1806">
        <w:rPr>
          <w:bCs/>
          <w:lang w:val="en-US"/>
        </w:rPr>
        <w:t xml:space="preserve">). </w:t>
      </w:r>
      <w:proofErr w:type="gramStart"/>
      <w:r w:rsidRPr="006917E1">
        <w:rPr>
          <w:bCs/>
          <w:lang w:val="en-US"/>
        </w:rPr>
        <w:t xml:space="preserve">A </w:t>
      </w:r>
      <w:r w:rsidR="009F25D4">
        <w:rPr>
          <w:bCs/>
          <w:lang w:val="en-US"/>
        </w:rPr>
        <w:t>Meta</w:t>
      </w:r>
      <w:r w:rsidRPr="006917E1">
        <w:rPr>
          <w:bCs/>
          <w:lang w:val="en-US"/>
        </w:rPr>
        <w:t>-Analysis of the Union-Nonunion Wage Gap.</w:t>
      </w:r>
      <w:proofErr w:type="gramEnd"/>
      <w:r w:rsidRPr="006917E1">
        <w:rPr>
          <w:bCs/>
          <w:lang w:val="en-US"/>
        </w:rPr>
        <w:t xml:space="preserve"> I</w:t>
      </w:r>
      <w:r w:rsidRPr="006917E1">
        <w:rPr>
          <w:bCs/>
          <w:iCs/>
          <w:lang w:val="en-US"/>
        </w:rPr>
        <w:t>ndustrial and Labor Relations Review 44: 54-67</w:t>
      </w:r>
      <w:r w:rsidR="006917E1">
        <w:rPr>
          <w:bCs/>
          <w:iCs/>
          <w:lang w:val="en-US"/>
        </w:rPr>
        <w:t>.</w:t>
      </w:r>
    </w:p>
    <w:p w:rsidR="007675A0" w:rsidRPr="008A1806" w:rsidRDefault="007675A0" w:rsidP="007675A0">
      <w:pPr>
        <w:rPr>
          <w:bCs/>
          <w:lang w:val="en-US"/>
        </w:rPr>
      </w:pPr>
      <w:r>
        <w:rPr>
          <w:bCs/>
          <w:iCs/>
          <w:lang w:val="en-US"/>
        </w:rPr>
        <w:t xml:space="preserve">Stanley, T.D. (2005). </w:t>
      </w:r>
      <w:proofErr w:type="gramStart"/>
      <w:r>
        <w:rPr>
          <w:bCs/>
          <w:iCs/>
          <w:lang w:val="en-US"/>
        </w:rPr>
        <w:t xml:space="preserve">Beyond </w:t>
      </w:r>
      <w:r w:rsidR="00671123">
        <w:rPr>
          <w:bCs/>
          <w:iCs/>
          <w:lang w:val="en-US"/>
        </w:rPr>
        <w:t>Publication Bias</w:t>
      </w:r>
      <w:r>
        <w:rPr>
          <w:bCs/>
          <w:iCs/>
          <w:lang w:val="en-US"/>
        </w:rPr>
        <w:t>.</w:t>
      </w:r>
      <w:proofErr w:type="gramEnd"/>
      <w:r>
        <w:rPr>
          <w:bCs/>
          <w:iCs/>
          <w:lang w:val="en-US"/>
        </w:rPr>
        <w:t xml:space="preserve"> </w:t>
      </w:r>
      <w:proofErr w:type="gramStart"/>
      <w:r w:rsidRPr="006917E1">
        <w:rPr>
          <w:bCs/>
          <w:iCs/>
          <w:lang w:val="en-US"/>
        </w:rPr>
        <w:t>Journal of economic surveys</w:t>
      </w:r>
      <w:r>
        <w:rPr>
          <w:bCs/>
          <w:i/>
          <w:iCs/>
          <w:lang w:val="en-US"/>
        </w:rPr>
        <w:t>.</w:t>
      </w:r>
      <w:proofErr w:type="gramEnd"/>
      <w:r>
        <w:rPr>
          <w:bCs/>
          <w:iCs/>
          <w:lang w:val="en-US"/>
        </w:rPr>
        <w:t xml:space="preserve"> 3: 309-345</w:t>
      </w:r>
      <w:r w:rsidR="006917E1">
        <w:rPr>
          <w:bCs/>
          <w:iCs/>
          <w:lang w:val="en-US"/>
        </w:rPr>
        <w:t>.</w:t>
      </w:r>
    </w:p>
    <w:p w:rsidR="00B16C09" w:rsidRDefault="007675A0" w:rsidP="007675A0">
      <w:pPr>
        <w:rPr>
          <w:lang w:val="en-US"/>
        </w:rPr>
      </w:pPr>
      <w:proofErr w:type="gramStart"/>
      <w:r w:rsidRPr="00BA420A">
        <w:rPr>
          <w:lang w:val="en-US"/>
        </w:rPr>
        <w:t>Stanley, T. D. and Jarrell, S. B. (1989).</w:t>
      </w:r>
      <w:proofErr w:type="gramEnd"/>
      <w:r w:rsidRPr="00BA420A">
        <w:rPr>
          <w:lang w:val="en-US"/>
        </w:rPr>
        <w:t xml:space="preserve"> </w:t>
      </w:r>
      <w:r w:rsidR="009F25D4">
        <w:rPr>
          <w:lang w:val="en-US"/>
        </w:rPr>
        <w:t>Meta</w:t>
      </w:r>
      <w:r w:rsidRPr="006917E1">
        <w:rPr>
          <w:lang w:val="en-US"/>
        </w:rPr>
        <w:t>-regression analysis: a quantitative method of literature surveys. Journal of Economic Surveys</w:t>
      </w:r>
      <w:r w:rsidRPr="00BA420A">
        <w:rPr>
          <w:lang w:val="en-US"/>
        </w:rPr>
        <w:t xml:space="preserve"> </w:t>
      </w:r>
      <w:r>
        <w:rPr>
          <w:lang w:val="en-US"/>
        </w:rPr>
        <w:t>3: 54–67</w:t>
      </w:r>
      <w:r w:rsidR="006917E1">
        <w:rPr>
          <w:lang w:val="en-US"/>
        </w:rPr>
        <w:t>.</w:t>
      </w:r>
    </w:p>
    <w:p w:rsidR="00B16C09" w:rsidRDefault="00B16C09">
      <w:pPr>
        <w:rPr>
          <w:lang w:val="en-US"/>
        </w:rPr>
      </w:pPr>
      <w:r>
        <w:rPr>
          <w:lang w:val="en-US"/>
        </w:rPr>
        <w:br w:type="page"/>
      </w:r>
    </w:p>
    <w:p w:rsidR="00B16C09" w:rsidRDefault="00B16C09">
      <w:pPr>
        <w:rPr>
          <w:b/>
          <w:lang w:val="en-US"/>
        </w:rPr>
      </w:pPr>
      <w:r w:rsidRPr="0084268B">
        <w:rPr>
          <w:b/>
          <w:lang w:val="en-US"/>
        </w:rPr>
        <w:lastRenderedPageBreak/>
        <w:t>Appendix I: Explanatory power</w:t>
      </w:r>
    </w:p>
    <w:tbl>
      <w:tblPr>
        <w:tblW w:w="6656" w:type="dxa"/>
        <w:jc w:val="center"/>
        <w:tblInd w:w="70" w:type="dxa"/>
        <w:tblCellMar>
          <w:left w:w="70" w:type="dxa"/>
          <w:right w:w="70" w:type="dxa"/>
        </w:tblCellMar>
        <w:tblLook w:val="04A0"/>
      </w:tblPr>
      <w:tblGrid>
        <w:gridCol w:w="620"/>
        <w:gridCol w:w="1028"/>
        <w:gridCol w:w="5008"/>
      </w:tblGrid>
      <w:tr w:rsidR="001E30D6" w:rsidRPr="009D4228" w:rsidTr="001E30D6">
        <w:trPr>
          <w:trHeight w:val="300"/>
          <w:jc w:val="center"/>
        </w:trPr>
        <w:tc>
          <w:tcPr>
            <w:tcW w:w="6656" w:type="dxa"/>
            <w:gridSpan w:val="3"/>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jc w:val="center"/>
              <w:rPr>
                <w:rFonts w:ascii="Calibri" w:eastAsia="Times New Roman" w:hAnsi="Calibri" w:cs="Calibri"/>
                <w:b/>
                <w:bCs/>
                <w:color w:val="000000"/>
                <w:lang w:val="en-US" w:eastAsia="nl-NL"/>
              </w:rPr>
            </w:pPr>
            <w:r w:rsidRPr="001E30D6">
              <w:rPr>
                <w:rFonts w:ascii="Calibri" w:eastAsia="Times New Roman" w:hAnsi="Calibri" w:cs="Calibri"/>
                <w:b/>
                <w:bCs/>
                <w:color w:val="000000"/>
                <w:lang w:val="en-US" w:eastAsia="nl-NL"/>
              </w:rPr>
              <w:t>Adj. R-square change, Dependent: Age coefficient, N:27</w:t>
            </w:r>
          </w:p>
        </w:tc>
      </w:tr>
      <w:tr w:rsidR="001E30D6" w:rsidRPr="001E30D6" w:rsidTr="001E30D6">
        <w:trPr>
          <w:trHeight w:val="315"/>
          <w:jc w:val="center"/>
        </w:trPr>
        <w:tc>
          <w:tcPr>
            <w:tcW w:w="620" w:type="dxa"/>
            <w:tcBorders>
              <w:top w:val="nil"/>
              <w:left w:val="nil"/>
              <w:bottom w:val="double" w:sz="6"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Rsqr</w:t>
            </w:r>
          </w:p>
        </w:tc>
        <w:tc>
          <w:tcPr>
            <w:tcW w:w="1028" w:type="dxa"/>
            <w:tcBorders>
              <w:top w:val="nil"/>
              <w:left w:val="nil"/>
              <w:bottom w:val="double" w:sz="6"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Change</w:t>
            </w:r>
          </w:p>
        </w:tc>
        <w:tc>
          <w:tcPr>
            <w:tcW w:w="5008" w:type="dxa"/>
            <w:tcBorders>
              <w:top w:val="nil"/>
              <w:left w:val="nil"/>
              <w:bottom w:val="double" w:sz="6"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Excluded variable</w:t>
            </w:r>
          </w:p>
        </w:tc>
      </w:tr>
      <w:tr w:rsidR="001E30D6" w:rsidRPr="001E30D6" w:rsidTr="001E30D6">
        <w:trPr>
          <w:trHeight w:val="315"/>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0,44</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None</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0,46</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0,02</w:t>
            </w:r>
          </w:p>
        </w:tc>
        <w:tc>
          <w:tcPr>
            <w:tcW w:w="5008" w:type="dxa"/>
            <w:tcBorders>
              <w:top w:val="nil"/>
              <w:left w:val="nil"/>
              <w:bottom w:val="nil"/>
              <w:right w:val="nil"/>
            </w:tcBorders>
            <w:shd w:val="clear" w:color="auto" w:fill="auto"/>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Internet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0,42</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-0,02</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Europe dummy</w:t>
            </w:r>
          </w:p>
        </w:tc>
      </w:tr>
      <w:tr w:rsidR="001E30D6" w:rsidRPr="009D4228"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0,44</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0,00</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val="en-US" w:eastAsia="nl-NL"/>
              </w:rPr>
            </w:pPr>
            <w:r w:rsidRPr="001E30D6">
              <w:rPr>
                <w:rFonts w:ascii="Calibri" w:eastAsia="Times New Roman" w:hAnsi="Calibri" w:cs="Calibri"/>
                <w:color w:val="000000"/>
                <w:lang w:val="en-US" w:eastAsia="nl-NL"/>
              </w:rPr>
              <w:t>Returns not market adjusted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0,47</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0,03</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More than 1 week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0,45</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0,01</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 xml:space="preserve">Exclude </w:t>
            </w:r>
            <w:r w:rsidR="00F60C96">
              <w:rPr>
                <w:rFonts w:ascii="Calibri" w:eastAsia="Times New Roman" w:hAnsi="Calibri" w:cs="Calibri"/>
                <w:color w:val="000000"/>
                <w:lang w:eastAsia="nl-NL"/>
              </w:rPr>
              <w:t>Best Efforts</w:t>
            </w:r>
            <w:r w:rsidRPr="001E30D6">
              <w:rPr>
                <w:rFonts w:ascii="Calibri" w:eastAsia="Times New Roman" w:hAnsi="Calibri" w:cs="Calibri"/>
                <w:color w:val="000000"/>
                <w:lang w:eastAsia="nl-NL"/>
              </w:rPr>
              <w:t xml:space="preserve">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0,27</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-0,18</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Exclude financials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0,39</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-0,06</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Exclude small firms dummy</w:t>
            </w:r>
          </w:p>
        </w:tc>
      </w:tr>
      <w:tr w:rsidR="001E30D6" w:rsidRPr="001E30D6" w:rsidTr="001E30D6">
        <w:trPr>
          <w:trHeight w:val="300"/>
          <w:jc w:val="center"/>
        </w:trPr>
        <w:tc>
          <w:tcPr>
            <w:tcW w:w="620" w:type="dxa"/>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0,33</w:t>
            </w:r>
          </w:p>
        </w:tc>
        <w:tc>
          <w:tcPr>
            <w:tcW w:w="1028" w:type="dxa"/>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-0,12</w:t>
            </w:r>
          </w:p>
        </w:tc>
        <w:tc>
          <w:tcPr>
            <w:tcW w:w="5008" w:type="dxa"/>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Excludes proceeds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 </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 </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 </w:t>
            </w:r>
          </w:p>
        </w:tc>
      </w:tr>
      <w:tr w:rsidR="001E30D6" w:rsidRPr="009D4228" w:rsidTr="001E30D6">
        <w:trPr>
          <w:trHeight w:val="315"/>
          <w:jc w:val="center"/>
        </w:trPr>
        <w:tc>
          <w:tcPr>
            <w:tcW w:w="6656" w:type="dxa"/>
            <w:gridSpan w:val="3"/>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jc w:val="center"/>
              <w:rPr>
                <w:rFonts w:ascii="Calibri" w:eastAsia="Times New Roman" w:hAnsi="Calibri" w:cs="Calibri"/>
                <w:b/>
                <w:bCs/>
                <w:color w:val="000000"/>
                <w:lang w:val="en-US" w:eastAsia="nl-NL"/>
              </w:rPr>
            </w:pPr>
            <w:r w:rsidRPr="001E30D6">
              <w:rPr>
                <w:rFonts w:ascii="Calibri" w:eastAsia="Times New Roman" w:hAnsi="Calibri" w:cs="Calibri"/>
                <w:b/>
                <w:bCs/>
                <w:color w:val="000000"/>
                <w:lang w:val="en-US" w:eastAsia="nl-NL"/>
              </w:rPr>
              <w:t>Adj. R-square change, Dependent: Proceeds coefficient, N:57</w:t>
            </w:r>
          </w:p>
        </w:tc>
      </w:tr>
      <w:tr w:rsidR="001E30D6" w:rsidRPr="001E30D6" w:rsidTr="001E30D6">
        <w:trPr>
          <w:trHeight w:val="330"/>
          <w:jc w:val="center"/>
        </w:trPr>
        <w:tc>
          <w:tcPr>
            <w:tcW w:w="620" w:type="dxa"/>
            <w:tcBorders>
              <w:top w:val="nil"/>
              <w:left w:val="nil"/>
              <w:bottom w:val="double" w:sz="6"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Rsqr</w:t>
            </w:r>
          </w:p>
        </w:tc>
        <w:tc>
          <w:tcPr>
            <w:tcW w:w="1028" w:type="dxa"/>
            <w:tcBorders>
              <w:top w:val="nil"/>
              <w:left w:val="nil"/>
              <w:bottom w:val="double" w:sz="6"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Change</w:t>
            </w:r>
          </w:p>
        </w:tc>
        <w:tc>
          <w:tcPr>
            <w:tcW w:w="5008" w:type="dxa"/>
            <w:tcBorders>
              <w:top w:val="nil"/>
              <w:left w:val="nil"/>
              <w:bottom w:val="double" w:sz="6"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Excluded variable</w:t>
            </w:r>
          </w:p>
        </w:tc>
      </w:tr>
      <w:tr w:rsidR="001E30D6" w:rsidRPr="001E30D6" w:rsidTr="001E30D6">
        <w:trPr>
          <w:trHeight w:val="315"/>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0,13</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None</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0,14</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0,01</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90's plus internet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0,15</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0,02</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2000's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0,11</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-0,02</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Europe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0,12</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-0,01</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Pacific dummy</w:t>
            </w:r>
          </w:p>
        </w:tc>
      </w:tr>
      <w:tr w:rsidR="001E30D6" w:rsidRPr="009D4228"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0,14</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0,01</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val="en-US" w:eastAsia="nl-NL"/>
              </w:rPr>
            </w:pPr>
            <w:r w:rsidRPr="001E30D6">
              <w:rPr>
                <w:rFonts w:ascii="Calibri" w:eastAsia="Times New Roman" w:hAnsi="Calibri" w:cs="Calibri"/>
                <w:color w:val="000000"/>
                <w:lang w:val="en-US" w:eastAsia="nl-NL"/>
              </w:rPr>
              <w:t>Returns not market adjusted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0,14</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0,01</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More than 1 week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0,09</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-0,04</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 xml:space="preserve">Exclude </w:t>
            </w:r>
            <w:r w:rsidR="00F60C96">
              <w:rPr>
                <w:rFonts w:ascii="Calibri" w:eastAsia="Times New Roman" w:hAnsi="Calibri" w:cs="Calibri"/>
                <w:color w:val="000000"/>
                <w:lang w:eastAsia="nl-NL"/>
              </w:rPr>
              <w:t>Best Efforts</w:t>
            </w:r>
            <w:r w:rsidRPr="001E30D6">
              <w:rPr>
                <w:rFonts w:ascii="Calibri" w:eastAsia="Times New Roman" w:hAnsi="Calibri" w:cs="Calibri"/>
                <w:color w:val="000000"/>
                <w:lang w:eastAsia="nl-NL"/>
              </w:rPr>
              <w:t xml:space="preserve">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0,00</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-0,13</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Exclude financials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0,15</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0,02</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Exclude small firms dummy</w:t>
            </w:r>
          </w:p>
        </w:tc>
      </w:tr>
      <w:tr w:rsidR="001E30D6" w:rsidRPr="001E30D6" w:rsidTr="001E30D6">
        <w:trPr>
          <w:trHeight w:val="300"/>
          <w:jc w:val="center"/>
        </w:trPr>
        <w:tc>
          <w:tcPr>
            <w:tcW w:w="620" w:type="dxa"/>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0,14</w:t>
            </w:r>
          </w:p>
        </w:tc>
        <w:tc>
          <w:tcPr>
            <w:tcW w:w="1028" w:type="dxa"/>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0,01</w:t>
            </w:r>
          </w:p>
        </w:tc>
        <w:tc>
          <w:tcPr>
            <w:tcW w:w="5008" w:type="dxa"/>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Excludes age dummy</w:t>
            </w:r>
          </w:p>
        </w:tc>
      </w:tr>
      <w:tr w:rsidR="001E30D6" w:rsidRPr="001E30D6" w:rsidTr="001E30D6">
        <w:trPr>
          <w:trHeight w:val="315"/>
          <w:jc w:val="center"/>
        </w:trPr>
        <w:tc>
          <w:tcPr>
            <w:tcW w:w="620" w:type="dxa"/>
            <w:tcBorders>
              <w:top w:val="nil"/>
              <w:left w:val="nil"/>
              <w:bottom w:val="nil"/>
              <w:right w:val="nil"/>
            </w:tcBorders>
            <w:shd w:val="clear" w:color="auto" w:fill="auto"/>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p>
        </w:tc>
        <w:tc>
          <w:tcPr>
            <w:tcW w:w="1028" w:type="dxa"/>
            <w:tcBorders>
              <w:top w:val="nil"/>
              <w:left w:val="nil"/>
              <w:bottom w:val="nil"/>
              <w:right w:val="nil"/>
            </w:tcBorders>
            <w:shd w:val="clear" w:color="auto" w:fill="auto"/>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p>
        </w:tc>
        <w:tc>
          <w:tcPr>
            <w:tcW w:w="5008" w:type="dxa"/>
            <w:tcBorders>
              <w:top w:val="nil"/>
              <w:left w:val="nil"/>
              <w:bottom w:val="nil"/>
              <w:right w:val="nil"/>
            </w:tcBorders>
            <w:shd w:val="clear" w:color="auto" w:fill="auto"/>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p>
        </w:tc>
      </w:tr>
      <w:tr w:rsidR="001E30D6" w:rsidRPr="009D4228" w:rsidTr="001E30D6">
        <w:trPr>
          <w:trHeight w:val="315"/>
          <w:jc w:val="center"/>
        </w:trPr>
        <w:tc>
          <w:tcPr>
            <w:tcW w:w="6656" w:type="dxa"/>
            <w:gridSpan w:val="3"/>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jc w:val="center"/>
              <w:rPr>
                <w:rFonts w:ascii="Calibri" w:eastAsia="Times New Roman" w:hAnsi="Calibri" w:cs="Calibri"/>
                <w:b/>
                <w:bCs/>
                <w:color w:val="000000"/>
                <w:lang w:val="en-US" w:eastAsia="nl-NL"/>
              </w:rPr>
            </w:pPr>
            <w:r w:rsidRPr="001E30D6">
              <w:rPr>
                <w:rFonts w:ascii="Calibri" w:eastAsia="Times New Roman" w:hAnsi="Calibri" w:cs="Calibri"/>
                <w:b/>
                <w:bCs/>
                <w:color w:val="000000"/>
                <w:lang w:val="en-US" w:eastAsia="nl-NL"/>
              </w:rPr>
              <w:t>Adj. R-square change, Dependent: Underwriter rank coefficient, N:49</w:t>
            </w:r>
          </w:p>
        </w:tc>
      </w:tr>
      <w:tr w:rsidR="001E30D6" w:rsidRPr="001E30D6" w:rsidTr="001E30D6">
        <w:trPr>
          <w:trHeight w:val="315"/>
          <w:jc w:val="center"/>
        </w:trPr>
        <w:tc>
          <w:tcPr>
            <w:tcW w:w="620" w:type="dxa"/>
            <w:tcBorders>
              <w:top w:val="nil"/>
              <w:left w:val="nil"/>
              <w:bottom w:val="double" w:sz="6"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Rsqr</w:t>
            </w:r>
          </w:p>
        </w:tc>
        <w:tc>
          <w:tcPr>
            <w:tcW w:w="1028" w:type="dxa"/>
            <w:tcBorders>
              <w:top w:val="nil"/>
              <w:left w:val="nil"/>
              <w:bottom w:val="double" w:sz="6"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Change</w:t>
            </w:r>
          </w:p>
        </w:tc>
        <w:tc>
          <w:tcPr>
            <w:tcW w:w="5008" w:type="dxa"/>
            <w:tcBorders>
              <w:top w:val="nil"/>
              <w:left w:val="nil"/>
              <w:bottom w:val="double" w:sz="6"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b/>
                <w:bCs/>
                <w:color w:val="000000"/>
                <w:lang w:eastAsia="nl-NL"/>
              </w:rPr>
            </w:pPr>
            <w:r w:rsidRPr="001E30D6">
              <w:rPr>
                <w:rFonts w:ascii="Calibri" w:eastAsia="Times New Roman" w:hAnsi="Calibri" w:cs="Calibri"/>
                <w:b/>
                <w:bCs/>
                <w:color w:val="000000"/>
                <w:lang w:eastAsia="nl-NL"/>
              </w:rPr>
              <w:t>Excluded variable</w:t>
            </w:r>
          </w:p>
        </w:tc>
      </w:tr>
      <w:tr w:rsidR="001E30D6" w:rsidRPr="001E30D6" w:rsidTr="001E30D6">
        <w:trPr>
          <w:trHeight w:val="315"/>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0,34</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None</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0,21</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-0,13</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90's plus internet dummy</w:t>
            </w:r>
          </w:p>
        </w:tc>
      </w:tr>
      <w:tr w:rsidR="001E30D6" w:rsidRPr="009D4228"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0,35</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0,01</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val="en-US" w:eastAsia="nl-NL"/>
              </w:rPr>
            </w:pPr>
            <w:r w:rsidRPr="001E30D6">
              <w:rPr>
                <w:rFonts w:ascii="Calibri" w:eastAsia="Times New Roman" w:hAnsi="Calibri" w:cs="Calibri"/>
                <w:color w:val="000000"/>
                <w:lang w:val="en-US" w:eastAsia="nl-NL"/>
              </w:rPr>
              <w:t>Returns not market adjusted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0,30</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-0,04</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More than 1 week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0,33</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-0,01</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 xml:space="preserve">Exclude </w:t>
            </w:r>
            <w:r w:rsidR="00F60C96">
              <w:rPr>
                <w:rFonts w:ascii="Calibri" w:eastAsia="Times New Roman" w:hAnsi="Calibri" w:cs="Calibri"/>
                <w:color w:val="000000"/>
                <w:lang w:eastAsia="nl-NL"/>
              </w:rPr>
              <w:t>Best Efforts</w:t>
            </w:r>
            <w:r w:rsidRPr="001E30D6">
              <w:rPr>
                <w:rFonts w:ascii="Calibri" w:eastAsia="Times New Roman" w:hAnsi="Calibri" w:cs="Calibri"/>
                <w:color w:val="000000"/>
                <w:lang w:eastAsia="nl-NL"/>
              </w:rPr>
              <w:t xml:space="preserve">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0,35</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0,02</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Exclude financials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0,23</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-0,11</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Exclude small firms dummy</w:t>
            </w:r>
          </w:p>
        </w:tc>
      </w:tr>
      <w:tr w:rsidR="001E30D6" w:rsidRPr="001E30D6" w:rsidTr="001E30D6">
        <w:trPr>
          <w:trHeight w:val="300"/>
          <w:jc w:val="center"/>
        </w:trPr>
        <w:tc>
          <w:tcPr>
            <w:tcW w:w="620"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0,33</w:t>
            </w:r>
          </w:p>
        </w:tc>
        <w:tc>
          <w:tcPr>
            <w:tcW w:w="102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0,00</w:t>
            </w:r>
          </w:p>
        </w:tc>
        <w:tc>
          <w:tcPr>
            <w:tcW w:w="5008" w:type="dxa"/>
            <w:tcBorders>
              <w:top w:val="nil"/>
              <w:left w:val="nil"/>
              <w:bottom w:val="nil"/>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Excludes proceeds dummy</w:t>
            </w:r>
          </w:p>
        </w:tc>
      </w:tr>
      <w:tr w:rsidR="001E30D6" w:rsidRPr="001E30D6" w:rsidTr="001E30D6">
        <w:trPr>
          <w:trHeight w:val="300"/>
          <w:jc w:val="center"/>
        </w:trPr>
        <w:tc>
          <w:tcPr>
            <w:tcW w:w="620" w:type="dxa"/>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0,25</w:t>
            </w:r>
          </w:p>
        </w:tc>
        <w:tc>
          <w:tcPr>
            <w:tcW w:w="1028" w:type="dxa"/>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-0,09</w:t>
            </w:r>
          </w:p>
        </w:tc>
        <w:tc>
          <w:tcPr>
            <w:tcW w:w="5008" w:type="dxa"/>
            <w:tcBorders>
              <w:top w:val="nil"/>
              <w:left w:val="nil"/>
              <w:bottom w:val="single" w:sz="4" w:space="0" w:color="auto"/>
              <w:right w:val="nil"/>
            </w:tcBorders>
            <w:shd w:val="clear" w:color="000000" w:fill="FFFFFF"/>
            <w:noWrap/>
            <w:vAlign w:val="bottom"/>
            <w:hideMark/>
          </w:tcPr>
          <w:p w:rsidR="001E30D6" w:rsidRPr="001E30D6" w:rsidRDefault="001E30D6" w:rsidP="001E30D6">
            <w:pPr>
              <w:spacing w:after="0" w:line="240" w:lineRule="auto"/>
              <w:rPr>
                <w:rFonts w:ascii="Calibri" w:eastAsia="Times New Roman" w:hAnsi="Calibri" w:cs="Calibri"/>
                <w:color w:val="000000"/>
                <w:lang w:eastAsia="nl-NL"/>
              </w:rPr>
            </w:pPr>
            <w:r w:rsidRPr="001E30D6">
              <w:rPr>
                <w:rFonts w:ascii="Calibri" w:eastAsia="Times New Roman" w:hAnsi="Calibri" w:cs="Calibri"/>
                <w:color w:val="000000"/>
                <w:lang w:eastAsia="nl-NL"/>
              </w:rPr>
              <w:t>Excludes age dummy</w:t>
            </w:r>
          </w:p>
        </w:tc>
      </w:tr>
    </w:tbl>
    <w:p w:rsidR="000267E7" w:rsidRPr="00B47318" w:rsidRDefault="009D56F5" w:rsidP="007210EF">
      <w:pPr>
        <w:jc w:val="both"/>
        <w:rPr>
          <w:sz w:val="18"/>
          <w:szCs w:val="18"/>
          <w:lang w:val="en-US"/>
        </w:rPr>
      </w:pPr>
      <w:r w:rsidRPr="00B47318">
        <w:rPr>
          <w:sz w:val="18"/>
          <w:szCs w:val="18"/>
          <w:lang w:val="en-US"/>
        </w:rPr>
        <w:t>Appendix I shows the prelim</w:t>
      </w:r>
      <w:r w:rsidR="00B47318">
        <w:rPr>
          <w:sz w:val="18"/>
          <w:szCs w:val="18"/>
          <w:lang w:val="en-US"/>
        </w:rPr>
        <w:t>in</w:t>
      </w:r>
      <w:r w:rsidRPr="00B47318">
        <w:rPr>
          <w:sz w:val="18"/>
          <w:szCs w:val="18"/>
          <w:lang w:val="en-US"/>
        </w:rPr>
        <w:t>ary test</w:t>
      </w:r>
      <w:r w:rsidR="00B47318">
        <w:rPr>
          <w:sz w:val="18"/>
          <w:szCs w:val="18"/>
          <w:lang w:val="en-US"/>
        </w:rPr>
        <w:t>s</w:t>
      </w:r>
      <w:r w:rsidRPr="00B47318">
        <w:rPr>
          <w:sz w:val="18"/>
          <w:szCs w:val="18"/>
          <w:lang w:val="en-US"/>
        </w:rPr>
        <w:t xml:space="preserve"> for explanatory power. The top row shows the adjusted r-square w</w:t>
      </w:r>
      <w:r w:rsidR="00B47318">
        <w:rPr>
          <w:sz w:val="18"/>
          <w:szCs w:val="18"/>
          <w:lang w:val="en-US"/>
        </w:rPr>
        <w:t>hen</w:t>
      </w:r>
      <w:r w:rsidRPr="00B47318">
        <w:rPr>
          <w:sz w:val="18"/>
          <w:szCs w:val="18"/>
          <w:lang w:val="en-US"/>
        </w:rPr>
        <w:t xml:space="preserve"> all dummy variables</w:t>
      </w:r>
      <w:r w:rsidR="00B47318">
        <w:rPr>
          <w:sz w:val="18"/>
          <w:szCs w:val="18"/>
          <w:lang w:val="en-US"/>
        </w:rPr>
        <w:t xml:space="preserve"> are </w:t>
      </w:r>
      <w:r w:rsidRPr="00B47318">
        <w:rPr>
          <w:sz w:val="18"/>
          <w:szCs w:val="18"/>
          <w:lang w:val="en-US"/>
        </w:rPr>
        <w:t xml:space="preserve">included. The other rows show the adjusted r-square and the difference </w:t>
      </w:r>
      <w:r w:rsidR="00B47318" w:rsidRPr="00B47318">
        <w:rPr>
          <w:sz w:val="18"/>
          <w:szCs w:val="18"/>
          <w:lang w:val="en-US"/>
        </w:rPr>
        <w:t>between the adjusted r-square in the top row, if one dummy is excluded. If the exclusion of a certain variable increases the adjusted r-square, the variable is excluded from the MRA.</w:t>
      </w:r>
    </w:p>
    <w:p w:rsidR="000267E7" w:rsidRPr="009D56F5" w:rsidRDefault="000267E7">
      <w:pPr>
        <w:rPr>
          <w:lang w:val="en-US"/>
        </w:rPr>
      </w:pPr>
      <w:r w:rsidRPr="009D56F5">
        <w:rPr>
          <w:lang w:val="en-US"/>
        </w:rPr>
        <w:br w:type="page"/>
      </w:r>
    </w:p>
    <w:p w:rsidR="000267E7" w:rsidRDefault="000267E7" w:rsidP="000267E7">
      <w:pPr>
        <w:rPr>
          <w:b/>
          <w:lang w:val="en-US"/>
        </w:rPr>
      </w:pPr>
      <w:r w:rsidRPr="0084268B">
        <w:rPr>
          <w:b/>
          <w:lang w:val="en-US"/>
        </w:rPr>
        <w:lastRenderedPageBreak/>
        <w:t xml:space="preserve">Appendix </w:t>
      </w:r>
      <w:r w:rsidR="00CC2D01">
        <w:rPr>
          <w:b/>
          <w:lang w:val="en-US"/>
        </w:rPr>
        <w:t>II: Standardized residual plot</w:t>
      </w:r>
    </w:p>
    <w:p w:rsidR="009D56F5" w:rsidRPr="009D56F5" w:rsidRDefault="009D56F5" w:rsidP="000267E7">
      <w:pPr>
        <w:rPr>
          <w:lang w:val="en-US"/>
        </w:rPr>
      </w:pPr>
      <w:r w:rsidRPr="009D56F5">
        <w:rPr>
          <w:lang w:val="en-US"/>
        </w:rPr>
        <w:t xml:space="preserve">Appendix II shows the standardized residuals on the X axis and the standardized predicted value on the Y axis. </w:t>
      </w:r>
      <w:r>
        <w:rPr>
          <w:lang w:val="en-US"/>
        </w:rPr>
        <w:t>If a certain pattern is observed, the MRAs could be prone to heteroscedasticty or non-linearity problems. Both the firm age and IPO proceeds MRAs do not show a pattern, the underwriter rank plot could be fitted with a downward sloping line. This is not a clear pattern, but the MRA could be prone to heteroscedasticty.</w:t>
      </w:r>
    </w:p>
    <w:p w:rsidR="00CC2D01" w:rsidRDefault="00631889" w:rsidP="000267E7">
      <w:pPr>
        <w:rPr>
          <w:b/>
          <w:lang w:val="en-US"/>
        </w:rPr>
      </w:pPr>
      <w:r>
        <w:rPr>
          <w:b/>
          <w:noProof/>
          <w:lang w:val="en-US"/>
        </w:rPr>
        <w:drawing>
          <wp:inline distT="0" distB="0" distL="0" distR="0">
            <wp:extent cx="5752465" cy="3657600"/>
            <wp:effectExtent l="19050" t="0" r="63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2465" cy="3657600"/>
                    </a:xfrm>
                    <a:prstGeom prst="rect">
                      <a:avLst/>
                    </a:prstGeom>
                    <a:noFill/>
                    <a:ln w="9525">
                      <a:noFill/>
                      <a:miter lim="800000"/>
                      <a:headEnd/>
                      <a:tailEnd/>
                    </a:ln>
                  </pic:spPr>
                </pic:pic>
              </a:graphicData>
            </a:graphic>
          </wp:inline>
        </w:drawing>
      </w:r>
    </w:p>
    <w:p w:rsidR="00631889" w:rsidRDefault="00631889" w:rsidP="000267E7">
      <w:pPr>
        <w:rPr>
          <w:b/>
          <w:lang w:val="en-US"/>
        </w:rPr>
      </w:pPr>
      <w:r>
        <w:rPr>
          <w:b/>
          <w:noProof/>
          <w:lang w:val="en-US"/>
        </w:rPr>
        <w:lastRenderedPageBreak/>
        <w:drawing>
          <wp:inline distT="0" distB="0" distL="0" distR="0">
            <wp:extent cx="5752465" cy="3657600"/>
            <wp:effectExtent l="19050" t="0" r="635"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752465" cy="3657600"/>
                    </a:xfrm>
                    <a:prstGeom prst="rect">
                      <a:avLst/>
                    </a:prstGeom>
                    <a:noFill/>
                    <a:ln w="9525">
                      <a:noFill/>
                      <a:miter lim="800000"/>
                      <a:headEnd/>
                      <a:tailEnd/>
                    </a:ln>
                  </pic:spPr>
                </pic:pic>
              </a:graphicData>
            </a:graphic>
          </wp:inline>
        </w:drawing>
      </w:r>
    </w:p>
    <w:p w:rsidR="00CC2D01" w:rsidRDefault="00CC2D01" w:rsidP="00D57252">
      <w:pPr>
        <w:rPr>
          <w:noProof/>
          <w:lang w:eastAsia="nl-NL"/>
        </w:rPr>
      </w:pPr>
    </w:p>
    <w:p w:rsidR="00CC2D01" w:rsidRPr="007F6AC9" w:rsidRDefault="009D56F5" w:rsidP="007210EF">
      <w:pPr>
        <w:jc w:val="both"/>
        <w:rPr>
          <w:noProof/>
          <w:lang w:val="en-US" w:eastAsia="nl-NL"/>
        </w:rPr>
      </w:pPr>
      <w:r>
        <w:rPr>
          <w:b/>
          <w:noProof/>
          <w:lang w:val="en-US"/>
        </w:rPr>
        <w:drawing>
          <wp:inline distT="0" distB="0" distL="0" distR="0">
            <wp:extent cx="5752465" cy="3625850"/>
            <wp:effectExtent l="19050" t="0" r="63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752465" cy="3625850"/>
                    </a:xfrm>
                    <a:prstGeom prst="rect">
                      <a:avLst/>
                    </a:prstGeom>
                    <a:noFill/>
                    <a:ln w="9525">
                      <a:noFill/>
                      <a:miter lim="800000"/>
                      <a:headEnd/>
                      <a:tailEnd/>
                    </a:ln>
                  </pic:spPr>
                </pic:pic>
              </a:graphicData>
            </a:graphic>
          </wp:inline>
        </w:drawing>
      </w:r>
      <w:r w:rsidRPr="009D56F5">
        <w:rPr>
          <w:sz w:val="18"/>
          <w:szCs w:val="18"/>
          <w:lang w:val="en-US"/>
        </w:rPr>
        <w:t>Appendix II shows the standardized residuals on the X axis and the standardized predicted value on the Y axis.</w:t>
      </w:r>
      <w:r w:rsidR="008E0DA0">
        <w:rPr>
          <w:sz w:val="18"/>
          <w:szCs w:val="18"/>
          <w:lang w:val="en-US"/>
        </w:rPr>
        <w:t xml:space="preserve"> The patterns of the first two figures do not show a trend. The third figure could be fitted with a negatively sloped line, indicating that the underwriter rank MRA could be prone to heteroscedasticity.</w:t>
      </w:r>
    </w:p>
    <w:p w:rsidR="008F31D4" w:rsidRPr="00B22626" w:rsidRDefault="008F31D4" w:rsidP="00D57252">
      <w:pPr>
        <w:rPr>
          <w:noProof/>
          <w:lang w:val="en-US" w:eastAsia="nl-NL"/>
        </w:rPr>
      </w:pPr>
    </w:p>
    <w:sectPr w:rsidR="008F31D4" w:rsidRPr="00B22626" w:rsidSect="0094274C">
      <w:headerReference w:type="default" r:id="rId13"/>
      <w:footerReference w:type="default" r:id="rId14"/>
      <w:pgSz w:w="11906" w:h="16838" w:code="9"/>
      <w:pgMar w:top="1418" w:right="1418" w:bottom="1418" w:left="1418" w:header="454" w:footer="283"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0CA" w:rsidRDefault="00BC10CA" w:rsidP="007675A0">
      <w:pPr>
        <w:spacing w:after="0" w:line="240" w:lineRule="auto"/>
      </w:pPr>
      <w:r>
        <w:separator/>
      </w:r>
    </w:p>
  </w:endnote>
  <w:endnote w:type="continuationSeparator" w:id="0">
    <w:p w:rsidR="00BC10CA" w:rsidRDefault="00BC10CA" w:rsidP="00767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28" w:rsidRPr="00F56015" w:rsidRDefault="001C6613">
    <w:pPr>
      <w:pStyle w:val="Footer"/>
    </w:pPr>
    <w:r w:rsidRPr="001C6613">
      <w:rPr>
        <w:color w:val="17365D" w:themeColor="text2" w:themeShade="BF"/>
        <w:lang w:val="nl-NL"/>
      </w:rPr>
      <w:pict>
        <v:shapetype id="_x0000_t32" coordsize="21600,21600" o:spt="32" o:oned="t" path="m,l21600,21600e" filled="f">
          <v:path arrowok="t" fillok="f" o:connecttype="none"/>
          <o:lock v:ext="edit" shapetype="t"/>
        </v:shapetype>
        <v:shape id="_x0000_s29711" type="#_x0000_t32" style="position:absolute;margin-left:-2.25pt;margin-top:-19.5pt;width:458.8pt;height:0;z-index:251658240" o:connectortype="straight"/>
      </w:pict>
    </w:r>
    <w:r w:rsidR="009D4228" w:rsidRPr="0094274C">
      <w:rPr>
        <w:color w:val="17365D" w:themeColor="text2" w:themeShade="BF"/>
        <w:lang w:val="nl-NL"/>
      </w:rPr>
      <w:t>B.J. Lustenhouwer</w:t>
    </w:r>
    <w:r w:rsidR="009D4228" w:rsidRPr="0094274C">
      <w:rPr>
        <w:color w:val="17365D" w:themeColor="text2" w:themeShade="BF"/>
        <w:lang w:val="nl-NL"/>
      </w:rPr>
      <w:ptab w:relativeTo="margin" w:alignment="center" w:leader="none"/>
    </w:r>
    <w:r w:rsidR="009D4228" w:rsidRPr="0094274C">
      <w:rPr>
        <w:color w:val="17365D" w:themeColor="text2" w:themeShade="BF"/>
        <w:lang w:val="nl-NL"/>
      </w:rPr>
      <w:t>IPO Underpricing: A Meta Analysis</w:t>
    </w:r>
    <w:r w:rsidR="009D4228" w:rsidRPr="0094274C">
      <w:rPr>
        <w:color w:val="17365D" w:themeColor="text2" w:themeShade="BF"/>
        <w:lang w:val="nl-NL"/>
      </w:rPr>
      <w:ptab w:relativeTo="margin" w:alignment="right" w:leader="none"/>
    </w:r>
    <w:r w:rsidRPr="0094274C">
      <w:rPr>
        <w:color w:val="17365D" w:themeColor="text2" w:themeShade="BF"/>
        <w:lang w:val="nl-NL"/>
      </w:rPr>
      <w:fldChar w:fldCharType="begin"/>
    </w:r>
    <w:r w:rsidR="009D4228" w:rsidRPr="0094274C">
      <w:rPr>
        <w:color w:val="17365D" w:themeColor="text2" w:themeShade="BF"/>
        <w:lang w:val="nl-NL"/>
      </w:rPr>
      <w:instrText xml:space="preserve"> PAGE   \* MERGEFORMAT </w:instrText>
    </w:r>
    <w:r w:rsidRPr="0094274C">
      <w:rPr>
        <w:color w:val="17365D" w:themeColor="text2" w:themeShade="BF"/>
        <w:lang w:val="nl-NL"/>
      </w:rPr>
      <w:fldChar w:fldCharType="separate"/>
    </w:r>
    <w:r w:rsidR="00C7115A">
      <w:rPr>
        <w:noProof/>
        <w:color w:val="17365D" w:themeColor="text2" w:themeShade="BF"/>
        <w:lang w:val="nl-NL"/>
      </w:rPr>
      <w:t>85</w:t>
    </w:r>
    <w:r w:rsidRPr="0094274C">
      <w:rPr>
        <w:color w:val="17365D" w:themeColor="text2" w:themeShade="BF"/>
        <w:lang w:val="nl-N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0CA" w:rsidRDefault="00BC10CA" w:rsidP="007675A0">
      <w:pPr>
        <w:spacing w:after="0" w:line="240" w:lineRule="auto"/>
      </w:pPr>
      <w:r>
        <w:separator/>
      </w:r>
    </w:p>
  </w:footnote>
  <w:footnote w:type="continuationSeparator" w:id="0">
    <w:p w:rsidR="00BC10CA" w:rsidRDefault="00BC10CA" w:rsidP="007675A0">
      <w:pPr>
        <w:spacing w:after="0" w:line="240" w:lineRule="auto"/>
      </w:pPr>
      <w:r>
        <w:continuationSeparator/>
      </w:r>
    </w:p>
  </w:footnote>
  <w:footnote w:id="1">
    <w:p w:rsidR="009D4228" w:rsidRPr="009D4228" w:rsidRDefault="009D4228">
      <w:pPr>
        <w:pStyle w:val="FootnoteText"/>
        <w:rPr>
          <w:lang w:val="en-US"/>
        </w:rPr>
      </w:pPr>
      <w:r>
        <w:rPr>
          <w:rStyle w:val="FootnoteReference"/>
        </w:rPr>
        <w:footnoteRef/>
      </w:r>
      <w:r w:rsidRPr="009D4228">
        <w:rPr>
          <w:lang w:val="en-US"/>
        </w:rPr>
        <w:t xml:space="preserve"> Note that the term misspecification bias is taken from Stanley and Jarrell (1989). </w:t>
      </w:r>
      <w:r>
        <w:rPr>
          <w:lang w:val="en-US"/>
        </w:rPr>
        <w:t>This papers is used in the methodology sector of this thesis</w:t>
      </w:r>
    </w:p>
  </w:footnote>
  <w:footnote w:id="2">
    <w:p w:rsidR="009D4228" w:rsidRPr="00F04494" w:rsidRDefault="009D4228" w:rsidP="007675A0">
      <w:pPr>
        <w:pStyle w:val="FootnoteText"/>
        <w:rPr>
          <w:sz w:val="18"/>
          <w:szCs w:val="18"/>
          <w:lang w:val="en-US"/>
        </w:rPr>
      </w:pPr>
      <w:r w:rsidRPr="00F04494">
        <w:rPr>
          <w:rStyle w:val="FootnoteReference"/>
          <w:sz w:val="18"/>
          <w:szCs w:val="18"/>
        </w:rPr>
        <w:footnoteRef/>
      </w:r>
      <w:r w:rsidRPr="00F04494">
        <w:rPr>
          <w:sz w:val="18"/>
          <w:szCs w:val="18"/>
          <w:lang w:val="en-US"/>
        </w:rPr>
        <w:t xml:space="preserve"> http://news.cnet.com/2100-1023-217913.html</w:t>
      </w:r>
    </w:p>
  </w:footnote>
  <w:footnote w:id="3">
    <w:p w:rsidR="009D4228" w:rsidRPr="00F04494" w:rsidRDefault="009D4228" w:rsidP="007675A0">
      <w:pPr>
        <w:pStyle w:val="FootnoteText"/>
        <w:rPr>
          <w:b/>
          <w:sz w:val="18"/>
          <w:szCs w:val="18"/>
          <w:lang w:val="en-US"/>
        </w:rPr>
      </w:pPr>
      <w:r w:rsidRPr="00F04494">
        <w:rPr>
          <w:rStyle w:val="FootnoteReference"/>
          <w:sz w:val="18"/>
          <w:szCs w:val="18"/>
        </w:rPr>
        <w:footnoteRef/>
      </w:r>
      <w:r w:rsidRPr="00F04494">
        <w:rPr>
          <w:sz w:val="18"/>
          <w:szCs w:val="18"/>
          <w:lang w:val="en-US"/>
        </w:rPr>
        <w:t xml:space="preserve"> </w:t>
      </w:r>
      <w:r w:rsidRPr="00F04494">
        <w:rPr>
          <w:bCs/>
          <w:sz w:val="18"/>
          <w:szCs w:val="18"/>
          <w:lang w:val="en-US"/>
        </w:rPr>
        <w:t>See the example of theGlobe.com above.</w:t>
      </w:r>
    </w:p>
  </w:footnote>
  <w:footnote w:id="4">
    <w:p w:rsidR="009D4228" w:rsidRPr="00F04494" w:rsidRDefault="009D4228" w:rsidP="007675A0">
      <w:pPr>
        <w:pStyle w:val="FootnoteText"/>
        <w:rPr>
          <w:sz w:val="18"/>
          <w:szCs w:val="18"/>
          <w:lang w:val="en-US"/>
        </w:rPr>
      </w:pPr>
      <w:r w:rsidRPr="00F04494">
        <w:rPr>
          <w:rStyle w:val="FootnoteReference"/>
          <w:sz w:val="18"/>
          <w:szCs w:val="18"/>
        </w:rPr>
        <w:footnoteRef/>
      </w:r>
      <w:r w:rsidRPr="00F04494">
        <w:rPr>
          <w:sz w:val="18"/>
          <w:szCs w:val="18"/>
          <w:lang w:val="en-US"/>
        </w:rPr>
        <w:t xml:space="preserve"> Due diligence is the process of checking all the information provided by the issuing firm.</w:t>
      </w:r>
    </w:p>
  </w:footnote>
  <w:footnote w:id="5">
    <w:p w:rsidR="009D4228" w:rsidRPr="00F04494" w:rsidRDefault="009D4228" w:rsidP="00C10DC2">
      <w:pPr>
        <w:pStyle w:val="FootnoteText"/>
        <w:rPr>
          <w:sz w:val="18"/>
          <w:szCs w:val="18"/>
          <w:lang w:val="en-US"/>
        </w:rPr>
      </w:pPr>
      <w:r w:rsidRPr="00F04494">
        <w:rPr>
          <w:rStyle w:val="FootnoteReference"/>
          <w:sz w:val="18"/>
          <w:szCs w:val="18"/>
        </w:rPr>
        <w:footnoteRef/>
      </w:r>
      <w:r w:rsidRPr="00F04494">
        <w:rPr>
          <w:sz w:val="18"/>
          <w:szCs w:val="18"/>
          <w:lang w:val="en-GB"/>
        </w:rPr>
        <w:t xml:space="preserve"> </w:t>
      </w:r>
      <w:r w:rsidRPr="00F04494">
        <w:rPr>
          <w:sz w:val="18"/>
          <w:szCs w:val="18"/>
          <w:lang w:val="en-US"/>
        </w:rPr>
        <w:t>Also called ‘’Red H</w:t>
      </w:r>
      <w:r w:rsidR="00CC5043">
        <w:rPr>
          <w:sz w:val="18"/>
          <w:szCs w:val="18"/>
          <w:lang w:val="en-US"/>
        </w:rPr>
        <w:t>erring, since on the front page</w:t>
      </w:r>
      <w:r w:rsidRPr="00F04494">
        <w:rPr>
          <w:sz w:val="18"/>
          <w:szCs w:val="18"/>
          <w:lang w:val="en-US"/>
        </w:rPr>
        <w:t xml:space="preserve"> some information has to be printed in red.</w:t>
      </w:r>
    </w:p>
  </w:footnote>
  <w:footnote w:id="6">
    <w:p w:rsidR="009D4228" w:rsidRPr="00F04494" w:rsidRDefault="009D4228" w:rsidP="00C10DC2">
      <w:pPr>
        <w:pStyle w:val="FootnoteText"/>
        <w:rPr>
          <w:sz w:val="18"/>
          <w:szCs w:val="18"/>
          <w:lang w:val="en-US"/>
        </w:rPr>
      </w:pPr>
      <w:r w:rsidRPr="00F04494">
        <w:rPr>
          <w:rStyle w:val="FootnoteReference"/>
          <w:sz w:val="18"/>
          <w:szCs w:val="18"/>
        </w:rPr>
        <w:footnoteRef/>
      </w:r>
      <w:r w:rsidRPr="00F04494">
        <w:rPr>
          <w:sz w:val="18"/>
          <w:szCs w:val="18"/>
          <w:lang w:val="en-US"/>
        </w:rPr>
        <w:t xml:space="preserve"> Such as discounted cash flow analysis and peer group analysis.</w:t>
      </w:r>
    </w:p>
  </w:footnote>
  <w:footnote w:id="7">
    <w:p w:rsidR="009D4228" w:rsidRPr="00FA2FB7" w:rsidRDefault="009D4228" w:rsidP="007675A0">
      <w:pPr>
        <w:pStyle w:val="FootnoteText"/>
        <w:rPr>
          <w:lang w:val="en-US"/>
        </w:rPr>
      </w:pPr>
      <w:r w:rsidRPr="00F04494">
        <w:rPr>
          <w:rStyle w:val="FootnoteReference"/>
          <w:sz w:val="18"/>
          <w:szCs w:val="18"/>
        </w:rPr>
        <w:footnoteRef/>
      </w:r>
      <w:r w:rsidRPr="00F04494">
        <w:rPr>
          <w:sz w:val="18"/>
          <w:szCs w:val="18"/>
          <w:lang w:val="en-US"/>
        </w:rPr>
        <w:t xml:space="preserve"> The Green Shoe Manufacturing Company was the first company that included this type of option in its IPO in 1963 (Ritter &amp; Welch, 2002)</w:t>
      </w:r>
    </w:p>
  </w:footnote>
  <w:footnote w:id="8">
    <w:p w:rsidR="009D4228" w:rsidRPr="00F04494" w:rsidRDefault="009D4228" w:rsidP="007675A0">
      <w:pPr>
        <w:pStyle w:val="FootnoteText"/>
        <w:rPr>
          <w:sz w:val="18"/>
          <w:szCs w:val="18"/>
          <w:lang w:val="en-US"/>
        </w:rPr>
      </w:pPr>
      <w:r w:rsidRPr="00F04494">
        <w:rPr>
          <w:rStyle w:val="FootnoteReference"/>
          <w:sz w:val="18"/>
          <w:szCs w:val="18"/>
        </w:rPr>
        <w:footnoteRef/>
      </w:r>
      <w:r w:rsidRPr="00F04494">
        <w:rPr>
          <w:sz w:val="18"/>
          <w:szCs w:val="18"/>
          <w:lang w:val="en-US"/>
        </w:rPr>
        <w:t xml:space="preserve"> Named after the auction method used in Dutch flower markets</w:t>
      </w:r>
    </w:p>
  </w:footnote>
  <w:footnote w:id="9">
    <w:p w:rsidR="009D4228" w:rsidRPr="00F04494" w:rsidRDefault="009D4228" w:rsidP="007675A0">
      <w:pPr>
        <w:pStyle w:val="FootnoteText"/>
        <w:rPr>
          <w:sz w:val="18"/>
          <w:szCs w:val="18"/>
          <w:lang w:val="en-US"/>
        </w:rPr>
      </w:pPr>
      <w:r w:rsidRPr="00F04494">
        <w:rPr>
          <w:rStyle w:val="FootnoteReference"/>
          <w:sz w:val="18"/>
          <w:szCs w:val="18"/>
        </w:rPr>
        <w:footnoteRef/>
      </w:r>
      <w:r w:rsidRPr="00F04494">
        <w:rPr>
          <w:sz w:val="18"/>
          <w:szCs w:val="18"/>
          <w:lang w:val="en-US"/>
        </w:rPr>
        <w:t xml:space="preserve"> For other types of IPO auctions see </w:t>
      </w:r>
      <w:r w:rsidRPr="00F04494">
        <w:rPr>
          <w:bCs/>
          <w:iCs/>
          <w:sz w:val="18"/>
          <w:szCs w:val="18"/>
          <w:lang w:val="en-US"/>
        </w:rPr>
        <w:t xml:space="preserve">Biais, B., and A. M. Faugeron-Crouzet, 2002, "IPO Auctions: English, </w:t>
      </w:r>
      <w:proofErr w:type="gramStart"/>
      <w:r w:rsidRPr="00F04494">
        <w:rPr>
          <w:bCs/>
          <w:iCs/>
          <w:sz w:val="18"/>
          <w:szCs w:val="18"/>
          <w:lang w:val="en-US"/>
        </w:rPr>
        <w:t>Dutch, ...</w:t>
      </w:r>
      <w:proofErr w:type="gramEnd"/>
      <w:r w:rsidRPr="00F04494">
        <w:rPr>
          <w:bCs/>
          <w:iCs/>
          <w:sz w:val="18"/>
          <w:szCs w:val="18"/>
          <w:lang w:val="en-US"/>
        </w:rPr>
        <w:t xml:space="preserve"> French, and Internet," Journal of Financial Intermediation, 11, 9-36.</w:t>
      </w:r>
    </w:p>
  </w:footnote>
  <w:footnote w:id="10">
    <w:p w:rsidR="009D4228" w:rsidRPr="00F04494" w:rsidRDefault="009D4228" w:rsidP="007675A0">
      <w:pPr>
        <w:pStyle w:val="FootnoteText"/>
        <w:rPr>
          <w:sz w:val="18"/>
          <w:szCs w:val="18"/>
          <w:lang w:val="en-US"/>
        </w:rPr>
      </w:pPr>
      <w:r w:rsidRPr="00F04494">
        <w:rPr>
          <w:rStyle w:val="FootnoteReference"/>
          <w:sz w:val="18"/>
          <w:szCs w:val="18"/>
        </w:rPr>
        <w:footnoteRef/>
      </w:r>
      <w:r w:rsidRPr="00F04494">
        <w:rPr>
          <w:sz w:val="18"/>
          <w:szCs w:val="18"/>
          <w:lang w:val="en-US"/>
        </w:rPr>
        <w:t xml:space="preserve"> Example taken from the WR Hambrecht website http://www.wrhambrecht.net/about/media/20050706wsj.pdf</w:t>
      </w:r>
    </w:p>
  </w:footnote>
  <w:footnote w:id="11">
    <w:p w:rsidR="009D4228" w:rsidRPr="00F04494" w:rsidRDefault="009D4228" w:rsidP="007675A0">
      <w:pPr>
        <w:pStyle w:val="FootnoteText"/>
        <w:rPr>
          <w:sz w:val="18"/>
          <w:szCs w:val="18"/>
          <w:lang w:val="en-US"/>
        </w:rPr>
      </w:pPr>
      <w:r w:rsidRPr="00F04494">
        <w:rPr>
          <w:rStyle w:val="FootnoteReference"/>
          <w:sz w:val="18"/>
          <w:szCs w:val="18"/>
        </w:rPr>
        <w:footnoteRef/>
      </w:r>
      <w:r w:rsidRPr="00F04494">
        <w:rPr>
          <w:sz w:val="18"/>
          <w:szCs w:val="18"/>
          <w:lang w:val="en-US"/>
        </w:rPr>
        <w:t xml:space="preserve"> Note that these figures present average underpricing across all IPOs, so although firm were underpriced on average, some IPOs were actually overpriced.</w:t>
      </w:r>
    </w:p>
  </w:footnote>
  <w:footnote w:id="12">
    <w:p w:rsidR="009D4228" w:rsidRPr="00A318F9" w:rsidRDefault="009D4228" w:rsidP="007675A0">
      <w:pPr>
        <w:pStyle w:val="FootnoteText"/>
        <w:rPr>
          <w:lang w:val="en-US"/>
        </w:rPr>
      </w:pPr>
      <w:r w:rsidRPr="00F04494">
        <w:rPr>
          <w:rStyle w:val="FootnoteReference"/>
          <w:sz w:val="18"/>
          <w:szCs w:val="18"/>
        </w:rPr>
        <w:footnoteRef/>
      </w:r>
      <w:r w:rsidRPr="00F04494">
        <w:rPr>
          <w:sz w:val="18"/>
          <w:szCs w:val="18"/>
          <w:lang w:val="en-US"/>
        </w:rPr>
        <w:t xml:space="preserve"> Most literature on IPOs assumes th</w:t>
      </w:r>
      <w:r w:rsidR="00CC5043">
        <w:rPr>
          <w:sz w:val="18"/>
          <w:szCs w:val="18"/>
          <w:lang w:val="en-US"/>
        </w:rPr>
        <w:t>at the market</w:t>
      </w:r>
      <w:r w:rsidR="00CC5043" w:rsidRPr="00F04494">
        <w:rPr>
          <w:sz w:val="18"/>
          <w:szCs w:val="18"/>
          <w:lang w:val="en-US"/>
        </w:rPr>
        <w:t xml:space="preserve"> price</w:t>
      </w:r>
      <w:r w:rsidRPr="00F04494">
        <w:rPr>
          <w:sz w:val="18"/>
          <w:szCs w:val="18"/>
          <w:lang w:val="en-US"/>
        </w:rPr>
        <w:t xml:space="preserve"> is the best estimate of the true value of the company. Therefore, the difference between the first day closing price and the offer price is called underpricing. However, some authors do not agree with this reasoning. For instance Purnanandam and Swaminathan (2004) state that if firms are valued using valuation techniques such as peer group analysis and compare the outcomes with the offer </w:t>
      </w:r>
      <w:proofErr w:type="gramStart"/>
      <w:r w:rsidRPr="00F04494">
        <w:rPr>
          <w:sz w:val="18"/>
          <w:szCs w:val="18"/>
          <w:lang w:val="en-US"/>
        </w:rPr>
        <w:t>price,</w:t>
      </w:r>
      <w:proofErr w:type="gramEnd"/>
      <w:r w:rsidR="00CC5043">
        <w:rPr>
          <w:sz w:val="18"/>
          <w:szCs w:val="18"/>
          <w:lang w:val="en-US"/>
        </w:rPr>
        <w:t xml:space="preserve"> IPO</w:t>
      </w:r>
      <w:r w:rsidRPr="00F04494">
        <w:rPr>
          <w:sz w:val="18"/>
          <w:szCs w:val="18"/>
          <w:lang w:val="en-US"/>
        </w:rPr>
        <w:t xml:space="preserve"> firms actually tend to be overpriced on average. Purnanandam and Swaminathan state that the market can be overoptimistic during an IPO and they believe that the long run </w:t>
      </w:r>
      <w:proofErr w:type="gramStart"/>
      <w:r w:rsidRPr="00F04494">
        <w:rPr>
          <w:sz w:val="18"/>
          <w:szCs w:val="18"/>
          <w:lang w:val="en-US"/>
        </w:rPr>
        <w:t>underperformance o</w:t>
      </w:r>
      <w:r>
        <w:rPr>
          <w:sz w:val="18"/>
          <w:szCs w:val="18"/>
          <w:lang w:val="en-US"/>
        </w:rPr>
        <w:t>f IPO stocks are</w:t>
      </w:r>
      <w:proofErr w:type="gramEnd"/>
      <w:r>
        <w:rPr>
          <w:sz w:val="18"/>
          <w:szCs w:val="18"/>
          <w:lang w:val="en-US"/>
        </w:rPr>
        <w:t xml:space="preserve"> proof of this.</w:t>
      </w:r>
      <w:r w:rsidRPr="00F04494">
        <w:rPr>
          <w:sz w:val="18"/>
          <w:szCs w:val="18"/>
          <w:lang w:val="en-US"/>
        </w:rPr>
        <w:t xml:space="preserve"> In this thesis I will adopt the general reasoning in IPO literature that IPOs are in fact underpriced on average and that the market price is in fact the best estimate of the fair value of the firm.</w:t>
      </w:r>
      <w:r>
        <w:rPr>
          <w:lang w:val="en-US"/>
        </w:rPr>
        <w:t xml:space="preserve"> </w:t>
      </w:r>
    </w:p>
  </w:footnote>
  <w:footnote w:id="13">
    <w:p w:rsidR="009D4228" w:rsidRPr="00F04494" w:rsidRDefault="009D4228" w:rsidP="00302FE0">
      <w:pPr>
        <w:pStyle w:val="FootnoteText"/>
        <w:rPr>
          <w:sz w:val="18"/>
          <w:szCs w:val="18"/>
          <w:lang w:val="en-US"/>
        </w:rPr>
      </w:pPr>
      <w:r w:rsidRPr="00F04494">
        <w:rPr>
          <w:rStyle w:val="FootnoteReference"/>
          <w:sz w:val="18"/>
          <w:szCs w:val="18"/>
        </w:rPr>
        <w:footnoteRef/>
      </w:r>
      <w:r w:rsidRPr="00F04494">
        <w:rPr>
          <w:sz w:val="18"/>
          <w:szCs w:val="18"/>
          <w:lang w:val="en-US"/>
        </w:rPr>
        <w:t xml:space="preserve"> Although oversubscription usually predicts underpricing, this does not always have to be the case (Levis, 1990).</w:t>
      </w:r>
    </w:p>
  </w:footnote>
  <w:footnote w:id="14">
    <w:p w:rsidR="009D4228" w:rsidRPr="00F04494" w:rsidRDefault="009D4228" w:rsidP="00302FE0">
      <w:pPr>
        <w:pStyle w:val="FootnoteText"/>
        <w:rPr>
          <w:sz w:val="18"/>
          <w:szCs w:val="18"/>
          <w:lang w:val="en-US"/>
        </w:rPr>
      </w:pPr>
      <w:r w:rsidRPr="00F04494">
        <w:rPr>
          <w:rStyle w:val="FootnoteReference"/>
          <w:sz w:val="18"/>
          <w:szCs w:val="18"/>
        </w:rPr>
        <w:footnoteRef/>
      </w:r>
      <w:r w:rsidRPr="00F04494">
        <w:rPr>
          <w:sz w:val="18"/>
          <w:szCs w:val="18"/>
          <w:lang w:val="en-US"/>
        </w:rPr>
        <w:t xml:space="preserve"> Investors have to indicate the number of uses of proceeds. If the proceeds are used for more goals, the IPO is assumed to be more risky.</w:t>
      </w:r>
    </w:p>
  </w:footnote>
  <w:footnote w:id="15">
    <w:p w:rsidR="009D4228" w:rsidRPr="000C44DF" w:rsidRDefault="009D4228" w:rsidP="00302FE0">
      <w:pPr>
        <w:pStyle w:val="FootnoteText"/>
        <w:rPr>
          <w:lang w:val="en-US"/>
        </w:rPr>
      </w:pPr>
      <w:r w:rsidRPr="00F04494">
        <w:rPr>
          <w:rStyle w:val="FootnoteReference"/>
          <w:sz w:val="18"/>
          <w:szCs w:val="18"/>
        </w:rPr>
        <w:footnoteRef/>
      </w:r>
      <w:r w:rsidR="00CC5043">
        <w:rPr>
          <w:sz w:val="18"/>
          <w:szCs w:val="18"/>
          <w:lang w:val="en-US"/>
        </w:rPr>
        <w:t xml:space="preserve"> Dunbar includes </w:t>
      </w:r>
      <w:proofErr w:type="gramStart"/>
      <w:r w:rsidR="00CC5043">
        <w:rPr>
          <w:sz w:val="18"/>
          <w:szCs w:val="18"/>
          <w:lang w:val="en-US"/>
        </w:rPr>
        <w:t xml:space="preserve">both </w:t>
      </w:r>
      <w:r w:rsidRPr="00F04494">
        <w:rPr>
          <w:sz w:val="18"/>
          <w:szCs w:val="18"/>
          <w:lang w:val="en-US"/>
        </w:rPr>
        <w:t xml:space="preserve"> gross</w:t>
      </w:r>
      <w:proofErr w:type="gramEnd"/>
      <w:r w:rsidRPr="00F04494">
        <w:rPr>
          <w:sz w:val="18"/>
          <w:szCs w:val="18"/>
          <w:lang w:val="en-US"/>
        </w:rPr>
        <w:t xml:space="preserve"> proceeds and LN(gross proceeds) because he assumes a U shaped relationship between offering size and first-day returns. His </w:t>
      </w:r>
      <w:r w:rsidR="00CC5043">
        <w:rPr>
          <w:sz w:val="18"/>
          <w:szCs w:val="18"/>
          <w:lang w:val="en-US"/>
        </w:rPr>
        <w:t>positive significant finding</w:t>
      </w:r>
      <w:r w:rsidRPr="00F04494">
        <w:rPr>
          <w:sz w:val="18"/>
          <w:szCs w:val="18"/>
          <w:lang w:val="en-US"/>
        </w:rPr>
        <w:t xml:space="preserve"> for gross proceeds and negative significant coefficient</w:t>
      </w:r>
      <w:r w:rsidR="00CC5043">
        <w:rPr>
          <w:sz w:val="18"/>
          <w:szCs w:val="18"/>
          <w:lang w:val="en-US"/>
        </w:rPr>
        <w:t xml:space="preserve"> for </w:t>
      </w:r>
      <w:proofErr w:type="gramStart"/>
      <w:r w:rsidR="00CC5043">
        <w:rPr>
          <w:sz w:val="18"/>
          <w:szCs w:val="18"/>
          <w:lang w:val="en-US"/>
        </w:rPr>
        <w:t>LN(</w:t>
      </w:r>
      <w:proofErr w:type="gramEnd"/>
      <w:r w:rsidR="00CC5043">
        <w:rPr>
          <w:sz w:val="18"/>
          <w:szCs w:val="18"/>
          <w:lang w:val="en-US"/>
        </w:rPr>
        <w:t xml:space="preserve">gross proceeds) supports </w:t>
      </w:r>
      <w:r w:rsidRPr="00F04494">
        <w:rPr>
          <w:sz w:val="18"/>
          <w:szCs w:val="18"/>
          <w:lang w:val="en-US"/>
        </w:rPr>
        <w:t>the U shaped relationship.</w:t>
      </w:r>
      <w:r>
        <w:rPr>
          <w:lang w:val="en-US"/>
        </w:rPr>
        <w:t xml:space="preserve"> </w:t>
      </w:r>
    </w:p>
  </w:footnote>
  <w:footnote w:id="16">
    <w:p w:rsidR="009D4228" w:rsidRPr="00F04494" w:rsidRDefault="009D4228" w:rsidP="00302FE0">
      <w:pPr>
        <w:pStyle w:val="FootnoteText"/>
        <w:rPr>
          <w:sz w:val="18"/>
          <w:szCs w:val="18"/>
          <w:lang w:val="en-US"/>
        </w:rPr>
      </w:pPr>
      <w:r w:rsidRPr="00F04494">
        <w:rPr>
          <w:rStyle w:val="FootnoteReference"/>
          <w:sz w:val="18"/>
          <w:szCs w:val="18"/>
        </w:rPr>
        <w:footnoteRef/>
      </w:r>
      <w:r w:rsidRPr="00F04494">
        <w:rPr>
          <w:sz w:val="18"/>
          <w:szCs w:val="18"/>
          <w:lang w:val="en-US"/>
        </w:rPr>
        <w:t xml:space="preserve"> Carter and Manaster assign a rank ranging from 0 to 9 to investment banks. A higher rank indicates more prestige. The authors base the ranks on tombstone announcements from the Investment Dealer's Digest and The Wall Street Journal.</w:t>
      </w:r>
    </w:p>
  </w:footnote>
  <w:footnote w:id="17">
    <w:p w:rsidR="009D4228" w:rsidRPr="00A318F9" w:rsidRDefault="009D4228" w:rsidP="00302FE0">
      <w:pPr>
        <w:pStyle w:val="FootnoteText"/>
        <w:rPr>
          <w:lang w:val="en-US"/>
        </w:rPr>
      </w:pPr>
      <w:r w:rsidRPr="00F04494">
        <w:rPr>
          <w:rStyle w:val="FootnoteReference"/>
          <w:sz w:val="18"/>
          <w:szCs w:val="18"/>
        </w:rPr>
        <w:footnoteRef/>
      </w:r>
      <w:r w:rsidRPr="00F04494">
        <w:rPr>
          <w:sz w:val="18"/>
          <w:szCs w:val="18"/>
          <w:lang w:val="en-US"/>
        </w:rPr>
        <w:t xml:space="preserve"> Signaling theory states that it is optimal for firms to issue equity when their shares are overvalued. Hence when a firm issues equity, it signals a high equity price. The market reacts to this with a price drop.  If this price drop is small, the information asymmetry between the firm and the market is assumed to be small (Myers &amp; Majluf, 1984)</w:t>
      </w:r>
    </w:p>
  </w:footnote>
  <w:footnote w:id="18">
    <w:p w:rsidR="009D4228" w:rsidRPr="00F04494" w:rsidRDefault="009D4228" w:rsidP="00302FE0">
      <w:pPr>
        <w:pStyle w:val="FootnoteText"/>
        <w:rPr>
          <w:sz w:val="18"/>
          <w:szCs w:val="18"/>
          <w:lang w:val="en-US"/>
        </w:rPr>
      </w:pPr>
      <w:r w:rsidRPr="00F04494">
        <w:rPr>
          <w:rStyle w:val="FootnoteReference"/>
          <w:sz w:val="18"/>
          <w:szCs w:val="18"/>
        </w:rPr>
        <w:footnoteRef/>
      </w:r>
      <w:r w:rsidRPr="00F04494">
        <w:rPr>
          <w:sz w:val="18"/>
          <w:szCs w:val="18"/>
          <w:lang w:val="en-US"/>
        </w:rPr>
        <w:t xml:space="preserve"> Due to tax regulations institutional investors hardly invest in the MPL market.</w:t>
      </w:r>
    </w:p>
  </w:footnote>
  <w:footnote w:id="19">
    <w:p w:rsidR="009D4228" w:rsidRPr="00A318F9" w:rsidRDefault="009D4228" w:rsidP="00302FE0">
      <w:pPr>
        <w:pStyle w:val="FootnoteText"/>
        <w:rPr>
          <w:lang w:val="en-US"/>
        </w:rPr>
      </w:pPr>
      <w:r w:rsidRPr="00F04494">
        <w:rPr>
          <w:rStyle w:val="FootnoteReference"/>
          <w:sz w:val="18"/>
          <w:szCs w:val="18"/>
        </w:rPr>
        <w:footnoteRef/>
      </w:r>
      <w:r w:rsidRPr="00F04494">
        <w:rPr>
          <w:sz w:val="18"/>
          <w:szCs w:val="18"/>
          <w:lang w:val="en-US"/>
        </w:rPr>
        <w:t xml:space="preserve"> Hanley and Wilhelm state that if institutional investors do have superior information, the data suggests that they are unable to benefit from it.</w:t>
      </w:r>
    </w:p>
  </w:footnote>
  <w:footnote w:id="20">
    <w:p w:rsidR="009D4228" w:rsidRPr="00F04494" w:rsidRDefault="009D4228" w:rsidP="00302FE0">
      <w:pPr>
        <w:pStyle w:val="FootnoteText"/>
        <w:rPr>
          <w:sz w:val="18"/>
          <w:szCs w:val="18"/>
          <w:lang w:val="en-US"/>
        </w:rPr>
      </w:pPr>
      <w:r w:rsidRPr="00F04494">
        <w:rPr>
          <w:rStyle w:val="FootnoteReference"/>
          <w:sz w:val="18"/>
          <w:szCs w:val="18"/>
        </w:rPr>
        <w:footnoteRef/>
      </w:r>
      <w:r w:rsidRPr="00F04494">
        <w:rPr>
          <w:sz w:val="18"/>
          <w:szCs w:val="18"/>
          <w:lang w:val="en-US"/>
        </w:rPr>
        <w:t xml:space="preserve"> Koh and Walter also use investor size as a proxy for investor type (informed or uninformed), since bigger investors are assumed to be better informed.</w:t>
      </w:r>
    </w:p>
  </w:footnote>
  <w:footnote w:id="21">
    <w:p w:rsidR="009D4228" w:rsidRPr="00A318F9" w:rsidRDefault="009D4228" w:rsidP="00302FE0">
      <w:pPr>
        <w:pStyle w:val="FootnoteText"/>
        <w:rPr>
          <w:lang w:val="en-US"/>
        </w:rPr>
      </w:pPr>
      <w:r w:rsidRPr="00F04494">
        <w:rPr>
          <w:rStyle w:val="FootnoteReference"/>
          <w:sz w:val="18"/>
          <w:szCs w:val="18"/>
        </w:rPr>
        <w:footnoteRef/>
      </w:r>
      <w:r w:rsidRPr="00F04494">
        <w:rPr>
          <w:sz w:val="18"/>
          <w:szCs w:val="18"/>
          <w:lang w:val="en-US"/>
        </w:rPr>
        <w:t xml:space="preserve"> Note that the 1 day risk free rate is almost equal to zero, so an uninformed strategy broke about even in Singapore.</w:t>
      </w:r>
    </w:p>
  </w:footnote>
  <w:footnote w:id="22">
    <w:p w:rsidR="009D4228" w:rsidRPr="00F04494" w:rsidRDefault="009D4228" w:rsidP="007675A0">
      <w:pPr>
        <w:pStyle w:val="FootnoteText"/>
        <w:rPr>
          <w:sz w:val="18"/>
          <w:szCs w:val="18"/>
          <w:lang w:val="en-US"/>
        </w:rPr>
      </w:pPr>
      <w:r w:rsidRPr="00F04494">
        <w:rPr>
          <w:rStyle w:val="FootnoteReference"/>
          <w:sz w:val="18"/>
          <w:szCs w:val="18"/>
        </w:rPr>
        <w:footnoteRef/>
      </w:r>
      <w:r w:rsidRPr="00F04494">
        <w:rPr>
          <w:sz w:val="18"/>
          <w:szCs w:val="18"/>
          <w:lang w:val="en-US"/>
        </w:rPr>
        <w:t xml:space="preserve"> Primary shares are newly issued shares and dilute the voting power of the existing shareholders. Secondary shares are existing shares. The offering of secondary shares should not be confused with seasoned equity offerings (SEOs).</w:t>
      </w:r>
      <w:r w:rsidRPr="00F04494">
        <w:rPr>
          <w:color w:val="FF0000"/>
          <w:sz w:val="18"/>
          <w:szCs w:val="18"/>
          <w:lang w:val="en-US"/>
        </w:rPr>
        <w:t xml:space="preserve"> </w:t>
      </w:r>
    </w:p>
  </w:footnote>
  <w:footnote w:id="23">
    <w:p w:rsidR="009D4228" w:rsidRPr="00F04494" w:rsidRDefault="009D4228">
      <w:pPr>
        <w:pStyle w:val="FootnoteText"/>
        <w:rPr>
          <w:sz w:val="18"/>
          <w:szCs w:val="18"/>
          <w:lang w:val="en-US"/>
        </w:rPr>
      </w:pPr>
      <w:r w:rsidRPr="00F04494">
        <w:rPr>
          <w:rStyle w:val="FootnoteReference"/>
          <w:sz w:val="18"/>
          <w:szCs w:val="18"/>
        </w:rPr>
        <w:footnoteRef/>
      </w:r>
      <w:r>
        <w:rPr>
          <w:sz w:val="18"/>
          <w:szCs w:val="18"/>
          <w:lang w:val="en-US"/>
        </w:rPr>
        <w:t xml:space="preserve"> The Institutional I</w:t>
      </w:r>
      <w:r w:rsidRPr="00F04494">
        <w:rPr>
          <w:sz w:val="18"/>
          <w:szCs w:val="18"/>
          <w:lang w:val="en-US"/>
        </w:rPr>
        <w:t>nvestor</w:t>
      </w:r>
      <w:r>
        <w:rPr>
          <w:sz w:val="18"/>
          <w:szCs w:val="18"/>
          <w:lang w:val="en-US"/>
        </w:rPr>
        <w:t>’</w:t>
      </w:r>
      <w:r w:rsidRPr="00F04494">
        <w:rPr>
          <w:sz w:val="18"/>
          <w:szCs w:val="18"/>
          <w:lang w:val="en-US"/>
        </w:rPr>
        <w:t>s an</w:t>
      </w:r>
      <w:r>
        <w:rPr>
          <w:sz w:val="18"/>
          <w:szCs w:val="18"/>
          <w:lang w:val="en-US"/>
        </w:rPr>
        <w:t>alyst rank is published in the Institutional I</w:t>
      </w:r>
      <w:r w:rsidRPr="00F04494">
        <w:rPr>
          <w:sz w:val="18"/>
          <w:szCs w:val="18"/>
          <w:lang w:val="en-US"/>
        </w:rPr>
        <w:t>nvestor magazine.</w:t>
      </w:r>
    </w:p>
  </w:footnote>
  <w:footnote w:id="24">
    <w:p w:rsidR="009D4228" w:rsidRPr="00A318F9" w:rsidRDefault="009D4228" w:rsidP="007675A0">
      <w:pPr>
        <w:pStyle w:val="FootnoteText"/>
        <w:rPr>
          <w:lang w:val="en-US"/>
        </w:rPr>
      </w:pPr>
      <w:r w:rsidRPr="00F04494">
        <w:rPr>
          <w:rStyle w:val="FootnoteReference"/>
          <w:sz w:val="18"/>
          <w:szCs w:val="18"/>
        </w:rPr>
        <w:footnoteRef/>
      </w:r>
      <w:r w:rsidRPr="00F04494">
        <w:rPr>
          <w:sz w:val="18"/>
          <w:szCs w:val="18"/>
          <w:lang w:val="en-US"/>
        </w:rPr>
        <w:t xml:space="preserve"> Top-Tier Dummy*Nineties Dummy, Top-Tier Dummy*Bubble Dummy and Top-Tier Dummy*Post Dummy</w:t>
      </w:r>
    </w:p>
  </w:footnote>
  <w:footnote w:id="25">
    <w:p w:rsidR="009D4228" w:rsidRPr="00F04494" w:rsidRDefault="009D4228" w:rsidP="007675A0">
      <w:pPr>
        <w:pStyle w:val="FootnoteText"/>
        <w:rPr>
          <w:sz w:val="18"/>
          <w:szCs w:val="18"/>
          <w:lang w:val="en-US"/>
        </w:rPr>
      </w:pPr>
      <w:r w:rsidRPr="00F04494">
        <w:rPr>
          <w:rStyle w:val="FootnoteReference"/>
          <w:sz w:val="18"/>
          <w:szCs w:val="18"/>
        </w:rPr>
        <w:footnoteRef/>
      </w:r>
      <w:r w:rsidRPr="00F04494">
        <w:rPr>
          <w:sz w:val="18"/>
          <w:szCs w:val="18"/>
          <w:lang w:val="en-US"/>
        </w:rPr>
        <w:t xml:space="preserve"> So overhang is the fraction of the firm’s equity not sold in the offering.</w:t>
      </w:r>
    </w:p>
  </w:footnote>
  <w:footnote w:id="26">
    <w:p w:rsidR="009D4228" w:rsidRPr="00A318F9" w:rsidRDefault="009D4228" w:rsidP="007675A0">
      <w:pPr>
        <w:pStyle w:val="FootnoteText"/>
        <w:rPr>
          <w:lang w:val="en-US"/>
        </w:rPr>
      </w:pPr>
      <w:r w:rsidRPr="00F04494">
        <w:rPr>
          <w:rStyle w:val="FootnoteReference"/>
          <w:sz w:val="18"/>
          <w:szCs w:val="18"/>
        </w:rPr>
        <w:footnoteRef/>
      </w:r>
      <w:r w:rsidRPr="00F04494">
        <w:rPr>
          <w:sz w:val="18"/>
          <w:szCs w:val="18"/>
          <w:lang w:val="en-US"/>
        </w:rPr>
        <w:t xml:space="preserve"> Nineties Dummy, Bubble Dummy, Post Bubble Dummy</w:t>
      </w:r>
    </w:p>
  </w:footnote>
  <w:footnote w:id="27">
    <w:p w:rsidR="009D4228" w:rsidRPr="00F04494" w:rsidRDefault="009D4228" w:rsidP="007675A0">
      <w:pPr>
        <w:pStyle w:val="FootnoteText"/>
        <w:rPr>
          <w:sz w:val="18"/>
          <w:szCs w:val="18"/>
          <w:lang w:val="en-US"/>
        </w:rPr>
      </w:pPr>
      <w:r w:rsidRPr="00F04494">
        <w:rPr>
          <w:rStyle w:val="FootnoteReference"/>
          <w:sz w:val="18"/>
          <w:szCs w:val="18"/>
        </w:rPr>
        <w:footnoteRef/>
      </w:r>
      <w:r w:rsidRPr="00F04494">
        <w:rPr>
          <w:sz w:val="18"/>
          <w:szCs w:val="18"/>
          <w:lang w:val="en-US"/>
        </w:rPr>
        <w:t xml:space="preserve"> Firms with a rank of 8 or 9 are dubbed top tier underwriter</w:t>
      </w:r>
    </w:p>
  </w:footnote>
  <w:footnote w:id="28">
    <w:p w:rsidR="009D4228" w:rsidRPr="00F04494" w:rsidRDefault="009D4228" w:rsidP="007675A0">
      <w:pPr>
        <w:pStyle w:val="FootnoteText"/>
        <w:jc w:val="both"/>
        <w:rPr>
          <w:sz w:val="18"/>
          <w:szCs w:val="18"/>
          <w:lang w:val="en-US"/>
        </w:rPr>
      </w:pPr>
      <w:r w:rsidRPr="00F04494">
        <w:rPr>
          <w:rStyle w:val="FootnoteReference"/>
          <w:sz w:val="18"/>
          <w:szCs w:val="18"/>
        </w:rPr>
        <w:footnoteRef/>
      </w:r>
      <w:r w:rsidRPr="00F04494">
        <w:rPr>
          <w:sz w:val="18"/>
          <w:szCs w:val="18"/>
          <w:lang w:val="en-US"/>
        </w:rPr>
        <w:t xml:space="preserve"> </w:t>
      </w:r>
      <w:r w:rsidRPr="00F04494">
        <w:rPr>
          <w:sz w:val="18"/>
          <w:szCs w:val="18"/>
          <w:lang w:val="en-GB"/>
        </w:rPr>
        <w:t xml:space="preserve">Lowry and Shu (2002) add to Drake and Vetsuypens that one could also argue that underwriters underprice IPOs more if they sense the possibility of a lawsuit and hence sued IPOs could be underpriced more than similar non sued IPOs. </w:t>
      </w:r>
    </w:p>
  </w:footnote>
  <w:footnote w:id="29">
    <w:p w:rsidR="009D4228" w:rsidRPr="00F04494" w:rsidRDefault="009D4228" w:rsidP="007675A0">
      <w:pPr>
        <w:pStyle w:val="FootnoteText"/>
        <w:rPr>
          <w:sz w:val="18"/>
          <w:szCs w:val="18"/>
          <w:lang w:val="en-US"/>
        </w:rPr>
      </w:pPr>
      <w:r w:rsidRPr="00F04494">
        <w:rPr>
          <w:rStyle w:val="FootnoteReference"/>
          <w:sz w:val="18"/>
          <w:szCs w:val="18"/>
        </w:rPr>
        <w:footnoteRef/>
      </w:r>
      <w:r w:rsidRPr="00F04494">
        <w:rPr>
          <w:sz w:val="18"/>
          <w:szCs w:val="18"/>
          <w:lang w:val="en-US"/>
        </w:rPr>
        <w:t xml:space="preserve"> Note that the evidence found by </w:t>
      </w:r>
      <w:r w:rsidRPr="00F04494">
        <w:rPr>
          <w:sz w:val="18"/>
          <w:szCs w:val="18"/>
          <w:lang w:val="en-GB"/>
        </w:rPr>
        <w:t xml:space="preserve">Drake and Vetsuypens is also inconsistent with the statement made by Lowry and Shu, who mentioned a possible positive relation between the probability of getting sued and IPO underpricing. </w:t>
      </w:r>
    </w:p>
  </w:footnote>
  <w:footnote w:id="30">
    <w:p w:rsidR="009D4228" w:rsidRPr="00A318F9" w:rsidRDefault="009D4228" w:rsidP="007675A0">
      <w:pPr>
        <w:pStyle w:val="FootnoteText"/>
        <w:rPr>
          <w:lang w:val="en-US"/>
        </w:rPr>
      </w:pPr>
      <w:r w:rsidRPr="00F04494">
        <w:rPr>
          <w:rStyle w:val="FootnoteReference"/>
          <w:sz w:val="18"/>
          <w:szCs w:val="18"/>
        </w:rPr>
        <w:footnoteRef/>
      </w:r>
      <w:r w:rsidRPr="00F04494">
        <w:rPr>
          <w:sz w:val="18"/>
          <w:szCs w:val="18"/>
          <w:lang w:val="en-US"/>
        </w:rPr>
        <w:t xml:space="preserve"> Booth and Chua (1996) link underpricing to liquidity by stating that underpricing allows investment banks to allocate shares to small investors. This way the shares are widely dispersed and this lead</w:t>
      </w:r>
      <w:r w:rsidR="00835DB9">
        <w:rPr>
          <w:sz w:val="18"/>
          <w:szCs w:val="18"/>
          <w:lang w:val="en-US"/>
        </w:rPr>
        <w:t>s</w:t>
      </w:r>
      <w:r w:rsidRPr="00F04494">
        <w:rPr>
          <w:sz w:val="18"/>
          <w:szCs w:val="18"/>
          <w:lang w:val="en-US"/>
        </w:rPr>
        <w:t xml:space="preserve"> to more post IPO trading.</w:t>
      </w:r>
      <w:r>
        <w:rPr>
          <w:lang w:val="en-US"/>
        </w:rPr>
        <w:t xml:space="preserve"> </w:t>
      </w:r>
    </w:p>
  </w:footnote>
  <w:footnote w:id="31">
    <w:p w:rsidR="009D4228" w:rsidRPr="00F04494" w:rsidRDefault="009D4228">
      <w:pPr>
        <w:pStyle w:val="FootnoteText"/>
        <w:rPr>
          <w:sz w:val="18"/>
          <w:szCs w:val="18"/>
          <w:lang w:val="en-US"/>
        </w:rPr>
      </w:pPr>
      <w:r w:rsidRPr="00F04494">
        <w:rPr>
          <w:rStyle w:val="FootnoteReference"/>
          <w:sz w:val="18"/>
          <w:szCs w:val="18"/>
        </w:rPr>
        <w:footnoteRef/>
      </w:r>
      <w:r w:rsidRPr="00F04494">
        <w:rPr>
          <w:sz w:val="18"/>
          <w:szCs w:val="18"/>
          <w:lang w:val="en-US"/>
        </w:rPr>
        <w:t xml:space="preserve"> In the remainder of</w:t>
      </w:r>
      <w:r w:rsidR="00263BEC">
        <w:rPr>
          <w:sz w:val="18"/>
          <w:szCs w:val="18"/>
          <w:lang w:val="en-US"/>
        </w:rPr>
        <w:t xml:space="preserve"> this thesis I will refer to eq</w:t>
      </w:r>
      <w:r w:rsidRPr="00F04494">
        <w:rPr>
          <w:sz w:val="18"/>
          <w:szCs w:val="18"/>
          <w:lang w:val="en-US"/>
        </w:rPr>
        <w:t>uation 1 as the original regression in order to differentiate it from the Meta regression equation.</w:t>
      </w:r>
    </w:p>
  </w:footnote>
  <w:footnote w:id="32">
    <w:p w:rsidR="009D4228" w:rsidRPr="00F04494" w:rsidRDefault="009D4228" w:rsidP="00BB06C6">
      <w:pPr>
        <w:pStyle w:val="FootnoteText"/>
        <w:rPr>
          <w:sz w:val="18"/>
          <w:szCs w:val="18"/>
          <w:lang w:val="en-US"/>
        </w:rPr>
      </w:pPr>
      <w:r w:rsidRPr="00F04494">
        <w:rPr>
          <w:rStyle w:val="FootnoteReference"/>
          <w:sz w:val="18"/>
          <w:szCs w:val="18"/>
        </w:rPr>
        <w:footnoteRef/>
      </w:r>
      <w:r w:rsidRPr="00F04494">
        <w:rPr>
          <w:sz w:val="18"/>
          <w:szCs w:val="18"/>
          <w:lang w:val="en-US"/>
        </w:rPr>
        <w:t xml:space="preserve"> Authors differ in the definition of the underpricing (dependent) variable in the original regressions. Some authors included one percent underpricing as 1.00 and others use 0.01. In order to make the coefficients comparable, some coefficients were divided by 100.</w:t>
      </w:r>
    </w:p>
  </w:footnote>
  <w:footnote w:id="33">
    <w:p w:rsidR="009D4228" w:rsidRPr="00F04494" w:rsidRDefault="009D4228">
      <w:pPr>
        <w:pStyle w:val="FootnoteText"/>
        <w:rPr>
          <w:sz w:val="18"/>
          <w:szCs w:val="18"/>
          <w:lang w:val="en-US"/>
        </w:rPr>
      </w:pPr>
      <w:r w:rsidRPr="00F04494">
        <w:rPr>
          <w:rStyle w:val="FootnoteReference"/>
          <w:sz w:val="18"/>
          <w:szCs w:val="18"/>
        </w:rPr>
        <w:footnoteRef/>
      </w:r>
      <w:r w:rsidRPr="00F04494">
        <w:rPr>
          <w:sz w:val="18"/>
          <w:szCs w:val="18"/>
          <w:lang w:val="en-US"/>
        </w:rPr>
        <w:t xml:space="preserve"> Note that adding the significant findings for the reported coefficients is somewhat arbitrary. The coefficients that use log or LN describe an exponential relationship between age and underpricing, while the untransformed variable describes a linear relationship. Therefore, the added numbers do not say anything about the form of the relationship, but only the general consensus that age and underpricing are in fact negatively related. </w:t>
      </w:r>
    </w:p>
  </w:footnote>
  <w:footnote w:id="34">
    <w:p w:rsidR="009D4228" w:rsidRPr="00F04494" w:rsidRDefault="009D4228">
      <w:pPr>
        <w:pStyle w:val="FootnoteText"/>
        <w:rPr>
          <w:sz w:val="18"/>
          <w:szCs w:val="18"/>
          <w:lang w:val="en-US"/>
        </w:rPr>
      </w:pPr>
      <w:r w:rsidRPr="00F04494">
        <w:rPr>
          <w:rStyle w:val="FootnoteReference"/>
          <w:sz w:val="18"/>
          <w:szCs w:val="18"/>
        </w:rPr>
        <w:footnoteRef/>
      </w:r>
      <w:r w:rsidRPr="00F04494">
        <w:rPr>
          <w:sz w:val="18"/>
          <w:szCs w:val="18"/>
          <w:lang w:val="en-US"/>
        </w:rPr>
        <w:t xml:space="preserve"> Therefore these dummies are represented in the constant</w:t>
      </w:r>
    </w:p>
  </w:footnote>
  <w:footnote w:id="35">
    <w:p w:rsidR="00D320D0" w:rsidRPr="00D320D0" w:rsidRDefault="00D320D0">
      <w:pPr>
        <w:pStyle w:val="FootnoteText"/>
        <w:rPr>
          <w:lang w:val="en-US"/>
        </w:rPr>
      </w:pPr>
      <w:r>
        <w:rPr>
          <w:rStyle w:val="FootnoteReference"/>
        </w:rPr>
        <w:footnoteRef/>
      </w:r>
      <w:r w:rsidRPr="00D320D0">
        <w:rPr>
          <w:lang w:val="en-US"/>
        </w:rPr>
        <w:t xml:space="preserve"> </w:t>
      </w:r>
      <w:r>
        <w:rPr>
          <w:sz w:val="18"/>
          <w:szCs w:val="18"/>
          <w:lang w:val="en-US"/>
        </w:rPr>
        <w:t>Note that adding the</w:t>
      </w:r>
      <w:r w:rsidRPr="00F04494">
        <w:rPr>
          <w:sz w:val="18"/>
          <w:szCs w:val="18"/>
          <w:lang w:val="en-US"/>
        </w:rPr>
        <w:t xml:space="preserve"> findings for the reported coefficients is somewhat arbitrary. </w:t>
      </w:r>
      <w:r>
        <w:rPr>
          <w:sz w:val="18"/>
          <w:szCs w:val="18"/>
          <w:lang w:val="en-US"/>
        </w:rPr>
        <w:t xml:space="preserve">The different measurements of underwriter reputation describe different types of relations between underwriter reputation and underpricing. </w:t>
      </w:r>
      <w:r w:rsidRPr="00F04494">
        <w:rPr>
          <w:sz w:val="18"/>
          <w:szCs w:val="18"/>
          <w:lang w:val="en-US"/>
        </w:rPr>
        <w:t xml:space="preserve">Therefore, the added numbers do not say anything about the form of the relationship, but only </w:t>
      </w:r>
      <w:r>
        <w:rPr>
          <w:sz w:val="18"/>
          <w:szCs w:val="18"/>
          <w:lang w:val="en-US"/>
        </w:rPr>
        <w:t xml:space="preserve">describe </w:t>
      </w:r>
      <w:r w:rsidRPr="00F04494">
        <w:rPr>
          <w:sz w:val="18"/>
          <w:szCs w:val="18"/>
          <w:lang w:val="en-US"/>
        </w:rPr>
        <w:t xml:space="preserve">the general </w:t>
      </w:r>
      <w:r>
        <w:rPr>
          <w:sz w:val="18"/>
          <w:szCs w:val="18"/>
          <w:lang w:val="en-US"/>
        </w:rPr>
        <w:t>picture given by the literature.</w:t>
      </w:r>
    </w:p>
  </w:footnote>
  <w:footnote w:id="36">
    <w:p w:rsidR="009D4228" w:rsidRPr="00F04494" w:rsidRDefault="009D4228" w:rsidP="00293CC3">
      <w:pPr>
        <w:pStyle w:val="FootnoteText"/>
        <w:rPr>
          <w:sz w:val="18"/>
          <w:szCs w:val="18"/>
          <w:lang w:val="en-US"/>
        </w:rPr>
      </w:pPr>
      <w:r w:rsidRPr="00F04494">
        <w:rPr>
          <w:rStyle w:val="FootnoteReference"/>
          <w:sz w:val="18"/>
          <w:szCs w:val="18"/>
        </w:rPr>
        <w:footnoteRef/>
      </w:r>
      <w:r w:rsidRPr="00F04494">
        <w:rPr>
          <w:sz w:val="18"/>
          <w:szCs w:val="18"/>
          <w:lang w:val="en-US"/>
        </w:rPr>
        <w:t xml:space="preserve"> The type 1 error indicates that the studies with the correct conclusions are not published.</w:t>
      </w:r>
    </w:p>
  </w:footnote>
  <w:footnote w:id="37">
    <w:p w:rsidR="009D4228" w:rsidRPr="00A932F1" w:rsidRDefault="009D4228">
      <w:pPr>
        <w:pStyle w:val="FootnoteText"/>
        <w:rPr>
          <w:lang w:val="en-US"/>
        </w:rPr>
      </w:pPr>
      <w:r w:rsidRPr="00A932F1">
        <w:rPr>
          <w:rStyle w:val="FootnoteReference"/>
          <w:sz w:val="18"/>
          <w:szCs w:val="18"/>
        </w:rPr>
        <w:footnoteRef/>
      </w:r>
      <w:r w:rsidRPr="00A932F1">
        <w:rPr>
          <w:sz w:val="18"/>
          <w:szCs w:val="18"/>
          <w:lang w:val="en-US"/>
        </w:rPr>
        <w:t xml:space="preserve"> So a positive significant value for </w:t>
      </w:r>
      <m:oMath>
        <m:sSub>
          <m:sSubPr>
            <m:ctrlPr>
              <w:rPr>
                <w:rFonts w:ascii="Cambria Math" w:hAnsi="Cambria Math"/>
                <w:i/>
                <w:sz w:val="18"/>
                <w:szCs w:val="18"/>
                <w:lang w:val="en-US"/>
              </w:rPr>
            </m:ctrlPr>
          </m:sSubPr>
          <m:e>
            <m:r>
              <w:rPr>
                <w:rFonts w:ascii="Cambria Math" w:hAnsi="Cambria Math"/>
                <w:sz w:val="18"/>
                <w:szCs w:val="18"/>
                <w:lang w:val="en-US"/>
              </w:rPr>
              <m:t>α</m:t>
            </m:r>
          </m:e>
          <m:sub>
            <m:r>
              <w:rPr>
                <w:rFonts w:ascii="Cambria Math" w:hAnsi="Cambria Math"/>
                <w:sz w:val="18"/>
                <w:szCs w:val="18"/>
                <w:lang w:val="en-US"/>
              </w:rPr>
              <m:t>2</m:t>
            </m:r>
          </m:sub>
        </m:sSub>
      </m:oMath>
      <w:r w:rsidRPr="00A932F1">
        <w:rPr>
          <w:sz w:val="18"/>
          <w:szCs w:val="18"/>
          <w:lang w:val="en-US"/>
        </w:rPr>
        <w:t xml:space="preserve"> provides evidence for H4b</w:t>
      </w:r>
      <w:r>
        <w:rPr>
          <w:lang w:val="en-US"/>
        </w:rPr>
        <w:t>.</w:t>
      </w:r>
    </w:p>
  </w:footnote>
  <w:footnote w:id="38">
    <w:p w:rsidR="009D4228" w:rsidRPr="00F04494" w:rsidRDefault="009D4228" w:rsidP="007504AF">
      <w:pPr>
        <w:pStyle w:val="FootnoteText"/>
        <w:rPr>
          <w:sz w:val="18"/>
          <w:szCs w:val="18"/>
          <w:lang w:val="en-US"/>
        </w:rPr>
      </w:pPr>
      <w:r w:rsidRPr="00F04494">
        <w:rPr>
          <w:rStyle w:val="FootnoteReference"/>
          <w:sz w:val="18"/>
          <w:szCs w:val="18"/>
        </w:rPr>
        <w:footnoteRef/>
      </w:r>
      <w:r w:rsidRPr="00F04494">
        <w:rPr>
          <w:sz w:val="18"/>
          <w:szCs w:val="18"/>
          <w:lang w:val="en-US"/>
        </w:rPr>
        <w:t xml:space="preserve"> On the 5% significance level</w:t>
      </w:r>
    </w:p>
  </w:footnote>
  <w:footnote w:id="39">
    <w:p w:rsidR="009D4228" w:rsidRPr="00F01B17" w:rsidRDefault="009D4228">
      <w:pPr>
        <w:pStyle w:val="FootnoteText"/>
        <w:rPr>
          <w:lang w:val="en-US"/>
        </w:rPr>
      </w:pPr>
      <w:r w:rsidRPr="00F04494">
        <w:rPr>
          <w:rStyle w:val="FootnoteReference"/>
          <w:sz w:val="18"/>
          <w:szCs w:val="18"/>
        </w:rPr>
        <w:footnoteRef/>
      </w:r>
      <w:r w:rsidRPr="00F04494">
        <w:rPr>
          <w:sz w:val="18"/>
          <w:szCs w:val="18"/>
          <w:lang w:val="en-US"/>
        </w:rPr>
        <w:t xml:space="preserve"> If the relation between age and underpricing is linear for firms with ‘regular’ levels of risk, but exponential for firms with high levels of risk (such as small or financial firms), risk proxies could be more important for these firms, since the relation between age and underpricing is stronger for these firms.</w:t>
      </w:r>
    </w:p>
  </w:footnote>
  <w:footnote w:id="40">
    <w:p w:rsidR="009D4228" w:rsidRPr="00F04494" w:rsidRDefault="009D4228">
      <w:pPr>
        <w:pStyle w:val="FootnoteText"/>
        <w:rPr>
          <w:sz w:val="18"/>
          <w:szCs w:val="18"/>
          <w:lang w:val="en-US"/>
        </w:rPr>
      </w:pPr>
      <w:r w:rsidRPr="00F04494">
        <w:rPr>
          <w:rStyle w:val="FootnoteReference"/>
          <w:sz w:val="18"/>
          <w:szCs w:val="18"/>
        </w:rPr>
        <w:footnoteRef/>
      </w:r>
      <w:r w:rsidRPr="00F04494">
        <w:rPr>
          <w:sz w:val="18"/>
          <w:szCs w:val="18"/>
          <w:lang w:val="en-US"/>
        </w:rPr>
        <w:t xml:space="preserve"> See table 7</w:t>
      </w:r>
    </w:p>
  </w:footnote>
  <w:footnote w:id="41">
    <w:p w:rsidR="009D4228" w:rsidRPr="00F04494" w:rsidRDefault="009D4228">
      <w:pPr>
        <w:pStyle w:val="FootnoteText"/>
        <w:rPr>
          <w:sz w:val="18"/>
          <w:szCs w:val="18"/>
          <w:lang w:val="en-US"/>
        </w:rPr>
      </w:pPr>
      <w:r w:rsidRPr="00F04494">
        <w:rPr>
          <w:rStyle w:val="FootnoteReference"/>
          <w:sz w:val="18"/>
          <w:szCs w:val="18"/>
        </w:rPr>
        <w:footnoteRef/>
      </w:r>
      <w:r w:rsidRPr="00F04494">
        <w:rPr>
          <w:sz w:val="18"/>
          <w:szCs w:val="18"/>
          <w:lang w:val="en-US"/>
        </w:rPr>
        <w:t xml:space="preserve"> And hence excluding small (risky) firms, makes the relationship less strong</w:t>
      </w:r>
    </w:p>
  </w:footnote>
  <w:footnote w:id="42">
    <w:p w:rsidR="009D4228" w:rsidRPr="00F04494" w:rsidRDefault="009D4228" w:rsidP="00A178B6">
      <w:pPr>
        <w:pStyle w:val="FootnoteText"/>
        <w:rPr>
          <w:sz w:val="18"/>
          <w:szCs w:val="18"/>
          <w:lang w:val="en-US"/>
        </w:rPr>
      </w:pPr>
      <w:r w:rsidRPr="00F04494">
        <w:rPr>
          <w:rStyle w:val="FootnoteReference"/>
          <w:sz w:val="18"/>
          <w:szCs w:val="18"/>
        </w:rPr>
        <w:footnoteRef/>
      </w:r>
      <w:r w:rsidRPr="00F04494">
        <w:rPr>
          <w:sz w:val="18"/>
          <w:szCs w:val="18"/>
          <w:lang w:val="en-US"/>
        </w:rPr>
        <w:t xml:space="preserve"> Since one observation did no report a t value, the sample size is reduced to 48</w:t>
      </w:r>
    </w:p>
  </w:footnote>
  <w:footnote w:id="43">
    <w:p w:rsidR="007816B6" w:rsidRPr="007816B6" w:rsidRDefault="007816B6">
      <w:pPr>
        <w:pStyle w:val="FootnoteText"/>
        <w:rPr>
          <w:lang w:val="en-US"/>
        </w:rPr>
      </w:pPr>
      <w:r>
        <w:rPr>
          <w:rStyle w:val="FootnoteReference"/>
        </w:rPr>
        <w:footnoteRef/>
      </w:r>
      <w:r w:rsidRPr="007816B6">
        <w:rPr>
          <w:lang w:val="en-US"/>
        </w:rPr>
        <w:t xml:space="preserve"> </w:t>
      </w:r>
      <w:r w:rsidRPr="009D4228">
        <w:rPr>
          <w:lang w:val="en-US"/>
        </w:rPr>
        <w:t xml:space="preserve">Note that the term misspecification bias is taken from Stanley and Jarrell (1989). </w:t>
      </w:r>
      <w:r>
        <w:rPr>
          <w:lang w:val="en-US"/>
        </w:rPr>
        <w:t>This papers is used in the methodology sector of this thesis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28" w:rsidRDefault="009D4228" w:rsidP="0094274C">
    <w:pPr>
      <w:pStyle w:val="Header"/>
      <w:tabs>
        <w:tab w:val="left" w:pos="2612"/>
      </w:tabs>
    </w:pPr>
    <w:r>
      <w:rPr>
        <w:noProof/>
        <w:lang w:val="en-US"/>
      </w:rPr>
      <w:drawing>
        <wp:inline distT="0" distB="0" distL="0" distR="0">
          <wp:extent cx="1274173" cy="372140"/>
          <wp:effectExtent l="19050" t="0" r="2177" b="0"/>
          <wp:docPr id="1" name="Picture 0" descr="EUR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 Logo.bmp"/>
                  <pic:cNvPicPr/>
                </pic:nvPicPr>
                <pic:blipFill>
                  <a:blip r:embed="rId1"/>
                  <a:stretch>
                    <a:fillRect/>
                  </a:stretch>
                </pic:blipFill>
                <pic:spPr>
                  <a:xfrm>
                    <a:off x="0" y="0"/>
                    <a:ext cx="1280647" cy="374031"/>
                  </a:xfrm>
                  <a:prstGeom prst="rect">
                    <a:avLst/>
                  </a:prstGeom>
                </pic:spPr>
              </pic:pic>
            </a:graphicData>
          </a:graphic>
        </wp:inline>
      </w:drawing>
    </w:r>
    <w:r>
      <w:tab/>
    </w:r>
    <w:r>
      <w:tab/>
    </w:r>
    <w:r>
      <w:tab/>
    </w:r>
    <w:r w:rsidRPr="0094274C">
      <w:rPr>
        <w:color w:val="17365D" w:themeColor="text2" w:themeShade="BF"/>
      </w:rPr>
      <w:t>Erasmus School of Economics</w:t>
    </w:r>
  </w:p>
  <w:p w:rsidR="009D4228" w:rsidRDefault="001C6613">
    <w:pPr>
      <w:pStyle w:val="Header"/>
    </w:pPr>
    <w:r w:rsidRPr="001C6613">
      <w:rPr>
        <w:noProof/>
        <w:lang w:eastAsia="nl-NL"/>
      </w:rPr>
      <w:pict>
        <v:shapetype id="_x0000_t32" coordsize="21600,21600" o:spt="32" o:oned="t" path="m,l21600,21600e" filled="f">
          <v:path arrowok="t" fillok="f" o:connecttype="none"/>
          <o:lock v:ext="edit" shapetype="t"/>
        </v:shapetype>
        <v:shape id="_x0000_s29714" type="#_x0000_t32" style="position:absolute;margin-left:-2.25pt;margin-top:6.15pt;width:458.8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C18"/>
    <w:multiLevelType w:val="multilevel"/>
    <w:tmpl w:val="AE7A28A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Roman"/>
      <w:lvlText w:val="%1.%2.%3.%4.%5."/>
      <w:lvlJc w:val="left"/>
      <w:pPr>
        <w:ind w:left="4320" w:hanging="144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3EA62FD"/>
    <w:multiLevelType w:val="multilevel"/>
    <w:tmpl w:val="B5FE7EA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2F6712"/>
    <w:multiLevelType w:val="hybridMultilevel"/>
    <w:tmpl w:val="FB00C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D7D1E1E"/>
    <w:multiLevelType w:val="multilevel"/>
    <w:tmpl w:val="12720FE8"/>
    <w:lvl w:ilvl="0">
      <w:start w:val="2"/>
      <w:numFmt w:val="decimal"/>
      <w:lvlText w:val="%1."/>
      <w:lvlJc w:val="left"/>
      <w:pPr>
        <w:ind w:left="360" w:hanging="360"/>
      </w:pPr>
      <w:rPr>
        <w:rFonts w:hint="default"/>
        <w:b/>
      </w:rPr>
    </w:lvl>
    <w:lvl w:ilvl="1">
      <w:start w:val="1"/>
      <w:numFmt w:val="decimal"/>
      <w:lvlText w:val="%1.%2."/>
      <w:lvlJc w:val="left"/>
      <w:pPr>
        <w:ind w:left="1790" w:hanging="360"/>
      </w:pPr>
      <w:rPr>
        <w:rFonts w:hint="default"/>
        <w:b/>
      </w:rPr>
    </w:lvl>
    <w:lvl w:ilvl="2">
      <w:start w:val="1"/>
      <w:numFmt w:val="decimal"/>
      <w:lvlText w:val="%1.%2.%3."/>
      <w:lvlJc w:val="left"/>
      <w:pPr>
        <w:ind w:left="3580" w:hanging="720"/>
      </w:pPr>
      <w:rPr>
        <w:rFonts w:hint="default"/>
        <w:b/>
      </w:rPr>
    </w:lvl>
    <w:lvl w:ilvl="3">
      <w:start w:val="1"/>
      <w:numFmt w:val="decimal"/>
      <w:lvlText w:val="%1.%2.%3.%4."/>
      <w:lvlJc w:val="left"/>
      <w:pPr>
        <w:ind w:left="5010" w:hanging="720"/>
      </w:pPr>
      <w:rPr>
        <w:rFonts w:hint="default"/>
        <w:b/>
      </w:rPr>
    </w:lvl>
    <w:lvl w:ilvl="4">
      <w:start w:val="1"/>
      <w:numFmt w:val="decimal"/>
      <w:lvlText w:val="%1.%2.%3.%4.%5."/>
      <w:lvlJc w:val="left"/>
      <w:pPr>
        <w:ind w:left="6800" w:hanging="1080"/>
      </w:pPr>
      <w:rPr>
        <w:rFonts w:hint="default"/>
        <w:b/>
      </w:rPr>
    </w:lvl>
    <w:lvl w:ilvl="5">
      <w:start w:val="1"/>
      <w:numFmt w:val="decimal"/>
      <w:lvlText w:val="%1.%2.%3.%4.%5.%6."/>
      <w:lvlJc w:val="left"/>
      <w:pPr>
        <w:ind w:left="8230" w:hanging="1080"/>
      </w:pPr>
      <w:rPr>
        <w:rFonts w:hint="default"/>
        <w:b/>
      </w:rPr>
    </w:lvl>
    <w:lvl w:ilvl="6">
      <w:start w:val="1"/>
      <w:numFmt w:val="decimal"/>
      <w:lvlText w:val="%1.%2.%3.%4.%5.%6.%7."/>
      <w:lvlJc w:val="left"/>
      <w:pPr>
        <w:ind w:left="10020" w:hanging="1440"/>
      </w:pPr>
      <w:rPr>
        <w:rFonts w:hint="default"/>
        <w:b/>
      </w:rPr>
    </w:lvl>
    <w:lvl w:ilvl="7">
      <w:start w:val="1"/>
      <w:numFmt w:val="decimal"/>
      <w:lvlText w:val="%1.%2.%3.%4.%5.%6.%7.%8."/>
      <w:lvlJc w:val="left"/>
      <w:pPr>
        <w:ind w:left="11450" w:hanging="1440"/>
      </w:pPr>
      <w:rPr>
        <w:rFonts w:hint="default"/>
        <w:b/>
      </w:rPr>
    </w:lvl>
    <w:lvl w:ilvl="8">
      <w:start w:val="1"/>
      <w:numFmt w:val="decimal"/>
      <w:lvlText w:val="%1.%2.%3.%4.%5.%6.%7.%8.%9."/>
      <w:lvlJc w:val="left"/>
      <w:pPr>
        <w:ind w:left="13240" w:hanging="1800"/>
      </w:pPr>
      <w:rPr>
        <w:rFonts w:hint="default"/>
        <w:b/>
      </w:rPr>
    </w:lvl>
  </w:abstractNum>
  <w:abstractNum w:abstractNumId="4">
    <w:nsid w:val="0FFD0671"/>
    <w:multiLevelType w:val="multilevel"/>
    <w:tmpl w:val="B1CC58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E0324E"/>
    <w:multiLevelType w:val="multilevel"/>
    <w:tmpl w:val="9564C4CA"/>
    <w:lvl w:ilvl="0">
      <w:start w:val="4"/>
      <w:numFmt w:val="decimal"/>
      <w:lvlText w:val="%1."/>
      <w:lvlJc w:val="left"/>
      <w:pPr>
        <w:ind w:left="1346" w:hanging="495"/>
      </w:pPr>
      <w:rPr>
        <w:rFonts w:hint="default"/>
      </w:rPr>
    </w:lvl>
    <w:lvl w:ilvl="1">
      <w:start w:val="5"/>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F9109C"/>
    <w:multiLevelType w:val="multilevel"/>
    <w:tmpl w:val="A8320126"/>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8DD02DF"/>
    <w:multiLevelType w:val="multilevel"/>
    <w:tmpl w:val="9D08E2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381721"/>
    <w:multiLevelType w:val="multilevel"/>
    <w:tmpl w:val="F092A8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C5175C"/>
    <w:multiLevelType w:val="multilevel"/>
    <w:tmpl w:val="AC945A4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1F9314D3"/>
    <w:multiLevelType w:val="multilevel"/>
    <w:tmpl w:val="129A26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2530BCF"/>
    <w:multiLevelType w:val="multilevel"/>
    <w:tmpl w:val="DFC653CA"/>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907DBD"/>
    <w:multiLevelType w:val="hybridMultilevel"/>
    <w:tmpl w:val="3B4E8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4800471"/>
    <w:multiLevelType w:val="multilevel"/>
    <w:tmpl w:val="48F2E8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A122506"/>
    <w:multiLevelType w:val="multilevel"/>
    <w:tmpl w:val="9D08E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C548D3"/>
    <w:multiLevelType w:val="multilevel"/>
    <w:tmpl w:val="1D32835A"/>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792B62"/>
    <w:multiLevelType w:val="multilevel"/>
    <w:tmpl w:val="DEBA2530"/>
    <w:lvl w:ilvl="0">
      <w:start w:val="3"/>
      <w:numFmt w:val="decimal"/>
      <w:lvlText w:val="%1."/>
      <w:lvlJc w:val="left"/>
      <w:pPr>
        <w:ind w:left="495" w:hanging="495"/>
      </w:pPr>
      <w:rPr>
        <w:rFonts w:hint="default"/>
      </w:rPr>
    </w:lvl>
    <w:lvl w:ilvl="1">
      <w:start w:val="3"/>
      <w:numFmt w:val="decimal"/>
      <w:lvlText w:val="%1.%2."/>
      <w:lvlJc w:val="left"/>
      <w:pPr>
        <w:ind w:left="921" w:hanging="495"/>
      </w:pPr>
      <w:rPr>
        <w:rFonts w:hint="default"/>
        <w:b/>
      </w:rPr>
    </w:lvl>
    <w:lvl w:ilvl="2">
      <w:start w:val="2"/>
      <w:numFmt w:val="decimal"/>
      <w:lvlText w:val="%1.%2.%3."/>
      <w:lvlJc w:val="left"/>
      <w:pPr>
        <w:ind w:left="1287" w:hanging="720"/>
      </w:pPr>
      <w:rPr>
        <w:rFonts w:hint="default"/>
      </w:rPr>
    </w:lvl>
    <w:lvl w:ilvl="3">
      <w:start w:val="1"/>
      <w:numFmt w:val="decimal"/>
      <w:lvlText w:val="%1.%2.%3.%4."/>
      <w:lvlJc w:val="left"/>
      <w:pPr>
        <w:ind w:left="1998" w:hanging="720"/>
      </w:pPr>
      <w:rPr>
        <w:rFonts w:hint="default"/>
      </w:rPr>
    </w:lvl>
    <w:lvl w:ilvl="4">
      <w:start w:val="1"/>
      <w:numFmt w:val="lowerRoman"/>
      <w:lvlText w:val="%1.%2.%3.%4.%5."/>
      <w:lvlJc w:val="left"/>
      <w:pPr>
        <w:ind w:left="3144" w:hanging="144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5F6BA6"/>
    <w:multiLevelType w:val="multilevel"/>
    <w:tmpl w:val="B9D00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A2D057F"/>
    <w:multiLevelType w:val="multilevel"/>
    <w:tmpl w:val="22B007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5F3864"/>
    <w:multiLevelType w:val="multilevel"/>
    <w:tmpl w:val="A3E2ADEE"/>
    <w:lvl w:ilvl="0">
      <w:start w:val="1"/>
      <w:numFmt w:val="decimal"/>
      <w:lvlText w:val="%1."/>
      <w:lvlJc w:val="left"/>
      <w:pPr>
        <w:ind w:left="107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nsid w:val="3D6F02B0"/>
    <w:multiLevelType w:val="hybridMultilevel"/>
    <w:tmpl w:val="7638A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3C21CAF"/>
    <w:multiLevelType w:val="multilevel"/>
    <w:tmpl w:val="2032700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4502116A"/>
    <w:multiLevelType w:val="multilevel"/>
    <w:tmpl w:val="1DDE532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66C61FD"/>
    <w:multiLevelType w:val="multilevel"/>
    <w:tmpl w:val="57BE6DCA"/>
    <w:lvl w:ilvl="0">
      <w:start w:val="1"/>
      <w:numFmt w:val="decimal"/>
      <w:pStyle w:val="TOC1"/>
      <w:lvlText w:val="%1."/>
      <w:lvlJc w:val="left"/>
      <w:pPr>
        <w:ind w:left="644"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24">
    <w:nsid w:val="480C4AC8"/>
    <w:multiLevelType w:val="hybridMultilevel"/>
    <w:tmpl w:val="3D5A2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01D2B96"/>
    <w:multiLevelType w:val="multilevel"/>
    <w:tmpl w:val="98B60890"/>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BC6FB3"/>
    <w:multiLevelType w:val="multilevel"/>
    <w:tmpl w:val="D1F080F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53C44E89"/>
    <w:multiLevelType w:val="hybridMultilevel"/>
    <w:tmpl w:val="D1C29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46603B1"/>
    <w:multiLevelType w:val="hybridMultilevel"/>
    <w:tmpl w:val="B8E0F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51A134C"/>
    <w:multiLevelType w:val="multilevel"/>
    <w:tmpl w:val="F82690E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nsid w:val="5C9B5F3C"/>
    <w:multiLevelType w:val="multilevel"/>
    <w:tmpl w:val="99ACDE0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3602202"/>
    <w:multiLevelType w:val="multilevel"/>
    <w:tmpl w:val="FECEC3E6"/>
    <w:lvl w:ilvl="0">
      <w:start w:val="6"/>
      <w:numFmt w:val="decimal"/>
      <w:lvlText w:val="%1."/>
      <w:lvlJc w:val="left"/>
      <w:pPr>
        <w:ind w:left="1068" w:hanging="360"/>
      </w:pPr>
      <w:rPr>
        <w:rFonts w:hint="default"/>
      </w:rPr>
    </w:lvl>
    <w:lvl w:ilvl="1">
      <w:start w:val="3"/>
      <w:numFmt w:val="decimal"/>
      <w:lvlText w:val="%1.%2."/>
      <w:lvlJc w:val="left"/>
      <w:pPr>
        <w:ind w:left="1788"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388"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8268" w:hanging="1800"/>
      </w:pPr>
      <w:rPr>
        <w:rFonts w:hint="default"/>
      </w:rPr>
    </w:lvl>
  </w:abstractNum>
  <w:abstractNum w:abstractNumId="32">
    <w:nsid w:val="65FA7F3C"/>
    <w:multiLevelType w:val="hybridMultilevel"/>
    <w:tmpl w:val="D7B48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8164FE4"/>
    <w:multiLevelType w:val="hybridMultilevel"/>
    <w:tmpl w:val="65668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B4B67C9"/>
    <w:multiLevelType w:val="multilevel"/>
    <w:tmpl w:val="D2467F14"/>
    <w:lvl w:ilvl="0">
      <w:start w:val="5"/>
      <w:numFmt w:val="decimal"/>
      <w:lvlText w:val="%1."/>
      <w:lvlJc w:val="left"/>
      <w:pPr>
        <w:ind w:left="1068" w:hanging="360"/>
      </w:pPr>
      <w:rPr>
        <w:rFonts w:hint="default"/>
      </w:rPr>
    </w:lvl>
    <w:lvl w:ilvl="1">
      <w:start w:val="3"/>
      <w:numFmt w:val="decimal"/>
      <w:lvlText w:val="%1.%2."/>
      <w:lvlJc w:val="left"/>
      <w:pPr>
        <w:ind w:left="1788"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388"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8268" w:hanging="1800"/>
      </w:pPr>
      <w:rPr>
        <w:rFonts w:hint="default"/>
      </w:rPr>
    </w:lvl>
  </w:abstractNum>
  <w:abstractNum w:abstractNumId="35">
    <w:nsid w:val="6E6A37D5"/>
    <w:multiLevelType w:val="multilevel"/>
    <w:tmpl w:val="9564C4CA"/>
    <w:lvl w:ilvl="0">
      <w:start w:val="4"/>
      <w:numFmt w:val="decimal"/>
      <w:lvlText w:val="%1."/>
      <w:lvlJc w:val="left"/>
      <w:pPr>
        <w:ind w:left="1346" w:hanging="495"/>
      </w:pPr>
      <w:rPr>
        <w:rFonts w:hint="default"/>
      </w:rPr>
    </w:lvl>
    <w:lvl w:ilvl="1">
      <w:start w:val="5"/>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2422459"/>
    <w:multiLevelType w:val="hybridMultilevel"/>
    <w:tmpl w:val="55D41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4554217"/>
    <w:multiLevelType w:val="hybridMultilevel"/>
    <w:tmpl w:val="F8F8C836"/>
    <w:lvl w:ilvl="0" w:tplc="836AF3F6">
      <w:start w:val="1"/>
      <w:numFmt w:val="decimal"/>
      <w:lvlText w:val="%1."/>
      <w:lvlJc w:val="left"/>
      <w:pPr>
        <w:ind w:left="1070" w:hanging="360"/>
      </w:pPr>
      <w:rPr>
        <w:rFonts w:hint="default"/>
      </w:rPr>
    </w:lvl>
    <w:lvl w:ilvl="1" w:tplc="04130019">
      <w:start w:val="1"/>
      <w:numFmt w:val="lowerLetter"/>
      <w:lvlText w:val="%2."/>
      <w:lvlJc w:val="left"/>
      <w:pPr>
        <w:ind w:left="1790" w:hanging="360"/>
      </w:pPr>
    </w:lvl>
    <w:lvl w:ilvl="2" w:tplc="0413001B">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38">
    <w:nsid w:val="74F77801"/>
    <w:multiLevelType w:val="multilevel"/>
    <w:tmpl w:val="1124FC58"/>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9">
    <w:nsid w:val="76795874"/>
    <w:multiLevelType w:val="multilevel"/>
    <w:tmpl w:val="9D08E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9AF1044"/>
    <w:multiLevelType w:val="multilevel"/>
    <w:tmpl w:val="64488A7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7C4233F8"/>
    <w:multiLevelType w:val="multilevel"/>
    <w:tmpl w:val="D6CE5D02"/>
    <w:lvl w:ilvl="0">
      <w:start w:val="2"/>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nsid w:val="7CEF3C0A"/>
    <w:multiLevelType w:val="multilevel"/>
    <w:tmpl w:val="3E00D5D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lowerRoman"/>
      <w:lvlText w:val="%1.%2.%3.%4.%5."/>
      <w:lvlJc w:val="left"/>
      <w:pPr>
        <w:ind w:left="7200" w:hanging="144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4"/>
  </w:num>
  <w:num w:numId="2">
    <w:abstractNumId w:val="2"/>
  </w:num>
  <w:num w:numId="3">
    <w:abstractNumId w:val="36"/>
  </w:num>
  <w:num w:numId="4">
    <w:abstractNumId w:val="19"/>
  </w:num>
  <w:num w:numId="5">
    <w:abstractNumId w:val="10"/>
  </w:num>
  <w:num w:numId="6">
    <w:abstractNumId w:val="18"/>
  </w:num>
  <w:num w:numId="7">
    <w:abstractNumId w:val="23"/>
  </w:num>
  <w:num w:numId="8">
    <w:abstractNumId w:val="6"/>
  </w:num>
  <w:num w:numId="9">
    <w:abstractNumId w:val="37"/>
  </w:num>
  <w:num w:numId="10">
    <w:abstractNumId w:val="3"/>
  </w:num>
  <w:num w:numId="11">
    <w:abstractNumId w:val="21"/>
  </w:num>
  <w:num w:numId="12">
    <w:abstractNumId w:val="29"/>
  </w:num>
  <w:num w:numId="13">
    <w:abstractNumId w:val="9"/>
  </w:num>
  <w:num w:numId="14">
    <w:abstractNumId w:val="40"/>
  </w:num>
  <w:num w:numId="15">
    <w:abstractNumId w:val="26"/>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41"/>
  </w:num>
  <w:num w:numId="19">
    <w:abstractNumId w:val="30"/>
  </w:num>
  <w:num w:numId="20">
    <w:abstractNumId w:val="15"/>
  </w:num>
  <w:num w:numId="21">
    <w:abstractNumId w:val="25"/>
  </w:num>
  <w:num w:numId="22">
    <w:abstractNumId w:val="7"/>
  </w:num>
  <w:num w:numId="23">
    <w:abstractNumId w:val="11"/>
  </w:num>
  <w:num w:numId="24">
    <w:abstractNumId w:val="13"/>
  </w:num>
  <w:num w:numId="25">
    <w:abstractNumId w:val="14"/>
  </w:num>
  <w:num w:numId="26">
    <w:abstractNumId w:val="5"/>
  </w:num>
  <w:num w:numId="27">
    <w:abstractNumId w:val="39"/>
  </w:num>
  <w:num w:numId="28">
    <w:abstractNumId w:val="35"/>
  </w:num>
  <w:num w:numId="29">
    <w:abstractNumId w:val="20"/>
  </w:num>
  <w:num w:numId="30">
    <w:abstractNumId w:val="28"/>
  </w:num>
  <w:num w:numId="31">
    <w:abstractNumId w:val="4"/>
  </w:num>
  <w:num w:numId="32">
    <w:abstractNumId w:val="22"/>
  </w:num>
  <w:num w:numId="33">
    <w:abstractNumId w:val="8"/>
  </w:num>
  <w:num w:numId="34">
    <w:abstractNumId w:val="1"/>
  </w:num>
  <w:num w:numId="35">
    <w:abstractNumId w:val="27"/>
  </w:num>
  <w:num w:numId="36">
    <w:abstractNumId w:val="17"/>
  </w:num>
  <w:num w:numId="37">
    <w:abstractNumId w:val="31"/>
  </w:num>
  <w:num w:numId="38">
    <w:abstractNumId w:val="32"/>
  </w:num>
  <w:num w:numId="39">
    <w:abstractNumId w:val="34"/>
  </w:num>
  <w:num w:numId="40">
    <w:abstractNumId w:val="23"/>
  </w:num>
  <w:num w:numId="41">
    <w:abstractNumId w:val="16"/>
  </w:num>
  <w:num w:numId="42">
    <w:abstractNumId w:val="0"/>
  </w:num>
  <w:num w:numId="43">
    <w:abstractNumId w:val="42"/>
  </w:num>
  <w:num w:numId="44">
    <w:abstractNumId w:val="12"/>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drawingGridHorizontalSpacing w:val="110"/>
  <w:displayHorizontalDrawingGridEvery w:val="2"/>
  <w:characterSpacingControl w:val="doNotCompress"/>
  <w:hdrShapeDefaults>
    <o:shapedefaults v:ext="edit" spidmax="29715"/>
    <o:shapelayout v:ext="edit">
      <o:idmap v:ext="edit" data="29"/>
      <o:rules v:ext="edit">
        <o:r id="V:Rule3" type="connector" idref="#_x0000_s29711"/>
        <o:r id="V:Rule4" type="connector" idref="#_x0000_s29714"/>
      </o:rules>
    </o:shapelayout>
  </w:hdrShapeDefaults>
  <w:footnotePr>
    <w:footnote w:id="-1"/>
    <w:footnote w:id="0"/>
  </w:footnotePr>
  <w:endnotePr>
    <w:endnote w:id="-1"/>
    <w:endnote w:id="0"/>
  </w:endnotePr>
  <w:compat/>
  <w:rsids>
    <w:rsidRoot w:val="00E96AF5"/>
    <w:rsid w:val="00003C7F"/>
    <w:rsid w:val="000059E8"/>
    <w:rsid w:val="00007B04"/>
    <w:rsid w:val="0001071A"/>
    <w:rsid w:val="00012BC0"/>
    <w:rsid w:val="000171F4"/>
    <w:rsid w:val="00023B84"/>
    <w:rsid w:val="000267E7"/>
    <w:rsid w:val="00026D31"/>
    <w:rsid w:val="00030CD1"/>
    <w:rsid w:val="0003240E"/>
    <w:rsid w:val="00041B79"/>
    <w:rsid w:val="00042483"/>
    <w:rsid w:val="000426A0"/>
    <w:rsid w:val="00043ED2"/>
    <w:rsid w:val="00044700"/>
    <w:rsid w:val="00055A7F"/>
    <w:rsid w:val="00055E15"/>
    <w:rsid w:val="00061AFB"/>
    <w:rsid w:val="00064C68"/>
    <w:rsid w:val="00066394"/>
    <w:rsid w:val="000669DC"/>
    <w:rsid w:val="00067961"/>
    <w:rsid w:val="00070467"/>
    <w:rsid w:val="000728E4"/>
    <w:rsid w:val="0007497D"/>
    <w:rsid w:val="0008531F"/>
    <w:rsid w:val="000907A3"/>
    <w:rsid w:val="000A07BF"/>
    <w:rsid w:val="000A4BF7"/>
    <w:rsid w:val="000B19C2"/>
    <w:rsid w:val="000B656E"/>
    <w:rsid w:val="000C1A2B"/>
    <w:rsid w:val="000C7175"/>
    <w:rsid w:val="000D30D8"/>
    <w:rsid w:val="000D4455"/>
    <w:rsid w:val="000D50B8"/>
    <w:rsid w:val="000D5379"/>
    <w:rsid w:val="000D69A9"/>
    <w:rsid w:val="000E2FD8"/>
    <w:rsid w:val="000E31A6"/>
    <w:rsid w:val="000E4A51"/>
    <w:rsid w:val="000F0F3F"/>
    <w:rsid w:val="00100A23"/>
    <w:rsid w:val="00110817"/>
    <w:rsid w:val="00121262"/>
    <w:rsid w:val="00134CEA"/>
    <w:rsid w:val="00141086"/>
    <w:rsid w:val="001434E1"/>
    <w:rsid w:val="00146DEA"/>
    <w:rsid w:val="00146F82"/>
    <w:rsid w:val="001474A4"/>
    <w:rsid w:val="00152FD0"/>
    <w:rsid w:val="00162A5F"/>
    <w:rsid w:val="00165FA7"/>
    <w:rsid w:val="00170313"/>
    <w:rsid w:val="00170749"/>
    <w:rsid w:val="001731F3"/>
    <w:rsid w:val="001770C2"/>
    <w:rsid w:val="00184753"/>
    <w:rsid w:val="001854AB"/>
    <w:rsid w:val="001858A8"/>
    <w:rsid w:val="00193C0C"/>
    <w:rsid w:val="001A1E34"/>
    <w:rsid w:val="001A61F9"/>
    <w:rsid w:val="001B57D2"/>
    <w:rsid w:val="001B79AD"/>
    <w:rsid w:val="001C3A40"/>
    <w:rsid w:val="001C50CF"/>
    <w:rsid w:val="001C5A57"/>
    <w:rsid w:val="001C6613"/>
    <w:rsid w:val="001C70C9"/>
    <w:rsid w:val="001D3599"/>
    <w:rsid w:val="001D36AD"/>
    <w:rsid w:val="001E11CC"/>
    <w:rsid w:val="001E30D6"/>
    <w:rsid w:val="001E58B9"/>
    <w:rsid w:val="001F083A"/>
    <w:rsid w:val="001F4ADA"/>
    <w:rsid w:val="00200715"/>
    <w:rsid w:val="002036DF"/>
    <w:rsid w:val="00206B6C"/>
    <w:rsid w:val="002144DC"/>
    <w:rsid w:val="00217554"/>
    <w:rsid w:val="00225AE1"/>
    <w:rsid w:val="0023347F"/>
    <w:rsid w:val="00237351"/>
    <w:rsid w:val="00243CAB"/>
    <w:rsid w:val="00251BB2"/>
    <w:rsid w:val="00261556"/>
    <w:rsid w:val="00263BEC"/>
    <w:rsid w:val="00264294"/>
    <w:rsid w:val="00271FD7"/>
    <w:rsid w:val="0027550F"/>
    <w:rsid w:val="00275B11"/>
    <w:rsid w:val="00287F65"/>
    <w:rsid w:val="002904D0"/>
    <w:rsid w:val="00293CC3"/>
    <w:rsid w:val="002A27E7"/>
    <w:rsid w:val="002A6AC5"/>
    <w:rsid w:val="002A6BD2"/>
    <w:rsid w:val="002A77B1"/>
    <w:rsid w:val="002B0354"/>
    <w:rsid w:val="002C03F3"/>
    <w:rsid w:val="002C057F"/>
    <w:rsid w:val="002C0864"/>
    <w:rsid w:val="002C443E"/>
    <w:rsid w:val="002D236C"/>
    <w:rsid w:val="002D66F4"/>
    <w:rsid w:val="002D75E4"/>
    <w:rsid w:val="002E0446"/>
    <w:rsid w:val="002E2175"/>
    <w:rsid w:val="002E4947"/>
    <w:rsid w:val="002E4F52"/>
    <w:rsid w:val="002E52A9"/>
    <w:rsid w:val="002F6302"/>
    <w:rsid w:val="00302FE0"/>
    <w:rsid w:val="0030498B"/>
    <w:rsid w:val="0030538F"/>
    <w:rsid w:val="0030555C"/>
    <w:rsid w:val="00312520"/>
    <w:rsid w:val="00321152"/>
    <w:rsid w:val="0032170B"/>
    <w:rsid w:val="0032496B"/>
    <w:rsid w:val="00326D77"/>
    <w:rsid w:val="00332BDF"/>
    <w:rsid w:val="003336C4"/>
    <w:rsid w:val="00333CE4"/>
    <w:rsid w:val="00336878"/>
    <w:rsid w:val="00337819"/>
    <w:rsid w:val="00341AF3"/>
    <w:rsid w:val="003456D8"/>
    <w:rsid w:val="00353C7A"/>
    <w:rsid w:val="003604E1"/>
    <w:rsid w:val="0036620B"/>
    <w:rsid w:val="00373CD9"/>
    <w:rsid w:val="00375475"/>
    <w:rsid w:val="003805A4"/>
    <w:rsid w:val="00387C23"/>
    <w:rsid w:val="003947A4"/>
    <w:rsid w:val="003963BE"/>
    <w:rsid w:val="003A50B8"/>
    <w:rsid w:val="003A6D83"/>
    <w:rsid w:val="003B4329"/>
    <w:rsid w:val="003C2222"/>
    <w:rsid w:val="003E4EC1"/>
    <w:rsid w:val="003E550C"/>
    <w:rsid w:val="003E6AC9"/>
    <w:rsid w:val="003F24EB"/>
    <w:rsid w:val="003F6EFC"/>
    <w:rsid w:val="00406600"/>
    <w:rsid w:val="0041181C"/>
    <w:rsid w:val="004147EF"/>
    <w:rsid w:val="00421559"/>
    <w:rsid w:val="004314D2"/>
    <w:rsid w:val="00433474"/>
    <w:rsid w:val="004361D6"/>
    <w:rsid w:val="00447A21"/>
    <w:rsid w:val="0045268F"/>
    <w:rsid w:val="004555CC"/>
    <w:rsid w:val="0046001A"/>
    <w:rsid w:val="00461BCE"/>
    <w:rsid w:val="0046760F"/>
    <w:rsid w:val="004762BD"/>
    <w:rsid w:val="004778F4"/>
    <w:rsid w:val="004815C6"/>
    <w:rsid w:val="004828FA"/>
    <w:rsid w:val="00490B3B"/>
    <w:rsid w:val="00495A41"/>
    <w:rsid w:val="00496C41"/>
    <w:rsid w:val="004A2D37"/>
    <w:rsid w:val="004A45EB"/>
    <w:rsid w:val="004A45F3"/>
    <w:rsid w:val="004A4FFC"/>
    <w:rsid w:val="004B4CEF"/>
    <w:rsid w:val="004B51E0"/>
    <w:rsid w:val="004B678A"/>
    <w:rsid w:val="004B7776"/>
    <w:rsid w:val="004C4869"/>
    <w:rsid w:val="004D0751"/>
    <w:rsid w:val="004D3C74"/>
    <w:rsid w:val="004D58B2"/>
    <w:rsid w:val="004D66EB"/>
    <w:rsid w:val="004E097E"/>
    <w:rsid w:val="004E0B01"/>
    <w:rsid w:val="004E191D"/>
    <w:rsid w:val="004E293F"/>
    <w:rsid w:val="004E3C72"/>
    <w:rsid w:val="004E77DE"/>
    <w:rsid w:val="0051724D"/>
    <w:rsid w:val="0054219B"/>
    <w:rsid w:val="00545F15"/>
    <w:rsid w:val="00547AE0"/>
    <w:rsid w:val="00547BD4"/>
    <w:rsid w:val="00547C1E"/>
    <w:rsid w:val="00553826"/>
    <w:rsid w:val="00560F82"/>
    <w:rsid w:val="00575454"/>
    <w:rsid w:val="005758DF"/>
    <w:rsid w:val="00576E40"/>
    <w:rsid w:val="00580C25"/>
    <w:rsid w:val="00582220"/>
    <w:rsid w:val="0058294F"/>
    <w:rsid w:val="00585D37"/>
    <w:rsid w:val="005905D7"/>
    <w:rsid w:val="00594426"/>
    <w:rsid w:val="005948E9"/>
    <w:rsid w:val="00596636"/>
    <w:rsid w:val="005A19B4"/>
    <w:rsid w:val="005A303A"/>
    <w:rsid w:val="005A30FF"/>
    <w:rsid w:val="005B1B11"/>
    <w:rsid w:val="005B287B"/>
    <w:rsid w:val="005B3316"/>
    <w:rsid w:val="005B5F29"/>
    <w:rsid w:val="005C3226"/>
    <w:rsid w:val="005C56F6"/>
    <w:rsid w:val="005C7CDC"/>
    <w:rsid w:val="005D0AF3"/>
    <w:rsid w:val="005D1EC6"/>
    <w:rsid w:val="005D4D95"/>
    <w:rsid w:val="005E5390"/>
    <w:rsid w:val="005E540F"/>
    <w:rsid w:val="006065D6"/>
    <w:rsid w:val="006112EB"/>
    <w:rsid w:val="00612A50"/>
    <w:rsid w:val="006159D3"/>
    <w:rsid w:val="00621877"/>
    <w:rsid w:val="00626CEF"/>
    <w:rsid w:val="00631889"/>
    <w:rsid w:val="00632AAB"/>
    <w:rsid w:val="0063534D"/>
    <w:rsid w:val="006364F9"/>
    <w:rsid w:val="00640F0F"/>
    <w:rsid w:val="006416B8"/>
    <w:rsid w:val="00647E3B"/>
    <w:rsid w:val="00647E59"/>
    <w:rsid w:val="0065019D"/>
    <w:rsid w:val="00651499"/>
    <w:rsid w:val="00651DFA"/>
    <w:rsid w:val="00651F15"/>
    <w:rsid w:val="00655302"/>
    <w:rsid w:val="00655A29"/>
    <w:rsid w:val="00660358"/>
    <w:rsid w:val="00660CEA"/>
    <w:rsid w:val="00671123"/>
    <w:rsid w:val="00681E14"/>
    <w:rsid w:val="00687455"/>
    <w:rsid w:val="006917E1"/>
    <w:rsid w:val="00693F53"/>
    <w:rsid w:val="0069464E"/>
    <w:rsid w:val="006963D6"/>
    <w:rsid w:val="006A3726"/>
    <w:rsid w:val="006B485B"/>
    <w:rsid w:val="006C7B5F"/>
    <w:rsid w:val="006D2DBC"/>
    <w:rsid w:val="006D547F"/>
    <w:rsid w:val="006D5AB5"/>
    <w:rsid w:val="006D6A45"/>
    <w:rsid w:val="006E7AA3"/>
    <w:rsid w:val="006F182E"/>
    <w:rsid w:val="006F36B4"/>
    <w:rsid w:val="006F5000"/>
    <w:rsid w:val="006F5BD8"/>
    <w:rsid w:val="00702CC1"/>
    <w:rsid w:val="0070372B"/>
    <w:rsid w:val="00704498"/>
    <w:rsid w:val="00704B65"/>
    <w:rsid w:val="00706709"/>
    <w:rsid w:val="007116CE"/>
    <w:rsid w:val="00712730"/>
    <w:rsid w:val="00720667"/>
    <w:rsid w:val="007210EF"/>
    <w:rsid w:val="0073013F"/>
    <w:rsid w:val="00731C36"/>
    <w:rsid w:val="0073529E"/>
    <w:rsid w:val="007405E8"/>
    <w:rsid w:val="00741BC2"/>
    <w:rsid w:val="007504AF"/>
    <w:rsid w:val="00750730"/>
    <w:rsid w:val="00750B8D"/>
    <w:rsid w:val="00757BF8"/>
    <w:rsid w:val="007675A0"/>
    <w:rsid w:val="00771C2D"/>
    <w:rsid w:val="00774046"/>
    <w:rsid w:val="007753B7"/>
    <w:rsid w:val="007816B6"/>
    <w:rsid w:val="00787065"/>
    <w:rsid w:val="00787CA8"/>
    <w:rsid w:val="007928D5"/>
    <w:rsid w:val="007968A1"/>
    <w:rsid w:val="007A0697"/>
    <w:rsid w:val="007A1C20"/>
    <w:rsid w:val="007A23ED"/>
    <w:rsid w:val="007A3579"/>
    <w:rsid w:val="007A7250"/>
    <w:rsid w:val="007B25A8"/>
    <w:rsid w:val="007B2D5D"/>
    <w:rsid w:val="007B3210"/>
    <w:rsid w:val="007B54E1"/>
    <w:rsid w:val="007B63D1"/>
    <w:rsid w:val="007C18DF"/>
    <w:rsid w:val="007C2D7B"/>
    <w:rsid w:val="007C4676"/>
    <w:rsid w:val="007D398C"/>
    <w:rsid w:val="007E408C"/>
    <w:rsid w:val="007E537E"/>
    <w:rsid w:val="007E5C57"/>
    <w:rsid w:val="007E7681"/>
    <w:rsid w:val="007F0D94"/>
    <w:rsid w:val="007F0F4F"/>
    <w:rsid w:val="007F18EA"/>
    <w:rsid w:val="007F6AC9"/>
    <w:rsid w:val="007F79F7"/>
    <w:rsid w:val="00805C66"/>
    <w:rsid w:val="0082075D"/>
    <w:rsid w:val="008232F3"/>
    <w:rsid w:val="00830677"/>
    <w:rsid w:val="008341CA"/>
    <w:rsid w:val="00835DB9"/>
    <w:rsid w:val="0084268B"/>
    <w:rsid w:val="00850BDB"/>
    <w:rsid w:val="00852EFC"/>
    <w:rsid w:val="0085528C"/>
    <w:rsid w:val="00862B30"/>
    <w:rsid w:val="00871158"/>
    <w:rsid w:val="008771B2"/>
    <w:rsid w:val="0089334E"/>
    <w:rsid w:val="00894AB0"/>
    <w:rsid w:val="008A057A"/>
    <w:rsid w:val="008A06EC"/>
    <w:rsid w:val="008A279D"/>
    <w:rsid w:val="008B12C8"/>
    <w:rsid w:val="008B1D44"/>
    <w:rsid w:val="008B2A52"/>
    <w:rsid w:val="008B78C7"/>
    <w:rsid w:val="008B7979"/>
    <w:rsid w:val="008C49FD"/>
    <w:rsid w:val="008C4A83"/>
    <w:rsid w:val="008C6EFC"/>
    <w:rsid w:val="008D039D"/>
    <w:rsid w:val="008D1C69"/>
    <w:rsid w:val="008E0DA0"/>
    <w:rsid w:val="008F2B40"/>
    <w:rsid w:val="008F31D4"/>
    <w:rsid w:val="008F48A0"/>
    <w:rsid w:val="008F5D0B"/>
    <w:rsid w:val="00903745"/>
    <w:rsid w:val="0090517A"/>
    <w:rsid w:val="009056C8"/>
    <w:rsid w:val="00906C5F"/>
    <w:rsid w:val="00912107"/>
    <w:rsid w:val="00915A3C"/>
    <w:rsid w:val="00924790"/>
    <w:rsid w:val="009263F8"/>
    <w:rsid w:val="0092640E"/>
    <w:rsid w:val="00930300"/>
    <w:rsid w:val="00931973"/>
    <w:rsid w:val="00932DF5"/>
    <w:rsid w:val="00933C95"/>
    <w:rsid w:val="009362BF"/>
    <w:rsid w:val="00936526"/>
    <w:rsid w:val="0093776C"/>
    <w:rsid w:val="0094274C"/>
    <w:rsid w:val="00946984"/>
    <w:rsid w:val="0095028A"/>
    <w:rsid w:val="009548B7"/>
    <w:rsid w:val="009560FC"/>
    <w:rsid w:val="00963EA5"/>
    <w:rsid w:val="0097241C"/>
    <w:rsid w:val="00976C32"/>
    <w:rsid w:val="009840B9"/>
    <w:rsid w:val="009906BE"/>
    <w:rsid w:val="00994609"/>
    <w:rsid w:val="009A1F95"/>
    <w:rsid w:val="009A270E"/>
    <w:rsid w:val="009A55F1"/>
    <w:rsid w:val="009C0B72"/>
    <w:rsid w:val="009C10C7"/>
    <w:rsid w:val="009C2F54"/>
    <w:rsid w:val="009C63FE"/>
    <w:rsid w:val="009D3AFC"/>
    <w:rsid w:val="009D4228"/>
    <w:rsid w:val="009D5452"/>
    <w:rsid w:val="009D56F5"/>
    <w:rsid w:val="009D77FA"/>
    <w:rsid w:val="009E5C1F"/>
    <w:rsid w:val="009F25D4"/>
    <w:rsid w:val="00A02FE1"/>
    <w:rsid w:val="00A166C3"/>
    <w:rsid w:val="00A16A11"/>
    <w:rsid w:val="00A16D7D"/>
    <w:rsid w:val="00A178B6"/>
    <w:rsid w:val="00A21B22"/>
    <w:rsid w:val="00A34189"/>
    <w:rsid w:val="00A46B80"/>
    <w:rsid w:val="00A53F85"/>
    <w:rsid w:val="00A5463B"/>
    <w:rsid w:val="00A55079"/>
    <w:rsid w:val="00A55365"/>
    <w:rsid w:val="00A571DA"/>
    <w:rsid w:val="00A60924"/>
    <w:rsid w:val="00A656AC"/>
    <w:rsid w:val="00A71035"/>
    <w:rsid w:val="00A772D9"/>
    <w:rsid w:val="00A80036"/>
    <w:rsid w:val="00A8069F"/>
    <w:rsid w:val="00A845BC"/>
    <w:rsid w:val="00A8632D"/>
    <w:rsid w:val="00A91A4C"/>
    <w:rsid w:val="00A932F1"/>
    <w:rsid w:val="00A95957"/>
    <w:rsid w:val="00A977D7"/>
    <w:rsid w:val="00AA0984"/>
    <w:rsid w:val="00AA433C"/>
    <w:rsid w:val="00AB1203"/>
    <w:rsid w:val="00AB185F"/>
    <w:rsid w:val="00AB2589"/>
    <w:rsid w:val="00AB360D"/>
    <w:rsid w:val="00AB52D8"/>
    <w:rsid w:val="00AB59F6"/>
    <w:rsid w:val="00AB6A5B"/>
    <w:rsid w:val="00AB7247"/>
    <w:rsid w:val="00AB774E"/>
    <w:rsid w:val="00AB7838"/>
    <w:rsid w:val="00AC37D1"/>
    <w:rsid w:val="00AD0B57"/>
    <w:rsid w:val="00AD1674"/>
    <w:rsid w:val="00AD2AA9"/>
    <w:rsid w:val="00AD5EA8"/>
    <w:rsid w:val="00AE67AC"/>
    <w:rsid w:val="00AE7A9D"/>
    <w:rsid w:val="00AF2B0E"/>
    <w:rsid w:val="00AF3D80"/>
    <w:rsid w:val="00AF4BFB"/>
    <w:rsid w:val="00B04E75"/>
    <w:rsid w:val="00B13C29"/>
    <w:rsid w:val="00B16B5D"/>
    <w:rsid w:val="00B16C09"/>
    <w:rsid w:val="00B20066"/>
    <w:rsid w:val="00B22626"/>
    <w:rsid w:val="00B2467E"/>
    <w:rsid w:val="00B30965"/>
    <w:rsid w:val="00B440BD"/>
    <w:rsid w:val="00B46523"/>
    <w:rsid w:val="00B47318"/>
    <w:rsid w:val="00B47C71"/>
    <w:rsid w:val="00B5235E"/>
    <w:rsid w:val="00B64825"/>
    <w:rsid w:val="00B6498C"/>
    <w:rsid w:val="00B663CA"/>
    <w:rsid w:val="00B70DE9"/>
    <w:rsid w:val="00B762B4"/>
    <w:rsid w:val="00B8039D"/>
    <w:rsid w:val="00B84298"/>
    <w:rsid w:val="00B8484D"/>
    <w:rsid w:val="00BA5DEE"/>
    <w:rsid w:val="00BB05FE"/>
    <w:rsid w:val="00BB06C6"/>
    <w:rsid w:val="00BB0DBC"/>
    <w:rsid w:val="00BB52B7"/>
    <w:rsid w:val="00BB6E34"/>
    <w:rsid w:val="00BC10CA"/>
    <w:rsid w:val="00BD2425"/>
    <w:rsid w:val="00BD2D18"/>
    <w:rsid w:val="00BD38BD"/>
    <w:rsid w:val="00BD581E"/>
    <w:rsid w:val="00BD64FF"/>
    <w:rsid w:val="00BD6730"/>
    <w:rsid w:val="00BE424C"/>
    <w:rsid w:val="00BE45B7"/>
    <w:rsid w:val="00BF26D6"/>
    <w:rsid w:val="00C05FA1"/>
    <w:rsid w:val="00C10DC2"/>
    <w:rsid w:val="00C176A3"/>
    <w:rsid w:val="00C228F8"/>
    <w:rsid w:val="00C27C73"/>
    <w:rsid w:val="00C41581"/>
    <w:rsid w:val="00C424DF"/>
    <w:rsid w:val="00C448B1"/>
    <w:rsid w:val="00C46130"/>
    <w:rsid w:val="00C4646D"/>
    <w:rsid w:val="00C65FC2"/>
    <w:rsid w:val="00C7115A"/>
    <w:rsid w:val="00C71D4F"/>
    <w:rsid w:val="00C72939"/>
    <w:rsid w:val="00C77AFD"/>
    <w:rsid w:val="00C81CDE"/>
    <w:rsid w:val="00C835F2"/>
    <w:rsid w:val="00C86460"/>
    <w:rsid w:val="00CA1FC5"/>
    <w:rsid w:val="00CB4846"/>
    <w:rsid w:val="00CB6162"/>
    <w:rsid w:val="00CB7BA4"/>
    <w:rsid w:val="00CC1027"/>
    <w:rsid w:val="00CC183A"/>
    <w:rsid w:val="00CC21EA"/>
    <w:rsid w:val="00CC2D01"/>
    <w:rsid w:val="00CC5043"/>
    <w:rsid w:val="00CD0FCF"/>
    <w:rsid w:val="00CD13B8"/>
    <w:rsid w:val="00CD1557"/>
    <w:rsid w:val="00CD3E22"/>
    <w:rsid w:val="00CD3FB7"/>
    <w:rsid w:val="00CD498D"/>
    <w:rsid w:val="00CE3444"/>
    <w:rsid w:val="00CE7396"/>
    <w:rsid w:val="00CF7709"/>
    <w:rsid w:val="00D00AA1"/>
    <w:rsid w:val="00D12C29"/>
    <w:rsid w:val="00D20074"/>
    <w:rsid w:val="00D25B76"/>
    <w:rsid w:val="00D320D0"/>
    <w:rsid w:val="00D3707E"/>
    <w:rsid w:val="00D40B32"/>
    <w:rsid w:val="00D4617D"/>
    <w:rsid w:val="00D47FBA"/>
    <w:rsid w:val="00D5228B"/>
    <w:rsid w:val="00D537CA"/>
    <w:rsid w:val="00D5611D"/>
    <w:rsid w:val="00D561E5"/>
    <w:rsid w:val="00D57252"/>
    <w:rsid w:val="00D57DC0"/>
    <w:rsid w:val="00D66471"/>
    <w:rsid w:val="00D6664C"/>
    <w:rsid w:val="00D670B3"/>
    <w:rsid w:val="00D704E2"/>
    <w:rsid w:val="00D754A0"/>
    <w:rsid w:val="00D76697"/>
    <w:rsid w:val="00D76CF7"/>
    <w:rsid w:val="00D771A9"/>
    <w:rsid w:val="00D80CF2"/>
    <w:rsid w:val="00D90854"/>
    <w:rsid w:val="00D92808"/>
    <w:rsid w:val="00DA3A5E"/>
    <w:rsid w:val="00DB0096"/>
    <w:rsid w:val="00DB2177"/>
    <w:rsid w:val="00DB4617"/>
    <w:rsid w:val="00DB7902"/>
    <w:rsid w:val="00DC34AB"/>
    <w:rsid w:val="00DC3985"/>
    <w:rsid w:val="00DC47AD"/>
    <w:rsid w:val="00DC6B05"/>
    <w:rsid w:val="00DD18B1"/>
    <w:rsid w:val="00DD4E3C"/>
    <w:rsid w:val="00DD6F79"/>
    <w:rsid w:val="00DD770F"/>
    <w:rsid w:val="00DD7B4F"/>
    <w:rsid w:val="00DE2E4F"/>
    <w:rsid w:val="00DE69BF"/>
    <w:rsid w:val="00E02EF0"/>
    <w:rsid w:val="00E049B7"/>
    <w:rsid w:val="00E071D5"/>
    <w:rsid w:val="00E11F56"/>
    <w:rsid w:val="00E140D4"/>
    <w:rsid w:val="00E159D1"/>
    <w:rsid w:val="00E17464"/>
    <w:rsid w:val="00E174CF"/>
    <w:rsid w:val="00E17C87"/>
    <w:rsid w:val="00E22B2A"/>
    <w:rsid w:val="00E252E9"/>
    <w:rsid w:val="00E25988"/>
    <w:rsid w:val="00E27D08"/>
    <w:rsid w:val="00E311C3"/>
    <w:rsid w:val="00E34386"/>
    <w:rsid w:val="00E34BCB"/>
    <w:rsid w:val="00E3593E"/>
    <w:rsid w:val="00E37643"/>
    <w:rsid w:val="00E4745C"/>
    <w:rsid w:val="00E47875"/>
    <w:rsid w:val="00E51544"/>
    <w:rsid w:val="00E52B7D"/>
    <w:rsid w:val="00E56399"/>
    <w:rsid w:val="00E56642"/>
    <w:rsid w:val="00E60748"/>
    <w:rsid w:val="00E612B3"/>
    <w:rsid w:val="00E62078"/>
    <w:rsid w:val="00E62D17"/>
    <w:rsid w:val="00E6762B"/>
    <w:rsid w:val="00E747A5"/>
    <w:rsid w:val="00E77CAA"/>
    <w:rsid w:val="00E82848"/>
    <w:rsid w:val="00E966B7"/>
    <w:rsid w:val="00E96AF5"/>
    <w:rsid w:val="00E97C4A"/>
    <w:rsid w:val="00EA5364"/>
    <w:rsid w:val="00EA6286"/>
    <w:rsid w:val="00EA7467"/>
    <w:rsid w:val="00EB011A"/>
    <w:rsid w:val="00EB3627"/>
    <w:rsid w:val="00EC06C2"/>
    <w:rsid w:val="00EC2068"/>
    <w:rsid w:val="00EC4F34"/>
    <w:rsid w:val="00EC5539"/>
    <w:rsid w:val="00EC5AEF"/>
    <w:rsid w:val="00EC736D"/>
    <w:rsid w:val="00ED271E"/>
    <w:rsid w:val="00F01B17"/>
    <w:rsid w:val="00F01E80"/>
    <w:rsid w:val="00F0271B"/>
    <w:rsid w:val="00F02B37"/>
    <w:rsid w:val="00F04494"/>
    <w:rsid w:val="00F06F55"/>
    <w:rsid w:val="00F15932"/>
    <w:rsid w:val="00F267F4"/>
    <w:rsid w:val="00F2713B"/>
    <w:rsid w:val="00F3151A"/>
    <w:rsid w:val="00F3692B"/>
    <w:rsid w:val="00F37926"/>
    <w:rsid w:val="00F408BD"/>
    <w:rsid w:val="00F40A1D"/>
    <w:rsid w:val="00F4283D"/>
    <w:rsid w:val="00F4348B"/>
    <w:rsid w:val="00F53327"/>
    <w:rsid w:val="00F54AB4"/>
    <w:rsid w:val="00F555BA"/>
    <w:rsid w:val="00F56015"/>
    <w:rsid w:val="00F60C96"/>
    <w:rsid w:val="00F60D5F"/>
    <w:rsid w:val="00F64CC7"/>
    <w:rsid w:val="00F66CF4"/>
    <w:rsid w:val="00F73243"/>
    <w:rsid w:val="00F854C8"/>
    <w:rsid w:val="00F96B62"/>
    <w:rsid w:val="00FA4349"/>
    <w:rsid w:val="00FA624E"/>
    <w:rsid w:val="00FA70F1"/>
    <w:rsid w:val="00FB4967"/>
    <w:rsid w:val="00FC09CB"/>
    <w:rsid w:val="00FD00BE"/>
    <w:rsid w:val="00FD2569"/>
    <w:rsid w:val="00FD4580"/>
    <w:rsid w:val="00FD67AD"/>
    <w:rsid w:val="00FD6E17"/>
    <w:rsid w:val="00FF2A69"/>
    <w:rsid w:val="00FF32AF"/>
    <w:rsid w:val="00FF5E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97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C2D"/>
  </w:style>
  <w:style w:type="paragraph" w:styleId="Heading1">
    <w:name w:val="heading 1"/>
    <w:basedOn w:val="Normal"/>
    <w:next w:val="Normal"/>
    <w:link w:val="Heading1Char"/>
    <w:qFormat/>
    <w:rsid w:val="007675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5A0"/>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rsid w:val="007675A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675A0"/>
    <w:rPr>
      <w:rFonts w:ascii="Calibri" w:eastAsia="Calibri" w:hAnsi="Calibri" w:cs="Times New Roman"/>
      <w:sz w:val="20"/>
      <w:szCs w:val="20"/>
    </w:rPr>
  </w:style>
  <w:style w:type="character" w:styleId="FootnoteReference">
    <w:name w:val="footnote reference"/>
    <w:basedOn w:val="DefaultParagraphFont"/>
    <w:uiPriority w:val="99"/>
    <w:semiHidden/>
    <w:rsid w:val="007675A0"/>
    <w:rPr>
      <w:rFonts w:cs="Times New Roman"/>
      <w:vertAlign w:val="superscript"/>
    </w:rPr>
  </w:style>
  <w:style w:type="paragraph" w:styleId="ListParagraph">
    <w:name w:val="List Paragraph"/>
    <w:basedOn w:val="Normal"/>
    <w:uiPriority w:val="34"/>
    <w:qFormat/>
    <w:rsid w:val="007675A0"/>
    <w:pPr>
      <w:ind w:left="720"/>
      <w:contextualSpacing/>
    </w:pPr>
    <w:rPr>
      <w:rFonts w:ascii="Calibri" w:eastAsia="Calibri" w:hAnsi="Calibri" w:cs="Times New Roman"/>
    </w:rPr>
  </w:style>
  <w:style w:type="paragraph" w:styleId="BalloonText">
    <w:name w:val="Balloon Text"/>
    <w:basedOn w:val="Normal"/>
    <w:link w:val="BalloonTextChar"/>
    <w:uiPriority w:val="99"/>
    <w:semiHidden/>
    <w:rsid w:val="007675A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675A0"/>
    <w:rPr>
      <w:rFonts w:ascii="Tahoma" w:eastAsia="Calibri" w:hAnsi="Tahoma" w:cs="Tahoma"/>
      <w:sz w:val="16"/>
      <w:szCs w:val="16"/>
    </w:rPr>
  </w:style>
  <w:style w:type="paragraph" w:customStyle="1" w:styleId="Default">
    <w:name w:val="Default"/>
    <w:uiPriority w:val="99"/>
    <w:rsid w:val="007675A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rsid w:val="00F56015"/>
    <w:pPr>
      <w:tabs>
        <w:tab w:val="center" w:pos="4153"/>
        <w:tab w:val="right" w:pos="8306"/>
      </w:tabs>
    </w:pPr>
    <w:rPr>
      <w:rFonts w:ascii="Calibri" w:eastAsia="Calibri" w:hAnsi="Calibri" w:cs="Times New Roman"/>
      <w:lang w:val="en-US"/>
    </w:rPr>
  </w:style>
  <w:style w:type="character" w:customStyle="1" w:styleId="FooterChar">
    <w:name w:val="Footer Char"/>
    <w:basedOn w:val="DefaultParagraphFont"/>
    <w:link w:val="Footer"/>
    <w:uiPriority w:val="99"/>
    <w:rsid w:val="00F56015"/>
    <w:rPr>
      <w:rFonts w:ascii="Calibri" w:eastAsia="Calibri" w:hAnsi="Calibri" w:cs="Times New Roman"/>
      <w:lang w:val="en-US"/>
    </w:rPr>
  </w:style>
  <w:style w:type="character" w:styleId="PageNumber">
    <w:name w:val="page number"/>
    <w:basedOn w:val="DefaultParagraphFont"/>
    <w:uiPriority w:val="99"/>
    <w:rsid w:val="007675A0"/>
    <w:rPr>
      <w:rFonts w:cs="Times New Roman"/>
    </w:rPr>
  </w:style>
  <w:style w:type="character" w:styleId="Hyperlink">
    <w:name w:val="Hyperlink"/>
    <w:basedOn w:val="DefaultParagraphFont"/>
    <w:uiPriority w:val="99"/>
    <w:unhideWhenUsed/>
    <w:rsid w:val="007675A0"/>
    <w:rPr>
      <w:color w:val="0000FF"/>
      <w:u w:val="single"/>
    </w:rPr>
  </w:style>
  <w:style w:type="paragraph" w:styleId="DocumentMap">
    <w:name w:val="Document Map"/>
    <w:basedOn w:val="Normal"/>
    <w:link w:val="DocumentMapChar"/>
    <w:uiPriority w:val="99"/>
    <w:semiHidden/>
    <w:unhideWhenUsed/>
    <w:rsid w:val="007675A0"/>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7675A0"/>
    <w:rPr>
      <w:rFonts w:ascii="Tahoma" w:eastAsia="Calibri" w:hAnsi="Tahoma" w:cs="Tahoma"/>
      <w:sz w:val="16"/>
      <w:szCs w:val="16"/>
    </w:rPr>
  </w:style>
  <w:style w:type="paragraph" w:styleId="TOCHeading">
    <w:name w:val="TOC Heading"/>
    <w:basedOn w:val="Heading1"/>
    <w:next w:val="Normal"/>
    <w:uiPriority w:val="39"/>
    <w:unhideWhenUsed/>
    <w:qFormat/>
    <w:rsid w:val="007675A0"/>
    <w:pPr>
      <w:outlineLvl w:val="9"/>
    </w:pPr>
    <w:rPr>
      <w:lang w:val="en-US"/>
    </w:rPr>
  </w:style>
  <w:style w:type="paragraph" w:styleId="TOC1">
    <w:name w:val="toc 1"/>
    <w:basedOn w:val="Normal"/>
    <w:next w:val="Normal"/>
    <w:autoRedefine/>
    <w:uiPriority w:val="39"/>
    <w:qFormat/>
    <w:rsid w:val="007675A0"/>
    <w:pPr>
      <w:numPr>
        <w:numId w:val="7"/>
      </w:numPr>
      <w:spacing w:after="100"/>
    </w:pPr>
    <w:rPr>
      <w:rFonts w:ascii="Calibri" w:eastAsia="Calibri" w:hAnsi="Calibri" w:cs="Times New Roman"/>
    </w:rPr>
  </w:style>
  <w:style w:type="paragraph" w:styleId="TOC2">
    <w:name w:val="toc 2"/>
    <w:basedOn w:val="Normal"/>
    <w:next w:val="Normal"/>
    <w:autoRedefine/>
    <w:uiPriority w:val="39"/>
    <w:unhideWhenUsed/>
    <w:qFormat/>
    <w:rsid w:val="007675A0"/>
    <w:pPr>
      <w:spacing w:after="100"/>
      <w:ind w:left="851" w:hanging="284"/>
    </w:pPr>
    <w:rPr>
      <w:rFonts w:eastAsiaTheme="minorEastAsia"/>
      <w:lang w:val="en-US"/>
    </w:rPr>
  </w:style>
  <w:style w:type="paragraph" w:styleId="TOC3">
    <w:name w:val="toc 3"/>
    <w:basedOn w:val="Normal"/>
    <w:next w:val="Normal"/>
    <w:autoRedefine/>
    <w:uiPriority w:val="39"/>
    <w:unhideWhenUsed/>
    <w:qFormat/>
    <w:rsid w:val="007675A0"/>
    <w:pPr>
      <w:spacing w:after="100"/>
      <w:ind w:left="851" w:hanging="284"/>
    </w:pPr>
    <w:rPr>
      <w:rFonts w:eastAsiaTheme="minorEastAsia"/>
      <w:lang w:val="en-US"/>
    </w:rPr>
  </w:style>
  <w:style w:type="paragraph" w:styleId="Header">
    <w:name w:val="header"/>
    <w:basedOn w:val="Normal"/>
    <w:link w:val="HeaderChar"/>
    <w:uiPriority w:val="99"/>
    <w:unhideWhenUsed/>
    <w:rsid w:val="007675A0"/>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675A0"/>
    <w:rPr>
      <w:rFonts w:ascii="Calibri" w:eastAsia="Calibri" w:hAnsi="Calibri" w:cs="Times New Roman"/>
    </w:rPr>
  </w:style>
  <w:style w:type="character" w:customStyle="1" w:styleId="gsa">
    <w:name w:val="gs_a"/>
    <w:basedOn w:val="DefaultParagraphFont"/>
    <w:rsid w:val="007675A0"/>
  </w:style>
  <w:style w:type="character" w:styleId="PlaceholderText">
    <w:name w:val="Placeholder Text"/>
    <w:basedOn w:val="DefaultParagraphFont"/>
    <w:uiPriority w:val="99"/>
    <w:semiHidden/>
    <w:rsid w:val="008C49FD"/>
    <w:rPr>
      <w:color w:val="808080"/>
    </w:rPr>
  </w:style>
</w:styles>
</file>

<file path=word/webSettings.xml><?xml version="1.0" encoding="utf-8"?>
<w:webSettings xmlns:r="http://schemas.openxmlformats.org/officeDocument/2006/relationships" xmlns:w="http://schemas.openxmlformats.org/wordprocessingml/2006/main">
  <w:divs>
    <w:div w:id="51583013">
      <w:bodyDiv w:val="1"/>
      <w:marLeft w:val="0"/>
      <w:marRight w:val="0"/>
      <w:marTop w:val="0"/>
      <w:marBottom w:val="0"/>
      <w:divBdr>
        <w:top w:val="none" w:sz="0" w:space="0" w:color="auto"/>
        <w:left w:val="none" w:sz="0" w:space="0" w:color="auto"/>
        <w:bottom w:val="none" w:sz="0" w:space="0" w:color="auto"/>
        <w:right w:val="none" w:sz="0" w:space="0" w:color="auto"/>
      </w:divBdr>
    </w:div>
    <w:div w:id="56099633">
      <w:bodyDiv w:val="1"/>
      <w:marLeft w:val="0"/>
      <w:marRight w:val="0"/>
      <w:marTop w:val="0"/>
      <w:marBottom w:val="0"/>
      <w:divBdr>
        <w:top w:val="none" w:sz="0" w:space="0" w:color="auto"/>
        <w:left w:val="none" w:sz="0" w:space="0" w:color="auto"/>
        <w:bottom w:val="none" w:sz="0" w:space="0" w:color="auto"/>
        <w:right w:val="none" w:sz="0" w:space="0" w:color="auto"/>
      </w:divBdr>
    </w:div>
    <w:div w:id="65805933">
      <w:bodyDiv w:val="1"/>
      <w:marLeft w:val="0"/>
      <w:marRight w:val="0"/>
      <w:marTop w:val="0"/>
      <w:marBottom w:val="0"/>
      <w:divBdr>
        <w:top w:val="none" w:sz="0" w:space="0" w:color="auto"/>
        <w:left w:val="none" w:sz="0" w:space="0" w:color="auto"/>
        <w:bottom w:val="none" w:sz="0" w:space="0" w:color="auto"/>
        <w:right w:val="none" w:sz="0" w:space="0" w:color="auto"/>
      </w:divBdr>
    </w:div>
    <w:div w:id="72551175">
      <w:bodyDiv w:val="1"/>
      <w:marLeft w:val="0"/>
      <w:marRight w:val="0"/>
      <w:marTop w:val="0"/>
      <w:marBottom w:val="0"/>
      <w:divBdr>
        <w:top w:val="none" w:sz="0" w:space="0" w:color="auto"/>
        <w:left w:val="none" w:sz="0" w:space="0" w:color="auto"/>
        <w:bottom w:val="none" w:sz="0" w:space="0" w:color="auto"/>
        <w:right w:val="none" w:sz="0" w:space="0" w:color="auto"/>
      </w:divBdr>
    </w:div>
    <w:div w:id="118115623">
      <w:bodyDiv w:val="1"/>
      <w:marLeft w:val="0"/>
      <w:marRight w:val="0"/>
      <w:marTop w:val="0"/>
      <w:marBottom w:val="0"/>
      <w:divBdr>
        <w:top w:val="none" w:sz="0" w:space="0" w:color="auto"/>
        <w:left w:val="none" w:sz="0" w:space="0" w:color="auto"/>
        <w:bottom w:val="none" w:sz="0" w:space="0" w:color="auto"/>
        <w:right w:val="none" w:sz="0" w:space="0" w:color="auto"/>
      </w:divBdr>
    </w:div>
    <w:div w:id="151454888">
      <w:bodyDiv w:val="1"/>
      <w:marLeft w:val="0"/>
      <w:marRight w:val="0"/>
      <w:marTop w:val="0"/>
      <w:marBottom w:val="0"/>
      <w:divBdr>
        <w:top w:val="none" w:sz="0" w:space="0" w:color="auto"/>
        <w:left w:val="none" w:sz="0" w:space="0" w:color="auto"/>
        <w:bottom w:val="none" w:sz="0" w:space="0" w:color="auto"/>
        <w:right w:val="none" w:sz="0" w:space="0" w:color="auto"/>
      </w:divBdr>
    </w:div>
    <w:div w:id="183835895">
      <w:bodyDiv w:val="1"/>
      <w:marLeft w:val="0"/>
      <w:marRight w:val="0"/>
      <w:marTop w:val="0"/>
      <w:marBottom w:val="0"/>
      <w:divBdr>
        <w:top w:val="none" w:sz="0" w:space="0" w:color="auto"/>
        <w:left w:val="none" w:sz="0" w:space="0" w:color="auto"/>
        <w:bottom w:val="none" w:sz="0" w:space="0" w:color="auto"/>
        <w:right w:val="none" w:sz="0" w:space="0" w:color="auto"/>
      </w:divBdr>
    </w:div>
    <w:div w:id="274026757">
      <w:bodyDiv w:val="1"/>
      <w:marLeft w:val="0"/>
      <w:marRight w:val="0"/>
      <w:marTop w:val="0"/>
      <w:marBottom w:val="0"/>
      <w:divBdr>
        <w:top w:val="none" w:sz="0" w:space="0" w:color="auto"/>
        <w:left w:val="none" w:sz="0" w:space="0" w:color="auto"/>
        <w:bottom w:val="none" w:sz="0" w:space="0" w:color="auto"/>
        <w:right w:val="none" w:sz="0" w:space="0" w:color="auto"/>
      </w:divBdr>
    </w:div>
    <w:div w:id="310914528">
      <w:bodyDiv w:val="1"/>
      <w:marLeft w:val="0"/>
      <w:marRight w:val="0"/>
      <w:marTop w:val="0"/>
      <w:marBottom w:val="0"/>
      <w:divBdr>
        <w:top w:val="none" w:sz="0" w:space="0" w:color="auto"/>
        <w:left w:val="none" w:sz="0" w:space="0" w:color="auto"/>
        <w:bottom w:val="none" w:sz="0" w:space="0" w:color="auto"/>
        <w:right w:val="none" w:sz="0" w:space="0" w:color="auto"/>
      </w:divBdr>
    </w:div>
    <w:div w:id="314527471">
      <w:bodyDiv w:val="1"/>
      <w:marLeft w:val="0"/>
      <w:marRight w:val="0"/>
      <w:marTop w:val="0"/>
      <w:marBottom w:val="0"/>
      <w:divBdr>
        <w:top w:val="none" w:sz="0" w:space="0" w:color="auto"/>
        <w:left w:val="none" w:sz="0" w:space="0" w:color="auto"/>
        <w:bottom w:val="none" w:sz="0" w:space="0" w:color="auto"/>
        <w:right w:val="none" w:sz="0" w:space="0" w:color="auto"/>
      </w:divBdr>
    </w:div>
    <w:div w:id="347105992">
      <w:bodyDiv w:val="1"/>
      <w:marLeft w:val="0"/>
      <w:marRight w:val="0"/>
      <w:marTop w:val="0"/>
      <w:marBottom w:val="0"/>
      <w:divBdr>
        <w:top w:val="none" w:sz="0" w:space="0" w:color="auto"/>
        <w:left w:val="none" w:sz="0" w:space="0" w:color="auto"/>
        <w:bottom w:val="none" w:sz="0" w:space="0" w:color="auto"/>
        <w:right w:val="none" w:sz="0" w:space="0" w:color="auto"/>
      </w:divBdr>
    </w:div>
    <w:div w:id="366563208">
      <w:bodyDiv w:val="1"/>
      <w:marLeft w:val="0"/>
      <w:marRight w:val="0"/>
      <w:marTop w:val="0"/>
      <w:marBottom w:val="0"/>
      <w:divBdr>
        <w:top w:val="none" w:sz="0" w:space="0" w:color="auto"/>
        <w:left w:val="none" w:sz="0" w:space="0" w:color="auto"/>
        <w:bottom w:val="none" w:sz="0" w:space="0" w:color="auto"/>
        <w:right w:val="none" w:sz="0" w:space="0" w:color="auto"/>
      </w:divBdr>
    </w:div>
    <w:div w:id="393698101">
      <w:bodyDiv w:val="1"/>
      <w:marLeft w:val="0"/>
      <w:marRight w:val="0"/>
      <w:marTop w:val="0"/>
      <w:marBottom w:val="0"/>
      <w:divBdr>
        <w:top w:val="none" w:sz="0" w:space="0" w:color="auto"/>
        <w:left w:val="none" w:sz="0" w:space="0" w:color="auto"/>
        <w:bottom w:val="none" w:sz="0" w:space="0" w:color="auto"/>
        <w:right w:val="none" w:sz="0" w:space="0" w:color="auto"/>
      </w:divBdr>
    </w:div>
    <w:div w:id="500585899">
      <w:bodyDiv w:val="1"/>
      <w:marLeft w:val="0"/>
      <w:marRight w:val="0"/>
      <w:marTop w:val="0"/>
      <w:marBottom w:val="0"/>
      <w:divBdr>
        <w:top w:val="none" w:sz="0" w:space="0" w:color="auto"/>
        <w:left w:val="none" w:sz="0" w:space="0" w:color="auto"/>
        <w:bottom w:val="none" w:sz="0" w:space="0" w:color="auto"/>
        <w:right w:val="none" w:sz="0" w:space="0" w:color="auto"/>
      </w:divBdr>
    </w:div>
    <w:div w:id="515120611">
      <w:bodyDiv w:val="1"/>
      <w:marLeft w:val="0"/>
      <w:marRight w:val="0"/>
      <w:marTop w:val="0"/>
      <w:marBottom w:val="0"/>
      <w:divBdr>
        <w:top w:val="none" w:sz="0" w:space="0" w:color="auto"/>
        <w:left w:val="none" w:sz="0" w:space="0" w:color="auto"/>
        <w:bottom w:val="none" w:sz="0" w:space="0" w:color="auto"/>
        <w:right w:val="none" w:sz="0" w:space="0" w:color="auto"/>
      </w:divBdr>
    </w:div>
    <w:div w:id="544947596">
      <w:bodyDiv w:val="1"/>
      <w:marLeft w:val="0"/>
      <w:marRight w:val="0"/>
      <w:marTop w:val="0"/>
      <w:marBottom w:val="0"/>
      <w:divBdr>
        <w:top w:val="none" w:sz="0" w:space="0" w:color="auto"/>
        <w:left w:val="none" w:sz="0" w:space="0" w:color="auto"/>
        <w:bottom w:val="none" w:sz="0" w:space="0" w:color="auto"/>
        <w:right w:val="none" w:sz="0" w:space="0" w:color="auto"/>
      </w:divBdr>
    </w:div>
    <w:div w:id="576475115">
      <w:bodyDiv w:val="1"/>
      <w:marLeft w:val="0"/>
      <w:marRight w:val="0"/>
      <w:marTop w:val="0"/>
      <w:marBottom w:val="0"/>
      <w:divBdr>
        <w:top w:val="none" w:sz="0" w:space="0" w:color="auto"/>
        <w:left w:val="none" w:sz="0" w:space="0" w:color="auto"/>
        <w:bottom w:val="none" w:sz="0" w:space="0" w:color="auto"/>
        <w:right w:val="none" w:sz="0" w:space="0" w:color="auto"/>
      </w:divBdr>
    </w:div>
    <w:div w:id="615796978">
      <w:bodyDiv w:val="1"/>
      <w:marLeft w:val="0"/>
      <w:marRight w:val="0"/>
      <w:marTop w:val="0"/>
      <w:marBottom w:val="0"/>
      <w:divBdr>
        <w:top w:val="none" w:sz="0" w:space="0" w:color="auto"/>
        <w:left w:val="none" w:sz="0" w:space="0" w:color="auto"/>
        <w:bottom w:val="none" w:sz="0" w:space="0" w:color="auto"/>
        <w:right w:val="none" w:sz="0" w:space="0" w:color="auto"/>
      </w:divBdr>
    </w:div>
    <w:div w:id="626666413">
      <w:bodyDiv w:val="1"/>
      <w:marLeft w:val="0"/>
      <w:marRight w:val="0"/>
      <w:marTop w:val="0"/>
      <w:marBottom w:val="0"/>
      <w:divBdr>
        <w:top w:val="none" w:sz="0" w:space="0" w:color="auto"/>
        <w:left w:val="none" w:sz="0" w:space="0" w:color="auto"/>
        <w:bottom w:val="none" w:sz="0" w:space="0" w:color="auto"/>
        <w:right w:val="none" w:sz="0" w:space="0" w:color="auto"/>
      </w:divBdr>
    </w:div>
    <w:div w:id="641152317">
      <w:bodyDiv w:val="1"/>
      <w:marLeft w:val="0"/>
      <w:marRight w:val="0"/>
      <w:marTop w:val="0"/>
      <w:marBottom w:val="0"/>
      <w:divBdr>
        <w:top w:val="none" w:sz="0" w:space="0" w:color="auto"/>
        <w:left w:val="none" w:sz="0" w:space="0" w:color="auto"/>
        <w:bottom w:val="none" w:sz="0" w:space="0" w:color="auto"/>
        <w:right w:val="none" w:sz="0" w:space="0" w:color="auto"/>
      </w:divBdr>
    </w:div>
    <w:div w:id="655963509">
      <w:bodyDiv w:val="1"/>
      <w:marLeft w:val="0"/>
      <w:marRight w:val="0"/>
      <w:marTop w:val="0"/>
      <w:marBottom w:val="0"/>
      <w:divBdr>
        <w:top w:val="none" w:sz="0" w:space="0" w:color="auto"/>
        <w:left w:val="none" w:sz="0" w:space="0" w:color="auto"/>
        <w:bottom w:val="none" w:sz="0" w:space="0" w:color="auto"/>
        <w:right w:val="none" w:sz="0" w:space="0" w:color="auto"/>
      </w:divBdr>
    </w:div>
    <w:div w:id="671838202">
      <w:bodyDiv w:val="1"/>
      <w:marLeft w:val="0"/>
      <w:marRight w:val="0"/>
      <w:marTop w:val="0"/>
      <w:marBottom w:val="0"/>
      <w:divBdr>
        <w:top w:val="none" w:sz="0" w:space="0" w:color="auto"/>
        <w:left w:val="none" w:sz="0" w:space="0" w:color="auto"/>
        <w:bottom w:val="none" w:sz="0" w:space="0" w:color="auto"/>
        <w:right w:val="none" w:sz="0" w:space="0" w:color="auto"/>
      </w:divBdr>
    </w:div>
    <w:div w:id="697505094">
      <w:bodyDiv w:val="1"/>
      <w:marLeft w:val="0"/>
      <w:marRight w:val="0"/>
      <w:marTop w:val="0"/>
      <w:marBottom w:val="0"/>
      <w:divBdr>
        <w:top w:val="none" w:sz="0" w:space="0" w:color="auto"/>
        <w:left w:val="none" w:sz="0" w:space="0" w:color="auto"/>
        <w:bottom w:val="none" w:sz="0" w:space="0" w:color="auto"/>
        <w:right w:val="none" w:sz="0" w:space="0" w:color="auto"/>
      </w:divBdr>
    </w:div>
    <w:div w:id="700517516">
      <w:bodyDiv w:val="1"/>
      <w:marLeft w:val="0"/>
      <w:marRight w:val="0"/>
      <w:marTop w:val="0"/>
      <w:marBottom w:val="0"/>
      <w:divBdr>
        <w:top w:val="none" w:sz="0" w:space="0" w:color="auto"/>
        <w:left w:val="none" w:sz="0" w:space="0" w:color="auto"/>
        <w:bottom w:val="none" w:sz="0" w:space="0" w:color="auto"/>
        <w:right w:val="none" w:sz="0" w:space="0" w:color="auto"/>
      </w:divBdr>
    </w:div>
    <w:div w:id="707219618">
      <w:bodyDiv w:val="1"/>
      <w:marLeft w:val="0"/>
      <w:marRight w:val="0"/>
      <w:marTop w:val="0"/>
      <w:marBottom w:val="0"/>
      <w:divBdr>
        <w:top w:val="none" w:sz="0" w:space="0" w:color="auto"/>
        <w:left w:val="none" w:sz="0" w:space="0" w:color="auto"/>
        <w:bottom w:val="none" w:sz="0" w:space="0" w:color="auto"/>
        <w:right w:val="none" w:sz="0" w:space="0" w:color="auto"/>
      </w:divBdr>
    </w:div>
    <w:div w:id="720134990">
      <w:bodyDiv w:val="1"/>
      <w:marLeft w:val="0"/>
      <w:marRight w:val="0"/>
      <w:marTop w:val="0"/>
      <w:marBottom w:val="0"/>
      <w:divBdr>
        <w:top w:val="none" w:sz="0" w:space="0" w:color="auto"/>
        <w:left w:val="none" w:sz="0" w:space="0" w:color="auto"/>
        <w:bottom w:val="none" w:sz="0" w:space="0" w:color="auto"/>
        <w:right w:val="none" w:sz="0" w:space="0" w:color="auto"/>
      </w:divBdr>
    </w:div>
    <w:div w:id="755246443">
      <w:bodyDiv w:val="1"/>
      <w:marLeft w:val="0"/>
      <w:marRight w:val="0"/>
      <w:marTop w:val="0"/>
      <w:marBottom w:val="0"/>
      <w:divBdr>
        <w:top w:val="none" w:sz="0" w:space="0" w:color="auto"/>
        <w:left w:val="none" w:sz="0" w:space="0" w:color="auto"/>
        <w:bottom w:val="none" w:sz="0" w:space="0" w:color="auto"/>
        <w:right w:val="none" w:sz="0" w:space="0" w:color="auto"/>
      </w:divBdr>
    </w:div>
    <w:div w:id="795178809">
      <w:bodyDiv w:val="1"/>
      <w:marLeft w:val="0"/>
      <w:marRight w:val="0"/>
      <w:marTop w:val="0"/>
      <w:marBottom w:val="0"/>
      <w:divBdr>
        <w:top w:val="none" w:sz="0" w:space="0" w:color="auto"/>
        <w:left w:val="none" w:sz="0" w:space="0" w:color="auto"/>
        <w:bottom w:val="none" w:sz="0" w:space="0" w:color="auto"/>
        <w:right w:val="none" w:sz="0" w:space="0" w:color="auto"/>
      </w:divBdr>
    </w:div>
    <w:div w:id="813252976">
      <w:bodyDiv w:val="1"/>
      <w:marLeft w:val="0"/>
      <w:marRight w:val="0"/>
      <w:marTop w:val="0"/>
      <w:marBottom w:val="0"/>
      <w:divBdr>
        <w:top w:val="none" w:sz="0" w:space="0" w:color="auto"/>
        <w:left w:val="none" w:sz="0" w:space="0" w:color="auto"/>
        <w:bottom w:val="none" w:sz="0" w:space="0" w:color="auto"/>
        <w:right w:val="none" w:sz="0" w:space="0" w:color="auto"/>
      </w:divBdr>
    </w:div>
    <w:div w:id="816840747">
      <w:bodyDiv w:val="1"/>
      <w:marLeft w:val="0"/>
      <w:marRight w:val="0"/>
      <w:marTop w:val="0"/>
      <w:marBottom w:val="0"/>
      <w:divBdr>
        <w:top w:val="none" w:sz="0" w:space="0" w:color="auto"/>
        <w:left w:val="none" w:sz="0" w:space="0" w:color="auto"/>
        <w:bottom w:val="none" w:sz="0" w:space="0" w:color="auto"/>
        <w:right w:val="none" w:sz="0" w:space="0" w:color="auto"/>
      </w:divBdr>
    </w:div>
    <w:div w:id="818770981">
      <w:bodyDiv w:val="1"/>
      <w:marLeft w:val="0"/>
      <w:marRight w:val="0"/>
      <w:marTop w:val="0"/>
      <w:marBottom w:val="0"/>
      <w:divBdr>
        <w:top w:val="none" w:sz="0" w:space="0" w:color="auto"/>
        <w:left w:val="none" w:sz="0" w:space="0" w:color="auto"/>
        <w:bottom w:val="none" w:sz="0" w:space="0" w:color="auto"/>
        <w:right w:val="none" w:sz="0" w:space="0" w:color="auto"/>
      </w:divBdr>
    </w:div>
    <w:div w:id="852113679">
      <w:bodyDiv w:val="1"/>
      <w:marLeft w:val="0"/>
      <w:marRight w:val="0"/>
      <w:marTop w:val="0"/>
      <w:marBottom w:val="0"/>
      <w:divBdr>
        <w:top w:val="none" w:sz="0" w:space="0" w:color="auto"/>
        <w:left w:val="none" w:sz="0" w:space="0" w:color="auto"/>
        <w:bottom w:val="none" w:sz="0" w:space="0" w:color="auto"/>
        <w:right w:val="none" w:sz="0" w:space="0" w:color="auto"/>
      </w:divBdr>
    </w:div>
    <w:div w:id="935599745">
      <w:bodyDiv w:val="1"/>
      <w:marLeft w:val="0"/>
      <w:marRight w:val="0"/>
      <w:marTop w:val="0"/>
      <w:marBottom w:val="0"/>
      <w:divBdr>
        <w:top w:val="none" w:sz="0" w:space="0" w:color="auto"/>
        <w:left w:val="none" w:sz="0" w:space="0" w:color="auto"/>
        <w:bottom w:val="none" w:sz="0" w:space="0" w:color="auto"/>
        <w:right w:val="none" w:sz="0" w:space="0" w:color="auto"/>
      </w:divBdr>
    </w:div>
    <w:div w:id="942302968">
      <w:bodyDiv w:val="1"/>
      <w:marLeft w:val="0"/>
      <w:marRight w:val="0"/>
      <w:marTop w:val="0"/>
      <w:marBottom w:val="0"/>
      <w:divBdr>
        <w:top w:val="none" w:sz="0" w:space="0" w:color="auto"/>
        <w:left w:val="none" w:sz="0" w:space="0" w:color="auto"/>
        <w:bottom w:val="none" w:sz="0" w:space="0" w:color="auto"/>
        <w:right w:val="none" w:sz="0" w:space="0" w:color="auto"/>
      </w:divBdr>
    </w:div>
    <w:div w:id="1015768094">
      <w:bodyDiv w:val="1"/>
      <w:marLeft w:val="0"/>
      <w:marRight w:val="0"/>
      <w:marTop w:val="0"/>
      <w:marBottom w:val="0"/>
      <w:divBdr>
        <w:top w:val="none" w:sz="0" w:space="0" w:color="auto"/>
        <w:left w:val="none" w:sz="0" w:space="0" w:color="auto"/>
        <w:bottom w:val="none" w:sz="0" w:space="0" w:color="auto"/>
        <w:right w:val="none" w:sz="0" w:space="0" w:color="auto"/>
      </w:divBdr>
    </w:div>
    <w:div w:id="1071007421">
      <w:bodyDiv w:val="1"/>
      <w:marLeft w:val="0"/>
      <w:marRight w:val="0"/>
      <w:marTop w:val="0"/>
      <w:marBottom w:val="0"/>
      <w:divBdr>
        <w:top w:val="none" w:sz="0" w:space="0" w:color="auto"/>
        <w:left w:val="none" w:sz="0" w:space="0" w:color="auto"/>
        <w:bottom w:val="none" w:sz="0" w:space="0" w:color="auto"/>
        <w:right w:val="none" w:sz="0" w:space="0" w:color="auto"/>
      </w:divBdr>
    </w:div>
    <w:div w:id="1072847704">
      <w:bodyDiv w:val="1"/>
      <w:marLeft w:val="0"/>
      <w:marRight w:val="0"/>
      <w:marTop w:val="0"/>
      <w:marBottom w:val="0"/>
      <w:divBdr>
        <w:top w:val="none" w:sz="0" w:space="0" w:color="auto"/>
        <w:left w:val="none" w:sz="0" w:space="0" w:color="auto"/>
        <w:bottom w:val="none" w:sz="0" w:space="0" w:color="auto"/>
        <w:right w:val="none" w:sz="0" w:space="0" w:color="auto"/>
      </w:divBdr>
    </w:div>
    <w:div w:id="1078013207">
      <w:bodyDiv w:val="1"/>
      <w:marLeft w:val="0"/>
      <w:marRight w:val="0"/>
      <w:marTop w:val="0"/>
      <w:marBottom w:val="0"/>
      <w:divBdr>
        <w:top w:val="none" w:sz="0" w:space="0" w:color="auto"/>
        <w:left w:val="none" w:sz="0" w:space="0" w:color="auto"/>
        <w:bottom w:val="none" w:sz="0" w:space="0" w:color="auto"/>
        <w:right w:val="none" w:sz="0" w:space="0" w:color="auto"/>
      </w:divBdr>
    </w:div>
    <w:div w:id="1166167169">
      <w:bodyDiv w:val="1"/>
      <w:marLeft w:val="0"/>
      <w:marRight w:val="0"/>
      <w:marTop w:val="0"/>
      <w:marBottom w:val="0"/>
      <w:divBdr>
        <w:top w:val="none" w:sz="0" w:space="0" w:color="auto"/>
        <w:left w:val="none" w:sz="0" w:space="0" w:color="auto"/>
        <w:bottom w:val="none" w:sz="0" w:space="0" w:color="auto"/>
        <w:right w:val="none" w:sz="0" w:space="0" w:color="auto"/>
      </w:divBdr>
    </w:div>
    <w:div w:id="1174497099">
      <w:bodyDiv w:val="1"/>
      <w:marLeft w:val="0"/>
      <w:marRight w:val="0"/>
      <w:marTop w:val="0"/>
      <w:marBottom w:val="0"/>
      <w:divBdr>
        <w:top w:val="none" w:sz="0" w:space="0" w:color="auto"/>
        <w:left w:val="none" w:sz="0" w:space="0" w:color="auto"/>
        <w:bottom w:val="none" w:sz="0" w:space="0" w:color="auto"/>
        <w:right w:val="none" w:sz="0" w:space="0" w:color="auto"/>
      </w:divBdr>
    </w:div>
    <w:div w:id="1214659590">
      <w:bodyDiv w:val="1"/>
      <w:marLeft w:val="0"/>
      <w:marRight w:val="0"/>
      <w:marTop w:val="0"/>
      <w:marBottom w:val="0"/>
      <w:divBdr>
        <w:top w:val="none" w:sz="0" w:space="0" w:color="auto"/>
        <w:left w:val="none" w:sz="0" w:space="0" w:color="auto"/>
        <w:bottom w:val="none" w:sz="0" w:space="0" w:color="auto"/>
        <w:right w:val="none" w:sz="0" w:space="0" w:color="auto"/>
      </w:divBdr>
    </w:div>
    <w:div w:id="1246496439">
      <w:bodyDiv w:val="1"/>
      <w:marLeft w:val="0"/>
      <w:marRight w:val="0"/>
      <w:marTop w:val="0"/>
      <w:marBottom w:val="0"/>
      <w:divBdr>
        <w:top w:val="none" w:sz="0" w:space="0" w:color="auto"/>
        <w:left w:val="none" w:sz="0" w:space="0" w:color="auto"/>
        <w:bottom w:val="none" w:sz="0" w:space="0" w:color="auto"/>
        <w:right w:val="none" w:sz="0" w:space="0" w:color="auto"/>
      </w:divBdr>
    </w:div>
    <w:div w:id="1249458039">
      <w:bodyDiv w:val="1"/>
      <w:marLeft w:val="0"/>
      <w:marRight w:val="0"/>
      <w:marTop w:val="0"/>
      <w:marBottom w:val="0"/>
      <w:divBdr>
        <w:top w:val="none" w:sz="0" w:space="0" w:color="auto"/>
        <w:left w:val="none" w:sz="0" w:space="0" w:color="auto"/>
        <w:bottom w:val="none" w:sz="0" w:space="0" w:color="auto"/>
        <w:right w:val="none" w:sz="0" w:space="0" w:color="auto"/>
      </w:divBdr>
    </w:div>
    <w:div w:id="1280835840">
      <w:bodyDiv w:val="1"/>
      <w:marLeft w:val="0"/>
      <w:marRight w:val="0"/>
      <w:marTop w:val="0"/>
      <w:marBottom w:val="0"/>
      <w:divBdr>
        <w:top w:val="none" w:sz="0" w:space="0" w:color="auto"/>
        <w:left w:val="none" w:sz="0" w:space="0" w:color="auto"/>
        <w:bottom w:val="none" w:sz="0" w:space="0" w:color="auto"/>
        <w:right w:val="none" w:sz="0" w:space="0" w:color="auto"/>
      </w:divBdr>
    </w:div>
    <w:div w:id="1281641803">
      <w:bodyDiv w:val="1"/>
      <w:marLeft w:val="0"/>
      <w:marRight w:val="0"/>
      <w:marTop w:val="0"/>
      <w:marBottom w:val="0"/>
      <w:divBdr>
        <w:top w:val="none" w:sz="0" w:space="0" w:color="auto"/>
        <w:left w:val="none" w:sz="0" w:space="0" w:color="auto"/>
        <w:bottom w:val="none" w:sz="0" w:space="0" w:color="auto"/>
        <w:right w:val="none" w:sz="0" w:space="0" w:color="auto"/>
      </w:divBdr>
    </w:div>
    <w:div w:id="1310287851">
      <w:bodyDiv w:val="1"/>
      <w:marLeft w:val="0"/>
      <w:marRight w:val="0"/>
      <w:marTop w:val="0"/>
      <w:marBottom w:val="0"/>
      <w:divBdr>
        <w:top w:val="none" w:sz="0" w:space="0" w:color="auto"/>
        <w:left w:val="none" w:sz="0" w:space="0" w:color="auto"/>
        <w:bottom w:val="none" w:sz="0" w:space="0" w:color="auto"/>
        <w:right w:val="none" w:sz="0" w:space="0" w:color="auto"/>
      </w:divBdr>
    </w:div>
    <w:div w:id="1370380302">
      <w:bodyDiv w:val="1"/>
      <w:marLeft w:val="0"/>
      <w:marRight w:val="0"/>
      <w:marTop w:val="0"/>
      <w:marBottom w:val="0"/>
      <w:divBdr>
        <w:top w:val="none" w:sz="0" w:space="0" w:color="auto"/>
        <w:left w:val="none" w:sz="0" w:space="0" w:color="auto"/>
        <w:bottom w:val="none" w:sz="0" w:space="0" w:color="auto"/>
        <w:right w:val="none" w:sz="0" w:space="0" w:color="auto"/>
      </w:divBdr>
    </w:div>
    <w:div w:id="1385835414">
      <w:bodyDiv w:val="1"/>
      <w:marLeft w:val="0"/>
      <w:marRight w:val="0"/>
      <w:marTop w:val="0"/>
      <w:marBottom w:val="0"/>
      <w:divBdr>
        <w:top w:val="none" w:sz="0" w:space="0" w:color="auto"/>
        <w:left w:val="none" w:sz="0" w:space="0" w:color="auto"/>
        <w:bottom w:val="none" w:sz="0" w:space="0" w:color="auto"/>
        <w:right w:val="none" w:sz="0" w:space="0" w:color="auto"/>
      </w:divBdr>
    </w:div>
    <w:div w:id="1392535141">
      <w:bodyDiv w:val="1"/>
      <w:marLeft w:val="0"/>
      <w:marRight w:val="0"/>
      <w:marTop w:val="0"/>
      <w:marBottom w:val="0"/>
      <w:divBdr>
        <w:top w:val="none" w:sz="0" w:space="0" w:color="auto"/>
        <w:left w:val="none" w:sz="0" w:space="0" w:color="auto"/>
        <w:bottom w:val="none" w:sz="0" w:space="0" w:color="auto"/>
        <w:right w:val="none" w:sz="0" w:space="0" w:color="auto"/>
      </w:divBdr>
    </w:div>
    <w:div w:id="1395422207">
      <w:bodyDiv w:val="1"/>
      <w:marLeft w:val="0"/>
      <w:marRight w:val="0"/>
      <w:marTop w:val="0"/>
      <w:marBottom w:val="0"/>
      <w:divBdr>
        <w:top w:val="none" w:sz="0" w:space="0" w:color="auto"/>
        <w:left w:val="none" w:sz="0" w:space="0" w:color="auto"/>
        <w:bottom w:val="none" w:sz="0" w:space="0" w:color="auto"/>
        <w:right w:val="none" w:sz="0" w:space="0" w:color="auto"/>
      </w:divBdr>
    </w:div>
    <w:div w:id="1455633320">
      <w:bodyDiv w:val="1"/>
      <w:marLeft w:val="0"/>
      <w:marRight w:val="0"/>
      <w:marTop w:val="0"/>
      <w:marBottom w:val="0"/>
      <w:divBdr>
        <w:top w:val="none" w:sz="0" w:space="0" w:color="auto"/>
        <w:left w:val="none" w:sz="0" w:space="0" w:color="auto"/>
        <w:bottom w:val="none" w:sz="0" w:space="0" w:color="auto"/>
        <w:right w:val="none" w:sz="0" w:space="0" w:color="auto"/>
      </w:divBdr>
    </w:div>
    <w:div w:id="1498962937">
      <w:bodyDiv w:val="1"/>
      <w:marLeft w:val="0"/>
      <w:marRight w:val="0"/>
      <w:marTop w:val="0"/>
      <w:marBottom w:val="0"/>
      <w:divBdr>
        <w:top w:val="none" w:sz="0" w:space="0" w:color="auto"/>
        <w:left w:val="none" w:sz="0" w:space="0" w:color="auto"/>
        <w:bottom w:val="none" w:sz="0" w:space="0" w:color="auto"/>
        <w:right w:val="none" w:sz="0" w:space="0" w:color="auto"/>
      </w:divBdr>
    </w:div>
    <w:div w:id="1557276275">
      <w:bodyDiv w:val="1"/>
      <w:marLeft w:val="0"/>
      <w:marRight w:val="0"/>
      <w:marTop w:val="0"/>
      <w:marBottom w:val="0"/>
      <w:divBdr>
        <w:top w:val="none" w:sz="0" w:space="0" w:color="auto"/>
        <w:left w:val="none" w:sz="0" w:space="0" w:color="auto"/>
        <w:bottom w:val="none" w:sz="0" w:space="0" w:color="auto"/>
        <w:right w:val="none" w:sz="0" w:space="0" w:color="auto"/>
      </w:divBdr>
    </w:div>
    <w:div w:id="1567838953">
      <w:bodyDiv w:val="1"/>
      <w:marLeft w:val="0"/>
      <w:marRight w:val="0"/>
      <w:marTop w:val="0"/>
      <w:marBottom w:val="0"/>
      <w:divBdr>
        <w:top w:val="none" w:sz="0" w:space="0" w:color="auto"/>
        <w:left w:val="none" w:sz="0" w:space="0" w:color="auto"/>
        <w:bottom w:val="none" w:sz="0" w:space="0" w:color="auto"/>
        <w:right w:val="none" w:sz="0" w:space="0" w:color="auto"/>
      </w:divBdr>
    </w:div>
    <w:div w:id="1576403858">
      <w:bodyDiv w:val="1"/>
      <w:marLeft w:val="0"/>
      <w:marRight w:val="0"/>
      <w:marTop w:val="0"/>
      <w:marBottom w:val="0"/>
      <w:divBdr>
        <w:top w:val="none" w:sz="0" w:space="0" w:color="auto"/>
        <w:left w:val="none" w:sz="0" w:space="0" w:color="auto"/>
        <w:bottom w:val="none" w:sz="0" w:space="0" w:color="auto"/>
        <w:right w:val="none" w:sz="0" w:space="0" w:color="auto"/>
      </w:divBdr>
    </w:div>
    <w:div w:id="1576937222">
      <w:bodyDiv w:val="1"/>
      <w:marLeft w:val="0"/>
      <w:marRight w:val="0"/>
      <w:marTop w:val="0"/>
      <w:marBottom w:val="0"/>
      <w:divBdr>
        <w:top w:val="none" w:sz="0" w:space="0" w:color="auto"/>
        <w:left w:val="none" w:sz="0" w:space="0" w:color="auto"/>
        <w:bottom w:val="none" w:sz="0" w:space="0" w:color="auto"/>
        <w:right w:val="none" w:sz="0" w:space="0" w:color="auto"/>
      </w:divBdr>
    </w:div>
    <w:div w:id="1578401500">
      <w:bodyDiv w:val="1"/>
      <w:marLeft w:val="0"/>
      <w:marRight w:val="0"/>
      <w:marTop w:val="0"/>
      <w:marBottom w:val="0"/>
      <w:divBdr>
        <w:top w:val="none" w:sz="0" w:space="0" w:color="auto"/>
        <w:left w:val="none" w:sz="0" w:space="0" w:color="auto"/>
        <w:bottom w:val="none" w:sz="0" w:space="0" w:color="auto"/>
        <w:right w:val="none" w:sz="0" w:space="0" w:color="auto"/>
      </w:divBdr>
    </w:div>
    <w:div w:id="1590771664">
      <w:bodyDiv w:val="1"/>
      <w:marLeft w:val="0"/>
      <w:marRight w:val="0"/>
      <w:marTop w:val="0"/>
      <w:marBottom w:val="0"/>
      <w:divBdr>
        <w:top w:val="none" w:sz="0" w:space="0" w:color="auto"/>
        <w:left w:val="none" w:sz="0" w:space="0" w:color="auto"/>
        <w:bottom w:val="none" w:sz="0" w:space="0" w:color="auto"/>
        <w:right w:val="none" w:sz="0" w:space="0" w:color="auto"/>
      </w:divBdr>
    </w:div>
    <w:div w:id="1630277138">
      <w:bodyDiv w:val="1"/>
      <w:marLeft w:val="0"/>
      <w:marRight w:val="0"/>
      <w:marTop w:val="0"/>
      <w:marBottom w:val="0"/>
      <w:divBdr>
        <w:top w:val="none" w:sz="0" w:space="0" w:color="auto"/>
        <w:left w:val="none" w:sz="0" w:space="0" w:color="auto"/>
        <w:bottom w:val="none" w:sz="0" w:space="0" w:color="auto"/>
        <w:right w:val="none" w:sz="0" w:space="0" w:color="auto"/>
      </w:divBdr>
    </w:div>
    <w:div w:id="1658486445">
      <w:bodyDiv w:val="1"/>
      <w:marLeft w:val="0"/>
      <w:marRight w:val="0"/>
      <w:marTop w:val="0"/>
      <w:marBottom w:val="0"/>
      <w:divBdr>
        <w:top w:val="none" w:sz="0" w:space="0" w:color="auto"/>
        <w:left w:val="none" w:sz="0" w:space="0" w:color="auto"/>
        <w:bottom w:val="none" w:sz="0" w:space="0" w:color="auto"/>
        <w:right w:val="none" w:sz="0" w:space="0" w:color="auto"/>
      </w:divBdr>
    </w:div>
    <w:div w:id="1672441446">
      <w:bodyDiv w:val="1"/>
      <w:marLeft w:val="0"/>
      <w:marRight w:val="0"/>
      <w:marTop w:val="0"/>
      <w:marBottom w:val="0"/>
      <w:divBdr>
        <w:top w:val="none" w:sz="0" w:space="0" w:color="auto"/>
        <w:left w:val="none" w:sz="0" w:space="0" w:color="auto"/>
        <w:bottom w:val="none" w:sz="0" w:space="0" w:color="auto"/>
        <w:right w:val="none" w:sz="0" w:space="0" w:color="auto"/>
      </w:divBdr>
    </w:div>
    <w:div w:id="1674918646">
      <w:bodyDiv w:val="1"/>
      <w:marLeft w:val="0"/>
      <w:marRight w:val="0"/>
      <w:marTop w:val="0"/>
      <w:marBottom w:val="0"/>
      <w:divBdr>
        <w:top w:val="none" w:sz="0" w:space="0" w:color="auto"/>
        <w:left w:val="none" w:sz="0" w:space="0" w:color="auto"/>
        <w:bottom w:val="none" w:sz="0" w:space="0" w:color="auto"/>
        <w:right w:val="none" w:sz="0" w:space="0" w:color="auto"/>
      </w:divBdr>
    </w:div>
    <w:div w:id="1696737385">
      <w:bodyDiv w:val="1"/>
      <w:marLeft w:val="0"/>
      <w:marRight w:val="0"/>
      <w:marTop w:val="0"/>
      <w:marBottom w:val="0"/>
      <w:divBdr>
        <w:top w:val="none" w:sz="0" w:space="0" w:color="auto"/>
        <w:left w:val="none" w:sz="0" w:space="0" w:color="auto"/>
        <w:bottom w:val="none" w:sz="0" w:space="0" w:color="auto"/>
        <w:right w:val="none" w:sz="0" w:space="0" w:color="auto"/>
      </w:divBdr>
    </w:div>
    <w:div w:id="1705443982">
      <w:bodyDiv w:val="1"/>
      <w:marLeft w:val="0"/>
      <w:marRight w:val="0"/>
      <w:marTop w:val="0"/>
      <w:marBottom w:val="0"/>
      <w:divBdr>
        <w:top w:val="none" w:sz="0" w:space="0" w:color="auto"/>
        <w:left w:val="none" w:sz="0" w:space="0" w:color="auto"/>
        <w:bottom w:val="none" w:sz="0" w:space="0" w:color="auto"/>
        <w:right w:val="none" w:sz="0" w:space="0" w:color="auto"/>
      </w:divBdr>
    </w:div>
    <w:div w:id="1708067919">
      <w:bodyDiv w:val="1"/>
      <w:marLeft w:val="0"/>
      <w:marRight w:val="0"/>
      <w:marTop w:val="0"/>
      <w:marBottom w:val="0"/>
      <w:divBdr>
        <w:top w:val="none" w:sz="0" w:space="0" w:color="auto"/>
        <w:left w:val="none" w:sz="0" w:space="0" w:color="auto"/>
        <w:bottom w:val="none" w:sz="0" w:space="0" w:color="auto"/>
        <w:right w:val="none" w:sz="0" w:space="0" w:color="auto"/>
      </w:divBdr>
    </w:div>
    <w:div w:id="1761564827">
      <w:bodyDiv w:val="1"/>
      <w:marLeft w:val="0"/>
      <w:marRight w:val="0"/>
      <w:marTop w:val="0"/>
      <w:marBottom w:val="0"/>
      <w:divBdr>
        <w:top w:val="none" w:sz="0" w:space="0" w:color="auto"/>
        <w:left w:val="none" w:sz="0" w:space="0" w:color="auto"/>
        <w:bottom w:val="none" w:sz="0" w:space="0" w:color="auto"/>
        <w:right w:val="none" w:sz="0" w:space="0" w:color="auto"/>
      </w:divBdr>
    </w:div>
    <w:div w:id="1806894522">
      <w:bodyDiv w:val="1"/>
      <w:marLeft w:val="0"/>
      <w:marRight w:val="0"/>
      <w:marTop w:val="0"/>
      <w:marBottom w:val="0"/>
      <w:divBdr>
        <w:top w:val="none" w:sz="0" w:space="0" w:color="auto"/>
        <w:left w:val="none" w:sz="0" w:space="0" w:color="auto"/>
        <w:bottom w:val="none" w:sz="0" w:space="0" w:color="auto"/>
        <w:right w:val="none" w:sz="0" w:space="0" w:color="auto"/>
      </w:divBdr>
    </w:div>
    <w:div w:id="1825199957">
      <w:bodyDiv w:val="1"/>
      <w:marLeft w:val="0"/>
      <w:marRight w:val="0"/>
      <w:marTop w:val="0"/>
      <w:marBottom w:val="0"/>
      <w:divBdr>
        <w:top w:val="none" w:sz="0" w:space="0" w:color="auto"/>
        <w:left w:val="none" w:sz="0" w:space="0" w:color="auto"/>
        <w:bottom w:val="none" w:sz="0" w:space="0" w:color="auto"/>
        <w:right w:val="none" w:sz="0" w:space="0" w:color="auto"/>
      </w:divBdr>
    </w:div>
    <w:div w:id="1829201118">
      <w:bodyDiv w:val="1"/>
      <w:marLeft w:val="0"/>
      <w:marRight w:val="0"/>
      <w:marTop w:val="0"/>
      <w:marBottom w:val="0"/>
      <w:divBdr>
        <w:top w:val="none" w:sz="0" w:space="0" w:color="auto"/>
        <w:left w:val="none" w:sz="0" w:space="0" w:color="auto"/>
        <w:bottom w:val="none" w:sz="0" w:space="0" w:color="auto"/>
        <w:right w:val="none" w:sz="0" w:space="0" w:color="auto"/>
      </w:divBdr>
    </w:div>
    <w:div w:id="1856339677">
      <w:bodyDiv w:val="1"/>
      <w:marLeft w:val="0"/>
      <w:marRight w:val="0"/>
      <w:marTop w:val="0"/>
      <w:marBottom w:val="0"/>
      <w:divBdr>
        <w:top w:val="none" w:sz="0" w:space="0" w:color="auto"/>
        <w:left w:val="none" w:sz="0" w:space="0" w:color="auto"/>
        <w:bottom w:val="none" w:sz="0" w:space="0" w:color="auto"/>
        <w:right w:val="none" w:sz="0" w:space="0" w:color="auto"/>
      </w:divBdr>
    </w:div>
    <w:div w:id="1858695229">
      <w:bodyDiv w:val="1"/>
      <w:marLeft w:val="0"/>
      <w:marRight w:val="0"/>
      <w:marTop w:val="0"/>
      <w:marBottom w:val="0"/>
      <w:divBdr>
        <w:top w:val="none" w:sz="0" w:space="0" w:color="auto"/>
        <w:left w:val="none" w:sz="0" w:space="0" w:color="auto"/>
        <w:bottom w:val="none" w:sz="0" w:space="0" w:color="auto"/>
        <w:right w:val="none" w:sz="0" w:space="0" w:color="auto"/>
      </w:divBdr>
    </w:div>
    <w:div w:id="1929002911">
      <w:bodyDiv w:val="1"/>
      <w:marLeft w:val="0"/>
      <w:marRight w:val="0"/>
      <w:marTop w:val="0"/>
      <w:marBottom w:val="0"/>
      <w:divBdr>
        <w:top w:val="none" w:sz="0" w:space="0" w:color="auto"/>
        <w:left w:val="none" w:sz="0" w:space="0" w:color="auto"/>
        <w:bottom w:val="none" w:sz="0" w:space="0" w:color="auto"/>
        <w:right w:val="none" w:sz="0" w:space="0" w:color="auto"/>
      </w:divBdr>
    </w:div>
    <w:div w:id="1971394189">
      <w:bodyDiv w:val="1"/>
      <w:marLeft w:val="0"/>
      <w:marRight w:val="0"/>
      <w:marTop w:val="0"/>
      <w:marBottom w:val="0"/>
      <w:divBdr>
        <w:top w:val="none" w:sz="0" w:space="0" w:color="auto"/>
        <w:left w:val="none" w:sz="0" w:space="0" w:color="auto"/>
        <w:bottom w:val="none" w:sz="0" w:space="0" w:color="auto"/>
        <w:right w:val="none" w:sz="0" w:space="0" w:color="auto"/>
      </w:divBdr>
    </w:div>
    <w:div w:id="1991129625">
      <w:bodyDiv w:val="1"/>
      <w:marLeft w:val="0"/>
      <w:marRight w:val="0"/>
      <w:marTop w:val="0"/>
      <w:marBottom w:val="0"/>
      <w:divBdr>
        <w:top w:val="none" w:sz="0" w:space="0" w:color="auto"/>
        <w:left w:val="none" w:sz="0" w:space="0" w:color="auto"/>
        <w:bottom w:val="none" w:sz="0" w:space="0" w:color="auto"/>
        <w:right w:val="none" w:sz="0" w:space="0" w:color="auto"/>
      </w:divBdr>
    </w:div>
    <w:div w:id="2053310840">
      <w:bodyDiv w:val="1"/>
      <w:marLeft w:val="0"/>
      <w:marRight w:val="0"/>
      <w:marTop w:val="0"/>
      <w:marBottom w:val="0"/>
      <w:divBdr>
        <w:top w:val="none" w:sz="0" w:space="0" w:color="auto"/>
        <w:left w:val="none" w:sz="0" w:space="0" w:color="auto"/>
        <w:bottom w:val="none" w:sz="0" w:space="0" w:color="auto"/>
        <w:right w:val="none" w:sz="0" w:space="0" w:color="auto"/>
      </w:divBdr>
    </w:div>
    <w:div w:id="2085180375">
      <w:bodyDiv w:val="1"/>
      <w:marLeft w:val="0"/>
      <w:marRight w:val="0"/>
      <w:marTop w:val="0"/>
      <w:marBottom w:val="0"/>
      <w:divBdr>
        <w:top w:val="none" w:sz="0" w:space="0" w:color="auto"/>
        <w:left w:val="none" w:sz="0" w:space="0" w:color="auto"/>
        <w:bottom w:val="none" w:sz="0" w:space="0" w:color="auto"/>
        <w:right w:val="none" w:sz="0" w:space="0" w:color="auto"/>
      </w:divBdr>
    </w:div>
    <w:div w:id="2098164541">
      <w:bodyDiv w:val="1"/>
      <w:marLeft w:val="0"/>
      <w:marRight w:val="0"/>
      <w:marTop w:val="0"/>
      <w:marBottom w:val="0"/>
      <w:divBdr>
        <w:top w:val="none" w:sz="0" w:space="0" w:color="auto"/>
        <w:left w:val="none" w:sz="0" w:space="0" w:color="auto"/>
        <w:bottom w:val="none" w:sz="0" w:space="0" w:color="auto"/>
        <w:right w:val="none" w:sz="0" w:space="0" w:color="auto"/>
      </w:divBdr>
    </w:div>
    <w:div w:id="2129424855">
      <w:bodyDiv w:val="1"/>
      <w:marLeft w:val="0"/>
      <w:marRight w:val="0"/>
      <w:marTop w:val="0"/>
      <w:marBottom w:val="0"/>
      <w:divBdr>
        <w:top w:val="none" w:sz="0" w:space="0" w:color="auto"/>
        <w:left w:val="none" w:sz="0" w:space="0" w:color="auto"/>
        <w:bottom w:val="none" w:sz="0" w:space="0" w:color="auto"/>
        <w:right w:val="none" w:sz="0" w:space="0" w:color="auto"/>
      </w:divBdr>
    </w:div>
    <w:div w:id="213027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IPO underpricing: A Meta analysis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E47CA1-66F0-425C-9F97-7A6CBC6C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26960</Words>
  <Characters>153674</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B.J. Lustenhouwer</Company>
  <LinksUpToDate>false</LinksUpToDate>
  <CharactersWithSpaces>180274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S van Bogaert</cp:lastModifiedBy>
  <cp:revision>2</cp:revision>
  <cp:lastPrinted>2011-04-13T22:37:00Z</cp:lastPrinted>
  <dcterms:created xsi:type="dcterms:W3CDTF">2011-04-14T06:56:00Z</dcterms:created>
  <dcterms:modified xsi:type="dcterms:W3CDTF">2011-04-14T06:56:00Z</dcterms:modified>
</cp:coreProperties>
</file>