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C49" w:rsidRPr="00676597" w:rsidRDefault="00940C49" w:rsidP="00A327D4">
      <w:pPr>
        <w:tabs>
          <w:tab w:val="right" w:pos="9026"/>
        </w:tabs>
        <w:suppressAutoHyphens/>
        <w:jc w:val="both"/>
        <w:rPr>
          <w:b/>
          <w:spacing w:val="-2"/>
        </w:rPr>
      </w:pPr>
      <w:r w:rsidRPr="00676597">
        <w:rPr>
          <w:b/>
          <w:spacing w:val="-2"/>
        </w:rPr>
        <w:t>ERASMUS UNIVERSITEIT ROTTERDAM</w:t>
      </w:r>
      <w:r w:rsidRPr="00676597">
        <w:rPr>
          <w:b/>
          <w:spacing w:val="-2"/>
        </w:rPr>
        <w:tab/>
      </w:r>
      <w:r w:rsidR="00A82BE3">
        <w:rPr>
          <w:b/>
          <w:spacing w:val="-2"/>
        </w:rPr>
        <w:t>Nadruk verboden</w:t>
      </w:r>
    </w:p>
    <w:p w:rsidR="00940C49" w:rsidRPr="00676597" w:rsidRDefault="00940C49" w:rsidP="00A327D4">
      <w:pPr>
        <w:tabs>
          <w:tab w:val="right" w:pos="9026"/>
        </w:tabs>
        <w:suppressAutoHyphens/>
        <w:jc w:val="both"/>
        <w:rPr>
          <w:b/>
          <w:spacing w:val="-2"/>
        </w:rPr>
      </w:pPr>
    </w:p>
    <w:p w:rsidR="00940C49" w:rsidRPr="00676597" w:rsidRDefault="00940C49" w:rsidP="00A327D4">
      <w:pPr>
        <w:tabs>
          <w:tab w:val="left" w:pos="-720"/>
        </w:tabs>
        <w:suppressAutoHyphens/>
        <w:jc w:val="both"/>
        <w:rPr>
          <w:b/>
          <w:spacing w:val="-2"/>
        </w:rPr>
      </w:pPr>
      <w:r w:rsidRPr="00676597">
        <w:rPr>
          <w:b/>
          <w:spacing w:val="-2"/>
        </w:rPr>
        <w:t>Faculteit der Economische Wetenschappen</w:t>
      </w:r>
    </w:p>
    <w:p w:rsidR="00940C49" w:rsidRPr="00676597" w:rsidRDefault="00940C49" w:rsidP="00A327D4">
      <w:pPr>
        <w:tabs>
          <w:tab w:val="left" w:pos="-720"/>
        </w:tabs>
        <w:suppressAutoHyphens/>
        <w:jc w:val="both"/>
        <w:rPr>
          <w:b/>
          <w:spacing w:val="-2"/>
        </w:rPr>
      </w:pPr>
    </w:p>
    <w:p w:rsidR="00940C49" w:rsidRPr="00676597" w:rsidRDefault="00A82BE3" w:rsidP="00A327D4">
      <w:pPr>
        <w:tabs>
          <w:tab w:val="left" w:pos="-720"/>
        </w:tabs>
        <w:suppressAutoHyphens/>
        <w:jc w:val="both"/>
        <w:rPr>
          <w:b/>
          <w:spacing w:val="-2"/>
        </w:rPr>
      </w:pPr>
      <w:r>
        <w:rPr>
          <w:b/>
          <w:spacing w:val="-2"/>
        </w:rPr>
        <w:t>Bachelorscriptie Fiscale E</w:t>
      </w:r>
      <w:r w:rsidR="00940C49" w:rsidRPr="00676597">
        <w:rPr>
          <w:b/>
          <w:spacing w:val="-2"/>
        </w:rPr>
        <w:t xml:space="preserve">conomie </w:t>
      </w:r>
    </w:p>
    <w:p w:rsidR="00940C49" w:rsidRDefault="00940C49" w:rsidP="00A327D4">
      <w:pPr>
        <w:jc w:val="both"/>
        <w:rPr>
          <w:rFonts w:cs="Calibri"/>
          <w:b/>
        </w:rPr>
      </w:pPr>
    </w:p>
    <w:p w:rsidR="00940C49" w:rsidRDefault="00940C49" w:rsidP="00A327D4">
      <w:pPr>
        <w:jc w:val="both"/>
        <w:rPr>
          <w:rFonts w:cs="Calibri"/>
          <w:b/>
        </w:rPr>
      </w:pPr>
    </w:p>
    <w:p w:rsidR="001D1A9D" w:rsidRDefault="001D1A9D" w:rsidP="00A327D4">
      <w:pPr>
        <w:jc w:val="both"/>
        <w:rPr>
          <w:rFonts w:cs="Calibri"/>
          <w:b/>
        </w:rPr>
      </w:pPr>
    </w:p>
    <w:p w:rsidR="001D1A9D" w:rsidRDefault="001D1A9D" w:rsidP="00A327D4">
      <w:pPr>
        <w:jc w:val="both"/>
        <w:rPr>
          <w:rFonts w:cs="Calibri"/>
          <w:b/>
        </w:rPr>
      </w:pPr>
    </w:p>
    <w:p w:rsidR="001D1A9D" w:rsidRDefault="001D1A9D" w:rsidP="00A327D4">
      <w:pPr>
        <w:jc w:val="both"/>
        <w:rPr>
          <w:rFonts w:cs="Calibri"/>
          <w:b/>
          <w:sz w:val="28"/>
          <w:szCs w:val="28"/>
        </w:rPr>
      </w:pPr>
    </w:p>
    <w:p w:rsidR="001D1A9D" w:rsidRDefault="001D1A9D" w:rsidP="00A327D4">
      <w:pPr>
        <w:jc w:val="both"/>
        <w:rPr>
          <w:rFonts w:cs="Calibri"/>
          <w:b/>
          <w:sz w:val="28"/>
          <w:szCs w:val="28"/>
        </w:rPr>
      </w:pPr>
    </w:p>
    <w:p w:rsidR="00940C49" w:rsidRPr="001D1A9D" w:rsidRDefault="001D1A9D" w:rsidP="00DC123E">
      <w:pPr>
        <w:jc w:val="center"/>
        <w:rPr>
          <w:rFonts w:cs="Calibri"/>
          <w:b/>
          <w:sz w:val="28"/>
          <w:szCs w:val="28"/>
        </w:rPr>
      </w:pPr>
      <w:r w:rsidRPr="001D1A9D">
        <w:rPr>
          <w:rFonts w:cs="Calibri"/>
          <w:b/>
          <w:sz w:val="28"/>
          <w:szCs w:val="28"/>
        </w:rPr>
        <w:t>Het Wetsvoorstel vereenvoudiging en flexibilisering van het bv-recht</w:t>
      </w:r>
    </w:p>
    <w:p w:rsidR="001D1A9D" w:rsidRPr="001D1A9D" w:rsidRDefault="001D1A9D" w:rsidP="00DC123E">
      <w:pPr>
        <w:jc w:val="center"/>
        <w:rPr>
          <w:rFonts w:cs="Calibri"/>
          <w:b/>
          <w:i/>
        </w:rPr>
      </w:pPr>
      <w:r>
        <w:rPr>
          <w:rFonts w:cs="Calibri"/>
          <w:b/>
          <w:i/>
        </w:rPr>
        <w:t>De gevolge</w:t>
      </w:r>
      <w:r w:rsidR="00DC123E">
        <w:rPr>
          <w:rFonts w:cs="Calibri"/>
          <w:b/>
          <w:i/>
        </w:rPr>
        <w:t>n voor het begrip belang in de V</w:t>
      </w:r>
      <w:r>
        <w:rPr>
          <w:rFonts w:cs="Calibri"/>
          <w:b/>
          <w:i/>
        </w:rPr>
        <w:t>ennootschapsbelasting</w:t>
      </w:r>
    </w:p>
    <w:p w:rsidR="001D1A9D" w:rsidRPr="00684B07" w:rsidRDefault="001D1A9D" w:rsidP="00A327D4">
      <w:pPr>
        <w:jc w:val="both"/>
        <w:rPr>
          <w:rFonts w:cs="Calibri"/>
          <w:b/>
        </w:rPr>
      </w:pPr>
    </w:p>
    <w:p w:rsidR="00940C49" w:rsidRDefault="00940C49" w:rsidP="00A327D4">
      <w:pPr>
        <w:jc w:val="both"/>
      </w:pPr>
    </w:p>
    <w:p w:rsidR="00940C49" w:rsidRDefault="00940C49" w:rsidP="00A327D4">
      <w:pPr>
        <w:jc w:val="both"/>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E83A53" w:rsidRDefault="00E83A53" w:rsidP="00A327D4">
      <w:pPr>
        <w:jc w:val="both"/>
        <w:rPr>
          <w:b/>
          <w:sz w:val="24"/>
          <w:szCs w:val="24"/>
        </w:rPr>
      </w:pPr>
    </w:p>
    <w:p w:rsidR="00A82BE3" w:rsidRPr="003574C1" w:rsidRDefault="00A82BE3" w:rsidP="00A327D4">
      <w:pPr>
        <w:jc w:val="both"/>
        <w:rPr>
          <w:sz w:val="24"/>
          <w:szCs w:val="24"/>
        </w:rPr>
      </w:pPr>
      <w:proofErr w:type="spellStart"/>
      <w:r>
        <w:rPr>
          <w:sz w:val="24"/>
          <w:szCs w:val="24"/>
        </w:rPr>
        <w:t>Abdel</w:t>
      </w:r>
      <w:r w:rsidR="000E54D4">
        <w:rPr>
          <w:sz w:val="24"/>
          <w:szCs w:val="24"/>
        </w:rPr>
        <w:t>mounaim</w:t>
      </w:r>
      <w:proofErr w:type="spellEnd"/>
      <w:r>
        <w:rPr>
          <w:sz w:val="24"/>
          <w:szCs w:val="24"/>
        </w:rPr>
        <w:t xml:space="preserve"> </w:t>
      </w:r>
      <w:proofErr w:type="spellStart"/>
      <w:r>
        <w:rPr>
          <w:sz w:val="24"/>
          <w:szCs w:val="24"/>
        </w:rPr>
        <w:t>Tanouti</w:t>
      </w:r>
      <w:proofErr w:type="spellEnd"/>
    </w:p>
    <w:p w:rsidR="00A82BE3" w:rsidRPr="003574C1" w:rsidRDefault="00A82BE3" w:rsidP="00A327D4">
      <w:pPr>
        <w:jc w:val="both"/>
        <w:rPr>
          <w:sz w:val="24"/>
          <w:szCs w:val="24"/>
        </w:rPr>
      </w:pPr>
      <w:r w:rsidRPr="003574C1">
        <w:rPr>
          <w:sz w:val="24"/>
          <w:szCs w:val="24"/>
        </w:rPr>
        <w:t>Studentnummer: 311</w:t>
      </w:r>
      <w:r>
        <w:rPr>
          <w:sz w:val="24"/>
          <w:szCs w:val="24"/>
        </w:rPr>
        <w:t>813</w:t>
      </w:r>
    </w:p>
    <w:p w:rsidR="00A82BE3" w:rsidRPr="003574C1" w:rsidRDefault="00A82BE3" w:rsidP="00A327D4">
      <w:pPr>
        <w:jc w:val="both"/>
        <w:rPr>
          <w:sz w:val="24"/>
          <w:szCs w:val="24"/>
        </w:rPr>
      </w:pPr>
      <w:r w:rsidRPr="003574C1">
        <w:rPr>
          <w:sz w:val="24"/>
          <w:szCs w:val="24"/>
        </w:rPr>
        <w:t xml:space="preserve">Begeleider: </w:t>
      </w:r>
      <w:r>
        <w:rPr>
          <w:rStyle w:val="apple-style-span"/>
          <w:sz w:val="24"/>
          <w:szCs w:val="24"/>
        </w:rPr>
        <w:t xml:space="preserve">M.P.L. </w:t>
      </w:r>
      <w:proofErr w:type="spellStart"/>
      <w:r>
        <w:rPr>
          <w:rStyle w:val="apple-style-span"/>
          <w:sz w:val="24"/>
          <w:szCs w:val="24"/>
        </w:rPr>
        <w:t>Adriaansen</w:t>
      </w:r>
      <w:proofErr w:type="spellEnd"/>
      <w:r w:rsidR="006407D9">
        <w:rPr>
          <w:rStyle w:val="apple-style-span"/>
          <w:sz w:val="24"/>
          <w:szCs w:val="24"/>
        </w:rPr>
        <w:t xml:space="preserve"> LLM</w:t>
      </w:r>
    </w:p>
    <w:p w:rsidR="00E83A53" w:rsidRPr="00A327D4" w:rsidRDefault="00A82BE3" w:rsidP="00A327D4">
      <w:pPr>
        <w:jc w:val="both"/>
        <w:rPr>
          <w:sz w:val="24"/>
          <w:szCs w:val="24"/>
        </w:rPr>
      </w:pPr>
      <w:r w:rsidRPr="003574C1">
        <w:rPr>
          <w:sz w:val="24"/>
          <w:szCs w:val="24"/>
        </w:rPr>
        <w:t>Rotterdam, 2</w:t>
      </w:r>
      <w:r>
        <w:rPr>
          <w:sz w:val="24"/>
          <w:szCs w:val="24"/>
        </w:rPr>
        <w:t>2</w:t>
      </w:r>
      <w:r w:rsidRPr="003574C1">
        <w:rPr>
          <w:sz w:val="24"/>
          <w:szCs w:val="24"/>
        </w:rPr>
        <w:t xml:space="preserve"> ju</w:t>
      </w:r>
      <w:r>
        <w:rPr>
          <w:sz w:val="24"/>
          <w:szCs w:val="24"/>
        </w:rPr>
        <w:t>l</w:t>
      </w:r>
      <w:r w:rsidRPr="003574C1">
        <w:rPr>
          <w:sz w:val="24"/>
          <w:szCs w:val="24"/>
        </w:rPr>
        <w:t>i 2011</w:t>
      </w:r>
    </w:p>
    <w:p w:rsidR="00940C49" w:rsidRPr="000929F6" w:rsidRDefault="00940C49" w:rsidP="00A327D4">
      <w:pPr>
        <w:ind w:left="2832" w:firstLine="708"/>
        <w:jc w:val="both"/>
        <w:rPr>
          <w:b/>
          <w:sz w:val="24"/>
          <w:szCs w:val="24"/>
        </w:rPr>
      </w:pPr>
      <w:r w:rsidRPr="000929F6">
        <w:rPr>
          <w:b/>
          <w:sz w:val="24"/>
          <w:szCs w:val="24"/>
        </w:rPr>
        <w:lastRenderedPageBreak/>
        <w:t>Inhoudsopgave</w:t>
      </w:r>
    </w:p>
    <w:p w:rsidR="00940C49" w:rsidRDefault="00940C49" w:rsidP="00A327D4">
      <w:pPr>
        <w:jc w:val="both"/>
        <w:rPr>
          <w:b/>
        </w:rPr>
      </w:pPr>
      <w:r>
        <w:rPr>
          <w:b/>
        </w:rPr>
        <w:t xml:space="preserve">Titelpagina </w:t>
      </w:r>
    </w:p>
    <w:p w:rsidR="00940C49" w:rsidRDefault="00940C49" w:rsidP="00A327D4">
      <w:pPr>
        <w:jc w:val="both"/>
        <w:rPr>
          <w:b/>
        </w:rPr>
      </w:pPr>
      <w:r>
        <w:rPr>
          <w:b/>
        </w:rPr>
        <w:t xml:space="preserve">Inhoudsopgave </w:t>
      </w:r>
    </w:p>
    <w:p w:rsidR="00940C49" w:rsidRDefault="00940C49" w:rsidP="00A327D4">
      <w:pPr>
        <w:jc w:val="both"/>
        <w:rPr>
          <w:b/>
        </w:rPr>
      </w:pPr>
    </w:p>
    <w:p w:rsidR="00940C49" w:rsidRPr="007C409B" w:rsidRDefault="00A327D4" w:rsidP="00A327D4">
      <w:pPr>
        <w:jc w:val="both"/>
        <w:rPr>
          <w:b/>
        </w:rPr>
      </w:pPr>
      <w:r>
        <w:rPr>
          <w:b/>
        </w:rPr>
        <w:t xml:space="preserve">Hoofdstuk </w:t>
      </w:r>
      <w:r w:rsidR="00940C49">
        <w:rPr>
          <w:b/>
        </w:rPr>
        <w:t xml:space="preserve">1 </w:t>
      </w:r>
      <w:r w:rsidR="00405E5A">
        <w:rPr>
          <w:b/>
        </w:rPr>
        <w:tab/>
      </w:r>
      <w:r w:rsidR="00940C49">
        <w:rPr>
          <w:b/>
        </w:rPr>
        <w:t>Inleiding</w:t>
      </w:r>
      <w:r>
        <w:rPr>
          <w:b/>
        </w:rPr>
        <w:tab/>
      </w:r>
      <w:r>
        <w:rPr>
          <w:b/>
        </w:rPr>
        <w:tab/>
      </w:r>
      <w:r>
        <w:rPr>
          <w:b/>
        </w:rPr>
        <w:tab/>
      </w:r>
      <w:r>
        <w:rPr>
          <w:b/>
        </w:rPr>
        <w:tab/>
      </w:r>
      <w:r>
        <w:rPr>
          <w:b/>
        </w:rPr>
        <w:tab/>
      </w:r>
      <w:r>
        <w:rPr>
          <w:b/>
        </w:rPr>
        <w:tab/>
      </w:r>
      <w:r>
        <w:rPr>
          <w:b/>
        </w:rPr>
        <w:tab/>
      </w:r>
      <w:r>
        <w:rPr>
          <w:b/>
        </w:rPr>
        <w:tab/>
      </w:r>
      <w:r w:rsidR="00405E5A">
        <w:rPr>
          <w:b/>
        </w:rPr>
        <w:tab/>
      </w:r>
      <w:r>
        <w:rPr>
          <w:b/>
        </w:rPr>
        <w:t>3</w:t>
      </w:r>
    </w:p>
    <w:p w:rsidR="00A327D4" w:rsidRDefault="00940C49" w:rsidP="00A327D4">
      <w:pPr>
        <w:pStyle w:val="ListParagraph"/>
        <w:numPr>
          <w:ilvl w:val="1"/>
          <w:numId w:val="2"/>
        </w:numPr>
        <w:jc w:val="both"/>
      </w:pPr>
      <w:r>
        <w:t xml:space="preserve"> </w:t>
      </w:r>
      <w:r w:rsidR="00A327D4">
        <w:t>A</w:t>
      </w:r>
      <w:r>
        <w:t>anleiding</w:t>
      </w:r>
      <w:r w:rsidR="00A327D4">
        <w:tab/>
      </w:r>
      <w:r w:rsidR="00A327D4">
        <w:tab/>
      </w:r>
      <w:r w:rsidR="00A327D4">
        <w:tab/>
      </w:r>
      <w:r w:rsidR="00A327D4">
        <w:tab/>
      </w:r>
      <w:r w:rsidR="00A327D4">
        <w:tab/>
      </w:r>
      <w:r w:rsidR="00A327D4">
        <w:tab/>
      </w:r>
      <w:r w:rsidR="00A327D4">
        <w:tab/>
      </w:r>
      <w:r w:rsidR="00A327D4">
        <w:tab/>
      </w:r>
      <w:r w:rsidR="00A327D4">
        <w:tab/>
      </w:r>
      <w:r w:rsidR="00A327D4">
        <w:tab/>
      </w:r>
      <w:r w:rsidR="00A327D4">
        <w:tab/>
        <w:t>3</w:t>
      </w:r>
    </w:p>
    <w:p w:rsidR="00A327D4" w:rsidRDefault="006E609A" w:rsidP="00A327D4">
      <w:pPr>
        <w:pStyle w:val="ListParagraph"/>
        <w:numPr>
          <w:ilvl w:val="1"/>
          <w:numId w:val="2"/>
        </w:numPr>
        <w:jc w:val="both"/>
      </w:pPr>
      <w:r>
        <w:t xml:space="preserve"> </w:t>
      </w:r>
      <w:r w:rsidR="00940C49" w:rsidRPr="007C409B">
        <w:t>onderwerp van het onderzoek</w:t>
      </w:r>
      <w:r w:rsidR="00A327D4">
        <w:tab/>
      </w:r>
      <w:r w:rsidR="00A327D4">
        <w:tab/>
      </w:r>
      <w:r w:rsidR="00A327D4">
        <w:tab/>
      </w:r>
      <w:r w:rsidR="00A327D4">
        <w:tab/>
      </w:r>
      <w:r w:rsidR="00A327D4">
        <w:tab/>
      </w:r>
      <w:r w:rsidR="00A327D4">
        <w:tab/>
      </w:r>
      <w:r w:rsidR="00A327D4">
        <w:tab/>
      </w:r>
      <w:r w:rsidR="00A327D4">
        <w:tab/>
      </w:r>
      <w:r w:rsidR="00300E49">
        <w:t>4</w:t>
      </w:r>
    </w:p>
    <w:p w:rsidR="00940C49" w:rsidRPr="007C409B" w:rsidRDefault="006E609A" w:rsidP="00A327D4">
      <w:pPr>
        <w:pStyle w:val="ListParagraph"/>
        <w:numPr>
          <w:ilvl w:val="1"/>
          <w:numId w:val="2"/>
        </w:numPr>
        <w:jc w:val="both"/>
      </w:pPr>
      <w:r>
        <w:t xml:space="preserve"> </w:t>
      </w:r>
      <w:r w:rsidR="00940C49" w:rsidRPr="007C409B">
        <w:t>Probleemstelling</w:t>
      </w:r>
      <w:r w:rsidR="00940C49">
        <w:t xml:space="preserve"> </w:t>
      </w:r>
      <w:r w:rsidR="00940C49" w:rsidRPr="007C409B">
        <w:t>en onderzoeksopzet van het onderzoek</w:t>
      </w:r>
      <w:r w:rsidR="00A327D4">
        <w:tab/>
      </w:r>
      <w:r w:rsidR="00A327D4">
        <w:tab/>
      </w:r>
      <w:r w:rsidR="00A327D4">
        <w:tab/>
      </w:r>
      <w:r w:rsidR="00A327D4">
        <w:tab/>
      </w:r>
      <w:r w:rsidR="00A327D4">
        <w:tab/>
        <w:t>4</w:t>
      </w:r>
    </w:p>
    <w:p w:rsidR="00940C49" w:rsidRPr="007C409B" w:rsidRDefault="00940C49" w:rsidP="00A327D4">
      <w:pPr>
        <w:pStyle w:val="ListParagraph"/>
        <w:numPr>
          <w:ilvl w:val="1"/>
          <w:numId w:val="2"/>
        </w:numPr>
        <w:jc w:val="both"/>
      </w:pPr>
      <w:r>
        <w:t xml:space="preserve"> R</w:t>
      </w:r>
      <w:r w:rsidRPr="007C409B">
        <w:t>eikwijdte</w:t>
      </w:r>
      <w:r>
        <w:t xml:space="preserve"> van het onderzoek</w:t>
      </w:r>
      <w:r w:rsidR="00A327D4">
        <w:tab/>
      </w:r>
      <w:r w:rsidR="00A327D4">
        <w:tab/>
      </w:r>
      <w:r w:rsidR="00A327D4">
        <w:tab/>
      </w:r>
      <w:r w:rsidR="00A327D4">
        <w:tab/>
      </w:r>
      <w:r w:rsidR="00A327D4">
        <w:tab/>
      </w:r>
      <w:r w:rsidR="00A327D4">
        <w:tab/>
      </w:r>
      <w:r w:rsidR="00A327D4">
        <w:tab/>
      </w:r>
      <w:r w:rsidR="00A83EDC">
        <w:tab/>
        <w:t>5</w:t>
      </w:r>
    </w:p>
    <w:p w:rsidR="00E83A53" w:rsidRDefault="00E83A53" w:rsidP="00A327D4">
      <w:pPr>
        <w:jc w:val="both"/>
        <w:rPr>
          <w:b/>
        </w:rPr>
      </w:pPr>
    </w:p>
    <w:p w:rsidR="00940C49" w:rsidRDefault="00A327D4" w:rsidP="00A327D4">
      <w:pPr>
        <w:jc w:val="both"/>
        <w:rPr>
          <w:b/>
        </w:rPr>
      </w:pPr>
      <w:r>
        <w:rPr>
          <w:b/>
        </w:rPr>
        <w:t xml:space="preserve">Hoofdstuk </w:t>
      </w:r>
      <w:r w:rsidR="00940C49">
        <w:rPr>
          <w:b/>
        </w:rPr>
        <w:t xml:space="preserve">2 </w:t>
      </w:r>
      <w:r w:rsidR="00405E5A">
        <w:rPr>
          <w:b/>
        </w:rPr>
        <w:tab/>
      </w:r>
      <w:r w:rsidR="00E83A53">
        <w:rPr>
          <w:b/>
        </w:rPr>
        <w:t>De flexibilisering van het bv-recht</w:t>
      </w:r>
      <w:r w:rsidR="00E30B8C">
        <w:rPr>
          <w:b/>
        </w:rPr>
        <w:tab/>
      </w:r>
      <w:r w:rsidR="00E30B8C">
        <w:rPr>
          <w:b/>
        </w:rPr>
        <w:tab/>
      </w:r>
      <w:r w:rsidR="00E30B8C">
        <w:rPr>
          <w:b/>
        </w:rPr>
        <w:tab/>
      </w:r>
      <w:r w:rsidR="00E30B8C">
        <w:rPr>
          <w:b/>
        </w:rPr>
        <w:tab/>
      </w:r>
      <w:r w:rsidR="00E30B8C">
        <w:rPr>
          <w:b/>
        </w:rPr>
        <w:tab/>
      </w:r>
      <w:r w:rsidR="00405E5A">
        <w:rPr>
          <w:b/>
        </w:rPr>
        <w:tab/>
      </w:r>
      <w:r w:rsidR="00E30B8C">
        <w:rPr>
          <w:b/>
        </w:rPr>
        <w:t>7</w:t>
      </w:r>
    </w:p>
    <w:p w:rsidR="00E30B8C" w:rsidRDefault="00E83A53" w:rsidP="00A327D4">
      <w:pPr>
        <w:jc w:val="both"/>
      </w:pPr>
      <w:proofErr w:type="gramStart"/>
      <w:r>
        <w:t xml:space="preserve">2.1  </w:t>
      </w:r>
      <w:proofErr w:type="gramEnd"/>
      <w:r>
        <w:t>I</w:t>
      </w:r>
      <w:r w:rsidR="00940C49">
        <w:t xml:space="preserve">nleiding </w:t>
      </w:r>
      <w:r w:rsidR="00E30B8C">
        <w:tab/>
      </w:r>
      <w:r w:rsidR="00E30B8C">
        <w:tab/>
      </w:r>
      <w:r w:rsidR="00E30B8C">
        <w:tab/>
      </w:r>
      <w:r w:rsidR="00E30B8C">
        <w:tab/>
      </w:r>
      <w:r w:rsidR="00E30B8C">
        <w:tab/>
      </w:r>
      <w:r w:rsidR="00E30B8C">
        <w:tab/>
      </w:r>
      <w:r w:rsidR="00E30B8C">
        <w:tab/>
      </w:r>
      <w:r w:rsidR="00E30B8C">
        <w:tab/>
      </w:r>
      <w:r w:rsidR="00E30B8C">
        <w:tab/>
      </w:r>
      <w:r w:rsidR="00E30B8C">
        <w:tab/>
      </w:r>
      <w:r w:rsidR="00E30B8C">
        <w:tab/>
        <w:t>7</w:t>
      </w:r>
    </w:p>
    <w:p w:rsidR="00940C49" w:rsidRDefault="00E83A53" w:rsidP="00A327D4">
      <w:pPr>
        <w:jc w:val="both"/>
      </w:pPr>
      <w:proofErr w:type="gramStart"/>
      <w:r>
        <w:t xml:space="preserve">2.2  </w:t>
      </w:r>
      <w:proofErr w:type="gramEnd"/>
      <w:r>
        <w:t>G</w:t>
      </w:r>
      <w:r w:rsidR="00940C49">
        <w:t xml:space="preserve">eschiedenis </w:t>
      </w:r>
      <w:r w:rsidR="007E79D5">
        <w:t xml:space="preserve">van het </w:t>
      </w:r>
      <w:r w:rsidR="00940C49">
        <w:t xml:space="preserve">wetsvoorstel </w:t>
      </w:r>
      <w:r w:rsidR="00E30B8C">
        <w:tab/>
      </w:r>
      <w:r w:rsidR="00E30B8C">
        <w:tab/>
      </w:r>
      <w:r w:rsidR="00E30B8C">
        <w:tab/>
      </w:r>
      <w:r w:rsidR="00E30B8C">
        <w:tab/>
      </w:r>
      <w:r w:rsidR="00E30B8C">
        <w:tab/>
      </w:r>
      <w:r w:rsidR="00E30B8C">
        <w:tab/>
      </w:r>
      <w:r w:rsidR="00E30B8C">
        <w:tab/>
      </w:r>
      <w:r w:rsidR="00E30B8C">
        <w:tab/>
        <w:t>7</w:t>
      </w:r>
    </w:p>
    <w:p w:rsidR="00E30B8C" w:rsidRDefault="00E83A53" w:rsidP="00A327D4">
      <w:pPr>
        <w:ind w:firstLine="708"/>
        <w:jc w:val="both"/>
        <w:rPr>
          <w:rFonts w:asciiTheme="minorHAnsi" w:hAnsiTheme="minorHAnsi" w:cstheme="minorHAnsi"/>
        </w:rPr>
      </w:pPr>
      <w:r>
        <w:t xml:space="preserve">2.2.1 </w:t>
      </w:r>
      <w:r w:rsidRPr="00E83A53">
        <w:rPr>
          <w:rFonts w:asciiTheme="minorHAnsi" w:hAnsiTheme="minorHAnsi" w:cstheme="minorHAnsi"/>
        </w:rPr>
        <w:t xml:space="preserve">Modernisering </w:t>
      </w:r>
      <w:proofErr w:type="spellStart"/>
      <w:r w:rsidRPr="00E83A53">
        <w:rPr>
          <w:rFonts w:asciiTheme="minorHAnsi" w:hAnsiTheme="minorHAnsi" w:cstheme="minorHAnsi"/>
        </w:rPr>
        <w:t>ondernemings</w:t>
      </w:r>
      <w:proofErr w:type="spellEnd"/>
      <w:r w:rsidRPr="00E83A53">
        <w:rPr>
          <w:rFonts w:asciiTheme="minorHAnsi" w:hAnsiTheme="minorHAnsi" w:cstheme="minorHAnsi"/>
        </w:rPr>
        <w:t>- vennootschapsrecht</w:t>
      </w:r>
      <w:r w:rsidR="00E30B8C">
        <w:rPr>
          <w:rFonts w:asciiTheme="minorHAnsi" w:hAnsiTheme="minorHAnsi" w:cstheme="minorHAnsi"/>
        </w:rPr>
        <w:tab/>
      </w:r>
      <w:r w:rsidR="00E30B8C">
        <w:rPr>
          <w:rFonts w:asciiTheme="minorHAnsi" w:hAnsiTheme="minorHAnsi" w:cstheme="minorHAnsi"/>
        </w:rPr>
        <w:tab/>
      </w:r>
      <w:r w:rsidR="00E30B8C">
        <w:rPr>
          <w:rFonts w:asciiTheme="minorHAnsi" w:hAnsiTheme="minorHAnsi" w:cstheme="minorHAnsi"/>
        </w:rPr>
        <w:tab/>
      </w:r>
      <w:r w:rsidR="00E30B8C">
        <w:rPr>
          <w:rFonts w:asciiTheme="minorHAnsi" w:hAnsiTheme="minorHAnsi" w:cstheme="minorHAnsi"/>
        </w:rPr>
        <w:tab/>
        <w:t>7</w:t>
      </w:r>
    </w:p>
    <w:p w:rsidR="00E83A53" w:rsidRDefault="00E83A53" w:rsidP="00A327D4">
      <w:pPr>
        <w:ind w:firstLine="708"/>
        <w:jc w:val="both"/>
      </w:pPr>
      <w:r>
        <w:t>2.2.2</w:t>
      </w:r>
      <w:r w:rsidRPr="00E83A53">
        <w:t xml:space="preserve"> </w:t>
      </w:r>
      <w:r>
        <w:t>Concept wetsvoorstel</w:t>
      </w:r>
      <w:r w:rsidR="00E30B8C">
        <w:tab/>
      </w:r>
      <w:r w:rsidR="00E30B8C">
        <w:tab/>
      </w:r>
      <w:r w:rsidR="00E30B8C">
        <w:tab/>
      </w:r>
      <w:r w:rsidR="00E30B8C">
        <w:tab/>
      </w:r>
      <w:r w:rsidR="00E30B8C">
        <w:tab/>
      </w:r>
      <w:r w:rsidR="00E30B8C">
        <w:tab/>
      </w:r>
      <w:r w:rsidR="00E30B8C">
        <w:tab/>
      </w:r>
      <w:r w:rsidR="00E30B8C">
        <w:tab/>
        <w:t>8</w:t>
      </w:r>
    </w:p>
    <w:p w:rsidR="00E83A53" w:rsidRDefault="00E83A53" w:rsidP="00A327D4">
      <w:pPr>
        <w:ind w:firstLine="708"/>
        <w:jc w:val="both"/>
        <w:rPr>
          <w:b/>
        </w:rPr>
      </w:pPr>
      <w:r>
        <w:t>2.2.3</w:t>
      </w:r>
      <w:r w:rsidRPr="00E83A53">
        <w:t xml:space="preserve"> Fiscale aspecten van het wetsvoorstel</w:t>
      </w:r>
      <w:r w:rsidR="00E30B8C">
        <w:tab/>
      </w:r>
      <w:r w:rsidR="00E30B8C">
        <w:tab/>
      </w:r>
      <w:r w:rsidR="00E30B8C">
        <w:tab/>
      </w:r>
      <w:r w:rsidR="00E30B8C">
        <w:tab/>
      </w:r>
      <w:r w:rsidR="00E30B8C">
        <w:tab/>
      </w:r>
      <w:r w:rsidR="00E30B8C">
        <w:tab/>
        <w:t>14</w:t>
      </w:r>
    </w:p>
    <w:p w:rsidR="00940C49" w:rsidRDefault="00940C49" w:rsidP="00A327D4">
      <w:pPr>
        <w:jc w:val="both"/>
      </w:pPr>
      <w:proofErr w:type="gramStart"/>
      <w:r>
        <w:t xml:space="preserve">2.3 </w:t>
      </w:r>
      <w:r w:rsidRPr="00A90400">
        <w:rPr>
          <w:b/>
        </w:rPr>
        <w:t xml:space="preserve"> </w:t>
      </w:r>
      <w:proofErr w:type="gramEnd"/>
      <w:r w:rsidRPr="00E83A53">
        <w:t>Stemrecht</w:t>
      </w:r>
      <w:r w:rsidR="005615DC">
        <w:t>aandelen</w:t>
      </w:r>
      <w:r w:rsidR="00E83A53" w:rsidRPr="00E83A53">
        <w:t xml:space="preserve"> </w:t>
      </w:r>
      <w:r w:rsidRPr="00E83A53">
        <w:t>en winstrechtaandelen</w:t>
      </w:r>
      <w:r w:rsidR="00E30B8C">
        <w:tab/>
      </w:r>
      <w:r w:rsidR="00E30B8C">
        <w:tab/>
      </w:r>
      <w:r w:rsidR="00E30B8C">
        <w:tab/>
      </w:r>
      <w:r w:rsidR="00E30B8C">
        <w:tab/>
      </w:r>
      <w:r w:rsidR="00E30B8C">
        <w:tab/>
      </w:r>
      <w:r w:rsidR="00E30B8C">
        <w:tab/>
      </w:r>
      <w:r w:rsidR="00E30B8C">
        <w:tab/>
        <w:t>16</w:t>
      </w:r>
    </w:p>
    <w:p w:rsidR="00940C49" w:rsidRDefault="00940C49" w:rsidP="00A327D4">
      <w:pPr>
        <w:jc w:val="both"/>
      </w:pPr>
      <w:proofErr w:type="gramStart"/>
      <w:r>
        <w:t xml:space="preserve">2.4  </w:t>
      </w:r>
      <w:proofErr w:type="gramEnd"/>
      <w:r>
        <w:t xml:space="preserve">Conclusie </w:t>
      </w:r>
      <w:r w:rsidR="00E30B8C">
        <w:tab/>
      </w:r>
      <w:r w:rsidR="00E30B8C">
        <w:tab/>
      </w:r>
      <w:r w:rsidR="00E30B8C">
        <w:tab/>
      </w:r>
      <w:r w:rsidR="00E30B8C">
        <w:tab/>
      </w:r>
      <w:r w:rsidR="00E30B8C">
        <w:tab/>
      </w:r>
      <w:r w:rsidR="00E30B8C">
        <w:tab/>
      </w:r>
      <w:r w:rsidR="00E30B8C">
        <w:tab/>
      </w:r>
      <w:r w:rsidR="00E30B8C">
        <w:tab/>
      </w:r>
      <w:r w:rsidR="00E30B8C">
        <w:tab/>
      </w:r>
      <w:r w:rsidR="00E30B8C">
        <w:tab/>
      </w:r>
      <w:r w:rsidR="00E30B8C">
        <w:tab/>
        <w:t>18</w:t>
      </w:r>
    </w:p>
    <w:p w:rsidR="00940C49" w:rsidRPr="002238E6" w:rsidRDefault="00940C49" w:rsidP="00A327D4">
      <w:pPr>
        <w:jc w:val="both"/>
        <w:rPr>
          <w:rFonts w:cs="Calibri"/>
        </w:rPr>
      </w:pPr>
    </w:p>
    <w:p w:rsidR="00940C49" w:rsidRPr="00E83A53" w:rsidRDefault="00940C49" w:rsidP="00A327D4">
      <w:pPr>
        <w:jc w:val="both"/>
        <w:rPr>
          <w:b/>
        </w:rPr>
      </w:pPr>
      <w:r>
        <w:rPr>
          <w:b/>
        </w:rPr>
        <w:t>Hoofdstuk 3</w:t>
      </w:r>
      <w:r w:rsidR="00405E5A">
        <w:rPr>
          <w:b/>
        </w:rPr>
        <w:tab/>
      </w:r>
      <w:r w:rsidR="00E83A53">
        <w:rPr>
          <w:b/>
        </w:rPr>
        <w:t xml:space="preserve">Gevolgen Flexibele BV voor het begrip belang in de Wet VPB 1969 </w:t>
      </w:r>
      <w:r w:rsidR="00405E5A">
        <w:rPr>
          <w:b/>
        </w:rPr>
        <w:tab/>
      </w:r>
      <w:r w:rsidR="00405E5A">
        <w:rPr>
          <w:b/>
        </w:rPr>
        <w:tab/>
        <w:t>19</w:t>
      </w:r>
    </w:p>
    <w:p w:rsidR="00940C49" w:rsidRDefault="00940C49" w:rsidP="00A327D4">
      <w:pPr>
        <w:jc w:val="both"/>
      </w:pPr>
      <w:proofErr w:type="gramStart"/>
      <w:r>
        <w:t xml:space="preserve">3.1  </w:t>
      </w:r>
      <w:proofErr w:type="gramEnd"/>
      <w:r>
        <w:t>inleiding</w:t>
      </w:r>
      <w:r w:rsidR="00405E5A">
        <w:tab/>
      </w:r>
      <w:r w:rsidR="00405E5A">
        <w:tab/>
      </w:r>
      <w:r w:rsidR="00405E5A">
        <w:tab/>
      </w:r>
      <w:r w:rsidR="00405E5A">
        <w:tab/>
      </w:r>
      <w:r w:rsidR="00405E5A">
        <w:tab/>
      </w:r>
      <w:r w:rsidR="00405E5A">
        <w:tab/>
      </w:r>
      <w:r w:rsidR="00405E5A">
        <w:tab/>
      </w:r>
      <w:r w:rsidR="00405E5A">
        <w:tab/>
      </w:r>
      <w:r w:rsidR="00405E5A">
        <w:tab/>
      </w:r>
      <w:r w:rsidR="00405E5A">
        <w:tab/>
      </w:r>
      <w:r w:rsidR="00405E5A">
        <w:tab/>
        <w:t>19</w:t>
      </w:r>
    </w:p>
    <w:p w:rsidR="00405E5A" w:rsidRDefault="00940C49" w:rsidP="00A327D4">
      <w:pPr>
        <w:jc w:val="both"/>
        <w:rPr>
          <w:rFonts w:cs="Calibri"/>
        </w:rPr>
      </w:pPr>
      <w:proofErr w:type="gramStart"/>
      <w:r>
        <w:t>3.2</w:t>
      </w:r>
      <w:r w:rsidRPr="00C353B7">
        <w:rPr>
          <w:rFonts w:cs="Calibri"/>
        </w:rPr>
        <w:t xml:space="preserve"> </w:t>
      </w:r>
      <w:r>
        <w:rPr>
          <w:rFonts w:cs="Calibri"/>
        </w:rPr>
        <w:t xml:space="preserve"> </w:t>
      </w:r>
      <w:proofErr w:type="gramEnd"/>
      <w:r w:rsidR="00E83A53">
        <w:rPr>
          <w:rFonts w:cs="Calibri"/>
        </w:rPr>
        <w:t>Definiëring</w:t>
      </w:r>
      <w:r w:rsidR="00E83A53" w:rsidRPr="002238E6">
        <w:rPr>
          <w:rFonts w:cs="Calibri"/>
        </w:rPr>
        <w:t xml:space="preserve"> </w:t>
      </w:r>
      <w:r w:rsidR="007E79D5">
        <w:rPr>
          <w:rFonts w:cs="Calibri"/>
        </w:rPr>
        <w:t xml:space="preserve">van het </w:t>
      </w:r>
      <w:r w:rsidR="00E83A53" w:rsidRPr="002238E6">
        <w:rPr>
          <w:rFonts w:cs="Calibri"/>
        </w:rPr>
        <w:t>begrip belang</w:t>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t>19</w:t>
      </w:r>
    </w:p>
    <w:p w:rsidR="00405E5A" w:rsidRDefault="00940C49" w:rsidP="00A327D4">
      <w:pPr>
        <w:jc w:val="both"/>
        <w:rPr>
          <w:rFonts w:cs="Calibri"/>
        </w:rPr>
      </w:pPr>
      <w:proofErr w:type="gramStart"/>
      <w:r>
        <w:rPr>
          <w:rFonts w:cs="Calibri"/>
        </w:rPr>
        <w:t>3.3</w:t>
      </w:r>
      <w:r w:rsidRPr="002238E6">
        <w:rPr>
          <w:rFonts w:cs="Calibri"/>
        </w:rPr>
        <w:t xml:space="preserve"> </w:t>
      </w:r>
      <w:r>
        <w:rPr>
          <w:rFonts w:cs="Calibri"/>
        </w:rPr>
        <w:t xml:space="preserve"> </w:t>
      </w:r>
      <w:proofErr w:type="gramEnd"/>
      <w:r w:rsidR="00E83A53">
        <w:rPr>
          <w:rFonts w:cs="Calibri"/>
        </w:rPr>
        <w:t>De deelnemingsvrijstelling</w:t>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r>
      <w:r w:rsidR="00405E5A">
        <w:rPr>
          <w:rFonts w:cs="Calibri"/>
        </w:rPr>
        <w:tab/>
        <w:t>2</w:t>
      </w:r>
      <w:r w:rsidR="00930C21">
        <w:rPr>
          <w:rFonts w:cs="Calibri"/>
        </w:rPr>
        <w:t>4</w:t>
      </w:r>
    </w:p>
    <w:p w:rsidR="00940C49" w:rsidRPr="002238E6" w:rsidRDefault="00940C49" w:rsidP="00A327D4">
      <w:pPr>
        <w:jc w:val="both"/>
        <w:rPr>
          <w:rStyle w:val="apple-style-span"/>
          <w:rFonts w:cs="Calibri"/>
        </w:rPr>
      </w:pPr>
      <w:proofErr w:type="gramStart"/>
      <w:r>
        <w:rPr>
          <w:rStyle w:val="apple-style-span"/>
          <w:rFonts w:cs="Calibri"/>
        </w:rPr>
        <w:t>3</w:t>
      </w:r>
      <w:r w:rsidRPr="002238E6">
        <w:rPr>
          <w:rStyle w:val="apple-style-span"/>
          <w:rFonts w:cs="Calibri"/>
        </w:rPr>
        <w:t>.</w:t>
      </w:r>
      <w:r>
        <w:rPr>
          <w:rStyle w:val="apple-style-span"/>
          <w:rFonts w:cs="Calibri"/>
        </w:rPr>
        <w:t>4</w:t>
      </w:r>
      <w:r w:rsidRPr="002238E6">
        <w:rPr>
          <w:rStyle w:val="apple-style-span"/>
          <w:rFonts w:cs="Calibri"/>
        </w:rPr>
        <w:t xml:space="preserve"> </w:t>
      </w:r>
      <w:r>
        <w:rPr>
          <w:rStyle w:val="apple-style-span"/>
          <w:rFonts w:cs="Calibri"/>
        </w:rPr>
        <w:t xml:space="preserve"> </w:t>
      </w:r>
      <w:proofErr w:type="gramEnd"/>
      <w:r w:rsidR="00E83A53">
        <w:rPr>
          <w:rStyle w:val="apple-style-span"/>
          <w:rFonts w:cs="Calibri"/>
        </w:rPr>
        <w:t>De fiscale eenheid</w:t>
      </w:r>
      <w:r>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t>2</w:t>
      </w:r>
      <w:r w:rsidR="00526EC2">
        <w:rPr>
          <w:rStyle w:val="apple-style-span"/>
          <w:rFonts w:cs="Calibri"/>
        </w:rPr>
        <w:t>6</w:t>
      </w:r>
    </w:p>
    <w:p w:rsidR="00940C49" w:rsidRDefault="00E83A53" w:rsidP="00A327D4">
      <w:pPr>
        <w:jc w:val="both"/>
        <w:rPr>
          <w:rStyle w:val="apple-style-span"/>
          <w:rFonts w:cs="Calibri"/>
        </w:rPr>
      </w:pPr>
      <w:proofErr w:type="gramStart"/>
      <w:r>
        <w:rPr>
          <w:rStyle w:val="apple-style-span"/>
          <w:rFonts w:cs="Calibri"/>
        </w:rPr>
        <w:t>3.5</w:t>
      </w:r>
      <w:r w:rsidR="00940C49">
        <w:rPr>
          <w:rStyle w:val="apple-style-span"/>
          <w:rFonts w:cs="Calibri"/>
        </w:rPr>
        <w:t xml:space="preserve">  </w:t>
      </w:r>
      <w:proofErr w:type="gramEnd"/>
      <w:r w:rsidR="00940C49">
        <w:rPr>
          <w:rStyle w:val="apple-style-span"/>
          <w:rFonts w:cs="Calibri"/>
        </w:rPr>
        <w:t>Conclusie</w:t>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r>
      <w:r w:rsidR="00405E5A">
        <w:rPr>
          <w:rStyle w:val="apple-style-span"/>
          <w:rFonts w:cs="Calibri"/>
        </w:rPr>
        <w:tab/>
        <w:t>2</w:t>
      </w:r>
      <w:r w:rsidR="00526EC2">
        <w:rPr>
          <w:rStyle w:val="apple-style-span"/>
          <w:rFonts w:cs="Calibri"/>
        </w:rPr>
        <w:t>8</w:t>
      </w:r>
    </w:p>
    <w:p w:rsidR="00E83A53" w:rsidRDefault="00E83A53" w:rsidP="00A327D4">
      <w:pPr>
        <w:jc w:val="both"/>
      </w:pPr>
    </w:p>
    <w:p w:rsidR="00940C49" w:rsidRDefault="00940C49" w:rsidP="00A327D4">
      <w:pPr>
        <w:jc w:val="both"/>
        <w:rPr>
          <w:b/>
        </w:rPr>
      </w:pPr>
      <w:r>
        <w:rPr>
          <w:b/>
        </w:rPr>
        <w:t xml:space="preserve">Hoofdstuk </w:t>
      </w:r>
      <w:r w:rsidR="00E83A53">
        <w:rPr>
          <w:b/>
        </w:rPr>
        <w:t>4</w:t>
      </w:r>
      <w:r w:rsidR="003036A6">
        <w:rPr>
          <w:b/>
        </w:rPr>
        <w:tab/>
      </w:r>
      <w:r w:rsidR="003036A6">
        <w:rPr>
          <w:b/>
        </w:rPr>
        <w:tab/>
      </w:r>
      <w:r w:rsidR="00A82BE3">
        <w:rPr>
          <w:b/>
        </w:rPr>
        <w:t>Samenvatting en conclusie</w:t>
      </w:r>
      <w:r w:rsidR="003036A6">
        <w:rPr>
          <w:b/>
        </w:rPr>
        <w:tab/>
      </w:r>
      <w:r w:rsidR="003036A6">
        <w:rPr>
          <w:b/>
        </w:rPr>
        <w:tab/>
      </w:r>
      <w:r w:rsidR="003036A6">
        <w:rPr>
          <w:b/>
        </w:rPr>
        <w:tab/>
      </w:r>
      <w:r w:rsidR="003036A6">
        <w:rPr>
          <w:b/>
        </w:rPr>
        <w:tab/>
      </w:r>
      <w:r w:rsidR="003036A6">
        <w:rPr>
          <w:b/>
        </w:rPr>
        <w:tab/>
      </w:r>
      <w:r w:rsidR="003036A6">
        <w:rPr>
          <w:b/>
        </w:rPr>
        <w:tab/>
        <w:t>29</w:t>
      </w:r>
    </w:p>
    <w:p w:rsidR="00940C49" w:rsidRPr="008B1497" w:rsidRDefault="00940C49" w:rsidP="00A327D4">
      <w:pPr>
        <w:jc w:val="both"/>
      </w:pPr>
      <w:proofErr w:type="gramStart"/>
      <w:r w:rsidRPr="008B1497">
        <w:t xml:space="preserve">5.1 </w:t>
      </w:r>
      <w:r>
        <w:t xml:space="preserve"> </w:t>
      </w:r>
      <w:proofErr w:type="gramEnd"/>
      <w:r w:rsidR="006E609A">
        <w:t>I</w:t>
      </w:r>
      <w:r w:rsidRPr="008B1497">
        <w:t>nleiding</w:t>
      </w:r>
      <w:r w:rsidR="003036A6">
        <w:tab/>
      </w:r>
      <w:r w:rsidR="003036A6">
        <w:tab/>
      </w:r>
      <w:r w:rsidR="003036A6">
        <w:tab/>
      </w:r>
      <w:r w:rsidR="003036A6">
        <w:tab/>
      </w:r>
      <w:r w:rsidR="003036A6">
        <w:tab/>
      </w:r>
      <w:r w:rsidR="003036A6">
        <w:tab/>
      </w:r>
      <w:r w:rsidR="003036A6">
        <w:tab/>
      </w:r>
      <w:r w:rsidR="003036A6">
        <w:tab/>
      </w:r>
      <w:r w:rsidR="003036A6">
        <w:tab/>
      </w:r>
      <w:r w:rsidR="003036A6">
        <w:tab/>
      </w:r>
      <w:r w:rsidR="003036A6">
        <w:tab/>
        <w:t>29</w:t>
      </w:r>
    </w:p>
    <w:p w:rsidR="003036A6" w:rsidRDefault="00940C49" w:rsidP="00A327D4">
      <w:pPr>
        <w:jc w:val="both"/>
      </w:pPr>
      <w:proofErr w:type="gramStart"/>
      <w:r w:rsidRPr="008B1497">
        <w:t xml:space="preserve">5.2 </w:t>
      </w:r>
      <w:r>
        <w:t xml:space="preserve"> </w:t>
      </w:r>
      <w:proofErr w:type="gramEnd"/>
      <w:r w:rsidR="006E609A">
        <w:t>S</w:t>
      </w:r>
      <w:r w:rsidRPr="008B1497">
        <w:t>amenvatting</w:t>
      </w:r>
      <w:r w:rsidR="003036A6">
        <w:tab/>
      </w:r>
      <w:r w:rsidR="003036A6">
        <w:tab/>
      </w:r>
      <w:r w:rsidR="003036A6">
        <w:tab/>
      </w:r>
      <w:r w:rsidR="003036A6">
        <w:tab/>
      </w:r>
      <w:r w:rsidR="003036A6">
        <w:tab/>
      </w:r>
      <w:r w:rsidR="003036A6">
        <w:tab/>
      </w:r>
      <w:r w:rsidR="003036A6">
        <w:tab/>
      </w:r>
      <w:r w:rsidR="003036A6">
        <w:tab/>
      </w:r>
      <w:r w:rsidR="003036A6">
        <w:tab/>
      </w:r>
      <w:r w:rsidR="003036A6">
        <w:tab/>
        <w:t>29</w:t>
      </w:r>
    </w:p>
    <w:p w:rsidR="00940C49" w:rsidRDefault="00940C49" w:rsidP="00A327D4">
      <w:pPr>
        <w:jc w:val="both"/>
      </w:pPr>
      <w:proofErr w:type="gramStart"/>
      <w:r w:rsidRPr="008B1497">
        <w:t xml:space="preserve">5.3 </w:t>
      </w:r>
      <w:r>
        <w:t xml:space="preserve"> </w:t>
      </w:r>
      <w:proofErr w:type="gramEnd"/>
      <w:r w:rsidR="006E609A">
        <w:t>C</w:t>
      </w:r>
      <w:r w:rsidRPr="008B1497">
        <w:t>onclusie</w:t>
      </w:r>
      <w:r w:rsidR="003036A6">
        <w:tab/>
      </w:r>
      <w:r w:rsidR="003036A6">
        <w:tab/>
      </w:r>
      <w:r w:rsidR="003036A6">
        <w:tab/>
      </w:r>
      <w:r w:rsidR="003036A6">
        <w:tab/>
      </w:r>
      <w:r w:rsidR="003036A6">
        <w:tab/>
      </w:r>
      <w:r w:rsidR="003036A6">
        <w:tab/>
      </w:r>
      <w:r w:rsidR="003036A6">
        <w:tab/>
      </w:r>
      <w:r w:rsidR="003036A6">
        <w:tab/>
      </w:r>
      <w:r w:rsidR="003036A6">
        <w:tab/>
      </w:r>
      <w:r w:rsidR="003036A6">
        <w:tab/>
      </w:r>
      <w:r w:rsidR="003036A6">
        <w:tab/>
        <w:t>3</w:t>
      </w:r>
      <w:r w:rsidR="00863ACE">
        <w:t>1</w:t>
      </w:r>
    </w:p>
    <w:p w:rsidR="005C7B56" w:rsidRDefault="005C7B56" w:rsidP="00A327D4">
      <w:pPr>
        <w:jc w:val="both"/>
      </w:pPr>
    </w:p>
    <w:p w:rsidR="005C7B56" w:rsidRPr="005C7B56" w:rsidRDefault="005C7B56" w:rsidP="00A327D4">
      <w:pPr>
        <w:jc w:val="both"/>
        <w:rPr>
          <w:b/>
          <w:sz w:val="24"/>
          <w:szCs w:val="24"/>
        </w:rPr>
      </w:pPr>
      <w:r>
        <w:rPr>
          <w:b/>
        </w:rPr>
        <w:t>Bronnenlijst</w:t>
      </w:r>
      <w:r>
        <w:rPr>
          <w:b/>
        </w:rPr>
        <w:tab/>
      </w:r>
      <w:r>
        <w:rPr>
          <w:b/>
        </w:rPr>
        <w:tab/>
      </w:r>
      <w:r>
        <w:rPr>
          <w:b/>
        </w:rPr>
        <w:tab/>
      </w:r>
      <w:r>
        <w:rPr>
          <w:b/>
        </w:rPr>
        <w:tab/>
      </w:r>
      <w:r>
        <w:rPr>
          <w:b/>
        </w:rPr>
        <w:tab/>
      </w:r>
      <w:r>
        <w:rPr>
          <w:b/>
        </w:rPr>
        <w:tab/>
      </w:r>
      <w:r>
        <w:rPr>
          <w:b/>
        </w:rPr>
        <w:tab/>
      </w:r>
      <w:r>
        <w:rPr>
          <w:b/>
        </w:rPr>
        <w:tab/>
      </w:r>
      <w:r>
        <w:rPr>
          <w:b/>
        </w:rPr>
        <w:tab/>
      </w:r>
      <w:r>
        <w:rPr>
          <w:b/>
        </w:rPr>
        <w:tab/>
      </w:r>
      <w:r>
        <w:rPr>
          <w:b/>
        </w:rPr>
        <w:tab/>
        <w:t>3</w:t>
      </w:r>
      <w:r w:rsidR="00863ACE">
        <w:rPr>
          <w:b/>
        </w:rPr>
        <w:t>3</w:t>
      </w:r>
    </w:p>
    <w:p w:rsidR="00E83A53" w:rsidRDefault="00E83A53" w:rsidP="00A327D4">
      <w:pPr>
        <w:jc w:val="both"/>
        <w:rPr>
          <w:b/>
          <w:sz w:val="24"/>
          <w:szCs w:val="24"/>
        </w:rPr>
      </w:pPr>
    </w:p>
    <w:p w:rsidR="00E83A53" w:rsidRDefault="00E83A53" w:rsidP="00A327D4">
      <w:pPr>
        <w:jc w:val="both"/>
        <w:rPr>
          <w:b/>
          <w:sz w:val="24"/>
          <w:szCs w:val="24"/>
        </w:rPr>
      </w:pPr>
    </w:p>
    <w:p w:rsidR="00065BC2" w:rsidRPr="009E212B" w:rsidRDefault="00065BC2" w:rsidP="00A327D4">
      <w:pPr>
        <w:ind w:left="2832" w:firstLine="708"/>
        <w:jc w:val="both"/>
        <w:rPr>
          <w:b/>
          <w:sz w:val="24"/>
          <w:szCs w:val="24"/>
        </w:rPr>
      </w:pPr>
      <w:r w:rsidRPr="009E212B">
        <w:rPr>
          <w:b/>
          <w:sz w:val="24"/>
          <w:szCs w:val="24"/>
        </w:rPr>
        <w:lastRenderedPageBreak/>
        <w:t>Hoofdstuk 1</w:t>
      </w:r>
    </w:p>
    <w:p w:rsidR="00065BC2" w:rsidRPr="009E212B" w:rsidRDefault="00065BC2" w:rsidP="00A327D4">
      <w:pPr>
        <w:ind w:left="2832" w:firstLine="708"/>
        <w:jc w:val="both"/>
        <w:rPr>
          <w:b/>
          <w:sz w:val="24"/>
          <w:szCs w:val="24"/>
        </w:rPr>
      </w:pPr>
      <w:r w:rsidRPr="009E212B">
        <w:rPr>
          <w:b/>
          <w:sz w:val="24"/>
          <w:szCs w:val="24"/>
        </w:rPr>
        <w:t xml:space="preserve">   Inleiding</w:t>
      </w:r>
    </w:p>
    <w:p w:rsidR="00940C49" w:rsidRPr="00C61871" w:rsidRDefault="00BA1F2D" w:rsidP="00A327D4">
      <w:pPr>
        <w:jc w:val="both"/>
        <w:rPr>
          <w:b/>
        </w:rPr>
      </w:pPr>
      <w:proofErr w:type="gramStart"/>
      <w:r>
        <w:rPr>
          <w:b/>
        </w:rPr>
        <w:t xml:space="preserve">1.1  </w:t>
      </w:r>
      <w:proofErr w:type="gramEnd"/>
      <w:r w:rsidR="00940C49">
        <w:rPr>
          <w:b/>
        </w:rPr>
        <w:t>Aanleiding</w:t>
      </w:r>
    </w:p>
    <w:p w:rsidR="00940C49" w:rsidRDefault="00940C49" w:rsidP="00A327D4">
      <w:pPr>
        <w:ind w:firstLine="708"/>
        <w:jc w:val="both"/>
      </w:pPr>
      <w:r>
        <w:t xml:space="preserve">De wetgever heeft duidelijke kaders geschept voor belastingplichtigen wat betreft de term belang. De duidelijkheid betreffende het kader blijkt uit de weergave hiervan in welomschreven wetsartikelen, waarin de grens op kwantitatieve wijze wordt aangegeven. In de Wet op de Vennootschapsbelasting 1969 (Hierna: Wet VPB 1969) zijn er meerdere wetsartikelen waar de procentuele bezitseis aanwezig is. In art. 13 Wet VPB 1969 is een 5%-criterium om het recht te verkrijgen als een deelneming aangemerkt te kunnen worden. In art. 15 Wet VPB 1969 wordt geen genoegen genomen met minder dan 95% van de aandelen, dit geldt voor zowel </w:t>
      </w:r>
      <w:r w:rsidR="0096024D">
        <w:t xml:space="preserve">de </w:t>
      </w:r>
      <w:r>
        <w:t xml:space="preserve">juridische als </w:t>
      </w:r>
      <w:r w:rsidR="0096024D">
        <w:t xml:space="preserve">de </w:t>
      </w:r>
      <w:r>
        <w:t>economisch</w:t>
      </w:r>
      <w:r w:rsidR="0096024D">
        <w:t>e</w:t>
      </w:r>
      <w:r>
        <w:t xml:space="preserve"> </w:t>
      </w:r>
      <w:proofErr w:type="gramStart"/>
      <w:r>
        <w:t xml:space="preserve">eigendom  </w:t>
      </w:r>
      <w:proofErr w:type="gramEnd"/>
      <w:r>
        <w:t xml:space="preserve">van het aandelenpakket. Dit laat zien dat er geen ruimte is overgelaten door de wetgever om als belastingplichtige op het randje te zitten, het is erop of eronder. </w:t>
      </w:r>
    </w:p>
    <w:p w:rsidR="00940C49" w:rsidRDefault="00940C49" w:rsidP="00A327D4">
      <w:pPr>
        <w:ind w:firstLine="708"/>
        <w:jc w:val="both"/>
      </w:pPr>
      <w:r>
        <w:t>Volgens het Nederlands belastingrecht worden natuurlijke personen en lichamen gezien als zelfstandig, deze autonomie is terug te zien in de manier waarop de belastingplichtige in de belastingheffing betrokken wordt.</w:t>
      </w:r>
      <w:r>
        <w:rPr>
          <w:rStyle w:val="FootnoteReference"/>
        </w:rPr>
        <w:footnoteReference w:id="1"/>
      </w:r>
      <w:r>
        <w:t xml:space="preserve"> Het belang kan ruim opgevat worden, de vraag is of kapitaalbelang voldoende is of dat er ook gekeken moet worden naar de zeggenschap. Of het begrip belang thans meer een formele of een materiële tint heeft zal in dit onderzoek aan de kaak worden gesteld.</w:t>
      </w:r>
    </w:p>
    <w:p w:rsidR="00940C49" w:rsidRDefault="00940C49" w:rsidP="00A327D4">
      <w:pPr>
        <w:ind w:firstLine="708"/>
        <w:jc w:val="both"/>
      </w:pPr>
      <w:r>
        <w:t xml:space="preserve">In art. 10a Wet VPB 1969 worden de termen “verbonden lichaam” en “verbonden natuurlijk persoon”  </w:t>
      </w:r>
      <w:proofErr w:type="gramStart"/>
      <w:r>
        <w:t xml:space="preserve">genoemd.  </w:t>
      </w:r>
      <w:proofErr w:type="gramEnd"/>
      <w:r>
        <w:t xml:space="preserve">Wil sprake zijn van verbondenheid dan </w:t>
      </w:r>
      <w:proofErr w:type="gramStart"/>
      <w:r>
        <w:t xml:space="preserve">moet  </w:t>
      </w:r>
      <w:proofErr w:type="gramEnd"/>
      <w:r>
        <w:t>een belang aanwezig zijn van ten minste een derde gedeelte. Het kwalitatief aspect van de verbondenheid, het belang, is onontkoombaar voor het kwalificeren van de gelieerdheid van lichamen.</w:t>
      </w:r>
    </w:p>
    <w:p w:rsidR="00940C49" w:rsidRDefault="00940C49" w:rsidP="00A327D4">
      <w:pPr>
        <w:ind w:firstLine="708"/>
        <w:jc w:val="both"/>
      </w:pPr>
      <w:r>
        <w:t xml:space="preserve">Nu de flexibilisering van het bv-recht nabij is </w:t>
      </w:r>
      <w:r w:rsidR="0096024D">
        <w:t xml:space="preserve">wordt </w:t>
      </w:r>
      <w:r>
        <w:t>de interpretatie van het begrip belang een cruciale noodzaak</w:t>
      </w:r>
      <w:r w:rsidR="0096024D">
        <w:t>.</w:t>
      </w:r>
      <w:r>
        <w:t xml:space="preserve"> </w:t>
      </w:r>
      <w:r w:rsidR="0096024D">
        <w:t>M</w:t>
      </w:r>
      <w:r>
        <w:t xml:space="preserve">et de </w:t>
      </w:r>
      <w:r w:rsidR="0096024D">
        <w:t>invoering van het flexibele bv-recht wordt</w:t>
      </w:r>
      <w:r>
        <w:t xml:space="preserve"> het mogelijk stemrecht</w:t>
      </w:r>
      <w:r w:rsidR="00DF45B3">
        <w:t>aandelen</w:t>
      </w:r>
      <w:r>
        <w:t xml:space="preserve"> en winstrechtaandelen in bezit te krijgen. Het voelt meer vertrouwd als een belastingplichtige dan ergens op kan terugvallen. De bedoeling van dit wetsvoorstel is om Nederland aantrekkelijker te maken als </w:t>
      </w:r>
      <w:proofErr w:type="spellStart"/>
      <w:r>
        <w:t>vestigings</w:t>
      </w:r>
      <w:proofErr w:type="spellEnd"/>
      <w:r>
        <w:t xml:space="preserve">- en ondernemingsland, aangezien sommige buurlanden al wel de </w:t>
      </w:r>
      <w:r w:rsidR="00DF45B3">
        <w:t xml:space="preserve">gevorderde </w:t>
      </w:r>
      <w:r>
        <w:t>stap hebben gemaakt wat betreft de versoepeling van het bv-recht</w:t>
      </w:r>
      <w:r>
        <w:rPr>
          <w:rStyle w:val="FootnoteReference"/>
        </w:rPr>
        <w:footnoteReference w:id="2"/>
      </w:r>
      <w:r>
        <w:t xml:space="preserve">. De consequenties zouden weleens remmend kunnen werken voor het nastreven van het gewenste doel door de wetgever, </w:t>
      </w:r>
      <w:proofErr w:type="gramStart"/>
      <w:r>
        <w:t>met name</w:t>
      </w:r>
      <w:proofErr w:type="gramEnd"/>
      <w:r>
        <w:t xml:space="preserve"> als er geen eenduidigheid wordt gecreëerd </w:t>
      </w:r>
      <w:r w:rsidR="00DF45B3">
        <w:t xml:space="preserve">omtrent </w:t>
      </w:r>
      <w:r>
        <w:t>het begrip belang in het belastingrecht.</w:t>
      </w:r>
    </w:p>
    <w:p w:rsidR="00940C49" w:rsidRDefault="00940C49" w:rsidP="00A327D4">
      <w:pPr>
        <w:jc w:val="both"/>
      </w:pPr>
    </w:p>
    <w:p w:rsidR="00940C49" w:rsidRDefault="00940C49" w:rsidP="00A327D4">
      <w:pPr>
        <w:jc w:val="both"/>
      </w:pPr>
    </w:p>
    <w:p w:rsidR="00940C49" w:rsidRPr="00904EBB" w:rsidRDefault="00BA1F2D" w:rsidP="00A327D4">
      <w:pPr>
        <w:pStyle w:val="ListParagraph"/>
        <w:ind w:left="0"/>
        <w:jc w:val="both"/>
        <w:rPr>
          <w:b/>
        </w:rPr>
      </w:pPr>
      <w:proofErr w:type="gramStart"/>
      <w:r>
        <w:rPr>
          <w:b/>
        </w:rPr>
        <w:t xml:space="preserve">1.2  </w:t>
      </w:r>
      <w:proofErr w:type="gramEnd"/>
      <w:r w:rsidR="00940C49">
        <w:rPr>
          <w:b/>
        </w:rPr>
        <w:t>O</w:t>
      </w:r>
      <w:r w:rsidR="00940C49" w:rsidRPr="00904EBB">
        <w:rPr>
          <w:b/>
        </w:rPr>
        <w:t>nderwerp van het onderzoek</w:t>
      </w:r>
    </w:p>
    <w:p w:rsidR="00940C49" w:rsidRDefault="00940C49" w:rsidP="00520E1D">
      <w:pPr>
        <w:ind w:firstLine="708"/>
        <w:jc w:val="both"/>
      </w:pPr>
      <w:r>
        <w:t xml:space="preserve">Het onderzoek zal zich </w:t>
      </w:r>
      <w:r w:rsidR="006407D9">
        <w:t>toe</w:t>
      </w:r>
      <w:r>
        <w:t xml:space="preserve">spitsen op de term belang en de interpretatie daarvan rekeninghoudend met </w:t>
      </w:r>
      <w:proofErr w:type="gramStart"/>
      <w:r>
        <w:t>de</w:t>
      </w:r>
      <w:proofErr w:type="gramEnd"/>
      <w:r>
        <w:t xml:space="preserve"> inwerktreding van de flexibilisering van het bv-recht. In de fiscale praktijk is </w:t>
      </w:r>
      <w:proofErr w:type="gramStart"/>
      <w:r>
        <w:t>het</w:t>
      </w:r>
      <w:proofErr w:type="gramEnd"/>
      <w:r>
        <w:t xml:space="preserve"> routine geworden om bepaalde woordkeuzes van de wetgever kritisch aan te kijken. Zodra ruimte is voor een andere interpretatie dan </w:t>
      </w:r>
      <w:proofErr w:type="gramStart"/>
      <w:r>
        <w:t>hetgeen</w:t>
      </w:r>
      <w:proofErr w:type="gramEnd"/>
      <w:r>
        <w:t xml:space="preserve"> de wetgever beoogt zal  gezocht worden naar onweerlegbare argumenten om deze interpretatie te valideren. Duidelijkheid is vereist en dat gaat naar mijn mening niet gepaard met het invoeren van nieuwe wetten. Een vraagstuk zoals het interpreteren van het begrip belang krijgt dan meer ruimte voor andere binnen het kader vallende interpretaties en dus kunnen er mogelijkheden ontstaan het begrip belang naar eigen wens in te vullen.</w:t>
      </w:r>
      <w:r>
        <w:rPr>
          <w:rStyle w:val="FootnoteReference"/>
        </w:rPr>
        <w:footnoteReference w:id="3"/>
      </w:r>
      <w:r>
        <w:t xml:space="preserve"> Dit zal,</w:t>
      </w:r>
      <w:r w:rsidR="00DF45B3">
        <w:t xml:space="preserve"> </w:t>
      </w:r>
      <w:r>
        <w:t>met de mogelijkheid stemrecht</w:t>
      </w:r>
      <w:r w:rsidR="00DF45B3">
        <w:t>aandelen</w:t>
      </w:r>
      <w:r>
        <w:t xml:space="preserve"> en winstrechtaandelen te verwerven, slechts toenemen. Omdat nu ieder aandeel één stem bezit en de zeggenschap dus gepaard gaat met het financieel belang. Na invoering van de flexibele BV </w:t>
      </w:r>
      <w:r w:rsidR="0004652D">
        <w:t xml:space="preserve">verandert dit </w:t>
      </w:r>
      <w:r>
        <w:t xml:space="preserve">aangezien je winstrechtaandelen kunt verkrijgen. </w:t>
      </w:r>
      <w:r w:rsidR="0004652D">
        <w:t>I</w:t>
      </w:r>
      <w:r>
        <w:t>s dan nog sprake van een economische betekenis van die aandelen? Dit is naar mijn mening essentieel voor het verbondenheid</w:t>
      </w:r>
      <w:r w:rsidR="0004652D">
        <w:t>s</w:t>
      </w:r>
      <w:r>
        <w:t xml:space="preserve">criterium. Een onjuiste interpretatie van het begrip belang kan dus zorgen voor een krachtige nasleep voor de verbondenheid, en andere bepalingen binnen de Wet VPB 1969 die een kwantitatief bezit vereisen. Dit </w:t>
      </w:r>
      <w:r w:rsidR="002D0892">
        <w:t xml:space="preserve">wordt </w:t>
      </w:r>
      <w:r>
        <w:t>in hoofdstuk 3 nader uitgewerkt.</w:t>
      </w:r>
    </w:p>
    <w:p w:rsidR="00940C49" w:rsidRDefault="00940C49" w:rsidP="00A327D4">
      <w:pPr>
        <w:jc w:val="both"/>
      </w:pPr>
    </w:p>
    <w:p w:rsidR="00940C49" w:rsidRPr="00CD3F3C" w:rsidRDefault="00BA1F2D" w:rsidP="00A327D4">
      <w:pPr>
        <w:pStyle w:val="ListParagraph"/>
        <w:ind w:left="0"/>
        <w:jc w:val="both"/>
        <w:rPr>
          <w:b/>
        </w:rPr>
      </w:pPr>
      <w:proofErr w:type="gramStart"/>
      <w:r>
        <w:rPr>
          <w:b/>
        </w:rPr>
        <w:t xml:space="preserve">1.3  </w:t>
      </w:r>
      <w:proofErr w:type="gramEnd"/>
      <w:r w:rsidR="00940C49" w:rsidRPr="00CD3F3C">
        <w:rPr>
          <w:b/>
        </w:rPr>
        <w:t>Probleemstelling</w:t>
      </w:r>
      <w:r w:rsidR="00940C49">
        <w:rPr>
          <w:b/>
        </w:rPr>
        <w:t xml:space="preserve"> en onderzoeksopzet van het onderzoek</w:t>
      </w:r>
    </w:p>
    <w:p w:rsidR="00A83EDC" w:rsidRDefault="00940C49" w:rsidP="00520E1D">
      <w:pPr>
        <w:ind w:firstLine="708"/>
        <w:jc w:val="both"/>
        <w:rPr>
          <w:rStyle w:val="apple-style-span"/>
          <w:rFonts w:cs="Calibri"/>
          <w:color w:val="000000"/>
        </w:rPr>
      </w:pPr>
      <w:r w:rsidRPr="00684B07">
        <w:rPr>
          <w:rFonts w:cs="Calibri"/>
        </w:rPr>
        <w:t xml:space="preserve">In 2007 is het wetsvoorstel “vereenvoudiging en flexibilisering </w:t>
      </w:r>
      <w:r>
        <w:rPr>
          <w:rFonts w:cs="Calibri"/>
        </w:rPr>
        <w:t xml:space="preserve">van het </w:t>
      </w:r>
      <w:proofErr w:type="spellStart"/>
      <w:r w:rsidRPr="00684B07">
        <w:rPr>
          <w:rFonts w:cs="Calibri"/>
        </w:rPr>
        <w:t>bv-recht</w:t>
      </w:r>
      <w:proofErr w:type="spellEnd"/>
      <w:r w:rsidRPr="00684B07">
        <w:rPr>
          <w:rFonts w:cs="Calibri"/>
        </w:rPr>
        <w:t xml:space="preserve">” door de </w:t>
      </w:r>
      <w:r w:rsidR="00651432">
        <w:rPr>
          <w:rFonts w:cs="Calibri"/>
        </w:rPr>
        <w:t>T</w:t>
      </w:r>
      <w:r w:rsidR="00651432" w:rsidRPr="00684B07">
        <w:rPr>
          <w:rFonts w:cs="Calibri"/>
        </w:rPr>
        <w:t xml:space="preserve">weede </w:t>
      </w:r>
      <w:r w:rsidR="00651432">
        <w:rPr>
          <w:rFonts w:cs="Calibri"/>
        </w:rPr>
        <w:t>K</w:t>
      </w:r>
      <w:r w:rsidR="00651432" w:rsidRPr="00684B07">
        <w:rPr>
          <w:rFonts w:cs="Calibri"/>
        </w:rPr>
        <w:t xml:space="preserve">amer </w:t>
      </w:r>
      <w:r w:rsidRPr="00684B07">
        <w:rPr>
          <w:rFonts w:cs="Calibri"/>
        </w:rPr>
        <w:t>ontvangen</w:t>
      </w:r>
      <w:r>
        <w:rPr>
          <w:rFonts w:cs="Calibri"/>
        </w:rPr>
        <w:t xml:space="preserve"> en bevindt zich op dit moment in de </w:t>
      </w:r>
      <w:r w:rsidRPr="008615E0">
        <w:rPr>
          <w:rFonts w:cs="Calibri"/>
        </w:rPr>
        <w:t xml:space="preserve">fase waarbij het wetsvoorstel bij de Tweede Kamer is voor een </w:t>
      </w:r>
      <w:proofErr w:type="gramStart"/>
      <w:r w:rsidRPr="008615E0">
        <w:rPr>
          <w:rFonts w:cs="Calibri"/>
        </w:rPr>
        <w:t>plenaire</w:t>
      </w:r>
      <w:proofErr w:type="gramEnd"/>
      <w:r w:rsidRPr="008615E0">
        <w:rPr>
          <w:rFonts w:cs="Calibri"/>
        </w:rPr>
        <w:t xml:space="preserve"> behandeling.</w:t>
      </w:r>
      <w:r>
        <w:rPr>
          <w:rFonts w:cs="Calibri"/>
        </w:rPr>
        <w:t xml:space="preserve"> Dit wetsvoorstel bevat enige versoepelingen van het bv-recht welke de aantrekkelijkheid van het Nederlandse vestigingsklimaat zodoende moet stimuleren</w:t>
      </w:r>
      <w:r w:rsidRPr="00684B07">
        <w:rPr>
          <w:rFonts w:cs="Calibri"/>
        </w:rPr>
        <w:t>.</w:t>
      </w:r>
      <w:r>
        <w:rPr>
          <w:rFonts w:cs="Calibri"/>
        </w:rPr>
        <w:t xml:space="preserve"> Voor de fiscaliteit </w:t>
      </w:r>
      <w:r w:rsidR="006B62EF">
        <w:rPr>
          <w:rFonts w:cs="Calibri"/>
        </w:rPr>
        <w:t xml:space="preserve">kan </w:t>
      </w:r>
      <w:r>
        <w:rPr>
          <w:rFonts w:cs="Calibri"/>
        </w:rPr>
        <w:t>dit de nodige complicaties opleveren wat betreft de rechtszekerheid.</w:t>
      </w:r>
      <w:r w:rsidRPr="00684B07">
        <w:rPr>
          <w:rFonts w:cs="Calibri"/>
        </w:rPr>
        <w:t xml:space="preserve"> </w:t>
      </w:r>
      <w:r w:rsidRPr="00684B07">
        <w:rPr>
          <w:rStyle w:val="apple-style-span"/>
          <w:rFonts w:cs="Calibri"/>
          <w:color w:val="000000"/>
        </w:rPr>
        <w:t>Zo wordt het bijvoorbeeld mogelijk om stemrecht</w:t>
      </w:r>
      <w:r w:rsidR="006B62EF">
        <w:rPr>
          <w:rStyle w:val="apple-style-span"/>
          <w:rFonts w:cs="Calibri"/>
          <w:color w:val="000000"/>
        </w:rPr>
        <w:t>aandelen</w:t>
      </w:r>
      <w:r w:rsidRPr="00684B07">
        <w:rPr>
          <w:rStyle w:val="apple-style-span"/>
          <w:rFonts w:cs="Calibri"/>
          <w:color w:val="000000"/>
        </w:rPr>
        <w:t xml:space="preserve"> en winstrechtaandelen uit te geven</w:t>
      </w:r>
      <w:r>
        <w:rPr>
          <w:rStyle w:val="apple-style-span"/>
          <w:rFonts w:cs="Calibri"/>
          <w:color w:val="000000"/>
        </w:rPr>
        <w:t xml:space="preserve"> waardoor constructies opgesteld kunnen worden waar de focus ligt op het misbruiken van wettelijke bepalingen</w:t>
      </w:r>
      <w:r w:rsidRPr="00684B07">
        <w:rPr>
          <w:rStyle w:val="apple-style-span"/>
          <w:rFonts w:cs="Calibri"/>
          <w:color w:val="000000"/>
        </w:rPr>
        <w:t xml:space="preserve">. In het belastingrecht </w:t>
      </w:r>
      <w:r w:rsidR="00375FBF">
        <w:rPr>
          <w:rStyle w:val="apple-style-span"/>
          <w:rFonts w:cs="Calibri"/>
          <w:color w:val="000000"/>
        </w:rPr>
        <w:t>kan</w:t>
      </w:r>
      <w:r w:rsidR="00375FBF" w:rsidRPr="00684B07">
        <w:rPr>
          <w:rStyle w:val="apple-style-span"/>
          <w:rFonts w:cs="Calibri"/>
          <w:color w:val="000000"/>
        </w:rPr>
        <w:t xml:space="preserve"> </w:t>
      </w:r>
      <w:r w:rsidRPr="00684B07">
        <w:rPr>
          <w:rStyle w:val="apple-style-span"/>
          <w:rFonts w:cs="Calibri"/>
          <w:color w:val="000000"/>
        </w:rPr>
        <w:t xml:space="preserve">deze flexibilisering gevolgen hebben voor de ‘verbondenheid’ en </w:t>
      </w:r>
      <w:proofErr w:type="gramStart"/>
      <w:r w:rsidRPr="00684B07">
        <w:rPr>
          <w:rStyle w:val="apple-style-span"/>
          <w:rFonts w:cs="Calibri"/>
          <w:color w:val="000000"/>
        </w:rPr>
        <w:t>met name</w:t>
      </w:r>
      <w:proofErr w:type="gramEnd"/>
      <w:r w:rsidRPr="00684B07">
        <w:rPr>
          <w:rStyle w:val="apple-style-span"/>
          <w:rFonts w:cs="Calibri"/>
          <w:color w:val="000000"/>
        </w:rPr>
        <w:t xml:space="preserve"> de verhouding tussen lichaam onderling en tussen lichaam en natuurlijk persoon. Dit brengt bij mij de vraag naar boven of de huidige wetgeving voldoende is ingedekt voor een ruimere interpretatie van het begrip belang. De staatssecretaris stelt van wel en zegt dat het begrip belang voldoende ruimte biedt om op passende wijze rekening te houden met de </w:t>
      </w:r>
      <w:r w:rsidRPr="00684B07">
        <w:rPr>
          <w:rStyle w:val="apple-style-span"/>
          <w:rFonts w:cs="Calibri"/>
          <w:color w:val="000000"/>
        </w:rPr>
        <w:lastRenderedPageBreak/>
        <w:t xml:space="preserve">als gevolg van de flexibilisering toegenomen </w:t>
      </w:r>
      <w:r>
        <w:rPr>
          <w:rStyle w:val="apple-style-span"/>
          <w:rFonts w:cs="Calibri"/>
          <w:color w:val="000000"/>
        </w:rPr>
        <w:t>vrijheid in de richting van de besloten vennootschappen</w:t>
      </w:r>
      <w:r w:rsidRPr="00684B07">
        <w:rPr>
          <w:rStyle w:val="apple-style-span"/>
          <w:rFonts w:cs="Calibri"/>
          <w:color w:val="000000"/>
        </w:rPr>
        <w:t>.</w:t>
      </w:r>
      <w:r w:rsidRPr="00684B07">
        <w:rPr>
          <w:rStyle w:val="FootnoteReference"/>
          <w:rFonts w:cs="Calibri"/>
          <w:color w:val="000000"/>
        </w:rPr>
        <w:footnoteReference w:id="4"/>
      </w:r>
      <w:r>
        <w:rPr>
          <w:rStyle w:val="apple-style-span"/>
          <w:rFonts w:cs="Calibri"/>
          <w:color w:val="000000"/>
        </w:rPr>
        <w:t xml:space="preserve"> </w:t>
      </w:r>
    </w:p>
    <w:p w:rsidR="00940C49" w:rsidRDefault="00940C49" w:rsidP="00A327D4">
      <w:pPr>
        <w:jc w:val="both"/>
        <w:rPr>
          <w:rStyle w:val="apple-style-span"/>
          <w:rFonts w:cs="Calibri"/>
          <w:color w:val="000000"/>
        </w:rPr>
      </w:pPr>
      <w:r>
        <w:rPr>
          <w:rStyle w:val="apple-style-span"/>
          <w:rFonts w:cs="Calibri"/>
          <w:color w:val="000000"/>
        </w:rPr>
        <w:t>Met dit in het achterhoofd, ben ik gekomen tot de volgende probleemstelling:</w:t>
      </w:r>
    </w:p>
    <w:p w:rsidR="006407D9" w:rsidRDefault="006407D9" w:rsidP="00A327D4">
      <w:pPr>
        <w:jc w:val="both"/>
        <w:rPr>
          <w:rFonts w:cs="Calibri"/>
        </w:rPr>
      </w:pPr>
    </w:p>
    <w:p w:rsidR="00C93ACE" w:rsidRDefault="006407D9">
      <w:pPr>
        <w:ind w:left="708"/>
        <w:jc w:val="both"/>
        <w:rPr>
          <w:rFonts w:cs="Calibri"/>
          <w:i/>
        </w:rPr>
      </w:pPr>
      <w:r>
        <w:rPr>
          <w:rFonts w:cs="Calibri"/>
          <w:i/>
        </w:rPr>
        <w:t>“</w:t>
      </w:r>
      <w:r w:rsidR="00940C49">
        <w:rPr>
          <w:rFonts w:cs="Calibri"/>
          <w:i/>
        </w:rPr>
        <w:t xml:space="preserve">Is de definiëring en reikwijdte van het begrip belang zoals deze thans geldt klaar voor de </w:t>
      </w:r>
      <w:r w:rsidR="004A4C9C">
        <w:rPr>
          <w:rFonts w:cs="Calibri"/>
          <w:i/>
        </w:rPr>
        <w:t xml:space="preserve">flexibilisering </w:t>
      </w:r>
      <w:r w:rsidR="00651432">
        <w:rPr>
          <w:rFonts w:cs="Calibri"/>
          <w:i/>
        </w:rPr>
        <w:t xml:space="preserve">van </w:t>
      </w:r>
      <w:r w:rsidR="00940C49">
        <w:rPr>
          <w:rFonts w:cs="Calibri"/>
          <w:i/>
        </w:rPr>
        <w:t>het bv-recht?</w:t>
      </w:r>
      <w:r>
        <w:rPr>
          <w:rFonts w:cs="Calibri"/>
          <w:i/>
        </w:rPr>
        <w:t>”</w:t>
      </w:r>
    </w:p>
    <w:p w:rsidR="00C93ACE" w:rsidRDefault="00C93ACE">
      <w:pPr>
        <w:ind w:left="708"/>
        <w:jc w:val="both"/>
        <w:rPr>
          <w:rFonts w:cs="Calibri"/>
          <w:i/>
        </w:rPr>
      </w:pPr>
    </w:p>
    <w:p w:rsidR="00940C49" w:rsidRPr="00CE2170" w:rsidRDefault="00940C49" w:rsidP="00A327D4">
      <w:pPr>
        <w:ind w:firstLine="708"/>
        <w:jc w:val="both"/>
      </w:pPr>
      <w:r w:rsidRPr="00B21A27">
        <w:rPr>
          <w:rFonts w:cs="Calibri"/>
        </w:rPr>
        <w:t xml:space="preserve">Het belangrijkste doel van </w:t>
      </w:r>
      <w:r>
        <w:rPr>
          <w:rFonts w:cs="Calibri"/>
        </w:rPr>
        <w:t>deze</w:t>
      </w:r>
      <w:r w:rsidRPr="00B21A27">
        <w:rPr>
          <w:rFonts w:cs="Calibri"/>
        </w:rPr>
        <w:t xml:space="preserve"> scriptie is te toetsen of de staatssecretaris gelijk </w:t>
      </w:r>
      <w:r>
        <w:rPr>
          <w:rFonts w:cs="Calibri"/>
        </w:rPr>
        <w:t>heeft</w:t>
      </w:r>
      <w:r w:rsidRPr="00B21A27">
        <w:rPr>
          <w:rFonts w:cs="Calibri"/>
        </w:rPr>
        <w:t xml:space="preserve"> of </w:t>
      </w:r>
      <w:r>
        <w:rPr>
          <w:rFonts w:cs="Calibri"/>
        </w:rPr>
        <w:t>dat</w:t>
      </w:r>
      <w:r w:rsidRPr="00B21A27">
        <w:rPr>
          <w:rFonts w:cs="Calibri"/>
        </w:rPr>
        <w:t xml:space="preserve"> het begrip belang toch een </w:t>
      </w:r>
      <w:r>
        <w:rPr>
          <w:rFonts w:cs="Calibri"/>
        </w:rPr>
        <w:t>concretere</w:t>
      </w:r>
      <w:r w:rsidRPr="00B21A27">
        <w:rPr>
          <w:rFonts w:cs="Calibri"/>
        </w:rPr>
        <w:t xml:space="preserve"> kadrering moet krijgen.</w:t>
      </w:r>
      <w:r>
        <w:rPr>
          <w:rFonts w:cs="Calibri"/>
        </w:rPr>
        <w:t xml:space="preserve"> </w:t>
      </w:r>
      <w:r w:rsidRPr="00684B07">
        <w:rPr>
          <w:rFonts w:cs="Calibri"/>
        </w:rPr>
        <w:t xml:space="preserve">Bij de beantwoording van de </w:t>
      </w:r>
      <w:r>
        <w:rPr>
          <w:rFonts w:cs="Calibri"/>
        </w:rPr>
        <w:t xml:space="preserve">probleemstelling </w:t>
      </w:r>
      <w:r w:rsidRPr="00684B07">
        <w:rPr>
          <w:rFonts w:cs="Calibri"/>
        </w:rPr>
        <w:t xml:space="preserve">zal ik mijn onderzoek indelen in een aantal </w:t>
      </w:r>
      <w:proofErr w:type="gramStart"/>
      <w:r w:rsidRPr="00684B07">
        <w:rPr>
          <w:rFonts w:cs="Calibri"/>
        </w:rPr>
        <w:t>onderdelen die</w:t>
      </w:r>
      <w:proofErr w:type="gramEnd"/>
      <w:r w:rsidRPr="00684B07">
        <w:rPr>
          <w:rFonts w:cs="Calibri"/>
        </w:rPr>
        <w:t xml:space="preserve"> </w:t>
      </w:r>
      <w:r>
        <w:rPr>
          <w:rFonts w:cs="Calibri"/>
        </w:rPr>
        <w:t xml:space="preserve">ik noodzakelijk acht om </w:t>
      </w:r>
      <w:r w:rsidRPr="00684B07">
        <w:rPr>
          <w:rFonts w:cs="Calibri"/>
        </w:rPr>
        <w:t xml:space="preserve">ervoor zorgen dat ik stapsgewijs </w:t>
      </w:r>
      <w:r>
        <w:rPr>
          <w:rFonts w:cs="Calibri"/>
        </w:rPr>
        <w:t>mijn probleemstelling kan beantwoorden</w:t>
      </w:r>
      <w:r w:rsidRPr="00684B07">
        <w:rPr>
          <w:rFonts w:cs="Calibri"/>
        </w:rPr>
        <w:t xml:space="preserve">. </w:t>
      </w:r>
      <w:r>
        <w:rPr>
          <w:rFonts w:cs="Calibri"/>
        </w:rPr>
        <w:t xml:space="preserve">De probleemstelling valt uiteen in een tweetal samenhangende vragen. Na een </w:t>
      </w:r>
      <w:proofErr w:type="gramStart"/>
      <w:r>
        <w:rPr>
          <w:rFonts w:cs="Calibri"/>
        </w:rPr>
        <w:t>inleidende</w:t>
      </w:r>
      <w:proofErr w:type="gramEnd"/>
      <w:r>
        <w:rPr>
          <w:rFonts w:cs="Calibri"/>
        </w:rPr>
        <w:t xml:space="preserve"> hoofdstuk</w:t>
      </w:r>
      <w:r w:rsidRPr="00684B07">
        <w:rPr>
          <w:rFonts w:cs="Calibri"/>
        </w:rPr>
        <w:t xml:space="preserve"> </w:t>
      </w:r>
      <w:r>
        <w:rPr>
          <w:rFonts w:cs="Calibri"/>
        </w:rPr>
        <w:t xml:space="preserve">worden in hoofdstuk 2 </w:t>
      </w:r>
      <w:r w:rsidRPr="00684B07">
        <w:rPr>
          <w:rFonts w:cs="Calibri"/>
        </w:rPr>
        <w:t>de feiten</w:t>
      </w:r>
      <w:r>
        <w:rPr>
          <w:rFonts w:cs="Calibri"/>
        </w:rPr>
        <w:t xml:space="preserve"> omschreven</w:t>
      </w:r>
      <w:r w:rsidRPr="00684B07">
        <w:rPr>
          <w:rFonts w:cs="Calibri"/>
        </w:rPr>
        <w:t xml:space="preserve"> welke de flexibilisering in het bv-recht </w:t>
      </w:r>
      <w:r>
        <w:rPr>
          <w:rFonts w:cs="Calibri"/>
        </w:rPr>
        <w:t xml:space="preserve">noodzakelijkerwijs </w:t>
      </w:r>
      <w:r w:rsidRPr="00684B07">
        <w:rPr>
          <w:rFonts w:cs="Calibri"/>
        </w:rPr>
        <w:t>tot stand heeft doen brengen</w:t>
      </w:r>
      <w:r>
        <w:rPr>
          <w:rFonts w:cs="Calibri"/>
        </w:rPr>
        <w:t xml:space="preserve"> en welke relevant zijn voor de fiscaliteit</w:t>
      </w:r>
      <w:r w:rsidRPr="00684B07">
        <w:rPr>
          <w:rFonts w:cs="Calibri"/>
        </w:rPr>
        <w:t xml:space="preserve">, ten einde een inzicht te creëren hierin. </w:t>
      </w:r>
    </w:p>
    <w:p w:rsidR="00940C49" w:rsidRDefault="00940C49" w:rsidP="00A83EDC">
      <w:pPr>
        <w:jc w:val="both"/>
        <w:rPr>
          <w:rFonts w:cs="Calibri"/>
          <w:i/>
        </w:rPr>
      </w:pPr>
      <w:r>
        <w:rPr>
          <w:rFonts w:cs="Calibri"/>
        </w:rPr>
        <w:t>Hierbij zal aan de hand van de volgende deelvraag worden gewerkt:</w:t>
      </w:r>
    </w:p>
    <w:p w:rsidR="00940C49" w:rsidRDefault="00940C49" w:rsidP="00A83EDC">
      <w:pPr>
        <w:ind w:firstLine="708"/>
        <w:jc w:val="both"/>
        <w:rPr>
          <w:rFonts w:cs="Calibri"/>
        </w:rPr>
      </w:pPr>
      <w:r>
        <w:rPr>
          <w:rFonts w:cs="Calibri"/>
          <w:i/>
        </w:rPr>
        <w:t>Deelvraag 1: Wat zijn de ingrijpende wijzigingen van de flexibilisering van het bv-recht, en in hoeverre beslaan deze de fiscaliteit, met in het bijzonder het begrip belang?</w:t>
      </w:r>
    </w:p>
    <w:p w:rsidR="00940C49" w:rsidRDefault="00940C49" w:rsidP="00A327D4">
      <w:pPr>
        <w:ind w:firstLine="708"/>
        <w:jc w:val="both"/>
        <w:rPr>
          <w:rFonts w:cs="Calibri"/>
        </w:rPr>
      </w:pPr>
      <w:r w:rsidRPr="00684B07">
        <w:rPr>
          <w:rFonts w:cs="Calibri"/>
        </w:rPr>
        <w:t>Vervolgens z</w:t>
      </w:r>
      <w:r>
        <w:rPr>
          <w:rFonts w:cs="Calibri"/>
        </w:rPr>
        <w:t xml:space="preserve">al ik in hoofdstuk 3 het begrip “belang” uiteenzetten </w:t>
      </w:r>
      <w:r w:rsidRPr="00684B07">
        <w:rPr>
          <w:rFonts w:cs="Calibri"/>
        </w:rPr>
        <w:t xml:space="preserve">zodat zichtbaar zal worden hoe noodzakelijk de definiëring is van dit begrip voor het belastingrecht. </w:t>
      </w:r>
      <w:r>
        <w:rPr>
          <w:rFonts w:cs="Calibri"/>
        </w:rPr>
        <w:t>In het verlengde hiervan zal ik behandelen wat de uitgifte van winstrechtaandelen en stemrechtaandelen doet met de verbondenheid, de deelnemingsvrijstelling en de fiscale eenheid</w:t>
      </w:r>
      <w:r w:rsidRPr="00684B07">
        <w:rPr>
          <w:rFonts w:cs="Calibri"/>
        </w:rPr>
        <w:t xml:space="preserve"> zoals wij die kennen in het huidige rechtssysteem door een vergrootglas te </w:t>
      </w:r>
      <w:r>
        <w:rPr>
          <w:rFonts w:cs="Calibri"/>
        </w:rPr>
        <w:t>plaatsen</w:t>
      </w:r>
      <w:r w:rsidRPr="00684B07">
        <w:rPr>
          <w:rFonts w:cs="Calibri"/>
        </w:rPr>
        <w:t xml:space="preserve"> op het spanningsveld. </w:t>
      </w:r>
      <w:r>
        <w:rPr>
          <w:rFonts w:cs="Calibri"/>
        </w:rPr>
        <w:t>Hier doel ik op de interpretatie aan de hand van formele dan wel materiële criteria. Hierbij dient de volgende deelvraag als leidraad:</w:t>
      </w:r>
    </w:p>
    <w:p w:rsidR="00940C49" w:rsidRPr="00684B07" w:rsidRDefault="00940C49" w:rsidP="00A327D4">
      <w:pPr>
        <w:ind w:firstLine="708"/>
        <w:jc w:val="both"/>
        <w:rPr>
          <w:rFonts w:cs="Calibri"/>
          <w:i/>
        </w:rPr>
      </w:pPr>
      <w:r>
        <w:rPr>
          <w:rFonts w:cs="Calibri"/>
          <w:i/>
        </w:rPr>
        <w:t xml:space="preserve">Deelvraag 2: Welke gevolgen heeft de flexibilisering van het bv-recht en </w:t>
      </w:r>
      <w:proofErr w:type="gramStart"/>
      <w:r>
        <w:rPr>
          <w:rFonts w:cs="Calibri"/>
          <w:i/>
        </w:rPr>
        <w:t>met name</w:t>
      </w:r>
      <w:proofErr w:type="gramEnd"/>
      <w:r>
        <w:rPr>
          <w:rFonts w:cs="Calibri"/>
          <w:i/>
        </w:rPr>
        <w:t xml:space="preserve"> de winstrecht</w:t>
      </w:r>
      <w:r w:rsidR="00B27E5E">
        <w:rPr>
          <w:rFonts w:cs="Calibri"/>
          <w:i/>
        </w:rPr>
        <w:t>aandelen</w:t>
      </w:r>
      <w:r>
        <w:rPr>
          <w:rFonts w:cs="Calibri"/>
          <w:i/>
        </w:rPr>
        <w:t xml:space="preserve"> </w:t>
      </w:r>
      <w:r w:rsidR="00B27E5E">
        <w:rPr>
          <w:rFonts w:cs="Calibri"/>
          <w:i/>
        </w:rPr>
        <w:t xml:space="preserve">en </w:t>
      </w:r>
      <w:r>
        <w:rPr>
          <w:rFonts w:cs="Calibri"/>
          <w:i/>
        </w:rPr>
        <w:t xml:space="preserve">stemrechtaandelen, voor het begrip belang in </w:t>
      </w:r>
      <w:r w:rsidRPr="00AF7438">
        <w:rPr>
          <w:rFonts w:cs="Calibri"/>
          <w:i/>
        </w:rPr>
        <w:t>de Wet VPB 1969?</w:t>
      </w:r>
    </w:p>
    <w:p w:rsidR="00940C49" w:rsidRPr="00A66BFE" w:rsidRDefault="00940C49" w:rsidP="00A327D4">
      <w:pPr>
        <w:jc w:val="both"/>
        <w:rPr>
          <w:rFonts w:cs="Calibri"/>
        </w:rPr>
      </w:pPr>
      <w:r w:rsidRPr="00684B07">
        <w:rPr>
          <w:rFonts w:cs="Calibri"/>
        </w:rPr>
        <w:t xml:space="preserve">Als laatst </w:t>
      </w:r>
      <w:r>
        <w:rPr>
          <w:rFonts w:cs="Calibri"/>
        </w:rPr>
        <w:t>geef</w:t>
      </w:r>
      <w:r w:rsidRPr="00684B07">
        <w:rPr>
          <w:rFonts w:cs="Calibri"/>
        </w:rPr>
        <w:t xml:space="preserve"> ik </w:t>
      </w:r>
      <w:r>
        <w:rPr>
          <w:rFonts w:cs="Calibri"/>
        </w:rPr>
        <w:t xml:space="preserve">in hoofdstuk 4 </w:t>
      </w:r>
      <w:r w:rsidRPr="00684B07">
        <w:rPr>
          <w:rFonts w:cs="Calibri"/>
        </w:rPr>
        <w:t xml:space="preserve">antwoord op de hoofdvraag met behulp van een </w:t>
      </w:r>
      <w:r>
        <w:rPr>
          <w:rFonts w:cs="Calibri"/>
        </w:rPr>
        <w:t>korte</w:t>
      </w:r>
      <w:r w:rsidRPr="00684B07">
        <w:rPr>
          <w:rFonts w:cs="Calibri"/>
        </w:rPr>
        <w:t xml:space="preserve"> samenvatting en een conclusie.</w:t>
      </w:r>
    </w:p>
    <w:p w:rsidR="00940C49" w:rsidRDefault="00940C49" w:rsidP="00A327D4">
      <w:pPr>
        <w:jc w:val="both"/>
      </w:pPr>
    </w:p>
    <w:p w:rsidR="00940C49" w:rsidRDefault="00BA1F2D" w:rsidP="00A327D4">
      <w:pPr>
        <w:jc w:val="both"/>
      </w:pPr>
      <w:proofErr w:type="gramStart"/>
      <w:r>
        <w:rPr>
          <w:b/>
        </w:rPr>
        <w:t xml:space="preserve">1.4  </w:t>
      </w:r>
      <w:proofErr w:type="gramEnd"/>
      <w:r w:rsidR="00940C49">
        <w:rPr>
          <w:b/>
        </w:rPr>
        <w:t>Reikwijdte</w:t>
      </w:r>
      <w:r w:rsidR="00940C49" w:rsidRPr="00CD3F3C">
        <w:rPr>
          <w:b/>
        </w:rPr>
        <w:t xml:space="preserve"> van het onderzoek</w:t>
      </w:r>
    </w:p>
    <w:p w:rsidR="00940C49" w:rsidRDefault="00940C49" w:rsidP="00520E1D">
      <w:pPr>
        <w:ind w:firstLine="360"/>
        <w:jc w:val="both"/>
      </w:pPr>
      <w:r>
        <w:t xml:space="preserve">Zoals duidelijk is geworden in </w:t>
      </w:r>
      <w:proofErr w:type="gramStart"/>
      <w:r>
        <w:t>hetgeen</w:t>
      </w:r>
      <w:proofErr w:type="gramEnd"/>
      <w:r>
        <w:t xml:space="preserve"> hiervoor is aangedragen zal mijn onderzoek zich voornamelijk richten op het begrip belang in de Wet VPB 1969. Gelet op de omvang van dit </w:t>
      </w:r>
      <w:r>
        <w:lastRenderedPageBreak/>
        <w:t>onderzoek, zal bij een aantal in het oog springende wijzigingen die het wetsvoorstel met zich meebrengt niet dieper op in worden gegaan. Hiermee doel ik op de volgende wijzigingen:</w:t>
      </w:r>
    </w:p>
    <w:p w:rsidR="00940C49" w:rsidRPr="006837D0" w:rsidRDefault="00940C49" w:rsidP="00A327D4">
      <w:pPr>
        <w:pStyle w:val="ListParagraph"/>
        <w:numPr>
          <w:ilvl w:val="0"/>
          <w:numId w:val="1"/>
        </w:numPr>
        <w:jc w:val="both"/>
        <w:rPr>
          <w:rFonts w:asciiTheme="minorHAnsi" w:hAnsiTheme="minorHAnsi" w:cstheme="minorHAnsi"/>
        </w:rPr>
      </w:pPr>
      <w:r w:rsidRPr="006837D0">
        <w:rPr>
          <w:rFonts w:asciiTheme="minorHAnsi" w:eastAsiaTheme="minorEastAsia" w:hAnsiTheme="minorHAnsi" w:cstheme="minorHAnsi"/>
          <w:color w:val="000000"/>
          <w:sz w:val="20"/>
          <w:lang w:eastAsia="nl-NL"/>
        </w:rPr>
        <w:t>het vervallen van de verplichte statutaire blokkeringsregeling;</w:t>
      </w:r>
    </w:p>
    <w:p w:rsidR="00940C49" w:rsidRPr="006837D0" w:rsidRDefault="00940C49" w:rsidP="00A327D4">
      <w:pPr>
        <w:pStyle w:val="ListParagraph"/>
        <w:numPr>
          <w:ilvl w:val="0"/>
          <w:numId w:val="1"/>
        </w:numPr>
        <w:jc w:val="both"/>
        <w:rPr>
          <w:rFonts w:asciiTheme="minorHAnsi" w:hAnsiTheme="minorHAnsi" w:cstheme="minorHAnsi"/>
        </w:rPr>
      </w:pPr>
      <w:r>
        <w:rPr>
          <w:rFonts w:asciiTheme="minorHAnsi" w:eastAsiaTheme="minorEastAsia" w:hAnsiTheme="minorHAnsi" w:cstheme="minorHAnsi"/>
          <w:color w:val="000000"/>
          <w:sz w:val="20"/>
          <w:lang w:eastAsia="nl-NL"/>
        </w:rPr>
        <w:t>de bestuurdersaansprakelijkheid en de terugbetalingsplicht van de aandeelhouders;</w:t>
      </w:r>
    </w:p>
    <w:p w:rsidR="00940C49" w:rsidRPr="006837D0" w:rsidRDefault="00940C49" w:rsidP="00A327D4">
      <w:pPr>
        <w:pStyle w:val="ListParagraph"/>
        <w:numPr>
          <w:ilvl w:val="0"/>
          <w:numId w:val="1"/>
        </w:numPr>
        <w:jc w:val="both"/>
        <w:rPr>
          <w:rFonts w:asciiTheme="minorHAnsi" w:hAnsiTheme="minorHAnsi" w:cstheme="minorHAnsi"/>
        </w:rPr>
      </w:pPr>
      <w:r w:rsidRPr="006837D0">
        <w:rPr>
          <w:rFonts w:asciiTheme="minorHAnsi" w:hAnsiTheme="minorHAnsi" w:cstheme="minorHAnsi"/>
          <w:color w:val="000000"/>
          <w:sz w:val="20"/>
        </w:rPr>
        <w:t>verbetering van de wettelijke geschillenregeling.</w:t>
      </w:r>
    </w:p>
    <w:p w:rsidR="00940C49" w:rsidRDefault="00940C49" w:rsidP="00A327D4">
      <w:pPr>
        <w:pStyle w:val="ListParagraph"/>
        <w:jc w:val="both"/>
      </w:pPr>
    </w:p>
    <w:p w:rsidR="00940C49" w:rsidRDefault="00940C49" w:rsidP="00A327D4">
      <w:pPr>
        <w:ind w:firstLine="360"/>
        <w:jc w:val="both"/>
      </w:pPr>
      <w:r>
        <w:t xml:space="preserve">De wijziging welke betrekking heeft tot het invoeren van de mogelijkheid van </w:t>
      </w:r>
      <w:r w:rsidR="00651432">
        <w:t xml:space="preserve">stemrechtaandelen </w:t>
      </w:r>
      <w:r>
        <w:t xml:space="preserve">en </w:t>
      </w:r>
      <w:proofErr w:type="spellStart"/>
      <w:r>
        <w:t>winstrechtaandelen</w:t>
      </w:r>
      <w:proofErr w:type="spellEnd"/>
      <w:r>
        <w:t xml:space="preserve"> </w:t>
      </w:r>
      <w:r w:rsidRPr="002D375C">
        <w:t xml:space="preserve">bevat een fiscaal </w:t>
      </w:r>
      <w:r>
        <w:t xml:space="preserve">relevant </w:t>
      </w:r>
      <w:r w:rsidRPr="002D375C">
        <w:t>aspect.</w:t>
      </w:r>
      <w:r>
        <w:t xml:space="preserve"> Het flexibel stemrecht zou een mogelijke oorzaak kunnen zijn voor verruiming van ongunstige mogelijkheden met betrekking tot onder andere de deelnemingsvrijstelling en de fiscale eenheid in de Wet VPB 1969.</w:t>
      </w:r>
    </w:p>
    <w:p w:rsidR="006C4A98" w:rsidRDefault="00940C49" w:rsidP="00A327D4">
      <w:pPr>
        <w:jc w:val="both"/>
        <w:rPr>
          <w:rStyle w:val="apple-converted-space"/>
          <w:rFonts w:asciiTheme="minorHAnsi" w:hAnsiTheme="minorHAnsi" w:cstheme="minorHAnsi"/>
        </w:rPr>
      </w:pPr>
      <w:r w:rsidRPr="006837D0">
        <w:rPr>
          <w:rStyle w:val="apple-converted-space"/>
          <w:rFonts w:cs="Calibri"/>
        </w:rPr>
        <w:t xml:space="preserve">Verder zal er wat betreft de discussie van verbondenheid in de loonbelasting, overdrachtsbelasting </w:t>
      </w:r>
      <w:r w:rsidRPr="006837D0">
        <w:rPr>
          <w:rStyle w:val="apple-converted-space"/>
          <w:rFonts w:asciiTheme="minorHAnsi" w:hAnsiTheme="minorHAnsi" w:cstheme="minorHAnsi"/>
        </w:rPr>
        <w:t xml:space="preserve">en de successiewet niet worden ingegaan op het begrip belang als gevolg van de flexibilisering </w:t>
      </w:r>
      <w:r>
        <w:rPr>
          <w:rStyle w:val="apple-converted-space"/>
          <w:rFonts w:asciiTheme="minorHAnsi" w:hAnsiTheme="minorHAnsi" w:cstheme="minorHAnsi"/>
        </w:rPr>
        <w:t>van het bv-recht</w:t>
      </w:r>
      <w:r w:rsidRPr="006837D0">
        <w:rPr>
          <w:rStyle w:val="apple-converted-space"/>
          <w:rFonts w:asciiTheme="minorHAnsi" w:hAnsiTheme="minorHAnsi" w:cstheme="minorHAnsi"/>
        </w:rPr>
        <w:t>.</w:t>
      </w:r>
      <w:r>
        <w:rPr>
          <w:rStyle w:val="apple-converted-space"/>
          <w:rFonts w:asciiTheme="minorHAnsi" w:hAnsiTheme="minorHAnsi" w:cstheme="minorHAnsi"/>
        </w:rPr>
        <w:t xml:space="preserve"> </w:t>
      </w:r>
    </w:p>
    <w:p w:rsidR="00940C49" w:rsidRDefault="00940C49" w:rsidP="006C4A98">
      <w:pPr>
        <w:ind w:firstLine="708"/>
        <w:jc w:val="both"/>
        <w:rPr>
          <w:rStyle w:val="apple-converted-space"/>
          <w:rFonts w:asciiTheme="minorHAnsi" w:hAnsiTheme="minorHAnsi" w:cstheme="minorHAnsi"/>
        </w:rPr>
      </w:pPr>
      <w:proofErr w:type="gramStart"/>
      <w:r w:rsidRPr="006837D0">
        <w:rPr>
          <w:rStyle w:val="apple-converted-space"/>
          <w:rFonts w:asciiTheme="minorHAnsi" w:hAnsiTheme="minorHAnsi" w:cstheme="minorHAnsi"/>
        </w:rPr>
        <w:t>Inzake</w:t>
      </w:r>
      <w:proofErr w:type="gramEnd"/>
      <w:r w:rsidRPr="006837D0">
        <w:rPr>
          <w:rStyle w:val="apple-converted-space"/>
          <w:rFonts w:asciiTheme="minorHAnsi" w:hAnsiTheme="minorHAnsi" w:cstheme="minorHAnsi"/>
        </w:rPr>
        <w:t xml:space="preserve"> het begrip belang in de </w:t>
      </w:r>
      <w:r w:rsidR="00651432">
        <w:rPr>
          <w:rStyle w:val="apple-converted-space"/>
          <w:rFonts w:asciiTheme="minorHAnsi" w:hAnsiTheme="minorHAnsi" w:cstheme="minorHAnsi"/>
        </w:rPr>
        <w:t>W</w:t>
      </w:r>
      <w:r w:rsidR="00651432" w:rsidRPr="006837D0">
        <w:rPr>
          <w:rStyle w:val="apple-converted-space"/>
          <w:rFonts w:asciiTheme="minorHAnsi" w:hAnsiTheme="minorHAnsi" w:cstheme="minorHAnsi"/>
        </w:rPr>
        <w:t xml:space="preserve">et </w:t>
      </w:r>
      <w:r w:rsidRPr="006837D0">
        <w:rPr>
          <w:rStyle w:val="apple-converted-space"/>
          <w:rFonts w:asciiTheme="minorHAnsi" w:hAnsiTheme="minorHAnsi" w:cstheme="minorHAnsi"/>
        </w:rPr>
        <w:t xml:space="preserve">Omzetbelasting 1968 zou deze bij de desbetreffende </w:t>
      </w:r>
      <w:r w:rsidR="00651432" w:rsidRPr="006837D0">
        <w:rPr>
          <w:rStyle w:val="apple-converted-space"/>
          <w:rFonts w:asciiTheme="minorHAnsi" w:hAnsiTheme="minorHAnsi" w:cstheme="minorHAnsi"/>
        </w:rPr>
        <w:t xml:space="preserve">fiscale </w:t>
      </w:r>
      <w:r w:rsidRPr="006837D0">
        <w:rPr>
          <w:rStyle w:val="apple-converted-space"/>
          <w:rFonts w:asciiTheme="minorHAnsi" w:hAnsiTheme="minorHAnsi" w:cstheme="minorHAnsi"/>
        </w:rPr>
        <w:t xml:space="preserve">wet een rol kunnen spelen. Hiervoor is vereist dat natuurlijke personen en lichamen ondernemer zijn en in Nederland gevestigd zijn </w:t>
      </w:r>
      <w:r w:rsidRPr="006837D0">
        <w:rPr>
          <w:rFonts w:asciiTheme="minorHAnsi" w:hAnsiTheme="minorHAnsi" w:cstheme="minorHAnsi"/>
        </w:rPr>
        <w:t xml:space="preserve">dan wel in Nederland een vaste inrichting hebben </w:t>
      </w:r>
      <w:proofErr w:type="gramStart"/>
      <w:r w:rsidRPr="006837D0">
        <w:rPr>
          <w:rFonts w:asciiTheme="minorHAnsi" w:hAnsiTheme="minorHAnsi" w:cstheme="minorHAnsi"/>
        </w:rPr>
        <w:t xml:space="preserve">en  </w:t>
      </w:r>
      <w:proofErr w:type="gramEnd"/>
      <w:r w:rsidRPr="006837D0">
        <w:rPr>
          <w:rFonts w:asciiTheme="minorHAnsi" w:hAnsiTheme="minorHAnsi" w:cstheme="minorHAnsi"/>
        </w:rPr>
        <w:t>financieel, organisatorisch en economisch opzicht zodanig zijn verweven dat zij een eenheid vormen.</w:t>
      </w:r>
      <w:r>
        <w:rPr>
          <w:rStyle w:val="FootnoteReference"/>
          <w:rFonts w:asciiTheme="minorHAnsi" w:hAnsiTheme="minorHAnsi"/>
        </w:rPr>
        <w:footnoteReference w:id="5"/>
      </w:r>
      <w:r>
        <w:rPr>
          <w:rStyle w:val="apple-converted-space"/>
          <w:rFonts w:asciiTheme="minorHAnsi" w:hAnsiTheme="minorHAnsi" w:cstheme="minorHAnsi"/>
        </w:rPr>
        <w:t xml:space="preserve"> De Hoge </w:t>
      </w:r>
      <w:r w:rsidR="00651432">
        <w:rPr>
          <w:rStyle w:val="apple-converted-space"/>
          <w:rFonts w:asciiTheme="minorHAnsi" w:hAnsiTheme="minorHAnsi" w:cstheme="minorHAnsi"/>
        </w:rPr>
        <w:t xml:space="preserve">Raad </w:t>
      </w:r>
      <w:r>
        <w:rPr>
          <w:rStyle w:val="apple-converted-space"/>
          <w:rFonts w:asciiTheme="minorHAnsi" w:hAnsiTheme="minorHAnsi" w:cstheme="minorHAnsi"/>
        </w:rPr>
        <w:t>heeft financiële verwevenheid uitgelegd zijnde een meerderheid van de aandelen inclusief de zeggenschap.</w:t>
      </w:r>
      <w:r>
        <w:rPr>
          <w:rStyle w:val="FootnoteReference"/>
          <w:rFonts w:asciiTheme="minorHAnsi" w:hAnsiTheme="minorHAnsi"/>
        </w:rPr>
        <w:footnoteReference w:id="6"/>
      </w:r>
      <w:r>
        <w:rPr>
          <w:rStyle w:val="apple-converted-space"/>
          <w:rFonts w:asciiTheme="minorHAnsi" w:hAnsiTheme="minorHAnsi" w:cstheme="minorHAnsi"/>
        </w:rPr>
        <w:t xml:space="preserve"> Hier zien we dat met de mogelijkheid om winstrechtloze aandelen uit te geven hier een gelegenheid ontstaat toch een meerderheid te verkrijgen, als aan het criterium wordt voldaan van organisatorische en economische verwevenheid.</w:t>
      </w:r>
      <w:r>
        <w:rPr>
          <w:rStyle w:val="FootnoteReference"/>
          <w:rFonts w:asciiTheme="minorHAnsi" w:hAnsiTheme="minorHAnsi"/>
        </w:rPr>
        <w:footnoteReference w:id="7"/>
      </w:r>
      <w:r>
        <w:rPr>
          <w:rStyle w:val="apple-converted-space"/>
          <w:rFonts w:asciiTheme="minorHAnsi" w:hAnsiTheme="minorHAnsi" w:cstheme="minorHAnsi"/>
        </w:rPr>
        <w:t xml:space="preserve"> Dit zal niet nader worden belicht, ook het belang van het wetsvoorstel voor het aanmerkelijk belang in de inkomstenbelasting zal buiten beschouwing worden gelaten vanwege de omvang van dit onderzoek.</w:t>
      </w:r>
      <w:r w:rsidR="002053D6">
        <w:rPr>
          <w:rStyle w:val="apple-converted-space"/>
          <w:rFonts w:asciiTheme="minorHAnsi" w:hAnsiTheme="minorHAnsi" w:cstheme="minorHAnsi"/>
        </w:rPr>
        <w:t xml:space="preserve"> </w:t>
      </w:r>
      <w:r>
        <w:rPr>
          <w:rStyle w:val="apple-converted-space"/>
          <w:rFonts w:asciiTheme="minorHAnsi" w:hAnsiTheme="minorHAnsi" w:cstheme="minorHAnsi"/>
        </w:rPr>
        <w:t>Daarnaast denk ik dat de discussie van de soorten aandelen ook plaatsvindt in de Wet VPB</w:t>
      </w:r>
      <w:r w:rsidR="00651432">
        <w:rPr>
          <w:rStyle w:val="apple-converted-space"/>
          <w:rFonts w:asciiTheme="minorHAnsi" w:hAnsiTheme="minorHAnsi" w:cstheme="minorHAnsi"/>
        </w:rPr>
        <w:t xml:space="preserve"> </w:t>
      </w:r>
      <w:r>
        <w:rPr>
          <w:rStyle w:val="apple-converted-space"/>
          <w:rFonts w:asciiTheme="minorHAnsi" w:hAnsiTheme="minorHAnsi" w:cstheme="minorHAnsi"/>
        </w:rPr>
        <w:t xml:space="preserve">1969 zodat  deze discussie </w:t>
      </w:r>
      <w:proofErr w:type="gramStart"/>
      <w:r>
        <w:rPr>
          <w:rStyle w:val="apple-converted-space"/>
          <w:rFonts w:asciiTheme="minorHAnsi" w:hAnsiTheme="minorHAnsi" w:cstheme="minorHAnsi"/>
        </w:rPr>
        <w:t>omtrent</w:t>
      </w:r>
      <w:proofErr w:type="gramEnd"/>
      <w:r>
        <w:rPr>
          <w:rStyle w:val="apple-converted-space"/>
          <w:rFonts w:asciiTheme="minorHAnsi" w:hAnsiTheme="minorHAnsi" w:cstheme="minorHAnsi"/>
        </w:rPr>
        <w:t xml:space="preserve"> het financieel en materieel belang in hoofdstuk 3 al tegen het licht wordt gehouden.</w:t>
      </w:r>
    </w:p>
    <w:p w:rsidR="00940C49" w:rsidRDefault="00940C49" w:rsidP="00A327D4">
      <w:pPr>
        <w:jc w:val="both"/>
        <w:rPr>
          <w:b/>
          <w:sz w:val="24"/>
          <w:szCs w:val="24"/>
        </w:rPr>
      </w:pPr>
    </w:p>
    <w:p w:rsidR="00EC1D04" w:rsidRDefault="00EC1D04" w:rsidP="00A327D4">
      <w:pPr>
        <w:ind w:left="2832" w:firstLine="708"/>
        <w:jc w:val="both"/>
        <w:rPr>
          <w:b/>
          <w:sz w:val="24"/>
          <w:szCs w:val="24"/>
        </w:rPr>
      </w:pPr>
    </w:p>
    <w:p w:rsidR="00EC1D04" w:rsidRDefault="00EC1D04" w:rsidP="00A327D4">
      <w:pPr>
        <w:ind w:left="2832" w:firstLine="708"/>
        <w:jc w:val="both"/>
        <w:rPr>
          <w:b/>
          <w:sz w:val="24"/>
          <w:szCs w:val="24"/>
        </w:rPr>
      </w:pPr>
    </w:p>
    <w:p w:rsidR="009E212B" w:rsidRDefault="009E212B" w:rsidP="00A327D4">
      <w:pPr>
        <w:ind w:left="2832" w:firstLine="708"/>
        <w:jc w:val="both"/>
        <w:rPr>
          <w:b/>
          <w:sz w:val="24"/>
          <w:szCs w:val="24"/>
        </w:rPr>
      </w:pPr>
    </w:p>
    <w:p w:rsidR="009E212B" w:rsidRDefault="009E212B" w:rsidP="00A327D4">
      <w:pPr>
        <w:ind w:left="2832" w:firstLine="708"/>
        <w:jc w:val="both"/>
        <w:rPr>
          <w:b/>
          <w:sz w:val="24"/>
          <w:szCs w:val="24"/>
        </w:rPr>
      </w:pPr>
    </w:p>
    <w:p w:rsidR="00940C49" w:rsidRPr="009E212B" w:rsidRDefault="00940C49" w:rsidP="00A327D4">
      <w:pPr>
        <w:ind w:left="2832" w:firstLine="708"/>
        <w:jc w:val="both"/>
        <w:rPr>
          <w:b/>
          <w:sz w:val="24"/>
          <w:szCs w:val="24"/>
        </w:rPr>
      </w:pPr>
      <w:r w:rsidRPr="009E212B">
        <w:rPr>
          <w:b/>
          <w:sz w:val="24"/>
          <w:szCs w:val="24"/>
        </w:rPr>
        <w:lastRenderedPageBreak/>
        <w:t xml:space="preserve">Hoofdstuk 2 </w:t>
      </w:r>
    </w:p>
    <w:p w:rsidR="00940C49" w:rsidRPr="009E212B" w:rsidRDefault="00977DC9" w:rsidP="00A327D4">
      <w:pPr>
        <w:jc w:val="both"/>
        <w:rPr>
          <w:b/>
          <w:sz w:val="24"/>
          <w:szCs w:val="24"/>
        </w:rPr>
      </w:pPr>
      <w:r w:rsidRPr="009E212B">
        <w:rPr>
          <w:b/>
          <w:sz w:val="24"/>
          <w:szCs w:val="24"/>
        </w:rPr>
        <w:tab/>
      </w:r>
      <w:r w:rsidRPr="009E212B">
        <w:rPr>
          <w:b/>
          <w:sz w:val="24"/>
          <w:szCs w:val="24"/>
        </w:rPr>
        <w:tab/>
      </w:r>
      <w:r w:rsidRPr="009E212B">
        <w:rPr>
          <w:b/>
          <w:sz w:val="24"/>
          <w:szCs w:val="24"/>
        </w:rPr>
        <w:tab/>
        <w:t xml:space="preserve">      </w:t>
      </w:r>
      <w:r w:rsidR="009E212B" w:rsidRPr="009E212B">
        <w:rPr>
          <w:b/>
          <w:sz w:val="24"/>
          <w:szCs w:val="24"/>
        </w:rPr>
        <w:t xml:space="preserve">  </w:t>
      </w:r>
      <w:r w:rsidRPr="009E212B">
        <w:rPr>
          <w:b/>
          <w:sz w:val="24"/>
          <w:szCs w:val="24"/>
        </w:rPr>
        <w:t xml:space="preserve"> De flexibilisering van het bv-recht</w:t>
      </w:r>
    </w:p>
    <w:p w:rsidR="00940C49" w:rsidRDefault="00BA1F2D" w:rsidP="00A327D4">
      <w:pPr>
        <w:jc w:val="both"/>
      </w:pPr>
      <w:proofErr w:type="gramStart"/>
      <w:r>
        <w:rPr>
          <w:b/>
        </w:rPr>
        <w:t xml:space="preserve">2.1  </w:t>
      </w:r>
      <w:proofErr w:type="gramEnd"/>
      <w:r w:rsidR="00940C49" w:rsidRPr="000D1A70">
        <w:rPr>
          <w:b/>
        </w:rPr>
        <w:t>Inleiding</w:t>
      </w:r>
    </w:p>
    <w:p w:rsidR="00940C49" w:rsidRPr="009B7CAE" w:rsidRDefault="00940C49" w:rsidP="00A327D4">
      <w:pPr>
        <w:ind w:firstLine="708"/>
        <w:jc w:val="both"/>
      </w:pPr>
      <w:r>
        <w:t xml:space="preserve">In dit hoofdstuk </w:t>
      </w:r>
      <w:r w:rsidR="002053D6">
        <w:t xml:space="preserve">krijgt </w:t>
      </w:r>
      <w:r>
        <w:t xml:space="preserve">het traject voorafgaand aan het wetsvoorstel de aandacht. Met de modernisering </w:t>
      </w:r>
      <w:proofErr w:type="spellStart"/>
      <w:r>
        <w:t>ondernemings</w:t>
      </w:r>
      <w:proofErr w:type="spellEnd"/>
      <w:r w:rsidR="00651432">
        <w:t>- en vennootschaps</w:t>
      </w:r>
      <w:r>
        <w:t xml:space="preserve">recht is besloten om het ondernemingsrecht in Nederland te verbeteren en sterker te positioneren. Hierin </w:t>
      </w:r>
      <w:r w:rsidR="002053D6">
        <w:t xml:space="preserve">wordt </w:t>
      </w:r>
      <w:r>
        <w:t xml:space="preserve">beargumenteerd waarom wijzigingen benodigd zijn in ons bv-recht. Vervolgens </w:t>
      </w:r>
      <w:r w:rsidR="002053D6">
        <w:t xml:space="preserve">worden </w:t>
      </w:r>
      <w:r>
        <w:t xml:space="preserve">de tranches besproken die gefaseerd vooraf zijn gegaan aan consultatierondes. Ook de fiscale aspecten van het wetsvoorstel </w:t>
      </w:r>
      <w:r w:rsidR="002053D6">
        <w:t xml:space="preserve">komen </w:t>
      </w:r>
      <w:r>
        <w:t xml:space="preserve">aan het licht. </w:t>
      </w:r>
      <w:proofErr w:type="gramStart"/>
      <w:r>
        <w:t>daaropvolgend</w:t>
      </w:r>
      <w:proofErr w:type="gramEnd"/>
      <w:r>
        <w:t xml:space="preserve"> </w:t>
      </w:r>
      <w:r w:rsidR="002053D6">
        <w:t xml:space="preserve">wordt </w:t>
      </w:r>
      <w:r>
        <w:t>hierop aangesloten met een uiteenzetting van de mogelijkheid tot uitgifte van winstrecht</w:t>
      </w:r>
      <w:r w:rsidR="002053D6">
        <w:t>aandelen en</w:t>
      </w:r>
      <w:r>
        <w:t xml:space="preserve"> stemrechtaandelen, welke de mogelijkheden voor de inrichting van een vennootschap verruimen. Tot slot </w:t>
      </w:r>
      <w:r w:rsidR="002053D6">
        <w:t xml:space="preserve">wordt </w:t>
      </w:r>
      <w:r>
        <w:t>een conclusie getrokken</w:t>
      </w:r>
      <w:r w:rsidR="009E212B">
        <w:t xml:space="preserve"> </w:t>
      </w:r>
      <w:proofErr w:type="gramStart"/>
      <w:r w:rsidR="009E212B">
        <w:t>omtrent</w:t>
      </w:r>
      <w:proofErr w:type="gramEnd"/>
      <w:r w:rsidR="009E212B">
        <w:t xml:space="preserve"> hetgeen is beschreven.</w:t>
      </w:r>
    </w:p>
    <w:p w:rsidR="00940C49" w:rsidRDefault="00940C49" w:rsidP="00A327D4">
      <w:pPr>
        <w:jc w:val="both"/>
      </w:pPr>
    </w:p>
    <w:p w:rsidR="00940C49" w:rsidRPr="000D1A70" w:rsidRDefault="00977DC9" w:rsidP="00786300">
      <w:pPr>
        <w:rPr>
          <w:b/>
        </w:rPr>
      </w:pPr>
      <w:proofErr w:type="gramStart"/>
      <w:r>
        <w:rPr>
          <w:b/>
        </w:rPr>
        <w:t xml:space="preserve">2.2 </w:t>
      </w:r>
      <w:r w:rsidR="00C53DF6">
        <w:rPr>
          <w:b/>
        </w:rPr>
        <w:t xml:space="preserve"> </w:t>
      </w:r>
      <w:proofErr w:type="gramEnd"/>
      <w:r w:rsidR="00940C49" w:rsidRPr="000D1A70">
        <w:rPr>
          <w:b/>
        </w:rPr>
        <w:t>Geschiedenis wetsvoorstel</w:t>
      </w:r>
    </w:p>
    <w:p w:rsidR="00977DC9" w:rsidRDefault="00977DC9" w:rsidP="002A523B">
      <w:pPr>
        <w:ind w:firstLine="708"/>
        <w:jc w:val="both"/>
      </w:pPr>
      <w:r w:rsidRPr="00DE047B">
        <w:t xml:space="preserve">De </w:t>
      </w:r>
      <w:r>
        <w:t>BV</w:t>
      </w:r>
      <w:r w:rsidRPr="00DE047B">
        <w:t xml:space="preserve"> bestaat al sinds begin jaren zeventig in ons Nederlands recht. In de praktijk word</w:t>
      </w:r>
      <w:r>
        <w:t>t</w:t>
      </w:r>
      <w:r w:rsidRPr="00DE047B">
        <w:t xml:space="preserve"> veel </w:t>
      </w:r>
      <w:r w:rsidRPr="0062241C">
        <w:t xml:space="preserve">gebruik gemaakt van de </w:t>
      </w:r>
      <w:r w:rsidR="00651432">
        <w:t>BV</w:t>
      </w:r>
      <w:r w:rsidR="00651432" w:rsidRPr="0062241C">
        <w:t xml:space="preserve"> </w:t>
      </w:r>
      <w:r w:rsidRPr="0062241C">
        <w:t xml:space="preserve">als rechtsvorm. Al geruime tijd was er vanuit de praktijk en de literatuur behoefte aan vereenvoudigingen binnen het bv-recht, meer inrichtingsvrijheid en minder belemmeringen vanuit de wet. Dit was </w:t>
      </w:r>
      <w:r>
        <w:t>één van</w:t>
      </w:r>
      <w:r w:rsidRPr="0062241C">
        <w:t xml:space="preserve"> de belangrijkste </w:t>
      </w:r>
      <w:r>
        <w:t xml:space="preserve">redenen </w:t>
      </w:r>
      <w:r w:rsidRPr="0062241C">
        <w:t>om een project te starten tot vereenvoudiging en flexibilisering van het bv-recht.</w:t>
      </w:r>
      <w:r w:rsidRPr="0062241C">
        <w:rPr>
          <w:rStyle w:val="FootnoteReference"/>
          <w:rFonts w:asciiTheme="minorHAnsi" w:hAnsiTheme="minorHAnsi" w:cstheme="minorHAnsi"/>
        </w:rPr>
        <w:footnoteReference w:id="8"/>
      </w:r>
      <w:r w:rsidRPr="0062241C">
        <w:t xml:space="preserve">  Door de Minister van Justitie is indertijd een expert groep aangesteld om aanbevelingen te doen. Aan</w:t>
      </w:r>
      <w:r>
        <w:t xml:space="preserve"> De</w:t>
      </w:r>
      <w:r w:rsidRPr="0062241C">
        <w:t xml:space="preserve"> </w:t>
      </w:r>
      <w:r w:rsidRPr="0062241C">
        <w:rPr>
          <w:lang w:eastAsia="nl-NL"/>
        </w:rPr>
        <w:t xml:space="preserve">Kluiver, voorzitter van de expert groep, werd gevraagd de problemen te onderzoeken welke in de praktijk en literatuur </w:t>
      </w:r>
      <w:r>
        <w:rPr>
          <w:lang w:eastAsia="nl-NL"/>
        </w:rPr>
        <w:t>waren</w:t>
      </w:r>
      <w:r w:rsidRPr="0062241C">
        <w:rPr>
          <w:lang w:eastAsia="nl-NL"/>
        </w:rPr>
        <w:t xml:space="preserve"> opgemerkt.</w:t>
      </w:r>
      <w:r>
        <w:rPr>
          <w:rStyle w:val="FootnoteReference"/>
          <w:rFonts w:asciiTheme="minorHAnsi" w:hAnsiTheme="minorHAnsi"/>
          <w:lang w:eastAsia="nl-NL"/>
        </w:rPr>
        <w:footnoteReference w:id="9"/>
      </w:r>
      <w:r w:rsidRPr="0062241C">
        <w:rPr>
          <w:lang w:eastAsia="nl-NL"/>
        </w:rPr>
        <w:t xml:space="preserve"> Daarnaast is ook op verzoek van de Minister door het Instituut voor Ondernemingsrecht Groningen een</w:t>
      </w:r>
      <w:r>
        <w:rPr>
          <w:lang w:eastAsia="nl-NL"/>
        </w:rPr>
        <w:t xml:space="preserve"> </w:t>
      </w:r>
      <w:r w:rsidRPr="0062241C">
        <w:rPr>
          <w:lang w:eastAsia="nl-NL"/>
        </w:rPr>
        <w:t>rechtsvergelijkend onderzoek verricht naar alternatieve oplossingen voor het</w:t>
      </w:r>
      <w:r>
        <w:rPr>
          <w:lang w:eastAsia="nl-NL"/>
        </w:rPr>
        <w:t xml:space="preserve"> </w:t>
      </w:r>
      <w:proofErr w:type="spellStart"/>
      <w:r w:rsidRPr="0062241C">
        <w:rPr>
          <w:lang w:eastAsia="nl-NL"/>
        </w:rPr>
        <w:t>kapitaalbeschermingsregime</w:t>
      </w:r>
      <w:proofErr w:type="spellEnd"/>
      <w:r w:rsidRPr="0062241C">
        <w:rPr>
          <w:lang w:eastAsia="nl-NL"/>
        </w:rPr>
        <w:t xml:space="preserve"> voor de </w:t>
      </w:r>
      <w:r w:rsidR="00651432">
        <w:rPr>
          <w:lang w:eastAsia="nl-NL"/>
        </w:rPr>
        <w:t>BV</w:t>
      </w:r>
      <w:r>
        <w:rPr>
          <w:lang w:eastAsia="nl-NL"/>
        </w:rPr>
        <w:t>.</w:t>
      </w:r>
      <w:r>
        <w:rPr>
          <w:rStyle w:val="FootnoteReference"/>
          <w:rFonts w:asciiTheme="minorHAnsi" w:hAnsiTheme="minorHAnsi"/>
          <w:lang w:eastAsia="nl-NL"/>
        </w:rPr>
        <w:footnoteReference w:id="10"/>
      </w:r>
    </w:p>
    <w:p w:rsidR="004C27E8" w:rsidRDefault="004C27E8" w:rsidP="00A327D4">
      <w:pPr>
        <w:jc w:val="both"/>
      </w:pPr>
    </w:p>
    <w:p w:rsidR="00940C49" w:rsidRPr="00DE047B" w:rsidRDefault="00977DC9" w:rsidP="00A327D4">
      <w:pPr>
        <w:jc w:val="both"/>
        <w:rPr>
          <w:rFonts w:asciiTheme="minorHAnsi" w:hAnsiTheme="minorHAnsi" w:cstheme="minorHAnsi"/>
          <w:b/>
          <w:i/>
        </w:rPr>
      </w:pPr>
      <w:proofErr w:type="gramStart"/>
      <w:r>
        <w:rPr>
          <w:rFonts w:asciiTheme="minorHAnsi" w:hAnsiTheme="minorHAnsi" w:cstheme="minorHAnsi"/>
          <w:b/>
          <w:i/>
        </w:rPr>
        <w:t xml:space="preserve">2.2.1  </w:t>
      </w:r>
      <w:proofErr w:type="gramEnd"/>
      <w:r w:rsidR="00940C49" w:rsidRPr="00DE047B">
        <w:rPr>
          <w:rFonts w:asciiTheme="minorHAnsi" w:hAnsiTheme="minorHAnsi" w:cstheme="minorHAnsi"/>
          <w:b/>
          <w:i/>
        </w:rPr>
        <w:t xml:space="preserve">Modernisering </w:t>
      </w:r>
      <w:proofErr w:type="spellStart"/>
      <w:r w:rsidR="00940C49" w:rsidRPr="00DE047B">
        <w:rPr>
          <w:rFonts w:asciiTheme="minorHAnsi" w:hAnsiTheme="minorHAnsi" w:cstheme="minorHAnsi"/>
          <w:b/>
          <w:i/>
        </w:rPr>
        <w:t>ondernemings</w:t>
      </w:r>
      <w:proofErr w:type="spellEnd"/>
      <w:r w:rsidR="00940C49">
        <w:rPr>
          <w:rFonts w:asciiTheme="minorHAnsi" w:hAnsiTheme="minorHAnsi" w:cstheme="minorHAnsi"/>
          <w:b/>
          <w:i/>
        </w:rPr>
        <w:t>- vennootschaps</w:t>
      </w:r>
      <w:r w:rsidR="00940C49" w:rsidRPr="00DE047B">
        <w:rPr>
          <w:rFonts w:asciiTheme="minorHAnsi" w:hAnsiTheme="minorHAnsi" w:cstheme="minorHAnsi"/>
          <w:b/>
          <w:i/>
        </w:rPr>
        <w:t>recht</w:t>
      </w:r>
    </w:p>
    <w:p w:rsidR="00940C49" w:rsidRPr="00D53184" w:rsidRDefault="00940C49" w:rsidP="00B013D2">
      <w:pPr>
        <w:ind w:firstLine="708"/>
        <w:jc w:val="both"/>
        <w:rPr>
          <w:rFonts w:cs="Calibri"/>
          <w:bCs/>
          <w:lang w:eastAsia="nl-NL"/>
        </w:rPr>
      </w:pPr>
      <w:r w:rsidRPr="00D53184">
        <w:rPr>
          <w:rFonts w:cs="Calibri"/>
        </w:rPr>
        <w:t xml:space="preserve">In 2003 is </w:t>
      </w:r>
      <w:r w:rsidRPr="00D53184">
        <w:rPr>
          <w:rFonts w:cs="Calibri"/>
          <w:bCs/>
          <w:lang w:eastAsia="nl-NL"/>
        </w:rPr>
        <w:t xml:space="preserve">getracht </w:t>
      </w:r>
      <w:r w:rsidRPr="00D53184">
        <w:rPr>
          <w:rFonts w:cs="Calibri"/>
        </w:rPr>
        <w:t xml:space="preserve">in de </w:t>
      </w:r>
      <w:r w:rsidRPr="00D53184">
        <w:rPr>
          <w:rFonts w:cs="Calibri"/>
          <w:bCs/>
          <w:lang w:eastAsia="nl-NL"/>
        </w:rPr>
        <w:t xml:space="preserve">nota modernisering </w:t>
      </w:r>
      <w:proofErr w:type="spellStart"/>
      <w:r w:rsidRPr="00D53184">
        <w:rPr>
          <w:rFonts w:cs="Calibri"/>
          <w:bCs/>
          <w:lang w:eastAsia="nl-NL"/>
        </w:rPr>
        <w:t>ondernemings</w:t>
      </w:r>
      <w:proofErr w:type="spellEnd"/>
      <w:r w:rsidRPr="00D53184">
        <w:rPr>
          <w:rFonts w:cs="Calibri"/>
          <w:bCs/>
          <w:lang w:eastAsia="nl-NL"/>
        </w:rPr>
        <w:t>- en vennootschapsrecht door de Minister van Justitie een kader te bieden en bekendheid te geven aan beleidsinitiatieven.</w:t>
      </w:r>
    </w:p>
    <w:p w:rsidR="00940C49" w:rsidRPr="00D41F70" w:rsidRDefault="00940C49" w:rsidP="00B013D2">
      <w:pPr>
        <w:jc w:val="both"/>
        <w:rPr>
          <w:lang w:eastAsia="nl-NL"/>
        </w:rPr>
      </w:pPr>
      <w:r w:rsidRPr="00D53184">
        <w:rPr>
          <w:rFonts w:cs="Calibri"/>
          <w:lang w:eastAsia="nl-NL"/>
        </w:rPr>
        <w:t xml:space="preserve">Hierin wordt duidelijk gemaakt dat de structuur van onze rechtsvormen wijzigingen moet ondergaan om </w:t>
      </w:r>
      <w:r>
        <w:rPr>
          <w:rFonts w:cs="Calibri"/>
          <w:lang w:eastAsia="nl-NL"/>
        </w:rPr>
        <w:t xml:space="preserve">het Nederlandse </w:t>
      </w:r>
      <w:r w:rsidRPr="00D53184">
        <w:rPr>
          <w:rFonts w:cs="Calibri"/>
          <w:lang w:eastAsia="nl-NL"/>
        </w:rPr>
        <w:t xml:space="preserve">vestigingsklimaat te behouden en </w:t>
      </w:r>
      <w:r>
        <w:rPr>
          <w:rFonts w:cs="Calibri"/>
          <w:lang w:eastAsia="nl-NL"/>
        </w:rPr>
        <w:t xml:space="preserve">te </w:t>
      </w:r>
      <w:r w:rsidRPr="00D53184">
        <w:rPr>
          <w:rFonts w:cs="Calibri"/>
          <w:lang w:eastAsia="nl-NL"/>
        </w:rPr>
        <w:t xml:space="preserve">verbeteren. Vanuit het oogpunt van internationale concurrentie is bewaking van de betrouwbaarheid van vennootschappen naar </w:t>
      </w:r>
      <w:r w:rsidRPr="00D53184">
        <w:rPr>
          <w:rFonts w:cs="Calibri"/>
          <w:lang w:eastAsia="nl-NL"/>
        </w:rPr>
        <w:lastRenderedPageBreak/>
        <w:t xml:space="preserve">Nederlands recht onontbeerlijk. Daarnaast is de enorme concurrentie </w:t>
      </w:r>
      <w:r w:rsidRPr="00C80EBA">
        <w:rPr>
          <w:lang w:eastAsia="nl-NL"/>
        </w:rPr>
        <w:t>tussen rechtsvormen</w:t>
      </w:r>
      <w:r>
        <w:rPr>
          <w:lang w:eastAsia="nl-NL"/>
        </w:rPr>
        <w:t xml:space="preserve"> internationaal</w:t>
      </w:r>
      <w:r w:rsidRPr="00C80EBA">
        <w:rPr>
          <w:lang w:eastAsia="nl-NL"/>
        </w:rPr>
        <w:t xml:space="preserve"> reden genoeg om een heroverweging van de inrichting van onze rechtspersonen in acht te nemen</w:t>
      </w:r>
      <w:r>
        <w:rPr>
          <w:lang w:eastAsia="nl-NL"/>
        </w:rPr>
        <w:t>.</w:t>
      </w:r>
      <w:r w:rsidRPr="00C80EBA">
        <w:rPr>
          <w:rStyle w:val="FootnoteReference"/>
          <w:rFonts w:asciiTheme="minorHAnsi" w:hAnsiTheme="minorHAnsi" w:cstheme="minorHAnsi"/>
          <w:bCs/>
          <w:lang w:eastAsia="nl-NL"/>
        </w:rPr>
        <w:footnoteReference w:id="11"/>
      </w:r>
      <w:r>
        <w:rPr>
          <w:lang w:eastAsia="nl-NL"/>
        </w:rPr>
        <w:t xml:space="preserve"> </w:t>
      </w:r>
      <w:r w:rsidRPr="00C80EBA">
        <w:rPr>
          <w:lang w:eastAsia="nl-NL"/>
        </w:rPr>
        <w:t xml:space="preserve">Het versterken van de concurrentie uit zich in de vorm van een juridische infrastructuur. Deze streeft naar een klimaat die flexibele rechtsvormen biedt die beantwoorden aan de behoeften van gebruikers, belanghebbenden en derden. Binnen die rechtsvormen moet er een evenwichtige </w:t>
      </w:r>
      <w:proofErr w:type="spellStart"/>
      <w:r w:rsidRPr="00C80EBA">
        <w:rPr>
          <w:lang w:eastAsia="nl-NL"/>
        </w:rPr>
        <w:t>bevoegdheid</w:t>
      </w:r>
      <w:r w:rsidR="00651432">
        <w:rPr>
          <w:lang w:eastAsia="nl-NL"/>
        </w:rPr>
        <w:t>s</w:t>
      </w:r>
      <w:proofErr w:type="spellEnd"/>
      <w:r w:rsidRPr="00C80EBA">
        <w:rPr>
          <w:lang w:eastAsia="nl-NL"/>
        </w:rPr>
        <w:t>- en verantwoordingsstructuur zijn. De structuur moet tot betrouwbare financiële informatie en verantwoording prikkelen en misbruik wordt teg</w:t>
      </w:r>
      <w:r w:rsidRPr="00D41F70">
        <w:rPr>
          <w:lang w:eastAsia="nl-NL"/>
        </w:rPr>
        <w:t xml:space="preserve">engegaan met </w:t>
      </w:r>
      <w:proofErr w:type="gramStart"/>
      <w:r w:rsidRPr="00D41F70">
        <w:rPr>
          <w:lang w:eastAsia="nl-NL"/>
        </w:rPr>
        <w:t>de</w:t>
      </w:r>
      <w:proofErr w:type="gramEnd"/>
      <w:r w:rsidRPr="00D41F70">
        <w:rPr>
          <w:lang w:eastAsia="nl-NL"/>
        </w:rPr>
        <w:t xml:space="preserve"> nodige effectieve toezicht. Toegang tot de rechter moet snel en efficiënt mogelijk zijn. Om dit voor klaar te spelen zijn er drie pijlers die als kernpunten dienen: herstel van het machtsevenwicht in kapitaalvennootschappen, verbetering van de betrouwbaarheid/integriteit van</w:t>
      </w:r>
    </w:p>
    <w:p w:rsidR="00940C49" w:rsidRPr="00D41F70" w:rsidRDefault="00940C49" w:rsidP="00B013D2">
      <w:pPr>
        <w:jc w:val="both"/>
        <w:rPr>
          <w:lang w:eastAsia="nl-NL"/>
        </w:rPr>
      </w:pPr>
      <w:proofErr w:type="gramStart"/>
      <w:r w:rsidRPr="00D41F70">
        <w:rPr>
          <w:lang w:eastAsia="nl-NL"/>
        </w:rPr>
        <w:t>rechtspersonen</w:t>
      </w:r>
      <w:proofErr w:type="gramEnd"/>
      <w:r w:rsidRPr="00D41F70">
        <w:rPr>
          <w:lang w:eastAsia="nl-NL"/>
        </w:rPr>
        <w:t xml:space="preserve"> en flexibilisering van de inrichting van rechtspersonen. </w:t>
      </w:r>
      <w:r w:rsidRPr="00D41F70">
        <w:rPr>
          <w:rStyle w:val="FootnoteReference"/>
          <w:rFonts w:asciiTheme="minorHAnsi" w:hAnsiTheme="minorHAnsi" w:cstheme="minorHAnsi"/>
          <w:lang w:eastAsia="nl-NL"/>
        </w:rPr>
        <w:footnoteReference w:id="12"/>
      </w:r>
    </w:p>
    <w:p w:rsidR="00940C49" w:rsidRPr="00C80EBA" w:rsidRDefault="00940C49" w:rsidP="00B013D2">
      <w:pPr>
        <w:ind w:firstLine="708"/>
        <w:jc w:val="both"/>
      </w:pPr>
      <w:r w:rsidRPr="00D41F70">
        <w:t>Om flexibele vormen aan te bieden moeten belemmeringen worden geëlimineerd,</w:t>
      </w:r>
      <w:r w:rsidRPr="00C80EBA">
        <w:t xml:space="preserve"> belemmeringen die niet altijd doelmatig lijken. Men </w:t>
      </w:r>
      <w:r>
        <w:t>kan denken</w:t>
      </w:r>
      <w:r w:rsidRPr="00C80EBA">
        <w:t xml:space="preserve"> aan de aandeelhoudersvergadering met één aandeelhouder, de blokkeringregeling, waar de keuze beperkt is, de orgaanstructuur, bevoegdheden en voorschriften rond kapitaalbescherming en tot slot de stemrechten en winstverdeling. Het doel is om deze regels en voorschriften te versoepelen daar waar mogelijk te antwoorden op de belangen van behoeftigen uit de praktijk. De derde pijler omvat naast de personenvennootschap onder andere de flexibilisering van het bv-recht die in de Nota is aangekondigd door de Minister van Justitie.</w:t>
      </w:r>
      <w:r w:rsidRPr="00C80EBA">
        <w:rPr>
          <w:rStyle w:val="FootnoteReference"/>
          <w:rFonts w:asciiTheme="minorHAnsi" w:hAnsiTheme="minorHAnsi" w:cstheme="minorHAnsi"/>
        </w:rPr>
        <w:footnoteReference w:id="13"/>
      </w:r>
    </w:p>
    <w:p w:rsidR="00940C49" w:rsidRPr="00C80EBA" w:rsidRDefault="00940C49" w:rsidP="00A327D4">
      <w:pPr>
        <w:jc w:val="both"/>
      </w:pPr>
    </w:p>
    <w:p w:rsidR="00940C49" w:rsidRPr="00C80EBA" w:rsidRDefault="00D41F70" w:rsidP="00A327D4">
      <w:pPr>
        <w:jc w:val="both"/>
        <w:rPr>
          <w:b/>
          <w:i/>
        </w:rPr>
      </w:pPr>
      <w:proofErr w:type="gramStart"/>
      <w:r>
        <w:rPr>
          <w:b/>
          <w:i/>
        </w:rPr>
        <w:t xml:space="preserve">2.2.2  </w:t>
      </w:r>
      <w:proofErr w:type="gramEnd"/>
      <w:r>
        <w:rPr>
          <w:b/>
          <w:i/>
        </w:rPr>
        <w:t xml:space="preserve">Concept </w:t>
      </w:r>
      <w:r w:rsidR="00940C49" w:rsidRPr="00C80EBA">
        <w:rPr>
          <w:b/>
          <w:i/>
        </w:rPr>
        <w:t>wetsvoorstel</w:t>
      </w:r>
    </w:p>
    <w:p w:rsidR="00940C49" w:rsidRPr="00C80EBA" w:rsidRDefault="00940C49" w:rsidP="00B013D2">
      <w:pPr>
        <w:jc w:val="both"/>
      </w:pPr>
      <w:r>
        <w:tab/>
      </w:r>
      <w:r w:rsidRPr="00C80EBA">
        <w:t>De Minister heeft ervoor gekozen om via een concept-wetsvoorstel een pad te belopen waar partijen die in de praktijk te maken hebben met het ondernemingsrecht inspraak konden hebben en dus de gelegenheid kregen te consulteren.</w:t>
      </w:r>
      <w:r>
        <w:t xml:space="preserve"> </w:t>
      </w:r>
      <w:r w:rsidRPr="00C80EBA">
        <w:t xml:space="preserve">In 2005 zijn de eerste en tweede tranche van het ambtelijk voorontwerp van </w:t>
      </w:r>
      <w:proofErr w:type="gramStart"/>
      <w:r w:rsidRPr="00C80EBA">
        <w:t>de</w:t>
      </w:r>
      <w:proofErr w:type="gramEnd"/>
      <w:r w:rsidRPr="00C80EBA">
        <w:t xml:space="preserve"> wetsvoorstel ter beschikking gesteld waarover consultatie heeft plaatsgevonden. </w:t>
      </w:r>
      <w:r>
        <w:rPr>
          <w:rFonts w:asciiTheme="minorHAnsi" w:hAnsiTheme="minorHAnsi" w:cstheme="minorHAnsi"/>
        </w:rPr>
        <w:t>Ten slotte is in 2006 de derde en tevens de laatste van de reeks van tranches gepubliceerd en beschikbaar gesteld voor een consultatieronde.</w:t>
      </w:r>
    </w:p>
    <w:p w:rsidR="00940C49" w:rsidRPr="00A14448" w:rsidRDefault="00940C49" w:rsidP="00B013D2">
      <w:pPr>
        <w:ind w:firstLine="708"/>
        <w:jc w:val="both"/>
        <w:rPr>
          <w:lang w:eastAsia="nl-NL"/>
        </w:rPr>
      </w:pPr>
      <w:r w:rsidRPr="00A14448">
        <w:t xml:space="preserve">De eerste tranche betreft de </w:t>
      </w:r>
      <w:r w:rsidRPr="00A14448">
        <w:rPr>
          <w:lang w:eastAsia="nl-NL"/>
        </w:rPr>
        <w:t xml:space="preserve">orgaanstructuur en bevoegdheden, aandelen en certificaten. </w:t>
      </w:r>
    </w:p>
    <w:p w:rsidR="00940C49" w:rsidRDefault="00940C49" w:rsidP="00B013D2">
      <w:pPr>
        <w:jc w:val="both"/>
      </w:pPr>
      <w:r>
        <w:t>De orgaanstructuur van een bv moet volgens de wet bestaan uit een algemene vergadering van aandeelhouders en een bestuur. De algemene vergadering van aandeelhouders heeft alle bevoegdheden die niet aan het bestuur of anderen worden toegekend.</w:t>
      </w:r>
      <w:r>
        <w:rPr>
          <w:rStyle w:val="FootnoteReference"/>
        </w:rPr>
        <w:footnoteReference w:id="14"/>
      </w:r>
      <w:r>
        <w:t xml:space="preserve"> Thans is het zo dat het bestuur in beginsel autonoom is en het vennootschappelijk belang moet dienen, dus niet alleen het </w:t>
      </w:r>
      <w:r>
        <w:lastRenderedPageBreak/>
        <w:t xml:space="preserve">belang van de aandeelhouders. De algemene vergadering van aandeelhouders kan het bestuur </w:t>
      </w:r>
      <w:proofErr w:type="gramStart"/>
      <w:r>
        <w:t>ten alle tijden</w:t>
      </w:r>
      <w:proofErr w:type="gramEnd"/>
      <w:r>
        <w:t xml:space="preserve"> ontslaan. </w:t>
      </w:r>
    </w:p>
    <w:p w:rsidR="00940C49" w:rsidRDefault="00940C49" w:rsidP="00A327D4">
      <w:pPr>
        <w:ind w:firstLine="708"/>
        <w:jc w:val="both"/>
      </w:pPr>
      <w:r>
        <w:t>In het onderzoek dat de expert groep heeft afgerond is de</w:t>
      </w:r>
      <w:r w:rsidRPr="007D6C60">
        <w:t xml:space="preserve"> </w:t>
      </w:r>
      <w:proofErr w:type="spellStart"/>
      <w:r w:rsidRPr="007D6C60">
        <w:t>aandeelhouder-bestuurde</w:t>
      </w:r>
      <w:proofErr w:type="spellEnd"/>
      <w:r w:rsidRPr="007D6C60">
        <w:t xml:space="preserve"> </w:t>
      </w:r>
      <w:r>
        <w:t>BV</w:t>
      </w:r>
      <w:r w:rsidRPr="007D6C60">
        <w:t xml:space="preserve"> </w:t>
      </w:r>
      <w:r>
        <w:t xml:space="preserve">overwogen zoals deze thans geldt voor de Antilliaanse </w:t>
      </w:r>
      <w:r w:rsidR="00651432">
        <w:t>BV</w:t>
      </w:r>
      <w:r>
        <w:t>.</w:t>
      </w:r>
      <w:r>
        <w:rPr>
          <w:rStyle w:val="FootnoteReference"/>
        </w:rPr>
        <w:footnoteReference w:id="15"/>
      </w:r>
      <w:r w:rsidRPr="0040532E">
        <w:rPr>
          <w:rStyle w:val="FootnoteReference"/>
        </w:rPr>
        <w:t xml:space="preserve"> </w:t>
      </w:r>
      <w:r>
        <w:t xml:space="preserve">Daarin is het zo dat het bij de statuten wordt bepaald en dat het bestuur en de bestuurder worden vervangen door de algemene vergadering respectievelijk de aandeelhouders. De Minister en de Expert groep achtten dit niet wenselijk, het bestuur speelt een grotere rol voor de belangenafweging voor de vennootschap dan slechts het belang van de aandeelhouders dienen. </w:t>
      </w:r>
      <w:r w:rsidRPr="006972CB">
        <w:t>Bovendien</w:t>
      </w:r>
      <w:r>
        <w:t xml:space="preserve"> stelt de Expert groep dat er meer complicaties dan voordelen worden opgeroepen bij het invoeren van een </w:t>
      </w:r>
      <w:proofErr w:type="spellStart"/>
      <w:r w:rsidRPr="007D6C60">
        <w:t>aandeelhouder-bestuurde</w:t>
      </w:r>
      <w:proofErr w:type="spellEnd"/>
      <w:r w:rsidRPr="007D6C60">
        <w:t xml:space="preserve"> </w:t>
      </w:r>
      <w:r w:rsidR="00651432">
        <w:t>BV</w:t>
      </w:r>
      <w:r>
        <w:t xml:space="preserve">, </w:t>
      </w:r>
      <w:proofErr w:type="gramStart"/>
      <w:r>
        <w:t>met name</w:t>
      </w:r>
      <w:proofErr w:type="gramEnd"/>
      <w:r>
        <w:t xml:space="preserve"> het overgangsrecht en de bescherming van aandeelhouders en bestuurders zijn noemenswaardige knelpunten.</w:t>
      </w:r>
      <w:r>
        <w:rPr>
          <w:rStyle w:val="FootnoteReference"/>
        </w:rPr>
        <w:footnoteReference w:id="16"/>
      </w:r>
    </w:p>
    <w:p w:rsidR="00940C49" w:rsidRDefault="00940C49" w:rsidP="001454CE">
      <w:pPr>
        <w:ind w:firstLine="708"/>
        <w:jc w:val="both"/>
      </w:pPr>
      <w:r>
        <w:t xml:space="preserve">Ook werd </w:t>
      </w:r>
      <w:proofErr w:type="gramStart"/>
      <w:r>
        <w:t>de</w:t>
      </w:r>
      <w:proofErr w:type="gramEnd"/>
      <w:r>
        <w:t xml:space="preserve"> monistische systeem aangehaald. In dit systeem bestaat het bestuur uit bestuurders met uitvoerende taken en bestuurders met toezichthoudende taken. Er is maar één bestuursorgaan, dus geen toezicht door een afzonderlijke raad van commissarissen.</w:t>
      </w:r>
      <w:r w:rsidRPr="000B297F">
        <w:rPr>
          <w:rStyle w:val="FootnoteReference"/>
        </w:rPr>
        <w:t xml:space="preserve"> </w:t>
      </w:r>
      <w:r>
        <w:t xml:space="preserve">Samen met de commissie Vennootschapsrecht is de Minister van mening dat een </w:t>
      </w:r>
      <w:proofErr w:type="gramStart"/>
      <w:r>
        <w:t>dergelijke</w:t>
      </w:r>
      <w:proofErr w:type="gramEnd"/>
      <w:r>
        <w:t xml:space="preserve"> systeem onnodig is voor het bv-recht, aangevoerd is het argument dat de behoefte voor het monistisch systeem met name bij grote beursvennootschappen is.</w:t>
      </w:r>
      <w:r>
        <w:rPr>
          <w:rStyle w:val="FootnoteReference"/>
        </w:rPr>
        <w:footnoteReference w:id="17"/>
      </w:r>
      <w:r>
        <w:t xml:space="preserve"> Zodoende moet de duale structuur volgens het voorontwerp gehandhaafd worden.</w:t>
      </w:r>
    </w:p>
    <w:p w:rsidR="00940C49" w:rsidRDefault="00940C49" w:rsidP="00A327D4">
      <w:pPr>
        <w:ind w:firstLine="708"/>
        <w:jc w:val="both"/>
      </w:pPr>
      <w:r>
        <w:t>Echter kent de andere zijde van de eerste tranche,</w:t>
      </w:r>
      <w:r w:rsidR="006407D9">
        <w:t xml:space="preserve"> </w:t>
      </w:r>
      <w:r>
        <w:t>aandelen en certificaten,</w:t>
      </w:r>
      <w:r w:rsidR="006407D9">
        <w:t xml:space="preserve"> </w:t>
      </w:r>
      <w:r>
        <w:t xml:space="preserve">wel ingrijpende veranderingen. Allereerst was de kwestie of in het Nederlandse bv-recht wel stemrechtloze aandelen geïntroduceerd moesten worden. </w:t>
      </w:r>
      <w:r w:rsidR="00C064CD">
        <w:t xml:space="preserve">Een </w:t>
      </w:r>
      <w:r>
        <w:t xml:space="preserve">vergelijking </w:t>
      </w:r>
      <w:r w:rsidR="00C064CD">
        <w:t xml:space="preserve">is </w:t>
      </w:r>
      <w:r>
        <w:t xml:space="preserve">gemaakt met omringende landen welke </w:t>
      </w:r>
      <w:proofErr w:type="gramStart"/>
      <w:r>
        <w:t>reeds</w:t>
      </w:r>
      <w:proofErr w:type="gramEnd"/>
      <w:r>
        <w:t xml:space="preserve"> in het bezit zijn van een dergelijk flexibel bv-recht met daarin de optie van het stemrechtloze aandeel ingesloten. Er is behoefte aan een instrument die wel laat meedelen in de winst zonder dat enige invloedsuitoefening nodig wordt geacht in de besluitvorming. Zo bestaan in het huidig recht al soortgelijke instrumenten, doch het statutair winstrecht geeft slechts recht op winstdeling terwijl bij de certificering van aandelen de zeggenschap en het financieel-economisch belang wordt gescheiden. Geconcludeerd kan worden dat het toevoegen van het stemrechtloze aandeel meer keuzevrijheid en flexibiliteit voor de praktijk zal opleveren.</w:t>
      </w:r>
      <w:r>
        <w:rPr>
          <w:rStyle w:val="FootnoteReference"/>
        </w:rPr>
        <w:footnoteReference w:id="18"/>
      </w:r>
      <w:r>
        <w:t xml:space="preserve"> Hier zal in de volgende paragraaf dieper op worden opgegaan. </w:t>
      </w:r>
    </w:p>
    <w:p w:rsidR="00940C49" w:rsidRPr="00E03F11" w:rsidRDefault="00940C49" w:rsidP="00A327D4">
      <w:pPr>
        <w:ind w:firstLine="708"/>
        <w:jc w:val="both"/>
        <w:rPr>
          <w:lang w:eastAsia="nl-NL"/>
        </w:rPr>
      </w:pPr>
      <w:r w:rsidRPr="00C80EBA">
        <w:t xml:space="preserve">In de tweede tranche worden de thema’s </w:t>
      </w:r>
      <w:r w:rsidRPr="00E03F11">
        <w:t xml:space="preserve">“beslotenheid” en ”geschillenregeling” behandeld. </w:t>
      </w:r>
      <w:r w:rsidRPr="00E03F11">
        <w:rPr>
          <w:lang w:eastAsia="nl-NL"/>
        </w:rPr>
        <w:t>Inhoudelijk gaat het om de statutaire verplichtingen tot aanbieding en overdracht</w:t>
      </w:r>
      <w:r>
        <w:rPr>
          <w:lang w:eastAsia="nl-NL"/>
        </w:rPr>
        <w:t>,</w:t>
      </w:r>
      <w:r w:rsidRPr="00E03F11">
        <w:rPr>
          <w:lang w:eastAsia="nl-NL"/>
        </w:rPr>
        <w:t xml:space="preserve"> statutaire eisen </w:t>
      </w:r>
      <w:r w:rsidRPr="00E03F11">
        <w:rPr>
          <w:lang w:eastAsia="nl-NL"/>
        </w:rPr>
        <w:lastRenderedPageBreak/>
        <w:t>aan het aandeelhouderschap</w:t>
      </w:r>
      <w:r>
        <w:rPr>
          <w:lang w:eastAsia="nl-NL"/>
        </w:rPr>
        <w:t xml:space="preserve"> en</w:t>
      </w:r>
      <w:r w:rsidRPr="00E03F11">
        <w:rPr>
          <w:lang w:eastAsia="nl-NL"/>
        </w:rPr>
        <w:t xml:space="preserve"> de blokkeringsregeling. Deze houden nauw verband met elkaar en hebben allen invloed op de vormgeving van het besloten karakter van een vennootschap. </w:t>
      </w:r>
    </w:p>
    <w:p w:rsidR="00940C49" w:rsidRDefault="00940C49" w:rsidP="00A327D4">
      <w:pPr>
        <w:ind w:firstLine="708"/>
        <w:jc w:val="both"/>
        <w:rPr>
          <w:lang w:eastAsia="nl-NL"/>
        </w:rPr>
      </w:pPr>
      <w:r>
        <w:rPr>
          <w:lang w:eastAsia="nl-NL"/>
        </w:rPr>
        <w:t>De mogelijkheden met betrekking tot de statutaire verplichtingen zullen in de voorgestelde regeling worden verruimd, dit omarmt het streven van de wetgever om aandeelhouders meer inrichtingsvrijheid te geven. In het voorontwerp wordt uitgelegd dat “verplichtingen” ruimer opgevat zou kunnen worden, naast verplichtingen in de coöperatieve sfeer kan gedacht worden aan verplichtingen tussen aandeelhouders.</w:t>
      </w:r>
      <w:r>
        <w:rPr>
          <w:rStyle w:val="FootnoteReference"/>
          <w:lang w:eastAsia="nl-NL"/>
        </w:rPr>
        <w:footnoteReference w:id="19"/>
      </w:r>
      <w:r>
        <w:rPr>
          <w:lang w:eastAsia="nl-NL"/>
        </w:rPr>
        <w:t xml:space="preserve"> </w:t>
      </w:r>
    </w:p>
    <w:p w:rsidR="00940C49" w:rsidRDefault="00940C49" w:rsidP="00A327D4">
      <w:pPr>
        <w:ind w:firstLine="708"/>
        <w:jc w:val="both"/>
      </w:pPr>
      <w:r w:rsidRPr="00E03F11">
        <w:rPr>
          <w:lang w:eastAsia="nl-NL"/>
        </w:rPr>
        <w:t xml:space="preserve">De verplichte </w:t>
      </w:r>
      <w:r w:rsidRPr="00C80EBA">
        <w:rPr>
          <w:color w:val="000000"/>
        </w:rPr>
        <w:t xml:space="preserve">statutaire </w:t>
      </w:r>
      <w:r w:rsidRPr="00E03F11">
        <w:rPr>
          <w:lang w:eastAsia="nl-NL"/>
        </w:rPr>
        <w:t>blokkeringsregeling wordt in het wetsvoorstel afgeschaft, bovendien wordt het belang van de minderheidsaandeelhouders gewaarborgd door bescherming achteraf en krijgt de blokkeringsregeling bij deze bescherming een meer preventief karakter.</w:t>
      </w:r>
      <w:r w:rsidRPr="00E03F11">
        <w:rPr>
          <w:rStyle w:val="FootnoteReference"/>
          <w:rFonts w:asciiTheme="minorHAnsi" w:hAnsiTheme="minorHAnsi" w:cstheme="minorHAnsi"/>
          <w:lang w:eastAsia="nl-NL"/>
        </w:rPr>
        <w:footnoteReference w:id="20"/>
      </w:r>
      <w:r>
        <w:rPr>
          <w:rFonts w:ascii="Times New Roman" w:hAnsi="Times New Roman" w:cs="Times New Roman"/>
          <w:sz w:val="23"/>
          <w:szCs w:val="23"/>
          <w:lang w:eastAsia="nl-NL"/>
        </w:rPr>
        <w:t xml:space="preserve"> </w:t>
      </w:r>
      <w:r w:rsidRPr="00C80EBA">
        <w:t xml:space="preserve"> </w:t>
      </w:r>
    </w:p>
    <w:p w:rsidR="00940C49" w:rsidRPr="00551DCD" w:rsidRDefault="00940C49" w:rsidP="00A327D4">
      <w:pPr>
        <w:jc w:val="both"/>
        <w:rPr>
          <w:rFonts w:ascii="Times New Roman" w:hAnsi="Times New Roman" w:cs="Times New Roman"/>
          <w:sz w:val="23"/>
          <w:szCs w:val="23"/>
          <w:lang w:eastAsia="nl-NL"/>
        </w:rPr>
      </w:pPr>
      <w:r w:rsidRPr="00C80EBA">
        <w:t>Ook hier is het een noodzaak een evenwicht te vinden zoals dat in de eerste tranche voor is gekomen bij de inrichtingsvrijheid en bescherming va</w:t>
      </w:r>
      <w:r>
        <w:t>n de minderheidsaandeelhouders. Voor de beslotenheid</w:t>
      </w:r>
      <w:r w:rsidRPr="00C80EBA">
        <w:rPr>
          <w:lang w:eastAsia="nl-NL"/>
        </w:rPr>
        <w:t xml:space="preserve"> gaat </w:t>
      </w:r>
      <w:r>
        <w:rPr>
          <w:lang w:eastAsia="nl-NL"/>
        </w:rPr>
        <w:t xml:space="preserve">het </w:t>
      </w:r>
      <w:r w:rsidRPr="00C80EBA">
        <w:rPr>
          <w:lang w:eastAsia="nl-NL"/>
        </w:rPr>
        <w:t>daarbij om de afweging tussen enerzijds de mate van flexibiliteit die de wet zou moeten bieden bij de vormgeving van de beslotenheid en anderzijds de mate waarin de wet minderheidsaandeelhouders zou moeten beschermen die het niet eens zijn met besluiten van de meerderheidsaandeelhouder(s) omdat zij daarvan nadeel ondervinden.</w:t>
      </w:r>
      <w:r w:rsidRPr="00C80EBA">
        <w:rPr>
          <w:rStyle w:val="FootnoteReference"/>
          <w:rFonts w:asciiTheme="minorHAnsi" w:hAnsiTheme="minorHAnsi" w:cstheme="minorHAnsi"/>
          <w:lang w:eastAsia="nl-NL"/>
        </w:rPr>
        <w:footnoteReference w:id="21"/>
      </w:r>
    </w:p>
    <w:p w:rsidR="00940C49" w:rsidRPr="00C80EBA" w:rsidRDefault="00940C49" w:rsidP="00A327D4">
      <w:pPr>
        <w:jc w:val="both"/>
        <w:rPr>
          <w:lang w:eastAsia="nl-NL"/>
        </w:rPr>
      </w:pPr>
      <w:r>
        <w:rPr>
          <w:lang w:eastAsia="nl-NL"/>
        </w:rPr>
        <w:t>Het is te optimistisch om te denken dat de wettelijke regeling volledig recht kan doen aan zowel het belang der flexibiliteit als het belang der bescherming. De drang naar flexibiliteit is wel terug te vinden in de statuten.</w:t>
      </w:r>
      <w:r>
        <w:rPr>
          <w:rStyle w:val="FootnoteReference"/>
          <w:lang w:eastAsia="nl-NL"/>
        </w:rPr>
        <w:footnoteReference w:id="22"/>
      </w:r>
      <w:r>
        <w:rPr>
          <w:lang w:eastAsia="nl-NL"/>
        </w:rPr>
        <w:t xml:space="preserve"> </w:t>
      </w:r>
    </w:p>
    <w:p w:rsidR="00940C49" w:rsidRDefault="00940C49" w:rsidP="00A327D4">
      <w:pPr>
        <w:ind w:firstLine="708"/>
        <w:jc w:val="both"/>
        <w:rPr>
          <w:rFonts w:asciiTheme="minorHAnsi" w:hAnsiTheme="minorHAnsi" w:cstheme="minorHAnsi"/>
        </w:rPr>
      </w:pPr>
      <w:r>
        <w:rPr>
          <w:rFonts w:asciiTheme="minorHAnsi" w:hAnsiTheme="minorHAnsi" w:cstheme="minorHAnsi"/>
        </w:rPr>
        <w:t>De geschillenregeling bekleedt een aanzienlijke rol bij de bescherming van minderheidsaandeelhouders. De commissie heeft in september 2004 aanbevelingen aangevoerd waaruit een deel in het kader van het wetsvoorstel past en een ander deel wat verder weg staat van het wetsvoorstel en in een later stadium nog voorbereid kan worden.</w:t>
      </w:r>
      <w:r>
        <w:rPr>
          <w:rStyle w:val="FootnoteReference"/>
          <w:rFonts w:asciiTheme="minorHAnsi" w:hAnsiTheme="minorHAnsi"/>
        </w:rPr>
        <w:footnoteReference w:id="23"/>
      </w:r>
      <w:r>
        <w:rPr>
          <w:rFonts w:asciiTheme="minorHAnsi" w:hAnsiTheme="minorHAnsi" w:cstheme="minorHAnsi"/>
        </w:rPr>
        <w:t xml:space="preserve"> In het wetsvoorstel wordt aangehaald dat de geschillenregeling gestroomlijnd moet worden. De wijzigingen zijn voornamelijk procestechnisch van aard.</w:t>
      </w:r>
      <w:r>
        <w:rPr>
          <w:rStyle w:val="FootnoteReference"/>
          <w:rFonts w:asciiTheme="minorHAnsi" w:hAnsiTheme="minorHAnsi"/>
        </w:rPr>
        <w:footnoteReference w:id="24"/>
      </w:r>
      <w:r>
        <w:rPr>
          <w:rFonts w:asciiTheme="minorHAnsi" w:hAnsiTheme="minorHAnsi" w:cstheme="minorHAnsi"/>
        </w:rPr>
        <w:t xml:space="preserve"> Zo is het streven om uiteindelijk de knelpunten uit de geschillenregeling weg te nemen en deze in de praktijk beter te laten werken. Knelpunten zijn onder andere de lange duur van de procedure en de beperkte uitstootregeling van aandeelhouders.</w:t>
      </w:r>
    </w:p>
    <w:p w:rsidR="00940C49" w:rsidRDefault="00940C49" w:rsidP="00A327D4">
      <w:pPr>
        <w:ind w:firstLine="708"/>
        <w:jc w:val="both"/>
        <w:rPr>
          <w:rFonts w:asciiTheme="minorHAnsi" w:hAnsiTheme="minorHAnsi" w:cstheme="minorHAnsi"/>
        </w:rPr>
      </w:pPr>
      <w:r>
        <w:t xml:space="preserve">De derde tranche werd in 2006 geopenbaard, deze </w:t>
      </w:r>
      <w:r>
        <w:rPr>
          <w:rFonts w:asciiTheme="minorHAnsi" w:hAnsiTheme="minorHAnsi" w:cstheme="minorHAnsi"/>
        </w:rPr>
        <w:t xml:space="preserve">omvat de onderwerpen “kapitaal en schuldeisersbescherming”. Ook hier was de mogelijkheid voor belanghebbenden uit de praktijk om tijdens de consultatieronde commentaar aan te </w:t>
      </w:r>
      <w:proofErr w:type="gramStart"/>
      <w:r>
        <w:rPr>
          <w:rFonts w:asciiTheme="minorHAnsi" w:hAnsiTheme="minorHAnsi" w:cstheme="minorHAnsi"/>
        </w:rPr>
        <w:t xml:space="preserve">leveren.  </w:t>
      </w:r>
      <w:proofErr w:type="gramEnd"/>
    </w:p>
    <w:p w:rsidR="00940C49" w:rsidRDefault="00940C49" w:rsidP="00A327D4">
      <w:pPr>
        <w:jc w:val="both"/>
        <w:rPr>
          <w:rFonts w:asciiTheme="minorHAnsi" w:hAnsiTheme="minorHAnsi" w:cstheme="minorHAnsi"/>
        </w:rPr>
      </w:pPr>
      <w:r>
        <w:rPr>
          <w:rFonts w:asciiTheme="minorHAnsi" w:hAnsiTheme="minorHAnsi" w:cstheme="minorHAnsi"/>
        </w:rPr>
        <w:lastRenderedPageBreak/>
        <w:t xml:space="preserve">De wetgever heeft met de ingrijpende herziening van de kapitaalbescherming in het voorontwerp van de derde tranche duidelijk laten zien dat een rechtzetting van het huidig bv-recht wordt nagestreefd. Meest in het oog springende wijzigingen in deze tranche zijn de afschaffing van het minimumkapitaal en een betere grip op de continuïteit van de </w:t>
      </w:r>
      <w:r w:rsidR="00651432">
        <w:rPr>
          <w:rFonts w:asciiTheme="minorHAnsi" w:hAnsiTheme="minorHAnsi" w:cstheme="minorHAnsi"/>
        </w:rPr>
        <w:t xml:space="preserve">BV </w:t>
      </w:r>
      <w:r>
        <w:rPr>
          <w:rFonts w:asciiTheme="minorHAnsi" w:hAnsiTheme="minorHAnsi" w:cstheme="minorHAnsi"/>
        </w:rPr>
        <w:t>door middel van een uitkeringstest en de daaraan gekoppelde aansprakelijkheid voor bestuurders en een terugbetalingsplicht voor aandeelhouders.</w:t>
      </w:r>
      <w:r>
        <w:rPr>
          <w:rStyle w:val="FootnoteReference"/>
          <w:rFonts w:asciiTheme="minorHAnsi" w:hAnsiTheme="minorHAnsi"/>
        </w:rPr>
        <w:footnoteReference w:id="25"/>
      </w:r>
    </w:p>
    <w:p w:rsidR="00940C49" w:rsidRDefault="00940C49" w:rsidP="00A327D4">
      <w:pPr>
        <w:jc w:val="both"/>
        <w:rPr>
          <w:rFonts w:asciiTheme="minorHAnsi" w:hAnsiTheme="minorHAnsi" w:cstheme="minorHAnsi"/>
        </w:rPr>
      </w:pPr>
      <w:r>
        <w:rPr>
          <w:rFonts w:asciiTheme="minorHAnsi" w:hAnsiTheme="minorHAnsi" w:cstheme="minorHAnsi"/>
        </w:rPr>
        <w:tab/>
        <w:t>Het onderwerp “aandelen met nominale waarde” hebben in het ambtelijk voorontwerp een speciale plaats gekregen in een notitie welke afzonderlijk uiteen is gezet in een bijlage gevoegd aan het voorontwerp. De notitie bevat een overweging van voordelen en nadelen van wijzigingen opdat bij invoering in de wettelijke regeling van de bv deze niet als ongunstig zullen worden ervaren. Uit de consultatie is gebleken dat in de meerderheid van de reacties een voorkeur is uitgesproken de aandelen met nominale waarde te handhaven.</w:t>
      </w:r>
      <w:r>
        <w:rPr>
          <w:rStyle w:val="FootnoteReference"/>
          <w:rFonts w:asciiTheme="minorHAnsi" w:hAnsiTheme="minorHAnsi"/>
        </w:rPr>
        <w:footnoteReference w:id="26"/>
      </w:r>
    </w:p>
    <w:p w:rsidR="00940C49" w:rsidRDefault="00940C49" w:rsidP="00A327D4">
      <w:pPr>
        <w:jc w:val="both"/>
        <w:rPr>
          <w:rFonts w:asciiTheme="minorHAnsi" w:hAnsiTheme="minorHAnsi" w:cstheme="minorHAnsi"/>
        </w:rPr>
      </w:pPr>
      <w:r>
        <w:rPr>
          <w:rFonts w:asciiTheme="minorHAnsi" w:hAnsiTheme="minorHAnsi" w:cstheme="minorHAnsi"/>
        </w:rPr>
        <w:tab/>
        <w:t xml:space="preserve">In de literatuur was er de nodige kritiek tegen het bestaande systeem van kapitaalbescherming. Het minimumkapitaal kent nauwelijks positieve evaluaties. Zo biedt het crediteuren geen passende bescherming en geeft het slechts schijnzekerheid omdat het voorschrift geen garantie biedt dat het bedrag nog aanwezig is indien een schuldeiser zijn vordering </w:t>
      </w:r>
      <w:proofErr w:type="gramStart"/>
      <w:r>
        <w:rPr>
          <w:rFonts w:asciiTheme="minorHAnsi" w:hAnsiTheme="minorHAnsi" w:cstheme="minorHAnsi"/>
        </w:rPr>
        <w:t>wilt</w:t>
      </w:r>
      <w:proofErr w:type="gramEnd"/>
      <w:r>
        <w:rPr>
          <w:rFonts w:asciiTheme="minorHAnsi" w:hAnsiTheme="minorHAnsi" w:cstheme="minorHAnsi"/>
        </w:rPr>
        <w:t xml:space="preserve"> innen. Daarnaast houdt de grenslijn van 18.000 geen rekening met de aard en omvang van de activiteiten in de onderneming en lijkt het naar mijn mening dus slechts een willekeurig gekozen grens. </w:t>
      </w:r>
    </w:p>
    <w:p w:rsidR="00940C49" w:rsidRDefault="00940C49" w:rsidP="00A327D4">
      <w:pPr>
        <w:jc w:val="both"/>
        <w:rPr>
          <w:rFonts w:asciiTheme="minorHAnsi" w:hAnsiTheme="minorHAnsi" w:cstheme="minorHAnsi"/>
        </w:rPr>
      </w:pPr>
      <w:r>
        <w:rPr>
          <w:rFonts w:asciiTheme="minorHAnsi" w:hAnsiTheme="minorHAnsi" w:cstheme="minorHAnsi"/>
        </w:rPr>
        <w:t xml:space="preserve">Bij het uitkeerbaar vermogen wordt uitgegaan van gegevens van de meest recent vastgestelde jaarrekening. Deze zijn meestal gedateerd op moment van besluitvorming van uitkeringen aan aandeelhouders. Bovendien is de kapitaalbeschermingsregeling niet afgestemd op de International Financial </w:t>
      </w:r>
      <w:proofErr w:type="spellStart"/>
      <w:r>
        <w:rPr>
          <w:rFonts w:asciiTheme="minorHAnsi" w:hAnsiTheme="minorHAnsi" w:cstheme="minorHAnsi"/>
        </w:rPr>
        <w:t>Reporting</w:t>
      </w:r>
      <w:proofErr w:type="spellEnd"/>
      <w:r>
        <w:rPr>
          <w:rFonts w:asciiTheme="minorHAnsi" w:hAnsiTheme="minorHAnsi" w:cstheme="minorHAnsi"/>
        </w:rPr>
        <w:t xml:space="preserve"> </w:t>
      </w:r>
      <w:proofErr w:type="spellStart"/>
      <w:r>
        <w:rPr>
          <w:rFonts w:asciiTheme="minorHAnsi" w:hAnsiTheme="minorHAnsi" w:cstheme="minorHAnsi"/>
        </w:rPr>
        <w:t>Standards</w:t>
      </w:r>
      <w:proofErr w:type="spellEnd"/>
      <w:r>
        <w:rPr>
          <w:rFonts w:asciiTheme="minorHAnsi" w:hAnsiTheme="minorHAnsi" w:cstheme="minorHAnsi"/>
        </w:rPr>
        <w:t>.</w:t>
      </w:r>
    </w:p>
    <w:p w:rsidR="00940C49" w:rsidRDefault="00940C49" w:rsidP="00A327D4">
      <w:pPr>
        <w:ind w:firstLine="708"/>
        <w:jc w:val="both"/>
        <w:rPr>
          <w:rFonts w:asciiTheme="minorHAnsi" w:hAnsiTheme="minorHAnsi" w:cstheme="minorHAnsi"/>
        </w:rPr>
      </w:pPr>
      <w:r>
        <w:rPr>
          <w:rFonts w:asciiTheme="minorHAnsi" w:hAnsiTheme="minorHAnsi" w:cstheme="minorHAnsi"/>
        </w:rPr>
        <w:t xml:space="preserve">In de praktijk kent de werking van bepaalde onderdelen uit het </w:t>
      </w:r>
      <w:proofErr w:type="spellStart"/>
      <w:r>
        <w:rPr>
          <w:rFonts w:asciiTheme="minorHAnsi" w:hAnsiTheme="minorHAnsi" w:cstheme="minorHAnsi"/>
        </w:rPr>
        <w:t>kapitaalbeschermingsrecht</w:t>
      </w:r>
      <w:proofErr w:type="spellEnd"/>
      <w:r>
        <w:rPr>
          <w:rFonts w:asciiTheme="minorHAnsi" w:hAnsiTheme="minorHAnsi" w:cstheme="minorHAnsi"/>
        </w:rPr>
        <w:t xml:space="preserve"> haar gebreken en dat leidt tot onnodige belasting van het bedrijfsleven. Hier doelt de wetgever voornamelijk op de </w:t>
      </w:r>
      <w:proofErr w:type="spellStart"/>
      <w:r>
        <w:rPr>
          <w:rFonts w:asciiTheme="minorHAnsi" w:hAnsiTheme="minorHAnsi" w:cstheme="minorHAnsi"/>
        </w:rPr>
        <w:t>nachgründungsregeling</w:t>
      </w:r>
      <w:proofErr w:type="spellEnd"/>
      <w:r>
        <w:rPr>
          <w:rFonts w:asciiTheme="minorHAnsi" w:hAnsiTheme="minorHAnsi" w:cstheme="minorHAnsi"/>
        </w:rPr>
        <w:t xml:space="preserve"> (artikel 204c BW) en het verbod op financiële steunverlening aan derden (artikel 207c).</w:t>
      </w:r>
      <w:r>
        <w:rPr>
          <w:rStyle w:val="FootnoteReference"/>
          <w:rFonts w:asciiTheme="minorHAnsi" w:hAnsiTheme="minorHAnsi"/>
        </w:rPr>
        <w:footnoteReference w:id="27"/>
      </w:r>
      <w:r>
        <w:rPr>
          <w:rFonts w:asciiTheme="minorHAnsi" w:hAnsiTheme="minorHAnsi" w:cstheme="minorHAnsi"/>
        </w:rPr>
        <w:t xml:space="preserve">   </w:t>
      </w:r>
      <w:r>
        <w:rPr>
          <w:rFonts w:asciiTheme="minorHAnsi" w:hAnsiTheme="minorHAnsi" w:cstheme="minorHAnsi"/>
        </w:rPr>
        <w:tab/>
        <w:t xml:space="preserve">  </w:t>
      </w:r>
    </w:p>
    <w:p w:rsidR="00940C49" w:rsidRDefault="00940C49" w:rsidP="00A327D4">
      <w:pPr>
        <w:jc w:val="both"/>
      </w:pPr>
      <w:r>
        <w:t xml:space="preserve">Ook in de jurisprudentie was het een en ander terug te vinden over het belang van de formele regels van kapitaalbescherming en de relativering daarvan. Uit het </w:t>
      </w:r>
      <w:proofErr w:type="spellStart"/>
      <w:r>
        <w:t>Nimox-arrest</w:t>
      </w:r>
      <w:proofErr w:type="spellEnd"/>
      <w:r>
        <w:rPr>
          <w:rStyle w:val="FootnoteReference"/>
        </w:rPr>
        <w:footnoteReference w:id="28"/>
      </w:r>
      <w:r>
        <w:t xml:space="preserve"> en het </w:t>
      </w:r>
      <w:proofErr w:type="spellStart"/>
      <w:r>
        <w:t>Reinders</w:t>
      </w:r>
      <w:proofErr w:type="spellEnd"/>
      <w:r>
        <w:t xml:space="preserve"> </w:t>
      </w:r>
      <w:proofErr w:type="spellStart"/>
      <w:r>
        <w:t>Nidam-arrest</w:t>
      </w:r>
      <w:proofErr w:type="spellEnd"/>
      <w:r>
        <w:rPr>
          <w:rStyle w:val="FootnoteReference"/>
        </w:rPr>
        <w:footnoteReference w:id="29"/>
      </w:r>
      <w:r>
        <w:t xml:space="preserve"> is te herleiden dat een besluit tot dividenduitkering onrechtmatig kan zijn, ongeacht of een vennootschap volgens het </w:t>
      </w:r>
      <w:proofErr w:type="spellStart"/>
      <w:r>
        <w:t>kapitaalbeschermingsrecht</w:t>
      </w:r>
      <w:proofErr w:type="spellEnd"/>
      <w:r>
        <w:t xml:space="preserve"> te werk is gegaan. </w:t>
      </w:r>
    </w:p>
    <w:p w:rsidR="00940C49" w:rsidRDefault="00940C49" w:rsidP="00A327D4">
      <w:pPr>
        <w:ind w:firstLine="708"/>
        <w:jc w:val="both"/>
      </w:pPr>
      <w:r>
        <w:lastRenderedPageBreak/>
        <w:t>In opdracht van het Ministerie van Economische Zaken is een onderzoek verricht naar de mogelijkheden voor een alternatief systeem van de BV.</w:t>
      </w:r>
      <w:r>
        <w:rPr>
          <w:rStyle w:val="FootnoteReference"/>
        </w:rPr>
        <w:footnoteReference w:id="30"/>
      </w:r>
      <w:r>
        <w:t xml:space="preserve"> Hierin werden rechtsstelsels van landen zoals het Verenigd Koninkrijk, Australië en de Nederlandse Antillen onderzocht. Daarenboven is er aandacht besteed aan bepaalde onderdelen van het bv-recht van onze aangrenzende buurlanden, Canada en Nieuw-Zeeland. In een tweede onderzoek in opdracht van het WODC ingegaan op onder andere het recht in </w:t>
      </w:r>
      <w:proofErr w:type="spellStart"/>
      <w:r>
        <w:t>Delaware</w:t>
      </w:r>
      <w:proofErr w:type="spellEnd"/>
      <w:r>
        <w:t xml:space="preserve">. De bevindingen uit dit onderzoek zijn grotendeels gebruikt voor de voorgestelde regeling in het wetsvoorstel. Uit deze onderzoeken kan geconcludeerd worden dat in een aantal landen een systeem zonder minimumkapitaal het goed doet. </w:t>
      </w:r>
    </w:p>
    <w:p w:rsidR="00940C49" w:rsidRDefault="00940C49" w:rsidP="00A327D4">
      <w:pPr>
        <w:jc w:val="both"/>
      </w:pPr>
      <w:r>
        <w:t>Dit systeem gaat uit van bestuurdersaansprakelijkheid wat betreft schade (aan de rechten van crediteuren) veroorzaakt door uitkering</w:t>
      </w:r>
      <w:r w:rsidR="00634B42">
        <w:t>en</w:t>
      </w:r>
      <w:r>
        <w:t xml:space="preserve"> aan de aandeelhouders. Dit slechts indien het de bestuurders te verwijten valt. Ten aanzien van dit verwijt is een fictie opgenomen welke inhoudt dat indien de vennootschap binnen 12 maanden failliet wordt verklaard de bestuurders redelijkerwijs behoorden te weten dat de vennootschap door de uitkeringen haar opeisbare schulden niet zou kunnen voldoen.</w:t>
      </w:r>
      <w:r>
        <w:rPr>
          <w:rStyle w:val="FootnoteReference"/>
        </w:rPr>
        <w:footnoteReference w:id="31"/>
      </w:r>
      <w:r>
        <w:t xml:space="preserve"> </w:t>
      </w:r>
    </w:p>
    <w:p w:rsidR="00940C49" w:rsidRDefault="00940C49" w:rsidP="00A327D4">
      <w:pPr>
        <w:jc w:val="both"/>
      </w:pPr>
      <w:r>
        <w:rPr>
          <w:b/>
        </w:rPr>
        <w:tab/>
      </w:r>
      <w:r>
        <w:t>In het voorgestelde systeem, waar het minimumkapitaal afgeschaft wordt en de oprichters zelf de omvang van de stortingsplicht op aandelen bepalen, zal niet meer naar een bepaalde minimale hoeveelheid kapitaal in een vennootschap gekeken worden om uitkeringen te valideren. In dit voorgestelde systeem wordt de geoorloofdheid van uitkeringen bepaald navenant de liquiditeitspositie van de vennootschap. Er is in beginsel gekozen voor een liquiditeitstest in combinatie met een balanstest. Uiteindelijk is naar aanleiding van de consultatie gekozen de balanstest niet door te voeren.</w:t>
      </w:r>
      <w:r>
        <w:rPr>
          <w:rStyle w:val="FootnoteReference"/>
        </w:rPr>
        <w:footnoteReference w:id="32"/>
      </w:r>
      <w:r>
        <w:t xml:space="preserve"> </w:t>
      </w:r>
      <w:proofErr w:type="gramStart"/>
      <w:r>
        <w:t xml:space="preserve">De vennootschap moet na het doen van uitkeringen over voldoende financiële middelen beschikken om opeisbare schulden te kunnen afbetalen, het toezicht houden en besluiten gebeurt naar </w:t>
      </w:r>
      <w:proofErr w:type="gramEnd"/>
      <w:r>
        <w:t>oordeel van het bestuur.</w:t>
      </w:r>
      <w:r>
        <w:rPr>
          <w:rStyle w:val="FootnoteReference"/>
        </w:rPr>
        <w:footnoteReference w:id="33"/>
      </w:r>
      <w:r>
        <w:t xml:space="preserve"> Dit brengt verantwoording met zich mee voor het bestuur en het bestuur kan dan ook aansprakelijk worden gesteld indien het een verwijt aangerekend kan worden. Voorheen was de sanctie dat de besluitvorming nietig werd verklaard, in het voorgestelde systeem zullen de bestuurders als sanctie aansprakelijk worden gesteld. Ook aandeelhouders kunnen aansprakelijk zijn jegens de vennootschap. In de nieuwe regeling krijgt de algemene vergadering meer bevoegdheid, en omdat zij financieel meeprofiteren en nauw betrokken zijn in de besluitvorming is de aansprakelijkheid niet meer dan terecht.</w:t>
      </w:r>
      <w:r>
        <w:rPr>
          <w:rStyle w:val="FootnoteReference"/>
        </w:rPr>
        <w:footnoteReference w:id="34"/>
      </w:r>
      <w:r>
        <w:t xml:space="preserve"> </w:t>
      </w:r>
    </w:p>
    <w:p w:rsidR="00940C49" w:rsidRDefault="00940C49" w:rsidP="00A327D4">
      <w:pPr>
        <w:jc w:val="both"/>
      </w:pPr>
      <w:r>
        <w:lastRenderedPageBreak/>
        <w:t xml:space="preserve">Daarenboven hebben de aandeelhouders een terugbetalingsplicht indien de vennootschap binnen een jaar na de uitkering failliet gaat. </w:t>
      </w:r>
    </w:p>
    <w:p w:rsidR="00940C49" w:rsidRPr="00C94532" w:rsidRDefault="00940C49" w:rsidP="00A327D4">
      <w:pPr>
        <w:jc w:val="both"/>
      </w:pPr>
      <w:r>
        <w:t>Deze regelingen maken de gecompliceerd</w:t>
      </w:r>
      <w:r w:rsidRPr="00C94532">
        <w:t>e</w:t>
      </w:r>
      <w:r w:rsidR="000B2DAF">
        <w:t xml:space="preserve"> </w:t>
      </w:r>
      <w:proofErr w:type="spellStart"/>
      <w:r w:rsidR="000B2DAF">
        <w:t>Nachgründungsbepaling</w:t>
      </w:r>
      <w:proofErr w:type="spellEnd"/>
      <w:r w:rsidR="000B2DAF">
        <w:t>,</w:t>
      </w:r>
      <w:r w:rsidR="000B2DAF">
        <w:rPr>
          <w:color w:val="000000"/>
        </w:rPr>
        <w:t xml:space="preserve"> </w:t>
      </w:r>
      <w:r>
        <w:rPr>
          <w:color w:val="000000"/>
        </w:rPr>
        <w:t>inzake transacties met aandeelhouders in en na de oprichtingsfase, overbodig. Ook is besloten om artikel 2:207c te doen vervallen</w:t>
      </w:r>
      <w:r w:rsidR="006407D9">
        <w:rPr>
          <w:color w:val="000000"/>
        </w:rPr>
        <w:t xml:space="preserve">. Deze </w:t>
      </w:r>
      <w:r>
        <w:rPr>
          <w:color w:val="000000"/>
        </w:rPr>
        <w:t>regeling aangaande financiële steunverlening aan derden heeft in de praktijk tot veel onduidelijkheid geleid. In de voorgestelde regeling heeft het bestuur meer ruimte en verantwoording gekregen om te beoordelen of het verlenen van financiële steun in het belang is van de vennootschap en wat de gevolgen kunnen zijn voor de financiële positie voor de vennootschap.</w:t>
      </w:r>
      <w:r>
        <w:rPr>
          <w:rStyle w:val="FootnoteReference"/>
          <w:color w:val="000000"/>
        </w:rPr>
        <w:footnoteReference w:id="35"/>
      </w:r>
    </w:p>
    <w:p w:rsidR="00940C49" w:rsidRPr="000B78F6" w:rsidRDefault="00940C49" w:rsidP="00A327D4">
      <w:pPr>
        <w:jc w:val="both"/>
        <w:rPr>
          <w:rFonts w:asciiTheme="minorHAnsi" w:hAnsiTheme="minorHAnsi" w:cstheme="minorHAnsi"/>
        </w:rPr>
      </w:pPr>
      <w:r w:rsidRPr="000B78F6">
        <w:rPr>
          <w:rFonts w:asciiTheme="minorHAnsi" w:hAnsiTheme="minorHAnsi" w:cstheme="minorHAnsi"/>
        </w:rPr>
        <w:tab/>
        <w:t>De openbaring van de tranches van het voorontwerp wetsvoorstel heeft gefaseerd plaatsgevonden. Vanuit de kant van de belanghebbende partijen in de praktijk is nogal wat commentaar geleverd op het wetsvoorstel tijdens de consultatierondes.</w:t>
      </w:r>
    </w:p>
    <w:p w:rsidR="00940C49" w:rsidRDefault="00940C49" w:rsidP="00A327D4">
      <w:pPr>
        <w:jc w:val="both"/>
        <w:rPr>
          <w:rFonts w:asciiTheme="minorHAnsi" w:hAnsiTheme="minorHAnsi" w:cstheme="minorHAnsi"/>
          <w:color w:val="000000"/>
        </w:rPr>
      </w:pPr>
      <w:r w:rsidRPr="000B78F6">
        <w:rPr>
          <w:rFonts w:asciiTheme="minorHAnsi" w:hAnsiTheme="minorHAnsi" w:cstheme="minorHAnsi"/>
        </w:rPr>
        <w:t xml:space="preserve">De consultaties zijn verwerkt en de drie tranches zijn opgenomen in één wetsvoorstel. Vervolgens is deze bij de Tweede Kamer ingediend. De Raad van State heeft zijn advies gegeven op het wetsvoorstel. De Minister van Justitie heeft in de </w:t>
      </w:r>
      <w:r>
        <w:rPr>
          <w:rFonts w:asciiTheme="minorHAnsi" w:hAnsiTheme="minorHAnsi" w:cstheme="minorHAnsi"/>
        </w:rPr>
        <w:t xml:space="preserve">eerste </w:t>
      </w:r>
      <w:r w:rsidRPr="000B78F6">
        <w:rPr>
          <w:rFonts w:asciiTheme="minorHAnsi" w:hAnsiTheme="minorHAnsi" w:cstheme="minorHAnsi"/>
        </w:rPr>
        <w:t>nota van wijziging</w:t>
      </w:r>
      <w:r w:rsidRPr="000B78F6">
        <w:rPr>
          <w:rStyle w:val="FootnoteReference"/>
          <w:rFonts w:asciiTheme="minorHAnsi" w:hAnsiTheme="minorHAnsi" w:cstheme="minorHAnsi"/>
        </w:rPr>
        <w:footnoteReference w:id="36"/>
      </w:r>
      <w:r w:rsidRPr="000B78F6">
        <w:rPr>
          <w:rFonts w:asciiTheme="minorHAnsi" w:hAnsiTheme="minorHAnsi" w:cstheme="minorHAnsi"/>
        </w:rPr>
        <w:t xml:space="preserve"> wat aanpassingen doorgevoerd in het wetsvoorstel. </w:t>
      </w:r>
      <w:r>
        <w:rPr>
          <w:rFonts w:asciiTheme="minorHAnsi" w:hAnsiTheme="minorHAnsi" w:cstheme="minorHAnsi"/>
          <w:color w:val="000000"/>
        </w:rPr>
        <w:t>M</w:t>
      </w:r>
      <w:r w:rsidRPr="000B78F6">
        <w:rPr>
          <w:rFonts w:asciiTheme="minorHAnsi" w:hAnsiTheme="minorHAnsi" w:cstheme="minorHAnsi"/>
          <w:color w:val="000000"/>
        </w:rPr>
        <w:t xml:space="preserve">et name de statutaire verplichtingen van aanbieding en overdracht van aandelen, de aansprakelijkheidsregeling bij uitkeringen aan aandeelhouders en de stemrechten van aandeelhouders </w:t>
      </w:r>
      <w:r>
        <w:rPr>
          <w:rFonts w:asciiTheme="minorHAnsi" w:hAnsiTheme="minorHAnsi" w:cstheme="minorHAnsi"/>
          <w:color w:val="000000"/>
        </w:rPr>
        <w:t>zijn het mikpunt geweest van wijziging. Van belang is vooral het stemrecht. N</w:t>
      </w:r>
      <w:r w:rsidRPr="006173AD">
        <w:rPr>
          <w:rFonts w:asciiTheme="minorHAnsi" w:hAnsiTheme="minorHAnsi" w:cstheme="minorHAnsi"/>
          <w:color w:val="000000"/>
        </w:rPr>
        <w:t xml:space="preserve">aast </w:t>
      </w:r>
      <w:r w:rsidR="00651432" w:rsidRPr="006173AD">
        <w:rPr>
          <w:rFonts w:asciiTheme="minorHAnsi" w:hAnsiTheme="minorHAnsi" w:cstheme="minorHAnsi"/>
          <w:color w:val="000000"/>
        </w:rPr>
        <w:t>stemrecht</w:t>
      </w:r>
      <w:r w:rsidR="00651432">
        <w:rPr>
          <w:rFonts w:asciiTheme="minorHAnsi" w:hAnsiTheme="minorHAnsi" w:cstheme="minorHAnsi"/>
          <w:color w:val="000000"/>
        </w:rPr>
        <w:t>aandelen</w:t>
      </w:r>
      <w:r w:rsidR="00651432" w:rsidRPr="006173AD">
        <w:rPr>
          <w:rFonts w:asciiTheme="minorHAnsi" w:hAnsiTheme="minorHAnsi" w:cstheme="minorHAnsi"/>
          <w:color w:val="000000"/>
        </w:rPr>
        <w:t xml:space="preserve"> </w:t>
      </w:r>
      <w:r w:rsidRPr="006173AD">
        <w:rPr>
          <w:rFonts w:asciiTheme="minorHAnsi" w:hAnsiTheme="minorHAnsi" w:cstheme="minorHAnsi"/>
          <w:color w:val="000000"/>
        </w:rPr>
        <w:t xml:space="preserve">en </w:t>
      </w:r>
      <w:proofErr w:type="spellStart"/>
      <w:r w:rsidRPr="006173AD">
        <w:rPr>
          <w:rFonts w:asciiTheme="minorHAnsi" w:hAnsiTheme="minorHAnsi" w:cstheme="minorHAnsi"/>
          <w:color w:val="000000"/>
        </w:rPr>
        <w:t>winstrechtaandelen</w:t>
      </w:r>
      <w:proofErr w:type="spellEnd"/>
      <w:r w:rsidR="00681AC4">
        <w:rPr>
          <w:rFonts w:asciiTheme="minorHAnsi" w:hAnsiTheme="minorHAnsi" w:cstheme="minorHAnsi"/>
          <w:color w:val="000000"/>
        </w:rPr>
        <w:t>,</w:t>
      </w:r>
      <w:r w:rsidR="007D761B">
        <w:rPr>
          <w:rFonts w:asciiTheme="minorHAnsi" w:hAnsiTheme="minorHAnsi" w:cstheme="minorHAnsi"/>
          <w:color w:val="000000"/>
        </w:rPr>
        <w:t xml:space="preserve"> </w:t>
      </w:r>
      <w:r w:rsidRPr="006173AD">
        <w:rPr>
          <w:rFonts w:asciiTheme="minorHAnsi" w:hAnsiTheme="minorHAnsi" w:cstheme="minorHAnsi"/>
          <w:color w:val="000000"/>
        </w:rPr>
        <w:t>zijn ook aandelen met flexibel stemrecht mogelijk</w:t>
      </w:r>
      <w:r>
        <w:rPr>
          <w:rFonts w:asciiTheme="minorHAnsi" w:hAnsiTheme="minorHAnsi" w:cstheme="minorHAnsi"/>
          <w:color w:val="000000"/>
        </w:rPr>
        <w:t>. Ook is er een besluit geschrapt, ter bevordering van de besluitvorming in de algemene vergadering, met betrekking tot besluitvorming ten nadele van de stemrechtloze aandeelhouder. Essentieel hierin was de bescherming van een aandeelhouder met een aandeel met zeer weinig stemrecht in verhouding</w:t>
      </w:r>
      <w:r w:rsidRPr="00F717CF">
        <w:rPr>
          <w:rFonts w:asciiTheme="minorHAnsi" w:hAnsiTheme="minorHAnsi" w:cstheme="minorHAnsi"/>
          <w:color w:val="000000"/>
        </w:rPr>
        <w:t xml:space="preserve"> </w:t>
      </w:r>
      <w:r>
        <w:rPr>
          <w:rFonts w:asciiTheme="minorHAnsi" w:hAnsiTheme="minorHAnsi" w:cstheme="minorHAnsi"/>
          <w:color w:val="000000"/>
        </w:rPr>
        <w:t>met de aandeelhouder van een aandeel zonder enige stemrecht.</w:t>
      </w:r>
    </w:p>
    <w:p w:rsidR="00940C49" w:rsidRPr="002908D2" w:rsidRDefault="00940C49" w:rsidP="00B013D2">
      <w:pPr>
        <w:jc w:val="both"/>
        <w:rPr>
          <w:rFonts w:asciiTheme="minorHAnsi" w:hAnsiTheme="minorHAnsi" w:cstheme="minorHAnsi"/>
          <w:color w:val="000000"/>
        </w:rPr>
      </w:pPr>
      <w:r>
        <w:rPr>
          <w:rFonts w:asciiTheme="minorHAnsi" w:hAnsiTheme="minorHAnsi" w:cstheme="minorHAnsi"/>
          <w:color w:val="000000"/>
        </w:rPr>
        <w:tab/>
        <w:t xml:space="preserve">In de tweede nota van wijziging komen twee onderwerpen naar voren. De inbreng op aandelen in </w:t>
      </w:r>
      <w:proofErr w:type="spellStart"/>
      <w:r>
        <w:rPr>
          <w:rFonts w:asciiTheme="minorHAnsi" w:hAnsiTheme="minorHAnsi" w:cstheme="minorHAnsi"/>
          <w:color w:val="000000"/>
        </w:rPr>
        <w:t>natura</w:t>
      </w:r>
      <w:proofErr w:type="spellEnd"/>
      <w:r>
        <w:rPr>
          <w:rFonts w:asciiTheme="minorHAnsi" w:hAnsiTheme="minorHAnsi" w:cstheme="minorHAnsi"/>
          <w:color w:val="000000"/>
        </w:rPr>
        <w:t xml:space="preserve"> en de aansprakelijkhe</w:t>
      </w:r>
      <w:r w:rsidRPr="002908D2">
        <w:rPr>
          <w:rFonts w:asciiTheme="minorHAnsi" w:hAnsiTheme="minorHAnsi" w:cstheme="minorHAnsi"/>
          <w:color w:val="000000"/>
        </w:rPr>
        <w:t xml:space="preserve">id bij onder andere uitkeringen gaan op de schop. </w:t>
      </w:r>
    </w:p>
    <w:p w:rsidR="00940C49" w:rsidRDefault="00940C49" w:rsidP="00B013D2">
      <w:pPr>
        <w:jc w:val="both"/>
        <w:rPr>
          <w:rFonts w:asciiTheme="minorHAnsi" w:hAnsiTheme="minorHAnsi" w:cstheme="minorHAnsi"/>
          <w:color w:val="000000"/>
        </w:rPr>
      </w:pPr>
      <w:r w:rsidRPr="002908D2">
        <w:rPr>
          <w:rFonts w:asciiTheme="minorHAnsi" w:hAnsiTheme="minorHAnsi" w:cstheme="minorHAnsi"/>
          <w:color w:val="000000"/>
        </w:rPr>
        <w:t>Bij de inbreng wordt niet meer vereist dat de waarderingsmethode aan maatschappelijke normen moet voldoen. Een nauwkeurige beschrijving</w:t>
      </w:r>
      <w:r>
        <w:rPr>
          <w:rStyle w:val="FootnoteReference"/>
          <w:rFonts w:asciiTheme="minorHAnsi" w:hAnsiTheme="minorHAnsi"/>
          <w:color w:val="000000"/>
        </w:rPr>
        <w:footnoteReference w:id="37"/>
      </w:r>
      <w:r w:rsidRPr="002908D2">
        <w:rPr>
          <w:rFonts w:asciiTheme="minorHAnsi" w:hAnsiTheme="minorHAnsi" w:cstheme="minorHAnsi"/>
          <w:color w:val="000000"/>
        </w:rPr>
        <w:t xml:space="preserve"> is voldoende en zoals naar mijn mening het meest voor de hand liggend </w:t>
      </w:r>
      <w:r>
        <w:rPr>
          <w:rFonts w:asciiTheme="minorHAnsi" w:hAnsiTheme="minorHAnsi" w:cstheme="minorHAnsi"/>
          <w:color w:val="000000"/>
        </w:rPr>
        <w:t>is</w:t>
      </w:r>
      <w:r w:rsidRPr="002908D2">
        <w:rPr>
          <w:rFonts w:asciiTheme="minorHAnsi" w:hAnsiTheme="minorHAnsi" w:cstheme="minorHAnsi"/>
          <w:color w:val="000000"/>
        </w:rPr>
        <w:t xml:space="preserve"> zal het bestuur ingevolge de stortingsplicht van de aandeelhouder waakzaam moeten zijn.</w:t>
      </w:r>
      <w:r>
        <w:rPr>
          <w:rFonts w:asciiTheme="minorHAnsi" w:hAnsiTheme="minorHAnsi" w:cstheme="minorHAnsi"/>
          <w:color w:val="000000"/>
        </w:rPr>
        <w:t xml:space="preserve"> Met betrekking tot de bevoegdheden van het bestuur zal de verdeling zoals die nu bestaat worden hersteld. Daarenboven zal de bestuurdersaansprakelijkheid en de goedkeuringsbevoegdheid daarop aangepast worden. Wanneer bij uitkering de aandeelhouders gewaarschuwd worden door de bestuurders, als de bestuurders weten dat de vennootschap niet </w:t>
      </w:r>
      <w:r>
        <w:rPr>
          <w:rFonts w:asciiTheme="minorHAnsi" w:hAnsiTheme="minorHAnsi" w:cstheme="minorHAnsi"/>
          <w:color w:val="000000"/>
        </w:rPr>
        <w:lastRenderedPageBreak/>
        <w:t xml:space="preserve">voort zou kunnen gaan met het betalen van opeisbare schulden, dan treft de bestuurders geen blaam noch zullen zij aansprakelijk gesteld worden op basis van artikel </w:t>
      </w:r>
      <w:r w:rsidR="007D761B">
        <w:rPr>
          <w:rFonts w:asciiTheme="minorHAnsi" w:hAnsiTheme="minorHAnsi" w:cstheme="minorHAnsi"/>
          <w:color w:val="000000"/>
        </w:rPr>
        <w:t>2:</w:t>
      </w:r>
      <w:r>
        <w:rPr>
          <w:rFonts w:asciiTheme="minorHAnsi" w:hAnsiTheme="minorHAnsi" w:cstheme="minorHAnsi"/>
          <w:color w:val="000000"/>
        </w:rPr>
        <w:t>9 BW.</w:t>
      </w:r>
      <w:r>
        <w:rPr>
          <w:rStyle w:val="FootnoteReference"/>
          <w:rFonts w:asciiTheme="minorHAnsi" w:hAnsiTheme="minorHAnsi"/>
          <w:color w:val="000000"/>
        </w:rPr>
        <w:footnoteReference w:id="38"/>
      </w:r>
    </w:p>
    <w:p w:rsidR="00940C49" w:rsidRDefault="00940C49" w:rsidP="00B013D2">
      <w:pPr>
        <w:jc w:val="both"/>
        <w:rPr>
          <w:rFonts w:asciiTheme="minorHAnsi" w:hAnsiTheme="minorHAnsi" w:cstheme="minorHAnsi"/>
          <w:color w:val="000000"/>
        </w:rPr>
      </w:pPr>
      <w:r>
        <w:rPr>
          <w:rFonts w:asciiTheme="minorHAnsi" w:hAnsiTheme="minorHAnsi" w:cstheme="minorHAnsi"/>
          <w:color w:val="000000"/>
        </w:rPr>
        <w:tab/>
        <w:t xml:space="preserve">Opvallend genoeg is er door de wetgever geringe aandacht besteed aan de fiscale aspecten van het wetsvoorstel vereenvoudiging en flexibilisering van het bv-recht. Desalniettemin is de fiscale pleitgroep niet  nalatig geweest in het reageren en is de wetgever mede hierop gewezen middels een terecht gezonden commentaar van de Nederlandse Orde van </w:t>
      </w:r>
      <w:r w:rsidR="000654A0">
        <w:rPr>
          <w:rFonts w:asciiTheme="minorHAnsi" w:hAnsiTheme="minorHAnsi" w:cstheme="minorHAnsi"/>
          <w:color w:val="000000"/>
        </w:rPr>
        <w:t>Belastingadviseurs</w:t>
      </w:r>
      <w:r>
        <w:rPr>
          <w:rFonts w:asciiTheme="minorHAnsi" w:hAnsiTheme="minorHAnsi" w:cstheme="minorHAnsi"/>
          <w:color w:val="000000"/>
        </w:rPr>
        <w:t xml:space="preserve">. </w:t>
      </w:r>
    </w:p>
    <w:p w:rsidR="00940C49" w:rsidRDefault="00940C49" w:rsidP="00B013D2">
      <w:pPr>
        <w:jc w:val="both"/>
        <w:rPr>
          <w:rFonts w:asciiTheme="minorHAnsi" w:hAnsiTheme="minorHAnsi" w:cstheme="minorHAnsi"/>
          <w:color w:val="000000"/>
        </w:rPr>
      </w:pPr>
    </w:p>
    <w:p w:rsidR="00940C49" w:rsidRDefault="00D41F70" w:rsidP="00B013D2">
      <w:pPr>
        <w:jc w:val="both"/>
        <w:rPr>
          <w:b/>
        </w:rPr>
      </w:pPr>
      <w:r>
        <w:rPr>
          <w:b/>
        </w:rPr>
        <w:t xml:space="preserve">2.2.3  </w:t>
      </w:r>
      <w:r w:rsidR="00940C49">
        <w:rPr>
          <w:b/>
        </w:rPr>
        <w:t>Fiscale aspecten van het wetsvoorstel</w:t>
      </w:r>
    </w:p>
    <w:p w:rsidR="00940C49" w:rsidRDefault="00940C49" w:rsidP="00520E1D">
      <w:pPr>
        <w:ind w:firstLine="708"/>
        <w:jc w:val="both"/>
      </w:pPr>
      <w:r w:rsidRPr="00DC7772">
        <w:t>Bij de uitwerking van het versoepelen van het bv-recht leek in eerste instantie weinig aandacht te zijn besteed aan de gevolgen voor de fiscale wetten. Los van een afzonderlijke paragra</w:t>
      </w:r>
      <w:r>
        <w:t>af in de memorie van toelichting en de aankondiging van een wijziging van het Besluit fiscale eenheid 2003 kon er nergens teruggevonden worden dat de wetgever zich verdiepend heeft ingespannen om de mogelijke gevolgen voor de fiscale wetgeving te accentueren.</w:t>
      </w:r>
      <w:r>
        <w:rPr>
          <w:rStyle w:val="FootnoteReference"/>
        </w:rPr>
        <w:footnoteReference w:id="39"/>
      </w:r>
      <w:r>
        <w:t xml:space="preserve"> Het feit dat de wetgever heeft aangegeven dat geen wijzigingen benodigd zijn voor de rijksbelastingwetten kenmerkt naar mijn mening het tekort aan geestdrift met betrekking tot het ongekrenkt houden van het belang van het fiscale recht. Dit is ook de Nederlandse Orde van Belastingadviseurs(hierna: de Orde) niet onopgevallen gebleven. De commissie Wetsvoorstellen van de Orde heeft een nadere toelichting van een eerder commentaar ui</w:t>
      </w:r>
      <w:r w:rsidRPr="000123E5">
        <w:t xml:space="preserve">tgebracht op het wetsvoorstel betreffende de gevolgen voor de </w:t>
      </w:r>
      <w:r w:rsidR="000654A0">
        <w:t>f</w:t>
      </w:r>
      <w:r w:rsidR="000654A0" w:rsidRPr="000123E5">
        <w:t>iscaliteit</w:t>
      </w:r>
      <w:r w:rsidRPr="000123E5">
        <w:t>.</w:t>
      </w:r>
      <w:r>
        <w:rPr>
          <w:rStyle w:val="FootnoteReference"/>
          <w:rFonts w:asciiTheme="minorHAnsi" w:hAnsiTheme="minorHAnsi"/>
        </w:rPr>
        <w:footnoteReference w:id="40"/>
      </w:r>
      <w:r w:rsidRPr="000123E5">
        <w:t xml:space="preserve"> </w:t>
      </w:r>
      <w:r>
        <w:t xml:space="preserve">Doorslaggevend bij de beoordeling van de fiscale aspecten van het wetsvoorstel was het rechtsbeginsel rechtszekerheid. Duidelijkheid werd </w:t>
      </w:r>
      <w:r w:rsidR="006D6585">
        <w:t xml:space="preserve">wenselijk </w:t>
      </w:r>
      <w:r>
        <w:t>geacht en de Orde had dan ook gerichte vragen aan de minister. M</w:t>
      </w:r>
      <w:r w:rsidRPr="000123E5">
        <w:t xml:space="preserve">et name de afschaffing van het minimumkapitaal en de invoering van aandelen zonder stemrecht of zonder winstrechten </w:t>
      </w:r>
      <w:r>
        <w:t xml:space="preserve">worden door de Orde van betekenis geacht. Zij hanteren bepaalde criteria waar fiscale wetsvoorstellen aan dienen te voldoen, bij het onder de loep nemen van het wetsvoorstel kwam de Orde inzake de fiscale aspecten tot krachtige bevindingen. </w:t>
      </w:r>
    </w:p>
    <w:p w:rsidR="00940C49" w:rsidRPr="0065567D" w:rsidRDefault="00940C49" w:rsidP="00B013D2">
      <w:pPr>
        <w:jc w:val="both"/>
        <w:rPr>
          <w:rFonts w:ascii="Times New Roman" w:hAnsi="Times New Roman" w:cs="Times New Roman"/>
          <w:sz w:val="24"/>
          <w:szCs w:val="24"/>
          <w:lang w:eastAsia="nl-NL"/>
        </w:rPr>
      </w:pPr>
      <w:r w:rsidRPr="00C470EA">
        <w:rPr>
          <w:rFonts w:cs="Calibri"/>
        </w:rPr>
        <w:t xml:space="preserve">Om te beginnen omvatten de huidige fiscale verbondenheidsbepalingen de zodanige vormgeving om voldoende rekening te houden met het flexibele bv-recht. De onduidelijkheid omtrent het begrip belang en </w:t>
      </w:r>
      <w:r>
        <w:rPr>
          <w:rFonts w:cs="Calibri"/>
        </w:rPr>
        <w:t>derhalve</w:t>
      </w:r>
      <w:r w:rsidRPr="00C470EA">
        <w:rPr>
          <w:rFonts w:cs="Calibri"/>
        </w:rPr>
        <w:t xml:space="preserve"> het verbondenheidsbegrip is thans al aanwezig en de Orde vreest dat dit met invoering van het flexibele bv-recht slechts </w:t>
      </w:r>
      <w:r>
        <w:rPr>
          <w:rFonts w:cs="Calibri"/>
        </w:rPr>
        <w:t>toe</w:t>
      </w:r>
      <w:r w:rsidRPr="00C470EA">
        <w:rPr>
          <w:rFonts w:cs="Calibri"/>
        </w:rPr>
        <w:t xml:space="preserve"> zal </w:t>
      </w:r>
      <w:r>
        <w:rPr>
          <w:rFonts w:cs="Calibri"/>
        </w:rPr>
        <w:t>nemen</w:t>
      </w:r>
      <w:r w:rsidRPr="00C470EA">
        <w:rPr>
          <w:rFonts w:cs="Calibri"/>
        </w:rPr>
        <w:t>.</w:t>
      </w:r>
      <w:r>
        <w:rPr>
          <w:rStyle w:val="FootnoteReference"/>
          <w:rFonts w:asciiTheme="minorHAnsi" w:hAnsiTheme="minorHAnsi"/>
          <w:lang w:eastAsia="nl-NL"/>
        </w:rPr>
        <w:footnoteReference w:id="41"/>
      </w:r>
      <w:r>
        <w:rPr>
          <w:lang w:eastAsia="nl-NL"/>
        </w:rPr>
        <w:t xml:space="preserve"> </w:t>
      </w:r>
      <w:r w:rsidRPr="00C470EA">
        <w:rPr>
          <w:rFonts w:cs="Calibri"/>
        </w:rPr>
        <w:t xml:space="preserve"> Ook aangaande de </w:t>
      </w:r>
      <w:proofErr w:type="spellStart"/>
      <w:r w:rsidRPr="00C470EA">
        <w:rPr>
          <w:rFonts w:cs="Calibri"/>
        </w:rPr>
        <w:t>aanmerkelijkbelangregeling</w:t>
      </w:r>
      <w:proofErr w:type="spellEnd"/>
      <w:r w:rsidRPr="00C470EA">
        <w:rPr>
          <w:rFonts w:cs="Calibri"/>
        </w:rPr>
        <w:t xml:space="preserve"> valt er te vrezen voor een groter bereik wegens de toegenomen </w:t>
      </w:r>
      <w:r w:rsidRPr="00C470EA">
        <w:rPr>
          <w:rFonts w:cs="Calibri"/>
        </w:rPr>
        <w:lastRenderedPageBreak/>
        <w:t>inrichtingsvrijheid in de statuten van de besloten vennootschap. De wetgever dient de term ‘soortenaandeel’ handen en voeten geven meent de Orde. Ook is er een mogelijkheid aangeboden omtrent de kwestie fiscaal transparante en niet-transparante kapitaalvennootschappen. Aangezien</w:t>
      </w:r>
      <w:r w:rsidRPr="0065567D">
        <w:t xml:space="preserve"> het verschil summier wordt is volgens de Orde een optiestelsel een serieuze overweging. Daarnaast vindt de Orde dat een uiteenzetting aanwezig had moeten zijn in</w:t>
      </w:r>
      <w:r>
        <w:t xml:space="preserve"> de memorie van toelichting die </w:t>
      </w:r>
      <w:r w:rsidRPr="0065567D">
        <w:rPr>
          <w:lang w:eastAsia="nl-NL"/>
        </w:rPr>
        <w:t>de fiscale consequenties toelicht</w:t>
      </w:r>
      <w:r>
        <w:t xml:space="preserve">  met betrekking tot de </w:t>
      </w:r>
      <w:r w:rsidRPr="0065567D">
        <w:rPr>
          <w:lang w:eastAsia="nl-NL"/>
        </w:rPr>
        <w:t>nieuwe bestuurders- en aandeelhoudersaansprakelijkheid voor onverantwoorde uitkeringen</w:t>
      </w:r>
      <w:r>
        <w:rPr>
          <w:lang w:eastAsia="nl-NL"/>
        </w:rPr>
        <w:t xml:space="preserve">. </w:t>
      </w:r>
    </w:p>
    <w:p w:rsidR="00940C49" w:rsidRPr="004860A0" w:rsidRDefault="00940C49" w:rsidP="00B013D2">
      <w:pPr>
        <w:jc w:val="both"/>
        <w:rPr>
          <w:rFonts w:ascii="Times New Roman" w:hAnsi="Times New Roman" w:cs="Times New Roman"/>
          <w:sz w:val="24"/>
          <w:szCs w:val="24"/>
          <w:lang w:eastAsia="nl-NL"/>
        </w:rPr>
      </w:pPr>
      <w:r>
        <w:tab/>
        <w:t xml:space="preserve">In de wet zijn verschillende bepalingen opgenomen waarbij verbondenheid tussen belastingplichtigen een rol speelt, deze relatie is veelal omschreven in de vorm van kwalificerend aandelenbezit of “belang” bij de rechtspersoon. In de memorie van toelichting, waar uiteengezet wordt waarom geen wetswijziging benodigd is, wordt onder andere het verbondenheidsbegrip ex </w:t>
      </w:r>
      <w:r w:rsidRPr="0031122D">
        <w:rPr>
          <w:lang w:eastAsia="nl-NL"/>
        </w:rPr>
        <w:t xml:space="preserve">art. 10a, lid 4 en lid 5 Wet </w:t>
      </w:r>
      <w:r w:rsidR="00163B6E">
        <w:rPr>
          <w:lang w:eastAsia="nl-NL"/>
        </w:rPr>
        <w:t>VPB</w:t>
      </w:r>
      <w:r w:rsidRPr="0031122D">
        <w:rPr>
          <w:lang w:eastAsia="nl-NL"/>
        </w:rPr>
        <w:t xml:space="preserve"> 1969</w:t>
      </w:r>
      <w:r>
        <w:t>, het deelnemingsbegrip e</w:t>
      </w:r>
      <w:r w:rsidRPr="00855C72">
        <w:t xml:space="preserve">x </w:t>
      </w:r>
      <w:r w:rsidRPr="00855C72">
        <w:rPr>
          <w:lang w:eastAsia="nl-NL"/>
        </w:rPr>
        <w:t>art. 13 Wet</w:t>
      </w:r>
      <w:r w:rsidR="00163B6E">
        <w:rPr>
          <w:lang w:eastAsia="nl-NL"/>
        </w:rPr>
        <w:t xml:space="preserve"> VPB</w:t>
      </w:r>
      <w:r w:rsidRPr="00855C72">
        <w:rPr>
          <w:lang w:eastAsia="nl-NL"/>
        </w:rPr>
        <w:t xml:space="preserve"> 1969</w:t>
      </w:r>
      <w:r w:rsidRPr="00855C72">
        <w:t xml:space="preserve">, de bezitseis ter vorming van een fiscale eenheid ex </w:t>
      </w:r>
      <w:r w:rsidRPr="00855C72">
        <w:rPr>
          <w:lang w:eastAsia="nl-NL"/>
        </w:rPr>
        <w:t>art</w:t>
      </w:r>
      <w:r w:rsidRPr="004860A0">
        <w:rPr>
          <w:lang w:eastAsia="nl-NL"/>
        </w:rPr>
        <w:t xml:space="preserve">. 15 Wet </w:t>
      </w:r>
      <w:r w:rsidR="00163B6E">
        <w:rPr>
          <w:lang w:eastAsia="nl-NL"/>
        </w:rPr>
        <w:t>VPB</w:t>
      </w:r>
      <w:r w:rsidRPr="004860A0">
        <w:rPr>
          <w:lang w:eastAsia="nl-NL"/>
        </w:rPr>
        <w:t xml:space="preserve"> 1969 en het </w:t>
      </w:r>
      <w:proofErr w:type="spellStart"/>
      <w:r w:rsidRPr="004860A0">
        <w:rPr>
          <w:lang w:eastAsia="nl-NL"/>
        </w:rPr>
        <w:t>aanmerkelijkbelangcriterium</w:t>
      </w:r>
      <w:proofErr w:type="spellEnd"/>
      <w:r w:rsidRPr="004860A0">
        <w:rPr>
          <w:lang w:eastAsia="nl-NL"/>
        </w:rPr>
        <w:t xml:space="preserve"> in de</w:t>
      </w:r>
      <w:r>
        <w:rPr>
          <w:lang w:eastAsia="nl-NL"/>
        </w:rPr>
        <w:t xml:space="preserve"> </w:t>
      </w:r>
      <w:r w:rsidRPr="004860A0">
        <w:rPr>
          <w:lang w:eastAsia="nl-NL"/>
        </w:rPr>
        <w:t xml:space="preserve">zin van art. 4.6 en art. 4.7 Wet </w:t>
      </w:r>
      <w:r w:rsidR="00163B6E">
        <w:rPr>
          <w:lang w:eastAsia="nl-NL"/>
        </w:rPr>
        <w:t xml:space="preserve">IB </w:t>
      </w:r>
      <w:r w:rsidRPr="004860A0">
        <w:rPr>
          <w:lang w:eastAsia="nl-NL"/>
        </w:rPr>
        <w:t>2001</w:t>
      </w:r>
      <w:r>
        <w:rPr>
          <w:lang w:eastAsia="nl-NL"/>
        </w:rPr>
        <w:t xml:space="preserve"> behandeld.</w:t>
      </w:r>
      <w:r w:rsidRPr="00E90D7D">
        <w:rPr>
          <w:lang w:eastAsia="nl-NL"/>
        </w:rPr>
        <w:t xml:space="preserve"> </w:t>
      </w:r>
      <w:r>
        <w:rPr>
          <w:lang w:eastAsia="nl-NL"/>
        </w:rPr>
        <w:t>Hierna zal kort het deelnemingsbegrip en het verbondenheidsbegrip uiteengezet worden.</w:t>
      </w:r>
    </w:p>
    <w:p w:rsidR="00940C49" w:rsidRDefault="00940C49" w:rsidP="00B013D2">
      <w:pPr>
        <w:jc w:val="both"/>
        <w:rPr>
          <w:rFonts w:asciiTheme="minorHAnsi" w:hAnsiTheme="minorHAnsi" w:cstheme="minorHAnsi"/>
          <w:color w:val="000000"/>
        </w:rPr>
      </w:pPr>
      <w:r>
        <w:rPr>
          <w:rFonts w:asciiTheme="minorHAnsi" w:hAnsiTheme="minorHAnsi" w:cstheme="minorHAnsi"/>
          <w:color w:val="000000"/>
        </w:rPr>
        <w:tab/>
        <w:t>In de memorie van toelichting wordt gesproken van een “bewuste aanvaarding van de consequenties voor aansluiting bij nominaal gestort of geplaatst aandelenkapitaal”. Wat betreft de deelnemingsvrijstelling is sprake van een harde grens 5%. In die hoedanigheid kwalificeren zowel de stemrechtloze als de winstrechtloze aandelen voor de totale nominale gestorte kapitaal en voor de formele 5%-eis. Dit zou betekenen dat 10% gewone aandelen met winst- en stemrecht mogelijk niet zou kunnen vallen onder de deelnemingsvrijstelling.</w:t>
      </w:r>
      <w:r>
        <w:rPr>
          <w:rStyle w:val="FootnoteReference"/>
          <w:rFonts w:asciiTheme="minorHAnsi" w:hAnsiTheme="minorHAnsi"/>
          <w:color w:val="000000"/>
        </w:rPr>
        <w:footnoteReference w:id="42"/>
      </w:r>
      <w:r>
        <w:rPr>
          <w:rFonts w:asciiTheme="minorHAnsi" w:hAnsiTheme="minorHAnsi" w:cstheme="minorHAnsi"/>
          <w:color w:val="000000"/>
        </w:rPr>
        <w:t xml:space="preserve"> Dit is het geval als andere aandeelhouders stemrechtaandelen en winstrechtaandelen bezitten. Zo zou de bezitter van 10% gewone aandelen cumulatief voldoende recht hebben op de winst, het stemrecht en het liquidatieoverschot, maar het aandelenbelang van de stemrecht</w:t>
      </w:r>
      <w:r w:rsidR="00163B6E">
        <w:rPr>
          <w:rFonts w:asciiTheme="minorHAnsi" w:hAnsiTheme="minorHAnsi" w:cstheme="minorHAnsi"/>
          <w:color w:val="000000"/>
        </w:rPr>
        <w:t>aandelen</w:t>
      </w:r>
      <w:r>
        <w:rPr>
          <w:rFonts w:asciiTheme="minorHAnsi" w:hAnsiTheme="minorHAnsi" w:cstheme="minorHAnsi"/>
          <w:color w:val="000000"/>
        </w:rPr>
        <w:t xml:space="preserve"> en </w:t>
      </w:r>
      <w:proofErr w:type="spellStart"/>
      <w:r>
        <w:rPr>
          <w:rFonts w:asciiTheme="minorHAnsi" w:hAnsiTheme="minorHAnsi" w:cstheme="minorHAnsi"/>
          <w:color w:val="000000"/>
        </w:rPr>
        <w:t>winstrechtaandeelhouders</w:t>
      </w:r>
      <w:proofErr w:type="spellEnd"/>
      <w:r>
        <w:rPr>
          <w:rFonts w:asciiTheme="minorHAnsi" w:hAnsiTheme="minorHAnsi" w:cstheme="minorHAnsi"/>
          <w:color w:val="000000"/>
        </w:rPr>
        <w:t xml:space="preserve"> ervoor zorgen dat de 10% gewone aandelen in proportie minder dan 5% is met betrekking tot het nominale gestorte kapitaal. Onduidelijk is hoe dit alles zich verhoudt tot de verstrekking van de deelnemingsvrijstelling</w:t>
      </w:r>
      <w:r w:rsidR="0089175F">
        <w:rPr>
          <w:rFonts w:asciiTheme="minorHAnsi" w:hAnsiTheme="minorHAnsi" w:cstheme="minorHAnsi"/>
          <w:color w:val="000000"/>
        </w:rPr>
        <w:t>, a</w:t>
      </w:r>
      <w:r>
        <w:rPr>
          <w:rFonts w:asciiTheme="minorHAnsi" w:hAnsiTheme="minorHAnsi" w:cstheme="minorHAnsi"/>
          <w:color w:val="000000"/>
        </w:rPr>
        <w:t>angezien er in de bovengeschetste situatie mogelijk sprake zou kunnen zijn van een economische dubbele belasting.</w:t>
      </w:r>
    </w:p>
    <w:p w:rsidR="00940C49" w:rsidRDefault="00940C49" w:rsidP="00B013D2">
      <w:pPr>
        <w:jc w:val="both"/>
        <w:rPr>
          <w:rFonts w:asciiTheme="minorHAnsi" w:hAnsiTheme="minorHAnsi" w:cstheme="minorHAnsi"/>
          <w:lang w:eastAsia="nl-NL"/>
        </w:rPr>
      </w:pPr>
      <w:r>
        <w:rPr>
          <w:rFonts w:asciiTheme="minorHAnsi" w:hAnsiTheme="minorHAnsi" w:cstheme="minorHAnsi"/>
          <w:color w:val="000000"/>
        </w:rPr>
        <w:tab/>
        <w:t xml:space="preserve">De Orde heeft, niet geheel onverwachts, ook haar twijfels rond het begrip “belang” met de invoering van het flexibele bv-recht. De versoepeling oogt nadelig naar de </w:t>
      </w:r>
      <w:r>
        <w:rPr>
          <w:rFonts w:asciiTheme="minorHAnsi" w:hAnsiTheme="minorHAnsi" w:cstheme="minorHAnsi"/>
          <w:color w:val="000000"/>
        </w:rPr>
        <w:lastRenderedPageBreak/>
        <w:t>verbondenheidsbepalingen toe.</w:t>
      </w:r>
      <w:r w:rsidR="003104BC">
        <w:rPr>
          <w:rStyle w:val="FootnoteReference"/>
          <w:rFonts w:asciiTheme="minorHAnsi" w:hAnsiTheme="minorHAnsi"/>
          <w:color w:val="000000"/>
        </w:rPr>
        <w:footnoteReference w:id="43"/>
      </w:r>
      <w:r>
        <w:rPr>
          <w:rFonts w:asciiTheme="minorHAnsi" w:hAnsiTheme="minorHAnsi" w:cstheme="minorHAnsi"/>
          <w:color w:val="000000"/>
        </w:rPr>
        <w:t xml:space="preserve"> Redengevend is de conclusie van de </w:t>
      </w:r>
      <w:proofErr w:type="spellStart"/>
      <w:r>
        <w:rPr>
          <w:rFonts w:asciiTheme="minorHAnsi" w:hAnsiTheme="minorHAnsi" w:cstheme="minorHAnsi"/>
          <w:color w:val="000000"/>
        </w:rPr>
        <w:t>Advocaat-Generaal</w:t>
      </w:r>
      <w:proofErr w:type="spellEnd"/>
      <w:r>
        <w:rPr>
          <w:rFonts w:asciiTheme="minorHAnsi" w:hAnsiTheme="minorHAnsi" w:cstheme="minorHAnsi"/>
          <w:color w:val="000000"/>
        </w:rPr>
        <w:t xml:space="preserve"> waarin wordt uiteengezet dat de wetgever er vanuit ging dat de zeggenschap en het financiële belang bij aandelenvennootschappen samengaat.</w:t>
      </w:r>
      <w:r>
        <w:rPr>
          <w:rStyle w:val="FootnoteReference"/>
          <w:rFonts w:asciiTheme="minorHAnsi" w:hAnsiTheme="minorHAnsi"/>
          <w:color w:val="000000"/>
        </w:rPr>
        <w:footnoteReference w:id="44"/>
      </w:r>
      <w:r>
        <w:rPr>
          <w:rFonts w:asciiTheme="minorHAnsi" w:hAnsiTheme="minorHAnsi" w:cstheme="minorHAnsi"/>
          <w:color w:val="000000"/>
        </w:rPr>
        <w:t xml:space="preserve"> Het begrip komt uit de parlementaire geschiedenis niet bovenmatig helder naar voren. Zou eventueel het financiële belang los van de zeggenschap gezien kunnen worden dan is dit onderscheid relevant. Dit is </w:t>
      </w:r>
      <w:r w:rsidRPr="00FF4306">
        <w:rPr>
          <w:rFonts w:asciiTheme="minorHAnsi" w:hAnsiTheme="minorHAnsi" w:cstheme="minorHAnsi"/>
          <w:color w:val="000000"/>
        </w:rPr>
        <w:t xml:space="preserve">van </w:t>
      </w:r>
      <w:r>
        <w:rPr>
          <w:rFonts w:asciiTheme="minorHAnsi" w:hAnsiTheme="minorHAnsi" w:cstheme="minorHAnsi"/>
          <w:color w:val="000000"/>
        </w:rPr>
        <w:t>betekenis</w:t>
      </w:r>
      <w:r w:rsidRPr="00FF4306">
        <w:rPr>
          <w:rFonts w:asciiTheme="minorHAnsi" w:hAnsiTheme="minorHAnsi" w:cstheme="minorHAnsi"/>
          <w:color w:val="000000"/>
        </w:rPr>
        <w:t xml:space="preserve"> met </w:t>
      </w:r>
      <w:r>
        <w:rPr>
          <w:rFonts w:asciiTheme="minorHAnsi" w:hAnsiTheme="minorHAnsi" w:cstheme="minorHAnsi"/>
          <w:color w:val="000000"/>
        </w:rPr>
        <w:t>het vereiste in art.</w:t>
      </w:r>
      <w:r w:rsidRPr="00FF4306">
        <w:rPr>
          <w:rFonts w:asciiTheme="minorHAnsi" w:hAnsiTheme="minorHAnsi" w:cstheme="minorHAnsi"/>
          <w:color w:val="000000"/>
        </w:rPr>
        <w:t xml:space="preserve"> 10a</w:t>
      </w:r>
      <w:r>
        <w:rPr>
          <w:rFonts w:asciiTheme="minorHAnsi" w:hAnsiTheme="minorHAnsi" w:cstheme="minorHAnsi"/>
          <w:color w:val="000000"/>
        </w:rPr>
        <w:t>,</w:t>
      </w:r>
      <w:r w:rsidRPr="00FF4306">
        <w:rPr>
          <w:rFonts w:asciiTheme="minorHAnsi" w:hAnsiTheme="minorHAnsi" w:cstheme="minorHAnsi"/>
          <w:color w:val="000000"/>
        </w:rPr>
        <w:t xml:space="preserve"> lid 4</w:t>
      </w:r>
      <w:r w:rsidR="00F1799B">
        <w:rPr>
          <w:rFonts w:asciiTheme="minorHAnsi" w:hAnsiTheme="minorHAnsi" w:cstheme="minorHAnsi"/>
          <w:color w:val="000000"/>
        </w:rPr>
        <w:t>, Wet VPB 1969</w:t>
      </w:r>
      <w:r w:rsidRPr="00FF4306">
        <w:rPr>
          <w:rFonts w:asciiTheme="minorHAnsi" w:hAnsiTheme="minorHAnsi" w:cstheme="minorHAnsi"/>
          <w:color w:val="000000"/>
        </w:rPr>
        <w:t xml:space="preserve"> dat er </w:t>
      </w:r>
      <w:r w:rsidRPr="00FF4306">
        <w:rPr>
          <w:rFonts w:asciiTheme="minorHAnsi" w:hAnsiTheme="minorHAnsi" w:cstheme="minorHAnsi"/>
          <w:lang w:eastAsia="nl-NL"/>
        </w:rPr>
        <w:t xml:space="preserve">voor ten minste een derde gedeelte belang </w:t>
      </w:r>
      <w:r>
        <w:rPr>
          <w:rFonts w:asciiTheme="minorHAnsi" w:hAnsiTheme="minorHAnsi" w:cstheme="minorHAnsi"/>
          <w:lang w:eastAsia="nl-NL"/>
        </w:rPr>
        <w:t xml:space="preserve">aanwezig moet zijn. Want als de zeggenschap en het financiële belang niet samengaan, zoals het eruit ziet met het flexibele recht, zal het aandelenbelang boven de 100% uit kunnen komen en zal dus meer dan drie (rechts)personen met een “een derde belang” kunnen zijn binnen een vennootschap. Vanwege het onderscheid tussen het financieel belang en de zeggenschap kan een situatie ontstaan waar drie (rechts)personen allen een derde financieel belang hebben in een vennootschap, wat cumulatief op 100% uitkomt. Daarnaast kunnen drie andere (rechts)personen allen een derde belang hebben in de vorm van stemrechten wat volgens het flexibel recht acceptabel is. Zodoende lijkt het naar mijn mening dat in totaal 200% aan belang kan zitten in een vennootschap en is dit niet hetgeen wat bedoeld werd met het “samengaan van het financieel belang en de zeggenschap”.  </w:t>
      </w:r>
    </w:p>
    <w:p w:rsidR="00940C49" w:rsidRDefault="00940C49" w:rsidP="00B013D2">
      <w:pPr>
        <w:ind w:firstLine="708"/>
        <w:jc w:val="both"/>
        <w:rPr>
          <w:rFonts w:asciiTheme="minorHAnsi" w:hAnsiTheme="minorHAnsi" w:cstheme="minorHAnsi"/>
          <w:lang w:eastAsia="nl-NL"/>
        </w:rPr>
      </w:pPr>
      <w:r>
        <w:rPr>
          <w:rFonts w:asciiTheme="minorHAnsi" w:hAnsiTheme="minorHAnsi" w:cstheme="minorHAnsi"/>
          <w:lang w:eastAsia="nl-NL"/>
        </w:rPr>
        <w:t xml:space="preserve">Wat betreft de bezitseis bij vorming van een fiscale eenheid zal in het volgende hoofdstuk dieper op in worden gegaan. Ook hier zal de discussie omtrent de zeggenschap centraal staan. Aandachtspunt is de wijziging van art. 2 Besluit FE 2003, wat tevens de enige aangekondigde fiscale aanpassing was van de wetgever, naar aanleiding van hevige, en kennelijk gegronde kritiek.  </w:t>
      </w:r>
    </w:p>
    <w:p w:rsidR="00BA68AF" w:rsidRPr="00671372" w:rsidRDefault="00BA68AF" w:rsidP="00A327D4">
      <w:pPr>
        <w:jc w:val="both"/>
        <w:rPr>
          <w:rFonts w:asciiTheme="minorHAnsi" w:hAnsiTheme="minorHAnsi" w:cstheme="minorHAnsi"/>
          <w:b/>
          <w:color w:val="000000"/>
        </w:rPr>
      </w:pPr>
    </w:p>
    <w:p w:rsidR="00940C49" w:rsidRDefault="00FC2E8C" w:rsidP="00A327D4">
      <w:pPr>
        <w:jc w:val="both"/>
        <w:rPr>
          <w:rFonts w:asciiTheme="minorHAnsi" w:hAnsiTheme="minorHAnsi" w:cstheme="minorHAnsi"/>
          <w:b/>
          <w:color w:val="000000"/>
        </w:rPr>
      </w:pPr>
      <w:r>
        <w:rPr>
          <w:rFonts w:asciiTheme="minorHAnsi" w:hAnsiTheme="minorHAnsi" w:cstheme="minorHAnsi"/>
          <w:b/>
          <w:color w:val="000000"/>
        </w:rPr>
        <w:t xml:space="preserve">2.3  </w:t>
      </w:r>
      <w:r w:rsidR="00940C49">
        <w:rPr>
          <w:rFonts w:asciiTheme="minorHAnsi" w:hAnsiTheme="minorHAnsi" w:cstheme="minorHAnsi"/>
          <w:color w:val="000000"/>
        </w:rPr>
        <w:t xml:space="preserve"> </w:t>
      </w:r>
      <w:r w:rsidR="00940C49">
        <w:rPr>
          <w:rFonts w:asciiTheme="minorHAnsi" w:hAnsiTheme="minorHAnsi" w:cstheme="minorHAnsi"/>
          <w:b/>
          <w:color w:val="000000"/>
        </w:rPr>
        <w:t>Stemrecht</w:t>
      </w:r>
      <w:r w:rsidR="004960EF">
        <w:rPr>
          <w:rFonts w:asciiTheme="minorHAnsi" w:hAnsiTheme="minorHAnsi" w:cstheme="minorHAnsi"/>
          <w:b/>
          <w:color w:val="000000"/>
        </w:rPr>
        <w:t>aandelen</w:t>
      </w:r>
      <w:r w:rsidR="00940C49">
        <w:rPr>
          <w:rFonts w:asciiTheme="minorHAnsi" w:hAnsiTheme="minorHAnsi" w:cstheme="minorHAnsi"/>
          <w:b/>
          <w:color w:val="000000"/>
        </w:rPr>
        <w:t xml:space="preserve"> en winstrechtaan</w:t>
      </w:r>
      <w:r w:rsidR="00884F0C">
        <w:rPr>
          <w:rFonts w:asciiTheme="minorHAnsi" w:hAnsiTheme="minorHAnsi" w:cstheme="minorHAnsi"/>
          <w:b/>
          <w:color w:val="000000"/>
        </w:rPr>
        <w:t>delen</w:t>
      </w:r>
    </w:p>
    <w:p w:rsidR="00000000" w:rsidRDefault="00940C49">
      <w:pPr>
        <w:ind w:firstLine="708"/>
        <w:jc w:val="both"/>
        <w:rPr>
          <w:rFonts w:asciiTheme="minorHAnsi" w:hAnsiTheme="minorHAnsi" w:cstheme="minorHAnsi"/>
          <w:color w:val="000000"/>
        </w:rPr>
      </w:pPr>
      <w:r w:rsidRPr="00831FE4">
        <w:rPr>
          <w:rFonts w:asciiTheme="minorHAnsi" w:hAnsiTheme="minorHAnsi" w:cstheme="minorHAnsi"/>
          <w:color w:val="000000"/>
        </w:rPr>
        <w:t>In het huidi</w:t>
      </w:r>
      <w:r>
        <w:rPr>
          <w:rFonts w:asciiTheme="minorHAnsi" w:hAnsiTheme="minorHAnsi" w:cstheme="minorHAnsi"/>
          <w:color w:val="000000"/>
        </w:rPr>
        <w:t>ge</w:t>
      </w:r>
      <w:r w:rsidRPr="00831FE4">
        <w:rPr>
          <w:rFonts w:asciiTheme="minorHAnsi" w:hAnsiTheme="minorHAnsi" w:cstheme="minorHAnsi"/>
          <w:color w:val="000000"/>
        </w:rPr>
        <w:t xml:space="preserve"> rechtspersonenrecht</w:t>
      </w:r>
      <w:r>
        <w:rPr>
          <w:rFonts w:asciiTheme="minorHAnsi" w:hAnsiTheme="minorHAnsi" w:cstheme="minorHAnsi"/>
          <w:color w:val="000000"/>
        </w:rPr>
        <w:t xml:space="preserve"> is bij de wet geregeld dat één aandeel recht geeft op één stem, dit is de hoofdregel, tenzij in de statuten anders aangegeven wordt. In het wetsvoorstel ter versoepeling van het bv-recht worden mogelijkheden geschetst waarin een vennootschap aandelen uitgeeft zonder stemrecht of zonder winstrecht. Dit leidt ertoe dat verschillende soorten aandelen uitgegeven kunnen worden. Differentiatie is hier in ruime zin mogelijk.</w:t>
      </w:r>
    </w:p>
    <w:p w:rsidR="00940C49" w:rsidRDefault="00940C49" w:rsidP="00B013D2">
      <w:pPr>
        <w:jc w:val="both"/>
        <w:rPr>
          <w:rFonts w:asciiTheme="minorHAnsi" w:hAnsiTheme="minorHAnsi" w:cstheme="minorHAnsi"/>
          <w:color w:val="000000"/>
        </w:rPr>
      </w:pPr>
      <w:r>
        <w:rPr>
          <w:rFonts w:asciiTheme="minorHAnsi" w:hAnsiTheme="minorHAnsi" w:cstheme="minorHAnsi"/>
          <w:color w:val="000000"/>
        </w:rPr>
        <w:t>De aandelen in een flexibele BV zouden onderverdeeld kunnen worden in drie soorten aandelen:</w:t>
      </w:r>
    </w:p>
    <w:p w:rsidR="00940C49" w:rsidRDefault="00940C49" w:rsidP="00B013D2">
      <w:pPr>
        <w:pStyle w:val="ListParagraph"/>
        <w:numPr>
          <w:ilvl w:val="0"/>
          <w:numId w:val="1"/>
        </w:numPr>
        <w:jc w:val="both"/>
        <w:rPr>
          <w:rFonts w:asciiTheme="minorHAnsi" w:hAnsiTheme="minorHAnsi" w:cstheme="minorHAnsi"/>
          <w:color w:val="000000"/>
        </w:rPr>
      </w:pPr>
      <w:r>
        <w:rPr>
          <w:rFonts w:asciiTheme="minorHAnsi" w:hAnsiTheme="minorHAnsi" w:cstheme="minorHAnsi"/>
          <w:color w:val="000000"/>
        </w:rPr>
        <w:t>Aandelen met winstrecht en stemrecht. (de gewone aandelen)</w:t>
      </w:r>
    </w:p>
    <w:p w:rsidR="00940C49" w:rsidRDefault="00940C49" w:rsidP="00B013D2">
      <w:pPr>
        <w:pStyle w:val="ListParagraph"/>
        <w:numPr>
          <w:ilvl w:val="0"/>
          <w:numId w:val="1"/>
        </w:numPr>
        <w:jc w:val="both"/>
        <w:rPr>
          <w:rFonts w:asciiTheme="minorHAnsi" w:hAnsiTheme="minorHAnsi" w:cstheme="minorHAnsi"/>
          <w:color w:val="000000"/>
        </w:rPr>
      </w:pPr>
      <w:r>
        <w:rPr>
          <w:rFonts w:asciiTheme="minorHAnsi" w:hAnsiTheme="minorHAnsi" w:cstheme="minorHAnsi"/>
          <w:color w:val="000000"/>
        </w:rPr>
        <w:t>Aandelen zonder winstrecht en met stemrecht. (de stemrechtaandelen)</w:t>
      </w:r>
    </w:p>
    <w:p w:rsidR="00940C49" w:rsidRDefault="00940C49" w:rsidP="00B013D2">
      <w:pPr>
        <w:pStyle w:val="ListParagraph"/>
        <w:numPr>
          <w:ilvl w:val="0"/>
          <w:numId w:val="1"/>
        </w:numPr>
        <w:jc w:val="both"/>
        <w:rPr>
          <w:rFonts w:asciiTheme="minorHAnsi" w:hAnsiTheme="minorHAnsi" w:cstheme="minorHAnsi"/>
          <w:color w:val="000000"/>
        </w:rPr>
      </w:pPr>
      <w:r>
        <w:rPr>
          <w:rFonts w:asciiTheme="minorHAnsi" w:hAnsiTheme="minorHAnsi" w:cstheme="minorHAnsi"/>
          <w:color w:val="000000"/>
        </w:rPr>
        <w:t>Aandelen met winstrecht en zonder stemrecht. (de winstrechtaandelen)</w:t>
      </w:r>
    </w:p>
    <w:p w:rsidR="00940C49" w:rsidRDefault="00940C49" w:rsidP="00B013D2">
      <w:pPr>
        <w:pStyle w:val="ListParagraph"/>
        <w:jc w:val="both"/>
        <w:rPr>
          <w:rFonts w:asciiTheme="minorHAnsi" w:hAnsiTheme="minorHAnsi" w:cstheme="minorHAnsi"/>
          <w:color w:val="000000"/>
        </w:rPr>
      </w:pPr>
    </w:p>
    <w:p w:rsidR="00940C49" w:rsidRDefault="00940C49" w:rsidP="00B013D2">
      <w:pPr>
        <w:jc w:val="both"/>
        <w:rPr>
          <w:rFonts w:asciiTheme="minorHAnsi" w:hAnsiTheme="minorHAnsi" w:cstheme="minorHAnsi"/>
          <w:color w:val="000000"/>
        </w:rPr>
      </w:pPr>
      <w:r>
        <w:rPr>
          <w:rFonts w:asciiTheme="minorHAnsi" w:hAnsiTheme="minorHAnsi" w:cstheme="minorHAnsi"/>
          <w:color w:val="000000"/>
        </w:rPr>
        <w:lastRenderedPageBreak/>
        <w:t>Omdat er volgens de statuten opties zijn geboden om zowel een afwijkend stemrecht als een beperkt winstrecht te verwerven, ontstaan naast de al reeds bestaande preferente aandelen en prioriteitsaandelen veel nieuwe mogelijkheden tot uitgifte van aandelen en een enorme diversiteit binnen de vorming van aandelen.</w:t>
      </w:r>
      <w:r>
        <w:rPr>
          <w:rStyle w:val="FootnoteReference"/>
          <w:rFonts w:asciiTheme="minorHAnsi" w:hAnsiTheme="minorHAnsi"/>
          <w:color w:val="000000"/>
        </w:rPr>
        <w:footnoteReference w:id="45"/>
      </w:r>
      <w:r>
        <w:rPr>
          <w:rFonts w:asciiTheme="minorHAnsi" w:hAnsiTheme="minorHAnsi" w:cstheme="minorHAnsi"/>
          <w:color w:val="000000"/>
        </w:rPr>
        <w:t xml:space="preserve"> Op grond van artikel 2:190 BW is een aandeel zonder stemrecht en eveneens zonder enig winstrecht niet mogelijk. Hieruit kan voortkomen dat aandelen uitgegeven kunnen worden die resulteren in een verwatering van het belang van andere aandeelhouders in het nominale aandelenkapitaal zonder dat dit enige invloed zal hebben op de stemverhouding noch zal het een materiële invloed hebben op de winstverhouding.</w:t>
      </w:r>
      <w:r>
        <w:rPr>
          <w:rStyle w:val="FootnoteReference"/>
          <w:rFonts w:asciiTheme="minorHAnsi" w:hAnsiTheme="minorHAnsi"/>
          <w:color w:val="000000"/>
        </w:rPr>
        <w:footnoteReference w:id="46"/>
      </w:r>
      <w:r>
        <w:rPr>
          <w:rFonts w:asciiTheme="minorHAnsi" w:hAnsiTheme="minorHAnsi" w:cstheme="minorHAnsi"/>
          <w:color w:val="000000"/>
        </w:rPr>
        <w:t xml:space="preserve"> Deze nihilaandelen hebben geen stemrecht en een zeer beperkt winstrecht. Dienovereenkomstig is het mogelijk om turboaandelen uit te geven, deze bezitten gelijkerwijs geen stemrecht, maar hebben wel een disproportioneel groot winstrecht. Thans bestaat een soortgelijke keuzemogelijkheid in de bestaande praktijk al, echter wordt dit louter verruimd door de flexibilisering van het bv-recht.</w:t>
      </w:r>
    </w:p>
    <w:p w:rsidR="00940C49" w:rsidRDefault="00940C49" w:rsidP="00B013D2">
      <w:pPr>
        <w:jc w:val="both"/>
        <w:rPr>
          <w:rFonts w:asciiTheme="minorHAnsi" w:eastAsia="Arial Unicode MS" w:hAnsiTheme="minorHAnsi" w:cstheme="minorHAnsi"/>
        </w:rPr>
      </w:pPr>
      <w:r>
        <w:rPr>
          <w:rFonts w:asciiTheme="minorHAnsi" w:hAnsiTheme="minorHAnsi" w:cstheme="minorHAnsi"/>
          <w:color w:val="000000"/>
        </w:rPr>
        <w:tab/>
        <w:t>In de memorie van toelichting van het wetsvoorstel is een mogelijkheid besproken tot uitgifte van aandelen zonder stemrecht, deze dienen een economisch doel.</w:t>
      </w:r>
      <w:r>
        <w:rPr>
          <w:rStyle w:val="FootnoteReference"/>
          <w:rFonts w:asciiTheme="minorHAnsi" w:hAnsiTheme="minorHAnsi"/>
          <w:color w:val="000000"/>
        </w:rPr>
        <w:footnoteReference w:id="47"/>
      </w:r>
      <w:r>
        <w:rPr>
          <w:rFonts w:asciiTheme="minorHAnsi" w:hAnsiTheme="minorHAnsi" w:cstheme="minorHAnsi"/>
          <w:color w:val="000000"/>
        </w:rPr>
        <w:t xml:space="preserve"> Tevens wordt hierin aangehaald dat er een behoefte is aan stemrechtloze aandelen bij toekenning van aandelen in verband met onder andere werknemersparticipaties. Zo wordt zeggenschap in de vorm van stemrecht uitgesloten, maar deelt men wel mee in de winst en is verder in het bezit van de overige aandeelhoudersrechten. Het commentaar tijdens de consultatierondes heeft de wetgever doen erkennen dat winstrechtaandelen wel degelijk als wenselijk wordt ervaren in de praktijk. Dit ongeacht het feit dat thans met betrekking tot de splitsing tussen het economisch belang en </w:t>
      </w:r>
      <w:r w:rsidR="00B96B3B">
        <w:rPr>
          <w:rFonts w:asciiTheme="minorHAnsi" w:hAnsiTheme="minorHAnsi" w:cstheme="minorHAnsi"/>
          <w:color w:val="000000"/>
        </w:rPr>
        <w:t xml:space="preserve">de </w:t>
      </w:r>
      <w:r>
        <w:rPr>
          <w:rFonts w:asciiTheme="minorHAnsi" w:hAnsiTheme="minorHAnsi" w:cstheme="minorHAnsi"/>
          <w:color w:val="000000"/>
        </w:rPr>
        <w:t>juridisch</w:t>
      </w:r>
      <w:r w:rsidR="00B96B3B">
        <w:rPr>
          <w:rFonts w:asciiTheme="minorHAnsi" w:hAnsiTheme="minorHAnsi" w:cstheme="minorHAnsi"/>
          <w:color w:val="000000"/>
        </w:rPr>
        <w:t>e</w:t>
      </w:r>
      <w:r>
        <w:rPr>
          <w:rFonts w:asciiTheme="minorHAnsi" w:hAnsiTheme="minorHAnsi" w:cstheme="minorHAnsi"/>
          <w:color w:val="000000"/>
        </w:rPr>
        <w:t xml:space="preserve"> eigendom al instrumenten bestaan zoals statutaire winstrechten, certificering van aandelen of middels obligatoire afspraken. De keuze wordt gerechtvaardigd vanwege het feit dat bij certificering van de aandelen niet bereikt wordt dat op de aandelen geen stemrecht uitgeoefend kan worden.</w:t>
      </w:r>
      <w:r>
        <w:rPr>
          <w:rStyle w:val="FootnoteReference"/>
          <w:rFonts w:asciiTheme="minorHAnsi" w:hAnsiTheme="minorHAnsi"/>
          <w:color w:val="000000"/>
        </w:rPr>
        <w:footnoteReference w:id="48"/>
      </w:r>
      <w:r>
        <w:rPr>
          <w:rFonts w:asciiTheme="minorHAnsi" w:hAnsiTheme="minorHAnsi" w:cstheme="minorHAnsi"/>
          <w:color w:val="000000"/>
        </w:rPr>
        <w:t xml:space="preserve"> Bij de statutaire winstrechten wordt als één van de redenen </w:t>
      </w:r>
      <w:r w:rsidRPr="000D6D75">
        <w:rPr>
          <w:rFonts w:asciiTheme="minorHAnsi" w:hAnsiTheme="minorHAnsi" w:cstheme="minorHAnsi"/>
        </w:rPr>
        <w:t xml:space="preserve">genoemd dat de </w:t>
      </w:r>
      <w:r w:rsidRPr="000D6D75">
        <w:rPr>
          <w:rFonts w:asciiTheme="minorHAnsi" w:eastAsia="Arial Unicode MS" w:hAnsiTheme="minorHAnsi" w:cstheme="minorHAnsi"/>
        </w:rPr>
        <w:t>civieljuridische status van statutaire winstrechten niet geheel duidelijk is</w:t>
      </w:r>
      <w:r>
        <w:rPr>
          <w:rFonts w:asciiTheme="minorHAnsi" w:eastAsia="Arial Unicode MS" w:hAnsiTheme="minorHAnsi" w:cstheme="minorHAnsi"/>
        </w:rPr>
        <w:t xml:space="preserve"> met betrekking tot het stemrecht. Met de figuur van winstrechtaandelen komt er immers meer keuze en derhalve meer flexibiliteit.  </w:t>
      </w:r>
    </w:p>
    <w:p w:rsidR="00940C49" w:rsidRDefault="00940C49" w:rsidP="00B013D2">
      <w:pPr>
        <w:jc w:val="both"/>
        <w:rPr>
          <w:rFonts w:asciiTheme="minorHAnsi" w:eastAsia="Arial Unicode MS" w:hAnsiTheme="minorHAnsi" w:cstheme="minorHAnsi"/>
        </w:rPr>
      </w:pPr>
      <w:r>
        <w:rPr>
          <w:rFonts w:asciiTheme="minorHAnsi" w:eastAsia="Arial Unicode MS" w:hAnsiTheme="minorHAnsi" w:cstheme="minorHAnsi"/>
        </w:rPr>
        <w:tab/>
        <w:t xml:space="preserve">Thans is het zo dat geen enkele aandeelhouder uitgesloten kan worden van de winst. In het wetsvoorstel is ervoor gekozen dit te wijzigen. Het wordt mogelijk in de statuten te bepalen dat aandelen van een bijzondere soort of aanduiding geen of slechts beperkt recht op winst of reserves geven in de besloten vennootschap, zodoende ontstaat derhalve de mogelijkheid stemrechtaandelen </w:t>
      </w:r>
      <w:r>
        <w:rPr>
          <w:rFonts w:asciiTheme="minorHAnsi" w:eastAsia="Arial Unicode MS" w:hAnsiTheme="minorHAnsi" w:cstheme="minorHAnsi"/>
        </w:rPr>
        <w:lastRenderedPageBreak/>
        <w:t>te creëren.</w:t>
      </w:r>
      <w:r>
        <w:rPr>
          <w:rStyle w:val="FootnoteReference"/>
          <w:rFonts w:asciiTheme="minorHAnsi" w:eastAsia="Arial Unicode MS" w:hAnsiTheme="minorHAnsi"/>
        </w:rPr>
        <w:footnoteReference w:id="49"/>
      </w:r>
      <w:r>
        <w:rPr>
          <w:rFonts w:asciiTheme="minorHAnsi" w:eastAsia="Arial Unicode MS" w:hAnsiTheme="minorHAnsi" w:cstheme="minorHAnsi"/>
        </w:rPr>
        <w:t xml:space="preserve"> Een stemrechtaandeel wordt aantrekkelijk wanneer binnen een </w:t>
      </w:r>
      <w:proofErr w:type="spellStart"/>
      <w:r>
        <w:rPr>
          <w:rFonts w:asciiTheme="minorHAnsi" w:eastAsia="Arial Unicode MS" w:hAnsiTheme="minorHAnsi" w:cstheme="minorHAnsi"/>
        </w:rPr>
        <w:t>familie-bv</w:t>
      </w:r>
      <w:proofErr w:type="spellEnd"/>
      <w:r>
        <w:rPr>
          <w:rFonts w:asciiTheme="minorHAnsi" w:eastAsia="Arial Unicode MS" w:hAnsiTheme="minorHAnsi" w:cstheme="minorHAnsi"/>
        </w:rPr>
        <w:t xml:space="preserve"> de vader graag alle zeggenschap wilt behouden, doch de winst gehee</w:t>
      </w:r>
      <w:r w:rsidRPr="001748C5">
        <w:rPr>
          <w:rFonts w:asciiTheme="minorHAnsi" w:eastAsia="Arial Unicode MS" w:hAnsiTheme="minorHAnsi" w:cstheme="minorHAnsi"/>
        </w:rPr>
        <w:t>l aan de kinderen wilt uitkeren.</w:t>
      </w:r>
      <w:r>
        <w:rPr>
          <w:rStyle w:val="FootnoteReference"/>
          <w:rFonts w:asciiTheme="minorHAnsi" w:eastAsia="Arial Unicode MS" w:hAnsiTheme="minorHAnsi"/>
        </w:rPr>
        <w:footnoteReference w:id="50"/>
      </w:r>
      <w:r>
        <w:rPr>
          <w:rFonts w:asciiTheme="minorHAnsi" w:eastAsia="Arial Unicode MS" w:hAnsiTheme="minorHAnsi" w:cstheme="minorHAnsi"/>
        </w:rPr>
        <w:t xml:space="preserve"> </w:t>
      </w:r>
      <w:r>
        <w:rPr>
          <w:rFonts w:asciiTheme="minorHAnsi" w:hAnsiTheme="minorHAnsi" w:cstheme="minorHAnsi"/>
          <w:color w:val="000000"/>
        </w:rPr>
        <w:t>Het winstrecht is net als het stemrecht een fundamenteel aspect van het aandeelhouderschap. H</w:t>
      </w:r>
      <w:r w:rsidRPr="001748C5">
        <w:rPr>
          <w:rFonts w:asciiTheme="minorHAnsi" w:eastAsia="Arial Unicode MS" w:hAnsiTheme="minorHAnsi" w:cstheme="minorHAnsi"/>
        </w:rPr>
        <w:t xml:space="preserve">ier is in belang van de minderheidsaandeelhouder besloten door de wetgever dat voor het besluit van </w:t>
      </w:r>
      <w:r w:rsidRPr="001748C5">
        <w:rPr>
          <w:rFonts w:asciiTheme="minorHAnsi" w:hAnsiTheme="minorHAnsi" w:cstheme="minorHAnsi"/>
          <w:color w:val="000000"/>
        </w:rPr>
        <w:t>wijziging van de statuten waarbij een stemrechtbeperking of uitsluiting wordt geïntroduceerd een vereiste van verzwaarde meerderheid</w:t>
      </w:r>
      <w:r>
        <w:rPr>
          <w:rFonts w:asciiTheme="minorHAnsi" w:hAnsiTheme="minorHAnsi" w:cstheme="minorHAnsi"/>
          <w:color w:val="000000"/>
        </w:rPr>
        <w:t xml:space="preserve"> benodigd is. Dientengevolge is de instemming van alle aandeelhouders aan wiens rechten afbreuk wordt gedaan, inclusief  de aandeelhouders zonder stemrecht nodig om een besluit van kracht te doen maken.</w:t>
      </w:r>
      <w:r>
        <w:rPr>
          <w:rStyle w:val="FootnoteReference"/>
          <w:rFonts w:asciiTheme="minorHAnsi" w:hAnsiTheme="minorHAnsi"/>
          <w:color w:val="000000"/>
        </w:rPr>
        <w:footnoteReference w:id="51"/>
      </w:r>
      <w:r>
        <w:rPr>
          <w:rFonts w:asciiTheme="minorHAnsi" w:hAnsiTheme="minorHAnsi" w:cstheme="minorHAnsi"/>
          <w:color w:val="000000"/>
        </w:rPr>
        <w:t xml:space="preserve"> </w:t>
      </w:r>
      <w:r w:rsidRPr="00A23C51">
        <w:rPr>
          <w:rFonts w:asciiTheme="minorHAnsi" w:eastAsia="Arial Unicode MS" w:hAnsiTheme="minorHAnsi" w:cstheme="minorHAnsi"/>
        </w:rPr>
        <w:t xml:space="preserve">Ook bij de invoering van de </w:t>
      </w:r>
      <w:r w:rsidR="00B96B3B">
        <w:rPr>
          <w:rFonts w:asciiTheme="minorHAnsi" w:eastAsia="Arial Unicode MS" w:hAnsiTheme="minorHAnsi" w:cstheme="minorHAnsi"/>
        </w:rPr>
        <w:t>stemrecht</w:t>
      </w:r>
      <w:r w:rsidRPr="00A23C51">
        <w:rPr>
          <w:rFonts w:asciiTheme="minorHAnsi" w:eastAsia="Arial Unicode MS" w:hAnsiTheme="minorHAnsi" w:cstheme="minorHAnsi"/>
        </w:rPr>
        <w:t>aandelen was e</w:t>
      </w:r>
      <w:r>
        <w:rPr>
          <w:rFonts w:asciiTheme="minorHAnsi" w:eastAsia="Arial Unicode MS" w:hAnsiTheme="minorHAnsi" w:cstheme="minorHAnsi"/>
        </w:rPr>
        <w:t>r d</w:t>
      </w:r>
      <w:r w:rsidRPr="00A23C51">
        <w:rPr>
          <w:rFonts w:asciiTheme="minorHAnsi" w:eastAsia="Arial Unicode MS" w:hAnsiTheme="minorHAnsi" w:cstheme="minorHAnsi"/>
        </w:rPr>
        <w:t>e belangrijke reden dat in de praktijk gewenst was de economisch eigendom te scheiden van de juridisch eigendom.</w:t>
      </w:r>
      <w:r>
        <w:rPr>
          <w:rStyle w:val="FootnoteReference"/>
          <w:rFonts w:asciiTheme="minorHAnsi" w:hAnsiTheme="minorHAnsi"/>
          <w:color w:val="000000"/>
        </w:rPr>
        <w:footnoteReference w:id="52"/>
      </w:r>
      <w:r>
        <w:rPr>
          <w:rFonts w:asciiTheme="minorHAnsi" w:eastAsia="Arial Unicode MS" w:hAnsiTheme="minorHAnsi" w:cstheme="minorHAnsi"/>
        </w:rPr>
        <w:t xml:space="preserve"> Wat niet mogelijk zal zijn is een aandeel uitgeven welke zowel stemrechtloos als </w:t>
      </w:r>
      <w:proofErr w:type="spellStart"/>
      <w:r>
        <w:rPr>
          <w:rFonts w:asciiTheme="minorHAnsi" w:eastAsia="Arial Unicode MS" w:hAnsiTheme="minorHAnsi" w:cstheme="minorHAnsi"/>
        </w:rPr>
        <w:t>winstrechtloos</w:t>
      </w:r>
      <w:proofErr w:type="spellEnd"/>
      <w:r>
        <w:rPr>
          <w:rFonts w:asciiTheme="minorHAnsi" w:eastAsia="Arial Unicode MS" w:hAnsiTheme="minorHAnsi" w:cstheme="minorHAnsi"/>
        </w:rPr>
        <w:t xml:space="preserve"> is. De wetgever heeft dit geregeld in het voorgestelde artikel</w:t>
      </w:r>
      <w:r w:rsidRPr="00D165F1">
        <w:rPr>
          <w:rFonts w:asciiTheme="minorHAnsi" w:eastAsia="Arial Unicode MS" w:hAnsiTheme="minorHAnsi" w:cstheme="minorHAnsi"/>
        </w:rPr>
        <w:t xml:space="preserve"> 2:190</w:t>
      </w:r>
      <w:r>
        <w:rPr>
          <w:rFonts w:asciiTheme="minorHAnsi" w:eastAsia="Arial Unicode MS" w:hAnsiTheme="minorHAnsi" w:cstheme="minorHAnsi"/>
        </w:rPr>
        <w:t xml:space="preserve"> BW om onduidelijkheden de wereld uit te helpen.</w:t>
      </w:r>
    </w:p>
    <w:p w:rsidR="00940C49" w:rsidRDefault="00940C49" w:rsidP="00B013D2">
      <w:pPr>
        <w:jc w:val="both"/>
        <w:rPr>
          <w:rFonts w:asciiTheme="minorHAnsi" w:eastAsia="Arial Unicode MS" w:hAnsiTheme="minorHAnsi" w:cstheme="minorHAnsi"/>
        </w:rPr>
      </w:pPr>
      <w:r>
        <w:rPr>
          <w:rFonts w:asciiTheme="minorHAnsi" w:eastAsia="Arial Unicode MS" w:hAnsiTheme="minorHAnsi" w:cstheme="minorHAnsi"/>
        </w:rPr>
        <w:t>De bovengenoemde regeling van het voorgestelde artikel</w:t>
      </w:r>
      <w:r w:rsidRPr="00D165F1">
        <w:rPr>
          <w:rFonts w:asciiTheme="minorHAnsi" w:eastAsia="Arial Unicode MS" w:hAnsiTheme="minorHAnsi" w:cstheme="minorHAnsi"/>
        </w:rPr>
        <w:t xml:space="preserve"> 2:190</w:t>
      </w:r>
      <w:r>
        <w:rPr>
          <w:rFonts w:asciiTheme="minorHAnsi" w:eastAsia="Arial Unicode MS" w:hAnsiTheme="minorHAnsi" w:cstheme="minorHAnsi"/>
        </w:rPr>
        <w:t xml:space="preserve"> BW waar, indien een aandeel geen winstrecht en tevens geen stemrecht bezit, niet als aandeel gekwalificeerd wordt sluit geen aandelen uit die geen winstrecht hebben doch een beperkte stemrecht.</w:t>
      </w:r>
      <w:r>
        <w:rPr>
          <w:rStyle w:val="FootnoteReference"/>
          <w:rFonts w:asciiTheme="minorHAnsi" w:eastAsia="Arial Unicode MS" w:hAnsiTheme="minorHAnsi"/>
        </w:rPr>
        <w:footnoteReference w:id="53"/>
      </w:r>
      <w:r>
        <w:rPr>
          <w:rFonts w:asciiTheme="minorHAnsi" w:eastAsia="Arial Unicode MS" w:hAnsiTheme="minorHAnsi" w:cstheme="minorHAnsi"/>
        </w:rPr>
        <w:t xml:space="preserve"> Deze flexibele houding om met het stemrecht te differentiëren kan zorgen voor een bekleding van aandelen waarbij maatwerk geleverd kan worden. </w:t>
      </w:r>
    </w:p>
    <w:p w:rsidR="00BA68AF" w:rsidRDefault="00BA68AF" w:rsidP="00786300"/>
    <w:p w:rsidR="00940C49" w:rsidRDefault="00605AAE" w:rsidP="00786300">
      <w:pPr>
        <w:rPr>
          <w:b/>
        </w:rPr>
      </w:pPr>
      <w:r>
        <w:rPr>
          <w:b/>
        </w:rPr>
        <w:t xml:space="preserve">2.4  </w:t>
      </w:r>
      <w:r w:rsidR="00940C49">
        <w:rPr>
          <w:b/>
        </w:rPr>
        <w:t>Conclusie</w:t>
      </w:r>
    </w:p>
    <w:p w:rsidR="003625C5" w:rsidRPr="009E212B" w:rsidRDefault="003625C5" w:rsidP="00B013D2">
      <w:pPr>
        <w:jc w:val="both"/>
        <w:rPr>
          <w:rFonts w:asciiTheme="minorHAnsi" w:hAnsiTheme="minorHAnsi" w:cstheme="minorHAnsi"/>
          <w:lang w:eastAsia="nl-NL"/>
        </w:rPr>
      </w:pPr>
      <w:r>
        <w:t>I</w:t>
      </w:r>
      <w:r w:rsidR="00605AAE">
        <w:t>n dit hoofdstuk</w:t>
      </w:r>
      <w:r>
        <w:t xml:space="preserve"> heb </w:t>
      </w:r>
      <w:r w:rsidR="00605AAE">
        <w:t xml:space="preserve">ik de </w:t>
      </w:r>
      <w:r>
        <w:t>historie en de aanloop naar het tot stand komen van het wetsvoorstel “flexibilisering van het bv-recht”</w:t>
      </w:r>
      <w:r w:rsidR="00B96B3B">
        <w:t xml:space="preserve"> </w:t>
      </w:r>
      <w:r>
        <w:t xml:space="preserve">besproken. </w:t>
      </w:r>
      <w:r>
        <w:rPr>
          <w:rFonts w:asciiTheme="minorHAnsi" w:hAnsiTheme="minorHAnsi" w:cstheme="minorHAnsi"/>
          <w:lang w:eastAsia="nl-NL"/>
        </w:rPr>
        <w:t xml:space="preserve">Daarin is naar voren gekomen hoe de flexibilisering van het bv-recht onderdeel was van een aantal heroverwegingen zoals die beraamd waren ter versterking van ons ondernemingsrecht. Dit om mee te kunnen dingen met andere landen die verder zijn in het proces van het flexibiliseren van hun vennootschappen. Het concept wetvoorstel bestond uit drie tranches waarin de ingrijpende wijzigingen zijn besproken, hieronder valt de afschaffing van het minimumkapitaal, de bestuurdersaansprakelijkheid en de invoering van stemrechtaandelen en winstrechtaandelen. Opvallend was hoe weinig aandacht besteed werd in het wetsvoorstel aan de fiscale aspecten, ik heb duidelijk laten zien dat deze wel degelijk de nodige aandacht verdienen. De Orde had de nodige kritiek met betrekking tot het begrip belang en het verbondenheidsbegrip. </w:t>
      </w:r>
      <w:r w:rsidR="00765855">
        <w:rPr>
          <w:rFonts w:asciiTheme="minorHAnsi" w:hAnsiTheme="minorHAnsi" w:cstheme="minorHAnsi"/>
          <w:lang w:eastAsia="nl-NL"/>
        </w:rPr>
        <w:t xml:space="preserve">Ook de stemrechtaandelen en winstrechtaandelen kunnen voor complexiteit zorgen in de fiscaliteit. Daar er nu nog een ruimere differentiatie mogelijk is met de soorten aandelen. De vraag is of de fiscale </w:t>
      </w:r>
      <w:r w:rsidR="00765855">
        <w:rPr>
          <w:rFonts w:asciiTheme="minorHAnsi" w:hAnsiTheme="minorHAnsi" w:cstheme="minorHAnsi"/>
          <w:lang w:eastAsia="nl-NL"/>
        </w:rPr>
        <w:lastRenderedPageBreak/>
        <w:t>verbondenheidsbepalingen bestand zullen zijn tegen constructies met aandelen met of zonder stemrecht en winstrecht.</w:t>
      </w:r>
    </w:p>
    <w:p w:rsidR="007D761B" w:rsidRDefault="009E212B" w:rsidP="009E212B">
      <w:pPr>
        <w:ind w:left="2124" w:firstLine="708"/>
        <w:rPr>
          <w:b/>
          <w:sz w:val="24"/>
          <w:szCs w:val="24"/>
        </w:rPr>
      </w:pPr>
      <w:r w:rsidRPr="009E212B">
        <w:rPr>
          <w:b/>
          <w:sz w:val="24"/>
          <w:szCs w:val="24"/>
        </w:rPr>
        <w:t xml:space="preserve">        </w:t>
      </w:r>
    </w:p>
    <w:p w:rsidR="007D761B" w:rsidRPr="004D6B3C" w:rsidRDefault="007D761B">
      <w:pPr>
        <w:spacing w:after="200" w:line="276" w:lineRule="auto"/>
        <w:rPr>
          <w:sz w:val="24"/>
          <w:szCs w:val="24"/>
        </w:rPr>
      </w:pPr>
      <w:r w:rsidRPr="004D6B3C">
        <w:rPr>
          <w:sz w:val="24"/>
          <w:szCs w:val="24"/>
        </w:rPr>
        <w:br w:type="page"/>
      </w:r>
    </w:p>
    <w:p w:rsidR="00940C49" w:rsidRPr="009E212B" w:rsidRDefault="00940C49" w:rsidP="001B505A">
      <w:pPr>
        <w:ind w:left="2832" w:firstLine="708"/>
        <w:rPr>
          <w:b/>
          <w:sz w:val="24"/>
          <w:szCs w:val="24"/>
        </w:rPr>
      </w:pPr>
      <w:r w:rsidRPr="009E212B">
        <w:rPr>
          <w:b/>
          <w:sz w:val="24"/>
          <w:szCs w:val="24"/>
        </w:rPr>
        <w:lastRenderedPageBreak/>
        <w:t>Hoofdstuk 3</w:t>
      </w:r>
    </w:p>
    <w:p w:rsidR="00FE6025" w:rsidRPr="009E212B" w:rsidRDefault="00FE6025" w:rsidP="00930C21">
      <w:pPr>
        <w:rPr>
          <w:b/>
          <w:sz w:val="24"/>
          <w:szCs w:val="24"/>
        </w:rPr>
      </w:pPr>
      <w:r w:rsidRPr="009E212B">
        <w:rPr>
          <w:b/>
          <w:sz w:val="24"/>
          <w:szCs w:val="24"/>
        </w:rPr>
        <w:tab/>
        <w:t xml:space="preserve">      Gevolgen Flexibele BV voor het begrip belang in de Wet VPB 1969</w:t>
      </w:r>
    </w:p>
    <w:p w:rsidR="00940C49" w:rsidRPr="009E212B" w:rsidRDefault="00FE6025" w:rsidP="00B013D2">
      <w:pPr>
        <w:jc w:val="both"/>
        <w:rPr>
          <w:b/>
        </w:rPr>
      </w:pPr>
      <w:r w:rsidRPr="009E212B">
        <w:rPr>
          <w:b/>
        </w:rPr>
        <w:t xml:space="preserve">3.1  </w:t>
      </w:r>
      <w:r w:rsidR="00940C49" w:rsidRPr="009E212B">
        <w:rPr>
          <w:b/>
        </w:rPr>
        <w:t>Inleiding</w:t>
      </w:r>
    </w:p>
    <w:p w:rsidR="00940C49" w:rsidRPr="0062241C" w:rsidRDefault="00940C49" w:rsidP="00B013D2">
      <w:pPr>
        <w:jc w:val="both"/>
        <w:rPr>
          <w:rFonts w:asciiTheme="minorHAnsi" w:hAnsiTheme="minorHAnsi" w:cstheme="minorHAnsi"/>
          <w:lang w:eastAsia="nl-NL"/>
        </w:rPr>
      </w:pPr>
      <w:r>
        <w:rPr>
          <w:rFonts w:asciiTheme="minorHAnsi" w:hAnsiTheme="minorHAnsi" w:cstheme="minorHAnsi"/>
          <w:lang w:eastAsia="nl-NL"/>
        </w:rPr>
        <w:tab/>
        <w:t xml:space="preserve">In dit hoofdstuk </w:t>
      </w:r>
      <w:r w:rsidR="006C4508">
        <w:rPr>
          <w:rFonts w:asciiTheme="minorHAnsi" w:hAnsiTheme="minorHAnsi" w:cstheme="minorHAnsi"/>
          <w:lang w:eastAsia="nl-NL"/>
        </w:rPr>
        <w:t xml:space="preserve">worden </w:t>
      </w:r>
      <w:r>
        <w:rPr>
          <w:rFonts w:asciiTheme="minorHAnsi" w:hAnsiTheme="minorHAnsi" w:cstheme="minorHAnsi"/>
          <w:lang w:eastAsia="nl-NL"/>
        </w:rPr>
        <w:t xml:space="preserve">de gevolgen van het flexibiliseren van het bv-recht voor het begrip belang centraal geplaatst. In wettelijke volgorde </w:t>
      </w:r>
      <w:r w:rsidR="006C4508">
        <w:rPr>
          <w:rFonts w:asciiTheme="minorHAnsi" w:hAnsiTheme="minorHAnsi" w:cstheme="minorHAnsi"/>
          <w:lang w:eastAsia="nl-NL"/>
        </w:rPr>
        <w:t xml:space="preserve">definieer </w:t>
      </w:r>
      <w:r>
        <w:rPr>
          <w:rFonts w:asciiTheme="minorHAnsi" w:hAnsiTheme="minorHAnsi" w:cstheme="minorHAnsi"/>
          <w:lang w:eastAsia="nl-NL"/>
        </w:rPr>
        <w:t xml:space="preserve">ik het begrip belang en de belangrijkste punten omtrent de discussie over het begrip belang en het verbondenheidsbegrip uit art. 10a aan bod brengen. Vervolgens worden de vooraanstaande bepalingen in de vennootschapsbelasting, de deelnemingsvrijstelling en de fiscale eenheid, behandeld. Vooral de </w:t>
      </w:r>
      <w:proofErr w:type="spellStart"/>
      <w:r w:rsidR="000654A0">
        <w:rPr>
          <w:rFonts w:asciiTheme="minorHAnsi" w:hAnsiTheme="minorHAnsi" w:cstheme="minorHAnsi"/>
          <w:lang w:eastAsia="nl-NL"/>
        </w:rPr>
        <w:t>winstrechtaandelen</w:t>
      </w:r>
      <w:proofErr w:type="spellEnd"/>
      <w:r w:rsidR="000654A0">
        <w:rPr>
          <w:rFonts w:asciiTheme="minorHAnsi" w:hAnsiTheme="minorHAnsi" w:cstheme="minorHAnsi"/>
          <w:lang w:eastAsia="nl-NL"/>
        </w:rPr>
        <w:t xml:space="preserve"> </w:t>
      </w:r>
      <w:r>
        <w:rPr>
          <w:rFonts w:asciiTheme="minorHAnsi" w:hAnsiTheme="minorHAnsi" w:cstheme="minorHAnsi"/>
          <w:lang w:eastAsia="nl-NL"/>
        </w:rPr>
        <w:t xml:space="preserve">en stemrechtaandelen zorgen voor veel discussie in de literatuur in verband met de gevolgen van deze bepalingen. </w:t>
      </w:r>
    </w:p>
    <w:p w:rsidR="00940C49" w:rsidRDefault="00940C49" w:rsidP="00B013D2">
      <w:pPr>
        <w:jc w:val="both"/>
      </w:pPr>
    </w:p>
    <w:p w:rsidR="00940C49" w:rsidRPr="009E212B" w:rsidRDefault="00FE6025" w:rsidP="00B013D2">
      <w:pPr>
        <w:jc w:val="both"/>
        <w:rPr>
          <w:b/>
        </w:rPr>
      </w:pPr>
      <w:r w:rsidRPr="009E212B">
        <w:rPr>
          <w:b/>
        </w:rPr>
        <w:t xml:space="preserve">3.2  </w:t>
      </w:r>
      <w:r w:rsidR="00940C49" w:rsidRPr="009E212B">
        <w:rPr>
          <w:b/>
        </w:rPr>
        <w:t xml:space="preserve">Definiëring </w:t>
      </w:r>
      <w:r w:rsidRPr="009E212B">
        <w:rPr>
          <w:b/>
        </w:rPr>
        <w:t xml:space="preserve">van het </w:t>
      </w:r>
      <w:r w:rsidR="00940C49" w:rsidRPr="009E212B">
        <w:rPr>
          <w:b/>
        </w:rPr>
        <w:t xml:space="preserve">begrip belang </w:t>
      </w:r>
    </w:p>
    <w:p w:rsidR="00940C49" w:rsidRDefault="00940C49" w:rsidP="00CE3792">
      <w:pPr>
        <w:ind w:firstLine="708"/>
        <w:jc w:val="both"/>
      </w:pPr>
      <w:r>
        <w:t xml:space="preserve">Sinds 1 juli </w:t>
      </w:r>
      <w:r w:rsidR="00FE6025">
        <w:t>2011</w:t>
      </w:r>
      <w:r>
        <w:t xml:space="preserve"> zijn er al enkele wijzigingen doorgevoerd die </w:t>
      </w:r>
      <w:r w:rsidR="006C4508">
        <w:t xml:space="preserve">het oprichten van </w:t>
      </w:r>
      <w:r>
        <w:t xml:space="preserve">een BV </w:t>
      </w:r>
      <w:r w:rsidR="00A902E2">
        <w:t xml:space="preserve">enigszins </w:t>
      </w:r>
      <w:r w:rsidR="006C4508">
        <w:t>vergemakkelijken.</w:t>
      </w:r>
      <w:r>
        <w:t xml:space="preserve"> Wanneer het wetsvoorstel aangenomen wordt zal het nog eenvoudiger worden om de BV meer naar eigen behoefte in te richten. Deze toegenomen vrijheid werpt vragen op aangaande het begrip belang. Vooralsnog heb ik mijn twijfels over de duidelijkheid en de reikwijdte van dit begrip. Om te oordelen over het aanwezige belang dient vaak naast het aandeel in het gestorte kapitaal ook gekeken te worden naar de zeggenschap, de winstgerechtigheid en het recht op het liquidatiesaldo van aandelen. In de Wet VPB 1969 word</w:t>
      </w:r>
      <w:r w:rsidR="007D761B">
        <w:t>t</w:t>
      </w:r>
      <w:r>
        <w:t xml:space="preserve"> in </w:t>
      </w:r>
      <w:r w:rsidR="000654A0">
        <w:t xml:space="preserve">art. </w:t>
      </w:r>
      <w:r>
        <w:t>10a aandacht besteed aan de verbonden lichamen. Met het concernbegrip in de vennootschapsbelasting is er een belangrijke rol weggelegd voor het begrip belang. Thans is het zo dat sprake is van verbondenheid krachtens het vierde lid van art. 10a indien:</w:t>
      </w:r>
    </w:p>
    <w:p w:rsidR="00940C49" w:rsidRPr="00CE3792" w:rsidRDefault="00940C49" w:rsidP="00CE3792">
      <w:pPr>
        <w:pStyle w:val="ListParagraph"/>
        <w:numPr>
          <w:ilvl w:val="0"/>
          <w:numId w:val="1"/>
        </w:numPr>
        <w:jc w:val="both"/>
        <w:rPr>
          <w:rFonts w:asciiTheme="minorHAnsi" w:hAnsiTheme="minorHAnsi" w:cstheme="minorHAnsi"/>
        </w:rPr>
      </w:pPr>
      <w:r>
        <w:t>Een belastingplichtige ee</w:t>
      </w:r>
      <w:r w:rsidRPr="00CE3792">
        <w:rPr>
          <w:rFonts w:asciiTheme="minorHAnsi" w:hAnsiTheme="minorHAnsi" w:cstheme="minorHAnsi"/>
        </w:rPr>
        <w:t>n belang heeft in een lichaam voor ten minste een derde gedeelte; of</w:t>
      </w:r>
    </w:p>
    <w:p w:rsidR="00940C49" w:rsidRPr="00CE3792" w:rsidRDefault="00940C49" w:rsidP="00CE3792">
      <w:pPr>
        <w:pStyle w:val="ListParagraph"/>
        <w:numPr>
          <w:ilvl w:val="0"/>
          <w:numId w:val="1"/>
        </w:numPr>
        <w:jc w:val="both"/>
        <w:rPr>
          <w:rFonts w:asciiTheme="minorHAnsi" w:hAnsiTheme="minorHAnsi" w:cstheme="minorHAnsi"/>
        </w:rPr>
      </w:pPr>
      <w:r w:rsidRPr="00CE3792">
        <w:rPr>
          <w:rFonts w:asciiTheme="minorHAnsi" w:hAnsiTheme="minorHAnsi" w:cstheme="minorHAnsi"/>
        </w:rPr>
        <w:t>een lichaam voor ten minste een derde gedeelte </w:t>
      </w:r>
      <w:bookmarkStart w:id="1" w:name="cchit29"/>
      <w:bookmarkEnd w:id="1"/>
      <w:r w:rsidRPr="00CE3792">
        <w:rPr>
          <w:rFonts w:asciiTheme="minorHAnsi" w:hAnsiTheme="minorHAnsi" w:cstheme="minorHAnsi"/>
          <w:bCs/>
        </w:rPr>
        <w:t>belang</w:t>
      </w:r>
      <w:r w:rsidRPr="00CE3792">
        <w:rPr>
          <w:rFonts w:asciiTheme="minorHAnsi" w:hAnsiTheme="minorHAnsi" w:cstheme="minorHAnsi"/>
        </w:rPr>
        <w:t> heeft in de belastingplichtige; of</w:t>
      </w:r>
    </w:p>
    <w:p w:rsidR="00940C49" w:rsidRPr="00CE3792" w:rsidRDefault="00940C49" w:rsidP="00CE3792">
      <w:pPr>
        <w:pStyle w:val="ListParagraph"/>
        <w:numPr>
          <w:ilvl w:val="0"/>
          <w:numId w:val="1"/>
        </w:numPr>
        <w:jc w:val="both"/>
        <w:rPr>
          <w:rFonts w:asciiTheme="minorHAnsi" w:hAnsiTheme="minorHAnsi" w:cstheme="minorHAnsi"/>
        </w:rPr>
      </w:pPr>
      <w:r w:rsidRPr="00CE3792">
        <w:rPr>
          <w:rFonts w:asciiTheme="minorHAnsi" w:eastAsia="Arial Unicode MS" w:hAnsiTheme="minorHAnsi" w:cstheme="minorHAnsi"/>
        </w:rPr>
        <w:t xml:space="preserve">een lichaam waarin een derde voor ten minste een derde gedeelte belang heeft, terwijl deze derde tevens voor ten minste een derde gedeelte belang heeft in de belastingplichtige, waarbij </w:t>
      </w:r>
      <w:r w:rsidRPr="00CE3792">
        <w:rPr>
          <w:rFonts w:asciiTheme="minorHAnsi" w:hAnsiTheme="minorHAnsi" w:cstheme="minorHAnsi"/>
          <w:color w:val="000000"/>
        </w:rPr>
        <w:t>een belang dat wordt gehouden door de partner of een minderjarig kind van een natuurlijk persoon aan die persoon wordt toegerekend, waarbij onder een kind mede wordt verstaan een kind van een partner alsmede een pleegkind;</w:t>
      </w:r>
    </w:p>
    <w:p w:rsidR="00940C49" w:rsidRPr="00FA6A69" w:rsidRDefault="00940C49" w:rsidP="00CE3792">
      <w:pPr>
        <w:pStyle w:val="ListParagraph"/>
        <w:numPr>
          <w:ilvl w:val="0"/>
          <w:numId w:val="1"/>
        </w:numPr>
        <w:jc w:val="both"/>
      </w:pPr>
      <w:r w:rsidRPr="00FA6A69">
        <w:t>een lichaam dat met de belastingplichtige deel uitmaakt van een fiscale eenheid als bedoeld in art. 15 en 15a, tenzij het de toepassing betreft van art. 10d.</w:t>
      </w:r>
    </w:p>
    <w:p w:rsidR="00940C49" w:rsidRDefault="00940C49" w:rsidP="00B013D2">
      <w:pPr>
        <w:jc w:val="both"/>
      </w:pPr>
      <w:r>
        <w:lastRenderedPageBreak/>
        <w:t>Er is dus sprake van een verbonden lichaam als een belang aanwezig is van een derde gedeelte, dit is een kwantitatieve vereiste. Volgens de letter van de wet kan slechts afgeleid worden dat met belang bedoeld wordt dat er een relatie is tussen een belastingplichtige en een derde.</w:t>
      </w:r>
    </w:p>
    <w:p w:rsidR="00940C49" w:rsidRDefault="00940C49" w:rsidP="00B013D2">
      <w:pPr>
        <w:jc w:val="both"/>
      </w:pPr>
      <w:r>
        <w:t xml:space="preserve">In het vijfde lid van </w:t>
      </w:r>
      <w:r w:rsidR="000654A0">
        <w:t xml:space="preserve">art. </w:t>
      </w:r>
      <w:r>
        <w:t xml:space="preserve">10a wordt de verbonden natuurlijk persoon gedefinieerd en lid 6 heeft betrekking op de fiscale eenheid. Het criterium is gelegd bij een </w:t>
      </w:r>
      <w:proofErr w:type="spellStart"/>
      <w:r>
        <w:t>een</w:t>
      </w:r>
      <w:proofErr w:type="spellEnd"/>
      <w:r>
        <w:t xml:space="preserve"> derde belang. Opvallend is dat het begrip belang geen definitie kent in de wettekst. Ook de doctrine ziet onduidelijkheid in het feit hoe het begrip belang uitgelegd dient te worden, hetzij in formele dan wel in materiële zin, aanstonds zal dit worden geïllustreerd.</w:t>
      </w:r>
    </w:p>
    <w:p w:rsidR="00940C49" w:rsidRDefault="00940C49" w:rsidP="00B67FAB">
      <w:pPr>
        <w:jc w:val="both"/>
      </w:pPr>
      <w:r>
        <w:t>Indien uitsluitend uitgegaan moet worden van een financieel belang, welke bepaald wordt door het aandeel in het gestort</w:t>
      </w:r>
      <w:r w:rsidR="00A902E2">
        <w:t>e</w:t>
      </w:r>
      <w:r>
        <w:t xml:space="preserve"> kapitaal, dan is het formele criterium doorslaggevend. Spelen andersoortige rechten ook een rol, zoals de zeggenschap en schuldeisersbelangen, dan is sprake van een materieel criterium. Een materiële uitleg zou voor de hand liggen omdat in het civiele recht de centrale leiding een belangrijk vermogensbestanddeel vormt voor het concernbegrip.</w:t>
      </w:r>
      <w:r>
        <w:rPr>
          <w:rStyle w:val="FootnoteReference"/>
          <w:rFonts w:asciiTheme="minorHAnsi" w:hAnsiTheme="minorHAnsi"/>
        </w:rPr>
        <w:footnoteReference w:id="54"/>
      </w:r>
    </w:p>
    <w:p w:rsidR="00940C49" w:rsidRDefault="00940C49" w:rsidP="00B67FAB">
      <w:pPr>
        <w:ind w:firstLine="708"/>
        <w:jc w:val="both"/>
      </w:pPr>
      <w:r w:rsidRPr="00FC3CDA">
        <w:t>In de wetshistorie</w:t>
      </w:r>
      <w:r>
        <w:t xml:space="preserve"> wordt in beginsel aangesloten bij het aandeel in het ‘gestorte kapitaal’ waarmee het financiële belang wordt</w:t>
      </w:r>
      <w:r w:rsidRPr="00985673">
        <w:t xml:space="preserve"> </w:t>
      </w:r>
      <w:r>
        <w:t>bedoeld. Hierbij is het onderscheid tussen gestorte of geplaatste kapitaal en daarmee de zeggenschap en winstgerechtigheid niet van betekenis.</w:t>
      </w:r>
      <w:r>
        <w:rPr>
          <w:rStyle w:val="FootnoteReference"/>
          <w:rFonts w:asciiTheme="minorHAnsi" w:hAnsiTheme="minorHAnsi"/>
        </w:rPr>
        <w:footnoteReference w:id="55"/>
      </w:r>
      <w:r>
        <w:t xml:space="preserve"> Hieruit volgt dat preferente aandelen ook meegenomen worden in het bepalen of er sprake is van een verbonden lichaam. </w:t>
      </w:r>
      <w:proofErr w:type="spellStart"/>
      <w:r>
        <w:t>Sals</w:t>
      </w:r>
      <w:proofErr w:type="spellEnd"/>
      <w:r>
        <w:t xml:space="preserve"> pleit voor de materiële benadering.</w:t>
      </w:r>
      <w:r>
        <w:rPr>
          <w:rStyle w:val="FootnoteReference"/>
          <w:rFonts w:asciiTheme="minorHAnsi" w:hAnsiTheme="minorHAnsi"/>
        </w:rPr>
        <w:footnoteReference w:id="56"/>
      </w:r>
      <w:r>
        <w:t xml:space="preserve"> Indien voor de bepaling van het belang het geplaatste kapitaal als basis wordt genomen, zullen naar mening van de auteur belastingplichtigen als gevolg daarvan minder snel als verbonden worden aangemerkt en zullen veel fiscale bepalingen omtrent het verbondenheidsbegrip hun toepassing missen. Volgens de wetgever is het formeel kapitaal niet een noodzaak voor het doen ontstaan van verbondenheid, aangezien in de parlementaire geschiedenis wordt opgemerkt dat hybride leningen ook meetellen.</w:t>
      </w:r>
      <w:r>
        <w:rPr>
          <w:rStyle w:val="FootnoteReference"/>
          <w:rFonts w:asciiTheme="minorHAnsi" w:hAnsiTheme="minorHAnsi"/>
        </w:rPr>
        <w:footnoteReference w:id="57"/>
      </w:r>
      <w:r>
        <w:t xml:space="preserve"> Dit duidt op een materieel criterium, vooral gezien het feit dat de hiervoor genoemde leningen betrekking hebben op de daadwerkelijke gerechtigheid tot de winst. Verder is ook in de toelichting op </w:t>
      </w:r>
      <w:r w:rsidR="000654A0">
        <w:t xml:space="preserve">art. </w:t>
      </w:r>
      <w:r>
        <w:t>20a</w:t>
      </w:r>
      <w:r w:rsidR="00370EAF">
        <w:t xml:space="preserve"> Wet VPB 1969</w:t>
      </w:r>
      <w:r>
        <w:t xml:space="preserve"> benadrukt dat het begrip ‘uiteindelijk belang’ materieel dient te worden getoetst. In de wetsgeschiedenis is meerdere malen aandacht besteed aan het begrip belang,</w:t>
      </w:r>
      <w:r>
        <w:rPr>
          <w:rStyle w:val="FootnoteReference"/>
          <w:rFonts w:asciiTheme="minorHAnsi" w:hAnsiTheme="minorHAnsi"/>
        </w:rPr>
        <w:footnoteReference w:id="58"/>
      </w:r>
      <w:r>
        <w:t xml:space="preserve"> in de parlementaire toelichting van de invoeringswet vereenvoudiging en flexibilisering bv-recht is bepaald dat niet alleen vennootschappen met een in aandelen verdeeld kapitaal onder de regeling vallen, maar ook </w:t>
      </w:r>
      <w:r>
        <w:lastRenderedPageBreak/>
        <w:t>vennootschappen die geen in aandelen verdeeld kapitaal bezitten. Hieruit valt te herleiden dat dus ook het geplaatste kapitaal en dus de zeggenschap relevant is voor het belang. Dit brengt met zich dat de interpretatie en reikwijdte van het begrip belang in ieder geval als volgt kan worden weergegeven</w:t>
      </w:r>
      <w:r>
        <w:rPr>
          <w:rStyle w:val="FootnoteReference"/>
          <w:rFonts w:asciiTheme="minorHAnsi" w:hAnsiTheme="minorHAnsi"/>
        </w:rPr>
        <w:footnoteReference w:id="59"/>
      </w:r>
      <w:r>
        <w:t xml:space="preserve">: </w:t>
      </w:r>
    </w:p>
    <w:p w:rsidR="00940C49" w:rsidRDefault="00940C49" w:rsidP="00CC367F">
      <w:pPr>
        <w:pStyle w:val="ListParagraph"/>
        <w:numPr>
          <w:ilvl w:val="0"/>
          <w:numId w:val="1"/>
        </w:numPr>
        <w:jc w:val="both"/>
      </w:pPr>
      <w:r>
        <w:t>Het begrip “belang” omvat mede vennootschappen die geen in aandelen verdeeld kapitaal hebben;</w:t>
      </w:r>
    </w:p>
    <w:p w:rsidR="00940C49" w:rsidRDefault="00940C49" w:rsidP="00CC367F">
      <w:pPr>
        <w:pStyle w:val="ListParagraph"/>
        <w:numPr>
          <w:ilvl w:val="0"/>
          <w:numId w:val="1"/>
        </w:numPr>
        <w:jc w:val="both"/>
      </w:pPr>
      <w:r>
        <w:t>Het begrip “belang” omvat zowel directe als indirecte relaties;</w:t>
      </w:r>
    </w:p>
    <w:p w:rsidR="00940C49" w:rsidRPr="00426FF6" w:rsidRDefault="00940C49" w:rsidP="00CC367F">
      <w:pPr>
        <w:pStyle w:val="ListParagraph"/>
        <w:numPr>
          <w:ilvl w:val="0"/>
          <w:numId w:val="1"/>
        </w:numPr>
        <w:jc w:val="both"/>
      </w:pPr>
      <w:r>
        <w:t>Bij lichamen met een in aandelen verdeeld kapitaal is niet uitsluitend het aandeel in het gestorte kapitaal beslissend, maar is ook de gerechtigheid in het geplaatste kapitaal van belang.</w:t>
      </w:r>
    </w:p>
    <w:p w:rsidR="00940C49" w:rsidRDefault="00940C49" w:rsidP="00B013D2">
      <w:pPr>
        <w:jc w:val="both"/>
      </w:pPr>
      <w:r>
        <w:t>De vraag is of het begrip belang ruim genoeg is voor de flexibele BV. In de nota naar aanleiding van het verslag</w:t>
      </w:r>
      <w:r>
        <w:rPr>
          <w:rStyle w:val="FootnoteReference"/>
          <w:rFonts w:asciiTheme="minorHAnsi" w:hAnsiTheme="minorHAnsi"/>
        </w:rPr>
        <w:footnoteReference w:id="60"/>
      </w:r>
      <w:r>
        <w:t xml:space="preserve"> is bij de staatssecretaris geïnformeerd naar duidelijkheid omtrent het begrip belang.  Gevraagd werd of met het begrip belang het financi</w:t>
      </w:r>
      <w:r w:rsidR="00073D27">
        <w:t>eel</w:t>
      </w:r>
      <w:r>
        <w:t xml:space="preserve"> belang bedoeld werd en juist niet het stemrecht. Het feit dat ook de vennootschappen zonder een in aandelen verdeel kapitaal  zijn meegenomen in het wetsvoorstel flexibilisering bv-recht, laat zien dat bij een vennootschap met een in aandelen verdeeld kapitaal niet uitsluitend het gestorte kapitaal maar ook de geplaatste kapitaal een rol speelt.</w:t>
      </w:r>
      <w:r>
        <w:rPr>
          <w:rStyle w:val="FootnoteReference"/>
          <w:rFonts w:asciiTheme="minorHAnsi" w:hAnsiTheme="minorHAnsi"/>
        </w:rPr>
        <w:footnoteReference w:id="61"/>
      </w:r>
      <w:r>
        <w:t xml:space="preserve"> Met het gestorte kapitaal wordt slecht</w:t>
      </w:r>
      <w:r w:rsidR="00073D27">
        <w:t>s</w:t>
      </w:r>
      <w:r>
        <w:t xml:space="preserve"> het financieel belang aangeduid, het stemrecht wordt bepaald door het geplaatste kapitaal en de aard van de aandelen. Volgens de bewindsheer biedt het begrip belang voldoende ruimte om op passende wijze rekening te houden met de toegenomen flexibiliteit en vrijheid bij het inrichten van de BV.</w:t>
      </w:r>
      <w:r>
        <w:rPr>
          <w:rStyle w:val="FootnoteReference"/>
          <w:rFonts w:asciiTheme="minorHAnsi" w:hAnsiTheme="minorHAnsi"/>
        </w:rPr>
        <w:footnoteReference w:id="62"/>
      </w:r>
      <w:r>
        <w:t xml:space="preserve"> Rekening dient wel te worden</w:t>
      </w:r>
      <w:r w:rsidRPr="00E945ED">
        <w:t xml:space="preserve"> </w:t>
      </w:r>
      <w:r>
        <w:t xml:space="preserve">gehouden met verschillen in zeggenschap, gerechtigheid tot de winst en tot het liquidatiesaldo van verschillende aandelen. Opmerkelijk is de ruimheid van het antwoord van de staatssecretaris. Naar mijn mening was het een uiterst voorzichtige manier van antwoorden van de staatssecretaris om het materiële belang niet uit te sluiten door niet al het gewicht te verschuiven naar de kant van het financieel belang. Dit brengt met zich mee dat het begrip belang niet duidelijker is geworden, maar zo wordt de indirecte invloed via niet-financiële rechten benadrukt en lijkt het alsof de staatssecretaris het begrip zo materieel mogelijk wilt interpreteren ten voordele van de reikwijdte van dit begrip om geen belastingplichtigen te missen. </w:t>
      </w:r>
    </w:p>
    <w:p w:rsidR="00940C49" w:rsidRDefault="00940C49" w:rsidP="00B013D2">
      <w:pPr>
        <w:jc w:val="both"/>
      </w:pPr>
      <w:proofErr w:type="spellStart"/>
      <w:r>
        <w:t>Michielse</w:t>
      </w:r>
      <w:proofErr w:type="spellEnd"/>
      <w:r>
        <w:t xml:space="preserve"> zag het liefst dat er door de wetgever een richting werd opgeslagen, zo had de wetgever de mogelijkheid duidelijkheid te scheppen door het begrip belang te omschrijven als het gestorte kapitaal of de stemrechten.</w:t>
      </w:r>
      <w:r>
        <w:rPr>
          <w:rStyle w:val="FootnoteReference"/>
          <w:rFonts w:asciiTheme="minorHAnsi" w:hAnsiTheme="minorHAnsi"/>
        </w:rPr>
        <w:footnoteReference w:id="63"/>
      </w:r>
      <w:r>
        <w:t xml:space="preserve"> Ook de redactie van het Vakstudie Nieuws merkte op dat het begrip </w:t>
      </w:r>
      <w:r>
        <w:lastRenderedPageBreak/>
        <w:t>belang voornamelijk ziet op de participatie in het kapitaal, anderzijds zijn ook andere aspecten die wat verder verwijderd staan van het begrip belang, hier wordt gedoeld op de gemeenschappelijke beleidsbepaling en dus de invloed van het zeggenschapselement.</w:t>
      </w:r>
      <w:r>
        <w:rPr>
          <w:rStyle w:val="FootnoteReference"/>
          <w:rFonts w:asciiTheme="minorHAnsi" w:hAnsiTheme="minorHAnsi"/>
        </w:rPr>
        <w:footnoteReference w:id="64"/>
      </w:r>
      <w:r>
        <w:t xml:space="preserve"> De vries en </w:t>
      </w:r>
      <w:proofErr w:type="spellStart"/>
      <w:r>
        <w:t>Sillevis</w:t>
      </w:r>
      <w:proofErr w:type="spellEnd"/>
      <w:r>
        <w:t xml:space="preserve"> pleiten voor een ruime uitleg van de term belang, waarbij met het begrip belang dientengevolge een materieel criterium wordt gehanteerd.</w:t>
      </w:r>
      <w:r>
        <w:rPr>
          <w:rStyle w:val="FootnoteReference"/>
          <w:rFonts w:asciiTheme="minorHAnsi" w:hAnsiTheme="minorHAnsi"/>
        </w:rPr>
        <w:footnoteReference w:id="65"/>
      </w:r>
      <w:r>
        <w:t xml:space="preserve">  Zij achten de centrale leiding naar analogie van het civielrechtelijke concernbegrip van invloed. In de parlementaire toelichting werd juist gesteld dat deelname in de leiding geen criterium is voor de materiële definiëring van het begrip belang.</w:t>
      </w:r>
      <w:r>
        <w:rPr>
          <w:rStyle w:val="FootnoteReference"/>
          <w:rFonts w:asciiTheme="minorHAnsi" w:hAnsiTheme="minorHAnsi"/>
        </w:rPr>
        <w:footnoteReference w:id="66"/>
      </w:r>
      <w:r>
        <w:t xml:space="preserve"> </w:t>
      </w:r>
      <w:proofErr w:type="spellStart"/>
      <w:r>
        <w:t>Gooijer</w:t>
      </w:r>
      <w:proofErr w:type="spellEnd"/>
      <w:r>
        <w:t xml:space="preserve"> acht de zeggenschap relevant voor bepaling van het begrip belang, hij twijfelt dan ook aan de rol van art. 10a, lid 4</w:t>
      </w:r>
      <w:r w:rsidR="00073D27">
        <w:t>, Wet VPB 1969</w:t>
      </w:r>
      <w:r>
        <w:t xml:space="preserve"> bij het bepalen van de reikwijdte van deze bepaling.</w:t>
      </w:r>
      <w:r>
        <w:rPr>
          <w:rStyle w:val="FootnoteReference"/>
          <w:rFonts w:asciiTheme="minorHAnsi" w:hAnsiTheme="minorHAnsi"/>
        </w:rPr>
        <w:footnoteReference w:id="67"/>
      </w:r>
      <w:r>
        <w:t xml:space="preserve"> Bovendien is de auteur van mening dat alle soorten aandelen mee zouden moeten tellen bij de bepaling van het belang in een BV. Uit de eerder genoemde wetsgeschiedenis blijkt dat zeggenschap een element vormt bij het bepalen van het belang. Dit is volgens </w:t>
      </w:r>
      <w:proofErr w:type="spellStart"/>
      <w:r>
        <w:t>Marres</w:t>
      </w:r>
      <w:proofErr w:type="spellEnd"/>
      <w:r>
        <w:t xml:space="preserve"> niet onlogisch, daar art. 10a </w:t>
      </w:r>
      <w:r w:rsidR="00E60607">
        <w:t xml:space="preserve">Wet VPB 1969 </w:t>
      </w:r>
      <w:r>
        <w:t>in het leven is geroepen om constructies van renteaftrek in concernverband tegen te gaan. Hierbij speelt zeggenschap een belangrijke rol bij de antimisbruikbepaling.</w:t>
      </w:r>
      <w:r>
        <w:rPr>
          <w:rStyle w:val="FootnoteReference"/>
          <w:rFonts w:asciiTheme="minorHAnsi" w:hAnsiTheme="minorHAnsi"/>
        </w:rPr>
        <w:footnoteReference w:id="68"/>
      </w:r>
      <w:r>
        <w:t xml:space="preserve"> Dit kan slechts als iemand in het bezit is van het financiële belang en daarnaast nog de zeggenschap heeft om dit tot stand te laten komen. Derhalve zijn </w:t>
      </w:r>
      <w:proofErr w:type="spellStart"/>
      <w:r>
        <w:t>Marres</w:t>
      </w:r>
      <w:proofErr w:type="spellEnd"/>
      <w:r>
        <w:t xml:space="preserve"> en </w:t>
      </w:r>
      <w:proofErr w:type="spellStart"/>
      <w:r>
        <w:t>Gooijer</w:t>
      </w:r>
      <w:proofErr w:type="spellEnd"/>
      <w:r>
        <w:t xml:space="preserve"> van mening dat voor een correcte invulling van het verbondenheidscriterium eerst naar de zeggenschap moet worden gekeken, daarenboven dient het belang in het aandelenkapitaal leidend te zijn. </w:t>
      </w:r>
      <w:proofErr w:type="spellStart"/>
      <w:r>
        <w:t>Kinnegim</w:t>
      </w:r>
      <w:proofErr w:type="spellEnd"/>
      <w:r>
        <w:t xml:space="preserve"> is van mening dat als een belastingplichtige een zodanig belang heeft dat het een belangrijk gedeelte van het geplaatst kapitaal of van de stemrechten vertegenwoordigt,  deze dan pas als verbonden kan worden geacht.</w:t>
      </w:r>
      <w:r>
        <w:rPr>
          <w:rStyle w:val="FootnoteReference"/>
          <w:rFonts w:asciiTheme="minorHAnsi" w:hAnsiTheme="minorHAnsi"/>
        </w:rPr>
        <w:footnoteReference w:id="69"/>
      </w:r>
      <w:r>
        <w:t xml:space="preserve"> Hij stelt dat dan pas relevante invloed kan worden uitgeoefend op het beleid in de betreffende vennootschap. Bovendien wordt weinig belang gehecht aan klassen aandelen. Een derde belang in bijvoorbeeld stemrechtloze aandelen hoeft niet te resulteren in verbondenheid, dit is echter wel het geval indien er een bezit is van een derde van het geplaatste aandelenkapitaal. Ik ben van mening dat de onduidelijkheid van het begrip niet ongunstig is voor de wetgever. Het kaderen van het begrip belang zou het mislopen van belastingplichtigen als gevolg kunnen hebben indien deze de reikwijdte versmalt. </w:t>
      </w:r>
      <w:r w:rsidRPr="003B5B98">
        <w:t>Daar art. 10a</w:t>
      </w:r>
      <w:r w:rsidR="00E60607">
        <w:t xml:space="preserve"> Wet VPB 1969</w:t>
      </w:r>
      <w:r w:rsidRPr="003B5B98">
        <w:t xml:space="preserve"> een misbruikbepaling is, lijkt het mij volstrekt logisch </w:t>
      </w:r>
      <w:r>
        <w:t xml:space="preserve">indien </w:t>
      </w:r>
      <w:r w:rsidRPr="003B5B98">
        <w:t xml:space="preserve">in belangrijke mate invloed wordt uitgeoefend , geconcludeerd mag worden dat het materieel belang al </w:t>
      </w:r>
      <w:r w:rsidRPr="003B5B98">
        <w:lastRenderedPageBreak/>
        <w:t xml:space="preserve">dan niet in gelijke mate naast het financieel belang geplaatst </w:t>
      </w:r>
      <w:r>
        <w:t>kan</w:t>
      </w:r>
      <w:r w:rsidRPr="003B5B98">
        <w:t xml:space="preserve"> worden bij de constatering van het begrip belang.</w:t>
      </w:r>
      <w:r>
        <w:rPr>
          <w:b/>
        </w:rPr>
        <w:t xml:space="preserve"> </w:t>
      </w:r>
    </w:p>
    <w:p w:rsidR="00940C49" w:rsidRDefault="00940C49" w:rsidP="00203DD1">
      <w:pPr>
        <w:ind w:firstLine="708"/>
        <w:jc w:val="both"/>
      </w:pPr>
      <w:r>
        <w:t xml:space="preserve">Bij de uitleg van de term belang is in de toelichting op het wetsvoorstel “Overige fiscale maatregelen 2008” de definiëring omtrent de interpretatie nader uiteengezet. Hierin wordt gesteld dat bij het beoordelen van het begrip belang als bedoeld in </w:t>
      </w:r>
      <w:r w:rsidR="000654A0">
        <w:t xml:space="preserve">art. </w:t>
      </w:r>
      <w:r>
        <w:t>4, lid 3 en lid 4, WBR als doorslaggevende factor niet het aandeel in het geplaatste kapitaal als voldoende wordt aangenomen.</w:t>
      </w:r>
      <w:r>
        <w:rPr>
          <w:rStyle w:val="FootnoteReference"/>
          <w:rFonts w:asciiTheme="minorHAnsi" w:hAnsiTheme="minorHAnsi"/>
        </w:rPr>
        <w:footnoteReference w:id="70"/>
      </w:r>
      <w:r>
        <w:t xml:space="preserve"> De wetgever acht een materieel belang noodzakelijk bij een verkrijging van soortenaandelen. Een aandelenbezit van minder dan een derde van het geplaatste kapitaal zou het materieel  belang volgend, kunnen kwalificeren in de zin van art. 4, derde en vierde lid, WBR indien aan deze aandelen ten minste een derde gedeelte van de zeggenschap is verbonden. Als dit uitgangspunt hetzelfde zou zijn als het begrip belang in </w:t>
      </w:r>
      <w:r w:rsidR="000654A0">
        <w:t xml:space="preserve">art. </w:t>
      </w:r>
      <w:r>
        <w:t>10a</w:t>
      </w:r>
      <w:r w:rsidR="00E60607">
        <w:t xml:space="preserve"> Wet VPB 1969</w:t>
      </w:r>
      <w:r>
        <w:t xml:space="preserve">, zou volgens </w:t>
      </w:r>
      <w:proofErr w:type="spellStart"/>
      <w:r>
        <w:t>Zuidgeest</w:t>
      </w:r>
      <w:proofErr w:type="spellEnd"/>
      <w:r>
        <w:t xml:space="preserve"> de uitgifte van aandelen zonder stemrecht of winstrecht geen wijziging brengen in de status van verbonden lichaam en verbonden persoon.</w:t>
      </w:r>
      <w:r>
        <w:rPr>
          <w:rStyle w:val="FootnoteReference"/>
          <w:rFonts w:asciiTheme="minorHAnsi" w:hAnsiTheme="minorHAnsi"/>
        </w:rPr>
        <w:footnoteReference w:id="71"/>
      </w:r>
      <w:r>
        <w:t xml:space="preserve"> </w:t>
      </w:r>
      <w:proofErr w:type="spellStart"/>
      <w:r>
        <w:t>Kinnegim</w:t>
      </w:r>
      <w:proofErr w:type="spellEnd"/>
      <w:r>
        <w:t xml:space="preserve"> behelsde juist dat het een derde gedeelte afkomstig moest zijn van het totale geplaatste kapitaal en niet slechts bij een aandelensoort.  Aanvullend hierop is de conclusie van A-G </w:t>
      </w:r>
      <w:proofErr w:type="spellStart"/>
      <w:r>
        <w:t>Wattel</w:t>
      </w:r>
      <w:proofErr w:type="spellEnd"/>
      <w:r>
        <w:t xml:space="preserve"> bij </w:t>
      </w:r>
      <w:r w:rsidRPr="00D814EF">
        <w:rPr>
          <w:i/>
        </w:rPr>
        <w:t>BNB</w:t>
      </w:r>
      <w:r>
        <w:t xml:space="preserve"> 2010/148.</w:t>
      </w:r>
      <w:r>
        <w:rPr>
          <w:rStyle w:val="FootnoteReference"/>
          <w:rFonts w:asciiTheme="minorHAnsi" w:hAnsiTheme="minorHAnsi"/>
        </w:rPr>
        <w:footnoteReference w:id="72"/>
      </w:r>
      <w:r>
        <w:t xml:space="preserve"> Thans is het zo dat ieder aandeel één stemrecht bezit, zodoende is het financieel belang gelijk aan de zeggenschap bij een enkel aandeel. A-G </w:t>
      </w:r>
      <w:proofErr w:type="spellStart"/>
      <w:r>
        <w:t>Wattel</w:t>
      </w:r>
      <w:proofErr w:type="spellEnd"/>
      <w:r>
        <w:t xml:space="preserve"> stelt dat de economische betekenis van de stemrechten nog steeds in belangrijke mate verband houdt met het bepalen van de verbondenheid. Na invoering van de flexibele BV zal hoogstwaarschijnlijk weer een discussiestrijd gaan plaatsvinden hieromtrent.</w:t>
      </w:r>
    </w:p>
    <w:p w:rsidR="00940C49" w:rsidRDefault="00940C49" w:rsidP="00203DD1">
      <w:pPr>
        <w:ind w:firstLine="708"/>
        <w:jc w:val="both"/>
      </w:pPr>
      <w:r>
        <w:t>In de zaak die speelde voor Hof Arnhem kwam aan de orde of een vennootschap die 32% van de aandelen in belastingplichtige bezit als verbonden lichaam dient te worden</w:t>
      </w:r>
      <w:r w:rsidRPr="008F0E4C">
        <w:t xml:space="preserve"> </w:t>
      </w:r>
      <w:r>
        <w:t>aangemerkt.</w:t>
      </w:r>
      <w:r>
        <w:rPr>
          <w:rStyle w:val="FootnoteReference"/>
          <w:rFonts w:asciiTheme="minorHAnsi" w:hAnsiTheme="minorHAnsi"/>
        </w:rPr>
        <w:footnoteReference w:id="73"/>
      </w:r>
      <w:r>
        <w:t xml:space="preserve"> De overige 68% aandelenpakket was verdeeld over twee partijen welke niet gelieerd zijn. Ten aanzien van de uitleg van de term belang stelde het Hof dat de wetgever trachtte een materieel criterium in te voeren ter vervanging van formele, cijfermatige eis. De verdeling van het totale materiële belang wordt dus door het Hof als relevant geacht. Indien het belang van de andere aandeelhouders reële betekenis zou missen, mag volgens het Hof afgeweken worden van de formele gerechtigdheid tot het kapitaal. Volgens </w:t>
      </w:r>
      <w:r w:rsidRPr="00747DBC">
        <w:rPr>
          <w:rFonts w:ascii="Arial" w:hAnsi="Arial"/>
          <w:sz w:val="18"/>
        </w:rPr>
        <w:t>Rozendal </w:t>
      </w:r>
      <w:r>
        <w:t>wordt hiermee meer aangesloten bij de economische realiteit en zorgt deze benadering ervoor dat misbruik en kunstmatige constructies minder aantrekkelijk zullen zijn.</w:t>
      </w:r>
      <w:r>
        <w:rPr>
          <w:rStyle w:val="FootnoteReference"/>
          <w:rFonts w:asciiTheme="minorHAnsi" w:hAnsiTheme="minorHAnsi"/>
        </w:rPr>
        <w:footnoteReference w:id="74"/>
      </w:r>
      <w:r>
        <w:t xml:space="preserve">  </w:t>
      </w:r>
    </w:p>
    <w:p w:rsidR="00940C49" w:rsidRDefault="00940C49" w:rsidP="00203DD1">
      <w:pPr>
        <w:ind w:firstLine="708"/>
        <w:jc w:val="both"/>
      </w:pPr>
      <w:r>
        <w:lastRenderedPageBreak/>
        <w:t xml:space="preserve">In 2008 heeft rechtbank Haarlem een uitspraak gedaan waarin getracht is het verbonden lichaam ex </w:t>
      </w:r>
      <w:r w:rsidR="000654A0">
        <w:t xml:space="preserve">art. </w:t>
      </w:r>
      <w:r>
        <w:t xml:space="preserve">10a, vierde lid, </w:t>
      </w:r>
      <w:r w:rsidR="00E11815">
        <w:t xml:space="preserve">Wet VPB 1969 </w:t>
      </w:r>
      <w:r>
        <w:t>een zekere invulling te geven.</w:t>
      </w:r>
      <w:r>
        <w:rPr>
          <w:rStyle w:val="FootnoteReference"/>
          <w:rFonts w:asciiTheme="minorHAnsi" w:hAnsiTheme="minorHAnsi"/>
        </w:rPr>
        <w:footnoteReference w:id="75"/>
      </w:r>
      <w:r>
        <w:t xml:space="preserve"> In deze zaak met twee aandeelhouders was aandeelhouder BV Y, met een 93% aandelenpakket in BV Z, aangemerkt als verbonden lichaam. De formele zeggenschap bevond zich bij BV Y terwijl de directeur van de andere aandeelhouder, BV X, ook directeur was in BV Z. Ook vloeide een meerderheid van de voordelen naar BV X welke ook meer risico droeg dan BV Y. In tegenstelling tot het totale materiële belang dat het Hof Arnhem wel relevant achtte, lijkt hier geen sprake van te zijn. Want de relevante beoordelingscriteria en de winstgerechtigheid lijken niet te worden meegenomen in de uitspraak van de rechtbank, aangezien het economische belang van BV Y nagenoeg nihil was. Uitgangspunt was hier het gestorte kapitaal en geen rekening is gehouden met het materiële belang in BV Z. </w:t>
      </w:r>
    </w:p>
    <w:p w:rsidR="00940C49" w:rsidRPr="002645CC" w:rsidRDefault="00940C49" w:rsidP="006C778C">
      <w:pPr>
        <w:ind w:firstLine="708"/>
        <w:jc w:val="both"/>
      </w:pPr>
      <w:r>
        <w:t>Op 8 april 2011 is tevens een soortgelijke oordeel uitgesproken door de Hoge Raad.</w:t>
      </w:r>
      <w:r>
        <w:rPr>
          <w:rStyle w:val="FootnoteReference"/>
          <w:rFonts w:asciiTheme="minorHAnsi" w:hAnsiTheme="minorHAnsi"/>
        </w:rPr>
        <w:footnoteReference w:id="76"/>
      </w:r>
      <w:r>
        <w:t xml:space="preserve"> Het betrof een zaak waarin het financieel belang voldoende was voor verbondenheid. Het was niet vereist om ook een derde belang in de stemrechten te bezitten. De Hoge Raad volgde hierin de lijn van Rechtbank Arnhem, die zijn oordeel baseerde op aangehaalde wetsgeschiedenis.</w:t>
      </w:r>
      <w:r>
        <w:rPr>
          <w:rStyle w:val="FootnoteReference"/>
          <w:rFonts w:asciiTheme="minorHAnsi" w:hAnsiTheme="minorHAnsi"/>
        </w:rPr>
        <w:footnoteReference w:id="77"/>
      </w:r>
      <w:r>
        <w:t xml:space="preserve"> Omtrent de discussie of zeggenschap doorslaggevend zou moeten zijn heeft ook A-G </w:t>
      </w:r>
      <w:proofErr w:type="spellStart"/>
      <w:r>
        <w:t>Wattel</w:t>
      </w:r>
      <w:proofErr w:type="spellEnd"/>
      <w:r>
        <w:t xml:space="preserve"> een conclusie getrokken.</w:t>
      </w:r>
      <w:r>
        <w:rPr>
          <w:rStyle w:val="FootnoteReference"/>
          <w:rFonts w:asciiTheme="minorHAnsi" w:hAnsiTheme="minorHAnsi"/>
        </w:rPr>
        <w:footnoteReference w:id="78"/>
      </w:r>
      <w:r>
        <w:t xml:space="preserve"> De </w:t>
      </w:r>
      <w:proofErr w:type="spellStart"/>
      <w:r>
        <w:t>Advocaat-Generaal</w:t>
      </w:r>
      <w:proofErr w:type="spellEnd"/>
      <w:r>
        <w:t xml:space="preserve"> concludeerde dat op basis van de wetsgeschiedenis en de ratio van de bepaling een belangencriterium is ingevoerd om een kwalitatieve beoordeling mogelijk te maken. De zeggenschap als criterium fungeert hier slechts als bijdrager aan de constatering van een ‘belang’. Volgens de </w:t>
      </w:r>
      <w:proofErr w:type="spellStart"/>
      <w:r>
        <w:t>Advocaat-Generaal</w:t>
      </w:r>
      <w:proofErr w:type="spellEnd"/>
      <w:r>
        <w:t xml:space="preserve"> is er geen aanknopingspunt in de wetsgeschiedenis bij de veronderstelling dat het de wens is geweest van de wetgever dat het zeggenschapscriterium in gelijke mate zou kunnen afdoen aan de constatering van het begrip ‘belang’</w:t>
      </w:r>
      <w:r w:rsidRPr="002645CC">
        <w:t>. De uitleg van het begrip belang is mijns inziens mede afhankelijk van de situatie, zodoende laat de ruime interpretatie ruimte voor uitspraken door de uitvoerende organen navenant de omstandigheden. Wel zou naar mijn mening een materiële benadering meer passen in art. 10a</w:t>
      </w:r>
      <w:r w:rsidR="00E11815">
        <w:t xml:space="preserve"> Wet VPB 1969</w:t>
      </w:r>
      <w:r w:rsidRPr="002645CC">
        <w:t xml:space="preserve"> aangezien deze als taak heeft misbruik en kunstmatige constructies tegen te gaan. </w:t>
      </w:r>
    </w:p>
    <w:p w:rsidR="00940C49" w:rsidRPr="002645CC" w:rsidRDefault="00940C49" w:rsidP="00930C21"/>
    <w:p w:rsidR="00940C49" w:rsidRDefault="00106907" w:rsidP="00A327D4">
      <w:pPr>
        <w:jc w:val="both"/>
        <w:rPr>
          <w:rFonts w:asciiTheme="minorHAnsi" w:hAnsiTheme="minorHAnsi" w:cstheme="minorHAnsi"/>
        </w:rPr>
      </w:pPr>
      <w:r>
        <w:rPr>
          <w:rFonts w:asciiTheme="minorHAnsi" w:hAnsiTheme="minorHAnsi" w:cstheme="minorHAnsi"/>
          <w:b/>
        </w:rPr>
        <w:t xml:space="preserve">3.3  </w:t>
      </w:r>
      <w:r w:rsidR="00940C49">
        <w:rPr>
          <w:rFonts w:asciiTheme="minorHAnsi" w:hAnsiTheme="minorHAnsi" w:cstheme="minorHAnsi"/>
          <w:b/>
        </w:rPr>
        <w:t>Deelnemingsvrijstelling</w:t>
      </w:r>
      <w:r w:rsidR="00940C49">
        <w:rPr>
          <w:rFonts w:asciiTheme="minorHAnsi" w:hAnsiTheme="minorHAnsi" w:cstheme="minorHAnsi"/>
        </w:rPr>
        <w:t xml:space="preserve"> </w:t>
      </w:r>
    </w:p>
    <w:p w:rsidR="00940C49" w:rsidRDefault="00940C49" w:rsidP="00BC745F">
      <w:pPr>
        <w:ind w:firstLine="708"/>
        <w:jc w:val="both"/>
        <w:rPr>
          <w:rFonts w:asciiTheme="minorHAnsi" w:hAnsiTheme="minorHAnsi" w:cstheme="minorHAnsi"/>
        </w:rPr>
      </w:pPr>
      <w:r>
        <w:rPr>
          <w:rFonts w:asciiTheme="minorHAnsi" w:hAnsiTheme="minorHAnsi" w:cstheme="minorHAnsi"/>
        </w:rPr>
        <w:t xml:space="preserve">Ingevolge </w:t>
      </w:r>
      <w:r w:rsidR="000654A0">
        <w:rPr>
          <w:rFonts w:asciiTheme="minorHAnsi" w:hAnsiTheme="minorHAnsi" w:cstheme="minorHAnsi"/>
        </w:rPr>
        <w:t xml:space="preserve">art. </w:t>
      </w:r>
      <w:r>
        <w:rPr>
          <w:rFonts w:asciiTheme="minorHAnsi" w:hAnsiTheme="minorHAnsi" w:cstheme="minorHAnsi"/>
        </w:rPr>
        <w:t xml:space="preserve">13, tweede lid, onderdeel a, </w:t>
      </w:r>
      <w:r w:rsidR="00204C1F">
        <w:t xml:space="preserve">Wet VPB 1969 </w:t>
      </w:r>
      <w:r>
        <w:rPr>
          <w:rFonts w:asciiTheme="minorHAnsi" w:hAnsiTheme="minorHAnsi" w:cstheme="minorHAnsi"/>
        </w:rPr>
        <w:t xml:space="preserve">is sprake van een deelneming indien de belastingplichtige voor ten minste 5% van het nominaal gestorte kapitaal aandeelhouder is van een vennootschap waarvan het kapitaal geheel of ten dele in aandelen is verdeeld. Deze bepaling kent geen benadering van verschillende soorten aandelen omdat het volgens de </w:t>
      </w:r>
      <w:r>
        <w:rPr>
          <w:rFonts w:asciiTheme="minorHAnsi" w:hAnsiTheme="minorHAnsi" w:cstheme="minorHAnsi"/>
        </w:rPr>
        <w:lastRenderedPageBreak/>
        <w:t>parlementaire toelichting niet hand in hand gaat met het uitgangspunt van de regeling.</w:t>
      </w:r>
      <w:r>
        <w:rPr>
          <w:rStyle w:val="FootnoteReference"/>
          <w:rFonts w:asciiTheme="minorHAnsi" w:hAnsiTheme="minorHAnsi"/>
        </w:rPr>
        <w:footnoteReference w:id="79"/>
      </w:r>
      <w:r>
        <w:rPr>
          <w:rFonts w:asciiTheme="minorHAnsi" w:hAnsiTheme="minorHAnsi" w:cstheme="minorHAnsi"/>
        </w:rPr>
        <w:t xml:space="preserve"> Onder een deelneming kun je twee soorten bezittingen schaduwen. Winstbewijzen mits deze samenhangend zijn en bepaalde hybride schuldvorderingen. In het Falcons arrest werd door de Hoge Raad geconcludeerd dat ook andere instrumenten onder de deelnemingsvrijstelling vallen.</w:t>
      </w:r>
      <w:r>
        <w:rPr>
          <w:rStyle w:val="FootnoteReference"/>
          <w:rFonts w:asciiTheme="minorHAnsi" w:hAnsiTheme="minorHAnsi"/>
        </w:rPr>
        <w:footnoteReference w:id="80"/>
      </w:r>
      <w:r>
        <w:rPr>
          <w:rFonts w:asciiTheme="minorHAnsi" w:hAnsiTheme="minorHAnsi" w:cstheme="minorHAnsi"/>
        </w:rPr>
        <w:t xml:space="preserve"> Hieronder valt een gesplitst belang en dus kan de deelnemingsvrijstelling alsnog van toepassing zijn.</w:t>
      </w:r>
    </w:p>
    <w:p w:rsidR="00940C49" w:rsidRDefault="00940C49" w:rsidP="00A327D4">
      <w:pPr>
        <w:jc w:val="both"/>
        <w:rPr>
          <w:rFonts w:asciiTheme="minorHAnsi" w:hAnsiTheme="minorHAnsi" w:cstheme="minorHAnsi"/>
        </w:rPr>
      </w:pPr>
      <w:r>
        <w:rPr>
          <w:rFonts w:asciiTheme="minorHAnsi" w:hAnsiTheme="minorHAnsi" w:cstheme="minorHAnsi"/>
        </w:rPr>
        <w:tab/>
        <w:t>Om sprake te zijn van een deelneming moet voldaan worden aan een formele harde eis van 5%. Hiermee telt slechts het daadwerkelijk op aandelen gestorte kapitaal mee. Volgens het beleid van het ministerie van Financiën tellen ook preferente en prioriteitsaandelen mee bij het bepalen van het belang in het gestorte kapitaal.</w:t>
      </w:r>
      <w:r>
        <w:rPr>
          <w:rStyle w:val="FootnoteReference"/>
          <w:rFonts w:asciiTheme="minorHAnsi" w:hAnsiTheme="minorHAnsi"/>
        </w:rPr>
        <w:footnoteReference w:id="81"/>
      </w:r>
      <w:r>
        <w:rPr>
          <w:rFonts w:asciiTheme="minorHAnsi" w:hAnsiTheme="minorHAnsi" w:cstheme="minorHAnsi"/>
        </w:rPr>
        <w:t xml:space="preserve"> Het kabinet ziet geen aanleiding tot het aanpassen van de 5%-eis voor de aanwezigheid van een deelneming. In de memorie van toelichting van de voorgestelde invoeringswet  is gekozen voor een bewuste aanvaarding van de gevolgen van de harde 5%-eis.</w:t>
      </w:r>
      <w:r>
        <w:rPr>
          <w:rStyle w:val="FootnoteReference"/>
          <w:rFonts w:asciiTheme="minorHAnsi" w:hAnsiTheme="minorHAnsi"/>
        </w:rPr>
        <w:footnoteReference w:id="82"/>
      </w:r>
    </w:p>
    <w:p w:rsidR="00940C49" w:rsidRPr="00E34A3A" w:rsidRDefault="00940C49" w:rsidP="00A327D4">
      <w:pPr>
        <w:jc w:val="both"/>
        <w:rPr>
          <w:rFonts w:asciiTheme="minorHAnsi" w:hAnsiTheme="minorHAnsi" w:cstheme="minorHAnsi"/>
        </w:rPr>
      </w:pPr>
      <w:r w:rsidRPr="00E34A3A">
        <w:rPr>
          <w:rFonts w:asciiTheme="minorHAnsi" w:hAnsiTheme="minorHAnsi" w:cstheme="minorHAnsi"/>
        </w:rPr>
        <w:tab/>
        <w:t xml:space="preserve">Zoals hiervoor vermeld knoopt de deelnemingsvrijstelling aan bij het gestorte kapitaal. Met het invoeren van </w:t>
      </w:r>
      <w:proofErr w:type="spellStart"/>
      <w:r w:rsidRPr="00E34A3A">
        <w:rPr>
          <w:rFonts w:asciiTheme="minorHAnsi" w:hAnsiTheme="minorHAnsi" w:cstheme="minorHAnsi"/>
        </w:rPr>
        <w:t>winstrechtaandelen</w:t>
      </w:r>
      <w:proofErr w:type="spellEnd"/>
      <w:r w:rsidRPr="00E34A3A">
        <w:rPr>
          <w:rFonts w:asciiTheme="minorHAnsi" w:hAnsiTheme="minorHAnsi" w:cstheme="minorHAnsi"/>
        </w:rPr>
        <w:t xml:space="preserve"> en stemrechtaandelen zal naar mening van </w:t>
      </w:r>
      <w:proofErr w:type="spellStart"/>
      <w:r w:rsidRPr="00E34A3A">
        <w:rPr>
          <w:rFonts w:asciiTheme="minorHAnsi" w:hAnsiTheme="minorHAnsi" w:cstheme="minorHAnsi"/>
        </w:rPr>
        <w:t>Kinnegim</w:t>
      </w:r>
      <w:proofErr w:type="spellEnd"/>
      <w:r w:rsidRPr="00E34A3A">
        <w:rPr>
          <w:rFonts w:asciiTheme="minorHAnsi" w:hAnsiTheme="minorHAnsi" w:cstheme="minorHAnsi"/>
        </w:rPr>
        <w:t xml:space="preserve"> de deelnemingsvrijstelling gemakkelijker te genieten zijn zonder 5% van de winstrechten in de betreffende vennootschap te bezitten.</w:t>
      </w:r>
      <w:r w:rsidRPr="00E34A3A">
        <w:rPr>
          <w:rStyle w:val="FootnoteReference"/>
          <w:rFonts w:asciiTheme="minorHAnsi" w:hAnsiTheme="minorHAnsi"/>
        </w:rPr>
        <w:footnoteReference w:id="83"/>
      </w:r>
      <w:r w:rsidRPr="00E34A3A">
        <w:rPr>
          <w:rFonts w:asciiTheme="minorHAnsi" w:hAnsiTheme="minorHAnsi" w:cstheme="minorHAnsi"/>
        </w:rPr>
        <w:t xml:space="preserve"> Ter verduidelijking gebruikt hij het volgende voorbeeld: </w:t>
      </w:r>
      <w:r w:rsidRPr="00E34A3A">
        <w:rPr>
          <w:rFonts w:asciiTheme="minorHAnsi" w:eastAsia="Arial Unicode MS" w:hAnsiTheme="minorHAnsi" w:cstheme="minorHAnsi"/>
        </w:rPr>
        <w:t>Een Nederlandse vennootschap houdt 3% van het nominaal gestorte kapitaal in "gewone aandelen" en kan de deelnemingsvrijstelling niet toepassen. Vervolgens neemt deze vennootschap 2% "</w:t>
      </w:r>
      <w:r w:rsidR="000654A0">
        <w:rPr>
          <w:rFonts w:asciiTheme="minorHAnsi" w:eastAsia="Arial Unicode MS" w:hAnsiTheme="minorHAnsi" w:cstheme="minorHAnsi"/>
        </w:rPr>
        <w:t>stemrecht</w:t>
      </w:r>
      <w:r w:rsidR="000654A0" w:rsidRPr="00E34A3A">
        <w:rPr>
          <w:rFonts w:asciiTheme="minorHAnsi" w:eastAsia="Arial Unicode MS" w:hAnsiTheme="minorHAnsi" w:cstheme="minorHAnsi"/>
        </w:rPr>
        <w:t xml:space="preserve"> </w:t>
      </w:r>
      <w:r w:rsidRPr="00E34A3A">
        <w:rPr>
          <w:rFonts w:asciiTheme="minorHAnsi" w:eastAsia="Arial Unicode MS" w:hAnsiTheme="minorHAnsi" w:cstheme="minorHAnsi"/>
        </w:rPr>
        <w:t>aandelen" of "</w:t>
      </w:r>
      <w:proofErr w:type="spellStart"/>
      <w:r w:rsidRPr="00E34A3A">
        <w:rPr>
          <w:rFonts w:asciiTheme="minorHAnsi" w:eastAsia="Arial Unicode MS" w:hAnsiTheme="minorHAnsi" w:cstheme="minorHAnsi"/>
        </w:rPr>
        <w:t>nihilaandelen</w:t>
      </w:r>
      <w:proofErr w:type="spellEnd"/>
      <w:r w:rsidRPr="00E34A3A">
        <w:rPr>
          <w:rFonts w:asciiTheme="minorHAnsi" w:eastAsia="Arial Unicode MS" w:hAnsiTheme="minorHAnsi" w:cstheme="minorHAnsi"/>
        </w:rPr>
        <w:t>". Op basis van de huidige wettekst kan deze vennootschap dan de deelnemingsvrijstelling toepassen. Dit terwijl het economische belang niet toeneemt.  </w:t>
      </w:r>
      <w:proofErr w:type="spellStart"/>
      <w:r w:rsidRPr="00E34A3A">
        <w:rPr>
          <w:rFonts w:asciiTheme="minorHAnsi" w:eastAsia="Arial Unicode MS" w:hAnsiTheme="minorHAnsi" w:cstheme="minorHAnsi"/>
        </w:rPr>
        <w:t>Arends</w:t>
      </w:r>
      <w:proofErr w:type="spellEnd"/>
      <w:r w:rsidRPr="00E34A3A">
        <w:rPr>
          <w:rFonts w:asciiTheme="minorHAnsi" w:eastAsia="Arial Unicode MS" w:hAnsiTheme="minorHAnsi" w:cstheme="minorHAnsi"/>
        </w:rPr>
        <w:t xml:space="preserve"> sluit aan bij de opvatting</w:t>
      </w:r>
      <w:r>
        <w:rPr>
          <w:rFonts w:asciiTheme="minorHAnsi" w:eastAsia="Arial Unicode MS" w:hAnsiTheme="minorHAnsi" w:cstheme="minorHAnsi"/>
        </w:rPr>
        <w:t xml:space="preserve"> van </w:t>
      </w:r>
      <w:proofErr w:type="spellStart"/>
      <w:r>
        <w:rPr>
          <w:rFonts w:asciiTheme="minorHAnsi" w:eastAsia="Arial Unicode MS" w:hAnsiTheme="minorHAnsi" w:cstheme="minorHAnsi"/>
        </w:rPr>
        <w:t>Kinnegim</w:t>
      </w:r>
      <w:proofErr w:type="spellEnd"/>
      <w:r>
        <w:rPr>
          <w:rFonts w:asciiTheme="minorHAnsi" w:eastAsia="Arial Unicode MS" w:hAnsiTheme="minorHAnsi" w:cstheme="minorHAnsi"/>
        </w:rPr>
        <w:t xml:space="preserve"> en stelt dat het gestorte kapitaal op stemrechtaandelen voor de bepaling van de 5%-grens buiten beschouwing moet worden gelaten.</w:t>
      </w:r>
      <w:r>
        <w:rPr>
          <w:rStyle w:val="FootnoteReference"/>
          <w:rFonts w:asciiTheme="minorHAnsi" w:eastAsia="Arial Unicode MS" w:hAnsiTheme="minorHAnsi"/>
        </w:rPr>
        <w:footnoteReference w:id="84"/>
      </w:r>
      <w:r>
        <w:rPr>
          <w:rFonts w:asciiTheme="minorHAnsi" w:eastAsia="Arial Unicode MS" w:hAnsiTheme="minorHAnsi" w:cstheme="minorHAnsi"/>
        </w:rPr>
        <w:t xml:space="preserve"> Dit is in lijn met het feit dat conform het huidig recht een aandeelhouder, die slecht juridisch eigenaar is geen aandeelhouder is voor de deelnemingsvrijstelling.</w:t>
      </w:r>
      <w:r>
        <w:rPr>
          <w:rStyle w:val="FootnoteReference"/>
          <w:rFonts w:asciiTheme="minorHAnsi" w:eastAsia="Arial Unicode MS" w:hAnsiTheme="minorHAnsi"/>
        </w:rPr>
        <w:footnoteReference w:id="85"/>
      </w:r>
    </w:p>
    <w:p w:rsidR="00940C49" w:rsidRDefault="00940C49" w:rsidP="00A327D4">
      <w:pPr>
        <w:ind w:firstLine="708"/>
        <w:jc w:val="both"/>
        <w:rPr>
          <w:rFonts w:asciiTheme="minorHAnsi" w:hAnsiTheme="minorHAnsi" w:cstheme="minorHAnsi"/>
        </w:rPr>
      </w:pPr>
      <w:r>
        <w:rPr>
          <w:rFonts w:asciiTheme="minorHAnsi" w:hAnsiTheme="minorHAnsi" w:cstheme="minorHAnsi"/>
        </w:rPr>
        <w:t xml:space="preserve">De minister van Financiën heeft bij besluit vastgesteld dat een belang welke uitsluitend bestaat uit preferente aandelen zonder stemrecht kwalificeren voor een deelneming in de zin van </w:t>
      </w:r>
      <w:r w:rsidR="000654A0">
        <w:rPr>
          <w:rFonts w:asciiTheme="minorHAnsi" w:hAnsiTheme="minorHAnsi" w:cstheme="minorHAnsi"/>
        </w:rPr>
        <w:t xml:space="preserve">art. </w:t>
      </w:r>
      <w:r>
        <w:rPr>
          <w:rFonts w:asciiTheme="minorHAnsi" w:hAnsiTheme="minorHAnsi" w:cstheme="minorHAnsi"/>
        </w:rPr>
        <w:t>13, tweede lid</w:t>
      </w:r>
      <w:r w:rsidR="00204C1F">
        <w:rPr>
          <w:rFonts w:asciiTheme="minorHAnsi" w:hAnsiTheme="minorHAnsi" w:cstheme="minorHAnsi"/>
        </w:rPr>
        <w:t xml:space="preserve">, </w:t>
      </w:r>
      <w:r w:rsidR="00204C1F">
        <w:t>Wet VPB 1969</w:t>
      </w:r>
      <w:r>
        <w:rPr>
          <w:rFonts w:asciiTheme="minorHAnsi" w:hAnsiTheme="minorHAnsi" w:cstheme="minorHAnsi"/>
        </w:rPr>
        <w:t xml:space="preserve">. Als voorwaarde wordt wel gesteld dat de preferente aandelen zonder stemrecht minstens 5% van het gestorte kapitaal moet vormen. Hier kan een lijn worden getrokken </w:t>
      </w:r>
      <w:r w:rsidR="00F65AEC">
        <w:rPr>
          <w:rFonts w:asciiTheme="minorHAnsi" w:hAnsiTheme="minorHAnsi" w:cstheme="minorHAnsi"/>
        </w:rPr>
        <w:t xml:space="preserve">winstrecht </w:t>
      </w:r>
      <w:r>
        <w:rPr>
          <w:rFonts w:asciiTheme="minorHAnsi" w:hAnsiTheme="minorHAnsi" w:cstheme="minorHAnsi"/>
        </w:rPr>
        <w:t xml:space="preserve">aandelen en gesteld worden dat </w:t>
      </w:r>
      <w:r w:rsidR="00F65AEC">
        <w:rPr>
          <w:rFonts w:asciiTheme="minorHAnsi" w:hAnsiTheme="minorHAnsi" w:cstheme="minorHAnsi"/>
        </w:rPr>
        <w:t xml:space="preserve">winstrecht </w:t>
      </w:r>
      <w:r>
        <w:rPr>
          <w:rFonts w:asciiTheme="minorHAnsi" w:hAnsiTheme="minorHAnsi" w:cstheme="minorHAnsi"/>
        </w:rPr>
        <w:t xml:space="preserve">aandelen beter te vergelijken zijn </w:t>
      </w:r>
      <w:r>
        <w:rPr>
          <w:rFonts w:asciiTheme="minorHAnsi" w:hAnsiTheme="minorHAnsi" w:cstheme="minorHAnsi"/>
        </w:rPr>
        <w:lastRenderedPageBreak/>
        <w:t xml:space="preserve">met de preferente aandelen omdat beide gerechtigdheid bieden tot de winst maar niet tot de zeggenschap. </w:t>
      </w:r>
      <w:proofErr w:type="spellStart"/>
      <w:r w:rsidRPr="00446CF6">
        <w:rPr>
          <w:rFonts w:asciiTheme="minorHAnsi" w:hAnsiTheme="minorHAnsi" w:cstheme="minorHAnsi"/>
        </w:rPr>
        <w:t>Hiemstra</w:t>
      </w:r>
      <w:proofErr w:type="spellEnd"/>
      <w:r>
        <w:rPr>
          <w:rFonts w:asciiTheme="minorHAnsi" w:hAnsiTheme="minorHAnsi" w:cstheme="minorHAnsi"/>
        </w:rPr>
        <w:t xml:space="preserve"> deelt een soortgelijke mening.</w:t>
      </w:r>
      <w:r>
        <w:rPr>
          <w:rStyle w:val="FootnoteReference"/>
          <w:rFonts w:asciiTheme="minorHAnsi" w:hAnsiTheme="minorHAnsi"/>
        </w:rPr>
        <w:footnoteReference w:id="86"/>
      </w:r>
      <w:r>
        <w:rPr>
          <w:rFonts w:asciiTheme="minorHAnsi" w:hAnsiTheme="minorHAnsi" w:cstheme="minorHAnsi"/>
        </w:rPr>
        <w:t xml:space="preserve"> Het begrip belang dient volgens hem, met toepassing van de deelnemingsvrijstelling, beperkt te worden opgevat. Alleen de voor- en nadelen die een aandeelhouder geniet uit hoofde van een deelneming, zoals uitgekeerde dividenden en waardefluctuaties van de aandelen vallen onder dit beperkt belang. Contractuele verplichtingen, die verband houden met de deelneming doch niet rechtstreeks zien op de voordelen die normaliter uit hoofde van de deelneming zijn genoten, vallen naar zijn mening niet onder het begrip belang. Gedacht kan worden aan bijvoorbeeld een soort winstrecht dat recht geeft op een uitkering gelijk aan een percentage van de winst van de deelneming, de winst houdt geen verband met de rechten direct verbonden aan de aandelen. En als het winstrecht de hoogte van de voordelen uit hoofde van een deelneming niet aantast mag zijns inziens ook de deelnemingsvrijstelling niet worden toegepast.</w:t>
      </w:r>
    </w:p>
    <w:p w:rsidR="00940C49" w:rsidRDefault="00F65AEC" w:rsidP="00A327D4">
      <w:pPr>
        <w:jc w:val="both"/>
        <w:rPr>
          <w:rFonts w:asciiTheme="minorHAnsi" w:hAnsiTheme="minorHAnsi" w:cstheme="minorHAnsi"/>
        </w:rPr>
      </w:pPr>
      <w:r>
        <w:rPr>
          <w:rFonts w:asciiTheme="minorHAnsi" w:hAnsiTheme="minorHAnsi" w:cstheme="minorHAnsi"/>
        </w:rPr>
        <w:t xml:space="preserve">winstrecht </w:t>
      </w:r>
      <w:r w:rsidR="00940C49">
        <w:rPr>
          <w:rFonts w:asciiTheme="minorHAnsi" w:hAnsiTheme="minorHAnsi" w:cstheme="minorHAnsi"/>
        </w:rPr>
        <w:t xml:space="preserve">aandelen bezitten alle aandeelhoudersrechten met uitzondering van het stemrecht, met de benadering van </w:t>
      </w:r>
      <w:proofErr w:type="spellStart"/>
      <w:r w:rsidR="00940C49">
        <w:rPr>
          <w:rFonts w:asciiTheme="minorHAnsi" w:hAnsiTheme="minorHAnsi" w:cstheme="minorHAnsi"/>
        </w:rPr>
        <w:t>Hiemstra</w:t>
      </w:r>
      <w:proofErr w:type="spellEnd"/>
      <w:r w:rsidR="00940C49">
        <w:rPr>
          <w:rFonts w:asciiTheme="minorHAnsi" w:hAnsiTheme="minorHAnsi" w:cstheme="minorHAnsi"/>
        </w:rPr>
        <w:t xml:space="preserve"> is het aannemelijk dat op deze aandelen wel de deelnemingsvrijstelling van toepassing kan zijn. </w:t>
      </w:r>
    </w:p>
    <w:p w:rsidR="00BA68AF" w:rsidRDefault="00BA68AF" w:rsidP="00A327D4">
      <w:pPr>
        <w:jc w:val="both"/>
        <w:rPr>
          <w:rFonts w:asciiTheme="minorHAnsi" w:hAnsiTheme="minorHAnsi" w:cstheme="minorHAnsi"/>
        </w:rPr>
      </w:pPr>
    </w:p>
    <w:p w:rsidR="00940C49" w:rsidRDefault="00106907" w:rsidP="00A327D4">
      <w:pPr>
        <w:jc w:val="both"/>
        <w:rPr>
          <w:rFonts w:asciiTheme="minorHAnsi" w:hAnsiTheme="minorHAnsi" w:cstheme="minorHAnsi"/>
          <w:b/>
        </w:rPr>
      </w:pPr>
      <w:r>
        <w:rPr>
          <w:rFonts w:asciiTheme="minorHAnsi" w:hAnsiTheme="minorHAnsi" w:cstheme="minorHAnsi"/>
          <w:b/>
        </w:rPr>
        <w:t xml:space="preserve">3.4  </w:t>
      </w:r>
      <w:r w:rsidR="00940C49">
        <w:rPr>
          <w:rFonts w:asciiTheme="minorHAnsi" w:hAnsiTheme="minorHAnsi" w:cstheme="minorHAnsi"/>
          <w:b/>
        </w:rPr>
        <w:t>Fiscale eenheid</w:t>
      </w:r>
    </w:p>
    <w:p w:rsidR="00940C49" w:rsidRDefault="00940C49" w:rsidP="006A4609">
      <w:pPr>
        <w:ind w:firstLine="708"/>
        <w:jc w:val="both"/>
        <w:rPr>
          <w:rFonts w:asciiTheme="minorHAnsi" w:hAnsiTheme="minorHAnsi" w:cstheme="minorHAnsi"/>
        </w:rPr>
      </w:pPr>
      <w:r>
        <w:rPr>
          <w:rFonts w:asciiTheme="minorHAnsi" w:hAnsiTheme="minorHAnsi" w:cstheme="minorHAnsi"/>
        </w:rPr>
        <w:t xml:space="preserve">Om een fiscale eenheid te kunnen vormen is er volgens </w:t>
      </w:r>
      <w:r w:rsidR="00F65AEC">
        <w:rPr>
          <w:rFonts w:asciiTheme="minorHAnsi" w:hAnsiTheme="minorHAnsi" w:cstheme="minorHAnsi"/>
        </w:rPr>
        <w:t xml:space="preserve">art. </w:t>
      </w:r>
      <w:r>
        <w:rPr>
          <w:rFonts w:asciiTheme="minorHAnsi" w:hAnsiTheme="minorHAnsi" w:cstheme="minorHAnsi"/>
        </w:rPr>
        <w:t>15, eerste lid,</w:t>
      </w:r>
      <w:r w:rsidR="00204C1F">
        <w:rPr>
          <w:rFonts w:asciiTheme="minorHAnsi" w:hAnsiTheme="minorHAnsi" w:cstheme="minorHAnsi"/>
        </w:rPr>
        <w:t xml:space="preserve"> </w:t>
      </w:r>
      <w:r w:rsidR="00204C1F">
        <w:t>Wet VPB 1969</w:t>
      </w:r>
      <w:r>
        <w:rPr>
          <w:rFonts w:asciiTheme="minorHAnsi" w:hAnsiTheme="minorHAnsi" w:cstheme="minorHAnsi"/>
        </w:rPr>
        <w:t xml:space="preserve"> vereist dat de moedermaatschappij ten minste 95% van de aandelen bezit, dit geldt voor zowel de juridische als economische eigendom. De gedachte hierachter is dat maatschappijen slechts als één belastingplichtige aangemerkt mogen worden indien zij ook geheel als een dergelijke eenheid opereren.</w:t>
      </w:r>
      <w:r>
        <w:rPr>
          <w:rStyle w:val="FootnoteReference"/>
          <w:rFonts w:asciiTheme="minorHAnsi" w:hAnsiTheme="minorHAnsi"/>
        </w:rPr>
        <w:footnoteReference w:id="87"/>
      </w:r>
      <w:r>
        <w:rPr>
          <w:rFonts w:asciiTheme="minorHAnsi" w:hAnsiTheme="minorHAnsi" w:cstheme="minorHAnsi"/>
        </w:rPr>
        <w:t xml:space="preserve"> In het Besluit FE 2003 wordt bepaald dat in geval van soorten aandelen, de aandelen waarvan de moedermaatschappij de juridisch en economisch eigendom van bezit gezamenlijk ten minste 95% recht geven op de winst en ten minste 95%  van het vermogen. Wanneer een vennootschap 5% van het gestorte kapitaal of minder bezit van een bijzonder soort aandelen, waarvan ook het winstrecht onder de 5% blijft, kan volgens het Besluit FE 2003 een moedermaatschappij die geen aandeel houdt in deze bijzondere soort aandelen een fiscale eenheid vormen.</w:t>
      </w:r>
      <w:r>
        <w:rPr>
          <w:rStyle w:val="FootnoteReference"/>
          <w:rFonts w:asciiTheme="minorHAnsi" w:hAnsiTheme="minorHAnsi"/>
        </w:rPr>
        <w:footnoteReference w:id="88"/>
      </w:r>
      <w:r>
        <w:rPr>
          <w:rFonts w:asciiTheme="minorHAnsi" w:hAnsiTheme="minorHAnsi" w:cstheme="minorHAnsi"/>
        </w:rPr>
        <w:t xml:space="preserve"> </w:t>
      </w:r>
    </w:p>
    <w:p w:rsidR="00940C49" w:rsidRPr="000E2717" w:rsidRDefault="00940C49" w:rsidP="00A327D4">
      <w:pPr>
        <w:ind w:firstLine="708"/>
        <w:jc w:val="both"/>
        <w:rPr>
          <w:rFonts w:asciiTheme="minorHAnsi" w:hAnsiTheme="minorHAnsi" w:cstheme="minorHAnsi"/>
        </w:rPr>
      </w:pPr>
      <w:r>
        <w:rPr>
          <w:rFonts w:asciiTheme="minorHAnsi" w:hAnsiTheme="minorHAnsi" w:cstheme="minorHAnsi"/>
        </w:rPr>
        <w:t xml:space="preserve">Volgens </w:t>
      </w:r>
      <w:proofErr w:type="spellStart"/>
      <w:r>
        <w:rPr>
          <w:rFonts w:asciiTheme="minorHAnsi" w:hAnsiTheme="minorHAnsi" w:cstheme="minorHAnsi"/>
        </w:rPr>
        <w:t>Kinnegim</w:t>
      </w:r>
      <w:proofErr w:type="spellEnd"/>
      <w:r>
        <w:rPr>
          <w:rFonts w:asciiTheme="minorHAnsi" w:hAnsiTheme="minorHAnsi" w:cstheme="minorHAnsi"/>
        </w:rPr>
        <w:t xml:space="preserve"> is het in een </w:t>
      </w:r>
      <w:proofErr w:type="spellStart"/>
      <w:r>
        <w:rPr>
          <w:rFonts w:asciiTheme="minorHAnsi" w:hAnsiTheme="minorHAnsi" w:cstheme="minorHAnsi"/>
        </w:rPr>
        <w:t>flex-</w:t>
      </w:r>
      <w:r w:rsidR="00204C1F">
        <w:rPr>
          <w:rFonts w:asciiTheme="minorHAnsi" w:hAnsiTheme="minorHAnsi" w:cstheme="minorHAnsi"/>
        </w:rPr>
        <w:t>bv</w:t>
      </w:r>
      <w:proofErr w:type="spellEnd"/>
      <w:r>
        <w:rPr>
          <w:rFonts w:asciiTheme="minorHAnsi" w:hAnsiTheme="minorHAnsi" w:cstheme="minorHAnsi"/>
        </w:rPr>
        <w:t xml:space="preserve"> mogelijk dat een derde alle stemrechtaandelen houdt zolang dit maar maximaal 5% van het gestorte kapitaal is. Tevens gaat dit volgens hem op indien de moedermaatschappij 95% van de winstrechtaandelen houdt.</w:t>
      </w:r>
      <w:r>
        <w:rPr>
          <w:rStyle w:val="FootnoteReference"/>
          <w:rFonts w:asciiTheme="minorHAnsi" w:hAnsiTheme="minorHAnsi"/>
        </w:rPr>
        <w:footnoteReference w:id="89"/>
      </w:r>
      <w:r>
        <w:rPr>
          <w:rFonts w:asciiTheme="minorHAnsi" w:hAnsiTheme="minorHAnsi" w:cstheme="minorHAnsi"/>
        </w:rPr>
        <w:t xml:space="preserve"> Dit betekent dat de </w:t>
      </w:r>
      <w:r>
        <w:rPr>
          <w:rFonts w:asciiTheme="minorHAnsi" w:hAnsiTheme="minorHAnsi" w:cstheme="minorHAnsi"/>
        </w:rPr>
        <w:lastRenderedPageBreak/>
        <w:t xml:space="preserve">moedermaatschappij toch nog in bezit is van de economisch en juridisch eigendom zonder dat de overige 5% aandelen in het gestorte kapitaal meer dan 5% recht geeft op de winst of het vermogen. Volgens </w:t>
      </w:r>
      <w:proofErr w:type="spellStart"/>
      <w:r>
        <w:rPr>
          <w:rFonts w:asciiTheme="minorHAnsi" w:hAnsiTheme="minorHAnsi" w:cstheme="minorHAnsi"/>
        </w:rPr>
        <w:t>kinnegim</w:t>
      </w:r>
      <w:proofErr w:type="spellEnd"/>
      <w:r>
        <w:rPr>
          <w:rFonts w:asciiTheme="minorHAnsi" w:hAnsiTheme="minorHAnsi" w:cstheme="minorHAnsi"/>
        </w:rPr>
        <w:t xml:space="preserve"> was het niet de bedoeling van de wetgever dat de </w:t>
      </w:r>
      <w:proofErr w:type="spellStart"/>
      <w:r>
        <w:rPr>
          <w:rFonts w:asciiTheme="minorHAnsi" w:hAnsiTheme="minorHAnsi" w:cstheme="minorHAnsi"/>
        </w:rPr>
        <w:t>flex-bv</w:t>
      </w:r>
      <w:proofErr w:type="spellEnd"/>
      <w:r>
        <w:rPr>
          <w:rFonts w:asciiTheme="minorHAnsi" w:hAnsiTheme="minorHAnsi" w:cstheme="minorHAnsi"/>
        </w:rPr>
        <w:t xml:space="preserve">, en in het bijzonder de </w:t>
      </w:r>
      <w:r w:rsidR="00F65AEC">
        <w:rPr>
          <w:rFonts w:asciiTheme="minorHAnsi" w:hAnsiTheme="minorHAnsi" w:cstheme="minorHAnsi"/>
        </w:rPr>
        <w:t xml:space="preserve">stemrechtaandelen </w:t>
      </w:r>
      <w:r>
        <w:rPr>
          <w:rFonts w:asciiTheme="minorHAnsi" w:hAnsiTheme="minorHAnsi" w:cstheme="minorHAnsi"/>
        </w:rPr>
        <w:t xml:space="preserve">en </w:t>
      </w:r>
      <w:proofErr w:type="spellStart"/>
      <w:r>
        <w:rPr>
          <w:rFonts w:asciiTheme="minorHAnsi" w:hAnsiTheme="minorHAnsi" w:cstheme="minorHAnsi"/>
        </w:rPr>
        <w:t>winstrechtaandelen</w:t>
      </w:r>
      <w:proofErr w:type="spellEnd"/>
      <w:r>
        <w:rPr>
          <w:rFonts w:asciiTheme="minorHAnsi" w:hAnsiTheme="minorHAnsi" w:cstheme="minorHAnsi"/>
        </w:rPr>
        <w:t>, zou leiden tot uitkomsten die niet passen binnen het regime van de fiscale eenheid. Noch was het de bedoeling dat een moedermaatschappij in bezit van de economische en juridische eigendom van 95% in het gestorte kapitaal een fiscale eenheid kan vormen zonder dat deze enige stemrecht heeft</w:t>
      </w:r>
      <w:r>
        <w:rPr>
          <w:rStyle w:val="FootnoteReference"/>
          <w:rFonts w:asciiTheme="minorHAnsi" w:hAnsiTheme="minorHAnsi"/>
        </w:rPr>
        <w:footnoteReference w:id="90"/>
      </w:r>
      <w:r>
        <w:rPr>
          <w:rFonts w:asciiTheme="minorHAnsi" w:hAnsiTheme="minorHAnsi" w:cstheme="minorHAnsi"/>
        </w:rPr>
        <w:t xml:space="preserve">, </w:t>
      </w:r>
      <w:proofErr w:type="spellStart"/>
      <w:r>
        <w:rPr>
          <w:rFonts w:asciiTheme="minorHAnsi" w:hAnsiTheme="minorHAnsi" w:cstheme="minorHAnsi"/>
        </w:rPr>
        <w:t>Zuidgeest</w:t>
      </w:r>
      <w:proofErr w:type="spellEnd"/>
      <w:r>
        <w:rPr>
          <w:rFonts w:asciiTheme="minorHAnsi" w:hAnsiTheme="minorHAnsi" w:cstheme="minorHAnsi"/>
        </w:rPr>
        <w:t xml:space="preserve"> sluit zich aan bij de stelling van </w:t>
      </w:r>
      <w:proofErr w:type="spellStart"/>
      <w:r>
        <w:rPr>
          <w:rFonts w:asciiTheme="minorHAnsi" w:hAnsiTheme="minorHAnsi" w:cstheme="minorHAnsi"/>
        </w:rPr>
        <w:t>Kinnegim</w:t>
      </w:r>
      <w:proofErr w:type="spellEnd"/>
      <w:r>
        <w:rPr>
          <w:rFonts w:asciiTheme="minorHAnsi" w:hAnsiTheme="minorHAnsi" w:cstheme="minorHAnsi"/>
        </w:rPr>
        <w:t>.</w:t>
      </w:r>
      <w:r>
        <w:rPr>
          <w:rStyle w:val="FootnoteReference"/>
          <w:rFonts w:asciiTheme="minorHAnsi" w:hAnsiTheme="minorHAnsi"/>
        </w:rPr>
        <w:footnoteReference w:id="91"/>
      </w:r>
      <w:r>
        <w:rPr>
          <w:rFonts w:asciiTheme="minorHAnsi" w:hAnsiTheme="minorHAnsi" w:cstheme="minorHAnsi"/>
        </w:rPr>
        <w:t xml:space="preserve"> </w:t>
      </w:r>
      <w:proofErr w:type="spellStart"/>
      <w:r>
        <w:rPr>
          <w:rFonts w:asciiTheme="minorHAnsi" w:hAnsiTheme="minorHAnsi" w:cstheme="minorHAnsi"/>
        </w:rPr>
        <w:t>Zuidgeest</w:t>
      </w:r>
      <w:proofErr w:type="spellEnd"/>
      <w:r>
        <w:rPr>
          <w:rFonts w:asciiTheme="minorHAnsi" w:hAnsiTheme="minorHAnsi" w:cstheme="minorHAnsi"/>
        </w:rPr>
        <w:t xml:space="preserve"> gaat hier nog verder en stelt dat de aantasting van de concerngedachte met zich meebrengt dat er een niet te rechtvaardigen verschil in behandeling is met de certificaten in de dochtermaatschappij welke binnen drie maanden moeten worden omgewisseld, vooraleer er een fiscale eenheid gevormd mag worden. Samen met </w:t>
      </w:r>
      <w:proofErr w:type="spellStart"/>
      <w:r>
        <w:rPr>
          <w:rFonts w:asciiTheme="minorHAnsi" w:hAnsiTheme="minorHAnsi" w:cstheme="minorHAnsi"/>
        </w:rPr>
        <w:t>Zuidgeest</w:t>
      </w:r>
      <w:proofErr w:type="spellEnd"/>
      <w:r>
        <w:rPr>
          <w:rFonts w:asciiTheme="minorHAnsi" w:hAnsiTheme="minorHAnsi" w:cstheme="minorHAnsi"/>
        </w:rPr>
        <w:t xml:space="preserve"> is menig auteur in het belang van meer evenwichtigheid van mening dat in </w:t>
      </w:r>
      <w:r w:rsidR="00204C1F">
        <w:rPr>
          <w:rFonts w:asciiTheme="minorHAnsi" w:hAnsiTheme="minorHAnsi" w:cstheme="minorHAnsi"/>
        </w:rPr>
        <w:t xml:space="preserve">art. </w:t>
      </w:r>
      <w:r>
        <w:rPr>
          <w:rFonts w:asciiTheme="minorHAnsi" w:hAnsiTheme="minorHAnsi" w:cstheme="minorHAnsi"/>
        </w:rPr>
        <w:t>2 Besluit FE 2003 moet worden bepaald dat de aandelen in het bezit van de moedermaatschappij ook recht moet geven op ten minste 95% van het stemrecht.</w:t>
      </w:r>
      <w:r>
        <w:rPr>
          <w:rStyle w:val="FootnoteReference"/>
          <w:rFonts w:asciiTheme="minorHAnsi" w:hAnsiTheme="minorHAnsi"/>
        </w:rPr>
        <w:footnoteReference w:id="92"/>
      </w:r>
      <w:r>
        <w:rPr>
          <w:rFonts w:asciiTheme="minorHAnsi" w:hAnsiTheme="minorHAnsi" w:cstheme="minorHAnsi"/>
        </w:rPr>
        <w:t xml:space="preserve"> Deze kritiek heeft geleid tot de aangekondigde aanpassing van </w:t>
      </w:r>
      <w:r w:rsidR="00204C1F">
        <w:rPr>
          <w:rFonts w:asciiTheme="minorHAnsi" w:hAnsiTheme="minorHAnsi" w:cstheme="minorHAnsi"/>
        </w:rPr>
        <w:t xml:space="preserve">art. </w:t>
      </w:r>
      <w:r>
        <w:rPr>
          <w:rFonts w:asciiTheme="minorHAnsi" w:hAnsiTheme="minorHAnsi" w:cstheme="minorHAnsi"/>
        </w:rPr>
        <w:t xml:space="preserve">2 Besluit FE 2003. Naast de 95%-eis van aandelen die recht geven op de winst, zal in </w:t>
      </w:r>
      <w:r w:rsidR="00204C1F">
        <w:rPr>
          <w:rFonts w:asciiTheme="minorHAnsi" w:hAnsiTheme="minorHAnsi" w:cstheme="minorHAnsi"/>
        </w:rPr>
        <w:t xml:space="preserve">art. </w:t>
      </w:r>
      <w:r>
        <w:rPr>
          <w:rFonts w:asciiTheme="minorHAnsi" w:hAnsiTheme="minorHAnsi" w:cstheme="minorHAnsi"/>
        </w:rPr>
        <w:t>2 Besluit FE 2003 ook een 95%-eis verschijnen met betrekking tot de stemrechten op aandelen die de moedermaatschappij in bezit heeft. Deze aanpassing lijkt in overeenstemming te zijn met de bedoeling van de juridische eigendomseis, te weten het verzekeren dat de moeder de ‘volledige’ zeggenschap heeft in de dochter.</w:t>
      </w:r>
      <w:r>
        <w:rPr>
          <w:rStyle w:val="FootnoteReference"/>
          <w:rFonts w:asciiTheme="minorHAnsi" w:hAnsiTheme="minorHAnsi"/>
        </w:rPr>
        <w:footnoteReference w:id="93"/>
      </w:r>
      <w:r>
        <w:rPr>
          <w:rFonts w:asciiTheme="minorHAnsi" w:hAnsiTheme="minorHAnsi" w:cstheme="minorHAnsi"/>
        </w:rPr>
        <w:t xml:space="preserve"> De Hoge Raad bevestigt deze gedachte in zijn uitspraak van </w:t>
      </w:r>
      <w:r>
        <w:rPr>
          <w:rFonts w:asciiTheme="minorHAnsi" w:hAnsiTheme="minorHAnsi" w:cstheme="minorHAnsi"/>
          <w:i/>
        </w:rPr>
        <w:t>18 juni 2010</w:t>
      </w:r>
      <w:r>
        <w:rPr>
          <w:rStyle w:val="FootnoteReference"/>
          <w:rFonts w:asciiTheme="minorHAnsi" w:hAnsiTheme="minorHAnsi"/>
          <w:i/>
        </w:rPr>
        <w:footnoteReference w:id="94"/>
      </w:r>
      <w:r>
        <w:rPr>
          <w:rFonts w:asciiTheme="minorHAnsi" w:hAnsiTheme="minorHAnsi" w:cstheme="minorHAnsi"/>
        </w:rPr>
        <w:t xml:space="preserve">, waarin een fiscale eenheid wordt toegestaan. In casu bezat de moedermaatschappij certificaten van aandelen en tevens de stichting administratiekantoor, waarbij de stichting administratiekantoor de stemrechten moest uitoefenen conform de instructies van de moedermaatschappij. Van de Streek vindt de aanpassing in </w:t>
      </w:r>
      <w:r w:rsidR="008D05C6">
        <w:rPr>
          <w:rFonts w:asciiTheme="minorHAnsi" w:hAnsiTheme="minorHAnsi" w:cstheme="minorHAnsi"/>
        </w:rPr>
        <w:t xml:space="preserve">art. </w:t>
      </w:r>
      <w:r>
        <w:rPr>
          <w:rFonts w:asciiTheme="minorHAnsi" w:hAnsiTheme="minorHAnsi" w:cstheme="minorHAnsi"/>
        </w:rPr>
        <w:t>2 Besluit FE 2003 niet voldoende en ziet de bezitseis in de fiscale eenheid het liefst `geflexibiliseerd´.</w:t>
      </w:r>
      <w:r>
        <w:rPr>
          <w:rStyle w:val="FootnoteReference"/>
          <w:rFonts w:asciiTheme="minorHAnsi" w:hAnsiTheme="minorHAnsi"/>
        </w:rPr>
        <w:footnoteReference w:id="95"/>
      </w:r>
      <w:r>
        <w:rPr>
          <w:rFonts w:asciiTheme="minorHAnsi" w:hAnsiTheme="minorHAnsi" w:cstheme="minorHAnsi"/>
        </w:rPr>
        <w:t xml:space="preserve"> Hiermee doelt de auteur op de situatie waarin een moedermaatschappij via één of meerdere aandelen een bezit heeft in de dochter van ten minste 95% in de vorm van winstrechten, vermogensrechten en stemrechten. De daadwerkelijk gehouden aandelen in de dochter worden allerminst als relevant bezien door de auteur. Mijns inziens is de aanpassing in het Besluit FE 2003 een kleine stap naar meer heroverwegingen met betrekking tot de flexibele BV.    </w:t>
      </w:r>
    </w:p>
    <w:p w:rsidR="00940C49" w:rsidRDefault="003806EC" w:rsidP="00A327D4">
      <w:pPr>
        <w:jc w:val="both"/>
        <w:rPr>
          <w:rFonts w:asciiTheme="minorHAnsi" w:hAnsiTheme="minorHAnsi" w:cstheme="minorHAnsi"/>
          <w:b/>
        </w:rPr>
      </w:pPr>
      <w:r>
        <w:rPr>
          <w:rFonts w:asciiTheme="minorHAnsi" w:hAnsiTheme="minorHAnsi" w:cstheme="minorHAnsi"/>
          <w:b/>
        </w:rPr>
        <w:lastRenderedPageBreak/>
        <w:t xml:space="preserve">3.5  </w:t>
      </w:r>
      <w:r w:rsidR="00940C49">
        <w:rPr>
          <w:rFonts w:asciiTheme="minorHAnsi" w:hAnsiTheme="minorHAnsi" w:cstheme="minorHAnsi"/>
          <w:b/>
        </w:rPr>
        <w:t>Conclusie</w:t>
      </w:r>
    </w:p>
    <w:p w:rsidR="00940C49" w:rsidRDefault="00940C49" w:rsidP="0033089C">
      <w:pPr>
        <w:ind w:firstLine="708"/>
        <w:jc w:val="both"/>
      </w:pPr>
      <w:r>
        <w:t xml:space="preserve">Het begrip belang vervult een belangrijke rol binnen de verbondenheidsbepaling van </w:t>
      </w:r>
      <w:r w:rsidR="008D05C6">
        <w:t xml:space="preserve">art. </w:t>
      </w:r>
      <w:r>
        <w:t>10a.</w:t>
      </w:r>
      <w:r w:rsidR="008D05C6">
        <w:t xml:space="preserve"> Wet VPB 1969</w:t>
      </w:r>
      <w:r>
        <w:t xml:space="preserve"> desondanks kent de wet geen precieze definiëring van het begrip belang. In de literatuur is hier door menigeen kritiek op geleverd. Het voornaamste vraagstuk betrof de benadering van de interpretatie van het belang. Dit kan hetzij op een formele hetzij op een materiële definitie duiden. Bij de formele benadering speelt het financieel belang een rol terwijl de materiële benadering het zeggenschapselement heeft als voorspreker. Uit de vorige paragrafen valt te herleiden dat deze laatste ook de voorkeur geniet binnen de literatuur. Redengevend is de redenatie welke stelt dat onder andere de centrale leiding in een concernbegrip een bepalende rol heeft. Daarnaast is de mate van invloed belangrijke omdat art. 10a</w:t>
      </w:r>
      <w:r w:rsidR="008D05C6">
        <w:t xml:space="preserve"> Wet VPB 1969</w:t>
      </w:r>
      <w:r>
        <w:t xml:space="preserve"> een antimisbruikbepaling is. Binnen concerns zullen de beslissingen tot frauduleus handelen in handen zijn van beleidsbepalende figuren. In de memorie van toelichting wordt ook aandacht besteed aan de geplaatste kapitaal ter relevantie van het bepalen van de reikwijdte van het begrip belang. Menig auteur is van mening dat indien het belang het geplaatste kapitaal of de stemrechten vertegenwoordigd, de zeggenschap en dus het materieel belang leidend zou moeten zijn in de beoordeling. Tot op heden hebben de uitvoerende machten vooralsnog anders besloten en zien deze de zeggenschap niet als een doorslaggevende factor in de beoordeling of sprake is van een </w:t>
      </w:r>
      <w:proofErr w:type="spellStart"/>
      <w:r>
        <w:t>een</w:t>
      </w:r>
      <w:proofErr w:type="spellEnd"/>
      <w:r>
        <w:t xml:space="preserve"> derde belang op basis van </w:t>
      </w:r>
      <w:r w:rsidR="00F65AEC">
        <w:t xml:space="preserve">art. </w:t>
      </w:r>
      <w:r>
        <w:t>10a</w:t>
      </w:r>
      <w:r w:rsidR="008D05C6">
        <w:t xml:space="preserve"> Wet VPB 1969</w:t>
      </w:r>
      <w:r>
        <w:t>.</w:t>
      </w:r>
    </w:p>
    <w:p w:rsidR="00940C49" w:rsidRDefault="00940C49" w:rsidP="00A327D4">
      <w:pPr>
        <w:ind w:firstLine="708"/>
        <w:jc w:val="both"/>
      </w:pPr>
      <w:r>
        <w:t xml:space="preserve">De deelnemingsvrijstelling kent een formele 5%-eis. Door </w:t>
      </w:r>
      <w:proofErr w:type="spellStart"/>
      <w:r>
        <w:t>Kinnegim</w:t>
      </w:r>
      <w:proofErr w:type="spellEnd"/>
      <w:r>
        <w:t xml:space="preserve"> wordt gesteld dat na invoering van </w:t>
      </w:r>
      <w:r w:rsidR="008D05C6">
        <w:t xml:space="preserve">stemrechtaandelen </w:t>
      </w:r>
      <w:r>
        <w:t xml:space="preserve">en winstrechtaandelen makkelijker aanspraak gemaakt kan worden op de deelnemingsvrijstelling. Geen verandering in het economisch belang zou volgens </w:t>
      </w:r>
      <w:proofErr w:type="spellStart"/>
      <w:r>
        <w:t>Kinnegim</w:t>
      </w:r>
      <w:proofErr w:type="spellEnd"/>
      <w:r>
        <w:t xml:space="preserve"> en </w:t>
      </w:r>
      <w:proofErr w:type="spellStart"/>
      <w:r>
        <w:t>Arends</w:t>
      </w:r>
      <w:proofErr w:type="spellEnd"/>
      <w:r>
        <w:t xml:space="preserve"> niet moeten leiden tot de mogelijkheid het recht te verkrijgen op de deelnemingsvrijstelling. In essentie verschilt een winstrechtaandeel niet van een preferente aandeel in die zin dat beide recht geven op de winst, doch niet op de zeggenschap. Aangezien de preferente aandelen wel onder de deelnemingsvrijstelling kunnen vallen volgens het hiervoor aangehaalde besluit van de minister van Financiën lijkt het mij in de regel dat op winstrechtaandelen die geen recht op zeggenschap geven wel de vrijstelling van toepassing kan zijn.</w:t>
      </w:r>
    </w:p>
    <w:p w:rsidR="00940C49" w:rsidRDefault="00940C49" w:rsidP="00A327D4">
      <w:pPr>
        <w:ind w:firstLine="708"/>
        <w:jc w:val="both"/>
      </w:pPr>
      <w:r>
        <w:t xml:space="preserve">Ook de fiscale eenheid ondervindt mijns inziens de gevolgen van de invoering van de </w:t>
      </w:r>
      <w:r w:rsidR="008D05C6">
        <w:t xml:space="preserve">stemrechtaandelen </w:t>
      </w:r>
      <w:r>
        <w:t xml:space="preserve">en winstrechtaandelen. Hevige kritiek is geuit op het feit dat er geen 95% van de stemrechten vereist waren om een fiscale eenheid aan te gaan. Het was niet de bedoeling om uitkomsten te creëren die niet binnen het fiscale eenheidsregime passen. Zodoende is een aanpassing aangekondigd in </w:t>
      </w:r>
      <w:r w:rsidR="008D05C6">
        <w:t xml:space="preserve">art. </w:t>
      </w:r>
      <w:r>
        <w:t xml:space="preserve">2 Besluit FE 2003. Zodoende is de fiscale eenheid de enige fiscale figuur die een aanpassing verdiende volgens de wetgever. Dit is een goede stap geweest om de ongunstige gevolgen voor de fiscaliteit te minimaliseren.  </w:t>
      </w:r>
    </w:p>
    <w:p w:rsidR="00940C49" w:rsidRDefault="00940C49" w:rsidP="00A327D4">
      <w:pPr>
        <w:jc w:val="both"/>
      </w:pPr>
    </w:p>
    <w:p w:rsidR="00DD7CA1" w:rsidRPr="00526EC2" w:rsidRDefault="006B075A" w:rsidP="00A327D4">
      <w:pPr>
        <w:ind w:left="2832" w:firstLine="708"/>
        <w:jc w:val="both"/>
        <w:rPr>
          <w:rFonts w:asciiTheme="minorHAnsi" w:hAnsiTheme="minorHAnsi" w:cstheme="minorHAnsi"/>
          <w:b/>
          <w:sz w:val="24"/>
          <w:szCs w:val="24"/>
        </w:rPr>
      </w:pPr>
      <w:r w:rsidRPr="00526EC2">
        <w:rPr>
          <w:rFonts w:asciiTheme="minorHAnsi" w:hAnsiTheme="minorHAnsi" w:cstheme="minorHAnsi"/>
          <w:b/>
          <w:sz w:val="24"/>
          <w:szCs w:val="24"/>
        </w:rPr>
        <w:lastRenderedPageBreak/>
        <w:t>Hoofdstuk 4</w:t>
      </w:r>
      <w:r w:rsidR="00940C49" w:rsidRPr="00526EC2">
        <w:rPr>
          <w:rFonts w:asciiTheme="minorHAnsi" w:hAnsiTheme="minorHAnsi" w:cstheme="minorHAnsi"/>
          <w:b/>
          <w:sz w:val="24"/>
          <w:szCs w:val="24"/>
        </w:rPr>
        <w:t xml:space="preserve"> </w:t>
      </w:r>
      <w:r w:rsidR="00940C49" w:rsidRPr="00526EC2">
        <w:rPr>
          <w:rFonts w:asciiTheme="minorHAnsi" w:hAnsiTheme="minorHAnsi" w:cstheme="minorHAnsi"/>
          <w:b/>
          <w:sz w:val="24"/>
          <w:szCs w:val="24"/>
        </w:rPr>
        <w:tab/>
      </w:r>
      <w:r w:rsidR="00940C49" w:rsidRPr="00526EC2">
        <w:rPr>
          <w:rFonts w:asciiTheme="minorHAnsi" w:hAnsiTheme="minorHAnsi" w:cstheme="minorHAnsi"/>
          <w:b/>
          <w:sz w:val="24"/>
          <w:szCs w:val="24"/>
        </w:rPr>
        <w:tab/>
      </w:r>
    </w:p>
    <w:p w:rsidR="00533D72" w:rsidRPr="00526EC2" w:rsidRDefault="00533D72" w:rsidP="00A327D4">
      <w:pPr>
        <w:jc w:val="both"/>
        <w:rPr>
          <w:rFonts w:asciiTheme="minorHAnsi" w:hAnsiTheme="minorHAnsi" w:cstheme="minorHAnsi"/>
          <w:b/>
          <w:sz w:val="24"/>
          <w:szCs w:val="24"/>
        </w:rPr>
      </w:pPr>
      <w:r w:rsidRPr="00526EC2">
        <w:rPr>
          <w:rFonts w:asciiTheme="minorHAnsi" w:hAnsiTheme="minorHAnsi" w:cstheme="minorHAnsi"/>
          <w:b/>
          <w:sz w:val="24"/>
          <w:szCs w:val="24"/>
        </w:rPr>
        <w:tab/>
      </w:r>
      <w:r w:rsidRPr="00526EC2">
        <w:rPr>
          <w:rFonts w:asciiTheme="minorHAnsi" w:hAnsiTheme="minorHAnsi" w:cstheme="minorHAnsi"/>
          <w:b/>
          <w:sz w:val="24"/>
          <w:szCs w:val="24"/>
        </w:rPr>
        <w:tab/>
      </w:r>
      <w:r w:rsidRPr="00526EC2">
        <w:rPr>
          <w:rFonts w:asciiTheme="minorHAnsi" w:hAnsiTheme="minorHAnsi" w:cstheme="minorHAnsi"/>
          <w:b/>
          <w:sz w:val="24"/>
          <w:szCs w:val="24"/>
        </w:rPr>
        <w:tab/>
      </w:r>
      <w:r w:rsidRPr="00526EC2">
        <w:rPr>
          <w:rFonts w:asciiTheme="minorHAnsi" w:hAnsiTheme="minorHAnsi" w:cstheme="minorHAnsi"/>
          <w:b/>
          <w:sz w:val="24"/>
          <w:szCs w:val="24"/>
        </w:rPr>
        <w:tab/>
        <w:t xml:space="preserve">   Samenvatting en conclusie</w:t>
      </w:r>
    </w:p>
    <w:p w:rsidR="006B075A" w:rsidRPr="006B075A" w:rsidRDefault="00CC6F5B" w:rsidP="00A327D4">
      <w:pPr>
        <w:jc w:val="both"/>
        <w:rPr>
          <w:b/>
        </w:rPr>
      </w:pPr>
      <w:r>
        <w:rPr>
          <w:b/>
        </w:rPr>
        <w:t xml:space="preserve">4.1  </w:t>
      </w:r>
      <w:r w:rsidR="006B075A" w:rsidRPr="006B075A">
        <w:rPr>
          <w:b/>
        </w:rPr>
        <w:t>Inleiding</w:t>
      </w:r>
    </w:p>
    <w:p w:rsidR="007D761B" w:rsidRDefault="00917A0C" w:rsidP="00A327D4">
      <w:pPr>
        <w:ind w:firstLine="708"/>
        <w:jc w:val="both"/>
      </w:pPr>
      <w:r>
        <w:t xml:space="preserve">In mijn onderzoek stond het begrip belang centraal. Mijn hoofdvraag luidt dan ook: </w:t>
      </w:r>
    </w:p>
    <w:p w:rsidR="007D761B" w:rsidRDefault="007D761B" w:rsidP="00A327D4">
      <w:pPr>
        <w:ind w:firstLine="708"/>
        <w:jc w:val="both"/>
      </w:pPr>
    </w:p>
    <w:p w:rsidR="00C93ACE" w:rsidRDefault="00917A0C">
      <w:pPr>
        <w:ind w:left="708"/>
        <w:jc w:val="both"/>
      </w:pPr>
      <w:r>
        <w:t>“</w:t>
      </w:r>
      <w:r w:rsidR="00B72A55">
        <w:rPr>
          <w:rFonts w:cs="Calibri"/>
          <w:i/>
        </w:rPr>
        <w:t>Is de definiëring en reikwijdte van het begrip belang zoals deze thans geldt klaar voor de flexibilisering van het bv-recht</w:t>
      </w:r>
      <w:r w:rsidR="007D761B">
        <w:rPr>
          <w:rFonts w:cs="Calibri"/>
          <w:i/>
        </w:rPr>
        <w:t>?</w:t>
      </w:r>
      <w:r w:rsidR="007D761B">
        <w:t>“.</w:t>
      </w:r>
    </w:p>
    <w:p w:rsidR="007D761B" w:rsidRDefault="007D761B" w:rsidP="00A327D4">
      <w:pPr>
        <w:ind w:firstLine="708"/>
        <w:jc w:val="both"/>
      </w:pPr>
    </w:p>
    <w:p w:rsidR="00917A0C" w:rsidRPr="00B72A55" w:rsidRDefault="00917A0C" w:rsidP="00A327D4">
      <w:pPr>
        <w:ind w:firstLine="708"/>
        <w:jc w:val="both"/>
        <w:rPr>
          <w:rFonts w:cs="Calibri"/>
          <w:i/>
        </w:rPr>
      </w:pPr>
      <w:r>
        <w:t>Ik ben begonnen met het beschrijven van het nieuwe bv-recht, de belangrijkste wijzigingen ten opzichte van het huidige bv-recht, en de cruciale wijzigingen met mogelijke gevolgen voor het begrip belang. Vervolgens heb ik laten zien welk effect het invoeren van de verschillende soorten aandelen kan hebben voor de term belang en de daaraan gekoppelde verbondenheid, de deelnemingsvrijstelling en de fiscale eenheid. Allen kennen een kwantitatieve grens</w:t>
      </w:r>
      <w:r w:rsidR="00390C6E">
        <w:t xml:space="preserve">. </w:t>
      </w:r>
    </w:p>
    <w:p w:rsidR="006B075A" w:rsidRDefault="006B075A" w:rsidP="00A327D4">
      <w:pPr>
        <w:ind w:firstLine="708"/>
        <w:jc w:val="both"/>
      </w:pPr>
      <w:r>
        <w:t xml:space="preserve">In dit laatste hoofdstuk van mijn onderzoek </w:t>
      </w:r>
      <w:r w:rsidR="008D05C6">
        <w:t xml:space="preserve">geef ik </w:t>
      </w:r>
      <w:r>
        <w:t xml:space="preserve">een korte samenvatting van mijn bevindingen in de voorgaande hoofdstukken en </w:t>
      </w:r>
      <w:r w:rsidR="008D05C6">
        <w:t xml:space="preserve">trek ik </w:t>
      </w:r>
      <w:r>
        <w:t xml:space="preserve">vervolgens een conclusie waarmee antwoord </w:t>
      </w:r>
      <w:r w:rsidR="008D05C6">
        <w:t xml:space="preserve">wordt </w:t>
      </w:r>
      <w:r>
        <w:t>gegeven op mijn hoofdvraag.</w:t>
      </w:r>
    </w:p>
    <w:p w:rsidR="00533D72" w:rsidRDefault="00533D72" w:rsidP="00A327D4">
      <w:pPr>
        <w:jc w:val="both"/>
      </w:pPr>
    </w:p>
    <w:p w:rsidR="00140712" w:rsidRPr="00140712" w:rsidRDefault="00533D72" w:rsidP="00A327D4">
      <w:pPr>
        <w:jc w:val="both"/>
      </w:pPr>
      <w:r>
        <w:rPr>
          <w:b/>
        </w:rPr>
        <w:t xml:space="preserve">4.2  </w:t>
      </w:r>
      <w:r w:rsidR="00140712">
        <w:rPr>
          <w:b/>
        </w:rPr>
        <w:t>Samenvatting</w:t>
      </w:r>
    </w:p>
    <w:p w:rsidR="005117C8" w:rsidRDefault="00C36672" w:rsidP="00A327D4">
      <w:pPr>
        <w:ind w:firstLine="708"/>
        <w:jc w:val="both"/>
      </w:pPr>
      <w:r>
        <w:t>In de praktijk wordt veelal gebruik gemaakt van de besloten vennootschap, toch zijn er voldoende belemmeringen die als lastig ervaren worden. Daarom gaf de minister opdracht aan de Expert groep om te onderzoeken welke problemen in de praktijk en de literatuur zijn opgemerkt. Dit heeft geleid tot onbevredigende resultaten, zodat besloten werd het bv-recht te versoepelen. De minister kwam met een concept-wetsvoorstel verdeel over drie tranches waar op geschoten kon worden met reacties vanuit de praktijk. In de tranches werden onder andere de orgaanstructuur en bevoegdheden, aandelen en certificaten, beslotenheid en de geschillenregeling, en de kapitaal en schuldeisersbescherming besproken.</w:t>
      </w:r>
      <w:r w:rsidR="00CA16F6">
        <w:t xml:space="preserve"> </w:t>
      </w:r>
      <w:r w:rsidR="009C2C65">
        <w:t xml:space="preserve">Daarnaast is in de tweede nota van wijziging de inbreng op aandelen in </w:t>
      </w:r>
      <w:proofErr w:type="spellStart"/>
      <w:r w:rsidR="009C2C65">
        <w:t>natura</w:t>
      </w:r>
      <w:proofErr w:type="spellEnd"/>
      <w:r w:rsidR="009C2C65">
        <w:t xml:space="preserve"> en de aansprakelijkheid onder de loep genomen. In </w:t>
      </w:r>
      <w:r w:rsidR="00E61EFB">
        <w:t xml:space="preserve">beginsel </w:t>
      </w:r>
      <w:r w:rsidR="009C2C65">
        <w:t>was er nauwelijks aandacht besteed aan de fiscale aspecten van het wetsvoorstel.</w:t>
      </w:r>
      <w:r w:rsidR="00DE0ECD">
        <w:t xml:space="preserve"> De wetgever stelde dat geen aanpassingen benodigd werden geacht in de rijksbelastingwetten. De Orde heeft haar commentaar uitgebracht, doorslaggevend was het rechtsbeginsel rechtszekerheid.</w:t>
      </w:r>
      <w:r w:rsidR="00617CF3">
        <w:t xml:space="preserve"> Vooral de afschaffing van het minimumkapitaal en de invoering van stemrechtaandelen en winstrechtaandelen verdienden volgens de Orde de nodige aandacht. De Orde vreest dat de onduidelijkheid omtrent het begrip belang met de invoering van de flexibele BV slechts zal toenemen. In verschillende bepalingen speelt verbondenheid een belangrijke rol, deze gaat vermomd in de vorm van kwalificerend aandelenbezit </w:t>
      </w:r>
      <w:r w:rsidR="00617CF3">
        <w:lastRenderedPageBreak/>
        <w:t>of “belang” bij de rechtspersoon.</w:t>
      </w:r>
      <w:r w:rsidR="00DE0ECD">
        <w:t xml:space="preserve"> </w:t>
      </w:r>
      <w:r w:rsidR="00617CF3">
        <w:t xml:space="preserve">Door de wetgever wordt gekozen voor een bewuste aanvaarding van de harde formele grens van 5% bij de deelnemingsvrijstelling, maar ook de formele 95% bezitseis in de fiscale eenheid wordt zodoende bewust geaccepteerd. </w:t>
      </w:r>
      <w:r w:rsidR="00F265CA">
        <w:t xml:space="preserve">De Orde vreest dat de invoering van het flexibele bv-recht een nadelig effect zal hebben op de verbondenheidsbepalingen. Dit wordt versterkt door de onheldere definiëring van het belang uit de parlementaire geschiedenis. Onduidelijk is of het financieel belang en de zeggenschap samengaan, de </w:t>
      </w:r>
      <w:proofErr w:type="spellStart"/>
      <w:r w:rsidR="00F265CA">
        <w:t>Advocaat-Generaal</w:t>
      </w:r>
      <w:proofErr w:type="spellEnd"/>
      <w:r w:rsidR="00F265CA">
        <w:t xml:space="preserve"> stelde van wel, maar in hoeverre wordt dit nageleefd.</w:t>
      </w:r>
    </w:p>
    <w:p w:rsidR="00140712" w:rsidRDefault="005117C8" w:rsidP="00A327D4">
      <w:pPr>
        <w:jc w:val="both"/>
      </w:pPr>
      <w:r>
        <w:tab/>
        <w:t>Thans geeft één aandeel recht op één stem.</w:t>
      </w:r>
      <w:r w:rsidR="00701A42">
        <w:t xml:space="preserve"> Een aandeel zowel zonder winstrecht als stemrecht is niet mogelijk. In de flexibele BV zal het mogelijk zijn om gewone aandelen, stemrechtaandelen en winstrechtaandelen uit te geven. Naast de preferente aandelen en prioriteitsaandelen zorgt dit aanbod van soorten aandelen dus voor meer diversiteit. </w:t>
      </w:r>
      <w:r w:rsidR="001062F4">
        <w:t xml:space="preserve">Uit de consultatierondes werd duidelijk dat vraag was naar winstrechtaandelen, ondanks dat soortgelijke instrumenten, zoals het statutair winstrecht en </w:t>
      </w:r>
      <w:r w:rsidR="001062F4">
        <w:rPr>
          <w:rFonts w:asciiTheme="minorHAnsi" w:hAnsiTheme="minorHAnsi" w:cstheme="minorHAnsi"/>
          <w:color w:val="000000"/>
        </w:rPr>
        <w:t xml:space="preserve">certificering van aandelen, al reeds bestaan. </w:t>
      </w:r>
      <w:r w:rsidR="004C1E1C">
        <w:rPr>
          <w:rFonts w:asciiTheme="minorHAnsi" w:hAnsiTheme="minorHAnsi" w:cstheme="minorHAnsi"/>
          <w:color w:val="000000"/>
        </w:rPr>
        <w:t xml:space="preserve">Met de winstrechtaandelen komt er meerflexibiliteit. </w:t>
      </w:r>
      <w:r w:rsidR="00701A42">
        <w:t xml:space="preserve"> Uit de praktijk was </w:t>
      </w:r>
      <w:r w:rsidR="004C1E1C">
        <w:t xml:space="preserve">ook </w:t>
      </w:r>
      <w:r w:rsidR="00701A42">
        <w:t>er de behoefte om aandelen uit te sluiten van de winst</w:t>
      </w:r>
      <w:r w:rsidR="004C1E1C">
        <w:t>, dit was in het verleden niet mogelijk. De behoefte hiernaar ontstaat bijvoorbeeld als een vader het beleid wilt voeren maar de winsten aan zijn kinderen wilt uitkeren.</w:t>
      </w:r>
      <w:r w:rsidR="00701A42">
        <w:t xml:space="preserve"> </w:t>
      </w:r>
      <w:r w:rsidR="004C1E1C">
        <w:t xml:space="preserve">De keuze om met het stemrecht te differentiëren en de mogelijkheid tot het leveren van maatwerk is een van de lichtpunten van de flexibele BV voor ondernemingen. </w:t>
      </w:r>
      <w:r>
        <w:t xml:space="preserve"> </w:t>
      </w:r>
      <w:r w:rsidR="009C2C65">
        <w:t xml:space="preserve"> </w:t>
      </w:r>
    </w:p>
    <w:p w:rsidR="000D06AD" w:rsidRDefault="00E63694" w:rsidP="00A327D4">
      <w:pPr>
        <w:jc w:val="both"/>
      </w:pPr>
      <w:r>
        <w:tab/>
      </w:r>
      <w:r w:rsidR="00097C40">
        <w:t>De toegenomen vrijheid bij het inrichten van de eigen BV zorgt voor meer vraagtekens bij de interpretatie van de term belang. Op basis van art. 10a</w:t>
      </w:r>
      <w:r w:rsidR="00155353">
        <w:t xml:space="preserve"> Wet VPB 1969</w:t>
      </w:r>
      <w:r w:rsidR="00097C40">
        <w:t xml:space="preserve"> is er sprake van verbondenheid indien een vennootschap ten minste een derde belang bezit. Dit is zo gecodificeerd om de relatie tussen verbonden lichamen en verbonden natuurlijke personen te benadrukken. Om het belang te constateren moet in beginsel gekeken worden naar het financieel belang, het aandeel in het gestorte kapitaal. Dit is een formele eis. Wanneer voor de constatering van het belang ook andere rechten moeten worden meegenomen, zoals de zeggenschap en schuldeisersbelangen, is er sprake van een </w:t>
      </w:r>
      <w:r w:rsidR="0078010E">
        <w:t>materieel criterium. In de parlementaire geschiedenis is meer dan eens aandacht besteed aan het begrip belang en is getracht een kader te bieden aan het begrip belang</w:t>
      </w:r>
      <w:r w:rsidR="00D07FF1">
        <w:t xml:space="preserve">. De staatssecretaris van mening dat het begrip belang voldoende rekening houdt met de toegenomen flexibiliteit die de flexibele BV zal bieden. Menig auteur vindt dat de wetgever of het formele dan wel het materiële criterium had moeten kiezen om belastingplichtigen niet in onzekerheid te laten. In de literatuur wordt sterk </w:t>
      </w:r>
      <w:r w:rsidR="00155353">
        <w:t>g</w:t>
      </w:r>
      <w:r w:rsidR="00D07FF1">
        <w:t>epleit voor een materieel criterium bij vaststelling van het belang. Daar deze meer gerelateerd is aan de zeggenschap van invloedrijke (rechts)</w:t>
      </w:r>
      <w:r w:rsidR="00E55D94">
        <w:t>personen en aangezien art. 10a</w:t>
      </w:r>
      <w:r w:rsidR="00155353">
        <w:t xml:space="preserve"> Wet VPB 1969</w:t>
      </w:r>
      <w:r w:rsidR="00E55D94">
        <w:t xml:space="preserve"> de functie heeft misbruikconstructies tegen te gaan. Relevante invloed kan pas worden uitgeoefend indien een belasting</w:t>
      </w:r>
      <w:r w:rsidR="00B919D5">
        <w:t>plichtige</w:t>
      </w:r>
      <w:r w:rsidR="00E55D94">
        <w:t xml:space="preserve"> een belangrijk gedeelte heeft van het geplaatste kapitaal. </w:t>
      </w:r>
      <w:r w:rsidR="00B919D5">
        <w:t xml:space="preserve">Ook volgens A-G </w:t>
      </w:r>
      <w:proofErr w:type="spellStart"/>
      <w:r w:rsidR="00B919D5">
        <w:t>Wattel</w:t>
      </w:r>
      <w:proofErr w:type="spellEnd"/>
      <w:r w:rsidR="00B919D5">
        <w:t xml:space="preserve"> houden  stemrechten in belangrijke mate verband met de verbondenheid. </w:t>
      </w:r>
      <w:r w:rsidR="00B919D5">
        <w:lastRenderedPageBreak/>
        <w:t>Toch luidt de uitspraak van de Hoge Raad anders, in de zaak van 8 april 2011 wordt het financieel belang voldoende geacht voor verbondenheid. Hier was de zeggenschap slechts een bijdrager tot constatering van het belang.</w:t>
      </w:r>
      <w:r w:rsidR="00D07FF1">
        <w:t xml:space="preserve"> </w:t>
      </w:r>
    </w:p>
    <w:p w:rsidR="00E63694" w:rsidRDefault="000D06AD" w:rsidP="00A327D4">
      <w:pPr>
        <w:jc w:val="both"/>
      </w:pPr>
      <w:r>
        <w:tab/>
      </w:r>
      <w:r w:rsidR="000062CF">
        <w:t>Voor de harde 5%-eis in de deelnemingsvrijstelling worden de consequenties bewust aanvaard door de wetgever. Dit zou kunnen leiden tot het verkrijgen van de vrijstelling terwijl geen sprake is van een behoorlijke economische betekenis.</w:t>
      </w:r>
      <w:r w:rsidR="006B12D6">
        <w:t xml:space="preserve"> Echter zoals uit het besluit van de staatssecretaris is te herleiden dat ook op preferente aandelen zonder stemrecht de deelnemingsvrijstelling kan worden toegepast blijkt mijns inziens dat voor winstrechtaandelen een gelijke behandeling geldt. Vanuit de literatuur is er enige kritiek op het gehanteerde begrip belang in de deelnemingsvrijstelling en is het vooralsnog niet duidelijk hoe deze met de flexibele Bv moet worden opgevat.</w:t>
      </w:r>
    </w:p>
    <w:p w:rsidR="006B12D6" w:rsidRDefault="006B12D6" w:rsidP="00A327D4">
      <w:pPr>
        <w:jc w:val="both"/>
      </w:pPr>
      <w:r>
        <w:tab/>
      </w:r>
      <w:r w:rsidR="00563F25">
        <w:t xml:space="preserve">De enige aangekondigde </w:t>
      </w:r>
      <w:r w:rsidR="00281DE0">
        <w:t xml:space="preserve">fiscale </w:t>
      </w:r>
      <w:r w:rsidR="00563F25">
        <w:t xml:space="preserve">aanpassing in het wetsvoorstel was met betrekking tot de fiscale eenheid. Kritiek uit de literatuur werd geleverd over het tekortkomen van een eis op aandelen die recht geven op 95% van de stemrechten in art. 2 van het Besluit FE 2003. Dit werd verhoord door de wetgever en wordt geïmplementeerd in desbetreffende artikel. Zodoende krijgt de zeggenschap naast onder andere het winstrecht bij de fiscale eenheid een gelijkwaardige rol toebedeeld om te kwalificeren voor een belang van 95%.   </w:t>
      </w:r>
    </w:p>
    <w:p w:rsidR="00E44FF7" w:rsidRDefault="00E44FF7" w:rsidP="00A327D4">
      <w:pPr>
        <w:jc w:val="both"/>
      </w:pPr>
    </w:p>
    <w:p w:rsidR="00E44FF7" w:rsidRDefault="00533D72" w:rsidP="00A327D4">
      <w:pPr>
        <w:jc w:val="both"/>
        <w:rPr>
          <w:b/>
        </w:rPr>
      </w:pPr>
      <w:r>
        <w:rPr>
          <w:b/>
        </w:rPr>
        <w:t xml:space="preserve">4.3  </w:t>
      </w:r>
      <w:r w:rsidR="00E44FF7">
        <w:rPr>
          <w:b/>
        </w:rPr>
        <w:t>Conclusie</w:t>
      </w:r>
    </w:p>
    <w:p w:rsidR="00FA54CB" w:rsidRDefault="00E44FF7" w:rsidP="00A327D4">
      <w:pPr>
        <w:ind w:firstLine="708"/>
        <w:jc w:val="both"/>
      </w:pPr>
      <w:r>
        <w:t>De wetgever heeft bewust gekozen het begrip te laten zoals het is. Dit is niet zonder reden. De staatssecretaris heeft dat ook bevestigd in zijn uitspraak dat het begrip belang ook wel de flexibele BV zal omvatten. Uit de parlementaire geschiedenis kan herleid worden wat de reikwijdte is van het begrip belang. Doch valt te bezien wat de toekomst zal brengen na invoering van het wetsvoorstel</w:t>
      </w:r>
      <w:r w:rsidR="00E17FC4">
        <w:t xml:space="preserve">. </w:t>
      </w:r>
      <w:r w:rsidR="00FA54CB">
        <w:t xml:space="preserve">In de literatuur wordt er gevreesd voor de gevolgen van het begrip belang als de mogelijkheid om winstrechtaandelen en stemrechtaandelen uit te geven realiteit wordt. Aangezien nu al onduidelijkheid is of aan het financieel belang of het materieel belang moet worden getoetst, kan ik me voorstellen dat de flexibilisering het niet duidelijker zal maken. </w:t>
      </w:r>
    </w:p>
    <w:p w:rsidR="00FA54CB" w:rsidRDefault="00FA54CB" w:rsidP="00A327D4">
      <w:pPr>
        <w:ind w:firstLine="708"/>
        <w:jc w:val="both"/>
      </w:pPr>
      <w:r>
        <w:t xml:space="preserve">De jurisprudentie is ook niet </w:t>
      </w:r>
      <w:r w:rsidR="00CA6188">
        <w:t xml:space="preserve">altijd eenduidig geweest over hoe het begrip belang te interpreteren, hetzij een formele dan wel een materiële benadering. </w:t>
      </w:r>
      <w:r w:rsidR="00CA6188" w:rsidRPr="00CA6188">
        <w:rPr>
          <w:rFonts w:asciiTheme="minorHAnsi" w:hAnsiTheme="minorHAnsi" w:cstheme="minorHAnsi"/>
        </w:rPr>
        <w:t xml:space="preserve">Hof Arnhem koos voor een materieel criterium, </w:t>
      </w:r>
      <w:r w:rsidR="00CA6188">
        <w:rPr>
          <w:rFonts w:asciiTheme="minorHAnsi" w:hAnsiTheme="minorHAnsi" w:cstheme="minorHAnsi"/>
        </w:rPr>
        <w:t>d</w:t>
      </w:r>
      <w:r w:rsidR="00CA6188" w:rsidRPr="00CA6188">
        <w:rPr>
          <w:rFonts w:asciiTheme="minorHAnsi" w:hAnsiTheme="minorHAnsi" w:cstheme="minorHAnsi"/>
        </w:rPr>
        <w:t xml:space="preserve">e verdeling van het totale materiële belang </w:t>
      </w:r>
      <w:r w:rsidR="00CA6188">
        <w:rPr>
          <w:rFonts w:asciiTheme="minorHAnsi" w:hAnsiTheme="minorHAnsi" w:cstheme="minorHAnsi"/>
        </w:rPr>
        <w:t>was een doorslaggevende factor. Rechtbank Haarlem nam het materieel belang echter niet mee in haar uitspraak. Terwijl de Hoge Raad, herleidend uit de wetsgeschiedenis, het financieel belang voldoende achtte voor verbondenheid.</w:t>
      </w:r>
    </w:p>
    <w:p w:rsidR="00E44FF7" w:rsidRDefault="00B67E51" w:rsidP="00A327D4">
      <w:pPr>
        <w:ind w:firstLine="708"/>
        <w:jc w:val="both"/>
      </w:pPr>
      <w:r>
        <w:t xml:space="preserve">Ik </w:t>
      </w:r>
      <w:r w:rsidR="00BF21B0">
        <w:t>vind dat zowel de wetgever als de belanghebbende partijen uit de praktijk er baat bij hebben</w:t>
      </w:r>
      <w:r>
        <w:t xml:space="preserve"> om de materiële benadering te hanteren, en deze in gelijke mate naast het financieel belang </w:t>
      </w:r>
      <w:r>
        <w:lastRenderedPageBreak/>
        <w:t xml:space="preserve">te plaatsen. </w:t>
      </w:r>
      <w:r w:rsidR="00BF21B0">
        <w:t>Ik pleit ervoor</w:t>
      </w:r>
      <w:r>
        <w:t xml:space="preserve"> dat het materiële criterium door de wetgever bevestigd dient te worden. De fiscale eenheid is naar mijn mening de andere wetsbepalingen voorgegaan waarin het belang redelijkerwijs relevant wordt geacht</w:t>
      </w:r>
      <w:r w:rsidR="00C20171">
        <w:t>. Indien dit wordt bewerkstelligt zal het begrip belang een duidelijker kader bevatten. Dit zal zorgen voor meer duidelijk in de praktijk en meer rechtszekerheid voor belastingplichtigen.</w:t>
      </w:r>
    </w:p>
    <w:p w:rsidR="003B23E5" w:rsidRDefault="003B23E5" w:rsidP="00A327D4">
      <w:pPr>
        <w:ind w:firstLine="708"/>
        <w:jc w:val="both"/>
      </w:pPr>
    </w:p>
    <w:p w:rsidR="00A66BFE" w:rsidRDefault="00A66BFE" w:rsidP="00A66BFE">
      <w:pPr>
        <w:jc w:val="both"/>
        <w:rPr>
          <w:rFonts w:asciiTheme="minorHAnsi" w:hAnsiTheme="minorHAnsi" w:cstheme="minorHAnsi"/>
          <w:b/>
          <w:sz w:val="24"/>
          <w:szCs w:val="24"/>
        </w:rPr>
      </w:pPr>
    </w:p>
    <w:p w:rsidR="00E317F5" w:rsidRDefault="00E317F5" w:rsidP="00B013D2">
      <w:pPr>
        <w:ind w:left="2832" w:firstLine="708"/>
        <w:jc w:val="both"/>
        <w:rPr>
          <w:rFonts w:asciiTheme="minorHAnsi" w:hAnsiTheme="minorHAnsi" w:cstheme="minorHAnsi"/>
          <w:b/>
          <w:sz w:val="24"/>
          <w:szCs w:val="24"/>
        </w:rPr>
      </w:pPr>
    </w:p>
    <w:p w:rsidR="00E317F5" w:rsidRDefault="00E317F5">
      <w:pPr>
        <w:spacing w:after="200" w:line="276" w:lineRule="auto"/>
        <w:rPr>
          <w:rFonts w:asciiTheme="minorHAnsi" w:hAnsiTheme="minorHAnsi" w:cstheme="minorHAnsi"/>
          <w:b/>
          <w:sz w:val="24"/>
          <w:szCs w:val="24"/>
        </w:rPr>
      </w:pPr>
      <w:r>
        <w:rPr>
          <w:rFonts w:asciiTheme="minorHAnsi" w:hAnsiTheme="minorHAnsi" w:cstheme="minorHAnsi"/>
          <w:b/>
          <w:sz w:val="24"/>
          <w:szCs w:val="24"/>
        </w:rPr>
        <w:br w:type="page"/>
      </w:r>
    </w:p>
    <w:p w:rsidR="000638D9" w:rsidRPr="00B013D2" w:rsidRDefault="004729DB" w:rsidP="00B013D2">
      <w:pPr>
        <w:ind w:left="2832" w:firstLine="708"/>
        <w:jc w:val="both"/>
        <w:rPr>
          <w:rFonts w:asciiTheme="minorHAnsi" w:hAnsiTheme="minorHAnsi" w:cstheme="minorHAnsi"/>
          <w:b/>
          <w:sz w:val="24"/>
          <w:szCs w:val="24"/>
        </w:rPr>
      </w:pPr>
      <w:r w:rsidRPr="008B3596">
        <w:rPr>
          <w:rFonts w:asciiTheme="minorHAnsi" w:hAnsiTheme="minorHAnsi" w:cstheme="minorHAnsi"/>
          <w:b/>
          <w:sz w:val="24"/>
          <w:szCs w:val="24"/>
        </w:rPr>
        <w:lastRenderedPageBreak/>
        <w:t>Bronnenlijst</w:t>
      </w:r>
    </w:p>
    <w:p w:rsidR="000638D9" w:rsidRPr="00B013D2" w:rsidRDefault="00BE612F" w:rsidP="00175940">
      <w:pPr>
        <w:rPr>
          <w:b/>
        </w:rPr>
      </w:pPr>
      <w:r w:rsidRPr="00B013D2">
        <w:rPr>
          <w:b/>
        </w:rPr>
        <w:t>Literatuur</w:t>
      </w:r>
    </w:p>
    <w:p w:rsidR="0081163C" w:rsidRPr="008B3596" w:rsidRDefault="0081163C" w:rsidP="0081163C">
      <w:r w:rsidRPr="008B3596">
        <w:t>A.J.M. </w:t>
      </w:r>
      <w:proofErr w:type="spellStart"/>
      <w:r w:rsidRPr="008B3596">
        <w:t>Arends</w:t>
      </w:r>
      <w:proofErr w:type="spellEnd"/>
      <w:r w:rsidRPr="008B3596">
        <w:t xml:space="preserve">, </w:t>
      </w:r>
      <w:proofErr w:type="spellStart"/>
      <w:r w:rsidRPr="008B3596">
        <w:rPr>
          <w:bCs/>
        </w:rPr>
        <w:t>Winstrechtloze</w:t>
      </w:r>
      <w:proofErr w:type="spellEnd"/>
      <w:r w:rsidRPr="008B3596">
        <w:rPr>
          <w:bCs/>
        </w:rPr>
        <w:t xml:space="preserve"> aandelen: hoe deze fiscaal</w:t>
      </w:r>
      <w:r w:rsidRPr="008B3596">
        <w:rPr>
          <w:bCs/>
          <w:noProof/>
          <w:shd w:val="clear" w:color="auto" w:fill="FFFFFF"/>
          <w:lang w:eastAsia="nl-NL"/>
        </w:rPr>
        <w:t xml:space="preserve"> </w:t>
      </w:r>
      <w:r w:rsidRPr="008B3596">
        <w:rPr>
          <w:bCs/>
        </w:rPr>
        <w:t xml:space="preserve">te behandelen?, </w:t>
      </w:r>
      <w:r w:rsidRPr="008B3596">
        <w:rPr>
          <w:bCs/>
          <w:i/>
        </w:rPr>
        <w:t>NTFR</w:t>
      </w:r>
      <w:r w:rsidRPr="008B3596">
        <w:rPr>
          <w:bCs/>
        </w:rPr>
        <w:t xml:space="preserve"> 2010/2656.</w:t>
      </w:r>
    </w:p>
    <w:p w:rsidR="0081163C" w:rsidRPr="008B3596" w:rsidRDefault="0081163C" w:rsidP="0081163C">
      <w:pPr>
        <w:rPr>
          <w:rFonts w:eastAsia="Arial Unicode MS"/>
        </w:rPr>
      </w:pPr>
      <w:r w:rsidRPr="008B3596">
        <w:t xml:space="preserve">J. </w:t>
      </w:r>
      <w:proofErr w:type="spellStart"/>
      <w:r w:rsidRPr="008B3596">
        <w:t>Gooijer</w:t>
      </w:r>
      <w:proofErr w:type="spellEnd"/>
      <w:r w:rsidRPr="008B3596">
        <w:t xml:space="preserve">, Een aanzet tot aanpassing van het verbondenheidscriterium in de vennootschapsbelasting, </w:t>
      </w:r>
      <w:r w:rsidRPr="008B3596">
        <w:rPr>
          <w:i/>
        </w:rPr>
        <w:t>WFR</w:t>
      </w:r>
      <w:r w:rsidRPr="008B3596">
        <w:t xml:space="preserve"> 2006/560.</w:t>
      </w:r>
    </w:p>
    <w:p w:rsidR="0081163C" w:rsidRPr="008B3596" w:rsidRDefault="0081163C" w:rsidP="0081163C">
      <w:pPr>
        <w:rPr>
          <w:rFonts w:eastAsia="Arial Unicode MS"/>
        </w:rPr>
      </w:pPr>
      <w:r w:rsidRPr="008B3596">
        <w:rPr>
          <w:rFonts w:eastAsia="Arial Unicode MS"/>
        </w:rPr>
        <w:t>R. </w:t>
      </w:r>
      <w:proofErr w:type="spellStart"/>
      <w:r w:rsidRPr="008B3596">
        <w:rPr>
          <w:rFonts w:eastAsia="Arial Unicode MS"/>
        </w:rPr>
        <w:t>Hiemstra</w:t>
      </w:r>
      <w:proofErr w:type="spellEnd"/>
      <w:r w:rsidRPr="008B3596">
        <w:rPr>
          <w:rFonts w:eastAsia="Arial Unicode MS"/>
        </w:rPr>
        <w:t xml:space="preserve">, </w:t>
      </w:r>
      <w:r w:rsidRPr="008B3596">
        <w:rPr>
          <w:rFonts w:eastAsia="Arial Unicode MS"/>
          <w:bCs/>
        </w:rPr>
        <w:t xml:space="preserve">De </w:t>
      </w:r>
      <w:proofErr w:type="spellStart"/>
      <w:r w:rsidRPr="008B3596">
        <w:rPr>
          <w:rFonts w:eastAsia="Arial Unicode MS"/>
          <w:bCs/>
        </w:rPr>
        <w:t>Falcons-doctrine</w:t>
      </w:r>
      <w:proofErr w:type="spellEnd"/>
      <w:r w:rsidRPr="008B3596">
        <w:rPr>
          <w:rFonts w:eastAsia="Arial Unicode MS"/>
          <w:bCs/>
        </w:rPr>
        <w:t xml:space="preserve">:het gesplitste belang </w:t>
      </w:r>
      <w:proofErr w:type="spellStart"/>
      <w:r w:rsidRPr="008B3596">
        <w:rPr>
          <w:rFonts w:eastAsia="Arial Unicode MS"/>
          <w:bCs/>
        </w:rPr>
        <w:t>bijde</w:t>
      </w:r>
      <w:proofErr w:type="spellEnd"/>
      <w:r w:rsidRPr="008B3596">
        <w:rPr>
          <w:rFonts w:eastAsia="Arial Unicode MS"/>
          <w:bCs/>
        </w:rPr>
        <w:t xml:space="preserve"> voordelen uit hoofde vaneen deelneming, </w:t>
      </w:r>
      <w:r w:rsidRPr="008B3596">
        <w:rPr>
          <w:rFonts w:eastAsia="Arial Unicode MS"/>
          <w:i/>
        </w:rPr>
        <w:t>WFR</w:t>
      </w:r>
      <w:r w:rsidRPr="008B3596">
        <w:rPr>
          <w:rFonts w:eastAsia="Arial Unicode MS"/>
        </w:rPr>
        <w:t xml:space="preserve"> 2010/804.</w:t>
      </w:r>
    </w:p>
    <w:p w:rsidR="0081163C" w:rsidRPr="008B3596" w:rsidRDefault="0081163C" w:rsidP="0081163C">
      <w:r w:rsidRPr="008B3596">
        <w:t xml:space="preserve">G.J.W. </w:t>
      </w:r>
      <w:proofErr w:type="spellStart"/>
      <w:r w:rsidRPr="008B3596">
        <w:t>Kinnegim</w:t>
      </w:r>
      <w:proofErr w:type="spellEnd"/>
      <w:r w:rsidRPr="008B3596">
        <w:t xml:space="preserve">, “De </w:t>
      </w:r>
      <w:proofErr w:type="spellStart"/>
      <w:r w:rsidRPr="008B3596">
        <w:t>flex-BV</w:t>
      </w:r>
      <w:proofErr w:type="spellEnd"/>
      <w:r w:rsidRPr="008B3596">
        <w:t xml:space="preserve"> fiscaal getoetst”, </w:t>
      </w:r>
      <w:r w:rsidRPr="008B3596">
        <w:rPr>
          <w:i/>
        </w:rPr>
        <w:t>Ondernemingsrecht</w:t>
      </w:r>
      <w:r w:rsidRPr="008B3596">
        <w:t xml:space="preserve"> 2007-10/11.</w:t>
      </w:r>
    </w:p>
    <w:p w:rsidR="0081163C" w:rsidRPr="008B3596" w:rsidRDefault="0081163C" w:rsidP="0081163C">
      <w:pPr>
        <w:rPr>
          <w:rFonts w:eastAsia="Arial Unicode MS"/>
        </w:rPr>
      </w:pPr>
      <w:r w:rsidRPr="008B3596">
        <w:rPr>
          <w:color w:val="000000"/>
        </w:rPr>
        <w:t>Q.W.J.C.H. Kok, </w:t>
      </w:r>
      <w:r w:rsidRPr="008B3596">
        <w:rPr>
          <w:i/>
          <w:iCs/>
          <w:color w:val="000000"/>
        </w:rPr>
        <w:t>De fiscale eenheid in de vennootschapsbelasting</w:t>
      </w:r>
      <w:r w:rsidRPr="008B3596">
        <w:rPr>
          <w:color w:val="000000"/>
        </w:rPr>
        <w:t xml:space="preserve">, Fiscaalwetenschappelijke reeks, </w:t>
      </w:r>
      <w:proofErr w:type="spellStart"/>
      <w:r w:rsidRPr="008B3596">
        <w:rPr>
          <w:color w:val="000000"/>
        </w:rPr>
        <w:t>Sdu</w:t>
      </w:r>
      <w:proofErr w:type="spellEnd"/>
      <w:r w:rsidRPr="008B3596">
        <w:rPr>
          <w:color w:val="000000"/>
        </w:rPr>
        <w:t xml:space="preserve"> Fiscale &amp; Financiële Uitgevers, Amersfoort 2005.</w:t>
      </w:r>
    </w:p>
    <w:p w:rsidR="0081163C" w:rsidRPr="008B3596" w:rsidRDefault="0081163C" w:rsidP="0081163C">
      <w:pPr>
        <w:rPr>
          <w:bCs/>
        </w:rPr>
      </w:pPr>
      <w:r w:rsidRPr="008B3596">
        <w:t xml:space="preserve">S.M. Marges, </w:t>
      </w:r>
      <w:r w:rsidRPr="008B3596">
        <w:rPr>
          <w:bCs/>
        </w:rPr>
        <w:t xml:space="preserve">De Wet vereenvoudiging en flexibilisering bv-recht, </w:t>
      </w:r>
      <w:r w:rsidRPr="008B3596">
        <w:rPr>
          <w:bCs/>
          <w:i/>
        </w:rPr>
        <w:t>Fiscaal Tijdschrift Vermogen</w:t>
      </w:r>
      <w:r w:rsidRPr="008B3596">
        <w:rPr>
          <w:bCs/>
        </w:rPr>
        <w:t xml:space="preserve"> 2007/09.</w:t>
      </w:r>
    </w:p>
    <w:p w:rsidR="0081163C" w:rsidRPr="008B3596" w:rsidRDefault="0081163C" w:rsidP="0081163C">
      <w:r w:rsidRPr="008B3596">
        <w:t xml:space="preserve">O.C.R. </w:t>
      </w:r>
      <w:proofErr w:type="spellStart"/>
      <w:r w:rsidRPr="008B3596">
        <w:t>Marres</w:t>
      </w:r>
      <w:proofErr w:type="spellEnd"/>
      <w:r w:rsidRPr="008B3596">
        <w:t xml:space="preserve">, </w:t>
      </w:r>
      <w:r w:rsidRPr="008B3596">
        <w:rPr>
          <w:i/>
        </w:rPr>
        <w:t>Winstdrainage door renteaftrek</w:t>
      </w:r>
      <w:r w:rsidRPr="008B3596">
        <w:t xml:space="preserve">, Deventer: </w:t>
      </w:r>
      <w:proofErr w:type="spellStart"/>
      <w:r w:rsidRPr="008B3596">
        <w:t>Kluwer</w:t>
      </w:r>
      <w:proofErr w:type="spellEnd"/>
      <w:r w:rsidRPr="008B3596">
        <w:t>, 2008, p. 171.</w:t>
      </w:r>
    </w:p>
    <w:p w:rsidR="0081163C" w:rsidRPr="008B3596" w:rsidRDefault="0081163C" w:rsidP="0081163C">
      <w:pPr>
        <w:rPr>
          <w:rFonts w:eastAsia="Arial Unicode MS"/>
        </w:rPr>
      </w:pPr>
      <w:r w:rsidRPr="008B3596">
        <w:rPr>
          <w:rFonts w:eastAsia="Arial Unicode MS"/>
        </w:rPr>
        <w:t xml:space="preserve">G.M.M. </w:t>
      </w:r>
      <w:proofErr w:type="spellStart"/>
      <w:r w:rsidRPr="008B3596">
        <w:rPr>
          <w:rFonts w:eastAsia="Arial Unicode MS"/>
        </w:rPr>
        <w:t>Michielse</w:t>
      </w:r>
      <w:proofErr w:type="spellEnd"/>
      <w:r w:rsidRPr="008B3596">
        <w:rPr>
          <w:rFonts w:eastAsia="Arial Unicode MS"/>
        </w:rPr>
        <w:t>, Wetsvoorstel uitholling belastinggrondslag. Een gemiste kans, </w:t>
      </w:r>
      <w:hyperlink r:id="rId8" w:history="1">
        <w:r w:rsidRPr="008B3596">
          <w:rPr>
            <w:rFonts w:eastAsia="Arial Unicode MS"/>
            <w:i/>
          </w:rPr>
          <w:t>FED</w:t>
        </w:r>
        <w:r w:rsidRPr="008B3596">
          <w:rPr>
            <w:rFonts w:eastAsia="Arial Unicode MS"/>
          </w:rPr>
          <w:t xml:space="preserve"> 1996/433</w:t>
        </w:r>
      </w:hyperlink>
      <w:r w:rsidRPr="008B3596">
        <w:rPr>
          <w:rFonts w:eastAsia="Arial Unicode MS"/>
        </w:rPr>
        <w:t>.</w:t>
      </w:r>
    </w:p>
    <w:p w:rsidR="0081163C" w:rsidRPr="008B3596" w:rsidRDefault="0081163C" w:rsidP="0081163C">
      <w:r w:rsidRPr="008B3596">
        <w:t>J. Mos,</w:t>
      </w:r>
      <w:r w:rsidRPr="008B3596">
        <w:rPr>
          <w:bCs/>
        </w:rPr>
        <w:t xml:space="preserve">  De geflexibiliseerde besloten vennootschap, </w:t>
      </w:r>
      <w:r w:rsidRPr="008B3596">
        <w:rPr>
          <w:bCs/>
          <w:i/>
        </w:rPr>
        <w:t>Maandblad Belasting Beschouwingen</w:t>
      </w:r>
      <w:r w:rsidRPr="008B3596">
        <w:rPr>
          <w:bCs/>
        </w:rPr>
        <w:t xml:space="preserve"> 2007/11</w:t>
      </w:r>
      <w:r w:rsidRPr="008B3596">
        <w:t>.</w:t>
      </w:r>
    </w:p>
    <w:p w:rsidR="0081163C" w:rsidRPr="008B3596" w:rsidRDefault="0081163C" w:rsidP="0081163C">
      <w:pPr>
        <w:rPr>
          <w:rFonts w:eastAsia="Arial Unicode MS"/>
        </w:rPr>
      </w:pPr>
      <w:r w:rsidRPr="008B3596">
        <w:rPr>
          <w:rFonts w:eastAsia="Arial Unicode MS"/>
        </w:rPr>
        <w:t xml:space="preserve">S.F.M. </w:t>
      </w:r>
      <w:proofErr w:type="spellStart"/>
      <w:r w:rsidRPr="008B3596">
        <w:rPr>
          <w:rFonts w:eastAsia="Arial Unicode MS"/>
        </w:rPr>
        <w:t>Niekel</w:t>
      </w:r>
      <w:proofErr w:type="spellEnd"/>
      <w:r w:rsidRPr="008B3596">
        <w:rPr>
          <w:rFonts w:eastAsia="Arial Unicode MS"/>
        </w:rPr>
        <w:t xml:space="preserve">, </w:t>
      </w:r>
      <w:r w:rsidRPr="008B3596">
        <w:rPr>
          <w:rFonts w:eastAsia="Arial Unicode MS"/>
          <w:bCs/>
        </w:rPr>
        <w:t xml:space="preserve">Het begrip 'belang' als criterium voor verbondenheid bij vennootschappen, </w:t>
      </w:r>
      <w:r w:rsidRPr="008B3596">
        <w:rPr>
          <w:rFonts w:eastAsia="Arial Unicode MS"/>
          <w:i/>
        </w:rPr>
        <w:t>WFR</w:t>
      </w:r>
      <w:r w:rsidRPr="008B3596">
        <w:rPr>
          <w:rFonts w:eastAsia="Arial Unicode MS"/>
        </w:rPr>
        <w:t xml:space="preserve"> 1998/557.</w:t>
      </w:r>
    </w:p>
    <w:p w:rsidR="0081163C" w:rsidRPr="008B3596" w:rsidRDefault="0081163C" w:rsidP="0081163C">
      <w:r w:rsidRPr="008B3596">
        <w:t xml:space="preserve">A. Rozendal, </w:t>
      </w:r>
      <w:r w:rsidRPr="008B3596">
        <w:rPr>
          <w:bCs/>
        </w:rPr>
        <w:t xml:space="preserve">Soortaandelen en het onduidelijke begrip ‘verbonden lichaam’, </w:t>
      </w:r>
      <w:r w:rsidRPr="008B3596">
        <w:rPr>
          <w:bCs/>
          <w:i/>
        </w:rPr>
        <w:t>Maandblad Belasting Beschouwingen</w:t>
      </w:r>
      <w:r w:rsidRPr="008B3596">
        <w:rPr>
          <w:bCs/>
        </w:rPr>
        <w:t xml:space="preserve"> 2008/10.</w:t>
      </w:r>
    </w:p>
    <w:p w:rsidR="00BE612F" w:rsidRPr="008B3596" w:rsidRDefault="00BE612F" w:rsidP="00175940">
      <w:pPr>
        <w:rPr>
          <w:bCs/>
        </w:rPr>
      </w:pPr>
      <w:r w:rsidRPr="008B3596">
        <w:t>K.P.E. </w:t>
      </w:r>
      <w:proofErr w:type="spellStart"/>
      <w:r w:rsidRPr="008B3596">
        <w:t>Stals</w:t>
      </w:r>
      <w:proofErr w:type="spellEnd"/>
      <w:r w:rsidRPr="008B3596">
        <w:t xml:space="preserve">, </w:t>
      </w:r>
      <w:r w:rsidRPr="008B3596">
        <w:rPr>
          <w:bCs/>
        </w:rPr>
        <w:t xml:space="preserve">Fiscale aspecten van het wetsvoorstel Flexibilisering bv-recht: ’van dichte nevelen naar heldere lucht?’, </w:t>
      </w:r>
      <w:r w:rsidRPr="008B3596">
        <w:rPr>
          <w:bCs/>
          <w:i/>
        </w:rPr>
        <w:t>Forfaitair</w:t>
      </w:r>
      <w:r w:rsidRPr="008B3596">
        <w:rPr>
          <w:bCs/>
        </w:rPr>
        <w:t xml:space="preserve"> 2011/211.</w:t>
      </w:r>
    </w:p>
    <w:p w:rsidR="0081163C" w:rsidRPr="008B3596" w:rsidRDefault="0081163C" w:rsidP="0081163C">
      <w:pPr>
        <w:rPr>
          <w:lang w:eastAsia="nl-NL"/>
        </w:rPr>
      </w:pPr>
      <w:r w:rsidRPr="008B3596">
        <w:t>J.L v</w:t>
      </w:r>
      <w:r w:rsidRPr="008B3596">
        <w:rPr>
          <w:rFonts w:eastAsia="Arial Unicode MS"/>
        </w:rPr>
        <w:t xml:space="preserve">an de Streek, </w:t>
      </w:r>
      <w:r w:rsidRPr="008B3596">
        <w:rPr>
          <w:rFonts w:eastAsia="Arial Unicode MS"/>
          <w:bCs/>
        </w:rPr>
        <w:t xml:space="preserve">De nog steeds starre fiscale aspecten van de flexibele BV (Deel 1), </w:t>
      </w:r>
      <w:r w:rsidRPr="008B3596">
        <w:rPr>
          <w:rFonts w:eastAsia="Arial Unicode MS"/>
          <w:i/>
        </w:rPr>
        <w:t>WFR</w:t>
      </w:r>
      <w:r w:rsidRPr="008B3596">
        <w:rPr>
          <w:rFonts w:eastAsia="Arial Unicode MS"/>
        </w:rPr>
        <w:t xml:space="preserve"> 2011/819.</w:t>
      </w:r>
    </w:p>
    <w:p w:rsidR="0081163C" w:rsidRPr="008B3596" w:rsidRDefault="0081163C" w:rsidP="0081163C">
      <w:r w:rsidRPr="008B3596">
        <w:t xml:space="preserve">N.H. de Vries en L.W. </w:t>
      </w:r>
      <w:proofErr w:type="spellStart"/>
      <w:r w:rsidRPr="008B3596">
        <w:t>Sillevis</w:t>
      </w:r>
      <w:proofErr w:type="spellEnd"/>
      <w:r w:rsidRPr="008B3596">
        <w:t xml:space="preserve">, </w:t>
      </w:r>
      <w:r w:rsidRPr="008B3596">
        <w:rPr>
          <w:i/>
        </w:rPr>
        <w:t>Cursus belastingrecht</w:t>
      </w:r>
      <w:r w:rsidRPr="008B3596">
        <w:t xml:space="preserve">, </w:t>
      </w:r>
      <w:r w:rsidRPr="008B3596">
        <w:rPr>
          <w:i/>
        </w:rPr>
        <w:t>onderdeel vennootschapsbelasting</w:t>
      </w:r>
      <w:r w:rsidRPr="008B3596">
        <w:t xml:space="preserve">, 2.16.K,g.2, </w:t>
      </w:r>
      <w:proofErr w:type="spellStart"/>
      <w:r w:rsidRPr="008B3596">
        <w:t>suppl</w:t>
      </w:r>
      <w:proofErr w:type="spellEnd"/>
      <w:r w:rsidRPr="008B3596">
        <w:t>. 257 (mei 1997).</w:t>
      </w:r>
    </w:p>
    <w:p w:rsidR="0081163C" w:rsidRPr="008B3596" w:rsidRDefault="0081163C" w:rsidP="0081163C">
      <w:pPr>
        <w:rPr>
          <w:rFonts w:eastAsia="Arial Unicode MS"/>
        </w:rPr>
      </w:pPr>
      <w:r w:rsidRPr="008B3596">
        <w:rPr>
          <w:rFonts w:eastAsia="Arial Unicode MS"/>
        </w:rPr>
        <w:t>R.N.F. </w:t>
      </w:r>
      <w:proofErr w:type="spellStart"/>
      <w:r w:rsidRPr="008B3596">
        <w:rPr>
          <w:rFonts w:eastAsia="Arial Unicode MS"/>
        </w:rPr>
        <w:t>Zuidgeest</w:t>
      </w:r>
      <w:proofErr w:type="spellEnd"/>
      <w:r w:rsidRPr="008B3596">
        <w:rPr>
          <w:rFonts w:eastAsia="Arial Unicode MS"/>
        </w:rPr>
        <w:t xml:space="preserve">, </w:t>
      </w:r>
      <w:r w:rsidRPr="008B3596">
        <w:rPr>
          <w:rFonts w:eastAsia="Arial Unicode MS"/>
          <w:bCs/>
        </w:rPr>
        <w:t>Flexibel </w:t>
      </w:r>
      <w:proofErr w:type="spellStart"/>
      <w:r w:rsidRPr="008B3596">
        <w:rPr>
          <w:rFonts w:eastAsia="Arial Unicode MS"/>
          <w:bCs/>
        </w:rPr>
        <w:t>bv-recht</w:t>
      </w:r>
      <w:proofErr w:type="spellEnd"/>
      <w:r w:rsidRPr="008B3596">
        <w:rPr>
          <w:rFonts w:eastAsia="Arial Unicode MS"/>
          <w:bCs/>
        </w:rPr>
        <w:t xml:space="preserve"> en "verbondenheid" in het belastingrecht: buigen of barsten?, </w:t>
      </w:r>
      <w:r w:rsidRPr="008B3596">
        <w:rPr>
          <w:rFonts w:eastAsia="Arial Unicode MS"/>
          <w:i/>
        </w:rPr>
        <w:t>WFR</w:t>
      </w:r>
      <w:r w:rsidRPr="008B3596">
        <w:rPr>
          <w:rFonts w:eastAsia="Arial Unicode MS"/>
        </w:rPr>
        <w:t xml:space="preserve"> 2007/1162.</w:t>
      </w:r>
    </w:p>
    <w:p w:rsidR="00602636" w:rsidRDefault="00602636" w:rsidP="00602636">
      <w:pPr>
        <w:jc w:val="both"/>
      </w:pPr>
    </w:p>
    <w:p w:rsidR="00100F86" w:rsidRPr="00602636" w:rsidRDefault="00926F34" w:rsidP="00602636">
      <w:pPr>
        <w:jc w:val="both"/>
        <w:rPr>
          <w:b/>
        </w:rPr>
      </w:pPr>
      <w:r w:rsidRPr="00602636">
        <w:rPr>
          <w:b/>
        </w:rPr>
        <w:t>Jurisprudentie</w:t>
      </w:r>
    </w:p>
    <w:p w:rsidR="00926F34" w:rsidRPr="008B3596" w:rsidRDefault="00926F34" w:rsidP="00602636">
      <w:pPr>
        <w:jc w:val="both"/>
      </w:pPr>
      <w:r w:rsidRPr="008B3596">
        <w:t>HR 22 februari 1989, nr. 25 068.</w:t>
      </w:r>
    </w:p>
    <w:p w:rsidR="00926F34" w:rsidRPr="008B3596" w:rsidRDefault="00926F34" w:rsidP="00602636">
      <w:pPr>
        <w:jc w:val="both"/>
      </w:pPr>
      <w:r w:rsidRPr="008B3596">
        <w:t>HR 8 november 1991, NJ 1992/174.</w:t>
      </w:r>
    </w:p>
    <w:p w:rsidR="008B3596" w:rsidRDefault="001955B7" w:rsidP="00602636">
      <w:pPr>
        <w:jc w:val="both"/>
        <w:rPr>
          <w:rStyle w:val="apple-converted-space"/>
          <w:rFonts w:asciiTheme="minorHAnsi" w:hAnsiTheme="minorHAnsi" w:cstheme="minorHAnsi"/>
          <w:color w:val="000000"/>
        </w:rPr>
      </w:pPr>
      <w:hyperlink r:id="rId9" w:history="1">
        <w:r w:rsidR="008B3596" w:rsidRPr="008B3596">
          <w:rPr>
            <w:rStyle w:val="Hyperlink"/>
            <w:rFonts w:asciiTheme="minorHAnsi" w:hAnsiTheme="minorHAnsi" w:cstheme="minorHAnsi"/>
            <w:color w:val="auto"/>
            <w:u w:val="none"/>
          </w:rPr>
          <w:t>HR 22 november 2002, nr. 36.272</w:t>
        </w:r>
      </w:hyperlink>
      <w:r w:rsidR="008B3596" w:rsidRPr="008B3596">
        <w:rPr>
          <w:rStyle w:val="apple-style-span"/>
          <w:rFonts w:asciiTheme="minorHAnsi" w:hAnsiTheme="minorHAnsi" w:cstheme="minorHAnsi"/>
        </w:rPr>
        <w:t>.</w:t>
      </w:r>
    </w:p>
    <w:p w:rsidR="00602636" w:rsidRPr="008B3596" w:rsidRDefault="00602636" w:rsidP="00602636">
      <w:pPr>
        <w:jc w:val="both"/>
        <w:rPr>
          <w:rStyle w:val="apple-converted-space"/>
          <w:rFonts w:asciiTheme="minorHAnsi" w:hAnsiTheme="minorHAnsi" w:cstheme="minorHAnsi"/>
        </w:rPr>
      </w:pPr>
      <w:r w:rsidRPr="008B3596">
        <w:rPr>
          <w:rStyle w:val="apple-style-span"/>
          <w:rFonts w:asciiTheme="minorHAnsi" w:eastAsia="Arial Unicode MS" w:hAnsiTheme="minorHAnsi" w:cstheme="minorHAnsi"/>
        </w:rPr>
        <w:t>HR 18 juni 2010, nr. 08/03662,</w:t>
      </w:r>
      <w:r w:rsidRPr="008B3596">
        <w:rPr>
          <w:rStyle w:val="apple-converted-space"/>
          <w:rFonts w:asciiTheme="minorHAnsi" w:eastAsia="Arial Unicode MS" w:hAnsiTheme="minorHAnsi" w:cstheme="minorHAnsi"/>
        </w:rPr>
        <w:t> </w:t>
      </w:r>
      <w:hyperlink r:id="rId10" w:history="1">
        <w:r w:rsidRPr="008B3596">
          <w:rPr>
            <w:rStyle w:val="Emphasis"/>
            <w:rFonts w:asciiTheme="minorHAnsi" w:eastAsia="Arial Unicode MS" w:hAnsiTheme="minorHAnsi" w:cstheme="minorHAnsi"/>
          </w:rPr>
          <w:t>BNB</w:t>
        </w:r>
        <w:r w:rsidRPr="008B3596">
          <w:rPr>
            <w:rStyle w:val="apple-converted-space"/>
            <w:rFonts w:asciiTheme="minorHAnsi" w:eastAsia="Arial Unicode MS" w:hAnsiTheme="minorHAnsi" w:cstheme="minorHAnsi"/>
          </w:rPr>
          <w:t> </w:t>
        </w:r>
        <w:r w:rsidRPr="008B3596">
          <w:rPr>
            <w:rStyle w:val="Hyperlink"/>
            <w:rFonts w:asciiTheme="minorHAnsi" w:eastAsia="Arial Unicode MS" w:hAnsiTheme="minorHAnsi" w:cstheme="minorHAnsi"/>
            <w:color w:val="auto"/>
            <w:u w:val="none"/>
          </w:rPr>
          <w:t>2010/266</w:t>
        </w:r>
      </w:hyperlink>
      <w:r w:rsidRPr="008B3596">
        <w:rPr>
          <w:rStyle w:val="apple-style-span"/>
          <w:rFonts w:asciiTheme="minorHAnsi" w:eastAsia="Arial Unicode MS" w:hAnsiTheme="minorHAnsi" w:cstheme="minorHAnsi"/>
        </w:rPr>
        <w:t>.</w:t>
      </w:r>
    </w:p>
    <w:p w:rsidR="008B3596" w:rsidRPr="006407D9" w:rsidRDefault="001955B7" w:rsidP="00602636">
      <w:pPr>
        <w:jc w:val="both"/>
        <w:rPr>
          <w:rStyle w:val="apple-converted-space"/>
          <w:rFonts w:asciiTheme="minorHAnsi" w:hAnsiTheme="minorHAnsi" w:cstheme="minorHAnsi"/>
          <w:lang w:val="en-US"/>
        </w:rPr>
      </w:pPr>
      <w:r>
        <w:fldChar w:fldCharType="begin"/>
      </w:r>
      <w:r w:rsidRPr="001955B7">
        <w:rPr>
          <w:lang w:val="en-US"/>
        </w:rPr>
        <w:instrText>HYPERLINK "http://www.ndfr.nl/pgdocument/document.asp?sQueryInfo=sDtbId%3Dndfr%26sSearchFilter%3D(%257B'Wetdeel''IB'%257C'VPB'%257C'OB'%257C'LB'%257C'FBR'%257C'DIV'%257C'SUC'%257C'IBR'%257C'INV'%257C'WOZ'%257C'PH'%257D%2526%257B'NDFR_TYPE''JURISPRUDENTIE'%257C'LITERATUUR'%257D)%257C%257B'Wetdeel''NTFR'%257C'NTFRB'%257C'FISBIB'%257D%26sSearchFilterMain%3D'IB','VPB','OB','LB','FBR','DIV','SUC','IBR','INV','WOZ','PH','NTFR'%257C'NTFRB','FISBIB'%26bSortOnNumdat%3Dfalse%26sQuery%3DVolledigeTekst%253D8%252520april%2525202011%252520hoge%252520raad%252520verbonden%252520lichamen%252520EN%252520niet%252520(volledigewet)%26sSgc%3DVolledigeTekst%26sQueryPresentation%3DZoekterm%253A%25208%252520april%2525202011%252520hoge%252520raad%252520verbonden%252520lichamen%252520EN%252520niet%252520(volledigewet)%26sRelevanceRanking%3Dnumberofhits%26sRelevanceRanking%3Dnumberofhits&amp;sHitlistInfo=&amp;iHit=20&amp;ht=true"</w:instrText>
      </w:r>
      <w:r>
        <w:fldChar w:fldCharType="separate"/>
      </w:r>
      <w:r w:rsidR="00541650" w:rsidRPr="00541650">
        <w:rPr>
          <w:rStyle w:val="Hyperlink"/>
          <w:rFonts w:asciiTheme="minorHAnsi" w:hAnsiTheme="minorHAnsi" w:cstheme="minorHAnsi"/>
          <w:color w:val="auto"/>
          <w:u w:val="none"/>
          <w:lang w:val="en-US"/>
        </w:rPr>
        <w:t xml:space="preserve">HR 8 </w:t>
      </w:r>
      <w:proofErr w:type="spellStart"/>
      <w:r w:rsidR="00541650" w:rsidRPr="00541650">
        <w:rPr>
          <w:rStyle w:val="Hyperlink"/>
          <w:rFonts w:asciiTheme="minorHAnsi" w:hAnsiTheme="minorHAnsi" w:cstheme="minorHAnsi"/>
          <w:color w:val="auto"/>
          <w:u w:val="none"/>
          <w:lang w:val="en-US"/>
        </w:rPr>
        <w:t>april</w:t>
      </w:r>
      <w:proofErr w:type="spellEnd"/>
      <w:r w:rsidR="00541650" w:rsidRPr="00541650">
        <w:rPr>
          <w:rStyle w:val="Hyperlink"/>
          <w:rFonts w:asciiTheme="minorHAnsi" w:hAnsiTheme="minorHAnsi" w:cstheme="minorHAnsi"/>
          <w:color w:val="auto"/>
          <w:u w:val="none"/>
          <w:lang w:val="en-US"/>
        </w:rPr>
        <w:t xml:space="preserve"> 2011, nr. 10/00651</w:t>
      </w:r>
      <w:r>
        <w:fldChar w:fldCharType="end"/>
      </w:r>
      <w:r w:rsidR="00541650" w:rsidRPr="00541650">
        <w:rPr>
          <w:rStyle w:val="apple-style-span"/>
          <w:rFonts w:asciiTheme="minorHAnsi" w:hAnsiTheme="minorHAnsi" w:cstheme="minorHAnsi"/>
          <w:lang w:val="en-US"/>
        </w:rPr>
        <w:t>.</w:t>
      </w:r>
    </w:p>
    <w:p w:rsidR="00602636" w:rsidRPr="006407D9" w:rsidRDefault="00541650" w:rsidP="00602636">
      <w:pPr>
        <w:jc w:val="both"/>
        <w:rPr>
          <w:color w:val="000000"/>
          <w:lang w:val="en-US"/>
        </w:rPr>
      </w:pPr>
      <w:r w:rsidRPr="00541650">
        <w:rPr>
          <w:color w:val="000000"/>
          <w:lang w:val="en-US"/>
        </w:rPr>
        <w:t>Hof Arnhem 17 </w:t>
      </w:r>
      <w:proofErr w:type="spellStart"/>
      <w:r w:rsidRPr="00541650">
        <w:rPr>
          <w:color w:val="000000"/>
          <w:lang w:val="en-US"/>
        </w:rPr>
        <w:t>juni</w:t>
      </w:r>
      <w:proofErr w:type="spellEnd"/>
      <w:r w:rsidRPr="00541650">
        <w:rPr>
          <w:color w:val="000000"/>
          <w:lang w:val="en-US"/>
        </w:rPr>
        <w:t xml:space="preserve"> 1998, nr. 96/1455, V</w:t>
      </w:r>
      <w:r w:rsidRPr="00541650">
        <w:rPr>
          <w:color w:val="000000"/>
          <w:lang w:val="en-US"/>
        </w:rPr>
        <w:noBreakHyphen/>
        <w:t>N 1998/57.14.</w:t>
      </w:r>
    </w:p>
    <w:p w:rsidR="00926F34" w:rsidRPr="008B3596" w:rsidRDefault="00602636" w:rsidP="00602636">
      <w:pPr>
        <w:jc w:val="both"/>
      </w:pPr>
      <w:r>
        <w:t>H</w:t>
      </w:r>
      <w:r w:rsidR="00926F34" w:rsidRPr="008B3596">
        <w:t>of Arnhem 19 februari 2002, rolnummer 01/111.</w:t>
      </w:r>
    </w:p>
    <w:p w:rsidR="008B3596" w:rsidRPr="008B3596" w:rsidRDefault="008B3596" w:rsidP="00602636">
      <w:pPr>
        <w:jc w:val="both"/>
      </w:pPr>
      <w:r w:rsidRPr="008B3596">
        <w:lastRenderedPageBreak/>
        <w:t xml:space="preserve">Rechtbank Haarlem 7 februari 2008, nr. 07/04201, </w:t>
      </w:r>
      <w:r w:rsidRPr="008B3596">
        <w:rPr>
          <w:i/>
        </w:rPr>
        <w:t>NTFR</w:t>
      </w:r>
      <w:r w:rsidRPr="008B3596">
        <w:t xml:space="preserve"> 2008/439, V</w:t>
      </w:r>
      <w:r w:rsidRPr="008B3596">
        <w:noBreakHyphen/>
        <w:t>N 2008/34.16.</w:t>
      </w:r>
    </w:p>
    <w:p w:rsidR="008B3596" w:rsidRPr="008B3596" w:rsidRDefault="001955B7" w:rsidP="00602636">
      <w:pPr>
        <w:jc w:val="both"/>
      </w:pPr>
      <w:hyperlink r:id="rId11" w:history="1">
        <w:r w:rsidR="008B3596" w:rsidRPr="008B3596">
          <w:rPr>
            <w:rStyle w:val="Hyperlink"/>
            <w:rFonts w:asciiTheme="minorHAnsi" w:hAnsiTheme="minorHAnsi" w:cstheme="minorHAnsi"/>
            <w:color w:val="auto"/>
            <w:u w:val="none"/>
          </w:rPr>
          <w:t>Rechtbank Arnhem 26 januari 2010, nr. AWB 08/03331</w:t>
        </w:r>
      </w:hyperlink>
      <w:r w:rsidR="008B3596" w:rsidRPr="008B3596">
        <w:rPr>
          <w:rStyle w:val="apple-style-span"/>
          <w:rFonts w:asciiTheme="minorHAnsi" w:hAnsiTheme="minorHAnsi" w:cstheme="minorHAnsi"/>
        </w:rPr>
        <w:t>.</w:t>
      </w:r>
    </w:p>
    <w:p w:rsidR="00926F34" w:rsidRPr="008B3596" w:rsidRDefault="00926F34" w:rsidP="00602636">
      <w:pPr>
        <w:jc w:val="both"/>
        <w:rPr>
          <w:rFonts w:asciiTheme="minorHAnsi" w:hAnsiTheme="minorHAnsi" w:cstheme="minorHAnsi"/>
          <w:b/>
        </w:rPr>
      </w:pPr>
    </w:p>
    <w:p w:rsidR="00926F34" w:rsidRPr="008B3596" w:rsidRDefault="00926F34" w:rsidP="00175940">
      <w:pPr>
        <w:rPr>
          <w:rFonts w:asciiTheme="minorHAnsi" w:hAnsiTheme="minorHAnsi" w:cstheme="minorHAnsi"/>
          <w:b/>
        </w:rPr>
      </w:pPr>
      <w:r w:rsidRPr="008B3596">
        <w:rPr>
          <w:rFonts w:asciiTheme="minorHAnsi" w:hAnsiTheme="minorHAnsi" w:cstheme="minorHAnsi"/>
          <w:b/>
        </w:rPr>
        <w:t>Overige</w:t>
      </w:r>
    </w:p>
    <w:p w:rsidR="008B3596" w:rsidRPr="008B3596" w:rsidRDefault="008B3596" w:rsidP="00175940">
      <w:pPr>
        <w:rPr>
          <w:rFonts w:asciiTheme="minorHAnsi" w:hAnsiTheme="minorHAnsi" w:cstheme="minorHAnsi"/>
        </w:rPr>
      </w:pPr>
      <w:r w:rsidRPr="008B3596">
        <w:rPr>
          <w:rFonts w:asciiTheme="minorHAnsi" w:hAnsiTheme="minorHAnsi" w:cstheme="minorHAnsi"/>
        </w:rPr>
        <w:t>De Nederlandse Orde van Belastingadviseurs, </w:t>
      </w:r>
      <w:r w:rsidRPr="008B3596">
        <w:rPr>
          <w:rFonts w:asciiTheme="minorHAnsi" w:hAnsiTheme="minorHAnsi" w:cstheme="minorHAnsi"/>
          <w:i/>
          <w:iCs/>
        </w:rPr>
        <w:t>Commentaar op het wetsvoorstel 'Aanpassing van de wetgeving aan en de invoering van de Wet vereenvoudiging en flexibilisering bv-recht'</w:t>
      </w:r>
      <w:r w:rsidRPr="008B3596">
        <w:rPr>
          <w:rFonts w:asciiTheme="minorHAnsi" w:hAnsiTheme="minorHAnsi" w:cstheme="minorHAnsi"/>
        </w:rPr>
        <w:t>, Amsterdam;17 september 2010.</w:t>
      </w:r>
    </w:p>
    <w:p w:rsidR="008B3596" w:rsidRPr="008B3596" w:rsidRDefault="008B3596" w:rsidP="00175940">
      <w:pPr>
        <w:rPr>
          <w:rFonts w:asciiTheme="minorHAnsi" w:hAnsiTheme="minorHAnsi" w:cstheme="minorHAnsi"/>
          <w:lang w:eastAsia="nl-NL"/>
        </w:rPr>
      </w:pPr>
      <w:r w:rsidRPr="008B3596">
        <w:rPr>
          <w:rFonts w:asciiTheme="minorHAnsi" w:hAnsiTheme="minorHAnsi" w:cstheme="minorHAnsi"/>
          <w:lang w:eastAsia="nl-NL"/>
        </w:rPr>
        <w:t xml:space="preserve">M.L. </w:t>
      </w:r>
      <w:proofErr w:type="spellStart"/>
      <w:r w:rsidRPr="008B3596">
        <w:rPr>
          <w:rFonts w:asciiTheme="minorHAnsi" w:hAnsiTheme="minorHAnsi" w:cstheme="minorHAnsi"/>
          <w:lang w:eastAsia="nl-NL"/>
        </w:rPr>
        <w:t>Lennarts</w:t>
      </w:r>
      <w:proofErr w:type="spellEnd"/>
      <w:r w:rsidRPr="008B3596">
        <w:rPr>
          <w:rFonts w:asciiTheme="minorHAnsi" w:hAnsiTheme="minorHAnsi" w:cstheme="minorHAnsi"/>
          <w:lang w:eastAsia="nl-NL"/>
        </w:rPr>
        <w:t xml:space="preserve"> en J.N. </w:t>
      </w:r>
      <w:proofErr w:type="spellStart"/>
      <w:r w:rsidRPr="008B3596">
        <w:rPr>
          <w:rFonts w:asciiTheme="minorHAnsi" w:hAnsiTheme="minorHAnsi" w:cstheme="minorHAnsi"/>
          <w:lang w:eastAsia="nl-NL"/>
        </w:rPr>
        <w:t>Schutte-Veenstra</w:t>
      </w:r>
      <w:proofErr w:type="spellEnd"/>
      <w:r w:rsidRPr="008B3596">
        <w:rPr>
          <w:rFonts w:asciiTheme="minorHAnsi" w:hAnsiTheme="minorHAnsi" w:cstheme="minorHAnsi"/>
          <w:lang w:eastAsia="nl-NL"/>
        </w:rPr>
        <w:t xml:space="preserve">, </w:t>
      </w:r>
      <w:r w:rsidRPr="008B3596">
        <w:rPr>
          <w:rFonts w:asciiTheme="minorHAnsi" w:hAnsiTheme="minorHAnsi" w:cstheme="minorHAnsi"/>
          <w:i/>
          <w:lang w:eastAsia="nl-NL"/>
        </w:rPr>
        <w:t xml:space="preserve">Versoepeling van het </w:t>
      </w:r>
      <w:proofErr w:type="spellStart"/>
      <w:r w:rsidRPr="008B3596">
        <w:rPr>
          <w:rFonts w:asciiTheme="minorHAnsi" w:hAnsiTheme="minorHAnsi" w:cstheme="minorHAnsi"/>
          <w:i/>
          <w:lang w:eastAsia="nl-NL"/>
        </w:rPr>
        <w:t>bv-kapitaalbeschermingsrecht</w:t>
      </w:r>
      <w:proofErr w:type="spellEnd"/>
      <w:r w:rsidRPr="008B3596">
        <w:rPr>
          <w:rFonts w:asciiTheme="minorHAnsi" w:hAnsiTheme="minorHAnsi" w:cstheme="minorHAnsi"/>
          <w:lang w:eastAsia="nl-NL"/>
        </w:rPr>
        <w:t>, Eindrapport van 31 maart 2004, Instituut voor Ondernemingsrecht Groningen.</w:t>
      </w:r>
    </w:p>
    <w:p w:rsidR="008B3596" w:rsidRPr="008B3596" w:rsidRDefault="008B3596" w:rsidP="00602636">
      <w:pPr>
        <w:jc w:val="both"/>
        <w:rPr>
          <w:rFonts w:asciiTheme="minorHAnsi" w:hAnsiTheme="minorHAnsi" w:cstheme="minorHAnsi"/>
          <w:b/>
        </w:rPr>
      </w:pPr>
    </w:p>
    <w:p w:rsidR="004729DB" w:rsidRPr="008B3596" w:rsidRDefault="004729DB" w:rsidP="00602636">
      <w:pPr>
        <w:jc w:val="both"/>
        <w:rPr>
          <w:rFonts w:asciiTheme="minorHAnsi" w:hAnsiTheme="minorHAnsi" w:cstheme="minorHAnsi"/>
          <w:b/>
        </w:rPr>
      </w:pPr>
    </w:p>
    <w:p w:rsidR="004729DB" w:rsidRPr="004729DB" w:rsidRDefault="004729DB" w:rsidP="00602636">
      <w:pPr>
        <w:jc w:val="both"/>
        <w:rPr>
          <w:b/>
        </w:rPr>
      </w:pPr>
    </w:p>
    <w:sectPr w:rsidR="004729DB" w:rsidRPr="004729DB" w:rsidSect="000E54D4">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3FC" w:rsidRDefault="00F953FC" w:rsidP="009466A7">
      <w:pPr>
        <w:spacing w:line="240" w:lineRule="auto"/>
      </w:pPr>
      <w:r>
        <w:separator/>
      </w:r>
    </w:p>
  </w:endnote>
  <w:endnote w:type="continuationSeparator" w:id="0">
    <w:p w:rsidR="00F953FC" w:rsidRDefault="00F953FC" w:rsidP="009466A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5327446"/>
      <w:docPartObj>
        <w:docPartGallery w:val="Page Numbers (Bottom of Page)"/>
        <w:docPartUnique/>
      </w:docPartObj>
    </w:sdtPr>
    <w:sdtContent>
      <w:p w:rsidR="00C93ACE" w:rsidRDefault="001955B7">
        <w:pPr>
          <w:pStyle w:val="Footer"/>
        </w:pPr>
        <w:r w:rsidRPr="001955B7">
          <w:rPr>
            <w:b/>
            <w:lang w:eastAsia="zh-TW"/>
          </w:rPr>
          <w:pict>
            <v:rect id="_x0000_s5122" style="position:absolute;margin-left:0;margin-top:0;width:44.55pt;height:15.1pt;rotation:-180;flip:x;z-index:251660288;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5122" inset=",0,,0">
                <w:txbxContent>
                  <w:p w:rsidR="00C93ACE" w:rsidRDefault="001955B7">
                    <w:pPr>
                      <w:pBdr>
                        <w:top w:val="single" w:sz="4" w:space="1" w:color="7F7F7F" w:themeColor="background1" w:themeShade="7F"/>
                      </w:pBdr>
                      <w:jc w:val="center"/>
                      <w:rPr>
                        <w:color w:val="C0504D" w:themeColor="accent2"/>
                      </w:rPr>
                    </w:pPr>
                    <w:fldSimple w:instr=" PAGE   \* MERGEFORMAT ">
                      <w:r w:rsidR="00000365" w:rsidRPr="00000365">
                        <w:rPr>
                          <w:noProof/>
                          <w:color w:val="C0504D" w:themeColor="accent2"/>
                        </w:rPr>
                        <w:t>2</w:t>
                      </w:r>
                    </w:fldSimple>
                  </w:p>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3FC" w:rsidRDefault="00F953FC" w:rsidP="009466A7">
      <w:pPr>
        <w:spacing w:line="240" w:lineRule="auto"/>
      </w:pPr>
      <w:r>
        <w:separator/>
      </w:r>
    </w:p>
  </w:footnote>
  <w:footnote w:type="continuationSeparator" w:id="0">
    <w:p w:rsidR="00F953FC" w:rsidRDefault="00F953FC" w:rsidP="009466A7">
      <w:pPr>
        <w:spacing w:line="240" w:lineRule="auto"/>
      </w:pPr>
      <w:r>
        <w:continuationSeparator/>
      </w:r>
    </w:p>
  </w:footnote>
  <w:footnote w:id="1">
    <w:p w:rsidR="00C93ACE" w:rsidRPr="00E406FC" w:rsidRDefault="00C93ACE" w:rsidP="00940C49">
      <w:pPr>
        <w:pStyle w:val="FootnoteText"/>
      </w:pPr>
      <w:r w:rsidRPr="00E406FC">
        <w:rPr>
          <w:rStyle w:val="FootnoteReference"/>
        </w:rPr>
        <w:footnoteRef/>
      </w:r>
      <w:r>
        <w:t xml:space="preserve"> </w:t>
      </w:r>
      <w:r w:rsidRPr="00E406FC">
        <w:rPr>
          <w:rFonts w:ascii="Times New Roman" w:eastAsia="Arial Unicode MS" w:hAnsi="Times New Roman" w:cs="Times New Roman"/>
        </w:rPr>
        <w:t>R.N.F. </w:t>
      </w:r>
      <w:proofErr w:type="spellStart"/>
      <w:r w:rsidRPr="00E406FC">
        <w:rPr>
          <w:rFonts w:ascii="Times New Roman" w:eastAsia="Arial Unicode MS" w:hAnsi="Times New Roman" w:cs="Times New Roman"/>
        </w:rPr>
        <w:t>Zuidgeest</w:t>
      </w:r>
      <w:proofErr w:type="spellEnd"/>
      <w:r w:rsidRPr="00E406FC">
        <w:rPr>
          <w:rFonts w:ascii="Times New Roman" w:eastAsia="Arial Unicode MS" w:hAnsi="Times New Roman" w:cs="Times New Roman"/>
        </w:rPr>
        <w:t xml:space="preserve">, </w:t>
      </w:r>
      <w:r w:rsidRPr="00E406FC">
        <w:rPr>
          <w:rFonts w:ascii="Times New Roman" w:eastAsia="Arial Unicode MS" w:hAnsi="Times New Roman" w:cs="Times New Roman"/>
          <w:bCs/>
        </w:rPr>
        <w:t>Flexibel </w:t>
      </w:r>
      <w:proofErr w:type="spellStart"/>
      <w:r w:rsidRPr="00E406FC">
        <w:rPr>
          <w:rFonts w:ascii="Times New Roman" w:eastAsia="Arial Unicode MS" w:hAnsi="Times New Roman" w:cs="Times New Roman"/>
          <w:bCs/>
        </w:rPr>
        <w:t>bv-recht</w:t>
      </w:r>
      <w:proofErr w:type="spellEnd"/>
      <w:r w:rsidRPr="00E406FC">
        <w:rPr>
          <w:rFonts w:ascii="Times New Roman" w:eastAsia="Arial Unicode MS" w:hAnsi="Times New Roman" w:cs="Times New Roman"/>
          <w:bCs/>
        </w:rPr>
        <w:t xml:space="preserve"> en "verbondenheid" in het belastingrecht: buigen of barsten?, </w:t>
      </w:r>
      <w:r w:rsidRPr="004E3E91">
        <w:rPr>
          <w:rFonts w:ascii="Times New Roman" w:eastAsia="Arial Unicode MS" w:hAnsi="Times New Roman" w:cs="Times New Roman"/>
          <w:i/>
        </w:rPr>
        <w:t>WFR</w:t>
      </w:r>
      <w:r w:rsidRPr="00E406FC">
        <w:rPr>
          <w:rFonts w:ascii="Times New Roman" w:eastAsia="Arial Unicode MS" w:hAnsi="Times New Roman" w:cs="Times New Roman"/>
        </w:rPr>
        <w:t xml:space="preserve"> 2007/1162.</w:t>
      </w:r>
    </w:p>
  </w:footnote>
  <w:footnote w:id="2">
    <w:p w:rsidR="00C93ACE" w:rsidRPr="00E406FC" w:rsidRDefault="00C93ACE" w:rsidP="00940C49">
      <w:pPr>
        <w:pStyle w:val="FootnoteText"/>
        <w:rPr>
          <w:rFonts w:ascii="Times New Roman" w:hAnsi="Times New Roman" w:cs="Times New Roman"/>
        </w:rPr>
      </w:pPr>
      <w:r w:rsidRPr="00E406FC">
        <w:rPr>
          <w:rStyle w:val="FootnoteReference"/>
          <w:rFonts w:ascii="Times New Roman" w:hAnsi="Times New Roman"/>
        </w:rPr>
        <w:footnoteRef/>
      </w:r>
      <w:r>
        <w:rPr>
          <w:rFonts w:ascii="Times New Roman" w:hAnsi="Times New Roman" w:cs="Times New Roman"/>
        </w:rPr>
        <w:t xml:space="preserve"> </w:t>
      </w:r>
      <w:r w:rsidRPr="00E406FC">
        <w:rPr>
          <w:rFonts w:ascii="Times New Roman" w:hAnsi="Times New Roman" w:cs="Times New Roman"/>
        </w:rPr>
        <w:t>J. </w:t>
      </w:r>
      <w:proofErr w:type="gramStart"/>
      <w:r w:rsidRPr="00E406FC">
        <w:rPr>
          <w:rFonts w:ascii="Times New Roman" w:hAnsi="Times New Roman" w:cs="Times New Roman"/>
        </w:rPr>
        <w:t>Mos,</w:t>
      </w:r>
      <w:r w:rsidRPr="00E406FC">
        <w:rPr>
          <w:rFonts w:ascii="Times New Roman" w:hAnsi="Times New Roman" w:cs="Times New Roman"/>
          <w:bCs/>
        </w:rPr>
        <w:t xml:space="preserve">  </w:t>
      </w:r>
      <w:proofErr w:type="gramEnd"/>
      <w:r w:rsidRPr="00E406FC">
        <w:rPr>
          <w:rFonts w:ascii="Times New Roman" w:hAnsi="Times New Roman" w:cs="Times New Roman"/>
          <w:bCs/>
        </w:rPr>
        <w:t xml:space="preserve">De geflexibiliseerde besloten vennootschap, </w:t>
      </w:r>
      <w:r w:rsidRPr="004E3E91">
        <w:rPr>
          <w:rFonts w:ascii="Times New Roman" w:hAnsi="Times New Roman" w:cs="Times New Roman"/>
          <w:bCs/>
          <w:i/>
        </w:rPr>
        <w:t>Maandblad Belasting Beschouwingen</w:t>
      </w:r>
      <w:r w:rsidRPr="00E406FC">
        <w:rPr>
          <w:rFonts w:ascii="Times New Roman" w:hAnsi="Times New Roman" w:cs="Times New Roman"/>
          <w:bCs/>
        </w:rPr>
        <w:t xml:space="preserve"> 2007/11</w:t>
      </w:r>
      <w:r w:rsidRPr="00E406FC">
        <w:rPr>
          <w:rFonts w:ascii="Times New Roman" w:hAnsi="Times New Roman" w:cs="Times New Roman"/>
        </w:rPr>
        <w:t>.</w:t>
      </w:r>
    </w:p>
  </w:footnote>
  <w:footnote w:id="3">
    <w:p w:rsidR="00C93ACE" w:rsidRPr="00E406FC" w:rsidRDefault="00C93ACE" w:rsidP="00940C49">
      <w:pPr>
        <w:pStyle w:val="FootnoteText"/>
        <w:rPr>
          <w:rFonts w:ascii="Times New Roman" w:hAnsi="Times New Roman" w:cs="Times New Roman"/>
        </w:rPr>
      </w:pPr>
      <w:r w:rsidRPr="00E406FC">
        <w:rPr>
          <w:rStyle w:val="FootnoteReference"/>
          <w:rFonts w:ascii="Times New Roman" w:hAnsi="Times New Roman"/>
        </w:rPr>
        <w:footnoteRef/>
      </w:r>
      <w:r w:rsidRPr="00E406FC">
        <w:rPr>
          <w:rFonts w:ascii="Times New Roman" w:hAnsi="Times New Roman" w:cs="Times New Roman"/>
        </w:rPr>
        <w:t xml:space="preserve"> K.P.E. </w:t>
      </w:r>
      <w:proofErr w:type="spellStart"/>
      <w:r>
        <w:rPr>
          <w:rFonts w:ascii="Times New Roman" w:hAnsi="Times New Roman" w:cs="Times New Roman"/>
        </w:rPr>
        <w:t>Stals</w:t>
      </w:r>
      <w:proofErr w:type="spellEnd"/>
      <w:r w:rsidRPr="00E406FC">
        <w:rPr>
          <w:rFonts w:ascii="Times New Roman" w:hAnsi="Times New Roman" w:cs="Times New Roman"/>
        </w:rPr>
        <w:t xml:space="preserve">, </w:t>
      </w:r>
      <w:r>
        <w:rPr>
          <w:rFonts w:ascii="Times New Roman" w:hAnsi="Times New Roman" w:cs="Times New Roman"/>
        </w:rPr>
        <w:t>‘</w:t>
      </w:r>
      <w:r w:rsidRPr="00E406FC">
        <w:rPr>
          <w:rFonts w:ascii="Times New Roman" w:hAnsi="Times New Roman" w:cs="Times New Roman"/>
          <w:bCs/>
        </w:rPr>
        <w:t>Fiscale aspecten van het wetsvoorstel </w:t>
      </w:r>
      <w:bookmarkStart w:id="0" w:name="cchit0"/>
      <w:bookmarkEnd w:id="0"/>
      <w:r w:rsidRPr="00E406FC">
        <w:rPr>
          <w:rFonts w:ascii="Times New Roman" w:hAnsi="Times New Roman" w:cs="Times New Roman"/>
          <w:bCs/>
        </w:rPr>
        <w:t xml:space="preserve">Flexibilisering bv-recht: </w:t>
      </w:r>
      <w:r>
        <w:rPr>
          <w:rFonts w:ascii="Times New Roman" w:hAnsi="Times New Roman" w:cs="Times New Roman"/>
          <w:bCs/>
        </w:rPr>
        <w:t>‘</w:t>
      </w:r>
      <w:r w:rsidRPr="00E406FC">
        <w:rPr>
          <w:rFonts w:ascii="Times New Roman" w:hAnsi="Times New Roman" w:cs="Times New Roman"/>
          <w:bCs/>
        </w:rPr>
        <w:t>van dichte nevelen naar heldere lucht?’</w:t>
      </w:r>
      <w:r>
        <w:rPr>
          <w:rFonts w:ascii="Times New Roman" w:hAnsi="Times New Roman" w:cs="Times New Roman"/>
          <w:bCs/>
        </w:rPr>
        <w:t>’</w:t>
      </w:r>
      <w:r w:rsidRPr="00E406FC">
        <w:rPr>
          <w:rFonts w:ascii="Times New Roman" w:hAnsi="Times New Roman" w:cs="Times New Roman"/>
          <w:bCs/>
        </w:rPr>
        <w:t xml:space="preserve">, </w:t>
      </w:r>
      <w:r w:rsidRPr="004E3E91">
        <w:rPr>
          <w:rFonts w:ascii="Times New Roman" w:hAnsi="Times New Roman" w:cs="Times New Roman"/>
          <w:bCs/>
          <w:i/>
        </w:rPr>
        <w:t>Forfaitair</w:t>
      </w:r>
      <w:r w:rsidRPr="00E406FC">
        <w:rPr>
          <w:rFonts w:ascii="Times New Roman" w:hAnsi="Times New Roman" w:cs="Times New Roman"/>
          <w:bCs/>
        </w:rPr>
        <w:t xml:space="preserve"> 2011/211. </w:t>
      </w:r>
    </w:p>
  </w:footnote>
  <w:footnote w:id="4">
    <w:p w:rsidR="00C93ACE" w:rsidRPr="00E406FC" w:rsidRDefault="00C93ACE" w:rsidP="00940C49">
      <w:pPr>
        <w:pStyle w:val="FootnoteText"/>
        <w:rPr>
          <w:b/>
        </w:rPr>
      </w:pPr>
      <w:r w:rsidRPr="00E406FC">
        <w:rPr>
          <w:rStyle w:val="FootnoteReference"/>
          <w:rFonts w:ascii="Times New Roman" w:hAnsi="Times New Roman"/>
        </w:rPr>
        <w:footnoteRef/>
      </w:r>
      <w:r w:rsidRPr="00E406FC">
        <w:rPr>
          <w:rFonts w:ascii="Times New Roman" w:hAnsi="Times New Roman" w:cs="Times New Roman"/>
        </w:rPr>
        <w:t xml:space="preserve"> </w:t>
      </w:r>
      <w:r w:rsidRPr="004E3E91">
        <w:rPr>
          <w:rFonts w:ascii="Times New Roman" w:hAnsi="Times New Roman" w:cs="Times New Roman"/>
          <w:i/>
        </w:rPr>
        <w:t>Kamerstukken II</w:t>
      </w:r>
      <w:r w:rsidRPr="00E406FC">
        <w:rPr>
          <w:rFonts w:ascii="Times New Roman" w:hAnsi="Times New Roman" w:cs="Times New Roman"/>
        </w:rPr>
        <w:t xml:space="preserve"> 2009/10, 32 426, nr. 3, p. 6.</w:t>
      </w:r>
    </w:p>
  </w:footnote>
  <w:footnote w:id="5">
    <w:p w:rsidR="00C93ACE" w:rsidRPr="009466A7" w:rsidRDefault="00C93ACE" w:rsidP="00940C49">
      <w:pPr>
        <w:pStyle w:val="FootnoteText"/>
        <w:rPr>
          <w:rFonts w:ascii="Times New Roman" w:hAnsi="Times New Roman" w:cs="Times New Roman"/>
        </w:rPr>
      </w:pPr>
      <w:r w:rsidRPr="009466A7">
        <w:rPr>
          <w:rStyle w:val="FootnoteReference"/>
          <w:rFonts w:ascii="Times New Roman" w:hAnsi="Times New Roman"/>
        </w:rPr>
        <w:footnoteRef/>
      </w:r>
      <w:r>
        <w:rPr>
          <w:rFonts w:ascii="Times New Roman" w:hAnsi="Times New Roman" w:cs="Times New Roman"/>
        </w:rPr>
        <w:t xml:space="preserve"> </w:t>
      </w:r>
      <w:proofErr w:type="gramStart"/>
      <w:r>
        <w:rPr>
          <w:rFonts w:ascii="Times New Roman" w:hAnsi="Times New Roman" w:cs="Times New Roman"/>
        </w:rPr>
        <w:t>Zie art.</w:t>
      </w:r>
      <w:r w:rsidRPr="009466A7">
        <w:rPr>
          <w:rFonts w:ascii="Times New Roman" w:hAnsi="Times New Roman" w:cs="Times New Roman"/>
        </w:rPr>
        <w:t xml:space="preserve"> </w:t>
      </w:r>
      <w:proofErr w:type="gramEnd"/>
      <w:r w:rsidRPr="009466A7">
        <w:rPr>
          <w:rFonts w:ascii="Times New Roman" w:hAnsi="Times New Roman" w:cs="Times New Roman"/>
        </w:rPr>
        <w:t>7</w:t>
      </w:r>
      <w:r>
        <w:rPr>
          <w:rFonts w:ascii="Times New Roman" w:hAnsi="Times New Roman" w:cs="Times New Roman"/>
        </w:rPr>
        <w:t xml:space="preserve">, lid 4 Wet omzetbelasting </w:t>
      </w:r>
      <w:r w:rsidRPr="009466A7">
        <w:rPr>
          <w:rFonts w:ascii="Times New Roman" w:hAnsi="Times New Roman" w:cs="Times New Roman"/>
        </w:rPr>
        <w:t>1968</w:t>
      </w:r>
      <w:r>
        <w:rPr>
          <w:rFonts w:ascii="Times New Roman" w:hAnsi="Times New Roman" w:cs="Times New Roman"/>
        </w:rPr>
        <w:t>.</w:t>
      </w:r>
    </w:p>
  </w:footnote>
  <w:footnote w:id="6">
    <w:p w:rsidR="00C93ACE" w:rsidRPr="009466A7" w:rsidRDefault="00C93ACE" w:rsidP="00940C49">
      <w:pPr>
        <w:pStyle w:val="FootnoteText"/>
        <w:rPr>
          <w:rFonts w:ascii="Times New Roman" w:hAnsi="Times New Roman" w:cs="Times New Roman"/>
        </w:rPr>
      </w:pPr>
      <w:r w:rsidRPr="009466A7">
        <w:rPr>
          <w:rStyle w:val="FootnoteReference"/>
          <w:rFonts w:ascii="Times New Roman" w:hAnsi="Times New Roman"/>
        </w:rPr>
        <w:footnoteRef/>
      </w:r>
      <w:r w:rsidRPr="009466A7">
        <w:rPr>
          <w:rFonts w:ascii="Times New Roman" w:hAnsi="Times New Roman" w:cs="Times New Roman"/>
        </w:rPr>
        <w:t xml:space="preserve"> </w:t>
      </w:r>
      <w:r w:rsidRPr="009466A7">
        <w:rPr>
          <w:rFonts w:ascii="Times New Roman" w:eastAsia="Arial Unicode MS" w:hAnsi="Times New Roman" w:cs="Times New Roman"/>
        </w:rPr>
        <w:t>HR 22 februari 1989, nr. 25 068</w:t>
      </w:r>
      <w:r>
        <w:rPr>
          <w:rFonts w:ascii="Times New Roman" w:eastAsia="Arial Unicode MS" w:hAnsi="Times New Roman" w:cs="Times New Roman"/>
        </w:rPr>
        <w:t>.</w:t>
      </w:r>
    </w:p>
  </w:footnote>
  <w:footnote w:id="7">
    <w:p w:rsidR="00C93ACE" w:rsidRPr="00E406FC" w:rsidRDefault="00C93ACE" w:rsidP="00940C49">
      <w:pPr>
        <w:pStyle w:val="FootnoteText"/>
      </w:pPr>
      <w:r w:rsidRPr="009466A7">
        <w:rPr>
          <w:rStyle w:val="FootnoteReference"/>
          <w:rFonts w:ascii="Times New Roman" w:hAnsi="Times New Roman"/>
        </w:rPr>
        <w:footnoteRef/>
      </w:r>
      <w:r w:rsidRPr="009466A7">
        <w:rPr>
          <w:rFonts w:ascii="Times New Roman" w:eastAsia="Arial Unicode MS" w:hAnsi="Times New Roman" w:cs="Times New Roman"/>
        </w:rPr>
        <w:t xml:space="preserve"> R.N.F. </w:t>
      </w:r>
      <w:proofErr w:type="spellStart"/>
      <w:r w:rsidRPr="009466A7">
        <w:rPr>
          <w:rFonts w:ascii="Times New Roman" w:eastAsia="Arial Unicode MS" w:hAnsi="Times New Roman" w:cs="Times New Roman"/>
        </w:rPr>
        <w:t>Zuidgeest</w:t>
      </w:r>
      <w:proofErr w:type="spellEnd"/>
      <w:r w:rsidRPr="009466A7">
        <w:rPr>
          <w:rFonts w:ascii="Times New Roman" w:eastAsia="Arial Unicode MS" w:hAnsi="Times New Roman" w:cs="Times New Roman"/>
        </w:rPr>
        <w:t>,</w:t>
      </w:r>
      <w:r w:rsidRPr="009466A7">
        <w:rPr>
          <w:rFonts w:ascii="Times New Roman" w:eastAsia="Arial Unicode MS" w:hAnsi="Times New Roman" w:cs="Times New Roman"/>
          <w:bCs/>
        </w:rPr>
        <w:t xml:space="preserve"> Flexibel </w:t>
      </w:r>
      <w:proofErr w:type="spellStart"/>
      <w:r w:rsidRPr="009466A7">
        <w:rPr>
          <w:rFonts w:ascii="Times New Roman" w:eastAsia="Arial Unicode MS" w:hAnsi="Times New Roman" w:cs="Times New Roman"/>
          <w:bCs/>
        </w:rPr>
        <w:t>bv-recht</w:t>
      </w:r>
      <w:proofErr w:type="spellEnd"/>
      <w:r w:rsidRPr="009466A7">
        <w:rPr>
          <w:rFonts w:ascii="Times New Roman" w:eastAsia="Arial Unicode MS" w:hAnsi="Times New Roman" w:cs="Times New Roman"/>
          <w:bCs/>
        </w:rPr>
        <w:t xml:space="preserve"> en "verbondenheid" in het belastingrecht: buigen of barsten?,</w:t>
      </w:r>
      <w:r w:rsidRPr="009466A7">
        <w:rPr>
          <w:rFonts w:ascii="Times New Roman" w:eastAsia="Arial Unicode MS" w:hAnsi="Times New Roman" w:cs="Times New Roman"/>
        </w:rPr>
        <w:t xml:space="preserve"> </w:t>
      </w:r>
      <w:r w:rsidRPr="00C344FC">
        <w:rPr>
          <w:rFonts w:ascii="Times New Roman" w:eastAsia="Arial Unicode MS" w:hAnsi="Times New Roman" w:cs="Times New Roman"/>
          <w:i/>
        </w:rPr>
        <w:t>WFR</w:t>
      </w:r>
      <w:r w:rsidRPr="009466A7">
        <w:rPr>
          <w:rFonts w:ascii="Times New Roman" w:eastAsia="Arial Unicode MS" w:hAnsi="Times New Roman" w:cs="Times New Roman"/>
        </w:rPr>
        <w:t xml:space="preserve"> 2007/1162</w:t>
      </w:r>
      <w:r>
        <w:rPr>
          <w:rFonts w:ascii="Times New Roman" w:eastAsia="Arial Unicode MS" w:hAnsi="Times New Roman" w:cs="Times New Roman"/>
        </w:rPr>
        <w:t>.</w:t>
      </w:r>
    </w:p>
  </w:footnote>
  <w:footnote w:id="8">
    <w:p w:rsidR="00C93ACE" w:rsidRDefault="00C93ACE" w:rsidP="00977DC9">
      <w:pPr>
        <w:pStyle w:val="FootnoteText"/>
      </w:pPr>
      <w:r w:rsidRPr="00FA4D61">
        <w:rPr>
          <w:rStyle w:val="FootnoteReference"/>
          <w:rFonts w:ascii="Times New Roman" w:hAnsi="Times New Roman"/>
        </w:rPr>
        <w:footnoteRef/>
      </w:r>
      <w:r w:rsidRPr="00FA4D61">
        <w:rPr>
          <w:rFonts w:ascii="Times New Roman" w:hAnsi="Times New Roman" w:cs="Times New Roman"/>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3</w:t>
      </w:r>
      <w:r w:rsidRPr="00E6005B">
        <w:rPr>
          <w:rFonts w:ascii="Times New Roman" w:eastAsiaTheme="minorHAnsi" w:hAnsi="Times New Roman" w:cs="Times New Roman"/>
        </w:rPr>
        <w:t>. (MvT)</w:t>
      </w:r>
    </w:p>
  </w:footnote>
  <w:footnote w:id="9">
    <w:p w:rsidR="00C93ACE" w:rsidRDefault="00C93ACE" w:rsidP="00977DC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w:t>
      </w:r>
      <w:r w:rsidRPr="00E6005B">
        <w:rPr>
          <w:rFonts w:ascii="Times New Roman" w:eastAsiaTheme="minorHAnsi" w:hAnsi="Times New Roman" w:cs="Times New Roman"/>
        </w:rPr>
        <w:t>. (MvT)</w:t>
      </w:r>
    </w:p>
  </w:footnote>
  <w:footnote w:id="10">
    <w:p w:rsidR="00C93ACE" w:rsidRPr="00A525CE" w:rsidRDefault="00C93ACE" w:rsidP="00977DC9">
      <w:pPr>
        <w:autoSpaceDE w:val="0"/>
        <w:autoSpaceDN w:val="0"/>
        <w:adjustRightInd w:val="0"/>
        <w:spacing w:line="240" w:lineRule="auto"/>
        <w:rPr>
          <w:rFonts w:ascii="Times New Roman" w:hAnsi="Times New Roman" w:cs="Times New Roman"/>
          <w:sz w:val="20"/>
          <w:szCs w:val="20"/>
          <w:lang w:eastAsia="nl-NL"/>
        </w:rPr>
      </w:pPr>
      <w:r w:rsidRPr="00A525CE">
        <w:rPr>
          <w:rStyle w:val="FootnoteReference"/>
          <w:rFonts w:ascii="Times New Roman" w:hAnsi="Times New Roman"/>
          <w:sz w:val="20"/>
          <w:szCs w:val="20"/>
        </w:rPr>
        <w:footnoteRef/>
      </w:r>
      <w:r w:rsidRPr="00A525CE">
        <w:rPr>
          <w:rFonts w:ascii="Times New Roman" w:hAnsi="Times New Roman" w:cs="Times New Roman"/>
          <w:sz w:val="20"/>
          <w:szCs w:val="20"/>
        </w:rPr>
        <w:t xml:space="preserve"> </w:t>
      </w:r>
      <w:r w:rsidRPr="00A525CE">
        <w:rPr>
          <w:rFonts w:ascii="Times New Roman" w:hAnsi="Times New Roman" w:cs="Times New Roman"/>
          <w:sz w:val="20"/>
          <w:szCs w:val="20"/>
          <w:lang w:eastAsia="nl-NL"/>
        </w:rPr>
        <w:t xml:space="preserve">M.L. </w:t>
      </w:r>
      <w:proofErr w:type="spellStart"/>
      <w:r w:rsidRPr="00A525CE">
        <w:rPr>
          <w:rFonts w:ascii="Times New Roman" w:hAnsi="Times New Roman" w:cs="Times New Roman"/>
          <w:sz w:val="20"/>
          <w:szCs w:val="20"/>
          <w:lang w:eastAsia="nl-NL"/>
        </w:rPr>
        <w:t>Lennarts</w:t>
      </w:r>
      <w:proofErr w:type="spellEnd"/>
      <w:r w:rsidRPr="00A525CE">
        <w:rPr>
          <w:rFonts w:ascii="Times New Roman" w:hAnsi="Times New Roman" w:cs="Times New Roman"/>
          <w:sz w:val="20"/>
          <w:szCs w:val="20"/>
          <w:lang w:eastAsia="nl-NL"/>
        </w:rPr>
        <w:t xml:space="preserve"> en J.N. </w:t>
      </w:r>
      <w:proofErr w:type="spellStart"/>
      <w:r w:rsidRPr="00A525CE">
        <w:rPr>
          <w:rFonts w:ascii="Times New Roman" w:hAnsi="Times New Roman" w:cs="Times New Roman"/>
          <w:sz w:val="20"/>
          <w:szCs w:val="20"/>
          <w:lang w:eastAsia="nl-NL"/>
        </w:rPr>
        <w:t>Schutte-Veenstra</w:t>
      </w:r>
      <w:proofErr w:type="spellEnd"/>
      <w:r w:rsidRPr="00A525CE">
        <w:rPr>
          <w:rFonts w:ascii="Times New Roman" w:hAnsi="Times New Roman" w:cs="Times New Roman"/>
          <w:sz w:val="20"/>
          <w:szCs w:val="20"/>
          <w:lang w:eastAsia="nl-NL"/>
        </w:rPr>
        <w:t xml:space="preserve">, </w:t>
      </w:r>
      <w:r w:rsidRPr="00D41F70">
        <w:rPr>
          <w:rFonts w:ascii="Times New Roman" w:hAnsi="Times New Roman" w:cs="Times New Roman"/>
          <w:i/>
          <w:sz w:val="20"/>
          <w:szCs w:val="20"/>
          <w:lang w:eastAsia="nl-NL"/>
        </w:rPr>
        <w:t xml:space="preserve">Versoepeling van het </w:t>
      </w:r>
      <w:proofErr w:type="spellStart"/>
      <w:r w:rsidRPr="00D41F70">
        <w:rPr>
          <w:rFonts w:ascii="Times New Roman" w:hAnsi="Times New Roman" w:cs="Times New Roman"/>
          <w:i/>
          <w:sz w:val="20"/>
          <w:szCs w:val="20"/>
          <w:lang w:eastAsia="nl-NL"/>
        </w:rPr>
        <w:t>bv-kapitaalbeschermingsrecht</w:t>
      </w:r>
      <w:proofErr w:type="spellEnd"/>
      <w:r w:rsidRPr="00D41F70">
        <w:rPr>
          <w:rFonts w:ascii="Times New Roman" w:hAnsi="Times New Roman" w:cs="Times New Roman"/>
          <w:sz w:val="20"/>
          <w:szCs w:val="20"/>
          <w:lang w:eastAsia="nl-NL"/>
        </w:rPr>
        <w:t>,</w:t>
      </w:r>
      <w:r w:rsidRPr="00A525CE">
        <w:rPr>
          <w:rFonts w:ascii="Times New Roman" w:hAnsi="Times New Roman" w:cs="Times New Roman"/>
          <w:sz w:val="20"/>
          <w:szCs w:val="20"/>
          <w:lang w:eastAsia="nl-NL"/>
        </w:rPr>
        <w:t xml:space="preserve"> Eindrapport van 31 maart 2004, Instituut vo</w:t>
      </w:r>
      <w:r>
        <w:rPr>
          <w:rFonts w:ascii="Times New Roman" w:hAnsi="Times New Roman" w:cs="Times New Roman"/>
          <w:sz w:val="20"/>
          <w:szCs w:val="20"/>
          <w:lang w:eastAsia="nl-NL"/>
        </w:rPr>
        <w:t>or Ondernemingsrecht Groningen.</w:t>
      </w:r>
    </w:p>
  </w:footnote>
  <w:footnote w:id="11">
    <w:p w:rsidR="00C93ACE" w:rsidRPr="00AC13FD"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8222AE">
        <w:rPr>
          <w:rFonts w:ascii="Times New Roman" w:eastAsiaTheme="minorHAnsi" w:hAnsi="Times New Roman" w:cs="Times New Roman"/>
          <w:i/>
          <w:iCs/>
        </w:rPr>
        <w:t xml:space="preserve">Kamerstukken II, </w:t>
      </w:r>
      <w:r w:rsidRPr="00AC13FD">
        <w:rPr>
          <w:rFonts w:ascii="Times New Roman" w:eastAsiaTheme="minorHAnsi" w:hAnsi="Times New Roman" w:cs="Times New Roman"/>
          <w:iCs/>
        </w:rPr>
        <w:t>2003/04, 29 752, nr. 2, p.</w:t>
      </w:r>
      <w:r>
        <w:rPr>
          <w:rFonts w:ascii="Times New Roman" w:eastAsiaTheme="minorHAnsi" w:hAnsi="Times New Roman" w:cs="Times New Roman"/>
          <w:iCs/>
        </w:rPr>
        <w:t xml:space="preserve"> </w:t>
      </w:r>
      <w:r w:rsidRPr="00AC13FD">
        <w:rPr>
          <w:rFonts w:ascii="Times New Roman" w:eastAsiaTheme="minorHAnsi" w:hAnsi="Times New Roman" w:cs="Times New Roman"/>
          <w:iCs/>
        </w:rPr>
        <w:t xml:space="preserve">1. </w:t>
      </w:r>
    </w:p>
  </w:footnote>
  <w:footnote w:id="12">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8222AE">
        <w:rPr>
          <w:rFonts w:ascii="Times New Roman" w:eastAsiaTheme="minorHAnsi" w:hAnsi="Times New Roman" w:cs="Times New Roman"/>
          <w:i/>
          <w:iCs/>
        </w:rPr>
        <w:t xml:space="preserve">Kamerstukken II, </w:t>
      </w:r>
      <w:r w:rsidRPr="00AC13FD">
        <w:rPr>
          <w:rFonts w:ascii="Times New Roman" w:eastAsiaTheme="minorHAnsi" w:hAnsi="Times New Roman" w:cs="Times New Roman"/>
          <w:iCs/>
        </w:rPr>
        <w:t>2003/04, 29 752, nr. 2,</w:t>
      </w:r>
      <w:r>
        <w:rPr>
          <w:rFonts w:ascii="Times New Roman" w:eastAsiaTheme="minorHAnsi" w:hAnsi="Times New Roman" w:cs="Times New Roman"/>
          <w:iCs/>
        </w:rPr>
        <w:t xml:space="preserve"> </w:t>
      </w:r>
      <w:r w:rsidRPr="00AC13FD">
        <w:rPr>
          <w:rFonts w:ascii="Times New Roman" w:eastAsiaTheme="minorHAnsi" w:hAnsi="Times New Roman" w:cs="Times New Roman"/>
          <w:iCs/>
        </w:rPr>
        <w:t>p. 2.</w:t>
      </w:r>
      <w:r>
        <w:rPr>
          <w:rFonts w:ascii="Times New Roman" w:eastAsiaTheme="minorHAnsi" w:hAnsi="Times New Roman" w:cs="Times New Roman"/>
          <w:i/>
          <w:iCs/>
        </w:rPr>
        <w:t xml:space="preserve"> </w:t>
      </w:r>
    </w:p>
  </w:footnote>
  <w:footnote w:id="13">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AC13FD">
        <w:rPr>
          <w:rFonts w:ascii="Times New Roman" w:hAnsi="Times New Roman" w:cs="Times New Roman"/>
          <w:i/>
          <w:color w:val="000000"/>
        </w:rPr>
        <w:t>Kamerstukken II</w:t>
      </w:r>
      <w:r w:rsidRPr="00A525CE">
        <w:rPr>
          <w:rFonts w:ascii="Times New Roman" w:hAnsi="Times New Roman" w:cs="Times New Roman"/>
          <w:color w:val="000000"/>
        </w:rPr>
        <w:t xml:space="preserve">, 2003/04, 29 752, </w:t>
      </w:r>
      <w:proofErr w:type="spellStart"/>
      <w:r w:rsidRPr="00A525CE">
        <w:rPr>
          <w:rFonts w:ascii="Times New Roman" w:hAnsi="Times New Roman" w:cs="Times New Roman"/>
          <w:color w:val="000000"/>
        </w:rPr>
        <w:t>nr</w:t>
      </w:r>
      <w:proofErr w:type="spellEnd"/>
      <w:r w:rsidRPr="00A525CE">
        <w:rPr>
          <w:rFonts w:ascii="Times New Roman" w:hAnsi="Times New Roman" w:cs="Times New Roman"/>
          <w:color w:val="000000"/>
        </w:rPr>
        <w:t xml:space="preserve"> 2. </w:t>
      </w:r>
    </w:p>
  </w:footnote>
  <w:footnote w:id="14">
    <w:p w:rsidR="00C93ACE" w:rsidRPr="00AC7627" w:rsidRDefault="00C93ACE" w:rsidP="00940C49">
      <w:pPr>
        <w:autoSpaceDE w:val="0"/>
        <w:autoSpaceDN w:val="0"/>
        <w:adjustRightInd w:val="0"/>
        <w:spacing w:line="240" w:lineRule="auto"/>
        <w:rPr>
          <w:rFonts w:ascii="Arial" w:hAnsi="Arial"/>
          <w:sz w:val="20"/>
          <w:szCs w:val="20"/>
          <w:lang w:eastAsia="nl-NL"/>
        </w:rPr>
      </w:pPr>
      <w:r w:rsidRPr="00A525CE">
        <w:rPr>
          <w:rStyle w:val="FootnoteReference"/>
          <w:rFonts w:ascii="Times New Roman" w:hAnsi="Times New Roman"/>
          <w:sz w:val="20"/>
          <w:szCs w:val="20"/>
        </w:rPr>
        <w:footnoteRef/>
      </w:r>
      <w:r w:rsidRPr="00A525CE">
        <w:rPr>
          <w:rFonts w:ascii="Times New Roman" w:hAnsi="Times New Roman" w:cs="Times New Roman"/>
          <w:sz w:val="20"/>
          <w:szCs w:val="20"/>
        </w:rPr>
        <w:t xml:space="preserve"> </w:t>
      </w:r>
      <w:proofErr w:type="gramStart"/>
      <w:r>
        <w:rPr>
          <w:rFonts w:ascii="Times New Roman" w:hAnsi="Times New Roman" w:cs="Times New Roman"/>
          <w:sz w:val="20"/>
          <w:szCs w:val="20"/>
          <w:lang w:eastAsia="nl-NL"/>
        </w:rPr>
        <w:t>Art.</w:t>
      </w:r>
      <w:r w:rsidRPr="00A525CE">
        <w:rPr>
          <w:rFonts w:ascii="Times New Roman" w:hAnsi="Times New Roman" w:cs="Times New Roman"/>
          <w:sz w:val="20"/>
          <w:szCs w:val="20"/>
          <w:lang w:eastAsia="nl-NL"/>
        </w:rPr>
        <w:t xml:space="preserve"> </w:t>
      </w:r>
      <w:proofErr w:type="gramEnd"/>
      <w:r w:rsidRPr="00A525CE">
        <w:rPr>
          <w:rFonts w:ascii="Times New Roman" w:hAnsi="Times New Roman" w:cs="Times New Roman"/>
          <w:sz w:val="20"/>
          <w:szCs w:val="20"/>
          <w:lang w:eastAsia="nl-NL"/>
        </w:rPr>
        <w:t>2:217 BW</w:t>
      </w:r>
      <w:r>
        <w:rPr>
          <w:rFonts w:ascii="Times New Roman" w:hAnsi="Times New Roman" w:cs="Times New Roman"/>
          <w:sz w:val="20"/>
          <w:szCs w:val="20"/>
          <w:lang w:eastAsia="nl-NL"/>
        </w:rPr>
        <w:t>.</w:t>
      </w:r>
    </w:p>
  </w:footnote>
  <w:footnote w:id="15">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10</w:t>
      </w:r>
      <w:r w:rsidRPr="00E6005B">
        <w:rPr>
          <w:rFonts w:ascii="Times New Roman" w:eastAsiaTheme="minorHAnsi" w:hAnsi="Times New Roman" w:cs="Times New Roman"/>
        </w:rPr>
        <w:t>. (MvT)</w:t>
      </w:r>
    </w:p>
  </w:footnote>
  <w:footnote w:id="16">
    <w:p w:rsidR="00C93ACE" w:rsidRPr="00BB053E" w:rsidRDefault="00C93ACE" w:rsidP="00940C49">
      <w:pPr>
        <w:pStyle w:val="FootnoteText"/>
        <w:rPr>
          <w:b/>
        </w:rPr>
      </w:pPr>
      <w:r>
        <w:rPr>
          <w:rStyle w:val="FootnoteReference"/>
        </w:rPr>
        <w:footnoteRef/>
      </w:r>
      <w:r>
        <w:rPr>
          <w:rFonts w:ascii="Times New Roman" w:eastAsiaTheme="minorHAnsi" w:hAnsi="Times New Roman" w:cs="Times New Roman"/>
          <w:i/>
          <w:iCs/>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10</w:t>
      </w:r>
      <w:r w:rsidRPr="00E6005B">
        <w:rPr>
          <w:rFonts w:ascii="Times New Roman" w:eastAsiaTheme="minorHAnsi" w:hAnsi="Times New Roman" w:cs="Times New Roman"/>
        </w:rPr>
        <w:t>. (MvT)</w:t>
      </w:r>
    </w:p>
  </w:footnote>
  <w:footnote w:id="17">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11</w:t>
      </w:r>
      <w:r w:rsidRPr="00E6005B">
        <w:rPr>
          <w:rFonts w:ascii="Times New Roman" w:eastAsiaTheme="minorHAnsi" w:hAnsi="Times New Roman" w:cs="Times New Roman"/>
        </w:rPr>
        <w:t>. (MvT)</w:t>
      </w:r>
    </w:p>
  </w:footnote>
  <w:footnote w:id="18">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12</w:t>
      </w:r>
      <w:r w:rsidRPr="00E6005B">
        <w:rPr>
          <w:rFonts w:ascii="Times New Roman" w:eastAsiaTheme="minorHAnsi" w:hAnsi="Times New Roman" w:cs="Times New Roman"/>
        </w:rPr>
        <w:t>. (MvT)</w:t>
      </w:r>
    </w:p>
  </w:footnote>
  <w:footnote w:id="19">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9</w:t>
      </w:r>
      <w:r w:rsidRPr="00E6005B">
        <w:rPr>
          <w:rFonts w:ascii="Times New Roman" w:eastAsiaTheme="minorHAnsi" w:hAnsi="Times New Roman" w:cs="Times New Roman"/>
        </w:rPr>
        <w:t>. (MvT)</w:t>
      </w:r>
    </w:p>
  </w:footnote>
  <w:footnote w:id="20">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13</w:t>
      </w:r>
      <w:r w:rsidRPr="00E6005B">
        <w:rPr>
          <w:rFonts w:ascii="Times New Roman" w:eastAsiaTheme="minorHAnsi" w:hAnsi="Times New Roman" w:cs="Times New Roman"/>
        </w:rPr>
        <w:t>. (MvT)</w:t>
      </w:r>
    </w:p>
  </w:footnote>
  <w:footnote w:id="21">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14</w:t>
      </w:r>
      <w:r w:rsidRPr="00E6005B">
        <w:rPr>
          <w:rFonts w:ascii="Times New Roman" w:eastAsiaTheme="minorHAnsi" w:hAnsi="Times New Roman" w:cs="Times New Roman"/>
        </w:rPr>
        <w:t>. (MvT)</w:t>
      </w:r>
    </w:p>
  </w:footnote>
  <w:footnote w:id="22">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Pr>
          <w:rFonts w:ascii="Times New Roman" w:hAnsi="Times New Roman" w:cs="Times New Roman"/>
          <w:lang w:eastAsia="nl-NL"/>
        </w:rPr>
        <w:t>artikelen 192, 195a en 195b.</w:t>
      </w:r>
    </w:p>
  </w:footnote>
  <w:footnote w:id="23">
    <w:p w:rsidR="00C93ACE" w:rsidRPr="00A525CE" w:rsidRDefault="00C93ACE" w:rsidP="00940C49">
      <w:pPr>
        <w:pStyle w:val="FootnoteText"/>
        <w:rPr>
          <w:rFonts w:ascii="Times New Roman" w:hAnsi="Times New Roman" w:cs="Times New Roman"/>
        </w:rPr>
      </w:pPr>
      <w:r w:rsidRPr="00A525CE">
        <w:rPr>
          <w:rStyle w:val="FootnoteReference"/>
          <w:rFonts w:ascii="Times New Roman" w:hAnsi="Times New Roman"/>
        </w:rPr>
        <w:footnoteRef/>
      </w:r>
      <w:r w:rsidRPr="00A525CE">
        <w:rPr>
          <w:rFonts w:ascii="Times New Roman" w:hAnsi="Times New Roman" w:cs="Times New Roman"/>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17-18</w:t>
      </w:r>
      <w:r w:rsidRPr="00E6005B">
        <w:rPr>
          <w:rFonts w:ascii="Times New Roman" w:eastAsiaTheme="minorHAnsi" w:hAnsi="Times New Roman" w:cs="Times New Roman"/>
        </w:rPr>
        <w:t>. (MvT)</w:t>
      </w:r>
    </w:p>
  </w:footnote>
  <w:footnote w:id="24">
    <w:p w:rsidR="00C93ACE" w:rsidRPr="000806D6" w:rsidRDefault="00C93ACE" w:rsidP="00940C49">
      <w:pPr>
        <w:pStyle w:val="FootnoteText"/>
        <w:rPr>
          <w:b/>
        </w:rPr>
      </w:pPr>
      <w:r w:rsidRPr="00A525CE">
        <w:rPr>
          <w:rStyle w:val="FootnoteReference"/>
          <w:rFonts w:ascii="Times New Roman" w:hAnsi="Times New Roman"/>
        </w:rPr>
        <w:footnoteRef/>
      </w:r>
      <w:r w:rsidRPr="00A525CE">
        <w:rPr>
          <w:rFonts w:ascii="Times New Roman" w:hAnsi="Times New Roman" w:cs="Times New Roman"/>
        </w:rPr>
        <w:t xml:space="preserve"> S.M. Marges, </w:t>
      </w:r>
      <w:r w:rsidRPr="00A525CE">
        <w:rPr>
          <w:rFonts w:ascii="Times New Roman" w:hAnsi="Times New Roman" w:cs="Times New Roman"/>
          <w:bCs/>
        </w:rPr>
        <w:t xml:space="preserve">De Wet vereenvoudiging en flexibilisering bv-recht, </w:t>
      </w:r>
      <w:r w:rsidRPr="00E23924">
        <w:rPr>
          <w:rFonts w:ascii="Times New Roman" w:hAnsi="Times New Roman" w:cs="Times New Roman"/>
          <w:bCs/>
          <w:i/>
        </w:rPr>
        <w:t>Fiscaal Tijdschrift Vermogen</w:t>
      </w:r>
      <w:r w:rsidRPr="00A525CE">
        <w:rPr>
          <w:rFonts w:ascii="Times New Roman" w:hAnsi="Times New Roman" w:cs="Times New Roman"/>
          <w:bCs/>
        </w:rPr>
        <w:t xml:space="preserve"> 2007/09</w:t>
      </w:r>
      <w:r>
        <w:rPr>
          <w:rFonts w:ascii="Times New Roman" w:hAnsi="Times New Roman" w:cs="Times New Roman"/>
          <w:bCs/>
        </w:rPr>
        <w:t>.</w:t>
      </w:r>
    </w:p>
  </w:footnote>
  <w:footnote w:id="25">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22</w:t>
      </w:r>
      <w:r w:rsidRPr="00E6005B">
        <w:rPr>
          <w:rFonts w:ascii="Times New Roman" w:eastAsiaTheme="minorHAnsi" w:hAnsi="Times New Roman" w:cs="Times New Roman"/>
        </w:rPr>
        <w:t>. (MvT)</w:t>
      </w:r>
    </w:p>
  </w:footnote>
  <w:footnote w:id="26">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22-23</w:t>
      </w:r>
      <w:r w:rsidRPr="00E6005B">
        <w:rPr>
          <w:rFonts w:ascii="Times New Roman" w:eastAsiaTheme="minorHAnsi" w:hAnsi="Times New Roman" w:cs="Times New Roman"/>
        </w:rPr>
        <w:t>. (MvT)</w:t>
      </w:r>
    </w:p>
  </w:footnote>
  <w:footnote w:id="27">
    <w:p w:rsidR="00C93ACE" w:rsidRPr="00C72174" w:rsidRDefault="00C93ACE" w:rsidP="00940C49">
      <w:pPr>
        <w:pStyle w:val="FootnoteText"/>
        <w:rPr>
          <w:rFonts w:ascii="Times New Roman" w:hAnsi="Times New Roman" w:cs="Times New Roman"/>
        </w:rPr>
      </w:pPr>
      <w:r w:rsidRPr="00C72174">
        <w:rPr>
          <w:rStyle w:val="FootnoteReference"/>
          <w:rFonts w:ascii="Times New Roman" w:hAnsi="Times New Roman"/>
        </w:rPr>
        <w:footnoteRef/>
      </w:r>
      <w:r w:rsidRPr="00C72174">
        <w:rPr>
          <w:rFonts w:ascii="Times New Roman" w:hAnsi="Times New Roman" w:cs="Times New Roman"/>
        </w:rP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27</w:t>
      </w:r>
      <w:r w:rsidRPr="00E6005B">
        <w:rPr>
          <w:rFonts w:ascii="Times New Roman" w:eastAsiaTheme="minorHAnsi" w:hAnsi="Times New Roman" w:cs="Times New Roman"/>
        </w:rPr>
        <w:t>. (MvT)</w:t>
      </w:r>
    </w:p>
  </w:footnote>
  <w:footnote w:id="28">
    <w:p w:rsidR="00C93ACE" w:rsidRPr="00C72174" w:rsidRDefault="00C93ACE" w:rsidP="00940C49">
      <w:pPr>
        <w:pStyle w:val="FootnoteText"/>
        <w:rPr>
          <w:rFonts w:ascii="Times New Roman" w:hAnsi="Times New Roman" w:cs="Times New Roman"/>
        </w:rPr>
      </w:pPr>
      <w:r w:rsidRPr="00C72174">
        <w:rPr>
          <w:rStyle w:val="FootnoteReference"/>
          <w:rFonts w:ascii="Times New Roman" w:hAnsi="Times New Roman"/>
        </w:rPr>
        <w:footnoteRef/>
      </w:r>
      <w:r w:rsidRPr="00C72174">
        <w:rPr>
          <w:rFonts w:ascii="Times New Roman" w:hAnsi="Times New Roman" w:cs="Times New Roman"/>
        </w:rPr>
        <w:t xml:space="preserve"> HR 8 november 1991, NJ 1992/174.</w:t>
      </w:r>
    </w:p>
  </w:footnote>
  <w:footnote w:id="29">
    <w:p w:rsidR="00C93ACE" w:rsidRPr="00CA057E" w:rsidRDefault="00C93ACE" w:rsidP="00940C49">
      <w:pPr>
        <w:pStyle w:val="FootnoteText"/>
        <w:rPr>
          <w:rFonts w:ascii="Times New Roman" w:hAnsi="Times New Roman" w:cs="Times New Roman"/>
        </w:rPr>
      </w:pPr>
      <w:r w:rsidRPr="00C72174">
        <w:rPr>
          <w:rStyle w:val="FootnoteReference"/>
          <w:rFonts w:ascii="Times New Roman" w:hAnsi="Times New Roman"/>
        </w:rPr>
        <w:footnoteRef/>
      </w:r>
      <w:r w:rsidRPr="00C72174">
        <w:rPr>
          <w:rFonts w:ascii="Times New Roman" w:hAnsi="Times New Roman" w:cs="Times New Roman"/>
        </w:rPr>
        <w:t xml:space="preserve"> </w:t>
      </w:r>
      <w:r w:rsidRPr="00CA057E">
        <w:rPr>
          <w:rFonts w:ascii="Times New Roman" w:hAnsi="Times New Roman" w:cs="Times New Roman"/>
        </w:rPr>
        <w:t>Gerechtshof Arnhem 19 februari 2002, rolnummer 01/111.</w:t>
      </w:r>
    </w:p>
  </w:footnote>
  <w:footnote w:id="30">
    <w:p w:rsidR="00C93ACE" w:rsidRDefault="00C93ACE" w:rsidP="00940C49">
      <w:pPr>
        <w:pStyle w:val="FootnoteText"/>
      </w:pPr>
      <w:r w:rsidRPr="00CA057E">
        <w:rPr>
          <w:rStyle w:val="FootnoteReference"/>
          <w:rFonts w:ascii="Times New Roman" w:hAnsi="Times New Roman"/>
        </w:rPr>
        <w:footnoteRef/>
      </w:r>
      <w:r w:rsidRPr="00CA057E">
        <w:rPr>
          <w:rFonts w:ascii="Times New Roman" w:hAnsi="Times New Roman" w:cs="Times New Roman"/>
        </w:rPr>
        <w:t xml:space="preserve"> </w:t>
      </w:r>
      <w:r w:rsidRPr="00A525CE">
        <w:rPr>
          <w:rFonts w:ascii="Times New Roman" w:hAnsi="Times New Roman" w:cs="Times New Roman"/>
          <w:lang w:eastAsia="nl-NL"/>
        </w:rPr>
        <w:t xml:space="preserve">M.L. </w:t>
      </w:r>
      <w:proofErr w:type="spellStart"/>
      <w:r w:rsidRPr="00A525CE">
        <w:rPr>
          <w:rFonts w:ascii="Times New Roman" w:hAnsi="Times New Roman" w:cs="Times New Roman"/>
          <w:lang w:eastAsia="nl-NL"/>
        </w:rPr>
        <w:t>Lennarts</w:t>
      </w:r>
      <w:proofErr w:type="spellEnd"/>
      <w:r w:rsidRPr="00A525CE">
        <w:rPr>
          <w:rFonts w:ascii="Times New Roman" w:hAnsi="Times New Roman" w:cs="Times New Roman"/>
          <w:lang w:eastAsia="nl-NL"/>
        </w:rPr>
        <w:t xml:space="preserve"> en J.N. </w:t>
      </w:r>
      <w:proofErr w:type="spellStart"/>
      <w:r w:rsidRPr="00A525CE">
        <w:rPr>
          <w:rFonts w:ascii="Times New Roman" w:hAnsi="Times New Roman" w:cs="Times New Roman"/>
          <w:lang w:eastAsia="nl-NL"/>
        </w:rPr>
        <w:t>Schutte-Veenstra</w:t>
      </w:r>
      <w:proofErr w:type="spellEnd"/>
      <w:r w:rsidRPr="00A525CE">
        <w:rPr>
          <w:rFonts w:ascii="Times New Roman" w:hAnsi="Times New Roman" w:cs="Times New Roman"/>
          <w:lang w:eastAsia="nl-NL"/>
        </w:rPr>
        <w:t xml:space="preserve">, </w:t>
      </w:r>
      <w:r w:rsidRPr="0031700F">
        <w:rPr>
          <w:rFonts w:ascii="Times New Roman" w:hAnsi="Times New Roman" w:cs="Times New Roman"/>
          <w:i/>
          <w:lang w:eastAsia="nl-NL"/>
        </w:rPr>
        <w:t xml:space="preserve">Versoepeling van het </w:t>
      </w:r>
      <w:proofErr w:type="spellStart"/>
      <w:r w:rsidRPr="0031700F">
        <w:rPr>
          <w:rFonts w:ascii="Times New Roman" w:hAnsi="Times New Roman" w:cs="Times New Roman"/>
          <w:i/>
          <w:lang w:eastAsia="nl-NL"/>
        </w:rPr>
        <w:t>bv-kapitaalbeschermingsrecht</w:t>
      </w:r>
      <w:proofErr w:type="spellEnd"/>
      <w:r w:rsidRPr="00A525CE">
        <w:rPr>
          <w:rFonts w:ascii="Times New Roman" w:hAnsi="Times New Roman" w:cs="Times New Roman"/>
          <w:lang w:eastAsia="nl-NL"/>
        </w:rPr>
        <w:t>, Eindrapport van 31 maart 2004, Instituut vo</w:t>
      </w:r>
      <w:r>
        <w:rPr>
          <w:rFonts w:ascii="Times New Roman" w:hAnsi="Times New Roman" w:cs="Times New Roman"/>
          <w:lang w:eastAsia="nl-NL"/>
        </w:rPr>
        <w:t>or Ondernemingsrecht Groningen.</w:t>
      </w:r>
    </w:p>
  </w:footnote>
  <w:footnote w:id="31">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25</w:t>
      </w:r>
      <w:r w:rsidRPr="00E6005B">
        <w:rPr>
          <w:rFonts w:ascii="Times New Roman" w:eastAsiaTheme="minorHAnsi" w:hAnsi="Times New Roman" w:cs="Times New Roman"/>
        </w:rPr>
        <w:t>. (MvT)</w:t>
      </w:r>
    </w:p>
  </w:footnote>
  <w:footnote w:id="32">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28-29</w:t>
      </w:r>
      <w:r w:rsidRPr="00E6005B">
        <w:rPr>
          <w:rFonts w:ascii="Times New Roman" w:eastAsiaTheme="minorHAnsi" w:hAnsi="Times New Roman" w:cs="Times New Roman"/>
        </w:rPr>
        <w:t>. (MvT)</w:t>
      </w:r>
    </w:p>
  </w:footnote>
  <w:footnote w:id="33">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30</w:t>
      </w:r>
      <w:r w:rsidRPr="00E6005B">
        <w:rPr>
          <w:rFonts w:ascii="Times New Roman" w:eastAsiaTheme="minorHAnsi" w:hAnsi="Times New Roman" w:cs="Times New Roman"/>
        </w:rPr>
        <w:t>. (MvT)</w:t>
      </w:r>
    </w:p>
  </w:footnote>
  <w:footnote w:id="34">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34</w:t>
      </w:r>
      <w:r w:rsidRPr="00E6005B">
        <w:rPr>
          <w:rFonts w:ascii="Times New Roman" w:eastAsiaTheme="minorHAnsi" w:hAnsi="Times New Roman" w:cs="Times New Roman"/>
        </w:rPr>
        <w:t>. (MvT)</w:t>
      </w:r>
    </w:p>
  </w:footnote>
  <w:footnote w:id="35">
    <w:p w:rsidR="00C93ACE" w:rsidRDefault="00C93ACE" w:rsidP="00940C49">
      <w:pPr>
        <w:pStyle w:val="FootnoteText"/>
      </w:pPr>
      <w:r>
        <w:rPr>
          <w:rStyle w:val="FootnoteReference"/>
        </w:rPr>
        <w:footnoteRef/>
      </w:r>
      <w:r>
        <w:t xml:space="preserve"> </w:t>
      </w:r>
      <w:r w:rsidRPr="00E6005B">
        <w:rPr>
          <w:rFonts w:ascii="Times New Roman" w:eastAsiaTheme="minorHAnsi" w:hAnsi="Times New Roman" w:cs="Times New Roman"/>
          <w:i/>
          <w:iCs/>
        </w:rPr>
        <w:t xml:space="preserve">Kamerstukken II </w:t>
      </w:r>
      <w:r>
        <w:rPr>
          <w:rFonts w:ascii="Times New Roman" w:eastAsiaTheme="minorHAnsi" w:hAnsi="Times New Roman" w:cs="Times New Roman"/>
          <w:i/>
          <w:iCs/>
        </w:rPr>
        <w:t>2006</w:t>
      </w:r>
      <w:r w:rsidRPr="00E6005B">
        <w:rPr>
          <w:rFonts w:ascii="Times New Roman" w:eastAsiaTheme="minorHAnsi" w:hAnsi="Times New Roman" w:cs="Times New Roman"/>
        </w:rPr>
        <w:t>/</w:t>
      </w:r>
      <w:r>
        <w:rPr>
          <w:rFonts w:ascii="Times New Roman" w:eastAsiaTheme="minorHAnsi" w:hAnsi="Times New Roman" w:cs="Times New Roman"/>
        </w:rPr>
        <w:t>07</w:t>
      </w:r>
      <w:r w:rsidRPr="00E6005B">
        <w:rPr>
          <w:rFonts w:ascii="Times New Roman" w:eastAsiaTheme="minorHAnsi" w:hAnsi="Times New Roman" w:cs="Times New Roman"/>
        </w:rPr>
        <w:t xml:space="preserve">, </w:t>
      </w:r>
      <w:r>
        <w:rPr>
          <w:rFonts w:ascii="Times New Roman" w:eastAsiaTheme="minorHAnsi" w:hAnsi="Times New Roman" w:cs="Times New Roman"/>
        </w:rPr>
        <w:t>31</w:t>
      </w:r>
      <w:r w:rsidRPr="00E6005B">
        <w:rPr>
          <w:rFonts w:ascii="Times New Roman" w:eastAsiaTheme="minorHAnsi" w:hAnsi="Times New Roman" w:cs="Times New Roman"/>
        </w:rPr>
        <w:t xml:space="preserve"> </w:t>
      </w:r>
      <w:r>
        <w:rPr>
          <w:rFonts w:ascii="Times New Roman" w:eastAsiaTheme="minorHAnsi" w:hAnsi="Times New Roman" w:cs="Times New Roman"/>
        </w:rPr>
        <w:t>058, nr. 3, p. 27</w:t>
      </w:r>
      <w:r w:rsidRPr="00E6005B">
        <w:rPr>
          <w:rFonts w:ascii="Times New Roman" w:eastAsiaTheme="minorHAnsi" w:hAnsi="Times New Roman" w:cs="Times New Roman"/>
        </w:rPr>
        <w:t>. (MvT)</w:t>
      </w:r>
    </w:p>
  </w:footnote>
  <w:footnote w:id="36">
    <w:p w:rsidR="00C93ACE" w:rsidRDefault="00C93ACE" w:rsidP="00940C49">
      <w:pPr>
        <w:pStyle w:val="FootnoteText"/>
      </w:pPr>
      <w:r>
        <w:rPr>
          <w:rStyle w:val="FootnoteReference"/>
        </w:rPr>
        <w:footnoteRef/>
      </w:r>
      <w:r>
        <w:t xml:space="preserve"> </w:t>
      </w:r>
      <w:hyperlink r:id="rId1" w:tgtFrame="_blank" w:history="1">
        <w:r w:rsidRPr="00D76280">
          <w:rPr>
            <w:rFonts w:ascii="Times New Roman" w:hAnsi="Times New Roman" w:cs="Times New Roman"/>
            <w:i/>
          </w:rPr>
          <w:t>Kamerstukken II</w:t>
        </w:r>
        <w:r w:rsidRPr="001E37CA">
          <w:rPr>
            <w:rFonts w:ascii="Times New Roman" w:hAnsi="Times New Roman" w:cs="Times New Roman"/>
          </w:rPr>
          <w:t xml:space="preserve"> 2008/09, 31058, nr. 7</w:t>
        </w:r>
      </w:hyperlink>
    </w:p>
  </w:footnote>
  <w:footnote w:id="37">
    <w:p w:rsidR="00C93ACE" w:rsidRPr="00DB4F44" w:rsidRDefault="00C93ACE" w:rsidP="00940C49">
      <w:pPr>
        <w:pStyle w:val="FootnoteText"/>
        <w:rPr>
          <w:rFonts w:ascii="Times New Roman" w:hAnsi="Times New Roman" w:cs="Times New Roman"/>
        </w:rPr>
      </w:pPr>
      <w:r w:rsidRPr="00DB4F44">
        <w:rPr>
          <w:rStyle w:val="FootnoteReference"/>
          <w:rFonts w:ascii="Times New Roman" w:hAnsi="Times New Roman"/>
        </w:rPr>
        <w:footnoteRef/>
      </w:r>
      <w:r w:rsidRPr="00DB4F44">
        <w:rPr>
          <w:rFonts w:ascii="Times New Roman" w:hAnsi="Times New Roman" w:cs="Times New Roman"/>
        </w:rPr>
        <w:t xml:space="preserve"> De beschrijving bevat de inbreng, de waarde daarvan en welke waardemethode is toegepast.</w:t>
      </w:r>
    </w:p>
  </w:footnote>
  <w:footnote w:id="38">
    <w:p w:rsidR="00C93ACE" w:rsidRDefault="00C93ACE" w:rsidP="00940C49">
      <w:pPr>
        <w:pStyle w:val="FootnoteText"/>
      </w:pPr>
      <w:r w:rsidRPr="00DB4F44">
        <w:rPr>
          <w:rStyle w:val="FootnoteReference"/>
          <w:rFonts w:ascii="Times New Roman" w:hAnsi="Times New Roman"/>
        </w:rPr>
        <w:footnoteRef/>
      </w:r>
      <w:r w:rsidRPr="00DB4F44">
        <w:rPr>
          <w:rFonts w:ascii="Times New Roman" w:hAnsi="Times New Roman" w:cs="Times New Roman"/>
        </w:rPr>
        <w:t xml:space="preserve"> </w:t>
      </w:r>
      <w:r w:rsidRPr="00E42F2D">
        <w:rPr>
          <w:rFonts w:ascii="Times New Roman" w:hAnsi="Times New Roman" w:cs="Times New Roman"/>
          <w:i/>
        </w:rPr>
        <w:t>Kamerstukken II</w:t>
      </w:r>
      <w:r w:rsidRPr="00DB4F44">
        <w:rPr>
          <w:rFonts w:ascii="Times New Roman" w:hAnsi="Times New Roman" w:cs="Times New Roman"/>
        </w:rPr>
        <w:t xml:space="preserve"> 2008/09, 31058, nr. 8.</w:t>
      </w:r>
    </w:p>
  </w:footnote>
  <w:footnote w:id="39">
    <w:p w:rsidR="00C93ACE" w:rsidRDefault="00C93ACE" w:rsidP="00940C49">
      <w:pPr>
        <w:pStyle w:val="FootnoteText"/>
      </w:pPr>
      <w:r>
        <w:rPr>
          <w:rStyle w:val="FootnoteReference"/>
        </w:rPr>
        <w:footnoteRef/>
      </w:r>
      <w:r>
        <w:t xml:space="preserve"> </w:t>
      </w:r>
      <w:r w:rsidRPr="00E42F2D">
        <w:rPr>
          <w:rFonts w:ascii="Times New Roman" w:hAnsi="Times New Roman" w:cs="Times New Roman"/>
          <w:i/>
        </w:rPr>
        <w:t>Kamerstukken II</w:t>
      </w:r>
      <w:r>
        <w:rPr>
          <w:rFonts w:ascii="Times New Roman" w:hAnsi="Times New Roman" w:cs="Times New Roman"/>
        </w:rPr>
        <w:t xml:space="preserve"> 2009/10, 32 426</w:t>
      </w:r>
      <w:r w:rsidRPr="00DB4F44">
        <w:rPr>
          <w:rFonts w:ascii="Times New Roman" w:hAnsi="Times New Roman" w:cs="Times New Roman"/>
        </w:rPr>
        <w:t xml:space="preserve">, nr. </w:t>
      </w:r>
      <w:r>
        <w:rPr>
          <w:rFonts w:ascii="Times New Roman" w:hAnsi="Times New Roman" w:cs="Times New Roman"/>
        </w:rPr>
        <w:t>3, p. 9</w:t>
      </w:r>
      <w:r w:rsidRPr="00DB4F44">
        <w:rPr>
          <w:rFonts w:ascii="Times New Roman" w:hAnsi="Times New Roman" w:cs="Times New Roman"/>
        </w:rPr>
        <w:t>.</w:t>
      </w:r>
    </w:p>
  </w:footnote>
  <w:footnote w:id="40">
    <w:p w:rsidR="00C93ACE" w:rsidRDefault="00C93ACE" w:rsidP="00940C49">
      <w:pPr>
        <w:pStyle w:val="FootnoteText"/>
      </w:pPr>
      <w:r>
        <w:rPr>
          <w:rStyle w:val="FootnoteReference"/>
        </w:rPr>
        <w:footnoteRef/>
      </w:r>
      <w:r>
        <w:t xml:space="preserve"> </w:t>
      </w:r>
      <w:r w:rsidRPr="00F836C3">
        <w:rPr>
          <w:rFonts w:ascii="Times New Roman" w:hAnsi="Times New Roman" w:cs="Times New Roman"/>
        </w:rPr>
        <w:t>Op 22 maart 2010 werd een beknopte eerste commentaar geleverd, de nadere toelichting hierop vond plaats op 17 september 2010.</w:t>
      </w:r>
    </w:p>
  </w:footnote>
  <w:footnote w:id="41">
    <w:p w:rsidR="00C93ACE" w:rsidRDefault="00C93ACE" w:rsidP="00940C49">
      <w:pPr>
        <w:pStyle w:val="FootnoteText"/>
      </w:pPr>
      <w:r>
        <w:rPr>
          <w:rStyle w:val="FootnoteReference"/>
        </w:rPr>
        <w:footnoteRef/>
      </w:r>
      <w:r>
        <w:t xml:space="preserve"> </w:t>
      </w:r>
      <w:r w:rsidRPr="00B22F81">
        <w:rPr>
          <w:rFonts w:ascii="Times New Roman" w:hAnsi="Times New Roman" w:cs="Times New Roman"/>
        </w:rPr>
        <w:t>De Nederlandse Orde van Belastingadviseurs, </w:t>
      </w:r>
      <w:r w:rsidRPr="00B22F81">
        <w:rPr>
          <w:rFonts w:ascii="Times New Roman" w:hAnsi="Times New Roman" w:cs="Times New Roman"/>
          <w:i/>
          <w:iCs/>
        </w:rPr>
        <w:t>Commentaar op het wetsvoorstel 'Aanpassing van de wetgeving aan en de invoering van de Wet vereenvoudiging en flexibilisering bv-recht'</w:t>
      </w:r>
      <w:r w:rsidRPr="00B22F81">
        <w:rPr>
          <w:rFonts w:ascii="Times New Roman" w:hAnsi="Times New Roman" w:cs="Times New Roman"/>
        </w:rPr>
        <w:t>, Amsterdam;17 september 2010, pag. 2.</w:t>
      </w:r>
    </w:p>
  </w:footnote>
  <w:footnote w:id="42">
    <w:p w:rsidR="00C93ACE" w:rsidRDefault="00C93ACE" w:rsidP="00940C49">
      <w:pPr>
        <w:pStyle w:val="FootnoteText"/>
      </w:pPr>
      <w:r>
        <w:rPr>
          <w:rStyle w:val="FootnoteReference"/>
        </w:rPr>
        <w:footnoteRef/>
      </w:r>
      <w:r>
        <w:t xml:space="preserve"> </w:t>
      </w:r>
      <w:r w:rsidRPr="00B22F81">
        <w:rPr>
          <w:rFonts w:ascii="Times New Roman" w:hAnsi="Times New Roman" w:cs="Times New Roman"/>
        </w:rPr>
        <w:t>De Nederlandse Orde van Belastingadviseurs, </w:t>
      </w:r>
      <w:r w:rsidRPr="00B22F81">
        <w:rPr>
          <w:rFonts w:ascii="Times New Roman" w:hAnsi="Times New Roman" w:cs="Times New Roman"/>
          <w:i/>
          <w:iCs/>
        </w:rPr>
        <w:t>Commentaar op het wetsvoorstel 'Aanpassing van de wetgeving aan en de invoering van de Wet vereenvoudiging en flexibilisering bv-recht'</w:t>
      </w:r>
      <w:r w:rsidRPr="00B22F81">
        <w:rPr>
          <w:rFonts w:ascii="Times New Roman" w:hAnsi="Times New Roman" w:cs="Times New Roman"/>
        </w:rPr>
        <w:t>, Ams</w:t>
      </w:r>
      <w:r>
        <w:rPr>
          <w:rFonts w:ascii="Times New Roman" w:hAnsi="Times New Roman" w:cs="Times New Roman"/>
        </w:rPr>
        <w:t>terdam;17 september 2010, pag. 3</w:t>
      </w:r>
      <w:r w:rsidRPr="00B22F81">
        <w:rPr>
          <w:rFonts w:ascii="Times New Roman" w:hAnsi="Times New Roman" w:cs="Times New Roman"/>
        </w:rPr>
        <w:t>.</w:t>
      </w:r>
    </w:p>
  </w:footnote>
  <w:footnote w:id="43">
    <w:p w:rsidR="00C93ACE" w:rsidRDefault="00C93ACE">
      <w:pPr>
        <w:pStyle w:val="FootnoteText"/>
      </w:pPr>
      <w:r>
        <w:rPr>
          <w:rStyle w:val="FootnoteReference"/>
        </w:rPr>
        <w:footnoteRef/>
      </w:r>
      <w:r>
        <w:t xml:space="preserve"> </w:t>
      </w:r>
      <w:r w:rsidRPr="00B22F81">
        <w:rPr>
          <w:rFonts w:ascii="Times New Roman" w:hAnsi="Times New Roman" w:cs="Times New Roman"/>
        </w:rPr>
        <w:t>De Nederlandse Orde van Belastingadviseurs, </w:t>
      </w:r>
      <w:r w:rsidRPr="00B22F81">
        <w:rPr>
          <w:rFonts w:ascii="Times New Roman" w:hAnsi="Times New Roman" w:cs="Times New Roman"/>
          <w:i/>
          <w:iCs/>
        </w:rPr>
        <w:t>Commentaar op het wetsvoorstel 'Aanpassing van de wetgeving aan en de invoering van de Wet vereenvoudiging en flexibilisering bv-recht'</w:t>
      </w:r>
      <w:r w:rsidRPr="00B22F81">
        <w:rPr>
          <w:rFonts w:ascii="Times New Roman" w:hAnsi="Times New Roman" w:cs="Times New Roman"/>
        </w:rPr>
        <w:t>, Ams</w:t>
      </w:r>
      <w:r>
        <w:rPr>
          <w:rFonts w:ascii="Times New Roman" w:hAnsi="Times New Roman" w:cs="Times New Roman"/>
        </w:rPr>
        <w:t>terdam;17 september 2010, pag. 3</w:t>
      </w:r>
      <w:r w:rsidRPr="00B22F81">
        <w:rPr>
          <w:rFonts w:ascii="Times New Roman" w:hAnsi="Times New Roman" w:cs="Times New Roman"/>
        </w:rPr>
        <w:t>.</w:t>
      </w:r>
    </w:p>
  </w:footnote>
  <w:footnote w:id="44">
    <w:p w:rsidR="00C93ACE" w:rsidRPr="00B47ED1" w:rsidRDefault="00C93ACE" w:rsidP="00940C49">
      <w:pPr>
        <w:autoSpaceDE w:val="0"/>
        <w:autoSpaceDN w:val="0"/>
        <w:adjustRightInd w:val="0"/>
        <w:spacing w:line="240" w:lineRule="auto"/>
        <w:rPr>
          <w:rFonts w:ascii="Times New Roman" w:hAnsi="Times New Roman" w:cs="Times New Roman"/>
          <w:lang w:eastAsia="nl-NL"/>
        </w:rPr>
      </w:pPr>
      <w:r w:rsidRPr="00B47ED1">
        <w:rPr>
          <w:rStyle w:val="FootnoteReference"/>
          <w:rFonts w:ascii="Times New Roman" w:hAnsi="Times New Roman"/>
        </w:rPr>
        <w:footnoteRef/>
      </w:r>
      <w:r w:rsidRPr="00B47ED1">
        <w:rPr>
          <w:rFonts w:ascii="Times New Roman" w:hAnsi="Times New Roman" w:cs="Times New Roman"/>
        </w:rPr>
        <w:t xml:space="preserve"> </w:t>
      </w:r>
      <w:r w:rsidRPr="0036787C">
        <w:rPr>
          <w:rFonts w:ascii="Times New Roman" w:hAnsi="Times New Roman" w:cs="Times New Roman"/>
          <w:sz w:val="20"/>
          <w:szCs w:val="20"/>
          <w:lang w:eastAsia="nl-NL"/>
        </w:rPr>
        <w:t xml:space="preserve">Conclusie van A-G </w:t>
      </w:r>
      <w:proofErr w:type="spellStart"/>
      <w:r w:rsidRPr="0036787C">
        <w:rPr>
          <w:rFonts w:ascii="Times New Roman" w:hAnsi="Times New Roman" w:cs="Times New Roman"/>
          <w:sz w:val="20"/>
          <w:szCs w:val="20"/>
          <w:lang w:eastAsia="nl-NL"/>
        </w:rPr>
        <w:t>Wattel</w:t>
      </w:r>
      <w:proofErr w:type="spellEnd"/>
      <w:r w:rsidRPr="0036787C">
        <w:rPr>
          <w:rFonts w:ascii="Times New Roman" w:hAnsi="Times New Roman" w:cs="Times New Roman"/>
          <w:sz w:val="20"/>
          <w:szCs w:val="20"/>
          <w:lang w:eastAsia="nl-NL"/>
        </w:rPr>
        <w:t xml:space="preserve"> </w:t>
      </w:r>
      <w:r>
        <w:rPr>
          <w:rFonts w:ascii="Times New Roman" w:hAnsi="Times New Roman" w:cs="Times New Roman"/>
          <w:sz w:val="20"/>
          <w:szCs w:val="20"/>
          <w:lang w:eastAsia="nl-NL"/>
        </w:rPr>
        <w:t>bij</w:t>
      </w:r>
      <w:r w:rsidRPr="0036787C">
        <w:rPr>
          <w:rFonts w:ascii="Times New Roman" w:hAnsi="Times New Roman" w:cs="Times New Roman"/>
          <w:sz w:val="20"/>
          <w:szCs w:val="20"/>
          <w:lang w:eastAsia="nl-NL"/>
        </w:rPr>
        <w:t xml:space="preserve"> HR 5 februari 2010, nr. 08/04451, </w:t>
      </w:r>
      <w:r w:rsidRPr="00B574A9">
        <w:rPr>
          <w:rFonts w:ascii="Times New Roman" w:hAnsi="Times New Roman" w:cs="Times New Roman"/>
          <w:i/>
          <w:sz w:val="20"/>
          <w:szCs w:val="20"/>
          <w:lang w:eastAsia="nl-NL"/>
        </w:rPr>
        <w:t>BNB</w:t>
      </w:r>
      <w:r w:rsidRPr="0036787C">
        <w:rPr>
          <w:rFonts w:ascii="Times New Roman" w:hAnsi="Times New Roman" w:cs="Times New Roman"/>
          <w:sz w:val="20"/>
          <w:szCs w:val="20"/>
          <w:lang w:eastAsia="nl-NL"/>
        </w:rPr>
        <w:t xml:space="preserve"> 2010/148.</w:t>
      </w:r>
    </w:p>
  </w:footnote>
  <w:footnote w:id="45">
    <w:p w:rsidR="00C93ACE" w:rsidRDefault="00C93ACE" w:rsidP="00940C49">
      <w:pPr>
        <w:pStyle w:val="FootnoteText"/>
      </w:pPr>
      <w:r>
        <w:rPr>
          <w:rStyle w:val="FootnoteReference"/>
        </w:rPr>
        <w:footnoteRef/>
      </w:r>
      <w:r>
        <w:t xml:space="preserve"> </w:t>
      </w:r>
      <w:r w:rsidRPr="0089029F">
        <w:rPr>
          <w:rFonts w:ascii="Times New Roman" w:hAnsi="Times New Roman" w:cs="Times New Roman"/>
        </w:rPr>
        <w:t>A.J.M. </w:t>
      </w:r>
      <w:proofErr w:type="spellStart"/>
      <w:r w:rsidRPr="0089029F">
        <w:rPr>
          <w:rFonts w:ascii="Times New Roman" w:hAnsi="Times New Roman" w:cs="Times New Roman"/>
        </w:rPr>
        <w:t>Arends</w:t>
      </w:r>
      <w:proofErr w:type="spellEnd"/>
      <w:r w:rsidRPr="0089029F">
        <w:rPr>
          <w:rFonts w:ascii="Times New Roman" w:hAnsi="Times New Roman" w:cs="Times New Roman"/>
        </w:rPr>
        <w:t xml:space="preserve">, </w:t>
      </w:r>
      <w:proofErr w:type="spellStart"/>
      <w:r w:rsidRPr="0089029F">
        <w:rPr>
          <w:rFonts w:ascii="Times New Roman" w:hAnsi="Times New Roman" w:cs="Times New Roman"/>
          <w:bCs/>
        </w:rPr>
        <w:t>Winstrechtloze</w:t>
      </w:r>
      <w:proofErr w:type="spellEnd"/>
      <w:r w:rsidRPr="0089029F">
        <w:rPr>
          <w:rFonts w:ascii="Times New Roman" w:hAnsi="Times New Roman" w:cs="Times New Roman"/>
          <w:bCs/>
        </w:rPr>
        <w:t xml:space="preserve"> aandelen: hoe deze fiscaal</w:t>
      </w:r>
      <w:r>
        <w:rPr>
          <w:rFonts w:ascii="Times New Roman" w:hAnsi="Times New Roman" w:cs="Times New Roman"/>
          <w:bCs/>
          <w:noProof/>
          <w:shd w:val="clear" w:color="auto" w:fill="FFFFFF"/>
          <w:lang w:eastAsia="nl-NL"/>
        </w:rPr>
        <w:t xml:space="preserve"> </w:t>
      </w:r>
      <w:r w:rsidRPr="0089029F">
        <w:rPr>
          <w:rFonts w:ascii="Times New Roman" w:hAnsi="Times New Roman" w:cs="Times New Roman"/>
          <w:bCs/>
        </w:rPr>
        <w:t xml:space="preserve">te behandelen?, </w:t>
      </w:r>
      <w:r w:rsidRPr="008E056D">
        <w:rPr>
          <w:rFonts w:ascii="Times New Roman" w:hAnsi="Times New Roman" w:cs="Times New Roman"/>
          <w:bCs/>
          <w:i/>
        </w:rPr>
        <w:t>NTFR</w:t>
      </w:r>
      <w:r>
        <w:rPr>
          <w:rFonts w:ascii="Times New Roman" w:hAnsi="Times New Roman" w:cs="Times New Roman"/>
          <w:bCs/>
        </w:rPr>
        <w:t xml:space="preserve"> 2010/</w:t>
      </w:r>
      <w:r w:rsidRPr="0089029F">
        <w:rPr>
          <w:rFonts w:ascii="Times New Roman" w:hAnsi="Times New Roman" w:cs="Times New Roman"/>
          <w:bCs/>
        </w:rPr>
        <w:t>2656</w:t>
      </w:r>
      <w:r>
        <w:rPr>
          <w:rFonts w:ascii="Times New Roman" w:hAnsi="Times New Roman" w:cs="Times New Roman"/>
          <w:bCs/>
        </w:rPr>
        <w:t>.</w:t>
      </w:r>
    </w:p>
  </w:footnote>
  <w:footnote w:id="46">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47">
    <w:p w:rsidR="00C93ACE" w:rsidRDefault="00C93ACE" w:rsidP="00940C49">
      <w:pPr>
        <w:pStyle w:val="FootnoteText"/>
      </w:pPr>
      <w:r>
        <w:rPr>
          <w:rStyle w:val="FootnoteReference"/>
        </w:rPr>
        <w:footnoteRef/>
      </w:r>
      <w:r>
        <w:t xml:space="preserve"> </w:t>
      </w:r>
      <w:r w:rsidRPr="00E42F2D">
        <w:rPr>
          <w:rFonts w:ascii="Times New Roman" w:hAnsi="Times New Roman" w:cs="Times New Roman"/>
          <w:i/>
        </w:rPr>
        <w:t>Kamerstukken II</w:t>
      </w:r>
      <w:r>
        <w:rPr>
          <w:rFonts w:ascii="Times New Roman" w:hAnsi="Times New Roman" w:cs="Times New Roman"/>
        </w:rPr>
        <w:t xml:space="preserve"> 2006/07, 31058, nr. 3, p. 11-12</w:t>
      </w:r>
      <w:r w:rsidRPr="00DB4F44">
        <w:rPr>
          <w:rFonts w:ascii="Times New Roman" w:hAnsi="Times New Roman" w:cs="Times New Roman"/>
        </w:rPr>
        <w:t>.</w:t>
      </w:r>
    </w:p>
  </w:footnote>
  <w:footnote w:id="48">
    <w:p w:rsidR="00C93ACE" w:rsidRDefault="00C93ACE" w:rsidP="00940C49">
      <w:pPr>
        <w:pStyle w:val="FootnoteText"/>
      </w:pPr>
      <w:r>
        <w:rPr>
          <w:rStyle w:val="FootnoteReference"/>
        </w:rPr>
        <w:footnoteRef/>
      </w:r>
      <w:r>
        <w:t xml:space="preserve"> </w:t>
      </w:r>
      <w:r w:rsidRPr="00C956B6">
        <w:rPr>
          <w:rStyle w:val="apple-style-span"/>
          <w:rFonts w:ascii="Times New Roman" w:eastAsia="Arial Unicode MS" w:hAnsi="Times New Roman"/>
        </w:rPr>
        <w:t xml:space="preserve">R.N.F. </w:t>
      </w:r>
      <w:proofErr w:type="spellStart"/>
      <w:r w:rsidRPr="00C956B6">
        <w:rPr>
          <w:rStyle w:val="apple-style-span"/>
          <w:rFonts w:ascii="Times New Roman" w:eastAsia="Arial Unicode MS" w:hAnsi="Times New Roman"/>
        </w:rPr>
        <w:t>Zuidgeest</w:t>
      </w:r>
      <w:proofErr w:type="spellEnd"/>
      <w:r w:rsidRPr="00C956B6">
        <w:rPr>
          <w:rFonts w:ascii="Times New Roman" w:eastAsia="Arial Unicode MS" w:hAnsi="Times New Roman" w:cs="Times New Roman"/>
          <w:bCs/>
        </w:rPr>
        <w:t xml:space="preserve">, Flexibel </w:t>
      </w:r>
      <w:proofErr w:type="spellStart"/>
      <w:r w:rsidRPr="00C956B6">
        <w:rPr>
          <w:rFonts w:ascii="Times New Roman" w:eastAsia="Arial Unicode MS" w:hAnsi="Times New Roman" w:cs="Times New Roman"/>
          <w:bCs/>
        </w:rPr>
        <w:t>bv-recht</w:t>
      </w:r>
      <w:proofErr w:type="spellEnd"/>
      <w:r w:rsidRPr="00C956B6">
        <w:rPr>
          <w:rFonts w:ascii="Times New Roman" w:eastAsia="Arial Unicode MS" w:hAnsi="Times New Roman" w:cs="Times New Roman"/>
          <w:bCs/>
        </w:rPr>
        <w:t xml:space="preserve"> en "verbondenheid" in het belastingrecht: buigen of barsten?, </w:t>
      </w:r>
      <w:r w:rsidRPr="008E056D">
        <w:rPr>
          <w:rFonts w:ascii="Times New Roman" w:eastAsia="Arial Unicode MS" w:hAnsi="Times New Roman" w:cs="Times New Roman"/>
          <w:i/>
        </w:rPr>
        <w:t>WFR</w:t>
      </w:r>
      <w:r w:rsidRPr="00C956B6">
        <w:rPr>
          <w:rFonts w:ascii="Times New Roman" w:eastAsia="Arial Unicode MS" w:hAnsi="Times New Roman" w:cs="Times New Roman"/>
        </w:rPr>
        <w:t xml:space="preserve"> 2007/1162</w:t>
      </w:r>
      <w:r>
        <w:rPr>
          <w:rFonts w:ascii="Times New Roman" w:eastAsia="Arial Unicode MS" w:hAnsi="Times New Roman" w:cs="Times New Roman"/>
        </w:rPr>
        <w:t>.</w:t>
      </w:r>
    </w:p>
  </w:footnote>
  <w:footnote w:id="49">
    <w:p w:rsidR="00C93ACE" w:rsidRPr="00A23C51" w:rsidRDefault="00C93ACE" w:rsidP="00940C49">
      <w:pPr>
        <w:pStyle w:val="FootnoteText"/>
        <w:rPr>
          <w:rFonts w:ascii="Times New Roman" w:hAnsi="Times New Roman" w:cs="Times New Roman"/>
        </w:rPr>
      </w:pPr>
      <w:r>
        <w:rPr>
          <w:rStyle w:val="FootnoteReference"/>
        </w:rPr>
        <w:footnoteRef/>
      </w:r>
      <w:r>
        <w:t xml:space="preserve"> </w:t>
      </w:r>
      <w:r w:rsidRPr="00D72E5C">
        <w:rPr>
          <w:rFonts w:ascii="Times New Roman" w:hAnsi="Times New Roman" w:cs="Times New Roman"/>
        </w:rPr>
        <w:t xml:space="preserve">J. Mos, </w:t>
      </w:r>
      <w:r w:rsidRPr="00D72E5C">
        <w:rPr>
          <w:rFonts w:ascii="Times New Roman" w:hAnsi="Times New Roman" w:cs="Times New Roman"/>
          <w:bCs/>
        </w:rPr>
        <w:t>De geflexibiliseerde besloten vennootsc</w:t>
      </w:r>
      <w:r w:rsidRPr="00A23C51">
        <w:rPr>
          <w:rFonts w:ascii="Times New Roman" w:hAnsi="Times New Roman" w:cs="Times New Roman"/>
          <w:bCs/>
        </w:rPr>
        <w:t xml:space="preserve">hap, </w:t>
      </w:r>
      <w:r w:rsidRPr="008E056D">
        <w:rPr>
          <w:rFonts w:ascii="Times New Roman" w:hAnsi="Times New Roman" w:cs="Times New Roman"/>
          <w:bCs/>
          <w:i/>
        </w:rPr>
        <w:t>Maandblad Belasting Beschouwingen</w:t>
      </w:r>
      <w:r w:rsidRPr="00A23C51">
        <w:rPr>
          <w:rFonts w:ascii="Times New Roman" w:hAnsi="Times New Roman" w:cs="Times New Roman"/>
          <w:bCs/>
        </w:rPr>
        <w:t xml:space="preserve"> 2007/11. </w:t>
      </w:r>
    </w:p>
  </w:footnote>
  <w:footnote w:id="50">
    <w:p w:rsidR="00C93ACE" w:rsidRDefault="00C93ACE" w:rsidP="00940C49">
      <w:pPr>
        <w:pStyle w:val="FootnoteText"/>
      </w:pPr>
      <w:r w:rsidRPr="00A23C51">
        <w:rPr>
          <w:rStyle w:val="FootnoteReference"/>
          <w:rFonts w:ascii="Times New Roman" w:hAnsi="Times New Roman"/>
        </w:rPr>
        <w:footnoteRef/>
      </w:r>
      <w:r w:rsidRPr="00A23C51">
        <w:rPr>
          <w:rFonts w:ascii="Times New Roman" w:hAnsi="Times New Roman" w:cs="Times New Roman"/>
        </w:rPr>
        <w:t xml:space="preserve"> </w:t>
      </w:r>
      <w:r w:rsidRPr="00A23C51">
        <w:rPr>
          <w:rFonts w:ascii="Times New Roman" w:eastAsia="Arial Unicode MS" w:hAnsi="Times New Roman" w:cs="Times New Roman"/>
        </w:rPr>
        <w:t>Kamerstuk</w:t>
      </w:r>
      <w:r>
        <w:rPr>
          <w:rFonts w:ascii="Times New Roman" w:eastAsia="Arial Unicode MS" w:hAnsi="Times New Roman" w:cs="Times New Roman"/>
        </w:rPr>
        <w:t>ken II 2006/07, 31 058, nr. 3, p</w:t>
      </w:r>
      <w:r w:rsidRPr="00A23C51">
        <w:rPr>
          <w:rFonts w:ascii="Times New Roman" w:eastAsia="Arial Unicode MS" w:hAnsi="Times New Roman" w:cs="Times New Roman"/>
        </w:rPr>
        <w:t>. 75.</w:t>
      </w:r>
    </w:p>
  </w:footnote>
  <w:footnote w:id="51">
    <w:p w:rsidR="00C93ACE" w:rsidRDefault="00C93ACE" w:rsidP="00940C49">
      <w:pPr>
        <w:pStyle w:val="FootnoteText"/>
      </w:pPr>
      <w:r>
        <w:rPr>
          <w:rStyle w:val="FootnoteReference"/>
        </w:rPr>
        <w:footnoteRef/>
      </w:r>
      <w:r>
        <w:t xml:space="preserve"> </w:t>
      </w:r>
      <w:r>
        <w:rPr>
          <w:rFonts w:ascii="Times New Roman" w:hAnsi="Times New Roman" w:cs="Times New Roman"/>
        </w:rPr>
        <w:t>A</w:t>
      </w:r>
      <w:r w:rsidRPr="008118A2">
        <w:rPr>
          <w:rFonts w:ascii="Times New Roman" w:hAnsi="Times New Roman" w:cs="Times New Roman"/>
        </w:rPr>
        <w:t xml:space="preserve">rtikel </w:t>
      </w:r>
      <w:r>
        <w:rPr>
          <w:rFonts w:ascii="Times New Roman" w:hAnsi="Times New Roman" w:cs="Times New Roman"/>
        </w:rPr>
        <w:t>2:</w:t>
      </w:r>
      <w:r w:rsidRPr="008118A2">
        <w:rPr>
          <w:rFonts w:ascii="Times New Roman" w:hAnsi="Times New Roman" w:cs="Times New Roman"/>
        </w:rPr>
        <w:t>228 lid 5</w:t>
      </w:r>
      <w:r>
        <w:rPr>
          <w:rFonts w:ascii="Times New Roman" w:hAnsi="Times New Roman" w:cs="Times New Roman"/>
        </w:rPr>
        <w:t xml:space="preserve"> BW.</w:t>
      </w:r>
    </w:p>
  </w:footnote>
  <w:footnote w:id="52">
    <w:p w:rsidR="00C93ACE" w:rsidRDefault="00C93ACE" w:rsidP="00940C49">
      <w:pPr>
        <w:pStyle w:val="FootnoteText"/>
      </w:pPr>
      <w:r>
        <w:rPr>
          <w:rStyle w:val="FootnoteReference"/>
        </w:rPr>
        <w:footnoteRef/>
      </w:r>
      <w:r>
        <w:t xml:space="preserve">  </w:t>
      </w:r>
      <w:r>
        <w:rPr>
          <w:rFonts w:ascii="Times New Roman" w:hAnsi="Times New Roman" w:cs="Times New Roman"/>
        </w:rPr>
        <w:t>A</w:t>
      </w:r>
      <w:r w:rsidRPr="008118A2">
        <w:rPr>
          <w:rFonts w:ascii="Times New Roman" w:hAnsi="Times New Roman" w:cs="Times New Roman"/>
        </w:rPr>
        <w:t xml:space="preserve">rtikel </w:t>
      </w:r>
      <w:r>
        <w:rPr>
          <w:rFonts w:ascii="Times New Roman" w:hAnsi="Times New Roman" w:cs="Times New Roman"/>
        </w:rPr>
        <w:t>2:</w:t>
      </w:r>
      <w:r w:rsidRPr="008118A2">
        <w:rPr>
          <w:rFonts w:ascii="Times New Roman" w:hAnsi="Times New Roman" w:cs="Times New Roman"/>
        </w:rPr>
        <w:t>228 lid 5</w:t>
      </w:r>
      <w:r>
        <w:rPr>
          <w:rFonts w:ascii="Times New Roman" w:hAnsi="Times New Roman" w:cs="Times New Roman"/>
        </w:rPr>
        <w:t xml:space="preserve"> BW.</w:t>
      </w:r>
    </w:p>
  </w:footnote>
  <w:footnote w:id="53">
    <w:p w:rsidR="00C93ACE" w:rsidRDefault="00C93ACE" w:rsidP="00940C49">
      <w:pPr>
        <w:pStyle w:val="FootnoteText"/>
      </w:pPr>
      <w:r>
        <w:rPr>
          <w:rStyle w:val="FootnoteReference"/>
        </w:rPr>
        <w:footnoteRef/>
      </w:r>
      <w:r>
        <w:t xml:space="preserve">  </w:t>
      </w:r>
      <w:r w:rsidRPr="003E1BBE">
        <w:rPr>
          <w:rFonts w:ascii="Times New Roman" w:eastAsia="Arial Unicode MS" w:hAnsi="Times New Roman" w:cs="Times New Roman"/>
          <w:i/>
        </w:rPr>
        <w:t>Kamerstukken II</w:t>
      </w:r>
      <w:r>
        <w:rPr>
          <w:rFonts w:ascii="Times New Roman" w:eastAsia="Arial Unicode MS" w:hAnsi="Times New Roman" w:cs="Times New Roman"/>
        </w:rPr>
        <w:t xml:space="preserve"> 2006/07, 31 058, nr. 3, p</w:t>
      </w:r>
      <w:r w:rsidRPr="00A23C51">
        <w:rPr>
          <w:rFonts w:ascii="Times New Roman" w:eastAsia="Arial Unicode MS" w:hAnsi="Times New Roman" w:cs="Times New Roman"/>
        </w:rPr>
        <w:t>. 75.</w:t>
      </w:r>
      <w:r>
        <w:rPr>
          <w:rFonts w:ascii="Times New Roman" w:eastAsia="Arial Unicode MS" w:hAnsi="Times New Roman" w:cs="Times New Roman"/>
        </w:rPr>
        <w:t xml:space="preserve"> (MvT)</w:t>
      </w:r>
    </w:p>
  </w:footnote>
  <w:footnote w:id="54">
    <w:p w:rsidR="00C93ACE" w:rsidRDefault="00C93ACE" w:rsidP="00940C49">
      <w:pPr>
        <w:pStyle w:val="FootnoteText"/>
      </w:pPr>
      <w:r>
        <w:rPr>
          <w:rStyle w:val="FootnoteReference"/>
        </w:rPr>
        <w:footnoteRef/>
      </w:r>
      <w:r>
        <w:t xml:space="preserve"> </w:t>
      </w:r>
      <w:r w:rsidRPr="003E40F2">
        <w:rPr>
          <w:rFonts w:ascii="Times New Roman" w:eastAsia="Arial Unicode MS" w:hAnsi="Times New Roman" w:cs="Times New Roman"/>
        </w:rPr>
        <w:t xml:space="preserve">S.F.M. </w:t>
      </w:r>
      <w:proofErr w:type="spellStart"/>
      <w:r w:rsidRPr="003E40F2">
        <w:rPr>
          <w:rFonts w:ascii="Times New Roman" w:eastAsia="Arial Unicode MS" w:hAnsi="Times New Roman" w:cs="Times New Roman"/>
        </w:rPr>
        <w:t>N</w:t>
      </w:r>
      <w:r>
        <w:rPr>
          <w:rFonts w:ascii="Times New Roman" w:eastAsia="Arial Unicode MS" w:hAnsi="Times New Roman" w:cs="Times New Roman"/>
        </w:rPr>
        <w:t>iekel</w:t>
      </w:r>
      <w:proofErr w:type="spellEnd"/>
      <w:r w:rsidRPr="003E40F2">
        <w:rPr>
          <w:rFonts w:ascii="Times New Roman" w:eastAsia="Arial Unicode MS" w:hAnsi="Times New Roman" w:cs="Times New Roman"/>
        </w:rPr>
        <w:t xml:space="preserve">, </w:t>
      </w:r>
      <w:r w:rsidRPr="003E40F2">
        <w:rPr>
          <w:rFonts w:ascii="Times New Roman" w:eastAsia="Arial Unicode MS" w:hAnsi="Times New Roman" w:cs="Times New Roman"/>
          <w:bCs/>
        </w:rPr>
        <w:t xml:space="preserve">Het begrip 'belang' als criterium voor verbondenheid bij vennootschappen, </w:t>
      </w:r>
      <w:r w:rsidRPr="002130EF">
        <w:rPr>
          <w:rFonts w:ascii="Times New Roman" w:eastAsia="Arial Unicode MS" w:hAnsi="Times New Roman" w:cs="Times New Roman"/>
          <w:i/>
        </w:rPr>
        <w:t>WFR</w:t>
      </w:r>
      <w:r w:rsidRPr="003E40F2">
        <w:rPr>
          <w:rFonts w:ascii="Times New Roman" w:eastAsia="Arial Unicode MS" w:hAnsi="Times New Roman" w:cs="Times New Roman"/>
        </w:rPr>
        <w:t xml:space="preserve"> 1998/557.</w:t>
      </w:r>
    </w:p>
  </w:footnote>
  <w:footnote w:id="55">
    <w:p w:rsidR="00C93ACE" w:rsidRPr="008336FD" w:rsidRDefault="00C93ACE" w:rsidP="00940C49">
      <w:pPr>
        <w:pStyle w:val="FootnoteText"/>
        <w:rPr>
          <w:rFonts w:ascii="Times New Roman" w:hAnsi="Times New Roman" w:cs="Times New Roman"/>
        </w:rPr>
      </w:pPr>
      <w:r w:rsidRPr="008336FD">
        <w:rPr>
          <w:rStyle w:val="FootnoteReference"/>
          <w:rFonts w:ascii="Times New Roman" w:hAnsi="Times New Roman"/>
        </w:rPr>
        <w:footnoteRef/>
      </w:r>
      <w:r w:rsidRPr="008336FD">
        <w:rPr>
          <w:rFonts w:ascii="Times New Roman" w:hAnsi="Times New Roman" w:cs="Times New Roman"/>
        </w:rPr>
        <w:t xml:space="preserve"> A. Rozendal, </w:t>
      </w:r>
      <w:r w:rsidRPr="008336FD">
        <w:rPr>
          <w:rFonts w:ascii="Times New Roman" w:hAnsi="Times New Roman" w:cs="Times New Roman"/>
          <w:bCs/>
        </w:rPr>
        <w:t xml:space="preserve">Soortaandelen en het onduidelijke begrip ‘verbonden lichaam’, </w:t>
      </w:r>
      <w:r w:rsidRPr="0057302A">
        <w:rPr>
          <w:rFonts w:ascii="Times New Roman" w:hAnsi="Times New Roman" w:cs="Times New Roman"/>
          <w:bCs/>
          <w:i/>
        </w:rPr>
        <w:t>Maandblad Belasting Beschouwingen</w:t>
      </w:r>
      <w:r w:rsidRPr="008336FD">
        <w:rPr>
          <w:rFonts w:ascii="Times New Roman" w:hAnsi="Times New Roman" w:cs="Times New Roman"/>
          <w:bCs/>
        </w:rPr>
        <w:t xml:space="preserve"> 2008/10.</w:t>
      </w:r>
      <w:r w:rsidRPr="008336FD">
        <w:rPr>
          <w:rFonts w:ascii="Times New Roman" w:hAnsi="Times New Roman" w:cs="Times New Roman"/>
        </w:rPr>
        <w:t> </w:t>
      </w:r>
    </w:p>
  </w:footnote>
  <w:footnote w:id="56">
    <w:p w:rsidR="00C93ACE" w:rsidRPr="008336FD" w:rsidRDefault="00C93ACE" w:rsidP="00940C49">
      <w:pPr>
        <w:pStyle w:val="FootnoteText"/>
        <w:rPr>
          <w:rFonts w:ascii="Times New Roman" w:hAnsi="Times New Roman" w:cs="Times New Roman"/>
        </w:rPr>
      </w:pPr>
      <w:r w:rsidRPr="008336FD">
        <w:rPr>
          <w:rStyle w:val="FootnoteReference"/>
          <w:rFonts w:ascii="Times New Roman" w:hAnsi="Times New Roman"/>
        </w:rPr>
        <w:footnoteRef/>
      </w:r>
      <w:r w:rsidRPr="008336FD">
        <w:rPr>
          <w:rFonts w:ascii="Times New Roman" w:hAnsi="Times New Roman" w:cs="Times New Roman"/>
        </w:rPr>
        <w:t xml:space="preserve"> K.P.E. </w:t>
      </w:r>
      <w:proofErr w:type="spellStart"/>
      <w:r w:rsidRPr="008336FD">
        <w:rPr>
          <w:rFonts w:ascii="Times New Roman" w:hAnsi="Times New Roman" w:cs="Times New Roman"/>
        </w:rPr>
        <w:t>Stals</w:t>
      </w:r>
      <w:proofErr w:type="spellEnd"/>
      <w:r w:rsidRPr="008336FD">
        <w:rPr>
          <w:rFonts w:ascii="Times New Roman" w:hAnsi="Times New Roman" w:cs="Times New Roman"/>
        </w:rPr>
        <w:t xml:space="preserve">, </w:t>
      </w:r>
      <w:r w:rsidRPr="008336FD">
        <w:rPr>
          <w:rFonts w:ascii="Times New Roman" w:hAnsi="Times New Roman" w:cs="Times New Roman"/>
          <w:bCs/>
        </w:rPr>
        <w:t>Fiscale aspecten van het wetsvoorstel Flexibilisering bv-recht: ’van dichte nevelen naar helde</w:t>
      </w:r>
      <w:r>
        <w:rPr>
          <w:rFonts w:ascii="Times New Roman" w:hAnsi="Times New Roman" w:cs="Times New Roman"/>
          <w:bCs/>
        </w:rPr>
        <w:t>re lucht?’</w:t>
      </w:r>
      <w:proofErr w:type="gramStart"/>
      <w:r>
        <w:rPr>
          <w:rFonts w:ascii="Times New Roman" w:hAnsi="Times New Roman" w:cs="Times New Roman"/>
          <w:bCs/>
        </w:rPr>
        <w:t>,</w:t>
      </w:r>
      <w:proofErr w:type="gramEnd"/>
      <w:r>
        <w:rPr>
          <w:rFonts w:ascii="Times New Roman" w:hAnsi="Times New Roman" w:cs="Times New Roman"/>
          <w:bCs/>
        </w:rPr>
        <w:t xml:space="preserve"> </w:t>
      </w:r>
      <w:r w:rsidRPr="0057302A">
        <w:rPr>
          <w:rFonts w:ascii="Times New Roman" w:hAnsi="Times New Roman" w:cs="Times New Roman"/>
          <w:bCs/>
          <w:i/>
        </w:rPr>
        <w:t>Forfaitair</w:t>
      </w:r>
      <w:r>
        <w:rPr>
          <w:rFonts w:ascii="Times New Roman" w:hAnsi="Times New Roman" w:cs="Times New Roman"/>
          <w:bCs/>
        </w:rPr>
        <w:t xml:space="preserve"> 2011/211.</w:t>
      </w:r>
    </w:p>
  </w:footnote>
  <w:footnote w:id="57">
    <w:p w:rsidR="00C93ACE" w:rsidRDefault="00C93ACE" w:rsidP="00940C49">
      <w:pPr>
        <w:pStyle w:val="FootnoteText"/>
      </w:pPr>
      <w:r>
        <w:rPr>
          <w:rStyle w:val="FootnoteReference"/>
        </w:rPr>
        <w:footnoteRef/>
      </w:r>
      <w:r>
        <w:t xml:space="preserve"> </w:t>
      </w:r>
      <w:r w:rsidRPr="006B29DF">
        <w:rPr>
          <w:rFonts w:ascii="Times New Roman" w:hAnsi="Times New Roman" w:cs="Times New Roman"/>
          <w:i/>
        </w:rPr>
        <w:t>Kamerstukken II</w:t>
      </w:r>
      <w:r>
        <w:rPr>
          <w:rFonts w:ascii="Times New Roman" w:hAnsi="Times New Roman" w:cs="Times New Roman"/>
        </w:rPr>
        <w:t xml:space="preserve"> 1988/</w:t>
      </w:r>
      <w:r w:rsidRPr="00A826EF">
        <w:rPr>
          <w:rFonts w:ascii="Times New Roman" w:hAnsi="Times New Roman" w:cs="Times New Roman"/>
        </w:rPr>
        <w:t>89, 20 603, nr. 6, p. 13.</w:t>
      </w:r>
    </w:p>
  </w:footnote>
  <w:footnote w:id="58">
    <w:p w:rsidR="00C93ACE" w:rsidRDefault="00C93ACE" w:rsidP="00940C49">
      <w:pPr>
        <w:pStyle w:val="FootnoteText"/>
      </w:pPr>
      <w:r>
        <w:rPr>
          <w:rStyle w:val="FootnoteReference"/>
        </w:rPr>
        <w:footnoteRef/>
      </w:r>
      <w:r>
        <w:t xml:space="preserve"> </w:t>
      </w:r>
      <w:r w:rsidRPr="006B29DF">
        <w:rPr>
          <w:rFonts w:ascii="Times New Roman" w:hAnsi="Times New Roman" w:cs="Times New Roman"/>
          <w:i/>
        </w:rPr>
        <w:t>Kamerstukken II</w:t>
      </w:r>
      <w:r>
        <w:rPr>
          <w:rFonts w:ascii="Times New Roman" w:hAnsi="Times New Roman" w:cs="Times New Roman"/>
        </w:rPr>
        <w:t xml:space="preserve"> </w:t>
      </w:r>
      <w:r w:rsidRPr="00A826EF">
        <w:rPr>
          <w:rFonts w:ascii="Times New Roman" w:hAnsi="Times New Roman" w:cs="Times New Roman"/>
        </w:rPr>
        <w:t>198</w:t>
      </w:r>
      <w:r>
        <w:rPr>
          <w:rFonts w:ascii="Times New Roman" w:hAnsi="Times New Roman" w:cs="Times New Roman"/>
        </w:rPr>
        <w:t>6/</w:t>
      </w:r>
      <w:r w:rsidRPr="00A826EF">
        <w:rPr>
          <w:rFonts w:ascii="Times New Roman" w:hAnsi="Times New Roman" w:cs="Times New Roman"/>
        </w:rPr>
        <w:t>8</w:t>
      </w:r>
      <w:r>
        <w:rPr>
          <w:rFonts w:ascii="Times New Roman" w:hAnsi="Times New Roman" w:cs="Times New Roman"/>
        </w:rPr>
        <w:t>7, 19</w:t>
      </w:r>
      <w:r w:rsidRPr="00A826EF">
        <w:rPr>
          <w:rFonts w:ascii="Times New Roman" w:hAnsi="Times New Roman" w:cs="Times New Roman"/>
        </w:rPr>
        <w:t> </w:t>
      </w:r>
      <w:r>
        <w:rPr>
          <w:rFonts w:ascii="Times New Roman" w:hAnsi="Times New Roman" w:cs="Times New Roman"/>
        </w:rPr>
        <w:t>986</w:t>
      </w:r>
      <w:r w:rsidRPr="00A826EF">
        <w:rPr>
          <w:rFonts w:ascii="Times New Roman" w:hAnsi="Times New Roman" w:cs="Times New Roman"/>
        </w:rPr>
        <w:t>, nr. 6, p. 1</w:t>
      </w:r>
      <w:r>
        <w:rPr>
          <w:rFonts w:ascii="Times New Roman" w:hAnsi="Times New Roman" w:cs="Times New Roman"/>
        </w:rPr>
        <w:t xml:space="preserve">1(MvT); </w:t>
      </w:r>
      <w:r w:rsidRPr="006B29DF">
        <w:rPr>
          <w:rFonts w:ascii="Times New Roman" w:hAnsi="Times New Roman" w:cs="Times New Roman"/>
          <w:i/>
        </w:rPr>
        <w:t>Kamerstukken I</w:t>
      </w:r>
      <w:r>
        <w:rPr>
          <w:rFonts w:ascii="Times New Roman" w:hAnsi="Times New Roman" w:cs="Times New Roman"/>
        </w:rPr>
        <w:t xml:space="preserve"> 1989/</w:t>
      </w:r>
      <w:r w:rsidRPr="00A826EF">
        <w:rPr>
          <w:rFonts w:ascii="Times New Roman" w:hAnsi="Times New Roman" w:cs="Times New Roman"/>
        </w:rPr>
        <w:t>9</w:t>
      </w:r>
      <w:r>
        <w:rPr>
          <w:rFonts w:ascii="Times New Roman" w:hAnsi="Times New Roman" w:cs="Times New Roman"/>
        </w:rPr>
        <w:t>0</w:t>
      </w:r>
      <w:r w:rsidRPr="00A826EF">
        <w:rPr>
          <w:rFonts w:ascii="Times New Roman" w:hAnsi="Times New Roman" w:cs="Times New Roman"/>
        </w:rPr>
        <w:t xml:space="preserve">, </w:t>
      </w:r>
      <w:r>
        <w:rPr>
          <w:rFonts w:ascii="Times New Roman" w:hAnsi="Times New Roman" w:cs="Times New Roman"/>
        </w:rPr>
        <w:t>19</w:t>
      </w:r>
      <w:r w:rsidRPr="00A826EF">
        <w:rPr>
          <w:rFonts w:ascii="Times New Roman" w:hAnsi="Times New Roman" w:cs="Times New Roman"/>
        </w:rPr>
        <w:t> </w:t>
      </w:r>
      <w:r>
        <w:rPr>
          <w:rFonts w:ascii="Times New Roman" w:hAnsi="Times New Roman" w:cs="Times New Roman"/>
        </w:rPr>
        <w:t>986</w:t>
      </w:r>
      <w:r w:rsidRPr="00A826EF">
        <w:rPr>
          <w:rFonts w:ascii="Times New Roman" w:hAnsi="Times New Roman" w:cs="Times New Roman"/>
        </w:rPr>
        <w:t>, nr. </w:t>
      </w:r>
      <w:r>
        <w:rPr>
          <w:rFonts w:ascii="Times New Roman" w:hAnsi="Times New Roman" w:cs="Times New Roman"/>
        </w:rPr>
        <w:t>41c</w:t>
      </w:r>
      <w:r w:rsidRPr="00A826EF">
        <w:rPr>
          <w:rFonts w:ascii="Times New Roman" w:hAnsi="Times New Roman" w:cs="Times New Roman"/>
        </w:rPr>
        <w:t>, p. 1</w:t>
      </w:r>
      <w:r>
        <w:rPr>
          <w:rFonts w:ascii="Times New Roman" w:hAnsi="Times New Roman" w:cs="Times New Roman"/>
        </w:rPr>
        <w:t xml:space="preserve">0; Bijvoegsel bij Handelingen I, 2001/02, p. 636 </w:t>
      </w:r>
      <w:proofErr w:type="spellStart"/>
      <w:r>
        <w:rPr>
          <w:rFonts w:ascii="Times New Roman" w:hAnsi="Times New Roman" w:cs="Times New Roman"/>
        </w:rPr>
        <w:t>mk</w:t>
      </w:r>
      <w:proofErr w:type="spellEnd"/>
      <w:r>
        <w:rPr>
          <w:rFonts w:ascii="Times New Roman" w:hAnsi="Times New Roman" w:cs="Times New Roman"/>
        </w:rPr>
        <w:t>.</w:t>
      </w:r>
    </w:p>
  </w:footnote>
  <w:footnote w:id="59">
    <w:p w:rsidR="00C93ACE" w:rsidRDefault="00C93ACE" w:rsidP="00940C49">
      <w:pPr>
        <w:pStyle w:val="FootnoteText"/>
      </w:pPr>
      <w:r>
        <w:rPr>
          <w:rStyle w:val="FootnoteReference"/>
        </w:rPr>
        <w:footnoteRef/>
      </w:r>
      <w:r>
        <w:t xml:space="preserve"> </w:t>
      </w:r>
      <w:r w:rsidRPr="006B29DF">
        <w:rPr>
          <w:rFonts w:ascii="Times New Roman" w:hAnsi="Times New Roman" w:cs="Times New Roman"/>
          <w:i/>
        </w:rPr>
        <w:t>Kamerstukken I</w:t>
      </w:r>
      <w:r>
        <w:rPr>
          <w:rFonts w:ascii="Times New Roman" w:hAnsi="Times New Roman" w:cs="Times New Roman"/>
        </w:rPr>
        <w:t xml:space="preserve"> 1989/</w:t>
      </w:r>
      <w:r w:rsidRPr="00A826EF">
        <w:rPr>
          <w:rFonts w:ascii="Times New Roman" w:hAnsi="Times New Roman" w:cs="Times New Roman"/>
        </w:rPr>
        <w:t>9</w:t>
      </w:r>
      <w:r>
        <w:rPr>
          <w:rFonts w:ascii="Times New Roman" w:hAnsi="Times New Roman" w:cs="Times New Roman"/>
        </w:rPr>
        <w:t>0</w:t>
      </w:r>
      <w:r w:rsidRPr="00A826EF">
        <w:rPr>
          <w:rFonts w:ascii="Times New Roman" w:hAnsi="Times New Roman" w:cs="Times New Roman"/>
        </w:rPr>
        <w:t xml:space="preserve">, </w:t>
      </w:r>
      <w:r>
        <w:rPr>
          <w:rFonts w:ascii="Times New Roman" w:hAnsi="Times New Roman" w:cs="Times New Roman"/>
        </w:rPr>
        <w:t>19</w:t>
      </w:r>
      <w:r w:rsidRPr="00A826EF">
        <w:rPr>
          <w:rFonts w:ascii="Times New Roman" w:hAnsi="Times New Roman" w:cs="Times New Roman"/>
        </w:rPr>
        <w:t> </w:t>
      </w:r>
      <w:r>
        <w:rPr>
          <w:rFonts w:ascii="Times New Roman" w:hAnsi="Times New Roman" w:cs="Times New Roman"/>
        </w:rPr>
        <w:t>986</w:t>
      </w:r>
      <w:r w:rsidRPr="00A826EF">
        <w:rPr>
          <w:rFonts w:ascii="Times New Roman" w:hAnsi="Times New Roman" w:cs="Times New Roman"/>
        </w:rPr>
        <w:t>, nr. </w:t>
      </w:r>
      <w:r>
        <w:rPr>
          <w:rFonts w:ascii="Times New Roman" w:hAnsi="Times New Roman" w:cs="Times New Roman"/>
        </w:rPr>
        <w:t>41c</w:t>
      </w:r>
      <w:r w:rsidRPr="00A826EF">
        <w:rPr>
          <w:rFonts w:ascii="Times New Roman" w:hAnsi="Times New Roman" w:cs="Times New Roman"/>
        </w:rPr>
        <w:t>, p. 1</w:t>
      </w:r>
      <w:r>
        <w:rPr>
          <w:rFonts w:ascii="Times New Roman" w:hAnsi="Times New Roman" w:cs="Times New Roman"/>
        </w:rPr>
        <w:t>0</w:t>
      </w:r>
    </w:p>
  </w:footnote>
  <w:footnote w:id="60">
    <w:p w:rsidR="00C93ACE" w:rsidRDefault="00C93ACE" w:rsidP="00940C49">
      <w:pPr>
        <w:pStyle w:val="FootnoteText"/>
        <w:tabs>
          <w:tab w:val="left" w:pos="5625"/>
        </w:tabs>
      </w:pPr>
      <w:r>
        <w:rPr>
          <w:rStyle w:val="FootnoteReference"/>
        </w:rPr>
        <w:footnoteRef/>
      </w:r>
      <w:r>
        <w:t xml:space="preserve"> </w:t>
      </w:r>
      <w:r w:rsidRPr="006B29DF">
        <w:rPr>
          <w:rFonts w:ascii="Times New Roman" w:hAnsi="Times New Roman" w:cs="Times New Roman"/>
          <w:i/>
        </w:rPr>
        <w:t>Kamerstukken I</w:t>
      </w:r>
      <w:r>
        <w:rPr>
          <w:rFonts w:ascii="Times New Roman" w:hAnsi="Times New Roman" w:cs="Times New Roman"/>
        </w:rPr>
        <w:t xml:space="preserve"> </w:t>
      </w:r>
      <w:r w:rsidRPr="00F168E6">
        <w:rPr>
          <w:rFonts w:ascii="Times New Roman" w:eastAsia="Arial Unicode MS" w:hAnsi="Times New Roman" w:cs="Times New Roman"/>
        </w:rPr>
        <w:t>1995/96, 24 696, nr. 5.</w:t>
      </w:r>
      <w:r>
        <w:rPr>
          <w:rFonts w:ascii="Times New Roman" w:eastAsia="Arial Unicode MS" w:hAnsi="Times New Roman" w:cs="Times New Roman"/>
        </w:rPr>
        <w:tab/>
      </w:r>
    </w:p>
  </w:footnote>
  <w:footnote w:id="61">
    <w:p w:rsidR="00C93ACE" w:rsidRDefault="00C93ACE" w:rsidP="00940C49">
      <w:pPr>
        <w:pStyle w:val="FootnoteText"/>
      </w:pPr>
      <w:r>
        <w:rPr>
          <w:rStyle w:val="FootnoteReference"/>
        </w:rPr>
        <w:footnoteRef/>
      </w:r>
      <w:r>
        <w:t xml:space="preserve"> </w:t>
      </w:r>
      <w:r w:rsidRPr="003E40F2">
        <w:rPr>
          <w:rFonts w:ascii="Times New Roman" w:eastAsia="Arial Unicode MS" w:hAnsi="Times New Roman" w:cs="Times New Roman"/>
        </w:rPr>
        <w:t xml:space="preserve">S.F.M. </w:t>
      </w:r>
      <w:proofErr w:type="spellStart"/>
      <w:r w:rsidRPr="003E40F2">
        <w:rPr>
          <w:rFonts w:ascii="Times New Roman" w:eastAsia="Arial Unicode MS" w:hAnsi="Times New Roman" w:cs="Times New Roman"/>
        </w:rPr>
        <w:t>N</w:t>
      </w:r>
      <w:r>
        <w:rPr>
          <w:rFonts w:ascii="Times New Roman" w:eastAsia="Arial Unicode MS" w:hAnsi="Times New Roman" w:cs="Times New Roman"/>
        </w:rPr>
        <w:t>iekel</w:t>
      </w:r>
      <w:proofErr w:type="spellEnd"/>
      <w:r w:rsidRPr="003E40F2">
        <w:rPr>
          <w:rFonts w:ascii="Times New Roman" w:eastAsia="Arial Unicode MS" w:hAnsi="Times New Roman" w:cs="Times New Roman"/>
        </w:rPr>
        <w:t xml:space="preserve">, </w:t>
      </w:r>
      <w:r w:rsidRPr="003E40F2">
        <w:rPr>
          <w:rFonts w:ascii="Times New Roman" w:eastAsia="Arial Unicode MS" w:hAnsi="Times New Roman" w:cs="Times New Roman"/>
          <w:bCs/>
        </w:rPr>
        <w:t xml:space="preserve">Het begrip 'belang' als criterium voor verbondenheid bij vennootschappen, </w:t>
      </w:r>
      <w:r w:rsidRPr="002130EF">
        <w:rPr>
          <w:rFonts w:ascii="Times New Roman" w:eastAsia="Arial Unicode MS" w:hAnsi="Times New Roman" w:cs="Times New Roman"/>
          <w:i/>
        </w:rPr>
        <w:t>WFR</w:t>
      </w:r>
      <w:r w:rsidRPr="003E40F2">
        <w:rPr>
          <w:rFonts w:ascii="Times New Roman" w:eastAsia="Arial Unicode MS" w:hAnsi="Times New Roman" w:cs="Times New Roman"/>
        </w:rPr>
        <w:t xml:space="preserve"> 1998/557.</w:t>
      </w:r>
    </w:p>
  </w:footnote>
  <w:footnote w:id="62">
    <w:p w:rsidR="00C93ACE" w:rsidRDefault="00C93ACE" w:rsidP="00940C49">
      <w:pPr>
        <w:pStyle w:val="FootnoteText"/>
      </w:pPr>
      <w:r>
        <w:rPr>
          <w:rStyle w:val="FootnoteReference"/>
        </w:rPr>
        <w:footnoteRef/>
      </w:r>
      <w:r>
        <w:t xml:space="preserve"> </w:t>
      </w:r>
      <w:r w:rsidRPr="000C1CA4">
        <w:rPr>
          <w:rFonts w:ascii="Times New Roman" w:hAnsi="Times New Roman" w:cs="Times New Roman"/>
          <w:i/>
        </w:rPr>
        <w:t>Kamerstukken II</w:t>
      </w:r>
      <w:r>
        <w:rPr>
          <w:rFonts w:ascii="Times New Roman" w:hAnsi="Times New Roman" w:cs="Times New Roman"/>
        </w:rPr>
        <w:t xml:space="preserve"> 2009/10, 32</w:t>
      </w:r>
      <w:r w:rsidRPr="00A826EF">
        <w:rPr>
          <w:rFonts w:ascii="Times New Roman" w:hAnsi="Times New Roman" w:cs="Times New Roman"/>
        </w:rPr>
        <w:t> </w:t>
      </w:r>
      <w:r>
        <w:rPr>
          <w:rFonts w:ascii="Times New Roman" w:hAnsi="Times New Roman" w:cs="Times New Roman"/>
        </w:rPr>
        <w:t>426</w:t>
      </w:r>
      <w:r w:rsidRPr="00A826EF">
        <w:rPr>
          <w:rFonts w:ascii="Times New Roman" w:hAnsi="Times New Roman" w:cs="Times New Roman"/>
        </w:rPr>
        <w:t>, nr. </w:t>
      </w:r>
      <w:r>
        <w:rPr>
          <w:rFonts w:ascii="Times New Roman" w:hAnsi="Times New Roman" w:cs="Times New Roman"/>
        </w:rPr>
        <w:t>3</w:t>
      </w:r>
      <w:r w:rsidRPr="00A826EF">
        <w:rPr>
          <w:rFonts w:ascii="Times New Roman" w:hAnsi="Times New Roman" w:cs="Times New Roman"/>
        </w:rPr>
        <w:t>,</w:t>
      </w:r>
      <w:r>
        <w:rPr>
          <w:rFonts w:ascii="Times New Roman" w:hAnsi="Times New Roman" w:cs="Times New Roman"/>
        </w:rPr>
        <w:t xml:space="preserve"> p. 6.</w:t>
      </w:r>
    </w:p>
  </w:footnote>
  <w:footnote w:id="63">
    <w:p w:rsidR="00C93ACE" w:rsidRDefault="00C93ACE" w:rsidP="00940C49">
      <w:pPr>
        <w:pStyle w:val="FootnoteText"/>
      </w:pPr>
      <w:r>
        <w:rPr>
          <w:rStyle w:val="FootnoteReference"/>
        </w:rPr>
        <w:footnoteRef/>
      </w:r>
      <w:r>
        <w:t xml:space="preserve"> </w:t>
      </w:r>
      <w:r w:rsidRPr="0039295B">
        <w:rPr>
          <w:rFonts w:ascii="Times New Roman" w:eastAsia="Arial Unicode MS" w:hAnsi="Times New Roman" w:cs="Times New Roman"/>
        </w:rPr>
        <w:t xml:space="preserve">G.M.M. </w:t>
      </w:r>
      <w:proofErr w:type="spellStart"/>
      <w:r w:rsidRPr="0039295B">
        <w:rPr>
          <w:rFonts w:ascii="Times New Roman" w:eastAsia="Arial Unicode MS" w:hAnsi="Times New Roman" w:cs="Times New Roman"/>
        </w:rPr>
        <w:t>Michielse</w:t>
      </w:r>
      <w:proofErr w:type="spellEnd"/>
      <w:r w:rsidRPr="0039295B">
        <w:rPr>
          <w:rFonts w:ascii="Times New Roman" w:eastAsia="Arial Unicode MS" w:hAnsi="Times New Roman" w:cs="Times New Roman"/>
        </w:rPr>
        <w:t>, Wetsvoorstel uitholling belastinggrondslag. Een gemiste kans, </w:t>
      </w:r>
      <w:hyperlink r:id="rId2" w:history="1">
        <w:r w:rsidRPr="00525E19">
          <w:rPr>
            <w:rFonts w:ascii="Times New Roman" w:eastAsia="Arial Unicode MS" w:hAnsi="Times New Roman" w:cs="Times New Roman"/>
            <w:i/>
          </w:rPr>
          <w:t>FED</w:t>
        </w:r>
        <w:r w:rsidRPr="0039295B">
          <w:rPr>
            <w:rFonts w:ascii="Times New Roman" w:eastAsia="Arial Unicode MS" w:hAnsi="Times New Roman" w:cs="Times New Roman"/>
          </w:rPr>
          <w:t xml:space="preserve"> 1996/433</w:t>
        </w:r>
      </w:hyperlink>
      <w:r w:rsidRPr="0039295B">
        <w:rPr>
          <w:rFonts w:ascii="Times New Roman" w:eastAsia="Arial Unicode MS" w:hAnsi="Times New Roman" w:cs="Times New Roman"/>
        </w:rPr>
        <w:t>.</w:t>
      </w:r>
    </w:p>
  </w:footnote>
  <w:footnote w:id="64">
    <w:p w:rsidR="00C93ACE" w:rsidRDefault="00C93ACE" w:rsidP="00940C49">
      <w:pPr>
        <w:pStyle w:val="FootnoteText"/>
      </w:pPr>
      <w:r>
        <w:rPr>
          <w:rStyle w:val="FootnoteReference"/>
        </w:rPr>
        <w:footnoteRef/>
      </w:r>
      <w:r>
        <w:t xml:space="preserve"> </w:t>
      </w:r>
      <w:r>
        <w:rPr>
          <w:rFonts w:ascii="Times New Roman" w:eastAsia="Arial Unicode MS" w:hAnsi="Times New Roman" w:cs="Times New Roman"/>
        </w:rPr>
        <w:t>A</w:t>
      </w:r>
      <w:r w:rsidRPr="009413E8">
        <w:rPr>
          <w:rFonts w:ascii="Times New Roman" w:eastAsia="Arial Unicode MS" w:hAnsi="Times New Roman" w:cs="Times New Roman"/>
        </w:rPr>
        <w:t>antekening bij het Besluit van 15 december 1997, nr. DB97/4084, </w:t>
      </w:r>
      <w:hyperlink r:id="rId3" w:history="1">
        <w:r w:rsidRPr="009413E8">
          <w:rPr>
            <w:rFonts w:ascii="Times New Roman" w:eastAsia="Arial Unicode MS" w:hAnsi="Times New Roman" w:cs="Times New Roman"/>
          </w:rPr>
          <w:t>V-N 1998/12.15</w:t>
        </w:r>
      </w:hyperlink>
      <w:r w:rsidRPr="009413E8">
        <w:rPr>
          <w:rFonts w:ascii="Times New Roman" w:eastAsia="Arial Unicode MS" w:hAnsi="Times New Roman" w:cs="Times New Roman"/>
        </w:rPr>
        <w:t>.</w:t>
      </w:r>
    </w:p>
  </w:footnote>
  <w:footnote w:id="65">
    <w:p w:rsidR="00C93ACE" w:rsidRPr="005B53B6" w:rsidRDefault="00C93ACE" w:rsidP="00940C49">
      <w:pPr>
        <w:pStyle w:val="FootnoteText"/>
        <w:rPr>
          <w:rFonts w:ascii="Times New Roman" w:hAnsi="Times New Roman" w:cs="Times New Roman"/>
        </w:rPr>
      </w:pPr>
      <w:r>
        <w:rPr>
          <w:rStyle w:val="FootnoteReference"/>
        </w:rPr>
        <w:footnoteRef/>
      </w:r>
      <w:r>
        <w:t xml:space="preserve"> </w:t>
      </w:r>
      <w:r w:rsidRPr="00E42BC7">
        <w:rPr>
          <w:rFonts w:ascii="Times New Roman" w:eastAsia="Arial Unicode MS" w:hAnsi="Times New Roman" w:cs="Times New Roman"/>
        </w:rPr>
        <w:t xml:space="preserve">N.H. de Vries en L.W. </w:t>
      </w:r>
      <w:proofErr w:type="spellStart"/>
      <w:r w:rsidRPr="00E42BC7">
        <w:rPr>
          <w:rFonts w:ascii="Times New Roman" w:eastAsia="Arial Unicode MS" w:hAnsi="Times New Roman" w:cs="Times New Roman"/>
        </w:rPr>
        <w:t>Sillevis</w:t>
      </w:r>
      <w:proofErr w:type="spellEnd"/>
      <w:r w:rsidRPr="00E42BC7">
        <w:rPr>
          <w:rFonts w:ascii="Times New Roman" w:eastAsia="Arial Unicode MS" w:hAnsi="Times New Roman" w:cs="Times New Roman"/>
        </w:rPr>
        <w:t xml:space="preserve">, </w:t>
      </w:r>
      <w:r w:rsidRPr="003C5968">
        <w:rPr>
          <w:rFonts w:ascii="Times New Roman" w:eastAsia="Arial Unicode MS" w:hAnsi="Times New Roman" w:cs="Times New Roman"/>
          <w:i/>
        </w:rPr>
        <w:t>Cursus belastingrecht</w:t>
      </w:r>
      <w:r>
        <w:rPr>
          <w:rFonts w:ascii="Times New Roman" w:eastAsia="Arial Unicode MS" w:hAnsi="Times New Roman" w:cs="Times New Roman"/>
        </w:rPr>
        <w:t xml:space="preserve">, </w:t>
      </w:r>
      <w:r w:rsidRPr="00811C5F">
        <w:rPr>
          <w:rFonts w:ascii="Times New Roman" w:eastAsia="Arial Unicode MS" w:hAnsi="Times New Roman" w:cs="Times New Roman"/>
          <w:i/>
        </w:rPr>
        <w:t>onderdeel vennootschapsbelasting</w:t>
      </w:r>
      <w:r w:rsidRPr="00E42BC7">
        <w:rPr>
          <w:rFonts w:ascii="Times New Roman" w:eastAsia="Arial Unicode MS" w:hAnsi="Times New Roman" w:cs="Times New Roman"/>
        </w:rPr>
        <w:t>, 2.16.K</w:t>
      </w:r>
      <w:proofErr w:type="gramStart"/>
      <w:r w:rsidRPr="00E42BC7">
        <w:rPr>
          <w:rFonts w:ascii="Times New Roman" w:eastAsia="Arial Unicode MS" w:hAnsi="Times New Roman" w:cs="Times New Roman"/>
        </w:rPr>
        <w:t>,g.</w:t>
      </w:r>
      <w:proofErr w:type="gramEnd"/>
      <w:r w:rsidRPr="00E42BC7">
        <w:rPr>
          <w:rFonts w:ascii="Times New Roman" w:eastAsia="Arial Unicode MS" w:hAnsi="Times New Roman" w:cs="Times New Roman"/>
        </w:rPr>
        <w:t xml:space="preserve">2, </w:t>
      </w:r>
      <w:proofErr w:type="spellStart"/>
      <w:r w:rsidRPr="00E42BC7">
        <w:rPr>
          <w:rFonts w:ascii="Times New Roman" w:eastAsia="Arial Unicode MS" w:hAnsi="Times New Roman" w:cs="Times New Roman"/>
        </w:rPr>
        <w:t>suppl</w:t>
      </w:r>
      <w:proofErr w:type="spellEnd"/>
      <w:r w:rsidRPr="00E42BC7">
        <w:rPr>
          <w:rFonts w:ascii="Times New Roman" w:eastAsia="Arial Unicode MS" w:hAnsi="Times New Roman" w:cs="Times New Roman"/>
        </w:rPr>
        <w:t>. 2</w:t>
      </w:r>
      <w:r w:rsidRPr="005B53B6">
        <w:rPr>
          <w:rFonts w:ascii="Times New Roman" w:eastAsia="Arial Unicode MS" w:hAnsi="Times New Roman" w:cs="Times New Roman"/>
        </w:rPr>
        <w:t>57 (mei 1997).</w:t>
      </w:r>
    </w:p>
  </w:footnote>
  <w:footnote w:id="66">
    <w:p w:rsidR="00C93ACE" w:rsidRPr="005B53B6" w:rsidRDefault="00C93ACE" w:rsidP="00940C49">
      <w:pPr>
        <w:pStyle w:val="FootnoteText"/>
        <w:rPr>
          <w:rFonts w:ascii="Times New Roman" w:hAnsi="Times New Roman" w:cs="Times New Roman"/>
        </w:rPr>
      </w:pPr>
      <w:r w:rsidRPr="005B53B6">
        <w:rPr>
          <w:rStyle w:val="FootnoteReference"/>
          <w:rFonts w:ascii="Times New Roman" w:hAnsi="Times New Roman"/>
        </w:rPr>
        <w:footnoteRef/>
      </w:r>
      <w:r w:rsidRPr="005B53B6">
        <w:rPr>
          <w:rFonts w:ascii="Times New Roman" w:hAnsi="Times New Roman" w:cs="Times New Roman"/>
        </w:rPr>
        <w:t xml:space="preserve"> </w:t>
      </w:r>
      <w:r w:rsidRPr="000C1CA4">
        <w:rPr>
          <w:rFonts w:ascii="Times New Roman" w:hAnsi="Times New Roman" w:cs="Times New Roman"/>
          <w:i/>
        </w:rPr>
        <w:t>Kamerstukken II</w:t>
      </w:r>
      <w:r>
        <w:rPr>
          <w:rFonts w:ascii="Times New Roman" w:hAnsi="Times New Roman" w:cs="Times New Roman"/>
        </w:rPr>
        <w:t xml:space="preserve"> 1988/</w:t>
      </w:r>
      <w:r w:rsidRPr="005B53B6">
        <w:rPr>
          <w:rFonts w:ascii="Times New Roman" w:hAnsi="Times New Roman" w:cs="Times New Roman"/>
        </w:rPr>
        <w:t>89, 20 603, nr. 6, p. 13.</w:t>
      </w:r>
    </w:p>
  </w:footnote>
  <w:footnote w:id="67">
    <w:p w:rsidR="00C93ACE" w:rsidRDefault="00C93ACE" w:rsidP="00940C49">
      <w:pPr>
        <w:pStyle w:val="FootnoteText"/>
      </w:pPr>
      <w:r w:rsidRPr="005B53B6">
        <w:rPr>
          <w:rStyle w:val="FootnoteReference"/>
          <w:rFonts w:ascii="Times New Roman" w:hAnsi="Times New Roman"/>
        </w:rPr>
        <w:footnoteRef/>
      </w:r>
      <w:r w:rsidRPr="005B53B6">
        <w:rPr>
          <w:rFonts w:ascii="Times New Roman" w:hAnsi="Times New Roman" w:cs="Times New Roman"/>
        </w:rPr>
        <w:t xml:space="preserve"> J. </w:t>
      </w:r>
      <w:proofErr w:type="spellStart"/>
      <w:r w:rsidRPr="005B53B6">
        <w:rPr>
          <w:rFonts w:ascii="Times New Roman" w:hAnsi="Times New Roman" w:cs="Times New Roman"/>
        </w:rPr>
        <w:t>Gooijer</w:t>
      </w:r>
      <w:proofErr w:type="spellEnd"/>
      <w:r w:rsidRPr="005B53B6">
        <w:rPr>
          <w:rFonts w:ascii="Times New Roman" w:hAnsi="Times New Roman" w:cs="Times New Roman"/>
        </w:rPr>
        <w:t xml:space="preserve">, Een aanzet tot aanpassing van het verbondenheidscriterium in de vennootschapsbelasting, </w:t>
      </w:r>
      <w:r w:rsidRPr="00811C5F">
        <w:rPr>
          <w:rFonts w:ascii="Times New Roman" w:hAnsi="Times New Roman" w:cs="Times New Roman"/>
          <w:i/>
        </w:rPr>
        <w:t>WFR</w:t>
      </w:r>
      <w:r w:rsidRPr="005B53B6">
        <w:rPr>
          <w:rFonts w:ascii="Times New Roman" w:hAnsi="Times New Roman" w:cs="Times New Roman"/>
        </w:rPr>
        <w:t xml:space="preserve"> 2006/560.</w:t>
      </w:r>
    </w:p>
  </w:footnote>
  <w:footnote w:id="68">
    <w:p w:rsidR="00C93ACE" w:rsidRDefault="00C93ACE" w:rsidP="00940C49">
      <w:pPr>
        <w:pStyle w:val="FootnoteText"/>
      </w:pPr>
      <w:r>
        <w:rPr>
          <w:rStyle w:val="FootnoteReference"/>
        </w:rPr>
        <w:footnoteRef/>
      </w:r>
      <w:r>
        <w:t xml:space="preserve"> </w:t>
      </w:r>
      <w:r w:rsidRPr="008D1A78">
        <w:rPr>
          <w:rFonts w:ascii="Times New Roman" w:hAnsi="Times New Roman" w:cs="Times New Roman"/>
        </w:rPr>
        <w:t xml:space="preserve">O.C.R. </w:t>
      </w:r>
      <w:proofErr w:type="spellStart"/>
      <w:r w:rsidRPr="008D1A78">
        <w:rPr>
          <w:rFonts w:ascii="Times New Roman" w:hAnsi="Times New Roman" w:cs="Times New Roman"/>
        </w:rPr>
        <w:t>Marres</w:t>
      </w:r>
      <w:proofErr w:type="spellEnd"/>
      <w:r w:rsidRPr="008D1A78">
        <w:rPr>
          <w:rFonts w:ascii="Times New Roman" w:hAnsi="Times New Roman" w:cs="Times New Roman"/>
        </w:rPr>
        <w:t xml:space="preserve">, </w:t>
      </w:r>
      <w:r w:rsidRPr="00811C5F">
        <w:rPr>
          <w:rFonts w:ascii="Times New Roman" w:hAnsi="Times New Roman" w:cs="Times New Roman"/>
          <w:i/>
        </w:rPr>
        <w:t>Winstdrainage door renteaftrek</w:t>
      </w:r>
      <w:r w:rsidRPr="008D1A78">
        <w:rPr>
          <w:rFonts w:ascii="Times New Roman" w:hAnsi="Times New Roman" w:cs="Times New Roman"/>
        </w:rPr>
        <w:t xml:space="preserve">, Deventer: </w:t>
      </w:r>
      <w:proofErr w:type="spellStart"/>
      <w:r w:rsidRPr="008D1A78">
        <w:rPr>
          <w:rFonts w:ascii="Times New Roman" w:hAnsi="Times New Roman" w:cs="Times New Roman"/>
        </w:rPr>
        <w:t>Kluwer</w:t>
      </w:r>
      <w:proofErr w:type="spellEnd"/>
      <w:r w:rsidRPr="008D1A78">
        <w:rPr>
          <w:rFonts w:ascii="Times New Roman" w:hAnsi="Times New Roman" w:cs="Times New Roman"/>
        </w:rPr>
        <w:t>, 2008, p. 171.</w:t>
      </w:r>
    </w:p>
  </w:footnote>
  <w:footnote w:id="69">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70">
    <w:p w:rsidR="00C93ACE" w:rsidRDefault="00C93ACE" w:rsidP="00940C49">
      <w:pPr>
        <w:pStyle w:val="FootnoteText"/>
      </w:pPr>
      <w:r>
        <w:rPr>
          <w:rStyle w:val="FootnoteReference"/>
        </w:rPr>
        <w:footnoteRef/>
      </w:r>
      <w:r>
        <w:t xml:space="preserve"> </w:t>
      </w:r>
      <w:r w:rsidRPr="00811C5F">
        <w:rPr>
          <w:rFonts w:ascii="Times New Roman" w:hAnsi="Times New Roman" w:cs="Times New Roman"/>
          <w:i/>
        </w:rPr>
        <w:t>Kamerstukken II</w:t>
      </w:r>
      <w:r>
        <w:rPr>
          <w:rFonts w:ascii="Times New Roman" w:hAnsi="Times New Roman" w:cs="Times New Roman"/>
        </w:rPr>
        <w:t xml:space="preserve"> 2007/08</w:t>
      </w:r>
      <w:r w:rsidRPr="005B53B6">
        <w:rPr>
          <w:rFonts w:ascii="Times New Roman" w:hAnsi="Times New Roman" w:cs="Times New Roman"/>
        </w:rPr>
        <w:t xml:space="preserve">, </w:t>
      </w:r>
      <w:r>
        <w:rPr>
          <w:rFonts w:ascii="Times New Roman" w:hAnsi="Times New Roman" w:cs="Times New Roman"/>
        </w:rPr>
        <w:t>31</w:t>
      </w:r>
      <w:r w:rsidRPr="005B53B6">
        <w:rPr>
          <w:rFonts w:ascii="Times New Roman" w:hAnsi="Times New Roman" w:cs="Times New Roman"/>
        </w:rPr>
        <w:t xml:space="preserve"> </w:t>
      </w:r>
      <w:r>
        <w:rPr>
          <w:rFonts w:ascii="Times New Roman" w:hAnsi="Times New Roman" w:cs="Times New Roman"/>
        </w:rPr>
        <w:t>206, nr. 3</w:t>
      </w:r>
      <w:r w:rsidRPr="005B53B6">
        <w:rPr>
          <w:rFonts w:ascii="Times New Roman" w:hAnsi="Times New Roman" w:cs="Times New Roman"/>
        </w:rPr>
        <w:t xml:space="preserve">, p. </w:t>
      </w:r>
      <w:r>
        <w:rPr>
          <w:rFonts w:ascii="Times New Roman" w:hAnsi="Times New Roman" w:cs="Times New Roman"/>
        </w:rPr>
        <w:t>43</w:t>
      </w:r>
      <w:r w:rsidRPr="005B53B6">
        <w:rPr>
          <w:rFonts w:ascii="Times New Roman" w:hAnsi="Times New Roman" w:cs="Times New Roman"/>
        </w:rPr>
        <w:t>.</w:t>
      </w:r>
    </w:p>
  </w:footnote>
  <w:footnote w:id="71">
    <w:p w:rsidR="00C93ACE" w:rsidRDefault="00C93ACE" w:rsidP="00940C49">
      <w:pPr>
        <w:pStyle w:val="FootnoteText"/>
      </w:pPr>
      <w:r>
        <w:rPr>
          <w:rStyle w:val="FootnoteReference"/>
        </w:rPr>
        <w:footnoteRef/>
      </w:r>
      <w:r>
        <w:t xml:space="preserve"> </w:t>
      </w:r>
      <w:r w:rsidRPr="00E406FC">
        <w:rPr>
          <w:rFonts w:ascii="Times New Roman" w:eastAsia="Arial Unicode MS" w:hAnsi="Times New Roman" w:cs="Times New Roman"/>
        </w:rPr>
        <w:t>R.N.F. </w:t>
      </w:r>
      <w:proofErr w:type="spellStart"/>
      <w:r w:rsidRPr="00E406FC">
        <w:rPr>
          <w:rFonts w:ascii="Times New Roman" w:eastAsia="Arial Unicode MS" w:hAnsi="Times New Roman" w:cs="Times New Roman"/>
        </w:rPr>
        <w:t>Zuidgeest</w:t>
      </w:r>
      <w:proofErr w:type="spellEnd"/>
      <w:r w:rsidRPr="00E406FC">
        <w:rPr>
          <w:rFonts w:ascii="Times New Roman" w:eastAsia="Arial Unicode MS" w:hAnsi="Times New Roman" w:cs="Times New Roman"/>
        </w:rPr>
        <w:t xml:space="preserve">, </w:t>
      </w:r>
      <w:r w:rsidRPr="00E406FC">
        <w:rPr>
          <w:rFonts w:ascii="Times New Roman" w:eastAsia="Arial Unicode MS" w:hAnsi="Times New Roman" w:cs="Times New Roman"/>
          <w:bCs/>
        </w:rPr>
        <w:t>Flexibel </w:t>
      </w:r>
      <w:proofErr w:type="spellStart"/>
      <w:r w:rsidRPr="00E406FC">
        <w:rPr>
          <w:rFonts w:ascii="Times New Roman" w:eastAsia="Arial Unicode MS" w:hAnsi="Times New Roman" w:cs="Times New Roman"/>
          <w:bCs/>
        </w:rPr>
        <w:t>bv-recht</w:t>
      </w:r>
      <w:proofErr w:type="spellEnd"/>
      <w:r w:rsidRPr="00E406FC">
        <w:rPr>
          <w:rFonts w:ascii="Times New Roman" w:eastAsia="Arial Unicode MS" w:hAnsi="Times New Roman" w:cs="Times New Roman"/>
          <w:bCs/>
        </w:rPr>
        <w:t xml:space="preserve"> en "verbondenheid" in het belastingrecht: buigen of barsten?, </w:t>
      </w:r>
      <w:r w:rsidRPr="00C87304">
        <w:rPr>
          <w:rFonts w:ascii="Times New Roman" w:eastAsia="Arial Unicode MS" w:hAnsi="Times New Roman" w:cs="Times New Roman"/>
          <w:i/>
        </w:rPr>
        <w:t>WFR</w:t>
      </w:r>
      <w:r w:rsidRPr="00E406FC">
        <w:rPr>
          <w:rFonts w:ascii="Times New Roman" w:eastAsia="Arial Unicode MS" w:hAnsi="Times New Roman" w:cs="Times New Roman"/>
        </w:rPr>
        <w:t xml:space="preserve"> 2007/1162.</w:t>
      </w:r>
    </w:p>
  </w:footnote>
  <w:footnote w:id="72">
    <w:p w:rsidR="00C93ACE" w:rsidRPr="00774458" w:rsidRDefault="00C93ACE" w:rsidP="00774458">
      <w:pPr>
        <w:jc w:val="both"/>
        <w:rPr>
          <w:rFonts w:ascii="Times New Roman" w:hAnsi="Times New Roman" w:cs="Times New Roman"/>
          <w:sz w:val="20"/>
          <w:szCs w:val="20"/>
          <w:lang w:eastAsia="nl-NL"/>
        </w:rPr>
      </w:pPr>
      <w:r w:rsidRPr="00D814EF">
        <w:rPr>
          <w:rStyle w:val="FootnoteReference"/>
          <w:rFonts w:ascii="Times New Roman" w:hAnsi="Times New Roman"/>
        </w:rPr>
        <w:footnoteRef/>
      </w:r>
      <w:r w:rsidRPr="00D814EF">
        <w:rPr>
          <w:rFonts w:ascii="Times New Roman" w:hAnsi="Times New Roman" w:cs="Times New Roman"/>
        </w:rPr>
        <w:t xml:space="preserve"> </w:t>
      </w:r>
      <w:r w:rsidRPr="0036787C">
        <w:rPr>
          <w:rFonts w:ascii="Times New Roman" w:hAnsi="Times New Roman" w:cs="Times New Roman"/>
          <w:sz w:val="20"/>
          <w:szCs w:val="20"/>
          <w:lang w:eastAsia="nl-NL"/>
        </w:rPr>
        <w:t xml:space="preserve">Conclusie van A-G </w:t>
      </w:r>
      <w:proofErr w:type="spellStart"/>
      <w:r w:rsidRPr="0036787C">
        <w:rPr>
          <w:rFonts w:ascii="Times New Roman" w:hAnsi="Times New Roman" w:cs="Times New Roman"/>
          <w:sz w:val="20"/>
          <w:szCs w:val="20"/>
          <w:lang w:eastAsia="nl-NL"/>
        </w:rPr>
        <w:t>Wattel</w:t>
      </w:r>
      <w:proofErr w:type="spellEnd"/>
      <w:r w:rsidRPr="0036787C">
        <w:rPr>
          <w:rFonts w:ascii="Times New Roman" w:hAnsi="Times New Roman" w:cs="Times New Roman"/>
          <w:sz w:val="20"/>
          <w:szCs w:val="20"/>
          <w:lang w:eastAsia="nl-NL"/>
        </w:rPr>
        <w:t xml:space="preserve"> </w:t>
      </w:r>
      <w:r>
        <w:rPr>
          <w:rFonts w:ascii="Times New Roman" w:hAnsi="Times New Roman" w:cs="Times New Roman"/>
          <w:sz w:val="20"/>
          <w:szCs w:val="20"/>
          <w:lang w:eastAsia="nl-NL"/>
        </w:rPr>
        <w:t>bij</w:t>
      </w:r>
      <w:r w:rsidRPr="0036787C">
        <w:rPr>
          <w:rFonts w:ascii="Times New Roman" w:hAnsi="Times New Roman" w:cs="Times New Roman"/>
          <w:sz w:val="20"/>
          <w:szCs w:val="20"/>
          <w:lang w:eastAsia="nl-NL"/>
        </w:rPr>
        <w:t xml:space="preserve"> HR 5 februari 2010, nr. 08/04451, </w:t>
      </w:r>
      <w:r w:rsidRPr="00B574A9">
        <w:rPr>
          <w:rFonts w:ascii="Times New Roman" w:hAnsi="Times New Roman" w:cs="Times New Roman"/>
          <w:i/>
          <w:sz w:val="20"/>
          <w:szCs w:val="20"/>
          <w:lang w:eastAsia="nl-NL"/>
        </w:rPr>
        <w:t>BNB</w:t>
      </w:r>
      <w:r w:rsidRPr="0036787C">
        <w:rPr>
          <w:rFonts w:ascii="Times New Roman" w:hAnsi="Times New Roman" w:cs="Times New Roman"/>
          <w:sz w:val="20"/>
          <w:szCs w:val="20"/>
          <w:lang w:eastAsia="nl-NL"/>
        </w:rPr>
        <w:t xml:space="preserve"> 2010/148.</w:t>
      </w:r>
    </w:p>
  </w:footnote>
  <w:footnote w:id="73">
    <w:p w:rsidR="00C93ACE" w:rsidRDefault="00C93ACE" w:rsidP="00940C49">
      <w:pPr>
        <w:pStyle w:val="FootnoteText"/>
      </w:pPr>
      <w:r>
        <w:rPr>
          <w:rStyle w:val="FootnoteReference"/>
        </w:rPr>
        <w:footnoteRef/>
      </w:r>
      <w:r>
        <w:t xml:space="preserve"> </w:t>
      </w:r>
      <w:r w:rsidRPr="00255BB9">
        <w:rPr>
          <w:rFonts w:ascii="Times New Roman" w:hAnsi="Times New Roman" w:cs="Times New Roman"/>
          <w:color w:val="000000"/>
        </w:rPr>
        <w:t>Hof Arnhem 17 juni 1998, nr. 96/1455, V</w:t>
      </w:r>
      <w:r w:rsidRPr="00255BB9">
        <w:rPr>
          <w:rFonts w:ascii="Times New Roman" w:hAnsi="Times New Roman" w:cs="Times New Roman"/>
          <w:color w:val="000000"/>
        </w:rPr>
        <w:noBreakHyphen/>
        <w:t>N 1998/57.14.</w:t>
      </w:r>
    </w:p>
  </w:footnote>
  <w:footnote w:id="74">
    <w:p w:rsidR="00C93ACE" w:rsidRDefault="00C93ACE" w:rsidP="00940C49">
      <w:pPr>
        <w:pStyle w:val="FootnoteText"/>
      </w:pPr>
      <w:r>
        <w:rPr>
          <w:rStyle w:val="FootnoteReference"/>
        </w:rPr>
        <w:footnoteRef/>
      </w:r>
      <w:r>
        <w:t xml:space="preserve"> </w:t>
      </w:r>
      <w:r w:rsidRPr="008336FD">
        <w:rPr>
          <w:rFonts w:ascii="Times New Roman" w:hAnsi="Times New Roman" w:cs="Times New Roman"/>
        </w:rPr>
        <w:t xml:space="preserve">A. Rozendal, </w:t>
      </w:r>
      <w:r w:rsidRPr="008336FD">
        <w:rPr>
          <w:rFonts w:ascii="Times New Roman" w:hAnsi="Times New Roman" w:cs="Times New Roman"/>
          <w:bCs/>
        </w:rPr>
        <w:t xml:space="preserve">Soortaandelen en het onduidelijke begrip ‘verbonden lichaam’, </w:t>
      </w:r>
      <w:r w:rsidRPr="00DE06A2">
        <w:rPr>
          <w:rFonts w:ascii="Times New Roman" w:hAnsi="Times New Roman" w:cs="Times New Roman"/>
          <w:bCs/>
          <w:i/>
        </w:rPr>
        <w:t>Maandblad Belasting Beschouwingen</w:t>
      </w:r>
      <w:r w:rsidRPr="008336FD">
        <w:rPr>
          <w:rFonts w:ascii="Times New Roman" w:hAnsi="Times New Roman" w:cs="Times New Roman"/>
          <w:bCs/>
        </w:rPr>
        <w:t xml:space="preserve"> 2008/10.</w:t>
      </w:r>
      <w:r w:rsidRPr="008336FD">
        <w:rPr>
          <w:rFonts w:ascii="Times New Roman" w:hAnsi="Times New Roman" w:cs="Times New Roman"/>
        </w:rPr>
        <w:t> </w:t>
      </w:r>
    </w:p>
  </w:footnote>
  <w:footnote w:id="75">
    <w:p w:rsidR="00C93ACE" w:rsidRDefault="00C93ACE" w:rsidP="00940C49">
      <w:pPr>
        <w:pStyle w:val="FootnoteText"/>
      </w:pPr>
      <w:r>
        <w:rPr>
          <w:rStyle w:val="FootnoteReference"/>
        </w:rPr>
        <w:footnoteRef/>
      </w:r>
      <w:r>
        <w:t xml:space="preserve"> </w:t>
      </w:r>
      <w:r w:rsidRPr="00165DDB">
        <w:rPr>
          <w:rFonts w:ascii="Times New Roman" w:hAnsi="Times New Roman" w:cs="Times New Roman"/>
        </w:rPr>
        <w:t xml:space="preserve">Rechtbank Haarlem 7 februari 2008, nr. 07/04201, </w:t>
      </w:r>
      <w:r w:rsidRPr="00DE06A2">
        <w:rPr>
          <w:rFonts w:ascii="Times New Roman" w:hAnsi="Times New Roman" w:cs="Times New Roman"/>
          <w:i/>
        </w:rPr>
        <w:t>NTFR</w:t>
      </w:r>
      <w:r w:rsidRPr="00165DDB">
        <w:rPr>
          <w:rFonts w:ascii="Times New Roman" w:hAnsi="Times New Roman" w:cs="Times New Roman"/>
        </w:rPr>
        <w:t xml:space="preserve"> 2008/439, V</w:t>
      </w:r>
      <w:r w:rsidRPr="00165DDB">
        <w:rPr>
          <w:rFonts w:ascii="Times New Roman" w:hAnsi="Times New Roman" w:cs="Times New Roman"/>
        </w:rPr>
        <w:noBreakHyphen/>
        <w:t>N 2008/34.16</w:t>
      </w:r>
      <w:r>
        <w:rPr>
          <w:rFonts w:ascii="Times New Roman" w:hAnsi="Times New Roman" w:cs="Times New Roman"/>
        </w:rPr>
        <w:t>.</w:t>
      </w:r>
    </w:p>
  </w:footnote>
  <w:footnote w:id="76">
    <w:p w:rsidR="00C93ACE" w:rsidRDefault="00C93ACE" w:rsidP="00940C49">
      <w:pPr>
        <w:pStyle w:val="FootnoteText"/>
      </w:pPr>
      <w:r>
        <w:rPr>
          <w:rStyle w:val="FootnoteReference"/>
        </w:rPr>
        <w:footnoteRef/>
      </w:r>
      <w:r>
        <w:t xml:space="preserve"> </w:t>
      </w:r>
      <w:hyperlink r:id="rId4" w:history="1">
        <w:r w:rsidRPr="00DE06A2">
          <w:rPr>
            <w:rStyle w:val="Hyperlink"/>
            <w:rFonts w:ascii="Times New Roman" w:hAnsi="Times New Roman" w:cs="Times New Roman"/>
            <w:color w:val="auto"/>
            <w:u w:val="none"/>
          </w:rPr>
          <w:t>HR 8 april 2011, nr. 10/00651</w:t>
        </w:r>
      </w:hyperlink>
      <w:r w:rsidRPr="00DE06A2">
        <w:rPr>
          <w:rStyle w:val="apple-style-span"/>
          <w:rFonts w:ascii="Times New Roman" w:hAnsi="Times New Roman"/>
        </w:rPr>
        <w:t>.</w:t>
      </w:r>
      <w:r>
        <w:rPr>
          <w:rStyle w:val="apple-converted-space"/>
          <w:rFonts w:ascii="Arial" w:hAnsi="Arial" w:cs="Arial"/>
          <w:color w:val="000000"/>
          <w:sz w:val="17"/>
          <w:szCs w:val="17"/>
        </w:rPr>
        <w:t> </w:t>
      </w:r>
    </w:p>
  </w:footnote>
  <w:footnote w:id="77">
    <w:p w:rsidR="00C93ACE" w:rsidRPr="00DE06A2" w:rsidRDefault="00C93ACE" w:rsidP="00940C49">
      <w:pPr>
        <w:pStyle w:val="FootnoteText"/>
        <w:rPr>
          <w:rFonts w:ascii="Times New Roman" w:hAnsi="Times New Roman" w:cs="Times New Roman"/>
        </w:rPr>
      </w:pPr>
      <w:r>
        <w:rPr>
          <w:rStyle w:val="FootnoteReference"/>
        </w:rPr>
        <w:footnoteRef/>
      </w:r>
      <w:r>
        <w:t xml:space="preserve"> </w:t>
      </w:r>
      <w:hyperlink r:id="rId5" w:history="1">
        <w:r w:rsidRPr="00DE06A2">
          <w:rPr>
            <w:rStyle w:val="Hyperlink"/>
            <w:rFonts w:ascii="Times New Roman" w:hAnsi="Times New Roman" w:cs="Times New Roman"/>
            <w:color w:val="auto"/>
            <w:u w:val="none"/>
          </w:rPr>
          <w:t>Rechtbank Arnhem 26 januari 2010, nr. AWB 08/03331</w:t>
        </w:r>
      </w:hyperlink>
      <w:r w:rsidRPr="00DE06A2">
        <w:rPr>
          <w:rStyle w:val="apple-style-span"/>
          <w:rFonts w:ascii="Times New Roman" w:hAnsi="Times New Roman"/>
        </w:rPr>
        <w:t>.</w:t>
      </w:r>
      <w:r w:rsidRPr="00DE06A2">
        <w:rPr>
          <w:rStyle w:val="apple-converted-space"/>
          <w:rFonts w:ascii="Times New Roman" w:hAnsi="Times New Roman"/>
          <w:sz w:val="17"/>
          <w:szCs w:val="17"/>
        </w:rPr>
        <w:t> </w:t>
      </w:r>
    </w:p>
  </w:footnote>
  <w:footnote w:id="78">
    <w:p w:rsidR="00C93ACE" w:rsidRDefault="00C93ACE" w:rsidP="00940C49">
      <w:pPr>
        <w:pStyle w:val="FootnoteText"/>
      </w:pPr>
      <w:r>
        <w:rPr>
          <w:rStyle w:val="FootnoteReference"/>
        </w:rPr>
        <w:footnoteRef/>
      </w:r>
      <w:r>
        <w:t xml:space="preserve"> </w:t>
      </w:r>
      <w:hyperlink r:id="rId6" w:history="1">
        <w:r w:rsidRPr="00DE06A2">
          <w:rPr>
            <w:rStyle w:val="Hyperlink"/>
            <w:rFonts w:ascii="Times New Roman" w:hAnsi="Times New Roman" w:cs="Times New Roman"/>
            <w:color w:val="auto"/>
            <w:u w:val="none"/>
          </w:rPr>
          <w:t xml:space="preserve">Conclusie </w:t>
        </w:r>
        <w:r w:rsidRPr="00833EA5">
          <w:rPr>
            <w:rStyle w:val="Hyperlink"/>
            <w:rFonts w:ascii="Times New Roman" w:hAnsi="Times New Roman" w:cs="Times New Roman"/>
            <w:color w:val="auto"/>
            <w:u w:val="none"/>
          </w:rPr>
          <w:t xml:space="preserve">van A-G </w:t>
        </w:r>
        <w:proofErr w:type="spellStart"/>
        <w:r w:rsidRPr="00833EA5">
          <w:rPr>
            <w:rStyle w:val="Hyperlink"/>
            <w:rFonts w:ascii="Times New Roman" w:hAnsi="Times New Roman" w:cs="Times New Roman"/>
            <w:color w:val="auto"/>
            <w:u w:val="none"/>
          </w:rPr>
          <w:t>Wattel</w:t>
        </w:r>
        <w:proofErr w:type="spellEnd"/>
        <w:r w:rsidRPr="00DE06A2">
          <w:rPr>
            <w:rStyle w:val="Hyperlink"/>
            <w:rFonts w:ascii="Times New Roman" w:hAnsi="Times New Roman" w:cs="Times New Roman"/>
            <w:color w:val="auto"/>
            <w:u w:val="none"/>
          </w:rPr>
          <w:t xml:space="preserve"> bij HR nr. 10/00651</w:t>
        </w:r>
      </w:hyperlink>
      <w:r w:rsidRPr="00DE06A2">
        <w:rPr>
          <w:rStyle w:val="apple-style-span"/>
          <w:rFonts w:ascii="Times New Roman" w:hAnsi="Times New Roman"/>
        </w:rPr>
        <w:t>.</w:t>
      </w:r>
      <w:r>
        <w:rPr>
          <w:rStyle w:val="apple-converted-space"/>
          <w:rFonts w:ascii="Arial" w:hAnsi="Arial" w:cs="Arial"/>
          <w:color w:val="000000"/>
          <w:sz w:val="17"/>
          <w:szCs w:val="17"/>
        </w:rPr>
        <w:t> </w:t>
      </w:r>
    </w:p>
  </w:footnote>
  <w:footnote w:id="79">
    <w:p w:rsidR="00C93ACE" w:rsidRPr="003871A3" w:rsidRDefault="00C93ACE" w:rsidP="00940C49">
      <w:pPr>
        <w:pStyle w:val="FootnoteText"/>
        <w:rPr>
          <w:color w:val="C00000"/>
        </w:rPr>
      </w:pPr>
      <w:r>
        <w:rPr>
          <w:rStyle w:val="FootnoteReference"/>
        </w:rPr>
        <w:footnoteRef/>
      </w:r>
      <w:r>
        <w:t xml:space="preserve"> </w:t>
      </w:r>
      <w:r w:rsidRPr="00D841EF">
        <w:rPr>
          <w:rFonts w:ascii="Times New Roman" w:hAnsi="Times New Roman" w:cs="Times New Roman"/>
          <w:i/>
        </w:rPr>
        <w:t>Kamerstukken I</w:t>
      </w:r>
      <w:r>
        <w:rPr>
          <w:rFonts w:ascii="Times New Roman" w:hAnsi="Times New Roman" w:cs="Times New Roman"/>
        </w:rPr>
        <w:t xml:space="preserve"> 2006/07</w:t>
      </w:r>
      <w:r w:rsidRPr="005B53B6">
        <w:rPr>
          <w:rFonts w:ascii="Times New Roman" w:hAnsi="Times New Roman" w:cs="Times New Roman"/>
        </w:rPr>
        <w:t xml:space="preserve">, </w:t>
      </w:r>
      <w:r>
        <w:rPr>
          <w:rFonts w:ascii="Times New Roman" w:hAnsi="Times New Roman" w:cs="Times New Roman"/>
        </w:rPr>
        <w:t>30</w:t>
      </w:r>
      <w:r w:rsidRPr="005B53B6">
        <w:rPr>
          <w:rFonts w:ascii="Times New Roman" w:hAnsi="Times New Roman" w:cs="Times New Roman"/>
        </w:rPr>
        <w:t xml:space="preserve"> </w:t>
      </w:r>
      <w:r>
        <w:rPr>
          <w:rFonts w:ascii="Times New Roman" w:hAnsi="Times New Roman" w:cs="Times New Roman"/>
        </w:rPr>
        <w:t>572</w:t>
      </w:r>
      <w:r w:rsidRPr="003871A3">
        <w:rPr>
          <w:rFonts w:ascii="Times New Roman" w:hAnsi="Times New Roman" w:cs="Times New Roman"/>
          <w:color w:val="C00000"/>
        </w:rPr>
        <w:t xml:space="preserve"> </w:t>
      </w:r>
      <w:r w:rsidRPr="00FC06C7">
        <w:rPr>
          <w:rFonts w:ascii="Times New Roman" w:hAnsi="Times New Roman" w:cs="Times New Roman"/>
        </w:rPr>
        <w:t>C</w:t>
      </w:r>
      <w:r>
        <w:rPr>
          <w:rFonts w:ascii="Times New Roman" w:hAnsi="Times New Roman" w:cs="Times New Roman"/>
        </w:rPr>
        <w:t>, nr. 3</w:t>
      </w:r>
      <w:r w:rsidRPr="005B53B6">
        <w:rPr>
          <w:rFonts w:ascii="Times New Roman" w:hAnsi="Times New Roman" w:cs="Times New Roman"/>
        </w:rPr>
        <w:t xml:space="preserve">, p. </w:t>
      </w:r>
      <w:r>
        <w:rPr>
          <w:rFonts w:ascii="Times New Roman" w:hAnsi="Times New Roman" w:cs="Times New Roman"/>
        </w:rPr>
        <w:t>8.</w:t>
      </w:r>
      <w:r>
        <w:rPr>
          <w:rFonts w:ascii="Times New Roman" w:hAnsi="Times New Roman" w:cs="Times New Roman"/>
          <w:color w:val="C00000"/>
        </w:rPr>
        <w:t xml:space="preserve"> </w:t>
      </w:r>
    </w:p>
  </w:footnote>
  <w:footnote w:id="80">
    <w:p w:rsidR="00C93ACE" w:rsidRDefault="00C93ACE" w:rsidP="00940C49">
      <w:pPr>
        <w:pStyle w:val="FootnoteText"/>
      </w:pPr>
      <w:r>
        <w:rPr>
          <w:rStyle w:val="FootnoteReference"/>
        </w:rPr>
        <w:footnoteRef/>
      </w:r>
      <w:r>
        <w:t xml:space="preserve"> </w:t>
      </w:r>
      <w:hyperlink r:id="rId7" w:history="1">
        <w:r w:rsidRPr="00F85AB1">
          <w:rPr>
            <w:rStyle w:val="Hyperlink"/>
            <w:rFonts w:ascii="Times New Roman" w:hAnsi="Times New Roman" w:cs="Times New Roman"/>
            <w:color w:val="auto"/>
            <w:u w:val="none"/>
          </w:rPr>
          <w:t>HR 22 november 2002, nr. 36.272</w:t>
        </w:r>
      </w:hyperlink>
      <w:r>
        <w:rPr>
          <w:rStyle w:val="apple-style-span"/>
          <w:rFonts w:ascii="Times New Roman" w:hAnsi="Times New Roman"/>
        </w:rPr>
        <w:t>.</w:t>
      </w:r>
      <w:r>
        <w:rPr>
          <w:rStyle w:val="apple-converted-space"/>
          <w:rFonts w:ascii="Arial" w:hAnsi="Arial" w:cs="Arial"/>
          <w:color w:val="000000"/>
          <w:sz w:val="15"/>
          <w:szCs w:val="15"/>
        </w:rPr>
        <w:t> </w:t>
      </w:r>
    </w:p>
  </w:footnote>
  <w:footnote w:id="81">
    <w:p w:rsidR="00C93ACE" w:rsidRDefault="00C93ACE" w:rsidP="00940C49">
      <w:pPr>
        <w:pStyle w:val="FootnoteText"/>
      </w:pPr>
      <w:r>
        <w:rPr>
          <w:rStyle w:val="FootnoteReference"/>
        </w:rPr>
        <w:footnoteRef/>
      </w:r>
      <w:r>
        <w:t xml:space="preserve"> </w:t>
      </w:r>
      <w:hyperlink r:id="rId8" w:history="1">
        <w:r w:rsidRPr="00E26CE6">
          <w:rPr>
            <w:rFonts w:ascii="Times New Roman" w:hAnsi="Times New Roman" w:cs="Times New Roman"/>
          </w:rPr>
          <w:t>Besluit van 1 februari 2006, nr. CPP2005/2702M</w:t>
        </w:r>
      </w:hyperlink>
      <w:r w:rsidRPr="00E26CE6">
        <w:rPr>
          <w:rFonts w:ascii="Times New Roman" w:hAnsi="Times New Roman" w:cs="Times New Roman"/>
        </w:rPr>
        <w:t xml:space="preserve">, </w:t>
      </w:r>
      <w:r w:rsidRPr="00D841EF">
        <w:rPr>
          <w:rFonts w:ascii="Times New Roman" w:hAnsi="Times New Roman" w:cs="Times New Roman"/>
          <w:i/>
        </w:rPr>
        <w:t>NTFR</w:t>
      </w:r>
      <w:r w:rsidRPr="00E26CE6">
        <w:rPr>
          <w:rFonts w:ascii="Times New Roman" w:hAnsi="Times New Roman" w:cs="Times New Roman"/>
        </w:rPr>
        <w:t xml:space="preserve"> 2006/254.</w:t>
      </w:r>
    </w:p>
  </w:footnote>
  <w:footnote w:id="82">
    <w:p w:rsidR="00C93ACE" w:rsidRPr="00EF690F" w:rsidRDefault="00C93ACE" w:rsidP="00940C49">
      <w:pPr>
        <w:pStyle w:val="FootnoteText"/>
        <w:rPr>
          <w:rFonts w:ascii="Times New Roman" w:hAnsi="Times New Roman" w:cs="Times New Roman"/>
        </w:rPr>
      </w:pPr>
      <w:r>
        <w:rPr>
          <w:rStyle w:val="FootnoteReference"/>
        </w:rPr>
        <w:footnoteRef/>
      </w:r>
      <w:r>
        <w:t xml:space="preserve"> </w:t>
      </w:r>
      <w:r w:rsidRPr="00EF690F">
        <w:rPr>
          <w:rFonts w:ascii="Times New Roman" w:hAnsi="Times New Roman" w:cs="Times New Roman"/>
          <w:color w:val="000000"/>
        </w:rPr>
        <w:t>Kamerstukken II, 2009-2010, 32 426, nr. 3, p. 9.</w:t>
      </w:r>
    </w:p>
  </w:footnote>
  <w:footnote w:id="83">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84">
    <w:p w:rsidR="00C93ACE" w:rsidRDefault="00C93ACE" w:rsidP="00940C49">
      <w:pPr>
        <w:pStyle w:val="FootnoteText"/>
      </w:pPr>
      <w:r>
        <w:rPr>
          <w:rStyle w:val="FootnoteReference"/>
        </w:rPr>
        <w:footnoteRef/>
      </w:r>
      <w:r>
        <w:t xml:space="preserve"> </w:t>
      </w:r>
      <w:r w:rsidRPr="00E34A3A">
        <w:rPr>
          <w:rFonts w:ascii="Times New Roman" w:hAnsi="Times New Roman" w:cs="Times New Roman"/>
        </w:rPr>
        <w:t>A.J.M. </w:t>
      </w:r>
      <w:proofErr w:type="spellStart"/>
      <w:r w:rsidRPr="00E34A3A">
        <w:rPr>
          <w:rFonts w:ascii="Times New Roman" w:hAnsi="Times New Roman" w:cs="Times New Roman"/>
        </w:rPr>
        <w:t>Arends</w:t>
      </w:r>
      <w:proofErr w:type="spellEnd"/>
      <w:r w:rsidRPr="00E34A3A">
        <w:rPr>
          <w:rFonts w:ascii="Times New Roman" w:hAnsi="Times New Roman" w:cs="Times New Roman"/>
        </w:rPr>
        <w:t xml:space="preserve">, </w:t>
      </w:r>
      <w:proofErr w:type="spellStart"/>
      <w:r w:rsidRPr="00E34A3A">
        <w:rPr>
          <w:rFonts w:ascii="Times New Roman" w:hAnsi="Times New Roman" w:cs="Times New Roman"/>
          <w:bCs/>
        </w:rPr>
        <w:t>Winstrechtloze</w:t>
      </w:r>
      <w:proofErr w:type="spellEnd"/>
      <w:r w:rsidRPr="00E34A3A">
        <w:rPr>
          <w:rFonts w:ascii="Times New Roman" w:hAnsi="Times New Roman" w:cs="Times New Roman"/>
          <w:bCs/>
        </w:rPr>
        <w:t xml:space="preserve"> aandelen: hoe deze fiscaal te behandelen?, </w:t>
      </w:r>
      <w:r w:rsidRPr="00D841EF">
        <w:rPr>
          <w:rFonts w:ascii="Times New Roman" w:hAnsi="Times New Roman" w:cs="Times New Roman"/>
          <w:bCs/>
          <w:i/>
        </w:rPr>
        <w:t>NTFR</w:t>
      </w:r>
      <w:r>
        <w:rPr>
          <w:rFonts w:ascii="Times New Roman" w:hAnsi="Times New Roman" w:cs="Times New Roman"/>
          <w:bCs/>
        </w:rPr>
        <w:t xml:space="preserve"> 2010/</w:t>
      </w:r>
      <w:r w:rsidRPr="00E34A3A">
        <w:rPr>
          <w:rFonts w:ascii="Times New Roman" w:hAnsi="Times New Roman" w:cs="Times New Roman"/>
          <w:bCs/>
        </w:rPr>
        <w:t>2656.</w:t>
      </w:r>
    </w:p>
  </w:footnote>
  <w:footnote w:id="85">
    <w:p w:rsidR="00C93ACE" w:rsidRDefault="00C93ACE" w:rsidP="00940C49">
      <w:pPr>
        <w:pStyle w:val="FootnoteText"/>
      </w:pPr>
      <w:r>
        <w:rPr>
          <w:rStyle w:val="FootnoteReference"/>
        </w:rPr>
        <w:footnoteRef/>
      </w:r>
      <w:r>
        <w:t xml:space="preserve"> </w:t>
      </w:r>
      <w:r w:rsidRPr="00110402">
        <w:rPr>
          <w:rFonts w:ascii="Times New Roman" w:hAnsi="Times New Roman" w:cs="Times New Roman"/>
          <w:color w:val="000000"/>
        </w:rPr>
        <w:t xml:space="preserve">NDFR, commentaar S.H. </w:t>
      </w:r>
      <w:proofErr w:type="spellStart"/>
      <w:r w:rsidRPr="00110402">
        <w:rPr>
          <w:rFonts w:ascii="Times New Roman" w:hAnsi="Times New Roman" w:cs="Times New Roman"/>
          <w:color w:val="000000"/>
        </w:rPr>
        <w:t>Leensma</w:t>
      </w:r>
      <w:proofErr w:type="spellEnd"/>
      <w:r w:rsidRPr="00110402">
        <w:rPr>
          <w:rFonts w:ascii="Times New Roman" w:hAnsi="Times New Roman" w:cs="Times New Roman"/>
          <w:color w:val="000000"/>
        </w:rPr>
        <w:t xml:space="preserve"> aantekening 3.3.1. op art. 13 VPB 1969 vanaf 2007 en Vakstudie </w:t>
      </w:r>
      <w:proofErr w:type="spellStart"/>
      <w:r w:rsidRPr="00110402">
        <w:rPr>
          <w:rFonts w:ascii="Times New Roman" w:hAnsi="Times New Roman" w:cs="Times New Roman"/>
          <w:color w:val="000000"/>
        </w:rPr>
        <w:t>Vpb</w:t>
      </w:r>
      <w:proofErr w:type="spellEnd"/>
      <w:r w:rsidRPr="00110402">
        <w:rPr>
          <w:rFonts w:ascii="Times New Roman" w:hAnsi="Times New Roman" w:cs="Times New Roman"/>
          <w:color w:val="000000"/>
        </w:rPr>
        <w:t>, aantekening 4.4.9. op art. 13 VPB 1969 vanaf 2007</w:t>
      </w:r>
    </w:p>
  </w:footnote>
  <w:footnote w:id="86">
    <w:p w:rsidR="00C93ACE" w:rsidRDefault="00C93ACE" w:rsidP="00940C49">
      <w:pPr>
        <w:pStyle w:val="FootnoteText"/>
      </w:pPr>
      <w:r>
        <w:rPr>
          <w:rStyle w:val="FootnoteReference"/>
        </w:rPr>
        <w:footnoteRef/>
      </w:r>
      <w:r>
        <w:t xml:space="preserve"> </w:t>
      </w:r>
      <w:r w:rsidRPr="00A051B6">
        <w:rPr>
          <w:rFonts w:ascii="Times New Roman" w:eastAsia="Arial Unicode MS" w:hAnsi="Times New Roman" w:cs="Times New Roman"/>
        </w:rPr>
        <w:t>R. </w:t>
      </w:r>
      <w:proofErr w:type="spellStart"/>
      <w:r w:rsidRPr="00A051B6">
        <w:rPr>
          <w:rFonts w:ascii="Times New Roman" w:eastAsia="Arial Unicode MS" w:hAnsi="Times New Roman" w:cs="Times New Roman"/>
        </w:rPr>
        <w:t>Hiemstra</w:t>
      </w:r>
      <w:proofErr w:type="spellEnd"/>
      <w:r w:rsidRPr="00A051B6">
        <w:rPr>
          <w:rFonts w:ascii="Times New Roman" w:eastAsia="Arial Unicode MS" w:hAnsi="Times New Roman" w:cs="Times New Roman"/>
        </w:rPr>
        <w:t xml:space="preserve">, </w:t>
      </w:r>
      <w:r w:rsidRPr="00A051B6">
        <w:rPr>
          <w:rFonts w:ascii="Times New Roman" w:eastAsia="Arial Unicode MS" w:hAnsi="Times New Roman" w:cs="Times New Roman"/>
          <w:bCs/>
        </w:rPr>
        <w:t xml:space="preserve">De </w:t>
      </w:r>
      <w:proofErr w:type="spellStart"/>
      <w:r w:rsidRPr="00A051B6">
        <w:rPr>
          <w:rFonts w:ascii="Times New Roman" w:eastAsia="Arial Unicode MS" w:hAnsi="Times New Roman" w:cs="Times New Roman"/>
          <w:bCs/>
        </w:rPr>
        <w:t>Falcons-doctrine</w:t>
      </w:r>
      <w:proofErr w:type="spellEnd"/>
      <w:proofErr w:type="gramStart"/>
      <w:r w:rsidRPr="00A051B6">
        <w:rPr>
          <w:rFonts w:ascii="Times New Roman" w:eastAsia="Arial Unicode MS" w:hAnsi="Times New Roman" w:cs="Times New Roman"/>
          <w:bCs/>
        </w:rPr>
        <w:t>:het</w:t>
      </w:r>
      <w:proofErr w:type="gramEnd"/>
      <w:r w:rsidRPr="00A051B6">
        <w:rPr>
          <w:rFonts w:ascii="Times New Roman" w:eastAsia="Arial Unicode MS" w:hAnsi="Times New Roman" w:cs="Times New Roman"/>
          <w:bCs/>
        </w:rPr>
        <w:t xml:space="preserve"> gesplitste belang </w:t>
      </w:r>
      <w:proofErr w:type="spellStart"/>
      <w:r w:rsidRPr="00A051B6">
        <w:rPr>
          <w:rFonts w:ascii="Times New Roman" w:eastAsia="Arial Unicode MS" w:hAnsi="Times New Roman" w:cs="Times New Roman"/>
          <w:bCs/>
        </w:rPr>
        <w:t>bijde</w:t>
      </w:r>
      <w:proofErr w:type="spellEnd"/>
      <w:r w:rsidRPr="00A051B6">
        <w:rPr>
          <w:rFonts w:ascii="Times New Roman" w:eastAsia="Arial Unicode MS" w:hAnsi="Times New Roman" w:cs="Times New Roman"/>
          <w:bCs/>
        </w:rPr>
        <w:t xml:space="preserve"> voordelen uit hoofde vaneen deelneming, </w:t>
      </w:r>
      <w:r w:rsidRPr="00972510">
        <w:rPr>
          <w:rFonts w:ascii="Times New Roman" w:eastAsia="Arial Unicode MS" w:hAnsi="Times New Roman" w:cs="Times New Roman"/>
          <w:i/>
        </w:rPr>
        <w:t>WFR</w:t>
      </w:r>
      <w:r w:rsidRPr="00A051B6">
        <w:rPr>
          <w:rFonts w:ascii="Times New Roman" w:eastAsia="Arial Unicode MS" w:hAnsi="Times New Roman" w:cs="Times New Roman"/>
        </w:rPr>
        <w:t xml:space="preserve"> 2010/804.</w:t>
      </w:r>
    </w:p>
  </w:footnote>
  <w:footnote w:id="87">
    <w:p w:rsidR="00C93ACE" w:rsidRDefault="00C93ACE" w:rsidP="00940C49">
      <w:pPr>
        <w:pStyle w:val="FootnoteText"/>
      </w:pPr>
      <w:r>
        <w:rPr>
          <w:rStyle w:val="FootnoteReference"/>
        </w:rPr>
        <w:footnoteRef/>
      </w:r>
      <w:r>
        <w:t xml:space="preserve"> </w:t>
      </w:r>
      <w:r w:rsidRPr="00FF19FE">
        <w:rPr>
          <w:rFonts w:ascii="Times New Roman" w:hAnsi="Times New Roman" w:cs="Times New Roman"/>
          <w:color w:val="000000"/>
        </w:rPr>
        <w:t>Q.W.J.C.H. Kok, </w:t>
      </w:r>
      <w:r w:rsidRPr="00FF19FE">
        <w:rPr>
          <w:rFonts w:ascii="Times New Roman" w:hAnsi="Times New Roman" w:cs="Times New Roman"/>
          <w:i/>
          <w:iCs/>
          <w:color w:val="000000"/>
        </w:rPr>
        <w:t>De fiscale eenheid in de vennootschapsbelasting</w:t>
      </w:r>
      <w:r w:rsidRPr="00FF19FE">
        <w:rPr>
          <w:rFonts w:ascii="Times New Roman" w:hAnsi="Times New Roman" w:cs="Times New Roman"/>
          <w:color w:val="000000"/>
        </w:rPr>
        <w:t xml:space="preserve">, Fiscaalwetenschappelijke reeks, </w:t>
      </w:r>
      <w:proofErr w:type="spellStart"/>
      <w:r w:rsidRPr="00FF19FE">
        <w:rPr>
          <w:rFonts w:ascii="Times New Roman" w:hAnsi="Times New Roman" w:cs="Times New Roman"/>
          <w:color w:val="000000"/>
        </w:rPr>
        <w:t>Sdu</w:t>
      </w:r>
      <w:proofErr w:type="spellEnd"/>
      <w:r w:rsidRPr="00FF19FE">
        <w:rPr>
          <w:rFonts w:ascii="Times New Roman" w:hAnsi="Times New Roman" w:cs="Times New Roman"/>
          <w:color w:val="000000"/>
        </w:rPr>
        <w:t xml:space="preserve"> Fiscale &amp; Financiële Uitgevers, Amersfoort 2005</w:t>
      </w:r>
      <w:r>
        <w:rPr>
          <w:rFonts w:ascii="Times New Roman" w:hAnsi="Times New Roman" w:cs="Times New Roman"/>
          <w:color w:val="000000"/>
        </w:rPr>
        <w:t>.</w:t>
      </w:r>
    </w:p>
  </w:footnote>
  <w:footnote w:id="88">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89">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90">
    <w:p w:rsidR="00C93ACE" w:rsidRDefault="00C93ACE" w:rsidP="00940C49">
      <w:pPr>
        <w:pStyle w:val="FootnoteText"/>
      </w:pPr>
      <w:r>
        <w:rPr>
          <w:rStyle w:val="FootnoteReference"/>
        </w:rPr>
        <w:footnoteRef/>
      </w:r>
      <w:r>
        <w:t xml:space="preserve"> </w:t>
      </w:r>
      <w:r w:rsidRPr="00BA274E">
        <w:rPr>
          <w:rFonts w:ascii="Times New Roman" w:hAnsi="Times New Roman" w:cs="Times New Roman"/>
        </w:rPr>
        <w:t xml:space="preserve">G.J.W. </w:t>
      </w:r>
      <w:proofErr w:type="spellStart"/>
      <w:r w:rsidRPr="00BA274E">
        <w:rPr>
          <w:rFonts w:ascii="Times New Roman" w:hAnsi="Times New Roman" w:cs="Times New Roman"/>
        </w:rPr>
        <w:t>Kinnegim</w:t>
      </w:r>
      <w:proofErr w:type="spellEnd"/>
      <w:r w:rsidRPr="00BA274E">
        <w:rPr>
          <w:rFonts w:ascii="Times New Roman" w:hAnsi="Times New Roman" w:cs="Times New Roman"/>
        </w:rPr>
        <w:t>,</w:t>
      </w:r>
      <w:r>
        <w:t xml:space="preserve"> “De </w:t>
      </w:r>
      <w:proofErr w:type="spellStart"/>
      <w:r>
        <w:t>flex-BV</w:t>
      </w:r>
      <w:proofErr w:type="spellEnd"/>
      <w:r>
        <w:t xml:space="preserve"> fiscaal getoetst”, </w:t>
      </w:r>
      <w:r w:rsidRPr="00811C5F">
        <w:rPr>
          <w:i/>
        </w:rPr>
        <w:t>Ondernemingsrecht</w:t>
      </w:r>
      <w:r>
        <w:t xml:space="preserve"> 2007-10/11.</w:t>
      </w:r>
    </w:p>
  </w:footnote>
  <w:footnote w:id="91">
    <w:p w:rsidR="00C93ACE" w:rsidRDefault="00C93ACE" w:rsidP="00940C49">
      <w:pPr>
        <w:pStyle w:val="FootnoteText"/>
      </w:pPr>
      <w:r>
        <w:rPr>
          <w:rStyle w:val="FootnoteReference"/>
        </w:rPr>
        <w:footnoteRef/>
      </w:r>
      <w:r>
        <w:t xml:space="preserve"> </w:t>
      </w:r>
      <w:r w:rsidRPr="00E406FC">
        <w:rPr>
          <w:rFonts w:ascii="Times New Roman" w:eastAsia="Arial Unicode MS" w:hAnsi="Times New Roman" w:cs="Times New Roman"/>
        </w:rPr>
        <w:t>R.N.F. </w:t>
      </w:r>
      <w:proofErr w:type="spellStart"/>
      <w:r w:rsidRPr="00E406FC">
        <w:rPr>
          <w:rFonts w:ascii="Times New Roman" w:eastAsia="Arial Unicode MS" w:hAnsi="Times New Roman" w:cs="Times New Roman"/>
        </w:rPr>
        <w:t>Zuidgeest</w:t>
      </w:r>
      <w:proofErr w:type="spellEnd"/>
      <w:r w:rsidRPr="00E406FC">
        <w:rPr>
          <w:rFonts w:ascii="Times New Roman" w:eastAsia="Arial Unicode MS" w:hAnsi="Times New Roman" w:cs="Times New Roman"/>
        </w:rPr>
        <w:t xml:space="preserve">, </w:t>
      </w:r>
      <w:r w:rsidRPr="00E406FC">
        <w:rPr>
          <w:rFonts w:ascii="Times New Roman" w:eastAsia="Arial Unicode MS" w:hAnsi="Times New Roman" w:cs="Times New Roman"/>
          <w:bCs/>
        </w:rPr>
        <w:t>Flexibel </w:t>
      </w:r>
      <w:proofErr w:type="spellStart"/>
      <w:r w:rsidRPr="00E406FC">
        <w:rPr>
          <w:rFonts w:ascii="Times New Roman" w:eastAsia="Arial Unicode MS" w:hAnsi="Times New Roman" w:cs="Times New Roman"/>
          <w:bCs/>
        </w:rPr>
        <w:t>bv-recht</w:t>
      </w:r>
      <w:proofErr w:type="spellEnd"/>
      <w:r w:rsidRPr="00E406FC">
        <w:rPr>
          <w:rFonts w:ascii="Times New Roman" w:eastAsia="Arial Unicode MS" w:hAnsi="Times New Roman" w:cs="Times New Roman"/>
          <w:bCs/>
        </w:rPr>
        <w:t xml:space="preserve"> en "verbondenheid" in het belastingrecht: buigen of barsten?, </w:t>
      </w:r>
      <w:r w:rsidRPr="00C87304">
        <w:rPr>
          <w:rFonts w:ascii="Times New Roman" w:eastAsia="Arial Unicode MS" w:hAnsi="Times New Roman" w:cs="Times New Roman"/>
          <w:i/>
        </w:rPr>
        <w:t>WFR</w:t>
      </w:r>
      <w:r w:rsidRPr="00E406FC">
        <w:rPr>
          <w:rFonts w:ascii="Times New Roman" w:eastAsia="Arial Unicode MS" w:hAnsi="Times New Roman" w:cs="Times New Roman"/>
        </w:rPr>
        <w:t xml:space="preserve"> 2007/1162.</w:t>
      </w:r>
    </w:p>
  </w:footnote>
  <w:footnote w:id="92">
    <w:p w:rsidR="00C93ACE" w:rsidRDefault="00C93ACE" w:rsidP="00940C49">
      <w:pPr>
        <w:pStyle w:val="FootnoteText"/>
        <w:ind w:right="-284"/>
      </w:pPr>
      <w:r>
        <w:rPr>
          <w:rStyle w:val="FootnoteReference"/>
        </w:rPr>
        <w:footnoteRef/>
      </w:r>
      <w:r>
        <w:t xml:space="preserve">  </w:t>
      </w:r>
      <w:r>
        <w:rPr>
          <w:rFonts w:ascii="Times New Roman" w:eastAsia="Arial Unicode MS" w:hAnsi="Times New Roman" w:cs="Times New Roman"/>
        </w:rPr>
        <w:t>Zie bijvoorbeeld:</w:t>
      </w:r>
      <w:r w:rsidRPr="001D43D8">
        <w:rPr>
          <w:rFonts w:ascii="Times New Roman" w:eastAsia="Arial Unicode MS" w:hAnsi="Times New Roman" w:cs="Times New Roman"/>
        </w:rPr>
        <w:t xml:space="preserve"> A.J.M. </w:t>
      </w:r>
      <w:proofErr w:type="spellStart"/>
      <w:r w:rsidRPr="001D43D8">
        <w:rPr>
          <w:rFonts w:ascii="Times New Roman" w:eastAsia="Arial Unicode MS" w:hAnsi="Times New Roman" w:cs="Times New Roman"/>
        </w:rPr>
        <w:t>Arends</w:t>
      </w:r>
      <w:proofErr w:type="spellEnd"/>
      <w:r w:rsidRPr="001D43D8">
        <w:rPr>
          <w:rFonts w:ascii="Times New Roman" w:eastAsia="Arial Unicode MS" w:hAnsi="Times New Roman" w:cs="Times New Roman"/>
        </w:rPr>
        <w:t xml:space="preserve">, </w:t>
      </w:r>
      <w:proofErr w:type="spellStart"/>
      <w:r w:rsidRPr="001D43D8">
        <w:rPr>
          <w:rFonts w:ascii="Times New Roman" w:eastAsia="Arial Unicode MS" w:hAnsi="Times New Roman" w:cs="Times New Roman"/>
        </w:rPr>
        <w:t>Winstrechtloze</w:t>
      </w:r>
      <w:proofErr w:type="spellEnd"/>
      <w:r w:rsidRPr="001D43D8">
        <w:rPr>
          <w:rFonts w:ascii="Times New Roman" w:eastAsia="Arial Unicode MS" w:hAnsi="Times New Roman" w:cs="Times New Roman"/>
        </w:rPr>
        <w:t> aandelen: hoe </w:t>
      </w:r>
      <w:bookmarkStart w:id="2" w:name="cchit3"/>
      <w:bookmarkEnd w:id="2"/>
      <w:r w:rsidRPr="001D43D8">
        <w:rPr>
          <w:rFonts w:ascii="Times New Roman" w:eastAsia="Arial Unicode MS" w:hAnsi="Times New Roman" w:cs="Times New Roman"/>
        </w:rPr>
        <w:t>deze </w:t>
      </w:r>
      <w:bookmarkStart w:id="3" w:name="cchit4"/>
      <w:bookmarkEnd w:id="3"/>
      <w:r w:rsidRPr="001D43D8">
        <w:rPr>
          <w:rFonts w:ascii="Times New Roman" w:eastAsia="Arial Unicode MS" w:hAnsi="Times New Roman" w:cs="Times New Roman"/>
        </w:rPr>
        <w:t>fiscaal </w:t>
      </w:r>
      <w:bookmarkStart w:id="4" w:name="cchit5"/>
      <w:bookmarkEnd w:id="4"/>
      <w:r w:rsidRPr="001D43D8">
        <w:rPr>
          <w:rFonts w:ascii="Times New Roman" w:eastAsia="Arial Unicode MS" w:hAnsi="Times New Roman" w:cs="Times New Roman"/>
        </w:rPr>
        <w:t>te </w:t>
      </w:r>
      <w:bookmarkStart w:id="5" w:name="cchit6"/>
      <w:bookmarkEnd w:id="5"/>
      <w:r w:rsidRPr="001D43D8">
        <w:rPr>
          <w:rFonts w:ascii="Times New Roman" w:eastAsia="Arial Unicode MS" w:hAnsi="Times New Roman" w:cs="Times New Roman"/>
        </w:rPr>
        <w:t xml:space="preserve">behandelen?, </w:t>
      </w:r>
      <w:r w:rsidRPr="00AE6956">
        <w:rPr>
          <w:rFonts w:ascii="Times New Roman" w:eastAsia="Arial Unicode MS" w:hAnsi="Times New Roman" w:cs="Times New Roman"/>
          <w:i/>
        </w:rPr>
        <w:t>NTFR</w:t>
      </w:r>
      <w:r>
        <w:rPr>
          <w:rFonts w:ascii="Times New Roman" w:eastAsia="Arial Unicode MS" w:hAnsi="Times New Roman" w:cs="Times New Roman"/>
          <w:i/>
        </w:rPr>
        <w:t xml:space="preserve"> </w:t>
      </w:r>
      <w:r w:rsidRPr="00AE6956">
        <w:rPr>
          <w:rFonts w:ascii="Times New Roman" w:eastAsia="Arial Unicode MS" w:hAnsi="Times New Roman" w:cs="Times New Roman"/>
          <w:i/>
        </w:rPr>
        <w:t>2010</w:t>
      </w:r>
      <w:r>
        <w:rPr>
          <w:rFonts w:ascii="Times New Roman" w:eastAsia="Arial Unicode MS" w:hAnsi="Times New Roman" w:cs="Times New Roman"/>
          <w:i/>
        </w:rPr>
        <w:t>/</w:t>
      </w:r>
      <w:r w:rsidRPr="001D43D8">
        <w:rPr>
          <w:rFonts w:ascii="Times New Roman" w:eastAsia="Arial Unicode MS" w:hAnsi="Times New Roman" w:cs="Times New Roman"/>
        </w:rPr>
        <w:t>2656; K.P.E. </w:t>
      </w:r>
      <w:proofErr w:type="spellStart"/>
      <w:r w:rsidRPr="001D43D8">
        <w:rPr>
          <w:rFonts w:ascii="Times New Roman" w:eastAsia="Arial Unicode MS" w:hAnsi="Times New Roman" w:cs="Times New Roman"/>
        </w:rPr>
        <w:t>Stals</w:t>
      </w:r>
      <w:proofErr w:type="spellEnd"/>
      <w:r w:rsidRPr="001D43D8">
        <w:rPr>
          <w:rFonts w:ascii="Times New Roman" w:eastAsia="Arial Unicode MS" w:hAnsi="Times New Roman" w:cs="Times New Roman"/>
        </w:rPr>
        <w:t>, Fiscale aspecten van het wetsvoo</w:t>
      </w:r>
      <w:r>
        <w:rPr>
          <w:rFonts w:ascii="Times New Roman" w:eastAsia="Arial Unicode MS" w:hAnsi="Times New Roman" w:cs="Times New Roman"/>
        </w:rPr>
        <w:t>rstel Flexibilisering bv-recht: ‘van dichte nevelen naar heldere lucht?’</w:t>
      </w:r>
      <w:proofErr w:type="gramStart"/>
      <w:r>
        <w:rPr>
          <w:rFonts w:ascii="Times New Roman" w:eastAsia="Arial Unicode MS" w:hAnsi="Times New Roman" w:cs="Times New Roman"/>
        </w:rPr>
        <w:t>,</w:t>
      </w:r>
      <w:proofErr w:type="gramEnd"/>
      <w:r w:rsidRPr="001D43D8">
        <w:rPr>
          <w:rFonts w:ascii="Times New Roman" w:eastAsia="Arial Unicode MS" w:hAnsi="Times New Roman" w:cs="Times New Roman"/>
        </w:rPr>
        <w:t xml:space="preserve"> </w:t>
      </w:r>
      <w:r w:rsidRPr="00AE6956">
        <w:rPr>
          <w:rFonts w:ascii="Times New Roman" w:eastAsia="Arial Unicode MS" w:hAnsi="Times New Roman" w:cs="Times New Roman"/>
          <w:i/>
        </w:rPr>
        <w:t>Forfaitair</w:t>
      </w:r>
      <w:r w:rsidRPr="001D43D8">
        <w:rPr>
          <w:rFonts w:ascii="Times New Roman" w:eastAsia="Arial Unicode MS" w:hAnsi="Times New Roman" w:cs="Times New Roman"/>
        </w:rPr>
        <w:t xml:space="preserve"> 2011/211.</w:t>
      </w:r>
      <w:r>
        <w:t xml:space="preserve"> </w:t>
      </w:r>
    </w:p>
  </w:footnote>
  <w:footnote w:id="93">
    <w:p w:rsidR="00C93ACE" w:rsidRDefault="00C93ACE" w:rsidP="00940C49">
      <w:pPr>
        <w:pStyle w:val="FootnoteText"/>
      </w:pPr>
      <w:r>
        <w:rPr>
          <w:rStyle w:val="FootnoteReference"/>
        </w:rPr>
        <w:footnoteRef/>
      </w:r>
      <w:r>
        <w:t xml:space="preserve"> </w:t>
      </w:r>
      <w:r w:rsidRPr="007E6250">
        <w:rPr>
          <w:rFonts w:ascii="Times New Roman" w:eastAsia="Arial Unicode MS" w:hAnsi="Times New Roman" w:cs="Times New Roman"/>
          <w:i/>
          <w:iCs/>
        </w:rPr>
        <w:t>Kamerstukken II</w:t>
      </w:r>
      <w:r w:rsidRPr="002F4DBE">
        <w:rPr>
          <w:rFonts w:ascii="Times New Roman" w:eastAsia="Arial Unicode MS" w:hAnsi="Times New Roman" w:cs="Times New Roman"/>
        </w:rPr>
        <w:t> </w:t>
      </w:r>
      <w:r>
        <w:rPr>
          <w:rFonts w:ascii="Times New Roman" w:eastAsia="Arial Unicode MS" w:hAnsi="Times New Roman" w:cs="Times New Roman"/>
        </w:rPr>
        <w:t>2000/01, 26 854, nr. 6, p. 12-</w:t>
      </w:r>
      <w:r w:rsidRPr="002F4DBE">
        <w:rPr>
          <w:rFonts w:ascii="Times New Roman" w:eastAsia="Arial Unicode MS" w:hAnsi="Times New Roman" w:cs="Times New Roman"/>
        </w:rPr>
        <w:t>14.</w:t>
      </w:r>
    </w:p>
  </w:footnote>
  <w:footnote w:id="94">
    <w:p w:rsidR="00C93ACE" w:rsidRDefault="00C93ACE" w:rsidP="00940C49">
      <w:pPr>
        <w:pStyle w:val="FootnoteText"/>
      </w:pPr>
      <w:r>
        <w:rPr>
          <w:rStyle w:val="FootnoteReference"/>
        </w:rPr>
        <w:footnoteRef/>
      </w:r>
      <w:r>
        <w:t xml:space="preserve"> </w:t>
      </w:r>
      <w:r>
        <w:rPr>
          <w:rStyle w:val="apple-converted-space"/>
          <w:rFonts w:ascii="Arial Unicode MS" w:eastAsia="Arial Unicode MS" w:hAnsi="Arial Unicode MS" w:cs="Arial Unicode MS" w:hint="eastAsia"/>
          <w:color w:val="333333"/>
        </w:rPr>
        <w:t> </w:t>
      </w:r>
      <w:r w:rsidRPr="000E2717">
        <w:rPr>
          <w:rStyle w:val="apple-style-span"/>
          <w:rFonts w:ascii="Times New Roman" w:eastAsia="Arial Unicode MS" w:hAnsi="Times New Roman"/>
        </w:rPr>
        <w:t>HR 18 juni 2010, nr. 08/03662,</w:t>
      </w:r>
      <w:r w:rsidRPr="000E2717">
        <w:rPr>
          <w:rStyle w:val="apple-converted-space"/>
          <w:rFonts w:ascii="Times New Roman" w:eastAsia="Arial Unicode MS" w:hAnsi="Times New Roman"/>
        </w:rPr>
        <w:t> </w:t>
      </w:r>
      <w:hyperlink r:id="rId9" w:history="1">
        <w:r w:rsidRPr="00AA2E65">
          <w:rPr>
            <w:rStyle w:val="Emphasis"/>
            <w:rFonts w:ascii="Times New Roman" w:eastAsia="Arial Unicode MS" w:hAnsi="Times New Roman" w:cs="Times New Roman"/>
          </w:rPr>
          <w:t>BNB</w:t>
        </w:r>
        <w:r w:rsidRPr="00AA2E65">
          <w:rPr>
            <w:rStyle w:val="apple-converted-space"/>
            <w:rFonts w:ascii="Times New Roman" w:eastAsia="Arial Unicode MS" w:hAnsi="Times New Roman"/>
          </w:rPr>
          <w:t> </w:t>
        </w:r>
        <w:r w:rsidRPr="00AA2E65">
          <w:rPr>
            <w:rStyle w:val="Hyperlink"/>
            <w:rFonts w:ascii="Times New Roman" w:eastAsia="Arial Unicode MS" w:hAnsi="Times New Roman" w:cs="Times New Roman"/>
            <w:color w:val="auto"/>
            <w:u w:val="none"/>
          </w:rPr>
          <w:t>2010/266</w:t>
        </w:r>
      </w:hyperlink>
      <w:r w:rsidRPr="00AA2E65">
        <w:rPr>
          <w:rStyle w:val="apple-style-span"/>
          <w:rFonts w:ascii="Times New Roman" w:eastAsia="Arial Unicode MS" w:hAnsi="Times New Roman"/>
        </w:rPr>
        <w:t>.</w:t>
      </w:r>
    </w:p>
  </w:footnote>
  <w:footnote w:id="95">
    <w:p w:rsidR="00C93ACE" w:rsidRDefault="00C93ACE" w:rsidP="00940C49">
      <w:pPr>
        <w:pStyle w:val="FootnoteText"/>
      </w:pPr>
      <w:r>
        <w:rPr>
          <w:rStyle w:val="FootnoteReference"/>
        </w:rPr>
        <w:footnoteRef/>
      </w:r>
      <w:r>
        <w:t xml:space="preserve"> J.L v</w:t>
      </w:r>
      <w:r>
        <w:rPr>
          <w:rFonts w:ascii="Times New Roman" w:eastAsia="Arial Unicode MS" w:hAnsi="Times New Roman" w:cs="Times New Roman"/>
        </w:rPr>
        <w:t>an d</w:t>
      </w:r>
      <w:r w:rsidRPr="00E16188">
        <w:rPr>
          <w:rFonts w:ascii="Times New Roman" w:eastAsia="Arial Unicode MS" w:hAnsi="Times New Roman" w:cs="Times New Roman"/>
        </w:rPr>
        <w:t xml:space="preserve">e Streek, </w:t>
      </w:r>
      <w:r>
        <w:rPr>
          <w:rFonts w:ascii="Times New Roman" w:eastAsia="Arial Unicode MS" w:hAnsi="Times New Roman" w:cs="Times New Roman"/>
          <w:bCs/>
        </w:rPr>
        <w:t>De nog steeds starre</w:t>
      </w:r>
      <w:r w:rsidRPr="00E16188">
        <w:rPr>
          <w:rFonts w:ascii="Times New Roman" w:eastAsia="Arial Unicode MS" w:hAnsi="Times New Roman" w:cs="Times New Roman"/>
          <w:bCs/>
        </w:rPr>
        <w:t> </w:t>
      </w:r>
      <w:r>
        <w:rPr>
          <w:rFonts w:ascii="Times New Roman" w:eastAsia="Arial Unicode MS" w:hAnsi="Times New Roman" w:cs="Times New Roman"/>
          <w:bCs/>
        </w:rPr>
        <w:t>fiscale</w:t>
      </w:r>
      <w:r w:rsidRPr="00E16188">
        <w:rPr>
          <w:rFonts w:ascii="Times New Roman" w:eastAsia="Arial Unicode MS" w:hAnsi="Times New Roman" w:cs="Times New Roman"/>
          <w:bCs/>
        </w:rPr>
        <w:t> </w:t>
      </w:r>
      <w:r>
        <w:rPr>
          <w:rFonts w:ascii="Times New Roman" w:eastAsia="Arial Unicode MS" w:hAnsi="Times New Roman" w:cs="Times New Roman"/>
          <w:bCs/>
        </w:rPr>
        <w:t>aspecten van de flexibele BV (Deel 1)</w:t>
      </w:r>
      <w:r w:rsidRPr="00E16188">
        <w:rPr>
          <w:rFonts w:ascii="Times New Roman" w:eastAsia="Arial Unicode MS" w:hAnsi="Times New Roman" w:cs="Times New Roman"/>
          <w:bCs/>
        </w:rPr>
        <w:t xml:space="preserve">, </w:t>
      </w:r>
      <w:r w:rsidRPr="00AE6956">
        <w:rPr>
          <w:rFonts w:ascii="Times New Roman" w:eastAsia="Arial Unicode MS" w:hAnsi="Times New Roman" w:cs="Times New Roman"/>
          <w:i/>
        </w:rPr>
        <w:t>WFR</w:t>
      </w:r>
      <w:r w:rsidRPr="00E16188">
        <w:rPr>
          <w:rFonts w:ascii="Times New Roman" w:eastAsia="Arial Unicode MS" w:hAnsi="Times New Roman" w:cs="Times New Roman"/>
        </w:rPr>
        <w:t xml:space="preserve"> 2011/819.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1314C3"/>
    <w:multiLevelType w:val="hybridMultilevel"/>
    <w:tmpl w:val="79E26E8C"/>
    <w:lvl w:ilvl="0" w:tplc="1DC67CE2">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715D41D8"/>
    <w:multiLevelType w:val="multilevel"/>
    <w:tmpl w:val="99F00A0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trackRevisions/>
  <w:defaultTabStop w:val="708"/>
  <w:hyphenationZone w:val="425"/>
  <w:drawingGridHorizontalSpacing w:val="110"/>
  <w:displayHorizontalDrawingGridEvery w:val="2"/>
  <w:characterSpacingControl w:val="doNotCompress"/>
  <w:hdrShapeDefaults>
    <o:shapedefaults v:ext="edit" spidmax="5124"/>
    <o:shapelayout v:ext="edit">
      <o:idmap v:ext="edit" data="5"/>
    </o:shapelayout>
  </w:hdrShapeDefaults>
  <w:footnotePr>
    <w:footnote w:id="-1"/>
    <w:footnote w:id="0"/>
  </w:footnotePr>
  <w:endnotePr>
    <w:endnote w:id="-1"/>
    <w:endnote w:id="0"/>
  </w:endnotePr>
  <w:compat/>
  <w:rsids>
    <w:rsidRoot w:val="009466A7"/>
    <w:rsid w:val="00000365"/>
    <w:rsid w:val="000062CF"/>
    <w:rsid w:val="000139BA"/>
    <w:rsid w:val="0002208C"/>
    <w:rsid w:val="00023161"/>
    <w:rsid w:val="0003616D"/>
    <w:rsid w:val="000378BA"/>
    <w:rsid w:val="0004652D"/>
    <w:rsid w:val="000638D9"/>
    <w:rsid w:val="000654A0"/>
    <w:rsid w:val="00065BC2"/>
    <w:rsid w:val="00073D27"/>
    <w:rsid w:val="0008366E"/>
    <w:rsid w:val="00087783"/>
    <w:rsid w:val="00094520"/>
    <w:rsid w:val="00095F98"/>
    <w:rsid w:val="000966CD"/>
    <w:rsid w:val="00097C40"/>
    <w:rsid w:val="000A13AD"/>
    <w:rsid w:val="000A5994"/>
    <w:rsid w:val="000B2CE0"/>
    <w:rsid w:val="000B2DAF"/>
    <w:rsid w:val="000B68BC"/>
    <w:rsid w:val="000C4EC6"/>
    <w:rsid w:val="000C6553"/>
    <w:rsid w:val="000D06AD"/>
    <w:rsid w:val="000D0D15"/>
    <w:rsid w:val="000E2717"/>
    <w:rsid w:val="000E54D4"/>
    <w:rsid w:val="000E5B26"/>
    <w:rsid w:val="000F5379"/>
    <w:rsid w:val="00100F86"/>
    <w:rsid w:val="00101633"/>
    <w:rsid w:val="00105BBD"/>
    <w:rsid w:val="001062C7"/>
    <w:rsid w:val="001062F4"/>
    <w:rsid w:val="00106907"/>
    <w:rsid w:val="00110402"/>
    <w:rsid w:val="00115F03"/>
    <w:rsid w:val="00122384"/>
    <w:rsid w:val="00124E06"/>
    <w:rsid w:val="00127541"/>
    <w:rsid w:val="00130DD8"/>
    <w:rsid w:val="001315C5"/>
    <w:rsid w:val="001400FB"/>
    <w:rsid w:val="00140712"/>
    <w:rsid w:val="001454CE"/>
    <w:rsid w:val="0014783C"/>
    <w:rsid w:val="001518D5"/>
    <w:rsid w:val="00155353"/>
    <w:rsid w:val="00155E93"/>
    <w:rsid w:val="00160571"/>
    <w:rsid w:val="00163A47"/>
    <w:rsid w:val="00163B6E"/>
    <w:rsid w:val="00165DDB"/>
    <w:rsid w:val="00175940"/>
    <w:rsid w:val="00182594"/>
    <w:rsid w:val="0018622C"/>
    <w:rsid w:val="00190EF1"/>
    <w:rsid w:val="001955B7"/>
    <w:rsid w:val="001A64D8"/>
    <w:rsid w:val="001B4483"/>
    <w:rsid w:val="001B505A"/>
    <w:rsid w:val="001B5ED8"/>
    <w:rsid w:val="001C580E"/>
    <w:rsid w:val="001D1A9D"/>
    <w:rsid w:val="001D2644"/>
    <w:rsid w:val="001D43D8"/>
    <w:rsid w:val="001D5C75"/>
    <w:rsid w:val="001D6435"/>
    <w:rsid w:val="001E7440"/>
    <w:rsid w:val="001F1ACA"/>
    <w:rsid w:val="001F68DB"/>
    <w:rsid w:val="001F6A48"/>
    <w:rsid w:val="00203DD1"/>
    <w:rsid w:val="00204C1F"/>
    <w:rsid w:val="002053D6"/>
    <w:rsid w:val="0020774E"/>
    <w:rsid w:val="002130EF"/>
    <w:rsid w:val="00214DDA"/>
    <w:rsid w:val="00224114"/>
    <w:rsid w:val="00231E87"/>
    <w:rsid w:val="00243629"/>
    <w:rsid w:val="00246C48"/>
    <w:rsid w:val="002513F2"/>
    <w:rsid w:val="00255BB9"/>
    <w:rsid w:val="00261231"/>
    <w:rsid w:val="00267016"/>
    <w:rsid w:val="00276826"/>
    <w:rsid w:val="002772DC"/>
    <w:rsid w:val="00281DE0"/>
    <w:rsid w:val="0028749D"/>
    <w:rsid w:val="00292C28"/>
    <w:rsid w:val="00294027"/>
    <w:rsid w:val="002A01CD"/>
    <w:rsid w:val="002A4986"/>
    <w:rsid w:val="002A523B"/>
    <w:rsid w:val="002B1CBF"/>
    <w:rsid w:val="002B348F"/>
    <w:rsid w:val="002C138D"/>
    <w:rsid w:val="002C2781"/>
    <w:rsid w:val="002C6B41"/>
    <w:rsid w:val="002D0892"/>
    <w:rsid w:val="002D5EF7"/>
    <w:rsid w:val="002D6D7D"/>
    <w:rsid w:val="002E47FE"/>
    <w:rsid w:val="002E53C1"/>
    <w:rsid w:val="002F4DBE"/>
    <w:rsid w:val="00300439"/>
    <w:rsid w:val="00300E49"/>
    <w:rsid w:val="003036A6"/>
    <w:rsid w:val="003066BF"/>
    <w:rsid w:val="003104BC"/>
    <w:rsid w:val="0031140D"/>
    <w:rsid w:val="00312E6C"/>
    <w:rsid w:val="00314E90"/>
    <w:rsid w:val="0031700F"/>
    <w:rsid w:val="00320B58"/>
    <w:rsid w:val="00320EFE"/>
    <w:rsid w:val="00327AEE"/>
    <w:rsid w:val="0033089C"/>
    <w:rsid w:val="0034773D"/>
    <w:rsid w:val="0035076C"/>
    <w:rsid w:val="00351697"/>
    <w:rsid w:val="003554D7"/>
    <w:rsid w:val="00356CA3"/>
    <w:rsid w:val="0036031F"/>
    <w:rsid w:val="003625C5"/>
    <w:rsid w:val="00363245"/>
    <w:rsid w:val="0036787C"/>
    <w:rsid w:val="00370EAF"/>
    <w:rsid w:val="00375FBF"/>
    <w:rsid w:val="003806EC"/>
    <w:rsid w:val="00386DD7"/>
    <w:rsid w:val="003871A3"/>
    <w:rsid w:val="00390C6E"/>
    <w:rsid w:val="003923C3"/>
    <w:rsid w:val="0039295B"/>
    <w:rsid w:val="00397813"/>
    <w:rsid w:val="003A06AB"/>
    <w:rsid w:val="003B23E5"/>
    <w:rsid w:val="003B55CB"/>
    <w:rsid w:val="003B5968"/>
    <w:rsid w:val="003C5968"/>
    <w:rsid w:val="003C632E"/>
    <w:rsid w:val="003D4647"/>
    <w:rsid w:val="003D5E04"/>
    <w:rsid w:val="003E0C56"/>
    <w:rsid w:val="003E1BBE"/>
    <w:rsid w:val="003E40F2"/>
    <w:rsid w:val="003E4919"/>
    <w:rsid w:val="003F47A5"/>
    <w:rsid w:val="00400066"/>
    <w:rsid w:val="0040237A"/>
    <w:rsid w:val="00405E5A"/>
    <w:rsid w:val="00417548"/>
    <w:rsid w:val="004277D5"/>
    <w:rsid w:val="004310FF"/>
    <w:rsid w:val="0044171D"/>
    <w:rsid w:val="00442409"/>
    <w:rsid w:val="00442765"/>
    <w:rsid w:val="00446A4B"/>
    <w:rsid w:val="00446CF6"/>
    <w:rsid w:val="00447412"/>
    <w:rsid w:val="00461B5A"/>
    <w:rsid w:val="004643FD"/>
    <w:rsid w:val="00470B47"/>
    <w:rsid w:val="004716EA"/>
    <w:rsid w:val="004729DB"/>
    <w:rsid w:val="0048190C"/>
    <w:rsid w:val="00482A4C"/>
    <w:rsid w:val="0048565D"/>
    <w:rsid w:val="00486336"/>
    <w:rsid w:val="00490EB1"/>
    <w:rsid w:val="004952E9"/>
    <w:rsid w:val="004960EF"/>
    <w:rsid w:val="004A13DF"/>
    <w:rsid w:val="004A259A"/>
    <w:rsid w:val="004A4C9C"/>
    <w:rsid w:val="004B23B8"/>
    <w:rsid w:val="004C03D5"/>
    <w:rsid w:val="004C1E1C"/>
    <w:rsid w:val="004C27E8"/>
    <w:rsid w:val="004C5D15"/>
    <w:rsid w:val="004D1C6D"/>
    <w:rsid w:val="004D6B3C"/>
    <w:rsid w:val="004E2F0A"/>
    <w:rsid w:val="004E3593"/>
    <w:rsid w:val="004E3E91"/>
    <w:rsid w:val="004E6514"/>
    <w:rsid w:val="004E75D8"/>
    <w:rsid w:val="00502249"/>
    <w:rsid w:val="00510C76"/>
    <w:rsid w:val="005117C8"/>
    <w:rsid w:val="00511843"/>
    <w:rsid w:val="0051270C"/>
    <w:rsid w:val="00517364"/>
    <w:rsid w:val="00520E1D"/>
    <w:rsid w:val="00520EE2"/>
    <w:rsid w:val="005222FB"/>
    <w:rsid w:val="00525E19"/>
    <w:rsid w:val="00526EC2"/>
    <w:rsid w:val="005330C1"/>
    <w:rsid w:val="00533D72"/>
    <w:rsid w:val="00541650"/>
    <w:rsid w:val="00544880"/>
    <w:rsid w:val="00547136"/>
    <w:rsid w:val="00550179"/>
    <w:rsid w:val="00551BF1"/>
    <w:rsid w:val="00553173"/>
    <w:rsid w:val="00557A0B"/>
    <w:rsid w:val="005615DC"/>
    <w:rsid w:val="00563F25"/>
    <w:rsid w:val="00564BBD"/>
    <w:rsid w:val="0057302A"/>
    <w:rsid w:val="00577957"/>
    <w:rsid w:val="00577CCD"/>
    <w:rsid w:val="00586A76"/>
    <w:rsid w:val="00590FEA"/>
    <w:rsid w:val="0059191F"/>
    <w:rsid w:val="005924EA"/>
    <w:rsid w:val="00593C65"/>
    <w:rsid w:val="005A4A8B"/>
    <w:rsid w:val="005A79E7"/>
    <w:rsid w:val="005B53B6"/>
    <w:rsid w:val="005B663E"/>
    <w:rsid w:val="005B6FA2"/>
    <w:rsid w:val="005C341E"/>
    <w:rsid w:val="005C7B56"/>
    <w:rsid w:val="005D294F"/>
    <w:rsid w:val="005D6BEB"/>
    <w:rsid w:val="005E0045"/>
    <w:rsid w:val="005E1527"/>
    <w:rsid w:val="005F037C"/>
    <w:rsid w:val="005F4794"/>
    <w:rsid w:val="006024AD"/>
    <w:rsid w:val="00602636"/>
    <w:rsid w:val="00605AAE"/>
    <w:rsid w:val="0061170A"/>
    <w:rsid w:val="00617CF3"/>
    <w:rsid w:val="00621F97"/>
    <w:rsid w:val="00625B51"/>
    <w:rsid w:val="006310FE"/>
    <w:rsid w:val="00634B42"/>
    <w:rsid w:val="0063742D"/>
    <w:rsid w:val="0064016F"/>
    <w:rsid w:val="006407D9"/>
    <w:rsid w:val="006414D6"/>
    <w:rsid w:val="0064691F"/>
    <w:rsid w:val="00651432"/>
    <w:rsid w:val="006522A4"/>
    <w:rsid w:val="00662CEB"/>
    <w:rsid w:val="00664F9F"/>
    <w:rsid w:val="00676BDB"/>
    <w:rsid w:val="00680058"/>
    <w:rsid w:val="00681AC4"/>
    <w:rsid w:val="006877B2"/>
    <w:rsid w:val="00695B74"/>
    <w:rsid w:val="006972CB"/>
    <w:rsid w:val="006A4609"/>
    <w:rsid w:val="006B075A"/>
    <w:rsid w:val="006B0A14"/>
    <w:rsid w:val="006B12D6"/>
    <w:rsid w:val="006B425B"/>
    <w:rsid w:val="006B62EF"/>
    <w:rsid w:val="006C22D0"/>
    <w:rsid w:val="006C23B0"/>
    <w:rsid w:val="006C4508"/>
    <w:rsid w:val="006C4A98"/>
    <w:rsid w:val="006C70D4"/>
    <w:rsid w:val="006C778C"/>
    <w:rsid w:val="006D0C39"/>
    <w:rsid w:val="006D6585"/>
    <w:rsid w:val="006E3BA1"/>
    <w:rsid w:val="006E609A"/>
    <w:rsid w:val="006E6AA1"/>
    <w:rsid w:val="006F0DC5"/>
    <w:rsid w:val="006F4B99"/>
    <w:rsid w:val="006F4CBF"/>
    <w:rsid w:val="00701A42"/>
    <w:rsid w:val="00703D1B"/>
    <w:rsid w:val="00704D5A"/>
    <w:rsid w:val="00704D82"/>
    <w:rsid w:val="00713A59"/>
    <w:rsid w:val="00714805"/>
    <w:rsid w:val="00722E0E"/>
    <w:rsid w:val="00731197"/>
    <w:rsid w:val="00732BA1"/>
    <w:rsid w:val="0073522F"/>
    <w:rsid w:val="00741D8F"/>
    <w:rsid w:val="0074336B"/>
    <w:rsid w:val="007473C0"/>
    <w:rsid w:val="00747DBC"/>
    <w:rsid w:val="00751E1A"/>
    <w:rsid w:val="007601D7"/>
    <w:rsid w:val="00765855"/>
    <w:rsid w:val="0076653C"/>
    <w:rsid w:val="0077096A"/>
    <w:rsid w:val="00773F70"/>
    <w:rsid w:val="00774458"/>
    <w:rsid w:val="0078010E"/>
    <w:rsid w:val="00782266"/>
    <w:rsid w:val="0078386C"/>
    <w:rsid w:val="00785606"/>
    <w:rsid w:val="007856DE"/>
    <w:rsid w:val="00786300"/>
    <w:rsid w:val="0079067C"/>
    <w:rsid w:val="007A2151"/>
    <w:rsid w:val="007A541A"/>
    <w:rsid w:val="007B0771"/>
    <w:rsid w:val="007B3544"/>
    <w:rsid w:val="007B660E"/>
    <w:rsid w:val="007C6B49"/>
    <w:rsid w:val="007D2052"/>
    <w:rsid w:val="007D48D1"/>
    <w:rsid w:val="007D761B"/>
    <w:rsid w:val="007D7BDF"/>
    <w:rsid w:val="007E5653"/>
    <w:rsid w:val="007E6250"/>
    <w:rsid w:val="007E79D5"/>
    <w:rsid w:val="007F343A"/>
    <w:rsid w:val="007F37C3"/>
    <w:rsid w:val="007F7372"/>
    <w:rsid w:val="008012FE"/>
    <w:rsid w:val="0080428B"/>
    <w:rsid w:val="0080601A"/>
    <w:rsid w:val="0080613F"/>
    <w:rsid w:val="00806181"/>
    <w:rsid w:val="0081163C"/>
    <w:rsid w:val="008118A2"/>
    <w:rsid w:val="00811C5F"/>
    <w:rsid w:val="00813A69"/>
    <w:rsid w:val="008177CC"/>
    <w:rsid w:val="008222AE"/>
    <w:rsid w:val="00831CA4"/>
    <w:rsid w:val="008336FD"/>
    <w:rsid w:val="0083598D"/>
    <w:rsid w:val="008503A0"/>
    <w:rsid w:val="008513CC"/>
    <w:rsid w:val="00855FC1"/>
    <w:rsid w:val="00857ADE"/>
    <w:rsid w:val="008615E0"/>
    <w:rsid w:val="00863ACE"/>
    <w:rsid w:val="00884C95"/>
    <w:rsid w:val="00884F0C"/>
    <w:rsid w:val="0089175F"/>
    <w:rsid w:val="008A0C84"/>
    <w:rsid w:val="008B0FF9"/>
    <w:rsid w:val="008B3596"/>
    <w:rsid w:val="008B5432"/>
    <w:rsid w:val="008B796B"/>
    <w:rsid w:val="008C3906"/>
    <w:rsid w:val="008C5E84"/>
    <w:rsid w:val="008D022D"/>
    <w:rsid w:val="008D05C6"/>
    <w:rsid w:val="008D1A78"/>
    <w:rsid w:val="008D7FCF"/>
    <w:rsid w:val="008E056D"/>
    <w:rsid w:val="008E29A8"/>
    <w:rsid w:val="008E45B7"/>
    <w:rsid w:val="008E65F5"/>
    <w:rsid w:val="008E6E15"/>
    <w:rsid w:val="008F0E4C"/>
    <w:rsid w:val="008F1F06"/>
    <w:rsid w:val="008F2131"/>
    <w:rsid w:val="008F59FA"/>
    <w:rsid w:val="0090171E"/>
    <w:rsid w:val="00902DD4"/>
    <w:rsid w:val="009030AD"/>
    <w:rsid w:val="009111CA"/>
    <w:rsid w:val="009111E5"/>
    <w:rsid w:val="009172F1"/>
    <w:rsid w:val="00917A0C"/>
    <w:rsid w:val="00920ED6"/>
    <w:rsid w:val="00926F34"/>
    <w:rsid w:val="00927576"/>
    <w:rsid w:val="00927979"/>
    <w:rsid w:val="00930C21"/>
    <w:rsid w:val="00934D66"/>
    <w:rsid w:val="00940C49"/>
    <w:rsid w:val="009413E8"/>
    <w:rsid w:val="009466A7"/>
    <w:rsid w:val="0095009F"/>
    <w:rsid w:val="0096024D"/>
    <w:rsid w:val="00961439"/>
    <w:rsid w:val="0096232D"/>
    <w:rsid w:val="00972510"/>
    <w:rsid w:val="00972667"/>
    <w:rsid w:val="00977DC9"/>
    <w:rsid w:val="00982BE8"/>
    <w:rsid w:val="00985673"/>
    <w:rsid w:val="00991541"/>
    <w:rsid w:val="00991D35"/>
    <w:rsid w:val="00992B6C"/>
    <w:rsid w:val="00995850"/>
    <w:rsid w:val="00997266"/>
    <w:rsid w:val="009A1883"/>
    <w:rsid w:val="009C2C65"/>
    <w:rsid w:val="009C3FD4"/>
    <w:rsid w:val="009C511A"/>
    <w:rsid w:val="009C7DE7"/>
    <w:rsid w:val="009D0A13"/>
    <w:rsid w:val="009D3369"/>
    <w:rsid w:val="009D45D2"/>
    <w:rsid w:val="009D4FA1"/>
    <w:rsid w:val="009E212B"/>
    <w:rsid w:val="009E4C45"/>
    <w:rsid w:val="009F7CB0"/>
    <w:rsid w:val="00A032AA"/>
    <w:rsid w:val="00A051B6"/>
    <w:rsid w:val="00A14D28"/>
    <w:rsid w:val="00A17487"/>
    <w:rsid w:val="00A22333"/>
    <w:rsid w:val="00A260B9"/>
    <w:rsid w:val="00A27B7B"/>
    <w:rsid w:val="00A30BFE"/>
    <w:rsid w:val="00A327D4"/>
    <w:rsid w:val="00A35318"/>
    <w:rsid w:val="00A35D04"/>
    <w:rsid w:val="00A415BC"/>
    <w:rsid w:val="00A50E58"/>
    <w:rsid w:val="00A516BF"/>
    <w:rsid w:val="00A51DFE"/>
    <w:rsid w:val="00A5449F"/>
    <w:rsid w:val="00A66BFE"/>
    <w:rsid w:val="00A70CCA"/>
    <w:rsid w:val="00A76B68"/>
    <w:rsid w:val="00A771EB"/>
    <w:rsid w:val="00A81221"/>
    <w:rsid w:val="00A8186A"/>
    <w:rsid w:val="00A826EF"/>
    <w:rsid w:val="00A82BE3"/>
    <w:rsid w:val="00A83044"/>
    <w:rsid w:val="00A83EDC"/>
    <w:rsid w:val="00A902E2"/>
    <w:rsid w:val="00A94460"/>
    <w:rsid w:val="00AA2A78"/>
    <w:rsid w:val="00AA2E65"/>
    <w:rsid w:val="00AA770B"/>
    <w:rsid w:val="00AB2537"/>
    <w:rsid w:val="00AC13FD"/>
    <w:rsid w:val="00AC7BC3"/>
    <w:rsid w:val="00AD1F97"/>
    <w:rsid w:val="00AD2B30"/>
    <w:rsid w:val="00AE6956"/>
    <w:rsid w:val="00AF0A60"/>
    <w:rsid w:val="00AF63E7"/>
    <w:rsid w:val="00AF645E"/>
    <w:rsid w:val="00AF6FF4"/>
    <w:rsid w:val="00AF7438"/>
    <w:rsid w:val="00B013D2"/>
    <w:rsid w:val="00B04473"/>
    <w:rsid w:val="00B04AFF"/>
    <w:rsid w:val="00B25BC2"/>
    <w:rsid w:val="00B27E5E"/>
    <w:rsid w:val="00B47ED1"/>
    <w:rsid w:val="00B51D32"/>
    <w:rsid w:val="00B52439"/>
    <w:rsid w:val="00B53330"/>
    <w:rsid w:val="00B55225"/>
    <w:rsid w:val="00B574A9"/>
    <w:rsid w:val="00B60658"/>
    <w:rsid w:val="00B67E51"/>
    <w:rsid w:val="00B67FAB"/>
    <w:rsid w:val="00B705D0"/>
    <w:rsid w:val="00B71BAA"/>
    <w:rsid w:val="00B72A55"/>
    <w:rsid w:val="00B72F7F"/>
    <w:rsid w:val="00B74894"/>
    <w:rsid w:val="00B857C5"/>
    <w:rsid w:val="00B919D5"/>
    <w:rsid w:val="00B92A3A"/>
    <w:rsid w:val="00B96B3B"/>
    <w:rsid w:val="00B97269"/>
    <w:rsid w:val="00B976B2"/>
    <w:rsid w:val="00BA0AC0"/>
    <w:rsid w:val="00BA1F2D"/>
    <w:rsid w:val="00BA274E"/>
    <w:rsid w:val="00BA393A"/>
    <w:rsid w:val="00BA4FAC"/>
    <w:rsid w:val="00BA6868"/>
    <w:rsid w:val="00BA68AF"/>
    <w:rsid w:val="00BA6EAE"/>
    <w:rsid w:val="00BB1E64"/>
    <w:rsid w:val="00BC009E"/>
    <w:rsid w:val="00BC745F"/>
    <w:rsid w:val="00BD1C54"/>
    <w:rsid w:val="00BD6A5E"/>
    <w:rsid w:val="00BD7472"/>
    <w:rsid w:val="00BE612F"/>
    <w:rsid w:val="00BF21B0"/>
    <w:rsid w:val="00BF2B8F"/>
    <w:rsid w:val="00BF78CE"/>
    <w:rsid w:val="00C01960"/>
    <w:rsid w:val="00C01E06"/>
    <w:rsid w:val="00C064CD"/>
    <w:rsid w:val="00C06FBD"/>
    <w:rsid w:val="00C12965"/>
    <w:rsid w:val="00C173AB"/>
    <w:rsid w:val="00C20171"/>
    <w:rsid w:val="00C20EE1"/>
    <w:rsid w:val="00C344FC"/>
    <w:rsid w:val="00C36672"/>
    <w:rsid w:val="00C52C15"/>
    <w:rsid w:val="00C53DF6"/>
    <w:rsid w:val="00C558FD"/>
    <w:rsid w:val="00C561BC"/>
    <w:rsid w:val="00C81C16"/>
    <w:rsid w:val="00C87304"/>
    <w:rsid w:val="00C90F1C"/>
    <w:rsid w:val="00C93ACE"/>
    <w:rsid w:val="00C95A75"/>
    <w:rsid w:val="00C974B9"/>
    <w:rsid w:val="00CA16F6"/>
    <w:rsid w:val="00CA6034"/>
    <w:rsid w:val="00CA6188"/>
    <w:rsid w:val="00CB1149"/>
    <w:rsid w:val="00CB362F"/>
    <w:rsid w:val="00CC0C2A"/>
    <w:rsid w:val="00CC1E82"/>
    <w:rsid w:val="00CC367F"/>
    <w:rsid w:val="00CC44FA"/>
    <w:rsid w:val="00CC6F5B"/>
    <w:rsid w:val="00CD50BC"/>
    <w:rsid w:val="00CD6A8D"/>
    <w:rsid w:val="00CE0ED1"/>
    <w:rsid w:val="00CE2170"/>
    <w:rsid w:val="00CE290A"/>
    <w:rsid w:val="00CE3644"/>
    <w:rsid w:val="00CE3792"/>
    <w:rsid w:val="00CE4EE5"/>
    <w:rsid w:val="00CF0DAD"/>
    <w:rsid w:val="00CF342B"/>
    <w:rsid w:val="00D02D1F"/>
    <w:rsid w:val="00D04AB1"/>
    <w:rsid w:val="00D05D81"/>
    <w:rsid w:val="00D06C76"/>
    <w:rsid w:val="00D07A65"/>
    <w:rsid w:val="00D07FF1"/>
    <w:rsid w:val="00D143AB"/>
    <w:rsid w:val="00D16C33"/>
    <w:rsid w:val="00D17036"/>
    <w:rsid w:val="00D20866"/>
    <w:rsid w:val="00D30212"/>
    <w:rsid w:val="00D41F70"/>
    <w:rsid w:val="00D53C05"/>
    <w:rsid w:val="00D628E9"/>
    <w:rsid w:val="00D63B4F"/>
    <w:rsid w:val="00D72BD5"/>
    <w:rsid w:val="00D76280"/>
    <w:rsid w:val="00D76AAC"/>
    <w:rsid w:val="00D814EF"/>
    <w:rsid w:val="00D841EF"/>
    <w:rsid w:val="00D87769"/>
    <w:rsid w:val="00D91DAC"/>
    <w:rsid w:val="00D93E8A"/>
    <w:rsid w:val="00D968D1"/>
    <w:rsid w:val="00DA336B"/>
    <w:rsid w:val="00DA6D80"/>
    <w:rsid w:val="00DB1D3A"/>
    <w:rsid w:val="00DB3E5E"/>
    <w:rsid w:val="00DB4C90"/>
    <w:rsid w:val="00DC123E"/>
    <w:rsid w:val="00DC40F7"/>
    <w:rsid w:val="00DC5214"/>
    <w:rsid w:val="00DC7AD4"/>
    <w:rsid w:val="00DD3A60"/>
    <w:rsid w:val="00DD7CA1"/>
    <w:rsid w:val="00DE06A2"/>
    <w:rsid w:val="00DE0ECD"/>
    <w:rsid w:val="00DE7685"/>
    <w:rsid w:val="00DF1EE6"/>
    <w:rsid w:val="00DF45B3"/>
    <w:rsid w:val="00E11815"/>
    <w:rsid w:val="00E17FC4"/>
    <w:rsid w:val="00E23924"/>
    <w:rsid w:val="00E26B63"/>
    <w:rsid w:val="00E26CE6"/>
    <w:rsid w:val="00E30B8C"/>
    <w:rsid w:val="00E317F5"/>
    <w:rsid w:val="00E34A3A"/>
    <w:rsid w:val="00E351DA"/>
    <w:rsid w:val="00E42BC7"/>
    <w:rsid w:val="00E42F2D"/>
    <w:rsid w:val="00E44FF7"/>
    <w:rsid w:val="00E45BEE"/>
    <w:rsid w:val="00E47535"/>
    <w:rsid w:val="00E50385"/>
    <w:rsid w:val="00E5082D"/>
    <w:rsid w:val="00E55D94"/>
    <w:rsid w:val="00E55EFE"/>
    <w:rsid w:val="00E6005B"/>
    <w:rsid w:val="00E60607"/>
    <w:rsid w:val="00E61EFB"/>
    <w:rsid w:val="00E63694"/>
    <w:rsid w:val="00E675A0"/>
    <w:rsid w:val="00E74202"/>
    <w:rsid w:val="00E7564F"/>
    <w:rsid w:val="00E773E1"/>
    <w:rsid w:val="00E83A53"/>
    <w:rsid w:val="00E84575"/>
    <w:rsid w:val="00E85CCF"/>
    <w:rsid w:val="00E877CF"/>
    <w:rsid w:val="00E90039"/>
    <w:rsid w:val="00E945ED"/>
    <w:rsid w:val="00E964A0"/>
    <w:rsid w:val="00EB3094"/>
    <w:rsid w:val="00EB7DB5"/>
    <w:rsid w:val="00EC1D04"/>
    <w:rsid w:val="00EC4C7C"/>
    <w:rsid w:val="00ED6630"/>
    <w:rsid w:val="00EE0F51"/>
    <w:rsid w:val="00EE2993"/>
    <w:rsid w:val="00EF690F"/>
    <w:rsid w:val="00EF6B69"/>
    <w:rsid w:val="00F168E6"/>
    <w:rsid w:val="00F16EC1"/>
    <w:rsid w:val="00F1799B"/>
    <w:rsid w:val="00F17DB4"/>
    <w:rsid w:val="00F265CA"/>
    <w:rsid w:val="00F35780"/>
    <w:rsid w:val="00F40401"/>
    <w:rsid w:val="00F614B2"/>
    <w:rsid w:val="00F62233"/>
    <w:rsid w:val="00F642E4"/>
    <w:rsid w:val="00F65AEC"/>
    <w:rsid w:val="00F71A2D"/>
    <w:rsid w:val="00F74AC0"/>
    <w:rsid w:val="00F74CE5"/>
    <w:rsid w:val="00F858EA"/>
    <w:rsid w:val="00F863A8"/>
    <w:rsid w:val="00F945C4"/>
    <w:rsid w:val="00F953FC"/>
    <w:rsid w:val="00FA54CB"/>
    <w:rsid w:val="00FA7E81"/>
    <w:rsid w:val="00FA7FBF"/>
    <w:rsid w:val="00FB11AC"/>
    <w:rsid w:val="00FB3F5D"/>
    <w:rsid w:val="00FC06C7"/>
    <w:rsid w:val="00FC163F"/>
    <w:rsid w:val="00FC2E4B"/>
    <w:rsid w:val="00FC2E8C"/>
    <w:rsid w:val="00FC3CDA"/>
    <w:rsid w:val="00FC6DD6"/>
    <w:rsid w:val="00FE3713"/>
    <w:rsid w:val="00FE391C"/>
    <w:rsid w:val="00FE6025"/>
    <w:rsid w:val="00FF19FE"/>
    <w:rsid w:val="00FF54BE"/>
    <w:rsid w:val="00FF6186"/>
    <w:rsid w:val="00FF7BF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596"/>
    <w:pPr>
      <w:spacing w:after="0" w:line="360"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9466A7"/>
    <w:rPr>
      <w:rFonts w:cs="Times New Roman"/>
    </w:rPr>
  </w:style>
  <w:style w:type="paragraph" w:styleId="FootnoteText">
    <w:name w:val="footnote text"/>
    <w:basedOn w:val="Normal"/>
    <w:link w:val="FootnoteTextChar"/>
    <w:uiPriority w:val="99"/>
    <w:semiHidden/>
    <w:rsid w:val="009466A7"/>
    <w:pPr>
      <w:spacing w:line="240" w:lineRule="auto"/>
    </w:pPr>
    <w:rPr>
      <w:sz w:val="20"/>
      <w:szCs w:val="20"/>
    </w:rPr>
  </w:style>
  <w:style w:type="character" w:customStyle="1" w:styleId="FootnoteTextChar">
    <w:name w:val="Footnote Text Char"/>
    <w:basedOn w:val="DefaultParagraphFont"/>
    <w:link w:val="FootnoteText"/>
    <w:uiPriority w:val="99"/>
    <w:semiHidden/>
    <w:rsid w:val="009466A7"/>
    <w:rPr>
      <w:rFonts w:ascii="Calibri" w:eastAsia="Calibri" w:hAnsi="Calibri" w:cs="Arial"/>
      <w:sz w:val="20"/>
      <w:szCs w:val="20"/>
    </w:rPr>
  </w:style>
  <w:style w:type="character" w:styleId="FootnoteReference">
    <w:name w:val="footnote reference"/>
    <w:basedOn w:val="DefaultParagraphFont"/>
    <w:uiPriority w:val="99"/>
    <w:semiHidden/>
    <w:rsid w:val="009466A7"/>
    <w:rPr>
      <w:rFonts w:cs="Times New Roman"/>
      <w:vertAlign w:val="superscript"/>
    </w:rPr>
  </w:style>
  <w:style w:type="character" w:customStyle="1" w:styleId="apple-converted-space">
    <w:name w:val="apple-converted-space"/>
    <w:basedOn w:val="DefaultParagraphFont"/>
    <w:rsid w:val="009466A7"/>
    <w:rPr>
      <w:rFonts w:cs="Times New Roman"/>
    </w:rPr>
  </w:style>
  <w:style w:type="paragraph" w:styleId="ListParagraph">
    <w:name w:val="List Paragraph"/>
    <w:basedOn w:val="Normal"/>
    <w:uiPriority w:val="99"/>
    <w:qFormat/>
    <w:rsid w:val="009466A7"/>
    <w:pPr>
      <w:ind w:left="720"/>
      <w:contextualSpacing/>
    </w:pPr>
  </w:style>
  <w:style w:type="character" w:customStyle="1" w:styleId="cchit">
    <w:name w:val="cchit"/>
    <w:basedOn w:val="DefaultParagraphFont"/>
    <w:rsid w:val="00B74894"/>
  </w:style>
  <w:style w:type="paragraph" w:styleId="BalloonText">
    <w:name w:val="Balloon Text"/>
    <w:basedOn w:val="Normal"/>
    <w:link w:val="BalloonTextChar"/>
    <w:uiPriority w:val="99"/>
    <w:semiHidden/>
    <w:unhideWhenUsed/>
    <w:rsid w:val="00B7489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4894"/>
    <w:rPr>
      <w:rFonts w:ascii="Tahoma" w:eastAsia="Calibri" w:hAnsi="Tahoma" w:cs="Tahoma"/>
      <w:sz w:val="16"/>
      <w:szCs w:val="16"/>
    </w:rPr>
  </w:style>
  <w:style w:type="character" w:styleId="Hyperlink">
    <w:name w:val="Hyperlink"/>
    <w:basedOn w:val="DefaultParagraphFont"/>
    <w:uiPriority w:val="99"/>
    <w:semiHidden/>
    <w:unhideWhenUsed/>
    <w:rsid w:val="0039295B"/>
    <w:rPr>
      <w:color w:val="0000FF"/>
      <w:u w:val="single"/>
    </w:rPr>
  </w:style>
  <w:style w:type="character" w:customStyle="1" w:styleId="highlight1">
    <w:name w:val="highlight1"/>
    <w:basedOn w:val="DefaultParagraphFont"/>
    <w:rsid w:val="00A051B6"/>
  </w:style>
  <w:style w:type="character" w:styleId="Emphasis">
    <w:name w:val="Emphasis"/>
    <w:basedOn w:val="DefaultParagraphFont"/>
    <w:uiPriority w:val="20"/>
    <w:qFormat/>
    <w:rsid w:val="002F4DBE"/>
    <w:rPr>
      <w:i/>
      <w:iCs/>
    </w:rPr>
  </w:style>
  <w:style w:type="character" w:styleId="CommentReference">
    <w:name w:val="annotation reference"/>
    <w:basedOn w:val="DefaultParagraphFont"/>
    <w:uiPriority w:val="99"/>
    <w:semiHidden/>
    <w:unhideWhenUsed/>
    <w:rsid w:val="00AA2E65"/>
    <w:rPr>
      <w:sz w:val="16"/>
      <w:szCs w:val="16"/>
    </w:rPr>
  </w:style>
  <w:style w:type="paragraph" w:styleId="CommentText">
    <w:name w:val="annotation text"/>
    <w:basedOn w:val="Normal"/>
    <w:link w:val="CommentTextChar"/>
    <w:uiPriority w:val="99"/>
    <w:semiHidden/>
    <w:unhideWhenUsed/>
    <w:rsid w:val="00AA2E65"/>
    <w:pPr>
      <w:spacing w:line="240" w:lineRule="auto"/>
    </w:pPr>
    <w:rPr>
      <w:sz w:val="20"/>
      <w:szCs w:val="20"/>
    </w:rPr>
  </w:style>
  <w:style w:type="character" w:customStyle="1" w:styleId="CommentTextChar">
    <w:name w:val="Comment Text Char"/>
    <w:basedOn w:val="DefaultParagraphFont"/>
    <w:link w:val="CommentText"/>
    <w:uiPriority w:val="99"/>
    <w:semiHidden/>
    <w:rsid w:val="00AA2E65"/>
    <w:rPr>
      <w:rFonts w:ascii="Calibri" w:eastAsia="Calibri" w:hAnsi="Calibri" w:cs="Arial"/>
      <w:sz w:val="20"/>
      <w:szCs w:val="20"/>
    </w:rPr>
  </w:style>
  <w:style w:type="paragraph" w:styleId="Revision">
    <w:name w:val="Revision"/>
    <w:hidden/>
    <w:uiPriority w:val="99"/>
    <w:semiHidden/>
    <w:rsid w:val="00940C49"/>
    <w:pPr>
      <w:spacing w:after="0" w:line="240" w:lineRule="auto"/>
    </w:pPr>
    <w:rPr>
      <w:rFonts w:ascii="Calibri" w:eastAsia="Calibri" w:hAnsi="Calibri" w:cs="Arial"/>
    </w:rPr>
  </w:style>
  <w:style w:type="paragraph" w:styleId="Header">
    <w:name w:val="header"/>
    <w:basedOn w:val="Normal"/>
    <w:link w:val="HeaderChar"/>
    <w:uiPriority w:val="99"/>
    <w:semiHidden/>
    <w:unhideWhenUsed/>
    <w:rsid w:val="00EC1D04"/>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EC1D04"/>
    <w:rPr>
      <w:rFonts w:ascii="Calibri" w:eastAsia="Calibri" w:hAnsi="Calibri" w:cs="Arial"/>
    </w:rPr>
  </w:style>
  <w:style w:type="paragraph" w:styleId="Footer">
    <w:name w:val="footer"/>
    <w:basedOn w:val="Normal"/>
    <w:link w:val="FooterChar"/>
    <w:uiPriority w:val="99"/>
    <w:semiHidden/>
    <w:unhideWhenUsed/>
    <w:rsid w:val="00EC1D04"/>
    <w:pPr>
      <w:tabs>
        <w:tab w:val="center" w:pos="4536"/>
        <w:tab w:val="right" w:pos="9072"/>
      </w:tabs>
      <w:spacing w:line="240" w:lineRule="auto"/>
    </w:pPr>
  </w:style>
  <w:style w:type="character" w:customStyle="1" w:styleId="FooterChar">
    <w:name w:val="Footer Char"/>
    <w:basedOn w:val="DefaultParagraphFont"/>
    <w:link w:val="Footer"/>
    <w:uiPriority w:val="99"/>
    <w:semiHidden/>
    <w:rsid w:val="00EC1D04"/>
    <w:rPr>
      <w:rFonts w:ascii="Calibri" w:eastAsia="Calibri" w:hAnsi="Calibri" w:cs="Arial"/>
    </w:rPr>
  </w:style>
  <w:style w:type="paragraph" w:styleId="CommentSubject">
    <w:name w:val="annotation subject"/>
    <w:basedOn w:val="CommentText"/>
    <w:next w:val="CommentText"/>
    <w:link w:val="CommentSubjectChar"/>
    <w:uiPriority w:val="99"/>
    <w:semiHidden/>
    <w:unhideWhenUsed/>
    <w:rsid w:val="006407D9"/>
    <w:rPr>
      <w:b/>
      <w:bCs/>
    </w:rPr>
  </w:style>
  <w:style w:type="character" w:customStyle="1" w:styleId="CommentSubjectChar">
    <w:name w:val="Comment Subject Char"/>
    <w:basedOn w:val="CommentTextChar"/>
    <w:link w:val="CommentSubject"/>
    <w:uiPriority w:val="99"/>
    <w:semiHidden/>
    <w:rsid w:val="006407D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nav.loadDivAncre('/cl3/application-context/SOO/index.jsp?gc=WKNL-KL-PNP-SOO-GC-DOCTYPES&amp;sc=WKNL-KL-PNP-SOO-FOLLOWLINK&amp;docId=PUMA%2Finod_ae676006dc69fd7b3038be58dc92680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dfr.nl/pgdocument/document.asp?sQueryInfo=sDtbId%3Dndfr%26sSearchFilter%3D(%257B'Wetdeel''IB'%257C'VPB'%257C'OB'%257C'LB'%257C'FBR'%257C'DIV'%257C'SUC'%257C'IBR'%257C'INV'%257C'WOZ'%257C'PH'%257D%2526%257B'NDFR_TYPE''JURISPRUDENTIE'%257C'LITERATUUR'%257D)%257C%257B'Wetdeel''NTFR'%257C'NTFRB'%257C'FISBIB'%257D%26sSearchFilterMain%3D'IB','VPB','OB','LB','FBR','DIV','SUC','IBR','INV','WOZ','PH','NTFR'%257C'NTFRB','FISBIB'%26bSortOnNumdat%3Dfalse%26sQuery%3DVolledigeTekst%253D8%252520april%2525202011%252520hoge%252520raad%252520verbonden%252520lichamen%252520EN%252520niet%252520(volledigewet)%26sSgc%3DVolledigeTekst%26sQueryPresentation%3DZoekterm%253A%25208%252520april%2525202011%252520hoge%252520raad%252520verbonden%252520lichamen%252520EN%252520niet%252520(volledigewet)%26sRelevanceRanking%3Dnumberofhits%26sRelevanceRanking%3Dnumberofhits&amp;sHitlistInfo=&amp;iHit=20&amp;ht=true" TargetMode="External"/><Relationship Id="rId5" Type="http://schemas.openxmlformats.org/officeDocument/2006/relationships/webSettings" Target="webSettings.xml"/><Relationship Id="rId10" Type="http://schemas.openxmlformats.org/officeDocument/2006/relationships/hyperlink" Target="javascript:nav.loadDivAncre('/cl3/application-context/SOO/index.jsp?gc=WKNL-KL-PNP-SOO-GC-DOCTYPES&amp;sc=WKNL-KL-PNP-SOO-FOLLOWLINK&amp;docId=PUMA%2Finod_31c507b0283975aae5d5a16b16ac751c')" TargetMode="External"/><Relationship Id="rId4" Type="http://schemas.openxmlformats.org/officeDocument/2006/relationships/settings" Target="settings.xml"/><Relationship Id="rId9" Type="http://schemas.openxmlformats.org/officeDocument/2006/relationships/hyperlink" Target="http://www.ndfr.nl/pgdocument/document.asp?sQueryInfo=sDtbId%3Dndfr%26sSearchFilter%3D((%257B'Wetdeel''IB'%257C'VPB'%257C'OB'%257C'LB'%257C'FBR'%257C'DIV'%257C'SUC'%257C'IBR'%257C'INV'%257C'WOZ'%257C'PH'%257D%2526%257B'NDFR_TYPE''Wetteksten'%257C'Wet'%257C'Verdrag'%257C'Richtlijn'%257C'Kern'%257C'Commentaar'%257C'JURISPRUDENTIE'%257C'LITERATUUR'%257C'GESCHIEDENIS'%257D)%257C%257B'Wetdeel''NTFR'%257C'NTFRB'%257C'FISBIB'%257C'FWR'%257C'FG'%257C'FPR'%257C'FZR'%257D)%257C(%257B'Wetdeel''IB'%257C'VPB'%257C'OB'%257C'LB'%257C'FBR'%257C'DIV'%257C'SUC'%257C'IBR'%257C'INV'%257C'WOZ'%257C'PH'%257D%2520%2526%2520%257B'Status''ACTUEEL'%257C'VERVALLEN'%257D%2526%257B'NDFR_TYPE''BESLUIT'%257C'BESLUIT'%257D)%26sSearchFilterMain%3D'IB','VPB','OB','LB','FBR','DIV','SUC','IBR','INV','WOZ','PH','NTFR'%257C'NTFRB','FISBIB','FWR'%257C'FG','FPR'%257C'FZR'%26bSortOnNumdat%3Dfalse%26sQuery%3DVolledigeTekst%253Dfalcons%252520arrest%252520hoge%252520raad%252520deelnemingsvrijstelling%252520EN%252520niet%252520(volledigewet)%26sSgc%3DVolledigeTekst%26sQueryPresentation%3DZoekterm%253A%2520falcons%252520arrest%252520hoge%252520raad%252520deelnemingsvrijstelling%252520EN%252520niet%252520(volledigewet)%26sRelevanceRanking%3Dnumberofhits&amp;sHitlistInfo=&amp;iHit=11&amp;ht=true"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javascript:showNDFR_ID('CPP2005-2702M');" TargetMode="External"/><Relationship Id="rId3" Type="http://schemas.openxmlformats.org/officeDocument/2006/relationships/hyperlink" Target="javascript:nav.loadDivAncre('/cl3/application-context/SOO/index.jsp?gc=WKNL-KL-PNP-SOO-GC-DOCTYPES&amp;sc=WKNL-KL-PNP-SOO-FOLLOWLINK&amp;docId=PUMA%2Finod_0fcd9865e79d5a93f889674289d2345c')" TargetMode="External"/><Relationship Id="rId7" Type="http://schemas.openxmlformats.org/officeDocument/2006/relationships/hyperlink" Target="http://www.ndfr.nl/pgdocument/document.asp?sQueryInfo=sDtbId%3Dndfr%26sSearchFilter%3D((%257B'Wetdeel''IB'%257C'VPB'%257C'OB'%257C'LB'%257C'FBR'%257C'DIV'%257C'SUC'%257C'IBR'%257C'INV'%257C'WOZ'%257C'PH'%257D%2526%257B'NDFR_TYPE''Wetteksten'%257C'Wet'%257C'Verdrag'%257C'Richtlijn'%257C'Kern'%257C'Commentaar'%257C'JURISPRUDENTIE'%257C'LITERATUUR'%257C'GESCHIEDENIS'%257D)%257C%257B'Wetdeel''NTFR'%257C'NTFRB'%257C'FISBIB'%257C'FWR'%257C'FG'%257C'FPR'%257C'FZR'%257D)%257C(%257B'Wetdeel''IB'%257C'VPB'%257C'OB'%257C'LB'%257C'FBR'%257C'DIV'%257C'SUC'%257C'IBR'%257C'INV'%257C'WOZ'%257C'PH'%257D%2520%2526%2520%257B'Status''ACTUEEL'%257C'VERVALLEN'%257D%2526%257B'NDFR_TYPE''BESLUIT'%257C'BESLUIT'%257D)%26sSearchFilterMain%3D'IB','VPB','OB','LB','FBR','DIV','SUC','IBR','INV','WOZ','PH','NTFR'%257C'NTFRB','FISBIB','FWR'%257C'FG','FPR'%257C'FZR'%26bSortOnNumdat%3Dfalse%26sQuery%3DVolledigeTekst%253Dfalcons%252520arrest%252520hoge%252520raad%252520deelnemingsvrijstelling%252520EN%252520niet%252520(volledigewet)%26sSgc%3DVolledigeTekst%26sQueryPresentation%3DZoekterm%253A%2520falcons%252520arrest%252520hoge%252520raad%252520deelnemingsvrijstelling%252520EN%252520niet%252520(volledigewet)%26sRelevanceRanking%3Dnumberofhits&amp;sHitlistInfo=&amp;iHit=11&amp;ht=true" TargetMode="External"/><Relationship Id="rId2" Type="http://schemas.openxmlformats.org/officeDocument/2006/relationships/hyperlink" Target="javascript:nav.loadDivAncre('/cl3/application-context/SOO/index.jsp?gc=WKNL-KL-PNP-SOO-GC-DOCTYPES&amp;sc=WKNL-KL-PNP-SOO-FOLLOWLINK&amp;docId=PUMA%2Finod_ae676006dc69fd7b3038be58dc926809')" TargetMode="External"/><Relationship Id="rId1" Type="http://schemas.openxmlformats.org/officeDocument/2006/relationships/hyperlink" Target="http://www.pleinplus.nl/algemeen/toonbijlage.asp?id=6578" TargetMode="External"/><Relationship Id="rId6" Type="http://schemas.openxmlformats.org/officeDocument/2006/relationships/hyperlink" Target="http://www.ndfr.nl/pgdocument/document.asp?sQueryInfo=sDtbId%3Dndfr%26sSearchFilter%3D(%257B'Wetdeel''IB'%257C'VPB'%257C'OB'%257C'LB'%257C'FBR'%257C'DIV'%257C'SUC'%257C'IBR'%257C'INV'%257C'WOZ'%257C'PH'%257D%2526%257B'NDFR_TYPE''JURISPRUDENTIE'%257C'LITERATUUR'%257D)%257C%257B'Wetdeel''NTFR'%257C'NTFRB'%257C'FISBIB'%257D%26sSearchFilterMain%3D'IB','VPB','OB','LB','FBR','DIV','SUC','IBR','INV','WOZ','PH','NTFR'%257C'NTFRB','FISBIB'%26bSortOnNumdat%3Dfalse%26sQuery%3DVolledigeTekst%253D8%252520april%2525202011%252520hoge%252520raad%252520verbonden%252520lichamen%252520EN%252520niet%252520(volledigewet)%26sSgc%3DVolledigeTekst%26sQueryPresentation%3DZoekterm%253A%25208%252520april%2525202011%252520hoge%252520raad%252520verbonden%252520lichamen%252520EN%252520niet%252520(volledigewet)%26sRelevanceRanking%3Dnumberofhits%26sRelevanceRanking%3Dnumberofhits&amp;sHitlistInfo=&amp;iHit=20&amp;ht=true" TargetMode="External"/><Relationship Id="rId5" Type="http://schemas.openxmlformats.org/officeDocument/2006/relationships/hyperlink" Target="http://www.ndfr.nl/pgdocument/document.asp?sQueryInfo=sDtbId%3Dndfr%26sSearchFilter%3D(%257B'Wetdeel''IB'%257C'VPB'%257C'OB'%257C'LB'%257C'FBR'%257C'DIV'%257C'SUC'%257C'IBR'%257C'INV'%257C'WOZ'%257C'PH'%257D%2526%257B'NDFR_TYPE''JURISPRUDENTIE'%257C'LITERATUUR'%257D)%257C%257B'Wetdeel''NTFR'%257C'NTFRB'%257C'FISBIB'%257D%26sSearchFilterMain%3D'IB','VPB','OB','LB','FBR','DIV','SUC','IBR','INV','WOZ','PH','NTFR'%257C'NTFRB','FISBIB'%26bSortOnNumdat%3Dfalse%26sQuery%3DVolledigeTekst%253D8%252520april%2525202011%252520hoge%252520raad%252520verbonden%252520lichamen%252520EN%252520niet%252520(volledigewet)%26sSgc%3DVolledigeTekst%26sQueryPresentation%3DZoekterm%253A%25208%252520april%2525202011%252520hoge%252520raad%252520verbonden%252520lichamen%252520EN%252520niet%252520(volledigewet)%26sRelevanceRanking%3Dnumberofhits%26sRelevanceRanking%3Dnumberofhits&amp;sHitlistInfo=&amp;iHit=20&amp;ht=true" TargetMode="External"/><Relationship Id="rId4" Type="http://schemas.openxmlformats.org/officeDocument/2006/relationships/hyperlink" Target="http://www.ndfr.nl/pgdocument/document.asp?sQueryInfo=sDtbId%3Dndfr%26sSearchFilter%3D(%257B'Wetdeel''IB'%257C'VPB'%257C'OB'%257C'LB'%257C'FBR'%257C'DIV'%257C'SUC'%257C'IBR'%257C'INV'%257C'WOZ'%257C'PH'%257D%2526%257B'NDFR_TYPE''JURISPRUDENTIE'%257C'LITERATUUR'%257D)%257C%257B'Wetdeel''NTFR'%257C'NTFRB'%257C'FISBIB'%257D%26sSearchFilterMain%3D'IB','VPB','OB','LB','FBR','DIV','SUC','IBR','INV','WOZ','PH','NTFR'%257C'NTFRB','FISBIB'%26bSortOnNumdat%3Dfalse%26sQuery%3DVolledigeTekst%253D8%252520april%2525202011%252520hoge%252520raad%252520verbonden%252520lichamen%252520EN%252520niet%252520(volledigewet)%26sSgc%3DVolledigeTekst%26sQueryPresentation%3DZoekterm%253A%25208%252520april%2525202011%252520hoge%252520raad%252520verbonden%252520lichamen%252520EN%252520niet%252520(volledigewet)%26sRelevanceRanking%3Dnumberofhits%26sRelevanceRanking%3Dnumberofhits&amp;sHitlistInfo=&amp;iHit=20&amp;ht=true" TargetMode="External"/><Relationship Id="rId9" Type="http://schemas.openxmlformats.org/officeDocument/2006/relationships/hyperlink" Target="javascript:nav.loadDivAncre('/cl3/application-context/SOO/index.jsp?gc=WKNL-KL-PNP-SOO-GC-DOCTYPES&amp;sc=WKNL-KL-PNP-SOO-FOLLOWLINK&amp;docId=PUMA%2Finod_31c507b0283975aae5d5a16b16ac751c')"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A8FA01-8DF2-4B8B-A7B5-B3D8289EB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12514</Words>
  <Characters>71335</Characters>
  <Application>Microsoft Office Word</Application>
  <DocSecurity>4</DocSecurity>
  <Lines>594</Lines>
  <Paragraphs>167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83682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Tanouti</dc:creator>
  <cp:lastModifiedBy>Michiel P. L. Adriaansen</cp:lastModifiedBy>
  <cp:revision>2</cp:revision>
  <cp:lastPrinted>2011-07-22T20:27:00Z</cp:lastPrinted>
  <dcterms:created xsi:type="dcterms:W3CDTF">2011-08-29T14:58:00Z</dcterms:created>
  <dcterms:modified xsi:type="dcterms:W3CDTF">2011-08-29T14:58:00Z</dcterms:modified>
</cp:coreProperties>
</file>