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945" w:rsidRPr="005E1A72" w:rsidRDefault="00A64945" w:rsidP="001B63BD">
      <w:pPr>
        <w:rPr>
          <w:i/>
          <w:sz w:val="28"/>
          <w:szCs w:val="28"/>
        </w:rPr>
      </w:pPr>
      <w:r w:rsidRPr="005E1A72">
        <w:rPr>
          <w:sz w:val="28"/>
          <w:szCs w:val="28"/>
        </w:rPr>
        <w:t xml:space="preserve">ERASMUS UNIVERSITEIT ROTTERDAM </w:t>
      </w:r>
      <w:r w:rsidRPr="005E1A72">
        <w:rPr>
          <w:sz w:val="28"/>
          <w:szCs w:val="28"/>
        </w:rPr>
        <w:tab/>
        <w:t xml:space="preserve">         </w:t>
      </w:r>
      <w:r>
        <w:rPr>
          <w:sz w:val="28"/>
          <w:szCs w:val="28"/>
        </w:rPr>
        <w:tab/>
      </w:r>
      <w:r>
        <w:rPr>
          <w:sz w:val="28"/>
          <w:szCs w:val="28"/>
        </w:rPr>
        <w:tab/>
      </w:r>
      <w:r w:rsidRPr="005E1A72">
        <w:rPr>
          <w:sz w:val="28"/>
          <w:szCs w:val="28"/>
        </w:rPr>
        <w:t xml:space="preserve"> </w:t>
      </w:r>
      <w:r>
        <w:rPr>
          <w:sz w:val="28"/>
          <w:szCs w:val="28"/>
        </w:rPr>
        <w:t>NADRUK VERBODEN</w:t>
      </w:r>
    </w:p>
    <w:p w:rsidR="00A64945" w:rsidRPr="005E1A72" w:rsidRDefault="00A64945" w:rsidP="001B63BD">
      <w:pPr>
        <w:rPr>
          <w:i/>
          <w:sz w:val="28"/>
          <w:szCs w:val="28"/>
        </w:rPr>
      </w:pPr>
      <w:r w:rsidRPr="005E1A72">
        <w:rPr>
          <w:sz w:val="28"/>
          <w:szCs w:val="28"/>
        </w:rPr>
        <w:t>Erasmus School of Economics</w:t>
      </w:r>
    </w:p>
    <w:p w:rsidR="00A64945" w:rsidRPr="000146A9" w:rsidRDefault="00A64945" w:rsidP="001B63BD">
      <w:pPr>
        <w:rPr>
          <w:i/>
          <w:sz w:val="28"/>
          <w:szCs w:val="28"/>
          <w:u w:val="single"/>
        </w:rPr>
      </w:pPr>
      <w:r w:rsidRPr="000146A9">
        <w:rPr>
          <w:sz w:val="28"/>
          <w:szCs w:val="28"/>
          <w:u w:val="single"/>
        </w:rPr>
        <w:t>M</w:t>
      </w:r>
      <w:r>
        <w:rPr>
          <w:sz w:val="28"/>
          <w:szCs w:val="28"/>
          <w:u w:val="single"/>
        </w:rPr>
        <w:t>asterscriptie</w:t>
      </w:r>
    </w:p>
    <w:p w:rsidR="00A64945" w:rsidRDefault="00A64945" w:rsidP="001B63BD">
      <w:pPr>
        <w:jc w:val="center"/>
        <w:rPr>
          <w:b/>
          <w:sz w:val="44"/>
          <w:szCs w:val="44"/>
        </w:rPr>
      </w:pPr>
    </w:p>
    <w:p w:rsidR="00A64945" w:rsidRPr="007C631F" w:rsidRDefault="00A64945" w:rsidP="001B63BD">
      <w:pPr>
        <w:jc w:val="center"/>
        <w:rPr>
          <w:i/>
          <w:sz w:val="36"/>
          <w:szCs w:val="36"/>
        </w:rPr>
      </w:pPr>
      <w:r>
        <w:rPr>
          <w:b/>
          <w:sz w:val="44"/>
          <w:szCs w:val="44"/>
        </w:rPr>
        <w:t xml:space="preserve">De relatie tussen Curaçao en de Europese Unie en het effect van het aangaan van nauwere banden tussen deze twee op de Curaçaose economische zone: </w:t>
      </w:r>
      <w:r w:rsidRPr="007C631F">
        <w:rPr>
          <w:i/>
          <w:sz w:val="36"/>
          <w:szCs w:val="36"/>
        </w:rPr>
        <w:t xml:space="preserve">in hoeverre is de huidige E- Zonewetgeving </w:t>
      </w:r>
      <w:r>
        <w:rPr>
          <w:i/>
          <w:sz w:val="36"/>
          <w:szCs w:val="36"/>
        </w:rPr>
        <w:t>Europees rechtelijk bestendig</w:t>
      </w:r>
      <w:r w:rsidRPr="007C631F">
        <w:rPr>
          <w:i/>
          <w:sz w:val="36"/>
          <w:szCs w:val="36"/>
        </w:rPr>
        <w:t>?</w:t>
      </w:r>
    </w:p>
    <w:p w:rsidR="00A64945" w:rsidRDefault="00A64945" w:rsidP="001B63BD">
      <w:pPr>
        <w:spacing w:after="0" w:line="240" w:lineRule="auto"/>
      </w:pPr>
    </w:p>
    <w:p w:rsidR="00A64945" w:rsidRDefault="00DA44D0" w:rsidP="001B63BD">
      <w:pPr>
        <w:spacing w:after="0" w:line="240" w:lineRule="auto"/>
      </w:pPr>
      <w:r>
        <w:rPr>
          <w:noProof/>
          <w:lang w:val="en-US"/>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1381125" cy="914400"/>
            <wp:effectExtent l="19050" t="0" r="9525" b="0"/>
            <wp:wrapSquare wrapText="bothSides"/>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381125" cy="914400"/>
                    </a:xfrm>
                    <a:prstGeom prst="rect">
                      <a:avLst/>
                    </a:prstGeom>
                    <a:noFill/>
                  </pic:spPr>
                </pic:pic>
              </a:graphicData>
            </a:graphic>
          </wp:anchor>
        </w:drawing>
      </w:r>
      <w:r w:rsidR="00A64945">
        <w:br w:type="textWrapping" w:clear="all"/>
      </w:r>
    </w:p>
    <w:p w:rsidR="00A64945" w:rsidRDefault="00A64945" w:rsidP="001B63BD">
      <w:pPr>
        <w:spacing w:after="0" w:line="240" w:lineRule="auto"/>
      </w:pPr>
    </w:p>
    <w:p w:rsidR="00A64945" w:rsidRDefault="00DA44D0" w:rsidP="001B63BD">
      <w:pPr>
        <w:spacing w:after="0" w:line="240" w:lineRule="auto"/>
        <w:jc w:val="center"/>
      </w:pPr>
      <w:r>
        <w:rPr>
          <w:noProof/>
          <w:lang w:val="en-US"/>
        </w:rPr>
        <w:drawing>
          <wp:inline distT="0" distB="0" distL="0" distR="0">
            <wp:extent cx="1377950" cy="883920"/>
            <wp:effectExtent l="1905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1377950" cy="883920"/>
                    </a:xfrm>
                    <a:prstGeom prst="rect">
                      <a:avLst/>
                    </a:prstGeom>
                    <a:noFill/>
                    <a:ln w="9525">
                      <a:noFill/>
                      <a:miter lim="800000"/>
                      <a:headEnd/>
                      <a:tailEnd/>
                    </a:ln>
                  </pic:spPr>
                </pic:pic>
              </a:graphicData>
            </a:graphic>
          </wp:inline>
        </w:drawing>
      </w:r>
    </w:p>
    <w:p w:rsidR="00A64945" w:rsidRDefault="00A64945" w:rsidP="001B63BD">
      <w:pPr>
        <w:spacing w:after="0" w:line="240" w:lineRule="auto"/>
      </w:pPr>
    </w:p>
    <w:p w:rsidR="00A64945" w:rsidRDefault="00DA44D0" w:rsidP="001B63BD">
      <w:pPr>
        <w:spacing w:after="0" w:line="240" w:lineRule="auto"/>
        <w:jc w:val="right"/>
      </w:pPr>
      <w:r>
        <w:rPr>
          <w:noProof/>
          <w:lang w:val="en-US"/>
        </w:rPr>
        <w:drawing>
          <wp:inline distT="0" distB="0" distL="0" distR="0">
            <wp:extent cx="1365250" cy="883920"/>
            <wp:effectExtent l="1905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365250" cy="883920"/>
                    </a:xfrm>
                    <a:prstGeom prst="rect">
                      <a:avLst/>
                    </a:prstGeom>
                    <a:noFill/>
                    <a:ln w="9525">
                      <a:noFill/>
                      <a:miter lim="800000"/>
                      <a:headEnd/>
                      <a:tailEnd/>
                    </a:ln>
                  </pic:spPr>
                </pic:pic>
              </a:graphicData>
            </a:graphic>
          </wp:inline>
        </w:drawing>
      </w:r>
    </w:p>
    <w:p w:rsidR="00A64945" w:rsidRPr="00CB239C" w:rsidRDefault="00A64945" w:rsidP="001B63BD">
      <w:pPr>
        <w:spacing w:after="0"/>
        <w:rPr>
          <w:i/>
          <w:sz w:val="28"/>
          <w:szCs w:val="28"/>
        </w:rPr>
      </w:pPr>
      <w:r w:rsidRPr="00CB239C">
        <w:rPr>
          <w:sz w:val="28"/>
          <w:szCs w:val="28"/>
        </w:rPr>
        <w:t xml:space="preserve">Naam: </w:t>
      </w:r>
      <w:r>
        <w:rPr>
          <w:sz w:val="28"/>
          <w:szCs w:val="28"/>
        </w:rPr>
        <w:tab/>
      </w:r>
      <w:r>
        <w:rPr>
          <w:sz w:val="28"/>
          <w:szCs w:val="28"/>
        </w:rPr>
        <w:tab/>
      </w:r>
      <w:r w:rsidRPr="00CB239C">
        <w:rPr>
          <w:sz w:val="28"/>
          <w:szCs w:val="28"/>
        </w:rPr>
        <w:t>Maite M.M. Everon</w:t>
      </w:r>
    </w:p>
    <w:p w:rsidR="00A64945" w:rsidRPr="00CB239C" w:rsidRDefault="00A64945" w:rsidP="001B63BD">
      <w:pPr>
        <w:spacing w:after="0"/>
        <w:rPr>
          <w:i/>
          <w:sz w:val="28"/>
          <w:szCs w:val="28"/>
        </w:rPr>
      </w:pPr>
      <w:r w:rsidRPr="00CB239C">
        <w:rPr>
          <w:sz w:val="28"/>
          <w:szCs w:val="28"/>
        </w:rPr>
        <w:t xml:space="preserve">Studentnummer: </w:t>
      </w:r>
      <w:r>
        <w:rPr>
          <w:sz w:val="28"/>
          <w:szCs w:val="28"/>
        </w:rPr>
        <w:tab/>
      </w:r>
      <w:r w:rsidRPr="00CB239C">
        <w:rPr>
          <w:sz w:val="28"/>
          <w:szCs w:val="28"/>
        </w:rPr>
        <w:t>291694</w:t>
      </w:r>
    </w:p>
    <w:p w:rsidR="00A64945" w:rsidRPr="00CB239C" w:rsidRDefault="00A64945" w:rsidP="001B63BD">
      <w:pPr>
        <w:spacing w:after="0"/>
        <w:rPr>
          <w:i/>
          <w:sz w:val="28"/>
          <w:szCs w:val="28"/>
        </w:rPr>
      </w:pPr>
      <w:r w:rsidRPr="00CB239C">
        <w:rPr>
          <w:sz w:val="28"/>
          <w:szCs w:val="28"/>
        </w:rPr>
        <w:t xml:space="preserve">Begeleider: </w:t>
      </w:r>
      <w:r>
        <w:rPr>
          <w:sz w:val="28"/>
          <w:szCs w:val="28"/>
        </w:rPr>
        <w:tab/>
      </w:r>
      <w:r>
        <w:rPr>
          <w:sz w:val="28"/>
          <w:szCs w:val="28"/>
        </w:rPr>
        <w:tab/>
      </w:r>
      <w:r w:rsidRPr="00CB239C">
        <w:rPr>
          <w:sz w:val="28"/>
          <w:szCs w:val="28"/>
        </w:rPr>
        <w:t>Drs. M.</w:t>
      </w:r>
      <w:r>
        <w:rPr>
          <w:sz w:val="28"/>
          <w:szCs w:val="28"/>
        </w:rPr>
        <w:t xml:space="preserve">T.E. </w:t>
      </w:r>
      <w:r w:rsidRPr="00CB239C">
        <w:rPr>
          <w:sz w:val="28"/>
          <w:szCs w:val="28"/>
        </w:rPr>
        <w:t>Robben</w:t>
      </w:r>
    </w:p>
    <w:p w:rsidR="00A64945" w:rsidRPr="00693F7C" w:rsidRDefault="00A64945" w:rsidP="001B63BD">
      <w:pPr>
        <w:spacing w:after="0"/>
        <w:rPr>
          <w:sz w:val="28"/>
          <w:szCs w:val="28"/>
        </w:rPr>
      </w:pPr>
      <w:r w:rsidRPr="00693F7C">
        <w:rPr>
          <w:sz w:val="28"/>
          <w:szCs w:val="28"/>
        </w:rPr>
        <w:t>Plaats &amp; Datum:</w:t>
      </w:r>
      <w:r w:rsidRPr="00693F7C">
        <w:rPr>
          <w:sz w:val="28"/>
          <w:szCs w:val="28"/>
        </w:rPr>
        <w:tab/>
        <w:t>Den Haag,  augustus 2011</w:t>
      </w:r>
    </w:p>
    <w:p w:rsidR="00A64945" w:rsidRPr="00693F7C" w:rsidRDefault="00A64945">
      <w:pPr>
        <w:rPr>
          <w:rFonts w:cs="Times New Roman"/>
          <w:b/>
          <w:bCs/>
          <w:sz w:val="28"/>
          <w:szCs w:val="28"/>
        </w:rPr>
      </w:pPr>
      <w:r w:rsidRPr="00693F7C">
        <w:br w:type="page"/>
      </w:r>
    </w:p>
    <w:p w:rsidR="00A64945" w:rsidRPr="005C0B21" w:rsidRDefault="00A64945" w:rsidP="005C0B21">
      <w:pPr>
        <w:pStyle w:val="Heading1"/>
        <w:spacing w:before="0" w:line="360" w:lineRule="auto"/>
        <w:jc w:val="both"/>
        <w:rPr>
          <w:rFonts w:ascii="Calibri" w:hAnsi="Calibri"/>
          <w:color w:val="auto"/>
        </w:rPr>
      </w:pPr>
      <w:bookmarkStart w:id="0" w:name="_Toc299634256"/>
      <w:r w:rsidRPr="005C0B21">
        <w:rPr>
          <w:rFonts w:ascii="Calibri" w:hAnsi="Calibri"/>
          <w:color w:val="auto"/>
        </w:rPr>
        <w:t>I</w:t>
      </w:r>
      <w:r>
        <w:rPr>
          <w:rFonts w:ascii="Calibri" w:hAnsi="Calibri"/>
          <w:color w:val="auto"/>
        </w:rPr>
        <w:t>nhoudsopgave</w:t>
      </w:r>
      <w:bookmarkEnd w:id="0"/>
    </w:p>
    <w:p w:rsidR="00A64945" w:rsidRDefault="00CB17CC">
      <w:pPr>
        <w:pStyle w:val="TOC1"/>
        <w:rPr>
          <w:rFonts w:cs="Times New Roman"/>
          <w:b w:val="0"/>
          <w:sz w:val="22"/>
          <w:szCs w:val="22"/>
          <w:lang w:val="en-US"/>
        </w:rPr>
      </w:pPr>
      <w:r w:rsidRPr="00CB17CC">
        <w:rPr>
          <w:bCs/>
        </w:rPr>
        <w:fldChar w:fldCharType="begin"/>
      </w:r>
      <w:r w:rsidR="00A64945">
        <w:rPr>
          <w:bCs/>
        </w:rPr>
        <w:instrText xml:space="preserve"> TOC \o "1-4" \h \z \u </w:instrText>
      </w:r>
      <w:r w:rsidRPr="00CB17CC">
        <w:rPr>
          <w:bCs/>
        </w:rPr>
        <w:fldChar w:fldCharType="separate"/>
      </w:r>
      <w:hyperlink w:anchor="_Toc299634256" w:history="1">
        <w:r w:rsidR="00A64945" w:rsidRPr="00745548">
          <w:rPr>
            <w:rStyle w:val="Hyperlink"/>
          </w:rPr>
          <w:t>Inhoudsopgave</w:t>
        </w:r>
        <w:r w:rsidR="00A64945">
          <w:rPr>
            <w:webHidden/>
          </w:rPr>
          <w:tab/>
        </w:r>
        <w:r>
          <w:rPr>
            <w:webHidden/>
          </w:rPr>
          <w:fldChar w:fldCharType="begin"/>
        </w:r>
        <w:r w:rsidR="00A64945">
          <w:rPr>
            <w:webHidden/>
          </w:rPr>
          <w:instrText xml:space="preserve"> PAGEREF _Toc299634256 \h </w:instrText>
        </w:r>
        <w:r>
          <w:rPr>
            <w:webHidden/>
          </w:rPr>
        </w:r>
        <w:r>
          <w:rPr>
            <w:webHidden/>
          </w:rPr>
          <w:fldChar w:fldCharType="separate"/>
        </w:r>
        <w:r w:rsidR="00A64945">
          <w:rPr>
            <w:webHidden/>
          </w:rPr>
          <w:t>2</w:t>
        </w:r>
        <w:r>
          <w:rPr>
            <w:webHidden/>
          </w:rPr>
          <w:fldChar w:fldCharType="end"/>
        </w:r>
      </w:hyperlink>
    </w:p>
    <w:p w:rsidR="00A64945" w:rsidRDefault="00CB17CC">
      <w:pPr>
        <w:pStyle w:val="TOC1"/>
        <w:rPr>
          <w:rFonts w:cs="Times New Roman"/>
          <w:b w:val="0"/>
          <w:sz w:val="22"/>
          <w:szCs w:val="22"/>
          <w:lang w:val="en-US"/>
        </w:rPr>
      </w:pPr>
      <w:hyperlink w:anchor="_Toc299634257" w:history="1">
        <w:r w:rsidR="00A64945" w:rsidRPr="00745548">
          <w:rPr>
            <w:rStyle w:val="Hyperlink"/>
          </w:rPr>
          <w:t>Dankwoord (Palabra di gratitud)</w:t>
        </w:r>
        <w:r w:rsidR="00A64945">
          <w:rPr>
            <w:webHidden/>
          </w:rPr>
          <w:tab/>
        </w:r>
        <w:r>
          <w:rPr>
            <w:webHidden/>
          </w:rPr>
          <w:fldChar w:fldCharType="begin"/>
        </w:r>
        <w:r w:rsidR="00A64945">
          <w:rPr>
            <w:webHidden/>
          </w:rPr>
          <w:instrText xml:space="preserve"> PAGEREF _Toc299634257 \h </w:instrText>
        </w:r>
        <w:r>
          <w:rPr>
            <w:webHidden/>
          </w:rPr>
        </w:r>
        <w:r>
          <w:rPr>
            <w:webHidden/>
          </w:rPr>
          <w:fldChar w:fldCharType="separate"/>
        </w:r>
        <w:r w:rsidR="00A64945">
          <w:rPr>
            <w:webHidden/>
          </w:rPr>
          <w:t>5</w:t>
        </w:r>
        <w:r>
          <w:rPr>
            <w:webHidden/>
          </w:rPr>
          <w:fldChar w:fldCharType="end"/>
        </w:r>
      </w:hyperlink>
    </w:p>
    <w:p w:rsidR="00A64945" w:rsidRDefault="00CB17CC">
      <w:pPr>
        <w:pStyle w:val="TOC1"/>
        <w:rPr>
          <w:rFonts w:cs="Times New Roman"/>
          <w:b w:val="0"/>
          <w:sz w:val="22"/>
          <w:szCs w:val="22"/>
          <w:lang w:val="en-US"/>
        </w:rPr>
      </w:pPr>
      <w:hyperlink w:anchor="_Toc299634258" w:history="1">
        <w:r w:rsidR="00A64945" w:rsidRPr="00745548">
          <w:rPr>
            <w:rStyle w:val="Hyperlink"/>
          </w:rPr>
          <w:t>H1. Inleiding</w:t>
        </w:r>
        <w:r w:rsidR="00A64945">
          <w:rPr>
            <w:webHidden/>
          </w:rPr>
          <w:tab/>
        </w:r>
        <w:r>
          <w:rPr>
            <w:webHidden/>
          </w:rPr>
          <w:fldChar w:fldCharType="begin"/>
        </w:r>
        <w:r w:rsidR="00A64945">
          <w:rPr>
            <w:webHidden/>
          </w:rPr>
          <w:instrText xml:space="preserve"> PAGEREF _Toc299634258 \h </w:instrText>
        </w:r>
        <w:r>
          <w:rPr>
            <w:webHidden/>
          </w:rPr>
        </w:r>
        <w:r>
          <w:rPr>
            <w:webHidden/>
          </w:rPr>
          <w:fldChar w:fldCharType="separate"/>
        </w:r>
        <w:r w:rsidR="00A64945">
          <w:rPr>
            <w:webHidden/>
          </w:rPr>
          <w:t>6</w:t>
        </w:r>
        <w:r>
          <w:rPr>
            <w:webHidden/>
          </w:rPr>
          <w:fldChar w:fldCharType="end"/>
        </w:r>
      </w:hyperlink>
    </w:p>
    <w:p w:rsidR="00A64945" w:rsidRDefault="00CB17CC">
      <w:pPr>
        <w:pStyle w:val="TOC2"/>
        <w:tabs>
          <w:tab w:val="right" w:leader="dot" w:pos="9062"/>
        </w:tabs>
        <w:rPr>
          <w:rFonts w:cs="Times New Roman"/>
          <w:noProof/>
          <w:lang w:val="en-US"/>
        </w:rPr>
      </w:pPr>
      <w:hyperlink w:anchor="_Toc299634259" w:history="1">
        <w:r w:rsidR="00A64945" w:rsidRPr="00745548">
          <w:rPr>
            <w:rStyle w:val="Hyperlink"/>
            <w:noProof/>
          </w:rPr>
          <w:t>§1.1. Aanleiding tot onderzoek</w:t>
        </w:r>
        <w:r w:rsidR="00A64945">
          <w:rPr>
            <w:noProof/>
            <w:webHidden/>
          </w:rPr>
          <w:tab/>
        </w:r>
        <w:r>
          <w:rPr>
            <w:noProof/>
            <w:webHidden/>
          </w:rPr>
          <w:fldChar w:fldCharType="begin"/>
        </w:r>
        <w:r w:rsidR="00A64945">
          <w:rPr>
            <w:noProof/>
            <w:webHidden/>
          </w:rPr>
          <w:instrText xml:space="preserve"> PAGEREF _Toc299634259 \h </w:instrText>
        </w:r>
        <w:r>
          <w:rPr>
            <w:noProof/>
            <w:webHidden/>
          </w:rPr>
        </w:r>
        <w:r>
          <w:rPr>
            <w:noProof/>
            <w:webHidden/>
          </w:rPr>
          <w:fldChar w:fldCharType="separate"/>
        </w:r>
        <w:r w:rsidR="00A64945">
          <w:rPr>
            <w:noProof/>
            <w:webHidden/>
          </w:rPr>
          <w:t>6</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60" w:history="1">
        <w:r w:rsidR="00A64945" w:rsidRPr="00745548">
          <w:rPr>
            <w:rStyle w:val="Hyperlink"/>
            <w:noProof/>
          </w:rPr>
          <w:t>§1.1.1. Inleiding</w:t>
        </w:r>
        <w:r w:rsidR="00A64945">
          <w:rPr>
            <w:noProof/>
            <w:webHidden/>
          </w:rPr>
          <w:tab/>
        </w:r>
        <w:r>
          <w:rPr>
            <w:noProof/>
            <w:webHidden/>
          </w:rPr>
          <w:fldChar w:fldCharType="begin"/>
        </w:r>
        <w:r w:rsidR="00A64945">
          <w:rPr>
            <w:noProof/>
            <w:webHidden/>
          </w:rPr>
          <w:instrText xml:space="preserve"> PAGEREF _Toc299634260 \h </w:instrText>
        </w:r>
        <w:r>
          <w:rPr>
            <w:noProof/>
            <w:webHidden/>
          </w:rPr>
        </w:r>
        <w:r>
          <w:rPr>
            <w:noProof/>
            <w:webHidden/>
          </w:rPr>
          <w:fldChar w:fldCharType="separate"/>
        </w:r>
        <w:r w:rsidR="00A64945">
          <w:rPr>
            <w:noProof/>
            <w:webHidden/>
          </w:rPr>
          <w:t>6</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61" w:history="1">
        <w:r w:rsidR="00A64945" w:rsidRPr="00745548">
          <w:rPr>
            <w:rStyle w:val="Hyperlink"/>
            <w:noProof/>
          </w:rPr>
          <w:t>§1.1.2. Landen en Gebieden Overzee</w:t>
        </w:r>
        <w:r w:rsidR="00A64945">
          <w:rPr>
            <w:noProof/>
            <w:webHidden/>
          </w:rPr>
          <w:tab/>
        </w:r>
        <w:r>
          <w:rPr>
            <w:noProof/>
            <w:webHidden/>
          </w:rPr>
          <w:fldChar w:fldCharType="begin"/>
        </w:r>
        <w:r w:rsidR="00A64945">
          <w:rPr>
            <w:noProof/>
            <w:webHidden/>
          </w:rPr>
          <w:instrText xml:space="preserve"> PAGEREF _Toc299634261 \h </w:instrText>
        </w:r>
        <w:r>
          <w:rPr>
            <w:noProof/>
            <w:webHidden/>
          </w:rPr>
        </w:r>
        <w:r>
          <w:rPr>
            <w:noProof/>
            <w:webHidden/>
          </w:rPr>
          <w:fldChar w:fldCharType="separate"/>
        </w:r>
        <w:r w:rsidR="00A64945">
          <w:rPr>
            <w:noProof/>
            <w:webHidden/>
          </w:rPr>
          <w:t>7</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62" w:history="1">
        <w:r w:rsidR="00A64945" w:rsidRPr="00745548">
          <w:rPr>
            <w:rStyle w:val="Hyperlink"/>
            <w:noProof/>
          </w:rPr>
          <w:t>§1.1.3. Ultraperifere Gebieden</w:t>
        </w:r>
        <w:r w:rsidR="00A64945">
          <w:rPr>
            <w:noProof/>
            <w:webHidden/>
          </w:rPr>
          <w:tab/>
        </w:r>
        <w:r>
          <w:rPr>
            <w:noProof/>
            <w:webHidden/>
          </w:rPr>
          <w:fldChar w:fldCharType="begin"/>
        </w:r>
        <w:r w:rsidR="00A64945">
          <w:rPr>
            <w:noProof/>
            <w:webHidden/>
          </w:rPr>
          <w:instrText xml:space="preserve"> PAGEREF _Toc299634262 \h </w:instrText>
        </w:r>
        <w:r>
          <w:rPr>
            <w:noProof/>
            <w:webHidden/>
          </w:rPr>
        </w:r>
        <w:r>
          <w:rPr>
            <w:noProof/>
            <w:webHidden/>
          </w:rPr>
          <w:fldChar w:fldCharType="separate"/>
        </w:r>
        <w:r w:rsidR="00A64945">
          <w:rPr>
            <w:noProof/>
            <w:webHidden/>
          </w:rPr>
          <w:t>10</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63" w:history="1">
        <w:r w:rsidR="00A64945" w:rsidRPr="00745548">
          <w:rPr>
            <w:rStyle w:val="Hyperlink"/>
            <w:noProof/>
          </w:rPr>
          <w:t>§1.1.4. UPG- status voor bijzondere gemeenten Bonaire, Saba en Sint Eustatius</w:t>
        </w:r>
        <w:r w:rsidR="00A64945">
          <w:rPr>
            <w:noProof/>
            <w:webHidden/>
          </w:rPr>
          <w:tab/>
        </w:r>
        <w:r>
          <w:rPr>
            <w:noProof/>
            <w:webHidden/>
          </w:rPr>
          <w:fldChar w:fldCharType="begin"/>
        </w:r>
        <w:r w:rsidR="00A64945">
          <w:rPr>
            <w:noProof/>
            <w:webHidden/>
          </w:rPr>
          <w:instrText xml:space="preserve"> PAGEREF _Toc299634263 \h </w:instrText>
        </w:r>
        <w:r>
          <w:rPr>
            <w:noProof/>
            <w:webHidden/>
          </w:rPr>
        </w:r>
        <w:r>
          <w:rPr>
            <w:noProof/>
            <w:webHidden/>
          </w:rPr>
          <w:fldChar w:fldCharType="separate"/>
        </w:r>
        <w:r w:rsidR="00A64945">
          <w:rPr>
            <w:noProof/>
            <w:webHidden/>
          </w:rPr>
          <w:t>13</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64" w:history="1">
        <w:r w:rsidR="00A64945" w:rsidRPr="00745548">
          <w:rPr>
            <w:rStyle w:val="Hyperlink"/>
            <w:noProof/>
          </w:rPr>
          <w:t>§1.1.5. Opvattingen betreffende een statuswisseling van LGO naar UPG voor Curaçao</w:t>
        </w:r>
        <w:r w:rsidR="00A64945">
          <w:rPr>
            <w:noProof/>
            <w:webHidden/>
          </w:rPr>
          <w:tab/>
        </w:r>
        <w:r>
          <w:rPr>
            <w:noProof/>
            <w:webHidden/>
          </w:rPr>
          <w:fldChar w:fldCharType="begin"/>
        </w:r>
        <w:r w:rsidR="00A64945">
          <w:rPr>
            <w:noProof/>
            <w:webHidden/>
          </w:rPr>
          <w:instrText xml:space="preserve"> PAGEREF _Toc299634264 \h </w:instrText>
        </w:r>
        <w:r>
          <w:rPr>
            <w:noProof/>
            <w:webHidden/>
          </w:rPr>
        </w:r>
        <w:r>
          <w:rPr>
            <w:noProof/>
            <w:webHidden/>
          </w:rPr>
          <w:fldChar w:fldCharType="separate"/>
        </w:r>
        <w:r w:rsidR="00A64945">
          <w:rPr>
            <w:noProof/>
            <w:webHidden/>
          </w:rPr>
          <w:t>16</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265" w:history="1">
        <w:r w:rsidR="00A64945" w:rsidRPr="00745548">
          <w:rPr>
            <w:rStyle w:val="Hyperlink"/>
            <w:noProof/>
          </w:rPr>
          <w:t>§1.2 Probleemstelling</w:t>
        </w:r>
        <w:r w:rsidR="00A64945">
          <w:rPr>
            <w:noProof/>
            <w:webHidden/>
          </w:rPr>
          <w:tab/>
        </w:r>
        <w:r>
          <w:rPr>
            <w:noProof/>
            <w:webHidden/>
          </w:rPr>
          <w:fldChar w:fldCharType="begin"/>
        </w:r>
        <w:r w:rsidR="00A64945">
          <w:rPr>
            <w:noProof/>
            <w:webHidden/>
          </w:rPr>
          <w:instrText xml:space="preserve"> PAGEREF _Toc299634265 \h </w:instrText>
        </w:r>
        <w:r>
          <w:rPr>
            <w:noProof/>
            <w:webHidden/>
          </w:rPr>
        </w:r>
        <w:r>
          <w:rPr>
            <w:noProof/>
            <w:webHidden/>
          </w:rPr>
          <w:fldChar w:fldCharType="separate"/>
        </w:r>
        <w:r w:rsidR="00A64945">
          <w:rPr>
            <w:noProof/>
            <w:webHidden/>
          </w:rPr>
          <w:t>23</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266" w:history="1">
        <w:r w:rsidR="00A64945" w:rsidRPr="00745548">
          <w:rPr>
            <w:rStyle w:val="Hyperlink"/>
            <w:noProof/>
          </w:rPr>
          <w:t>§1.3 Opzet onderzoek</w:t>
        </w:r>
        <w:r w:rsidR="00A64945">
          <w:rPr>
            <w:noProof/>
            <w:webHidden/>
          </w:rPr>
          <w:tab/>
        </w:r>
        <w:r>
          <w:rPr>
            <w:noProof/>
            <w:webHidden/>
          </w:rPr>
          <w:fldChar w:fldCharType="begin"/>
        </w:r>
        <w:r w:rsidR="00A64945">
          <w:rPr>
            <w:noProof/>
            <w:webHidden/>
          </w:rPr>
          <w:instrText xml:space="preserve"> PAGEREF _Toc299634266 \h </w:instrText>
        </w:r>
        <w:r>
          <w:rPr>
            <w:noProof/>
            <w:webHidden/>
          </w:rPr>
        </w:r>
        <w:r>
          <w:rPr>
            <w:noProof/>
            <w:webHidden/>
          </w:rPr>
          <w:fldChar w:fldCharType="separate"/>
        </w:r>
        <w:r w:rsidR="00A64945">
          <w:rPr>
            <w:noProof/>
            <w:webHidden/>
          </w:rPr>
          <w:t>26</w:t>
        </w:r>
        <w:r>
          <w:rPr>
            <w:noProof/>
            <w:webHidden/>
          </w:rPr>
          <w:fldChar w:fldCharType="end"/>
        </w:r>
      </w:hyperlink>
    </w:p>
    <w:p w:rsidR="00A64945" w:rsidRDefault="00CB17CC">
      <w:pPr>
        <w:pStyle w:val="TOC1"/>
        <w:rPr>
          <w:rFonts w:cs="Times New Roman"/>
          <w:b w:val="0"/>
          <w:sz w:val="22"/>
          <w:szCs w:val="22"/>
          <w:lang w:val="en-US"/>
        </w:rPr>
      </w:pPr>
      <w:hyperlink w:anchor="_Toc299634267" w:history="1">
        <w:r w:rsidR="00A64945" w:rsidRPr="00745548">
          <w:rPr>
            <w:rStyle w:val="Hyperlink"/>
          </w:rPr>
          <w:t>H2. Ultraperifere gebieden</w:t>
        </w:r>
        <w:r w:rsidR="00A64945">
          <w:rPr>
            <w:webHidden/>
          </w:rPr>
          <w:tab/>
        </w:r>
        <w:r>
          <w:rPr>
            <w:webHidden/>
          </w:rPr>
          <w:fldChar w:fldCharType="begin"/>
        </w:r>
        <w:r w:rsidR="00A64945">
          <w:rPr>
            <w:webHidden/>
          </w:rPr>
          <w:instrText xml:space="preserve"> PAGEREF _Toc299634267 \h </w:instrText>
        </w:r>
        <w:r>
          <w:rPr>
            <w:webHidden/>
          </w:rPr>
        </w:r>
        <w:r>
          <w:rPr>
            <w:webHidden/>
          </w:rPr>
          <w:fldChar w:fldCharType="separate"/>
        </w:r>
        <w:r w:rsidR="00A64945">
          <w:rPr>
            <w:webHidden/>
          </w:rPr>
          <w:t>28</w:t>
        </w:r>
        <w:r>
          <w:rPr>
            <w:webHidden/>
          </w:rPr>
          <w:fldChar w:fldCharType="end"/>
        </w:r>
      </w:hyperlink>
    </w:p>
    <w:p w:rsidR="00A64945" w:rsidRDefault="00CB17CC">
      <w:pPr>
        <w:pStyle w:val="TOC2"/>
        <w:tabs>
          <w:tab w:val="right" w:leader="dot" w:pos="9062"/>
        </w:tabs>
        <w:rPr>
          <w:rFonts w:cs="Times New Roman"/>
          <w:noProof/>
          <w:lang w:val="en-US"/>
        </w:rPr>
      </w:pPr>
      <w:hyperlink w:anchor="_Toc299634268" w:history="1">
        <w:r w:rsidR="00A64945" w:rsidRPr="00745548">
          <w:rPr>
            <w:rStyle w:val="Hyperlink"/>
            <w:noProof/>
          </w:rPr>
          <w:t>§2.1. Diverse vormen van samenwerking en integratie binnen de EU</w:t>
        </w:r>
        <w:r w:rsidR="00A64945">
          <w:rPr>
            <w:noProof/>
            <w:webHidden/>
          </w:rPr>
          <w:tab/>
        </w:r>
        <w:r>
          <w:rPr>
            <w:noProof/>
            <w:webHidden/>
          </w:rPr>
          <w:fldChar w:fldCharType="begin"/>
        </w:r>
        <w:r w:rsidR="00A64945">
          <w:rPr>
            <w:noProof/>
            <w:webHidden/>
          </w:rPr>
          <w:instrText xml:space="preserve"> PAGEREF _Toc299634268 \h </w:instrText>
        </w:r>
        <w:r>
          <w:rPr>
            <w:noProof/>
            <w:webHidden/>
          </w:rPr>
        </w:r>
        <w:r>
          <w:rPr>
            <w:noProof/>
            <w:webHidden/>
          </w:rPr>
          <w:fldChar w:fldCharType="separate"/>
        </w:r>
        <w:r w:rsidR="00A64945">
          <w:rPr>
            <w:noProof/>
            <w:webHidden/>
          </w:rPr>
          <w:t>29</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269" w:history="1">
        <w:r w:rsidR="00A64945" w:rsidRPr="00745548">
          <w:rPr>
            <w:rStyle w:val="Hyperlink"/>
            <w:noProof/>
          </w:rPr>
          <w:t>§2.2 EU- Verdragsvrijheden</w:t>
        </w:r>
        <w:r w:rsidR="00A64945">
          <w:rPr>
            <w:noProof/>
            <w:webHidden/>
          </w:rPr>
          <w:tab/>
        </w:r>
        <w:r>
          <w:rPr>
            <w:noProof/>
            <w:webHidden/>
          </w:rPr>
          <w:fldChar w:fldCharType="begin"/>
        </w:r>
        <w:r w:rsidR="00A64945">
          <w:rPr>
            <w:noProof/>
            <w:webHidden/>
          </w:rPr>
          <w:instrText xml:space="preserve"> PAGEREF _Toc299634269 \h </w:instrText>
        </w:r>
        <w:r>
          <w:rPr>
            <w:noProof/>
            <w:webHidden/>
          </w:rPr>
        </w:r>
        <w:r>
          <w:rPr>
            <w:noProof/>
            <w:webHidden/>
          </w:rPr>
          <w:fldChar w:fldCharType="separate"/>
        </w:r>
        <w:r w:rsidR="00A64945">
          <w:rPr>
            <w:noProof/>
            <w:webHidden/>
          </w:rPr>
          <w:t>30</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0" w:history="1">
        <w:r w:rsidR="00A64945" w:rsidRPr="00745548">
          <w:rPr>
            <w:rStyle w:val="Hyperlink"/>
            <w:noProof/>
          </w:rPr>
          <w:t>§2.2.1. Inleiding</w:t>
        </w:r>
        <w:r w:rsidR="00A64945">
          <w:rPr>
            <w:noProof/>
            <w:webHidden/>
          </w:rPr>
          <w:tab/>
        </w:r>
        <w:r>
          <w:rPr>
            <w:noProof/>
            <w:webHidden/>
          </w:rPr>
          <w:fldChar w:fldCharType="begin"/>
        </w:r>
        <w:r w:rsidR="00A64945">
          <w:rPr>
            <w:noProof/>
            <w:webHidden/>
          </w:rPr>
          <w:instrText xml:space="preserve"> PAGEREF _Toc299634270 \h </w:instrText>
        </w:r>
        <w:r>
          <w:rPr>
            <w:noProof/>
            <w:webHidden/>
          </w:rPr>
        </w:r>
        <w:r>
          <w:rPr>
            <w:noProof/>
            <w:webHidden/>
          </w:rPr>
          <w:fldChar w:fldCharType="separate"/>
        </w:r>
        <w:r w:rsidR="00A64945">
          <w:rPr>
            <w:noProof/>
            <w:webHidden/>
          </w:rPr>
          <w:t>30</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1" w:history="1">
        <w:r w:rsidR="00A64945" w:rsidRPr="00745548">
          <w:rPr>
            <w:rStyle w:val="Hyperlink"/>
            <w:noProof/>
          </w:rPr>
          <w:t>§2.2.2. Discriminatie &amp; verboden belemmering</w:t>
        </w:r>
        <w:r w:rsidR="00A64945">
          <w:rPr>
            <w:noProof/>
            <w:webHidden/>
          </w:rPr>
          <w:tab/>
        </w:r>
        <w:r>
          <w:rPr>
            <w:noProof/>
            <w:webHidden/>
          </w:rPr>
          <w:fldChar w:fldCharType="begin"/>
        </w:r>
        <w:r w:rsidR="00A64945">
          <w:rPr>
            <w:noProof/>
            <w:webHidden/>
          </w:rPr>
          <w:instrText xml:space="preserve"> PAGEREF _Toc299634271 \h </w:instrText>
        </w:r>
        <w:r>
          <w:rPr>
            <w:noProof/>
            <w:webHidden/>
          </w:rPr>
        </w:r>
        <w:r>
          <w:rPr>
            <w:noProof/>
            <w:webHidden/>
          </w:rPr>
          <w:fldChar w:fldCharType="separate"/>
        </w:r>
        <w:r w:rsidR="00A64945">
          <w:rPr>
            <w:noProof/>
            <w:webHidden/>
          </w:rPr>
          <w:t>31</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2" w:history="1">
        <w:r w:rsidR="00A64945" w:rsidRPr="00745548">
          <w:rPr>
            <w:rStyle w:val="Hyperlink"/>
            <w:noProof/>
          </w:rPr>
          <w:t>§2.2.3. Objectief verschil</w:t>
        </w:r>
        <w:r w:rsidR="00A64945">
          <w:rPr>
            <w:noProof/>
            <w:webHidden/>
          </w:rPr>
          <w:tab/>
        </w:r>
        <w:r>
          <w:rPr>
            <w:noProof/>
            <w:webHidden/>
          </w:rPr>
          <w:fldChar w:fldCharType="begin"/>
        </w:r>
        <w:r w:rsidR="00A64945">
          <w:rPr>
            <w:noProof/>
            <w:webHidden/>
          </w:rPr>
          <w:instrText xml:space="preserve"> PAGEREF _Toc299634272 \h </w:instrText>
        </w:r>
        <w:r>
          <w:rPr>
            <w:noProof/>
            <w:webHidden/>
          </w:rPr>
        </w:r>
        <w:r>
          <w:rPr>
            <w:noProof/>
            <w:webHidden/>
          </w:rPr>
          <w:fldChar w:fldCharType="separate"/>
        </w:r>
        <w:r w:rsidR="00A64945">
          <w:rPr>
            <w:noProof/>
            <w:webHidden/>
          </w:rPr>
          <w:t>34</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273" w:history="1">
        <w:r w:rsidR="00A64945" w:rsidRPr="00745548">
          <w:rPr>
            <w:rStyle w:val="Hyperlink"/>
            <w:noProof/>
          </w:rPr>
          <w:t>§2.3 Directe belastingrichtlijnen</w:t>
        </w:r>
        <w:r w:rsidR="00A64945">
          <w:rPr>
            <w:noProof/>
            <w:webHidden/>
          </w:rPr>
          <w:tab/>
        </w:r>
        <w:r>
          <w:rPr>
            <w:noProof/>
            <w:webHidden/>
          </w:rPr>
          <w:fldChar w:fldCharType="begin"/>
        </w:r>
        <w:r w:rsidR="00A64945">
          <w:rPr>
            <w:noProof/>
            <w:webHidden/>
          </w:rPr>
          <w:instrText xml:space="preserve"> PAGEREF _Toc299634273 \h </w:instrText>
        </w:r>
        <w:r>
          <w:rPr>
            <w:noProof/>
            <w:webHidden/>
          </w:rPr>
        </w:r>
        <w:r>
          <w:rPr>
            <w:noProof/>
            <w:webHidden/>
          </w:rPr>
          <w:fldChar w:fldCharType="separate"/>
        </w:r>
        <w:r w:rsidR="00A64945">
          <w:rPr>
            <w:noProof/>
            <w:webHidden/>
          </w:rPr>
          <w:t>36</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4" w:history="1">
        <w:r w:rsidR="00A64945" w:rsidRPr="00745548">
          <w:rPr>
            <w:rStyle w:val="Hyperlink"/>
            <w:noProof/>
          </w:rPr>
          <w:t>§2.3.1 Inleiding</w:t>
        </w:r>
        <w:r w:rsidR="00A64945">
          <w:rPr>
            <w:noProof/>
            <w:webHidden/>
          </w:rPr>
          <w:tab/>
        </w:r>
        <w:r>
          <w:rPr>
            <w:noProof/>
            <w:webHidden/>
          </w:rPr>
          <w:fldChar w:fldCharType="begin"/>
        </w:r>
        <w:r w:rsidR="00A64945">
          <w:rPr>
            <w:noProof/>
            <w:webHidden/>
          </w:rPr>
          <w:instrText xml:space="preserve"> PAGEREF _Toc299634274 \h </w:instrText>
        </w:r>
        <w:r>
          <w:rPr>
            <w:noProof/>
            <w:webHidden/>
          </w:rPr>
        </w:r>
        <w:r>
          <w:rPr>
            <w:noProof/>
            <w:webHidden/>
          </w:rPr>
          <w:fldChar w:fldCharType="separate"/>
        </w:r>
        <w:r w:rsidR="00A64945">
          <w:rPr>
            <w:noProof/>
            <w:webHidden/>
          </w:rPr>
          <w:t>36</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5" w:history="1">
        <w:r w:rsidR="00A64945" w:rsidRPr="00745548">
          <w:rPr>
            <w:rStyle w:val="Hyperlink"/>
            <w:noProof/>
          </w:rPr>
          <w:t>§2.3.2.  Moeder- dochterrichtlijn</w:t>
        </w:r>
        <w:r w:rsidR="00A64945">
          <w:rPr>
            <w:noProof/>
            <w:webHidden/>
          </w:rPr>
          <w:tab/>
        </w:r>
        <w:r>
          <w:rPr>
            <w:noProof/>
            <w:webHidden/>
          </w:rPr>
          <w:fldChar w:fldCharType="begin"/>
        </w:r>
        <w:r w:rsidR="00A64945">
          <w:rPr>
            <w:noProof/>
            <w:webHidden/>
          </w:rPr>
          <w:instrText xml:space="preserve"> PAGEREF _Toc299634275 \h </w:instrText>
        </w:r>
        <w:r>
          <w:rPr>
            <w:noProof/>
            <w:webHidden/>
          </w:rPr>
        </w:r>
        <w:r>
          <w:rPr>
            <w:noProof/>
            <w:webHidden/>
          </w:rPr>
          <w:fldChar w:fldCharType="separate"/>
        </w:r>
        <w:r w:rsidR="00A64945">
          <w:rPr>
            <w:noProof/>
            <w:webHidden/>
          </w:rPr>
          <w:t>37</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6" w:history="1">
        <w:r w:rsidR="00A64945" w:rsidRPr="00745548">
          <w:rPr>
            <w:rStyle w:val="Hyperlink"/>
            <w:noProof/>
          </w:rPr>
          <w:t>§2.3.3.  Fusierichtlijn</w:t>
        </w:r>
        <w:r w:rsidR="00A64945">
          <w:rPr>
            <w:noProof/>
            <w:webHidden/>
          </w:rPr>
          <w:tab/>
        </w:r>
        <w:r>
          <w:rPr>
            <w:noProof/>
            <w:webHidden/>
          </w:rPr>
          <w:fldChar w:fldCharType="begin"/>
        </w:r>
        <w:r w:rsidR="00A64945">
          <w:rPr>
            <w:noProof/>
            <w:webHidden/>
          </w:rPr>
          <w:instrText xml:space="preserve"> PAGEREF _Toc299634276 \h </w:instrText>
        </w:r>
        <w:r>
          <w:rPr>
            <w:noProof/>
            <w:webHidden/>
          </w:rPr>
        </w:r>
        <w:r>
          <w:rPr>
            <w:noProof/>
            <w:webHidden/>
          </w:rPr>
          <w:fldChar w:fldCharType="separate"/>
        </w:r>
        <w:r w:rsidR="00A64945">
          <w:rPr>
            <w:noProof/>
            <w:webHidden/>
          </w:rPr>
          <w:t>38</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7" w:history="1">
        <w:r w:rsidR="00A64945" w:rsidRPr="00745548">
          <w:rPr>
            <w:rStyle w:val="Hyperlink"/>
            <w:noProof/>
          </w:rPr>
          <w:t>§2.3.4. Interest en Royaltyrichtlijn</w:t>
        </w:r>
        <w:r w:rsidR="00A64945">
          <w:rPr>
            <w:noProof/>
            <w:webHidden/>
          </w:rPr>
          <w:tab/>
        </w:r>
        <w:r>
          <w:rPr>
            <w:noProof/>
            <w:webHidden/>
          </w:rPr>
          <w:fldChar w:fldCharType="begin"/>
        </w:r>
        <w:r w:rsidR="00A64945">
          <w:rPr>
            <w:noProof/>
            <w:webHidden/>
          </w:rPr>
          <w:instrText xml:space="preserve"> PAGEREF _Toc299634277 \h </w:instrText>
        </w:r>
        <w:r>
          <w:rPr>
            <w:noProof/>
            <w:webHidden/>
          </w:rPr>
        </w:r>
        <w:r>
          <w:rPr>
            <w:noProof/>
            <w:webHidden/>
          </w:rPr>
          <w:fldChar w:fldCharType="separate"/>
        </w:r>
        <w:r w:rsidR="00A64945">
          <w:rPr>
            <w:noProof/>
            <w:webHidden/>
          </w:rPr>
          <w:t>39</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8" w:history="1">
        <w:r w:rsidR="00A64945" w:rsidRPr="00745548">
          <w:rPr>
            <w:rStyle w:val="Hyperlink"/>
            <w:noProof/>
          </w:rPr>
          <w:t>§2.3.5. Spaartegoedenrichtlijn</w:t>
        </w:r>
        <w:r w:rsidR="00A64945">
          <w:rPr>
            <w:noProof/>
            <w:webHidden/>
          </w:rPr>
          <w:tab/>
        </w:r>
        <w:r>
          <w:rPr>
            <w:noProof/>
            <w:webHidden/>
          </w:rPr>
          <w:fldChar w:fldCharType="begin"/>
        </w:r>
        <w:r w:rsidR="00A64945">
          <w:rPr>
            <w:noProof/>
            <w:webHidden/>
          </w:rPr>
          <w:instrText xml:space="preserve"> PAGEREF _Toc299634278 \h </w:instrText>
        </w:r>
        <w:r>
          <w:rPr>
            <w:noProof/>
            <w:webHidden/>
          </w:rPr>
        </w:r>
        <w:r>
          <w:rPr>
            <w:noProof/>
            <w:webHidden/>
          </w:rPr>
          <w:fldChar w:fldCharType="separate"/>
        </w:r>
        <w:r w:rsidR="00A64945">
          <w:rPr>
            <w:noProof/>
            <w:webHidden/>
          </w:rPr>
          <w:t>40</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79" w:history="1">
        <w:r w:rsidR="00A64945" w:rsidRPr="00745548">
          <w:rPr>
            <w:rStyle w:val="Hyperlink"/>
            <w:noProof/>
          </w:rPr>
          <w:t>§2.3.6. Richtlijn inzake uitwisseling van inlichtingen &amp; Richtlijn inzake invordering van belastingen</w:t>
        </w:r>
        <w:r w:rsidR="00A64945">
          <w:rPr>
            <w:noProof/>
            <w:webHidden/>
          </w:rPr>
          <w:tab/>
        </w:r>
        <w:r>
          <w:rPr>
            <w:noProof/>
            <w:webHidden/>
          </w:rPr>
          <w:fldChar w:fldCharType="begin"/>
        </w:r>
        <w:r w:rsidR="00A64945">
          <w:rPr>
            <w:noProof/>
            <w:webHidden/>
          </w:rPr>
          <w:instrText xml:space="preserve"> PAGEREF _Toc299634279 \h </w:instrText>
        </w:r>
        <w:r>
          <w:rPr>
            <w:noProof/>
            <w:webHidden/>
          </w:rPr>
        </w:r>
        <w:r>
          <w:rPr>
            <w:noProof/>
            <w:webHidden/>
          </w:rPr>
          <w:fldChar w:fldCharType="separate"/>
        </w:r>
        <w:r w:rsidR="00A64945">
          <w:rPr>
            <w:noProof/>
            <w:webHidden/>
          </w:rPr>
          <w:t>41</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80" w:history="1">
        <w:r w:rsidR="00A64945" w:rsidRPr="00745548">
          <w:rPr>
            <w:rStyle w:val="Hyperlink"/>
            <w:noProof/>
          </w:rPr>
          <w:t>§2.4. Het Curaçaose omzetbelastingstelsel in het licht van EU wetgeving</w:t>
        </w:r>
        <w:r w:rsidR="00A64945">
          <w:rPr>
            <w:noProof/>
            <w:webHidden/>
          </w:rPr>
          <w:tab/>
        </w:r>
        <w:r>
          <w:rPr>
            <w:noProof/>
            <w:webHidden/>
          </w:rPr>
          <w:fldChar w:fldCharType="begin"/>
        </w:r>
        <w:r w:rsidR="00A64945">
          <w:rPr>
            <w:noProof/>
            <w:webHidden/>
          </w:rPr>
          <w:instrText xml:space="preserve"> PAGEREF _Toc299634280 \h </w:instrText>
        </w:r>
        <w:r>
          <w:rPr>
            <w:noProof/>
            <w:webHidden/>
          </w:rPr>
        </w:r>
        <w:r>
          <w:rPr>
            <w:noProof/>
            <w:webHidden/>
          </w:rPr>
          <w:fldChar w:fldCharType="separate"/>
        </w:r>
        <w:r w:rsidR="00A64945">
          <w:rPr>
            <w:noProof/>
            <w:webHidden/>
          </w:rPr>
          <w:t>41</w:t>
        </w:r>
        <w:r>
          <w:rPr>
            <w:noProof/>
            <w:webHidden/>
          </w:rPr>
          <w:fldChar w:fldCharType="end"/>
        </w:r>
      </w:hyperlink>
    </w:p>
    <w:p w:rsidR="00A64945" w:rsidRDefault="00CB17CC">
      <w:pPr>
        <w:pStyle w:val="TOC4"/>
        <w:rPr>
          <w:rFonts w:cs="Times New Roman"/>
          <w:i w:val="0"/>
          <w:lang w:val="en-US"/>
        </w:rPr>
      </w:pPr>
      <w:hyperlink w:anchor="_Toc299634281" w:history="1">
        <w:r w:rsidR="00A64945" w:rsidRPr="00745548">
          <w:rPr>
            <w:rStyle w:val="Hyperlink"/>
          </w:rPr>
          <w:t>§2.4.1.  Stelselkeuze EU</w:t>
        </w:r>
        <w:r w:rsidR="00A64945">
          <w:rPr>
            <w:webHidden/>
          </w:rPr>
          <w:tab/>
        </w:r>
        <w:r>
          <w:rPr>
            <w:webHidden/>
          </w:rPr>
          <w:fldChar w:fldCharType="begin"/>
        </w:r>
        <w:r w:rsidR="00A64945">
          <w:rPr>
            <w:webHidden/>
          </w:rPr>
          <w:instrText xml:space="preserve"> PAGEREF _Toc299634281 \h </w:instrText>
        </w:r>
        <w:r>
          <w:rPr>
            <w:webHidden/>
          </w:rPr>
        </w:r>
        <w:r>
          <w:rPr>
            <w:webHidden/>
          </w:rPr>
          <w:fldChar w:fldCharType="separate"/>
        </w:r>
        <w:r w:rsidR="00A64945">
          <w:rPr>
            <w:webHidden/>
          </w:rPr>
          <w:t>43</w:t>
        </w:r>
        <w:r>
          <w:rPr>
            <w:webHidden/>
          </w:rPr>
          <w:fldChar w:fldCharType="end"/>
        </w:r>
      </w:hyperlink>
    </w:p>
    <w:p w:rsidR="00A64945" w:rsidRDefault="00CB17CC">
      <w:pPr>
        <w:pStyle w:val="TOC4"/>
        <w:rPr>
          <w:rFonts w:cs="Times New Roman"/>
          <w:i w:val="0"/>
          <w:lang w:val="en-US"/>
        </w:rPr>
      </w:pPr>
      <w:hyperlink w:anchor="_Toc299634282" w:history="1">
        <w:r w:rsidR="00A64945" w:rsidRPr="00745548">
          <w:rPr>
            <w:rStyle w:val="Hyperlink"/>
          </w:rPr>
          <w:t>§2.4.2. De Curaçaose OB</w:t>
        </w:r>
        <w:r w:rsidR="00A64945">
          <w:rPr>
            <w:webHidden/>
          </w:rPr>
          <w:tab/>
        </w:r>
        <w:r>
          <w:rPr>
            <w:webHidden/>
          </w:rPr>
          <w:fldChar w:fldCharType="begin"/>
        </w:r>
        <w:r w:rsidR="00A64945">
          <w:rPr>
            <w:webHidden/>
          </w:rPr>
          <w:instrText xml:space="preserve"> PAGEREF _Toc299634282 \h </w:instrText>
        </w:r>
        <w:r>
          <w:rPr>
            <w:webHidden/>
          </w:rPr>
        </w:r>
        <w:r>
          <w:rPr>
            <w:webHidden/>
          </w:rPr>
          <w:fldChar w:fldCharType="separate"/>
        </w:r>
        <w:r w:rsidR="00A64945">
          <w:rPr>
            <w:webHidden/>
          </w:rPr>
          <w:t>43</w:t>
        </w:r>
        <w:r>
          <w:rPr>
            <w:webHidden/>
          </w:rPr>
          <w:fldChar w:fldCharType="end"/>
        </w:r>
      </w:hyperlink>
    </w:p>
    <w:p w:rsidR="00A64945" w:rsidRDefault="00CB17CC">
      <w:pPr>
        <w:pStyle w:val="TOC3"/>
        <w:tabs>
          <w:tab w:val="right" w:leader="dot" w:pos="9062"/>
        </w:tabs>
        <w:rPr>
          <w:rFonts w:cs="Times New Roman"/>
          <w:noProof/>
          <w:lang w:val="en-US"/>
        </w:rPr>
      </w:pPr>
      <w:hyperlink w:anchor="_Toc299634283" w:history="1">
        <w:r w:rsidR="00A64945" w:rsidRPr="00745548">
          <w:rPr>
            <w:rStyle w:val="Hyperlink"/>
            <w:noProof/>
          </w:rPr>
          <w:t>§2.4.3. Tussenconclusie</w:t>
        </w:r>
        <w:r w:rsidR="00A64945">
          <w:rPr>
            <w:noProof/>
            <w:webHidden/>
          </w:rPr>
          <w:tab/>
        </w:r>
        <w:r>
          <w:rPr>
            <w:noProof/>
            <w:webHidden/>
          </w:rPr>
          <w:fldChar w:fldCharType="begin"/>
        </w:r>
        <w:r w:rsidR="00A64945">
          <w:rPr>
            <w:noProof/>
            <w:webHidden/>
          </w:rPr>
          <w:instrText xml:space="preserve"> PAGEREF _Toc299634283 \h </w:instrText>
        </w:r>
        <w:r>
          <w:rPr>
            <w:noProof/>
            <w:webHidden/>
          </w:rPr>
        </w:r>
        <w:r>
          <w:rPr>
            <w:noProof/>
            <w:webHidden/>
          </w:rPr>
          <w:fldChar w:fldCharType="separate"/>
        </w:r>
        <w:r w:rsidR="00A64945">
          <w:rPr>
            <w:noProof/>
            <w:webHidden/>
          </w:rPr>
          <w:t>44</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84" w:history="1">
        <w:r w:rsidR="00A64945" w:rsidRPr="00745548">
          <w:rPr>
            <w:rStyle w:val="Hyperlink"/>
            <w:noProof/>
          </w:rPr>
          <w:t>§2.4.4. Visie Vereniging Bedrijfsleven Curaçao</w:t>
        </w:r>
        <w:r w:rsidR="00A64945">
          <w:rPr>
            <w:noProof/>
            <w:webHidden/>
          </w:rPr>
          <w:tab/>
        </w:r>
        <w:r>
          <w:rPr>
            <w:noProof/>
            <w:webHidden/>
          </w:rPr>
          <w:fldChar w:fldCharType="begin"/>
        </w:r>
        <w:r w:rsidR="00A64945">
          <w:rPr>
            <w:noProof/>
            <w:webHidden/>
          </w:rPr>
          <w:instrText xml:space="preserve"> PAGEREF _Toc299634284 \h </w:instrText>
        </w:r>
        <w:r>
          <w:rPr>
            <w:noProof/>
            <w:webHidden/>
          </w:rPr>
        </w:r>
        <w:r>
          <w:rPr>
            <w:noProof/>
            <w:webHidden/>
          </w:rPr>
          <w:fldChar w:fldCharType="separate"/>
        </w:r>
        <w:r w:rsidR="00A64945">
          <w:rPr>
            <w:noProof/>
            <w:webHidden/>
          </w:rPr>
          <w:t>44</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285" w:history="1">
        <w:r w:rsidR="00A64945" w:rsidRPr="00745548">
          <w:rPr>
            <w:rStyle w:val="Hyperlink"/>
            <w:noProof/>
          </w:rPr>
          <w:t>§2.5 Schadelijke belastingconcurrentie en Staatssteun</w:t>
        </w:r>
        <w:r w:rsidR="00A64945">
          <w:rPr>
            <w:noProof/>
            <w:webHidden/>
          </w:rPr>
          <w:tab/>
        </w:r>
        <w:r>
          <w:rPr>
            <w:noProof/>
            <w:webHidden/>
          </w:rPr>
          <w:fldChar w:fldCharType="begin"/>
        </w:r>
        <w:r w:rsidR="00A64945">
          <w:rPr>
            <w:noProof/>
            <w:webHidden/>
          </w:rPr>
          <w:instrText xml:space="preserve"> PAGEREF _Toc299634285 \h </w:instrText>
        </w:r>
        <w:r>
          <w:rPr>
            <w:noProof/>
            <w:webHidden/>
          </w:rPr>
        </w:r>
        <w:r>
          <w:rPr>
            <w:noProof/>
            <w:webHidden/>
          </w:rPr>
          <w:fldChar w:fldCharType="separate"/>
        </w:r>
        <w:r w:rsidR="00A64945">
          <w:rPr>
            <w:noProof/>
            <w:webHidden/>
          </w:rPr>
          <w:t>45</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86" w:history="1">
        <w:r w:rsidR="00A64945" w:rsidRPr="00745548">
          <w:rPr>
            <w:rStyle w:val="Hyperlink"/>
            <w:noProof/>
          </w:rPr>
          <w:t>§2.5.1 Schadelijke belastingconcurrentie</w:t>
        </w:r>
        <w:r w:rsidR="00A64945">
          <w:rPr>
            <w:noProof/>
            <w:webHidden/>
          </w:rPr>
          <w:tab/>
        </w:r>
        <w:r>
          <w:rPr>
            <w:noProof/>
            <w:webHidden/>
          </w:rPr>
          <w:fldChar w:fldCharType="begin"/>
        </w:r>
        <w:r w:rsidR="00A64945">
          <w:rPr>
            <w:noProof/>
            <w:webHidden/>
          </w:rPr>
          <w:instrText xml:space="preserve"> PAGEREF _Toc299634286 \h </w:instrText>
        </w:r>
        <w:r>
          <w:rPr>
            <w:noProof/>
            <w:webHidden/>
          </w:rPr>
        </w:r>
        <w:r>
          <w:rPr>
            <w:noProof/>
            <w:webHidden/>
          </w:rPr>
          <w:fldChar w:fldCharType="separate"/>
        </w:r>
        <w:r w:rsidR="00A64945">
          <w:rPr>
            <w:noProof/>
            <w:webHidden/>
          </w:rPr>
          <w:t>45</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87" w:history="1">
        <w:r w:rsidR="00A64945" w:rsidRPr="00745548">
          <w:rPr>
            <w:rStyle w:val="Hyperlink"/>
            <w:noProof/>
          </w:rPr>
          <w:t>§2.5.2 Staatssteun</w:t>
        </w:r>
        <w:r w:rsidR="00A64945">
          <w:rPr>
            <w:noProof/>
            <w:webHidden/>
          </w:rPr>
          <w:tab/>
        </w:r>
        <w:r>
          <w:rPr>
            <w:noProof/>
            <w:webHidden/>
          </w:rPr>
          <w:fldChar w:fldCharType="begin"/>
        </w:r>
        <w:r w:rsidR="00A64945">
          <w:rPr>
            <w:noProof/>
            <w:webHidden/>
          </w:rPr>
          <w:instrText xml:space="preserve"> PAGEREF _Toc299634287 \h </w:instrText>
        </w:r>
        <w:r>
          <w:rPr>
            <w:noProof/>
            <w:webHidden/>
          </w:rPr>
        </w:r>
        <w:r>
          <w:rPr>
            <w:noProof/>
            <w:webHidden/>
          </w:rPr>
          <w:fldChar w:fldCharType="separate"/>
        </w:r>
        <w:r w:rsidR="00A64945">
          <w:rPr>
            <w:noProof/>
            <w:webHidden/>
          </w:rPr>
          <w:t>48</w:t>
        </w:r>
        <w:r>
          <w:rPr>
            <w:noProof/>
            <w:webHidden/>
          </w:rPr>
          <w:fldChar w:fldCharType="end"/>
        </w:r>
      </w:hyperlink>
    </w:p>
    <w:p w:rsidR="00A64945" w:rsidRDefault="00CB17CC">
      <w:pPr>
        <w:pStyle w:val="TOC4"/>
        <w:rPr>
          <w:rFonts w:cs="Times New Roman"/>
          <w:i w:val="0"/>
          <w:lang w:val="en-US"/>
        </w:rPr>
      </w:pPr>
      <w:hyperlink w:anchor="_Toc299634288" w:history="1">
        <w:r w:rsidR="00A64945" w:rsidRPr="00745548">
          <w:rPr>
            <w:rStyle w:val="Hyperlink"/>
          </w:rPr>
          <w:t>§2.5.2.1. Geografische selectiviteit</w:t>
        </w:r>
        <w:r w:rsidR="00A64945">
          <w:rPr>
            <w:webHidden/>
          </w:rPr>
          <w:tab/>
        </w:r>
        <w:r>
          <w:rPr>
            <w:webHidden/>
          </w:rPr>
          <w:fldChar w:fldCharType="begin"/>
        </w:r>
        <w:r w:rsidR="00A64945">
          <w:rPr>
            <w:webHidden/>
          </w:rPr>
          <w:instrText xml:space="preserve"> PAGEREF _Toc299634288 \h </w:instrText>
        </w:r>
        <w:r>
          <w:rPr>
            <w:webHidden/>
          </w:rPr>
        </w:r>
        <w:r>
          <w:rPr>
            <w:webHidden/>
          </w:rPr>
          <w:fldChar w:fldCharType="separate"/>
        </w:r>
        <w:r w:rsidR="00A64945">
          <w:rPr>
            <w:webHidden/>
          </w:rPr>
          <w:t>48</w:t>
        </w:r>
        <w:r>
          <w:rPr>
            <w:webHidden/>
          </w:rPr>
          <w:fldChar w:fldCharType="end"/>
        </w:r>
      </w:hyperlink>
    </w:p>
    <w:p w:rsidR="00A64945" w:rsidRDefault="00CB17CC">
      <w:pPr>
        <w:pStyle w:val="TOC4"/>
        <w:rPr>
          <w:rFonts w:cs="Times New Roman"/>
          <w:i w:val="0"/>
          <w:lang w:val="en-US"/>
        </w:rPr>
      </w:pPr>
      <w:hyperlink w:anchor="_Toc299634289" w:history="1">
        <w:r w:rsidR="00A64945" w:rsidRPr="00745548">
          <w:rPr>
            <w:rStyle w:val="Hyperlink"/>
          </w:rPr>
          <w:t>§2.5.2.2. De- Minimissteun</w:t>
        </w:r>
        <w:r w:rsidR="00A64945">
          <w:rPr>
            <w:webHidden/>
          </w:rPr>
          <w:tab/>
        </w:r>
        <w:r>
          <w:rPr>
            <w:webHidden/>
          </w:rPr>
          <w:fldChar w:fldCharType="begin"/>
        </w:r>
        <w:r w:rsidR="00A64945">
          <w:rPr>
            <w:webHidden/>
          </w:rPr>
          <w:instrText xml:space="preserve"> PAGEREF _Toc299634289 \h </w:instrText>
        </w:r>
        <w:r>
          <w:rPr>
            <w:webHidden/>
          </w:rPr>
        </w:r>
        <w:r>
          <w:rPr>
            <w:webHidden/>
          </w:rPr>
          <w:fldChar w:fldCharType="separate"/>
        </w:r>
        <w:r w:rsidR="00A64945">
          <w:rPr>
            <w:webHidden/>
          </w:rPr>
          <w:t>54</w:t>
        </w:r>
        <w:r>
          <w:rPr>
            <w:webHidden/>
          </w:rPr>
          <w:fldChar w:fldCharType="end"/>
        </w:r>
      </w:hyperlink>
    </w:p>
    <w:p w:rsidR="00A64945" w:rsidRDefault="00CB17CC">
      <w:pPr>
        <w:pStyle w:val="TOC1"/>
        <w:rPr>
          <w:rFonts w:cs="Times New Roman"/>
          <w:b w:val="0"/>
          <w:sz w:val="22"/>
          <w:szCs w:val="22"/>
          <w:lang w:val="en-US"/>
        </w:rPr>
      </w:pPr>
      <w:hyperlink w:anchor="_Toc299634290" w:history="1">
        <w:r w:rsidR="00A64945" w:rsidRPr="00745548">
          <w:rPr>
            <w:rStyle w:val="Hyperlink"/>
          </w:rPr>
          <w:t>H3. Het Curaçaose E- Zoneregime</w:t>
        </w:r>
        <w:r w:rsidR="00A64945">
          <w:rPr>
            <w:webHidden/>
          </w:rPr>
          <w:tab/>
        </w:r>
        <w:r>
          <w:rPr>
            <w:webHidden/>
          </w:rPr>
          <w:fldChar w:fldCharType="begin"/>
        </w:r>
        <w:r w:rsidR="00A64945">
          <w:rPr>
            <w:webHidden/>
          </w:rPr>
          <w:instrText xml:space="preserve"> PAGEREF _Toc299634290 \h </w:instrText>
        </w:r>
        <w:r>
          <w:rPr>
            <w:webHidden/>
          </w:rPr>
        </w:r>
        <w:r>
          <w:rPr>
            <w:webHidden/>
          </w:rPr>
          <w:fldChar w:fldCharType="separate"/>
        </w:r>
        <w:r w:rsidR="00A64945">
          <w:rPr>
            <w:webHidden/>
          </w:rPr>
          <w:t>55</w:t>
        </w:r>
        <w:r>
          <w:rPr>
            <w:webHidden/>
          </w:rPr>
          <w:fldChar w:fldCharType="end"/>
        </w:r>
      </w:hyperlink>
    </w:p>
    <w:p w:rsidR="00A64945" w:rsidRDefault="00CB17CC">
      <w:pPr>
        <w:pStyle w:val="TOC2"/>
        <w:tabs>
          <w:tab w:val="right" w:leader="dot" w:pos="9062"/>
        </w:tabs>
        <w:rPr>
          <w:rFonts w:cs="Times New Roman"/>
          <w:noProof/>
          <w:lang w:val="en-US"/>
        </w:rPr>
      </w:pPr>
      <w:hyperlink w:anchor="_Toc299634291" w:history="1">
        <w:r w:rsidR="00A64945" w:rsidRPr="00745548">
          <w:rPr>
            <w:rStyle w:val="Hyperlink"/>
            <w:noProof/>
          </w:rPr>
          <w:t>§3.1. Inleiding</w:t>
        </w:r>
        <w:r w:rsidR="00A64945">
          <w:rPr>
            <w:noProof/>
            <w:webHidden/>
          </w:rPr>
          <w:tab/>
        </w:r>
        <w:r>
          <w:rPr>
            <w:noProof/>
            <w:webHidden/>
          </w:rPr>
          <w:fldChar w:fldCharType="begin"/>
        </w:r>
        <w:r w:rsidR="00A64945">
          <w:rPr>
            <w:noProof/>
            <w:webHidden/>
          </w:rPr>
          <w:instrText xml:space="preserve"> PAGEREF _Toc299634291 \h </w:instrText>
        </w:r>
        <w:r>
          <w:rPr>
            <w:noProof/>
            <w:webHidden/>
          </w:rPr>
        </w:r>
        <w:r>
          <w:rPr>
            <w:noProof/>
            <w:webHidden/>
          </w:rPr>
          <w:fldChar w:fldCharType="separate"/>
        </w:r>
        <w:r w:rsidR="00A64945">
          <w:rPr>
            <w:noProof/>
            <w:webHidden/>
          </w:rPr>
          <w:t>55</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292" w:history="1">
        <w:r w:rsidR="00A64945" w:rsidRPr="00745548">
          <w:rPr>
            <w:rStyle w:val="Hyperlink"/>
            <w:noProof/>
          </w:rPr>
          <w:t>§3.2. Landsverordening Economische Zones 2000</w:t>
        </w:r>
        <w:r w:rsidR="00A64945">
          <w:rPr>
            <w:noProof/>
            <w:webHidden/>
          </w:rPr>
          <w:tab/>
        </w:r>
        <w:r>
          <w:rPr>
            <w:noProof/>
            <w:webHidden/>
          </w:rPr>
          <w:fldChar w:fldCharType="begin"/>
        </w:r>
        <w:r w:rsidR="00A64945">
          <w:rPr>
            <w:noProof/>
            <w:webHidden/>
          </w:rPr>
          <w:instrText xml:space="preserve"> PAGEREF _Toc299634292 \h </w:instrText>
        </w:r>
        <w:r>
          <w:rPr>
            <w:noProof/>
            <w:webHidden/>
          </w:rPr>
        </w:r>
        <w:r>
          <w:rPr>
            <w:noProof/>
            <w:webHidden/>
          </w:rPr>
          <w:fldChar w:fldCharType="separate"/>
        </w:r>
        <w:r w:rsidR="00A64945">
          <w:rPr>
            <w:noProof/>
            <w:webHidden/>
          </w:rPr>
          <w:t>57</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93" w:history="1">
        <w:r w:rsidR="00A64945" w:rsidRPr="00745548">
          <w:rPr>
            <w:rStyle w:val="Hyperlink"/>
            <w:noProof/>
          </w:rPr>
          <w:t>§3.2.1. Inleiding</w:t>
        </w:r>
        <w:r w:rsidR="00A64945">
          <w:rPr>
            <w:noProof/>
            <w:webHidden/>
          </w:rPr>
          <w:tab/>
        </w:r>
        <w:r>
          <w:rPr>
            <w:noProof/>
            <w:webHidden/>
          </w:rPr>
          <w:fldChar w:fldCharType="begin"/>
        </w:r>
        <w:r w:rsidR="00A64945">
          <w:rPr>
            <w:noProof/>
            <w:webHidden/>
          </w:rPr>
          <w:instrText xml:space="preserve"> PAGEREF _Toc299634293 \h </w:instrText>
        </w:r>
        <w:r>
          <w:rPr>
            <w:noProof/>
            <w:webHidden/>
          </w:rPr>
        </w:r>
        <w:r>
          <w:rPr>
            <w:noProof/>
            <w:webHidden/>
          </w:rPr>
          <w:fldChar w:fldCharType="separate"/>
        </w:r>
        <w:r w:rsidR="00A64945">
          <w:rPr>
            <w:noProof/>
            <w:webHidden/>
          </w:rPr>
          <w:t>57</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294" w:history="1">
        <w:r w:rsidR="00A64945" w:rsidRPr="00745548">
          <w:rPr>
            <w:rStyle w:val="Hyperlink"/>
            <w:noProof/>
          </w:rPr>
          <w:t>§3.2.2. Wijzigingen LEZ 2000 ten opzichte van LVZ  1975</w:t>
        </w:r>
        <w:r w:rsidR="00A64945">
          <w:rPr>
            <w:noProof/>
            <w:webHidden/>
          </w:rPr>
          <w:tab/>
        </w:r>
        <w:r>
          <w:rPr>
            <w:noProof/>
            <w:webHidden/>
          </w:rPr>
          <w:fldChar w:fldCharType="begin"/>
        </w:r>
        <w:r w:rsidR="00A64945">
          <w:rPr>
            <w:noProof/>
            <w:webHidden/>
          </w:rPr>
          <w:instrText xml:space="preserve"> PAGEREF _Toc299634294 \h </w:instrText>
        </w:r>
        <w:r>
          <w:rPr>
            <w:noProof/>
            <w:webHidden/>
          </w:rPr>
        </w:r>
        <w:r>
          <w:rPr>
            <w:noProof/>
            <w:webHidden/>
          </w:rPr>
          <w:fldChar w:fldCharType="separate"/>
        </w:r>
        <w:r w:rsidR="00A64945">
          <w:rPr>
            <w:noProof/>
            <w:webHidden/>
          </w:rPr>
          <w:t>57</w:t>
        </w:r>
        <w:r>
          <w:rPr>
            <w:noProof/>
            <w:webHidden/>
          </w:rPr>
          <w:fldChar w:fldCharType="end"/>
        </w:r>
      </w:hyperlink>
    </w:p>
    <w:p w:rsidR="00A64945" w:rsidRDefault="00CB17CC">
      <w:pPr>
        <w:pStyle w:val="TOC4"/>
        <w:rPr>
          <w:rFonts w:cs="Times New Roman"/>
          <w:i w:val="0"/>
          <w:lang w:val="en-US"/>
        </w:rPr>
      </w:pPr>
      <w:hyperlink w:anchor="_Toc299634295" w:history="1">
        <w:r w:rsidR="00A64945" w:rsidRPr="00745548">
          <w:rPr>
            <w:rStyle w:val="Hyperlink"/>
          </w:rPr>
          <w:t>§3.2.2.1. Naamswijziging: Vrije Zone wordt Economische Zone</w:t>
        </w:r>
        <w:r w:rsidR="00A64945">
          <w:rPr>
            <w:webHidden/>
          </w:rPr>
          <w:tab/>
        </w:r>
        <w:r>
          <w:rPr>
            <w:webHidden/>
          </w:rPr>
          <w:fldChar w:fldCharType="begin"/>
        </w:r>
        <w:r w:rsidR="00A64945">
          <w:rPr>
            <w:webHidden/>
          </w:rPr>
          <w:instrText xml:space="preserve"> PAGEREF _Toc299634295 \h </w:instrText>
        </w:r>
        <w:r>
          <w:rPr>
            <w:webHidden/>
          </w:rPr>
        </w:r>
        <w:r>
          <w:rPr>
            <w:webHidden/>
          </w:rPr>
          <w:fldChar w:fldCharType="separate"/>
        </w:r>
        <w:r w:rsidR="00A64945">
          <w:rPr>
            <w:webHidden/>
          </w:rPr>
          <w:t>58</w:t>
        </w:r>
        <w:r>
          <w:rPr>
            <w:webHidden/>
          </w:rPr>
          <w:fldChar w:fldCharType="end"/>
        </w:r>
      </w:hyperlink>
    </w:p>
    <w:p w:rsidR="00A64945" w:rsidRDefault="00CB17CC">
      <w:pPr>
        <w:pStyle w:val="TOC4"/>
        <w:rPr>
          <w:rFonts w:cs="Times New Roman"/>
          <w:i w:val="0"/>
          <w:lang w:val="en-US"/>
        </w:rPr>
      </w:pPr>
      <w:hyperlink w:anchor="_Toc299634296" w:history="1">
        <w:r w:rsidR="00A64945" w:rsidRPr="00745548">
          <w:rPr>
            <w:rStyle w:val="Hyperlink"/>
          </w:rPr>
          <w:t>§3.2.2.2. Versoepeling eisen economische aanwezigheid</w:t>
        </w:r>
        <w:r w:rsidR="00A64945">
          <w:rPr>
            <w:webHidden/>
          </w:rPr>
          <w:tab/>
        </w:r>
        <w:r>
          <w:rPr>
            <w:webHidden/>
          </w:rPr>
          <w:fldChar w:fldCharType="begin"/>
        </w:r>
        <w:r w:rsidR="00A64945">
          <w:rPr>
            <w:webHidden/>
          </w:rPr>
          <w:instrText xml:space="preserve"> PAGEREF _Toc299634296 \h </w:instrText>
        </w:r>
        <w:r>
          <w:rPr>
            <w:webHidden/>
          </w:rPr>
        </w:r>
        <w:r>
          <w:rPr>
            <w:webHidden/>
          </w:rPr>
          <w:fldChar w:fldCharType="separate"/>
        </w:r>
        <w:r w:rsidR="00A64945">
          <w:rPr>
            <w:webHidden/>
          </w:rPr>
          <w:t>58</w:t>
        </w:r>
        <w:r>
          <w:rPr>
            <w:webHidden/>
          </w:rPr>
          <w:fldChar w:fldCharType="end"/>
        </w:r>
      </w:hyperlink>
    </w:p>
    <w:p w:rsidR="00A64945" w:rsidRDefault="00CB17CC">
      <w:pPr>
        <w:pStyle w:val="TOC4"/>
        <w:rPr>
          <w:rFonts w:cs="Times New Roman"/>
          <w:i w:val="0"/>
          <w:lang w:val="en-US"/>
        </w:rPr>
      </w:pPr>
      <w:hyperlink w:anchor="_Toc299634297" w:history="1">
        <w:r w:rsidR="00A64945" w:rsidRPr="00745548">
          <w:rPr>
            <w:rStyle w:val="Hyperlink"/>
          </w:rPr>
          <w:t>§3.2.2.3. Wettelijk aanmerken van e- commerce als toegestane activiteit</w:t>
        </w:r>
        <w:r w:rsidR="00A64945">
          <w:rPr>
            <w:webHidden/>
          </w:rPr>
          <w:tab/>
        </w:r>
        <w:r>
          <w:rPr>
            <w:webHidden/>
          </w:rPr>
          <w:fldChar w:fldCharType="begin"/>
        </w:r>
        <w:r w:rsidR="00A64945">
          <w:rPr>
            <w:webHidden/>
          </w:rPr>
          <w:instrText xml:space="preserve"> PAGEREF _Toc299634297 \h </w:instrText>
        </w:r>
        <w:r>
          <w:rPr>
            <w:webHidden/>
          </w:rPr>
        </w:r>
        <w:r>
          <w:rPr>
            <w:webHidden/>
          </w:rPr>
          <w:fldChar w:fldCharType="separate"/>
        </w:r>
        <w:r w:rsidR="00A64945">
          <w:rPr>
            <w:webHidden/>
          </w:rPr>
          <w:t>59</w:t>
        </w:r>
        <w:r>
          <w:rPr>
            <w:webHidden/>
          </w:rPr>
          <w:fldChar w:fldCharType="end"/>
        </w:r>
      </w:hyperlink>
    </w:p>
    <w:p w:rsidR="00A64945" w:rsidRDefault="00CB17CC">
      <w:pPr>
        <w:pStyle w:val="TOC4"/>
        <w:rPr>
          <w:rFonts w:cs="Times New Roman"/>
          <w:i w:val="0"/>
          <w:lang w:val="en-US"/>
        </w:rPr>
      </w:pPr>
      <w:hyperlink w:anchor="_Toc299634298" w:history="1">
        <w:r w:rsidR="00A64945" w:rsidRPr="00745548">
          <w:rPr>
            <w:rStyle w:val="Hyperlink"/>
          </w:rPr>
          <w:t>§3.2.2.4. De wettelijke uitsluiting van een aantal diensten</w:t>
        </w:r>
        <w:r w:rsidR="00A64945">
          <w:rPr>
            <w:webHidden/>
          </w:rPr>
          <w:tab/>
        </w:r>
        <w:r>
          <w:rPr>
            <w:webHidden/>
          </w:rPr>
          <w:fldChar w:fldCharType="begin"/>
        </w:r>
        <w:r w:rsidR="00A64945">
          <w:rPr>
            <w:webHidden/>
          </w:rPr>
          <w:instrText xml:space="preserve"> PAGEREF _Toc299634298 \h </w:instrText>
        </w:r>
        <w:r>
          <w:rPr>
            <w:webHidden/>
          </w:rPr>
        </w:r>
        <w:r>
          <w:rPr>
            <w:webHidden/>
          </w:rPr>
          <w:fldChar w:fldCharType="separate"/>
        </w:r>
        <w:r w:rsidR="00A64945">
          <w:rPr>
            <w:webHidden/>
          </w:rPr>
          <w:t>59</w:t>
        </w:r>
        <w:r>
          <w:rPr>
            <w:webHidden/>
          </w:rPr>
          <w:fldChar w:fldCharType="end"/>
        </w:r>
      </w:hyperlink>
    </w:p>
    <w:p w:rsidR="00A64945" w:rsidRDefault="00CB17CC">
      <w:pPr>
        <w:pStyle w:val="TOC3"/>
        <w:tabs>
          <w:tab w:val="right" w:leader="dot" w:pos="9062"/>
        </w:tabs>
        <w:rPr>
          <w:rFonts w:cs="Times New Roman"/>
          <w:noProof/>
          <w:lang w:val="en-US"/>
        </w:rPr>
      </w:pPr>
      <w:hyperlink w:anchor="_Toc299634299" w:history="1">
        <w:r w:rsidR="00A64945" w:rsidRPr="00745548">
          <w:rPr>
            <w:rStyle w:val="Hyperlink"/>
            <w:noProof/>
          </w:rPr>
          <w:t>§3.2.3. Wettelijke definitie Economische Zone</w:t>
        </w:r>
        <w:r w:rsidR="00A64945">
          <w:rPr>
            <w:noProof/>
            <w:webHidden/>
          </w:rPr>
          <w:tab/>
        </w:r>
        <w:r>
          <w:rPr>
            <w:noProof/>
            <w:webHidden/>
          </w:rPr>
          <w:fldChar w:fldCharType="begin"/>
        </w:r>
        <w:r w:rsidR="00A64945">
          <w:rPr>
            <w:noProof/>
            <w:webHidden/>
          </w:rPr>
          <w:instrText xml:space="preserve"> PAGEREF _Toc299634299 \h </w:instrText>
        </w:r>
        <w:r>
          <w:rPr>
            <w:noProof/>
            <w:webHidden/>
          </w:rPr>
        </w:r>
        <w:r>
          <w:rPr>
            <w:noProof/>
            <w:webHidden/>
          </w:rPr>
          <w:fldChar w:fldCharType="separate"/>
        </w:r>
        <w:r w:rsidR="00A64945">
          <w:rPr>
            <w:noProof/>
            <w:webHidden/>
          </w:rPr>
          <w:t>60</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00" w:history="1">
        <w:r w:rsidR="00A64945" w:rsidRPr="00745548">
          <w:rPr>
            <w:rStyle w:val="Hyperlink"/>
            <w:noProof/>
          </w:rPr>
          <w:t>§3.2.4. E- Zone activiteiten</w:t>
        </w:r>
        <w:r w:rsidR="00A64945">
          <w:rPr>
            <w:noProof/>
            <w:webHidden/>
          </w:rPr>
          <w:tab/>
        </w:r>
        <w:r>
          <w:rPr>
            <w:noProof/>
            <w:webHidden/>
          </w:rPr>
          <w:fldChar w:fldCharType="begin"/>
        </w:r>
        <w:r w:rsidR="00A64945">
          <w:rPr>
            <w:noProof/>
            <w:webHidden/>
          </w:rPr>
          <w:instrText xml:space="preserve"> PAGEREF _Toc299634300 \h </w:instrText>
        </w:r>
        <w:r>
          <w:rPr>
            <w:noProof/>
            <w:webHidden/>
          </w:rPr>
        </w:r>
        <w:r>
          <w:rPr>
            <w:noProof/>
            <w:webHidden/>
          </w:rPr>
          <w:fldChar w:fldCharType="separate"/>
        </w:r>
        <w:r w:rsidR="00A64945">
          <w:rPr>
            <w:noProof/>
            <w:webHidden/>
          </w:rPr>
          <w:t>60</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01" w:history="1">
        <w:r w:rsidR="00A64945" w:rsidRPr="00745548">
          <w:rPr>
            <w:rStyle w:val="Hyperlink"/>
            <w:noProof/>
          </w:rPr>
          <w:t>§3.2.5. Voorwaarden toelating E- Zone</w:t>
        </w:r>
        <w:r w:rsidR="00A64945">
          <w:rPr>
            <w:noProof/>
            <w:webHidden/>
          </w:rPr>
          <w:tab/>
        </w:r>
        <w:r>
          <w:rPr>
            <w:noProof/>
            <w:webHidden/>
          </w:rPr>
          <w:fldChar w:fldCharType="begin"/>
        </w:r>
        <w:r w:rsidR="00A64945">
          <w:rPr>
            <w:noProof/>
            <w:webHidden/>
          </w:rPr>
          <w:instrText xml:space="preserve"> PAGEREF _Toc299634301 \h </w:instrText>
        </w:r>
        <w:r>
          <w:rPr>
            <w:noProof/>
            <w:webHidden/>
          </w:rPr>
        </w:r>
        <w:r>
          <w:rPr>
            <w:noProof/>
            <w:webHidden/>
          </w:rPr>
          <w:fldChar w:fldCharType="separate"/>
        </w:r>
        <w:r w:rsidR="00A64945">
          <w:rPr>
            <w:noProof/>
            <w:webHidden/>
          </w:rPr>
          <w:t>61</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302" w:history="1">
        <w:r w:rsidR="00A64945" w:rsidRPr="00745548">
          <w:rPr>
            <w:rStyle w:val="Hyperlink"/>
            <w:noProof/>
          </w:rPr>
          <w:t>§3.3. Fiscale faciliteiten verbonden aan de E- Zone</w:t>
        </w:r>
        <w:r w:rsidR="00A64945">
          <w:rPr>
            <w:noProof/>
            <w:webHidden/>
          </w:rPr>
          <w:tab/>
        </w:r>
        <w:r>
          <w:rPr>
            <w:noProof/>
            <w:webHidden/>
          </w:rPr>
          <w:fldChar w:fldCharType="begin"/>
        </w:r>
        <w:r w:rsidR="00A64945">
          <w:rPr>
            <w:noProof/>
            <w:webHidden/>
          </w:rPr>
          <w:instrText xml:space="preserve"> PAGEREF _Toc299634302 \h </w:instrText>
        </w:r>
        <w:r>
          <w:rPr>
            <w:noProof/>
            <w:webHidden/>
          </w:rPr>
        </w:r>
        <w:r>
          <w:rPr>
            <w:noProof/>
            <w:webHidden/>
          </w:rPr>
          <w:fldChar w:fldCharType="separate"/>
        </w:r>
        <w:r w:rsidR="00A64945">
          <w:rPr>
            <w:noProof/>
            <w:webHidden/>
          </w:rPr>
          <w:t>64</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03" w:history="1">
        <w:r w:rsidR="00A64945" w:rsidRPr="00745548">
          <w:rPr>
            <w:rStyle w:val="Hyperlink"/>
            <w:noProof/>
          </w:rPr>
          <w:t>§3.3.1. Winstbelasting</w:t>
        </w:r>
        <w:r w:rsidR="00A64945">
          <w:rPr>
            <w:noProof/>
            <w:webHidden/>
          </w:rPr>
          <w:tab/>
        </w:r>
        <w:r>
          <w:rPr>
            <w:noProof/>
            <w:webHidden/>
          </w:rPr>
          <w:fldChar w:fldCharType="begin"/>
        </w:r>
        <w:r w:rsidR="00A64945">
          <w:rPr>
            <w:noProof/>
            <w:webHidden/>
          </w:rPr>
          <w:instrText xml:space="preserve"> PAGEREF _Toc299634303 \h </w:instrText>
        </w:r>
        <w:r>
          <w:rPr>
            <w:noProof/>
            <w:webHidden/>
          </w:rPr>
        </w:r>
        <w:r>
          <w:rPr>
            <w:noProof/>
            <w:webHidden/>
          </w:rPr>
          <w:fldChar w:fldCharType="separate"/>
        </w:r>
        <w:r w:rsidR="00A64945">
          <w:rPr>
            <w:noProof/>
            <w:webHidden/>
          </w:rPr>
          <w:t>64</w:t>
        </w:r>
        <w:r>
          <w:rPr>
            <w:noProof/>
            <w:webHidden/>
          </w:rPr>
          <w:fldChar w:fldCharType="end"/>
        </w:r>
      </w:hyperlink>
    </w:p>
    <w:p w:rsidR="00A64945" w:rsidRDefault="00CB17CC">
      <w:pPr>
        <w:pStyle w:val="TOC4"/>
        <w:rPr>
          <w:rFonts w:cs="Times New Roman"/>
          <w:i w:val="0"/>
          <w:lang w:val="en-US"/>
        </w:rPr>
      </w:pPr>
      <w:hyperlink w:anchor="_Toc299634304" w:history="1">
        <w:r w:rsidR="00A64945" w:rsidRPr="00745548">
          <w:rPr>
            <w:rStyle w:val="Hyperlink"/>
          </w:rPr>
          <w:t>§3.3.1.1. Deelnemingsvrijstelling</w:t>
        </w:r>
        <w:r w:rsidR="00A64945">
          <w:rPr>
            <w:webHidden/>
          </w:rPr>
          <w:tab/>
        </w:r>
        <w:r>
          <w:rPr>
            <w:webHidden/>
          </w:rPr>
          <w:fldChar w:fldCharType="begin"/>
        </w:r>
        <w:r w:rsidR="00A64945">
          <w:rPr>
            <w:webHidden/>
          </w:rPr>
          <w:instrText xml:space="preserve"> PAGEREF _Toc299634304 \h </w:instrText>
        </w:r>
        <w:r>
          <w:rPr>
            <w:webHidden/>
          </w:rPr>
        </w:r>
        <w:r>
          <w:rPr>
            <w:webHidden/>
          </w:rPr>
          <w:fldChar w:fldCharType="separate"/>
        </w:r>
        <w:r w:rsidR="00A64945">
          <w:rPr>
            <w:webHidden/>
          </w:rPr>
          <w:t>66</w:t>
        </w:r>
        <w:r>
          <w:rPr>
            <w:webHidden/>
          </w:rPr>
          <w:fldChar w:fldCharType="end"/>
        </w:r>
      </w:hyperlink>
    </w:p>
    <w:p w:rsidR="00A64945" w:rsidRDefault="00CB17CC">
      <w:pPr>
        <w:pStyle w:val="TOC3"/>
        <w:tabs>
          <w:tab w:val="right" w:leader="dot" w:pos="9062"/>
        </w:tabs>
        <w:rPr>
          <w:rFonts w:cs="Times New Roman"/>
          <w:noProof/>
          <w:lang w:val="en-US"/>
        </w:rPr>
      </w:pPr>
      <w:hyperlink w:anchor="_Toc299634305" w:history="1">
        <w:r w:rsidR="00A64945" w:rsidRPr="00745548">
          <w:rPr>
            <w:rStyle w:val="Hyperlink"/>
            <w:noProof/>
          </w:rPr>
          <w:t>§3.3.2. Omzetbelasting</w:t>
        </w:r>
        <w:r w:rsidR="00A64945">
          <w:rPr>
            <w:noProof/>
            <w:webHidden/>
          </w:rPr>
          <w:tab/>
        </w:r>
        <w:r>
          <w:rPr>
            <w:noProof/>
            <w:webHidden/>
          </w:rPr>
          <w:fldChar w:fldCharType="begin"/>
        </w:r>
        <w:r w:rsidR="00A64945">
          <w:rPr>
            <w:noProof/>
            <w:webHidden/>
          </w:rPr>
          <w:instrText xml:space="preserve"> PAGEREF _Toc299634305 \h </w:instrText>
        </w:r>
        <w:r>
          <w:rPr>
            <w:noProof/>
            <w:webHidden/>
          </w:rPr>
        </w:r>
        <w:r>
          <w:rPr>
            <w:noProof/>
            <w:webHidden/>
          </w:rPr>
          <w:fldChar w:fldCharType="separate"/>
        </w:r>
        <w:r w:rsidR="00A64945">
          <w:rPr>
            <w:noProof/>
            <w:webHidden/>
          </w:rPr>
          <w:t>67</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06" w:history="1">
        <w:r w:rsidR="00A64945" w:rsidRPr="00745548">
          <w:rPr>
            <w:rStyle w:val="Hyperlink"/>
            <w:noProof/>
          </w:rPr>
          <w:t>§3.3.3. Invoerrechten en Accijnzen</w:t>
        </w:r>
        <w:r w:rsidR="00A64945">
          <w:rPr>
            <w:noProof/>
            <w:webHidden/>
          </w:rPr>
          <w:tab/>
        </w:r>
        <w:r>
          <w:rPr>
            <w:noProof/>
            <w:webHidden/>
          </w:rPr>
          <w:fldChar w:fldCharType="begin"/>
        </w:r>
        <w:r w:rsidR="00A64945">
          <w:rPr>
            <w:noProof/>
            <w:webHidden/>
          </w:rPr>
          <w:instrText xml:space="preserve"> PAGEREF _Toc299634306 \h </w:instrText>
        </w:r>
        <w:r>
          <w:rPr>
            <w:noProof/>
            <w:webHidden/>
          </w:rPr>
        </w:r>
        <w:r>
          <w:rPr>
            <w:noProof/>
            <w:webHidden/>
          </w:rPr>
          <w:fldChar w:fldCharType="separate"/>
        </w:r>
        <w:r w:rsidR="00A64945">
          <w:rPr>
            <w:noProof/>
            <w:webHidden/>
          </w:rPr>
          <w:t>69</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07" w:history="1">
        <w:r w:rsidR="00A64945" w:rsidRPr="00745548">
          <w:rPr>
            <w:rStyle w:val="Hyperlink"/>
            <w:noProof/>
          </w:rPr>
          <w:t>§3.3.4. Loonbelasting</w:t>
        </w:r>
        <w:r w:rsidR="00A64945">
          <w:rPr>
            <w:noProof/>
            <w:webHidden/>
          </w:rPr>
          <w:tab/>
        </w:r>
        <w:r>
          <w:rPr>
            <w:noProof/>
            <w:webHidden/>
          </w:rPr>
          <w:fldChar w:fldCharType="begin"/>
        </w:r>
        <w:r w:rsidR="00A64945">
          <w:rPr>
            <w:noProof/>
            <w:webHidden/>
          </w:rPr>
          <w:instrText xml:space="preserve"> PAGEREF _Toc299634307 \h </w:instrText>
        </w:r>
        <w:r>
          <w:rPr>
            <w:noProof/>
            <w:webHidden/>
          </w:rPr>
        </w:r>
        <w:r>
          <w:rPr>
            <w:noProof/>
            <w:webHidden/>
          </w:rPr>
          <w:fldChar w:fldCharType="separate"/>
        </w:r>
        <w:r w:rsidR="00A64945">
          <w:rPr>
            <w:noProof/>
            <w:webHidden/>
          </w:rPr>
          <w:t>69</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08" w:history="1">
        <w:r w:rsidR="00A64945" w:rsidRPr="00745548">
          <w:rPr>
            <w:rStyle w:val="Hyperlink"/>
            <w:noProof/>
          </w:rPr>
          <w:t>§3.3.5. Overige belastingen</w:t>
        </w:r>
        <w:r w:rsidR="00A64945">
          <w:rPr>
            <w:noProof/>
            <w:webHidden/>
          </w:rPr>
          <w:tab/>
        </w:r>
        <w:r>
          <w:rPr>
            <w:noProof/>
            <w:webHidden/>
          </w:rPr>
          <w:fldChar w:fldCharType="begin"/>
        </w:r>
        <w:r w:rsidR="00A64945">
          <w:rPr>
            <w:noProof/>
            <w:webHidden/>
          </w:rPr>
          <w:instrText xml:space="preserve"> PAGEREF _Toc299634308 \h </w:instrText>
        </w:r>
        <w:r>
          <w:rPr>
            <w:noProof/>
            <w:webHidden/>
          </w:rPr>
        </w:r>
        <w:r>
          <w:rPr>
            <w:noProof/>
            <w:webHidden/>
          </w:rPr>
          <w:fldChar w:fldCharType="separate"/>
        </w:r>
        <w:r w:rsidR="00A64945">
          <w:rPr>
            <w:noProof/>
            <w:webHidden/>
          </w:rPr>
          <w:t>71</w:t>
        </w:r>
        <w:r>
          <w:rPr>
            <w:noProof/>
            <w:webHidden/>
          </w:rPr>
          <w:fldChar w:fldCharType="end"/>
        </w:r>
      </w:hyperlink>
    </w:p>
    <w:p w:rsidR="00A64945" w:rsidRDefault="00CB17CC">
      <w:pPr>
        <w:pStyle w:val="TOC4"/>
        <w:rPr>
          <w:rFonts w:cs="Times New Roman"/>
          <w:i w:val="0"/>
          <w:lang w:val="en-US"/>
        </w:rPr>
      </w:pPr>
      <w:hyperlink w:anchor="_Toc299634309" w:history="1">
        <w:r w:rsidR="00A64945" w:rsidRPr="00745548">
          <w:rPr>
            <w:rStyle w:val="Hyperlink"/>
          </w:rPr>
          <w:t>§3.3.4.1. Grondbelasting</w:t>
        </w:r>
        <w:r w:rsidR="00A64945">
          <w:rPr>
            <w:webHidden/>
          </w:rPr>
          <w:tab/>
        </w:r>
        <w:r>
          <w:rPr>
            <w:webHidden/>
          </w:rPr>
          <w:fldChar w:fldCharType="begin"/>
        </w:r>
        <w:r w:rsidR="00A64945">
          <w:rPr>
            <w:webHidden/>
          </w:rPr>
          <w:instrText xml:space="preserve"> PAGEREF _Toc299634309 \h </w:instrText>
        </w:r>
        <w:r>
          <w:rPr>
            <w:webHidden/>
          </w:rPr>
        </w:r>
        <w:r>
          <w:rPr>
            <w:webHidden/>
          </w:rPr>
          <w:fldChar w:fldCharType="separate"/>
        </w:r>
        <w:r w:rsidR="00A64945">
          <w:rPr>
            <w:webHidden/>
          </w:rPr>
          <w:t>71</w:t>
        </w:r>
        <w:r>
          <w:rPr>
            <w:webHidden/>
          </w:rPr>
          <w:fldChar w:fldCharType="end"/>
        </w:r>
      </w:hyperlink>
    </w:p>
    <w:p w:rsidR="00A64945" w:rsidRDefault="00CB17CC">
      <w:pPr>
        <w:pStyle w:val="TOC4"/>
        <w:rPr>
          <w:rFonts w:cs="Times New Roman"/>
          <w:i w:val="0"/>
          <w:lang w:val="en-US"/>
        </w:rPr>
      </w:pPr>
      <w:hyperlink w:anchor="_Toc299634310" w:history="1">
        <w:r w:rsidR="00A64945" w:rsidRPr="00745548">
          <w:rPr>
            <w:rStyle w:val="Hyperlink"/>
          </w:rPr>
          <w:t>§3.3.4.2. Gebruiksbelasting</w:t>
        </w:r>
        <w:r w:rsidR="00A64945">
          <w:rPr>
            <w:webHidden/>
          </w:rPr>
          <w:tab/>
        </w:r>
        <w:r>
          <w:rPr>
            <w:webHidden/>
          </w:rPr>
          <w:fldChar w:fldCharType="begin"/>
        </w:r>
        <w:r w:rsidR="00A64945">
          <w:rPr>
            <w:webHidden/>
          </w:rPr>
          <w:instrText xml:space="preserve"> PAGEREF _Toc299634310 \h </w:instrText>
        </w:r>
        <w:r>
          <w:rPr>
            <w:webHidden/>
          </w:rPr>
        </w:r>
        <w:r>
          <w:rPr>
            <w:webHidden/>
          </w:rPr>
          <w:fldChar w:fldCharType="separate"/>
        </w:r>
        <w:r w:rsidR="00A64945">
          <w:rPr>
            <w:webHidden/>
          </w:rPr>
          <w:t>71</w:t>
        </w:r>
        <w:r>
          <w:rPr>
            <w:webHidden/>
          </w:rPr>
          <w:fldChar w:fldCharType="end"/>
        </w:r>
      </w:hyperlink>
    </w:p>
    <w:p w:rsidR="00A64945" w:rsidRDefault="00CB17CC">
      <w:pPr>
        <w:pStyle w:val="TOC2"/>
        <w:tabs>
          <w:tab w:val="right" w:leader="dot" w:pos="9062"/>
        </w:tabs>
        <w:rPr>
          <w:rFonts w:cs="Times New Roman"/>
          <w:noProof/>
          <w:lang w:val="en-US"/>
        </w:rPr>
      </w:pPr>
      <w:hyperlink w:anchor="_Toc299634311" w:history="1">
        <w:r w:rsidR="00A64945" w:rsidRPr="00745548">
          <w:rPr>
            <w:rStyle w:val="Hyperlink"/>
            <w:noProof/>
          </w:rPr>
          <w:t>§3.4. Samenvatting</w:t>
        </w:r>
        <w:r w:rsidR="00A64945">
          <w:rPr>
            <w:noProof/>
            <w:webHidden/>
          </w:rPr>
          <w:tab/>
        </w:r>
        <w:r>
          <w:rPr>
            <w:noProof/>
            <w:webHidden/>
          </w:rPr>
          <w:fldChar w:fldCharType="begin"/>
        </w:r>
        <w:r w:rsidR="00A64945">
          <w:rPr>
            <w:noProof/>
            <w:webHidden/>
          </w:rPr>
          <w:instrText xml:space="preserve"> PAGEREF _Toc299634311 \h </w:instrText>
        </w:r>
        <w:r>
          <w:rPr>
            <w:noProof/>
            <w:webHidden/>
          </w:rPr>
        </w:r>
        <w:r>
          <w:rPr>
            <w:noProof/>
            <w:webHidden/>
          </w:rPr>
          <w:fldChar w:fldCharType="separate"/>
        </w:r>
        <w:r w:rsidR="00A64945">
          <w:rPr>
            <w:noProof/>
            <w:webHidden/>
          </w:rPr>
          <w:t>71</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312" w:history="1">
        <w:r w:rsidR="00A64945" w:rsidRPr="00745548">
          <w:rPr>
            <w:rStyle w:val="Hyperlink"/>
            <w:noProof/>
            <w:lang w:val="it-IT"/>
          </w:rPr>
          <w:t>Figuur 3.2: Fiscale faciliteiten Curaçaose E- Zoneregime samengevat</w:t>
        </w:r>
        <w:r w:rsidR="00A64945">
          <w:rPr>
            <w:noProof/>
            <w:webHidden/>
          </w:rPr>
          <w:tab/>
        </w:r>
        <w:r>
          <w:rPr>
            <w:noProof/>
            <w:webHidden/>
          </w:rPr>
          <w:fldChar w:fldCharType="begin"/>
        </w:r>
        <w:r w:rsidR="00A64945">
          <w:rPr>
            <w:noProof/>
            <w:webHidden/>
          </w:rPr>
          <w:instrText xml:space="preserve"> PAGEREF _Toc299634312 \h </w:instrText>
        </w:r>
        <w:r>
          <w:rPr>
            <w:noProof/>
            <w:webHidden/>
          </w:rPr>
        </w:r>
        <w:r>
          <w:rPr>
            <w:noProof/>
            <w:webHidden/>
          </w:rPr>
          <w:fldChar w:fldCharType="separate"/>
        </w:r>
        <w:r w:rsidR="00A64945">
          <w:rPr>
            <w:noProof/>
            <w:webHidden/>
          </w:rPr>
          <w:t>72</w:t>
        </w:r>
        <w:r>
          <w:rPr>
            <w:noProof/>
            <w:webHidden/>
          </w:rPr>
          <w:fldChar w:fldCharType="end"/>
        </w:r>
      </w:hyperlink>
    </w:p>
    <w:p w:rsidR="00A64945" w:rsidRDefault="00CB17CC">
      <w:pPr>
        <w:pStyle w:val="TOC1"/>
        <w:rPr>
          <w:rFonts w:cs="Times New Roman"/>
          <w:b w:val="0"/>
          <w:sz w:val="22"/>
          <w:szCs w:val="22"/>
          <w:lang w:val="en-US"/>
        </w:rPr>
      </w:pPr>
      <w:hyperlink w:anchor="_Toc299634313" w:history="1">
        <w:r w:rsidR="00A64945" w:rsidRPr="00745548">
          <w:rPr>
            <w:rStyle w:val="Hyperlink"/>
          </w:rPr>
          <w:t>H4. Toetsing houdbaarheid fiscaliteit Curaçaose E- zoneregime binnen fiscale EU- wetgeving.</w:t>
        </w:r>
        <w:r w:rsidR="00A64945">
          <w:rPr>
            <w:webHidden/>
          </w:rPr>
          <w:tab/>
        </w:r>
        <w:r>
          <w:rPr>
            <w:webHidden/>
          </w:rPr>
          <w:fldChar w:fldCharType="begin"/>
        </w:r>
        <w:r w:rsidR="00A64945">
          <w:rPr>
            <w:webHidden/>
          </w:rPr>
          <w:instrText xml:space="preserve"> PAGEREF _Toc299634313 \h </w:instrText>
        </w:r>
        <w:r>
          <w:rPr>
            <w:webHidden/>
          </w:rPr>
        </w:r>
        <w:r>
          <w:rPr>
            <w:webHidden/>
          </w:rPr>
          <w:fldChar w:fldCharType="separate"/>
        </w:r>
        <w:r w:rsidR="00A64945">
          <w:rPr>
            <w:webHidden/>
          </w:rPr>
          <w:t>73</w:t>
        </w:r>
        <w:r>
          <w:rPr>
            <w:webHidden/>
          </w:rPr>
          <w:fldChar w:fldCharType="end"/>
        </w:r>
      </w:hyperlink>
    </w:p>
    <w:p w:rsidR="00A64945" w:rsidRDefault="00CB17CC">
      <w:pPr>
        <w:pStyle w:val="TOC2"/>
        <w:tabs>
          <w:tab w:val="right" w:leader="dot" w:pos="9062"/>
        </w:tabs>
        <w:rPr>
          <w:rFonts w:cs="Times New Roman"/>
          <w:noProof/>
          <w:lang w:val="en-US"/>
        </w:rPr>
      </w:pPr>
      <w:hyperlink w:anchor="_Toc299634314" w:history="1">
        <w:r w:rsidR="00A64945" w:rsidRPr="00745548">
          <w:rPr>
            <w:rStyle w:val="Hyperlink"/>
            <w:noProof/>
          </w:rPr>
          <w:t>§4.1 Inleiding</w:t>
        </w:r>
        <w:r w:rsidR="00A64945">
          <w:rPr>
            <w:noProof/>
            <w:webHidden/>
          </w:rPr>
          <w:tab/>
        </w:r>
        <w:r>
          <w:rPr>
            <w:noProof/>
            <w:webHidden/>
          </w:rPr>
          <w:fldChar w:fldCharType="begin"/>
        </w:r>
        <w:r w:rsidR="00A64945">
          <w:rPr>
            <w:noProof/>
            <w:webHidden/>
          </w:rPr>
          <w:instrText xml:space="preserve"> PAGEREF _Toc299634314 \h </w:instrText>
        </w:r>
        <w:r>
          <w:rPr>
            <w:noProof/>
            <w:webHidden/>
          </w:rPr>
        </w:r>
        <w:r>
          <w:rPr>
            <w:noProof/>
            <w:webHidden/>
          </w:rPr>
          <w:fldChar w:fldCharType="separate"/>
        </w:r>
        <w:r w:rsidR="00A64945">
          <w:rPr>
            <w:noProof/>
            <w:webHidden/>
          </w:rPr>
          <w:t>73</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315" w:history="1">
        <w:r w:rsidR="00A64945" w:rsidRPr="00745548">
          <w:rPr>
            <w:rStyle w:val="Hyperlink"/>
            <w:noProof/>
          </w:rPr>
          <w:t>§4.1.  Toetsing strijdigheid met EU- Verdragsvrijheden (§2.2.)</w:t>
        </w:r>
        <w:r w:rsidR="00A64945">
          <w:rPr>
            <w:noProof/>
            <w:webHidden/>
          </w:rPr>
          <w:tab/>
        </w:r>
        <w:r>
          <w:rPr>
            <w:noProof/>
            <w:webHidden/>
          </w:rPr>
          <w:fldChar w:fldCharType="begin"/>
        </w:r>
        <w:r w:rsidR="00A64945">
          <w:rPr>
            <w:noProof/>
            <w:webHidden/>
          </w:rPr>
          <w:instrText xml:space="preserve"> PAGEREF _Toc299634315 \h </w:instrText>
        </w:r>
        <w:r>
          <w:rPr>
            <w:noProof/>
            <w:webHidden/>
          </w:rPr>
        </w:r>
        <w:r>
          <w:rPr>
            <w:noProof/>
            <w:webHidden/>
          </w:rPr>
          <w:fldChar w:fldCharType="separate"/>
        </w:r>
        <w:r w:rsidR="00A64945">
          <w:rPr>
            <w:noProof/>
            <w:webHidden/>
          </w:rPr>
          <w:t>74</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16" w:history="1">
        <w:r w:rsidR="00A64945" w:rsidRPr="00745548">
          <w:rPr>
            <w:rStyle w:val="Hyperlink"/>
            <w:noProof/>
          </w:rPr>
          <w:t>§4.1.1. Algemeen</w:t>
        </w:r>
        <w:r w:rsidR="00A64945">
          <w:rPr>
            <w:noProof/>
            <w:webHidden/>
          </w:rPr>
          <w:tab/>
        </w:r>
        <w:r>
          <w:rPr>
            <w:noProof/>
            <w:webHidden/>
          </w:rPr>
          <w:fldChar w:fldCharType="begin"/>
        </w:r>
        <w:r w:rsidR="00A64945">
          <w:rPr>
            <w:noProof/>
            <w:webHidden/>
          </w:rPr>
          <w:instrText xml:space="preserve"> PAGEREF _Toc299634316 \h </w:instrText>
        </w:r>
        <w:r>
          <w:rPr>
            <w:noProof/>
            <w:webHidden/>
          </w:rPr>
        </w:r>
        <w:r>
          <w:rPr>
            <w:noProof/>
            <w:webHidden/>
          </w:rPr>
          <w:fldChar w:fldCharType="separate"/>
        </w:r>
        <w:r w:rsidR="00A64945">
          <w:rPr>
            <w:noProof/>
            <w:webHidden/>
          </w:rPr>
          <w:t>74</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17" w:history="1">
        <w:r w:rsidR="00A64945" w:rsidRPr="00745548">
          <w:rPr>
            <w:rStyle w:val="Hyperlink"/>
            <w:noProof/>
          </w:rPr>
          <w:t>Figuur 4.1: Beoordelingsschema te beoordeling strijdigheid nationale bepaling met EU- recht</w:t>
        </w:r>
        <w:r w:rsidR="00A64945">
          <w:rPr>
            <w:noProof/>
            <w:webHidden/>
          </w:rPr>
          <w:tab/>
        </w:r>
        <w:r>
          <w:rPr>
            <w:noProof/>
            <w:webHidden/>
          </w:rPr>
          <w:fldChar w:fldCharType="begin"/>
        </w:r>
        <w:r w:rsidR="00A64945">
          <w:rPr>
            <w:noProof/>
            <w:webHidden/>
          </w:rPr>
          <w:instrText xml:space="preserve"> PAGEREF _Toc299634317 \h </w:instrText>
        </w:r>
        <w:r>
          <w:rPr>
            <w:noProof/>
            <w:webHidden/>
          </w:rPr>
        </w:r>
        <w:r>
          <w:rPr>
            <w:noProof/>
            <w:webHidden/>
          </w:rPr>
          <w:fldChar w:fldCharType="separate"/>
        </w:r>
        <w:r w:rsidR="00A64945">
          <w:rPr>
            <w:noProof/>
            <w:webHidden/>
          </w:rPr>
          <w:t>76</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18" w:history="1">
        <w:r w:rsidR="00A64945" w:rsidRPr="00745548">
          <w:rPr>
            <w:rStyle w:val="Hyperlink"/>
            <w:noProof/>
          </w:rPr>
          <w:t>§ 4.1.2. Strijdigheid fiscaliteit Curaçaose E- Zoneregime met vrij verkeersbepalingen</w:t>
        </w:r>
        <w:r w:rsidR="00A64945">
          <w:rPr>
            <w:noProof/>
            <w:webHidden/>
          </w:rPr>
          <w:tab/>
        </w:r>
        <w:r>
          <w:rPr>
            <w:noProof/>
            <w:webHidden/>
          </w:rPr>
          <w:fldChar w:fldCharType="begin"/>
        </w:r>
        <w:r w:rsidR="00A64945">
          <w:rPr>
            <w:noProof/>
            <w:webHidden/>
          </w:rPr>
          <w:instrText xml:space="preserve"> PAGEREF _Toc299634318 \h </w:instrText>
        </w:r>
        <w:r>
          <w:rPr>
            <w:noProof/>
            <w:webHidden/>
          </w:rPr>
        </w:r>
        <w:r>
          <w:rPr>
            <w:noProof/>
            <w:webHidden/>
          </w:rPr>
          <w:fldChar w:fldCharType="separate"/>
        </w:r>
        <w:r w:rsidR="00A64945">
          <w:rPr>
            <w:noProof/>
            <w:webHidden/>
          </w:rPr>
          <w:t>76</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319" w:history="1">
        <w:r w:rsidR="00A64945" w:rsidRPr="00745548">
          <w:rPr>
            <w:rStyle w:val="Hyperlink"/>
            <w:noProof/>
          </w:rPr>
          <w:t>§4.2.  Toetsing strijdigheid met directe belastingrichtlijnen (§2.3.)</w:t>
        </w:r>
        <w:r w:rsidR="00A64945">
          <w:rPr>
            <w:noProof/>
            <w:webHidden/>
          </w:rPr>
          <w:tab/>
        </w:r>
        <w:r>
          <w:rPr>
            <w:noProof/>
            <w:webHidden/>
          </w:rPr>
          <w:fldChar w:fldCharType="begin"/>
        </w:r>
        <w:r w:rsidR="00A64945">
          <w:rPr>
            <w:noProof/>
            <w:webHidden/>
          </w:rPr>
          <w:instrText xml:space="preserve"> PAGEREF _Toc299634319 \h </w:instrText>
        </w:r>
        <w:r>
          <w:rPr>
            <w:noProof/>
            <w:webHidden/>
          </w:rPr>
        </w:r>
        <w:r>
          <w:rPr>
            <w:noProof/>
            <w:webHidden/>
          </w:rPr>
          <w:fldChar w:fldCharType="separate"/>
        </w:r>
        <w:r w:rsidR="00A64945">
          <w:rPr>
            <w:noProof/>
            <w:webHidden/>
          </w:rPr>
          <w:t>79</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20" w:history="1">
        <w:r w:rsidR="00A64945" w:rsidRPr="00745548">
          <w:rPr>
            <w:rStyle w:val="Hyperlink"/>
            <w:noProof/>
          </w:rPr>
          <w:t>§4.2.1. Moeder- dochterrichtlijn (§ 2.3.2.)</w:t>
        </w:r>
        <w:r w:rsidR="00A64945">
          <w:rPr>
            <w:noProof/>
            <w:webHidden/>
          </w:rPr>
          <w:tab/>
        </w:r>
        <w:r>
          <w:rPr>
            <w:noProof/>
            <w:webHidden/>
          </w:rPr>
          <w:fldChar w:fldCharType="begin"/>
        </w:r>
        <w:r w:rsidR="00A64945">
          <w:rPr>
            <w:noProof/>
            <w:webHidden/>
          </w:rPr>
          <w:instrText xml:space="preserve"> PAGEREF _Toc299634320 \h </w:instrText>
        </w:r>
        <w:r>
          <w:rPr>
            <w:noProof/>
            <w:webHidden/>
          </w:rPr>
        </w:r>
        <w:r>
          <w:rPr>
            <w:noProof/>
            <w:webHidden/>
          </w:rPr>
          <w:fldChar w:fldCharType="separate"/>
        </w:r>
        <w:r w:rsidR="00A64945">
          <w:rPr>
            <w:noProof/>
            <w:webHidden/>
          </w:rPr>
          <w:t>80</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21" w:history="1">
        <w:r w:rsidR="00A64945" w:rsidRPr="00745548">
          <w:rPr>
            <w:rStyle w:val="Hyperlink"/>
            <w:noProof/>
          </w:rPr>
          <w:t>§4.2.2. Fusierichtlijn (§ 2.3.3.)</w:t>
        </w:r>
        <w:r w:rsidR="00A64945">
          <w:rPr>
            <w:noProof/>
            <w:webHidden/>
          </w:rPr>
          <w:tab/>
        </w:r>
        <w:r>
          <w:rPr>
            <w:noProof/>
            <w:webHidden/>
          </w:rPr>
          <w:fldChar w:fldCharType="begin"/>
        </w:r>
        <w:r w:rsidR="00A64945">
          <w:rPr>
            <w:noProof/>
            <w:webHidden/>
          </w:rPr>
          <w:instrText xml:space="preserve"> PAGEREF _Toc299634321 \h </w:instrText>
        </w:r>
        <w:r>
          <w:rPr>
            <w:noProof/>
            <w:webHidden/>
          </w:rPr>
        </w:r>
        <w:r>
          <w:rPr>
            <w:noProof/>
            <w:webHidden/>
          </w:rPr>
          <w:fldChar w:fldCharType="separate"/>
        </w:r>
        <w:r w:rsidR="00A64945">
          <w:rPr>
            <w:noProof/>
            <w:webHidden/>
          </w:rPr>
          <w:t>81</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22" w:history="1">
        <w:r w:rsidR="00A64945" w:rsidRPr="00745548">
          <w:rPr>
            <w:rStyle w:val="Hyperlink"/>
            <w:noProof/>
          </w:rPr>
          <w:t>§4.2.3. Interest- en royaltyrichtlijn (§ 2.3.4.)</w:t>
        </w:r>
        <w:r w:rsidR="00A64945">
          <w:rPr>
            <w:noProof/>
            <w:webHidden/>
          </w:rPr>
          <w:tab/>
        </w:r>
        <w:r>
          <w:rPr>
            <w:noProof/>
            <w:webHidden/>
          </w:rPr>
          <w:fldChar w:fldCharType="begin"/>
        </w:r>
        <w:r w:rsidR="00A64945">
          <w:rPr>
            <w:noProof/>
            <w:webHidden/>
          </w:rPr>
          <w:instrText xml:space="preserve"> PAGEREF _Toc299634322 \h </w:instrText>
        </w:r>
        <w:r>
          <w:rPr>
            <w:noProof/>
            <w:webHidden/>
          </w:rPr>
        </w:r>
        <w:r>
          <w:rPr>
            <w:noProof/>
            <w:webHidden/>
          </w:rPr>
          <w:fldChar w:fldCharType="separate"/>
        </w:r>
        <w:r w:rsidR="00A64945">
          <w:rPr>
            <w:noProof/>
            <w:webHidden/>
          </w:rPr>
          <w:t>81</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23" w:history="1">
        <w:r w:rsidR="00A64945" w:rsidRPr="00745548">
          <w:rPr>
            <w:rStyle w:val="Hyperlink"/>
            <w:noProof/>
          </w:rPr>
          <w:t>§4.2.4.  Spaartegoedenrichtlijn (§ 2.3.5.)</w:t>
        </w:r>
        <w:r w:rsidR="00A64945">
          <w:rPr>
            <w:noProof/>
            <w:webHidden/>
          </w:rPr>
          <w:tab/>
        </w:r>
        <w:r>
          <w:rPr>
            <w:noProof/>
            <w:webHidden/>
          </w:rPr>
          <w:fldChar w:fldCharType="begin"/>
        </w:r>
        <w:r w:rsidR="00A64945">
          <w:rPr>
            <w:noProof/>
            <w:webHidden/>
          </w:rPr>
          <w:instrText xml:space="preserve"> PAGEREF _Toc299634323 \h </w:instrText>
        </w:r>
        <w:r>
          <w:rPr>
            <w:noProof/>
            <w:webHidden/>
          </w:rPr>
        </w:r>
        <w:r>
          <w:rPr>
            <w:noProof/>
            <w:webHidden/>
          </w:rPr>
          <w:fldChar w:fldCharType="separate"/>
        </w:r>
        <w:r w:rsidR="00A64945">
          <w:rPr>
            <w:noProof/>
            <w:webHidden/>
          </w:rPr>
          <w:t>83</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24" w:history="1">
        <w:r w:rsidR="00A64945" w:rsidRPr="00745548">
          <w:rPr>
            <w:rStyle w:val="Hyperlink"/>
            <w:noProof/>
          </w:rPr>
          <w:t>§4.2.5.  Richtlijn inzake uitwisseling van inlichtingen en - invordering van belastingen (§ 2.3.6.)</w:t>
        </w:r>
        <w:r w:rsidR="00A64945">
          <w:rPr>
            <w:noProof/>
            <w:webHidden/>
          </w:rPr>
          <w:tab/>
        </w:r>
        <w:r>
          <w:rPr>
            <w:noProof/>
            <w:webHidden/>
          </w:rPr>
          <w:fldChar w:fldCharType="begin"/>
        </w:r>
        <w:r w:rsidR="00A64945">
          <w:rPr>
            <w:noProof/>
            <w:webHidden/>
          </w:rPr>
          <w:instrText xml:space="preserve"> PAGEREF _Toc299634324 \h </w:instrText>
        </w:r>
        <w:r>
          <w:rPr>
            <w:noProof/>
            <w:webHidden/>
          </w:rPr>
        </w:r>
        <w:r>
          <w:rPr>
            <w:noProof/>
            <w:webHidden/>
          </w:rPr>
          <w:fldChar w:fldCharType="separate"/>
        </w:r>
        <w:r w:rsidR="00A64945">
          <w:rPr>
            <w:noProof/>
            <w:webHidden/>
          </w:rPr>
          <w:t>84</w:t>
        </w:r>
        <w:r>
          <w:rPr>
            <w:noProof/>
            <w:webHidden/>
          </w:rPr>
          <w:fldChar w:fldCharType="end"/>
        </w:r>
      </w:hyperlink>
    </w:p>
    <w:p w:rsidR="00A64945" w:rsidRDefault="00CB17CC">
      <w:pPr>
        <w:pStyle w:val="TOC2"/>
        <w:tabs>
          <w:tab w:val="right" w:leader="dot" w:pos="9062"/>
        </w:tabs>
        <w:rPr>
          <w:rFonts w:cs="Times New Roman"/>
          <w:noProof/>
          <w:lang w:val="en-US"/>
        </w:rPr>
      </w:pPr>
      <w:hyperlink w:anchor="_Toc299634325" w:history="1">
        <w:r w:rsidR="00A64945" w:rsidRPr="00745548">
          <w:rPr>
            <w:rStyle w:val="Hyperlink"/>
            <w:noProof/>
          </w:rPr>
          <w:t>§4.3. Toetsing strijdigheid met bepalingen schadelijke belastingconcurrentie en staatssteun (§2.5.)</w:t>
        </w:r>
        <w:r w:rsidR="00A64945">
          <w:rPr>
            <w:noProof/>
            <w:webHidden/>
          </w:rPr>
          <w:tab/>
        </w:r>
        <w:r>
          <w:rPr>
            <w:noProof/>
            <w:webHidden/>
          </w:rPr>
          <w:fldChar w:fldCharType="begin"/>
        </w:r>
        <w:r w:rsidR="00A64945">
          <w:rPr>
            <w:noProof/>
            <w:webHidden/>
          </w:rPr>
          <w:instrText xml:space="preserve"> PAGEREF _Toc299634325 \h </w:instrText>
        </w:r>
        <w:r>
          <w:rPr>
            <w:noProof/>
            <w:webHidden/>
          </w:rPr>
        </w:r>
        <w:r>
          <w:rPr>
            <w:noProof/>
            <w:webHidden/>
          </w:rPr>
          <w:fldChar w:fldCharType="separate"/>
        </w:r>
        <w:r w:rsidR="00A64945">
          <w:rPr>
            <w:noProof/>
            <w:webHidden/>
          </w:rPr>
          <w:t>84</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26" w:history="1">
        <w:r w:rsidR="00A64945" w:rsidRPr="00745548">
          <w:rPr>
            <w:rStyle w:val="Hyperlink"/>
            <w:noProof/>
          </w:rPr>
          <w:t>§4.3.1 De vrije zone van Madeira</w:t>
        </w:r>
        <w:r w:rsidR="00A64945">
          <w:rPr>
            <w:noProof/>
            <w:webHidden/>
          </w:rPr>
          <w:tab/>
        </w:r>
        <w:r>
          <w:rPr>
            <w:noProof/>
            <w:webHidden/>
          </w:rPr>
          <w:fldChar w:fldCharType="begin"/>
        </w:r>
        <w:r w:rsidR="00A64945">
          <w:rPr>
            <w:noProof/>
            <w:webHidden/>
          </w:rPr>
          <w:instrText xml:space="preserve"> PAGEREF _Toc299634326 \h </w:instrText>
        </w:r>
        <w:r>
          <w:rPr>
            <w:noProof/>
            <w:webHidden/>
          </w:rPr>
        </w:r>
        <w:r>
          <w:rPr>
            <w:noProof/>
            <w:webHidden/>
          </w:rPr>
          <w:fldChar w:fldCharType="separate"/>
        </w:r>
        <w:r w:rsidR="00A64945">
          <w:rPr>
            <w:noProof/>
            <w:webHidden/>
          </w:rPr>
          <w:t>84</w:t>
        </w:r>
        <w:r>
          <w:rPr>
            <w:noProof/>
            <w:webHidden/>
          </w:rPr>
          <w:fldChar w:fldCharType="end"/>
        </w:r>
      </w:hyperlink>
    </w:p>
    <w:p w:rsidR="00A64945" w:rsidRDefault="00CB17CC">
      <w:pPr>
        <w:pStyle w:val="TOC3"/>
        <w:tabs>
          <w:tab w:val="right" w:leader="dot" w:pos="9062"/>
        </w:tabs>
        <w:rPr>
          <w:rFonts w:cs="Times New Roman"/>
          <w:noProof/>
          <w:lang w:val="en-US"/>
        </w:rPr>
      </w:pPr>
      <w:hyperlink w:anchor="_Toc299634327" w:history="1">
        <w:r w:rsidR="00A64945" w:rsidRPr="00745548">
          <w:rPr>
            <w:rStyle w:val="Hyperlink"/>
            <w:noProof/>
          </w:rPr>
          <w:t>§4.3.2. Toetsing fiscale faciliteiten E- Zone aan de voorwaarden van verboden staatssteun</w:t>
        </w:r>
        <w:r w:rsidR="00A64945">
          <w:rPr>
            <w:noProof/>
            <w:webHidden/>
          </w:rPr>
          <w:tab/>
        </w:r>
        <w:r>
          <w:rPr>
            <w:noProof/>
            <w:webHidden/>
          </w:rPr>
          <w:fldChar w:fldCharType="begin"/>
        </w:r>
        <w:r w:rsidR="00A64945">
          <w:rPr>
            <w:noProof/>
            <w:webHidden/>
          </w:rPr>
          <w:instrText xml:space="preserve"> PAGEREF _Toc299634327 \h </w:instrText>
        </w:r>
        <w:r>
          <w:rPr>
            <w:noProof/>
            <w:webHidden/>
          </w:rPr>
        </w:r>
        <w:r>
          <w:rPr>
            <w:noProof/>
            <w:webHidden/>
          </w:rPr>
          <w:fldChar w:fldCharType="separate"/>
        </w:r>
        <w:r w:rsidR="00A64945">
          <w:rPr>
            <w:noProof/>
            <w:webHidden/>
          </w:rPr>
          <w:t>89</w:t>
        </w:r>
        <w:r>
          <w:rPr>
            <w:noProof/>
            <w:webHidden/>
          </w:rPr>
          <w:fldChar w:fldCharType="end"/>
        </w:r>
      </w:hyperlink>
    </w:p>
    <w:p w:rsidR="00A64945" w:rsidRDefault="00CB17CC">
      <w:pPr>
        <w:pStyle w:val="TOC4"/>
        <w:rPr>
          <w:rFonts w:cs="Times New Roman"/>
          <w:i w:val="0"/>
          <w:lang w:val="en-US"/>
        </w:rPr>
      </w:pPr>
      <w:hyperlink w:anchor="_Toc299634328" w:history="1">
        <w:r w:rsidR="00A64945" w:rsidRPr="00745548">
          <w:rPr>
            <w:rStyle w:val="Hyperlink"/>
          </w:rPr>
          <w:t>§4.3.2.1. Een met Curaçaose staatsmiddelen bekostigd voordeel</w:t>
        </w:r>
        <w:r w:rsidR="00A64945">
          <w:rPr>
            <w:webHidden/>
          </w:rPr>
          <w:tab/>
        </w:r>
        <w:r>
          <w:rPr>
            <w:webHidden/>
          </w:rPr>
          <w:fldChar w:fldCharType="begin"/>
        </w:r>
        <w:r w:rsidR="00A64945">
          <w:rPr>
            <w:webHidden/>
          </w:rPr>
          <w:instrText xml:space="preserve"> PAGEREF _Toc299634328 \h </w:instrText>
        </w:r>
        <w:r>
          <w:rPr>
            <w:webHidden/>
          </w:rPr>
        </w:r>
        <w:r>
          <w:rPr>
            <w:webHidden/>
          </w:rPr>
          <w:fldChar w:fldCharType="separate"/>
        </w:r>
        <w:r w:rsidR="00A64945">
          <w:rPr>
            <w:webHidden/>
          </w:rPr>
          <w:t>90</w:t>
        </w:r>
        <w:r>
          <w:rPr>
            <w:webHidden/>
          </w:rPr>
          <w:fldChar w:fldCharType="end"/>
        </w:r>
      </w:hyperlink>
    </w:p>
    <w:p w:rsidR="00A64945" w:rsidRDefault="00CB17CC">
      <w:pPr>
        <w:pStyle w:val="TOC4"/>
        <w:rPr>
          <w:rFonts w:cs="Times New Roman"/>
          <w:i w:val="0"/>
          <w:lang w:val="en-US"/>
        </w:rPr>
      </w:pPr>
      <w:hyperlink w:anchor="_Toc299634329" w:history="1">
        <w:r w:rsidR="00A64945" w:rsidRPr="00745548">
          <w:rPr>
            <w:rStyle w:val="Hyperlink"/>
          </w:rPr>
          <w:t>§4.3.2.2. Een specifieke belastingmaatregel</w:t>
        </w:r>
        <w:r w:rsidR="00A64945">
          <w:rPr>
            <w:webHidden/>
          </w:rPr>
          <w:tab/>
        </w:r>
        <w:r>
          <w:rPr>
            <w:webHidden/>
          </w:rPr>
          <w:fldChar w:fldCharType="begin"/>
        </w:r>
        <w:r w:rsidR="00A64945">
          <w:rPr>
            <w:webHidden/>
          </w:rPr>
          <w:instrText xml:space="preserve"> PAGEREF _Toc299634329 \h </w:instrText>
        </w:r>
        <w:r>
          <w:rPr>
            <w:webHidden/>
          </w:rPr>
        </w:r>
        <w:r>
          <w:rPr>
            <w:webHidden/>
          </w:rPr>
          <w:fldChar w:fldCharType="separate"/>
        </w:r>
        <w:r w:rsidR="00A64945">
          <w:rPr>
            <w:webHidden/>
          </w:rPr>
          <w:t>91</w:t>
        </w:r>
        <w:r>
          <w:rPr>
            <w:webHidden/>
          </w:rPr>
          <w:fldChar w:fldCharType="end"/>
        </w:r>
      </w:hyperlink>
    </w:p>
    <w:p w:rsidR="00A64945" w:rsidRDefault="00CB17CC">
      <w:pPr>
        <w:pStyle w:val="TOC4"/>
        <w:rPr>
          <w:rFonts w:cs="Times New Roman"/>
          <w:i w:val="0"/>
          <w:lang w:val="en-US"/>
        </w:rPr>
      </w:pPr>
      <w:hyperlink w:anchor="_Toc299634330" w:history="1">
        <w:r w:rsidR="00A64945" w:rsidRPr="00745548">
          <w:rPr>
            <w:rStyle w:val="Hyperlink"/>
          </w:rPr>
          <w:t>§4.3.2.3. Het ongunstig beïnvloeden van de mededinging en het handelsverkeer in de EU</w:t>
        </w:r>
        <w:r w:rsidR="00A64945">
          <w:rPr>
            <w:webHidden/>
          </w:rPr>
          <w:tab/>
        </w:r>
        <w:r>
          <w:rPr>
            <w:webHidden/>
          </w:rPr>
          <w:fldChar w:fldCharType="begin"/>
        </w:r>
        <w:r w:rsidR="00A64945">
          <w:rPr>
            <w:webHidden/>
          </w:rPr>
          <w:instrText xml:space="preserve"> PAGEREF _Toc299634330 \h </w:instrText>
        </w:r>
        <w:r>
          <w:rPr>
            <w:webHidden/>
          </w:rPr>
        </w:r>
        <w:r>
          <w:rPr>
            <w:webHidden/>
          </w:rPr>
          <w:fldChar w:fldCharType="separate"/>
        </w:r>
        <w:r w:rsidR="00A64945">
          <w:rPr>
            <w:webHidden/>
          </w:rPr>
          <w:t>91</w:t>
        </w:r>
        <w:r>
          <w:rPr>
            <w:webHidden/>
          </w:rPr>
          <w:fldChar w:fldCharType="end"/>
        </w:r>
      </w:hyperlink>
    </w:p>
    <w:p w:rsidR="00A64945" w:rsidRDefault="00CB17CC">
      <w:pPr>
        <w:pStyle w:val="TOC1"/>
        <w:rPr>
          <w:rFonts w:cs="Times New Roman"/>
          <w:b w:val="0"/>
          <w:sz w:val="22"/>
          <w:szCs w:val="22"/>
          <w:lang w:val="en-US"/>
        </w:rPr>
      </w:pPr>
      <w:hyperlink w:anchor="_Toc299634331" w:history="1">
        <w:r w:rsidR="00A64945" w:rsidRPr="00745548">
          <w:rPr>
            <w:rStyle w:val="Hyperlink"/>
          </w:rPr>
          <w:t>H5. Conclusie</w:t>
        </w:r>
        <w:r w:rsidR="00A64945">
          <w:rPr>
            <w:webHidden/>
          </w:rPr>
          <w:tab/>
        </w:r>
        <w:r>
          <w:rPr>
            <w:webHidden/>
          </w:rPr>
          <w:fldChar w:fldCharType="begin"/>
        </w:r>
        <w:r w:rsidR="00A64945">
          <w:rPr>
            <w:webHidden/>
          </w:rPr>
          <w:instrText xml:space="preserve"> PAGEREF _Toc299634331 \h </w:instrText>
        </w:r>
        <w:r>
          <w:rPr>
            <w:webHidden/>
          </w:rPr>
        </w:r>
        <w:r>
          <w:rPr>
            <w:webHidden/>
          </w:rPr>
          <w:fldChar w:fldCharType="separate"/>
        </w:r>
        <w:r w:rsidR="00A64945">
          <w:rPr>
            <w:webHidden/>
          </w:rPr>
          <w:t>97</w:t>
        </w:r>
        <w:r>
          <w:rPr>
            <w:webHidden/>
          </w:rPr>
          <w:fldChar w:fldCharType="end"/>
        </w:r>
      </w:hyperlink>
    </w:p>
    <w:p w:rsidR="00A64945" w:rsidRDefault="00CB17CC">
      <w:pPr>
        <w:pStyle w:val="TOC1"/>
        <w:rPr>
          <w:rFonts w:cs="Times New Roman"/>
          <w:b w:val="0"/>
          <w:sz w:val="22"/>
          <w:szCs w:val="22"/>
          <w:lang w:val="en-US"/>
        </w:rPr>
      </w:pPr>
      <w:hyperlink w:anchor="_Toc299634332" w:history="1">
        <w:r w:rsidR="00A64945" w:rsidRPr="00745548">
          <w:rPr>
            <w:rStyle w:val="Hyperlink"/>
          </w:rPr>
          <w:t>Literatuurlijst</w:t>
        </w:r>
        <w:r w:rsidR="00A64945">
          <w:rPr>
            <w:webHidden/>
          </w:rPr>
          <w:tab/>
        </w:r>
        <w:r>
          <w:rPr>
            <w:webHidden/>
          </w:rPr>
          <w:fldChar w:fldCharType="begin"/>
        </w:r>
        <w:r w:rsidR="00A64945">
          <w:rPr>
            <w:webHidden/>
          </w:rPr>
          <w:instrText xml:space="preserve"> PAGEREF _Toc299634332 \h </w:instrText>
        </w:r>
        <w:r>
          <w:rPr>
            <w:webHidden/>
          </w:rPr>
        </w:r>
        <w:r>
          <w:rPr>
            <w:webHidden/>
          </w:rPr>
          <w:fldChar w:fldCharType="separate"/>
        </w:r>
        <w:r w:rsidR="00A64945">
          <w:rPr>
            <w:webHidden/>
          </w:rPr>
          <w:t>100</w:t>
        </w:r>
        <w:r>
          <w:rPr>
            <w:webHidden/>
          </w:rPr>
          <w:fldChar w:fldCharType="end"/>
        </w:r>
      </w:hyperlink>
    </w:p>
    <w:p w:rsidR="00A64945" w:rsidRDefault="00CB17CC">
      <w:pPr>
        <w:pStyle w:val="TOC1"/>
        <w:rPr>
          <w:rFonts w:cs="Times New Roman"/>
          <w:b w:val="0"/>
          <w:sz w:val="22"/>
          <w:szCs w:val="22"/>
          <w:lang w:val="en-US"/>
        </w:rPr>
      </w:pPr>
      <w:hyperlink w:anchor="_Toc299634333" w:history="1">
        <w:r w:rsidR="00A64945" w:rsidRPr="00745548">
          <w:rPr>
            <w:rStyle w:val="Hyperlink"/>
          </w:rPr>
          <w:t>Bijlage 1: Voorbeeld E- Zonevergunning</w:t>
        </w:r>
        <w:r w:rsidR="00A64945">
          <w:rPr>
            <w:webHidden/>
          </w:rPr>
          <w:tab/>
        </w:r>
        <w:r>
          <w:rPr>
            <w:webHidden/>
          </w:rPr>
          <w:fldChar w:fldCharType="begin"/>
        </w:r>
        <w:r w:rsidR="00A64945">
          <w:rPr>
            <w:webHidden/>
          </w:rPr>
          <w:instrText xml:space="preserve"> PAGEREF _Toc299634333 \h </w:instrText>
        </w:r>
        <w:r>
          <w:rPr>
            <w:webHidden/>
          </w:rPr>
        </w:r>
        <w:r>
          <w:rPr>
            <w:webHidden/>
          </w:rPr>
          <w:fldChar w:fldCharType="separate"/>
        </w:r>
        <w:r w:rsidR="00A64945">
          <w:rPr>
            <w:webHidden/>
          </w:rPr>
          <w:t>103</w:t>
        </w:r>
        <w:r>
          <w:rPr>
            <w:webHidden/>
          </w:rPr>
          <w:fldChar w:fldCharType="end"/>
        </w:r>
      </w:hyperlink>
    </w:p>
    <w:p w:rsidR="00A64945" w:rsidRPr="00AB0446" w:rsidRDefault="00CB17CC" w:rsidP="00AB0446">
      <w:pPr>
        <w:pStyle w:val="Heading1"/>
        <w:rPr>
          <w:rFonts w:ascii="Calibri" w:hAnsi="Calibri" w:cs="Arial"/>
          <w:b w:val="0"/>
          <w:bCs w:val="0"/>
          <w:noProof/>
          <w:color w:val="auto"/>
          <w:sz w:val="24"/>
          <w:szCs w:val="24"/>
        </w:rPr>
      </w:pPr>
      <w:r>
        <w:rPr>
          <w:bCs w:val="0"/>
        </w:rPr>
        <w:fldChar w:fldCharType="end"/>
      </w:r>
      <w:bookmarkStart w:id="1" w:name="_Toc286250306"/>
      <w:r w:rsidR="00A64945">
        <w:rPr>
          <w:noProof/>
        </w:rPr>
        <w:br w:type="page"/>
      </w:r>
      <w:bookmarkStart w:id="2" w:name="_Toc299634257"/>
      <w:r w:rsidR="00A64945" w:rsidRPr="006B3431">
        <w:rPr>
          <w:rFonts w:ascii="Calibri" w:hAnsi="Calibri"/>
          <w:color w:val="auto"/>
        </w:rPr>
        <w:lastRenderedPageBreak/>
        <w:t>Dankwoord</w:t>
      </w:r>
      <w:r w:rsidR="00A64945">
        <w:rPr>
          <w:rFonts w:ascii="Calibri" w:hAnsi="Calibri"/>
          <w:color w:val="auto"/>
        </w:rPr>
        <w:t xml:space="preserve"> (</w:t>
      </w:r>
      <w:r w:rsidR="00A64945" w:rsidRPr="006B3431">
        <w:rPr>
          <w:rFonts w:ascii="Calibri" w:hAnsi="Calibri"/>
          <w:color w:val="auto"/>
        </w:rPr>
        <w:t>Palabra di gratitud</w:t>
      </w:r>
      <w:r w:rsidR="00A64945">
        <w:rPr>
          <w:rFonts w:ascii="Calibri" w:hAnsi="Calibri"/>
          <w:color w:val="auto"/>
        </w:rPr>
        <w:t>)</w:t>
      </w:r>
      <w:bookmarkEnd w:id="2"/>
      <w:r w:rsidR="00A64945" w:rsidRPr="006B3431">
        <w:rPr>
          <w:rFonts w:ascii="Calibri" w:hAnsi="Calibri"/>
          <w:color w:val="auto"/>
        </w:rPr>
        <w:t xml:space="preserve"> </w:t>
      </w:r>
    </w:p>
    <w:p w:rsidR="00A64945" w:rsidRPr="006B3431" w:rsidRDefault="00DA44D0" w:rsidP="006B3431">
      <w:r>
        <w:rPr>
          <w:noProof/>
          <w:lang w:val="en-US"/>
        </w:rPr>
        <w:drawing>
          <wp:anchor distT="0" distB="3177" distL="114300" distR="114514" simplePos="0" relativeHeight="251659264" behindDoc="1" locked="0" layoutInCell="1" allowOverlap="1">
            <wp:simplePos x="0" y="0"/>
            <wp:positionH relativeFrom="column">
              <wp:posOffset>-1035050</wp:posOffset>
            </wp:positionH>
            <wp:positionV relativeFrom="paragraph">
              <wp:posOffset>-727710</wp:posOffset>
            </wp:positionV>
            <wp:extent cx="7687524" cy="9317992"/>
            <wp:effectExtent l="19050" t="0" r="8676" b="0"/>
            <wp:wrapNone/>
            <wp:docPr id="12" name="Picture 13" descr="103Maite vacation.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03Maite vacation.JPG"/>
                    <pic:cNvPicPr/>
                  </pic:nvPicPr>
                  <pic:blipFill>
                    <a:blip r:embed="rId10"/>
                    <a:stretch>
                      <a:fillRect/>
                    </a:stretch>
                  </pic:blipFill>
                  <pic:spPr>
                    <a:xfrm>
                      <a:off x="0" y="0"/>
                      <a:ext cx="7687524" cy="9317992"/>
                    </a:xfrm>
                    <a:prstGeom prst="rect">
                      <a:avLst/>
                    </a:prstGeom>
                    <a:effectLst>
                      <a:softEdge rad="12700"/>
                    </a:effectLst>
                  </pic:spPr>
                </pic:pic>
              </a:graphicData>
            </a:graphic>
          </wp:anchor>
        </w:drawing>
      </w:r>
    </w:p>
    <w:p w:rsidR="00A64945" w:rsidRPr="00C9649B" w:rsidRDefault="00A64945" w:rsidP="006B3431">
      <w:pPr>
        <w:jc w:val="both"/>
        <w:rPr>
          <w:sz w:val="23"/>
          <w:szCs w:val="23"/>
        </w:rPr>
      </w:pPr>
      <w:r w:rsidRPr="00C9649B">
        <w:rPr>
          <w:sz w:val="23"/>
          <w:szCs w:val="23"/>
        </w:rPr>
        <w:t>Ik wil in de eerste plaats God bedanken.</w:t>
      </w:r>
      <w:r>
        <w:rPr>
          <w:sz w:val="23"/>
          <w:szCs w:val="23"/>
        </w:rPr>
        <w:t xml:space="preserve"> Omdat ik geloof dat Hij</w:t>
      </w:r>
      <w:r w:rsidRPr="00C9649B">
        <w:rPr>
          <w:sz w:val="23"/>
          <w:szCs w:val="23"/>
        </w:rPr>
        <w:t xml:space="preserve"> het begin en het einde is van alles. Alles is door God ontstaan en zonder God is niets</w:t>
      </w:r>
      <w:r>
        <w:rPr>
          <w:sz w:val="23"/>
          <w:szCs w:val="23"/>
        </w:rPr>
        <w:t xml:space="preserve"> ontstaan van wat bestaat (Joh.--</w:t>
      </w:r>
      <w:r w:rsidRPr="00C9649B">
        <w:rPr>
          <w:sz w:val="23"/>
          <w:szCs w:val="23"/>
        </w:rPr>
        <w:t>1:3).</w:t>
      </w:r>
    </w:p>
    <w:p w:rsidR="00A64945" w:rsidRPr="00C9649B" w:rsidRDefault="00A64945" w:rsidP="006B3431">
      <w:pPr>
        <w:jc w:val="both"/>
        <w:rPr>
          <w:sz w:val="23"/>
          <w:szCs w:val="23"/>
        </w:rPr>
      </w:pPr>
      <w:r w:rsidRPr="00C9649B">
        <w:rPr>
          <w:sz w:val="23"/>
          <w:szCs w:val="23"/>
        </w:rPr>
        <w:t xml:space="preserve">Ik bedank mijn moeder omdat mijn moeder, ondanks dat zij </w:t>
      </w:r>
      <w:r>
        <w:rPr>
          <w:sz w:val="23"/>
          <w:szCs w:val="23"/>
        </w:rPr>
        <w:t>bijna</w:t>
      </w:r>
      <w:r w:rsidRPr="00C9649B">
        <w:rPr>
          <w:sz w:val="23"/>
          <w:szCs w:val="23"/>
        </w:rPr>
        <w:t xml:space="preserve"> 8</w:t>
      </w:r>
      <w:r>
        <w:rPr>
          <w:sz w:val="23"/>
          <w:szCs w:val="23"/>
        </w:rPr>
        <w:t>000 km ver weg</w:t>
      </w:r>
      <w:r w:rsidRPr="00C9649B">
        <w:rPr>
          <w:sz w:val="23"/>
          <w:szCs w:val="23"/>
        </w:rPr>
        <w:t xml:space="preserve"> zit, te</w:t>
      </w:r>
      <w:r>
        <w:rPr>
          <w:sz w:val="23"/>
          <w:szCs w:val="23"/>
        </w:rPr>
        <w:t>n</w:t>
      </w:r>
      <w:r w:rsidRPr="00C9649B">
        <w:rPr>
          <w:sz w:val="23"/>
          <w:szCs w:val="23"/>
        </w:rPr>
        <w:t xml:space="preserve"> allen tijde voor mij klaarstond. </w:t>
      </w:r>
      <w:r w:rsidRPr="00C9649B">
        <w:rPr>
          <w:i/>
          <w:sz w:val="23"/>
          <w:szCs w:val="23"/>
        </w:rPr>
        <w:t>‘Cu pashenshi bo ta gana gloria’</w:t>
      </w:r>
      <w:r>
        <w:rPr>
          <w:i/>
          <w:sz w:val="23"/>
          <w:szCs w:val="23"/>
        </w:rPr>
        <w:t xml:space="preserve"> </w:t>
      </w:r>
      <w:r w:rsidRPr="008A5CDB">
        <w:rPr>
          <w:sz w:val="23"/>
          <w:szCs w:val="23"/>
        </w:rPr>
        <w:t>(Vertaling: De sleutel tot succes is geduld),</w:t>
      </w:r>
      <w:r w:rsidRPr="00C9649B">
        <w:rPr>
          <w:sz w:val="23"/>
          <w:szCs w:val="23"/>
        </w:rPr>
        <w:t xml:space="preserve"> zei zij altijd. Mama u heeft gelijk: geduld is een schone zaak en de aanhouder wint! Bedankt voor uw eeuwige positivisme en vertrouwen in mij.</w:t>
      </w:r>
    </w:p>
    <w:p w:rsidR="00A64945" w:rsidRPr="00C9649B" w:rsidRDefault="00A64945" w:rsidP="006B3431">
      <w:pPr>
        <w:jc w:val="both"/>
        <w:rPr>
          <w:sz w:val="23"/>
          <w:szCs w:val="23"/>
        </w:rPr>
      </w:pPr>
      <w:r w:rsidRPr="00C9649B">
        <w:rPr>
          <w:sz w:val="23"/>
          <w:szCs w:val="23"/>
        </w:rPr>
        <w:t>Mijn vriend Patrick die gedurende mijn gehele studieperiode als een rots in de branding aanwezig is geweest. Woorden schieten mij tekort om jou te bedanken voor de liefde</w:t>
      </w:r>
      <w:r>
        <w:rPr>
          <w:sz w:val="23"/>
          <w:szCs w:val="23"/>
        </w:rPr>
        <w:t xml:space="preserve"> die jij hebt voor mij</w:t>
      </w:r>
      <w:r w:rsidRPr="00C9649B">
        <w:rPr>
          <w:sz w:val="23"/>
          <w:szCs w:val="23"/>
        </w:rPr>
        <w:t xml:space="preserve"> en </w:t>
      </w:r>
      <w:r>
        <w:rPr>
          <w:sz w:val="23"/>
          <w:szCs w:val="23"/>
        </w:rPr>
        <w:t xml:space="preserve">de </w:t>
      </w:r>
      <w:r w:rsidRPr="00C9649B">
        <w:rPr>
          <w:sz w:val="23"/>
          <w:szCs w:val="23"/>
        </w:rPr>
        <w:t xml:space="preserve">geduld die jij </w:t>
      </w:r>
      <w:r>
        <w:rPr>
          <w:sz w:val="23"/>
          <w:szCs w:val="23"/>
        </w:rPr>
        <w:t xml:space="preserve">gedurende al die jaren </w:t>
      </w:r>
      <w:r w:rsidRPr="00C9649B">
        <w:rPr>
          <w:sz w:val="23"/>
          <w:szCs w:val="23"/>
        </w:rPr>
        <w:t xml:space="preserve">hebt </w:t>
      </w:r>
      <w:r>
        <w:rPr>
          <w:sz w:val="23"/>
          <w:szCs w:val="23"/>
        </w:rPr>
        <w:t>getoond</w:t>
      </w:r>
      <w:r w:rsidRPr="00C9649B">
        <w:rPr>
          <w:sz w:val="23"/>
          <w:szCs w:val="23"/>
        </w:rPr>
        <w:t xml:space="preserve">. Lieve schat: HET IS ONS GELUKT. </w:t>
      </w:r>
    </w:p>
    <w:p w:rsidR="00A64945" w:rsidRDefault="00A64945" w:rsidP="009439E7">
      <w:pPr>
        <w:spacing w:after="0"/>
        <w:jc w:val="both"/>
        <w:rPr>
          <w:sz w:val="23"/>
          <w:szCs w:val="23"/>
        </w:rPr>
      </w:pPr>
      <w:r w:rsidRPr="00C9649B">
        <w:rPr>
          <w:sz w:val="23"/>
          <w:szCs w:val="23"/>
        </w:rPr>
        <w:t>Mijn tante Deborah en haar man Daniel die mij vanaf het begin van mijn studieperiode in Nederland hebben gesteund. Bedankt dat ik altijd bij u terecht kon.</w:t>
      </w:r>
    </w:p>
    <w:p w:rsidR="00A64945" w:rsidRPr="00C9649B" w:rsidRDefault="00A64945" w:rsidP="009439E7">
      <w:pPr>
        <w:spacing w:after="0"/>
        <w:jc w:val="both"/>
        <w:rPr>
          <w:sz w:val="23"/>
          <w:szCs w:val="23"/>
        </w:rPr>
      </w:pPr>
      <w:r w:rsidRPr="00C9649B">
        <w:rPr>
          <w:sz w:val="23"/>
          <w:szCs w:val="23"/>
        </w:rPr>
        <w:t xml:space="preserve">Mijn tante Geraldina: aan u ook hartelijk dank voor alle jaren van steun en liefde. </w:t>
      </w:r>
      <w:r>
        <w:rPr>
          <w:sz w:val="23"/>
          <w:szCs w:val="23"/>
        </w:rPr>
        <w:t>Mijn twee lieve tantes: i</w:t>
      </w:r>
      <w:r w:rsidRPr="00C9649B">
        <w:rPr>
          <w:sz w:val="23"/>
          <w:szCs w:val="23"/>
        </w:rPr>
        <w:t>k heb mijn familie</w:t>
      </w:r>
      <w:r>
        <w:rPr>
          <w:sz w:val="23"/>
          <w:szCs w:val="23"/>
        </w:rPr>
        <w:t xml:space="preserve"> in Aruba</w:t>
      </w:r>
      <w:r w:rsidRPr="00C9649B">
        <w:rPr>
          <w:sz w:val="23"/>
          <w:szCs w:val="23"/>
        </w:rPr>
        <w:t xml:space="preserve"> </w:t>
      </w:r>
      <w:r>
        <w:rPr>
          <w:sz w:val="23"/>
          <w:szCs w:val="23"/>
        </w:rPr>
        <w:t>heel lang</w:t>
      </w:r>
      <w:r w:rsidRPr="00C9649B">
        <w:rPr>
          <w:sz w:val="23"/>
          <w:szCs w:val="23"/>
        </w:rPr>
        <w:t xml:space="preserve"> moeten missen</w:t>
      </w:r>
      <w:r>
        <w:rPr>
          <w:sz w:val="23"/>
          <w:szCs w:val="23"/>
        </w:rPr>
        <w:t>,</w:t>
      </w:r>
      <w:r w:rsidRPr="00C9649B">
        <w:rPr>
          <w:sz w:val="23"/>
          <w:szCs w:val="23"/>
        </w:rPr>
        <w:t xml:space="preserve"> maar door uw aanwezigheid was Nederland voor mij een stuk warmer.</w:t>
      </w:r>
    </w:p>
    <w:p w:rsidR="00A64945" w:rsidRDefault="00A64945" w:rsidP="009439E7">
      <w:pPr>
        <w:spacing w:after="0"/>
        <w:jc w:val="both"/>
        <w:rPr>
          <w:sz w:val="23"/>
          <w:szCs w:val="23"/>
        </w:rPr>
      </w:pPr>
    </w:p>
    <w:p w:rsidR="00A64945" w:rsidRDefault="00A64945" w:rsidP="00DD7C19">
      <w:pPr>
        <w:spacing w:after="0"/>
        <w:jc w:val="both"/>
        <w:rPr>
          <w:b/>
          <w:bCs/>
          <w:sz w:val="23"/>
          <w:szCs w:val="23"/>
        </w:rPr>
      </w:pPr>
      <w:r w:rsidRPr="00C9649B">
        <w:rPr>
          <w:sz w:val="23"/>
          <w:szCs w:val="23"/>
        </w:rPr>
        <w:t>De Van Beek</w:t>
      </w:r>
      <w:r>
        <w:rPr>
          <w:sz w:val="23"/>
          <w:szCs w:val="23"/>
        </w:rPr>
        <w:t>-</w:t>
      </w:r>
      <w:r w:rsidRPr="00C9649B">
        <w:rPr>
          <w:sz w:val="23"/>
          <w:szCs w:val="23"/>
        </w:rPr>
        <w:t xml:space="preserve"> Donner</w:t>
      </w:r>
      <w:r>
        <w:rPr>
          <w:sz w:val="23"/>
          <w:szCs w:val="23"/>
        </w:rPr>
        <w:t xml:space="preserve"> stichting </w:t>
      </w:r>
      <w:r w:rsidRPr="00C9649B">
        <w:rPr>
          <w:sz w:val="23"/>
          <w:szCs w:val="23"/>
        </w:rPr>
        <w:t xml:space="preserve">voor hun maandelijkse financiële steun gedurende de maanden juli 2010 tot en met </w:t>
      </w:r>
      <w:r>
        <w:rPr>
          <w:sz w:val="23"/>
          <w:szCs w:val="23"/>
        </w:rPr>
        <w:t>augustus</w:t>
      </w:r>
      <w:r w:rsidRPr="00C9649B">
        <w:rPr>
          <w:sz w:val="23"/>
          <w:szCs w:val="23"/>
        </w:rPr>
        <w:t xml:space="preserve"> 2011. Bedankt dat u in mij geloofde. Zonder uw hulp was deze </w:t>
      </w:r>
      <w:r w:rsidRPr="007A27D3">
        <w:rPr>
          <w:rStyle w:val="Emphasis"/>
          <w:rFonts w:cs="Arial"/>
          <w:i w:val="0"/>
          <w:sz w:val="23"/>
          <w:szCs w:val="23"/>
        </w:rPr>
        <w:t>scriptie</w:t>
      </w:r>
      <w:r w:rsidRPr="00C9649B">
        <w:rPr>
          <w:sz w:val="23"/>
          <w:szCs w:val="23"/>
        </w:rPr>
        <w:t xml:space="preserve"> niet mogelijk geweest. </w:t>
      </w:r>
    </w:p>
    <w:p w:rsidR="00A64945" w:rsidRPr="00DD7C19" w:rsidRDefault="00A64945" w:rsidP="00DD7C19">
      <w:pPr>
        <w:spacing w:after="0"/>
        <w:jc w:val="both"/>
        <w:rPr>
          <w:b/>
          <w:bCs/>
          <w:sz w:val="23"/>
          <w:szCs w:val="23"/>
        </w:rPr>
      </w:pPr>
    </w:p>
    <w:p w:rsidR="00A64945" w:rsidRPr="00C9649B" w:rsidRDefault="00A64945" w:rsidP="006B3431">
      <w:pPr>
        <w:jc w:val="both"/>
        <w:rPr>
          <w:bCs/>
          <w:sz w:val="23"/>
          <w:szCs w:val="23"/>
        </w:rPr>
      </w:pPr>
      <w:r w:rsidRPr="00C9649B">
        <w:rPr>
          <w:bCs/>
          <w:sz w:val="23"/>
          <w:szCs w:val="23"/>
        </w:rPr>
        <w:t xml:space="preserve">Niet te vergeten mijn scriptiebegeleider dhr. Mark Robben. Bedankt voor de prettige samenwerking. Ondanks uw drukke schema, heeft u de </w:t>
      </w:r>
      <w:r>
        <w:rPr>
          <w:bCs/>
          <w:sz w:val="23"/>
          <w:szCs w:val="23"/>
        </w:rPr>
        <w:t>tijd</w:t>
      </w:r>
      <w:r w:rsidRPr="00C9649B">
        <w:rPr>
          <w:bCs/>
          <w:sz w:val="23"/>
          <w:szCs w:val="23"/>
        </w:rPr>
        <w:t xml:space="preserve"> genomen om mij te begeleiden bij mijn scriptie en voorzag u mij altijd van kritische feedback. Het is een zeer leerzame periode geweest. </w:t>
      </w:r>
    </w:p>
    <w:p w:rsidR="00A64945" w:rsidRPr="00C9649B" w:rsidRDefault="00A64945" w:rsidP="006B3431">
      <w:pPr>
        <w:jc w:val="both"/>
        <w:rPr>
          <w:bCs/>
          <w:i/>
          <w:sz w:val="23"/>
          <w:szCs w:val="23"/>
        </w:rPr>
      </w:pPr>
      <w:r w:rsidRPr="00C9649B">
        <w:rPr>
          <w:bCs/>
          <w:sz w:val="23"/>
          <w:szCs w:val="23"/>
        </w:rPr>
        <w:t xml:space="preserve">Tenslotte wil ik de mensen die hierboven niet genoemd </w:t>
      </w:r>
      <w:r>
        <w:rPr>
          <w:bCs/>
          <w:sz w:val="23"/>
          <w:szCs w:val="23"/>
        </w:rPr>
        <w:t>zijn</w:t>
      </w:r>
      <w:r w:rsidRPr="00C9649B">
        <w:rPr>
          <w:bCs/>
          <w:sz w:val="23"/>
          <w:szCs w:val="23"/>
        </w:rPr>
        <w:t xml:space="preserve">, maar die op de een of andere manier een bijdrage hebben geleverd aan de verwezenlijking van mijn scriptie, </w:t>
      </w:r>
      <w:r>
        <w:rPr>
          <w:bCs/>
          <w:sz w:val="23"/>
          <w:szCs w:val="23"/>
        </w:rPr>
        <w:t xml:space="preserve">ook van harte </w:t>
      </w:r>
      <w:r w:rsidRPr="00C9649B">
        <w:rPr>
          <w:bCs/>
          <w:sz w:val="23"/>
          <w:szCs w:val="23"/>
        </w:rPr>
        <w:t>bedanken: ‘</w:t>
      </w:r>
      <w:r w:rsidRPr="007D1F8D">
        <w:rPr>
          <w:bCs/>
          <w:i/>
          <w:sz w:val="23"/>
          <w:szCs w:val="23"/>
        </w:rPr>
        <w:t>Di p</w:t>
      </w:r>
      <w:r>
        <w:rPr>
          <w:bCs/>
          <w:i/>
          <w:sz w:val="23"/>
          <w:szCs w:val="23"/>
        </w:rPr>
        <w:t>r</w:t>
      </w:r>
      <w:r w:rsidRPr="007D1F8D">
        <w:rPr>
          <w:bCs/>
          <w:i/>
          <w:sz w:val="23"/>
          <w:szCs w:val="23"/>
        </w:rPr>
        <w:t>ofundo di mi curazon</w:t>
      </w:r>
      <w:r>
        <w:rPr>
          <w:bCs/>
          <w:i/>
          <w:sz w:val="23"/>
          <w:szCs w:val="23"/>
        </w:rPr>
        <w:t>:</w:t>
      </w:r>
      <w:r w:rsidRPr="007D1F8D">
        <w:rPr>
          <w:bCs/>
          <w:i/>
          <w:sz w:val="23"/>
          <w:szCs w:val="23"/>
        </w:rPr>
        <w:t xml:space="preserve"> masha</w:t>
      </w:r>
      <w:r>
        <w:rPr>
          <w:bCs/>
          <w:i/>
          <w:sz w:val="23"/>
          <w:szCs w:val="23"/>
        </w:rPr>
        <w:t>,</w:t>
      </w:r>
      <w:r w:rsidRPr="007D1F8D">
        <w:rPr>
          <w:bCs/>
          <w:i/>
          <w:sz w:val="23"/>
          <w:szCs w:val="23"/>
        </w:rPr>
        <w:t xml:space="preserve"> masha danki</w:t>
      </w:r>
      <w:r>
        <w:rPr>
          <w:bCs/>
          <w:i/>
          <w:sz w:val="23"/>
          <w:szCs w:val="23"/>
        </w:rPr>
        <w:t>!</w:t>
      </w:r>
      <w:r w:rsidRPr="007D1F8D">
        <w:rPr>
          <w:bCs/>
          <w:i/>
          <w:sz w:val="23"/>
          <w:szCs w:val="23"/>
        </w:rPr>
        <w:t xml:space="preserve">’ </w:t>
      </w:r>
      <w:r w:rsidRPr="00C9649B">
        <w:rPr>
          <w:bCs/>
          <w:sz w:val="23"/>
          <w:szCs w:val="23"/>
        </w:rPr>
        <w:t>(vertaling: Uit het diepste van mijn hart: heel, maar dan ook heel erg bedankt</w:t>
      </w:r>
      <w:r>
        <w:rPr>
          <w:bCs/>
          <w:sz w:val="23"/>
          <w:szCs w:val="23"/>
        </w:rPr>
        <w:t>!</w:t>
      </w:r>
      <w:r w:rsidRPr="00C9649B">
        <w:rPr>
          <w:bCs/>
          <w:sz w:val="23"/>
          <w:szCs w:val="23"/>
        </w:rPr>
        <w:t>)</w:t>
      </w:r>
      <w:r w:rsidRPr="00C9649B">
        <w:rPr>
          <w:bCs/>
          <w:i/>
          <w:sz w:val="23"/>
          <w:szCs w:val="23"/>
        </w:rPr>
        <w:t xml:space="preserve">. </w:t>
      </w:r>
    </w:p>
    <w:p w:rsidR="00A64945" w:rsidRPr="00C9649B" w:rsidRDefault="00A64945" w:rsidP="006B3431">
      <w:pPr>
        <w:jc w:val="both"/>
        <w:rPr>
          <w:bCs/>
          <w:sz w:val="23"/>
          <w:szCs w:val="23"/>
        </w:rPr>
      </w:pPr>
      <w:r w:rsidRPr="00C9649B">
        <w:rPr>
          <w:bCs/>
          <w:sz w:val="23"/>
          <w:szCs w:val="23"/>
        </w:rPr>
        <w:t>Ik wil afsluiten met een uitspraak van Desiderius Erasmus:</w:t>
      </w:r>
    </w:p>
    <w:p w:rsidR="00A64945" w:rsidRPr="00C9649B" w:rsidRDefault="00A64945" w:rsidP="006B3431">
      <w:pPr>
        <w:jc w:val="center"/>
        <w:rPr>
          <w:b/>
          <w:bCs/>
          <w:i/>
          <w:sz w:val="23"/>
          <w:szCs w:val="23"/>
        </w:rPr>
      </w:pPr>
      <w:r w:rsidRPr="00C9649B">
        <w:rPr>
          <w:b/>
          <w:bCs/>
          <w:i/>
          <w:sz w:val="23"/>
          <w:szCs w:val="23"/>
        </w:rPr>
        <w:t>‘Het begin van wijsheid is dat je je zelf kent’</w:t>
      </w:r>
    </w:p>
    <w:p w:rsidR="00A64945" w:rsidRDefault="00A64945" w:rsidP="006B3431">
      <w:pPr>
        <w:jc w:val="both"/>
        <w:rPr>
          <w:sz w:val="23"/>
          <w:szCs w:val="23"/>
        </w:rPr>
      </w:pPr>
      <w:r w:rsidRPr="00C9649B">
        <w:rPr>
          <w:sz w:val="23"/>
          <w:szCs w:val="23"/>
        </w:rPr>
        <w:t>Het beste geschenk dat mijn studieperiode in Nederland mij heeft gegeven is zelfkennis. En door deze verworven zelfkennis, heb ik nu op mijn beurt zoveel om terug te geven. Door je zelf te kennen kan je de verandering zijn die je in de wereld wenst te zien: World</w:t>
      </w:r>
      <w:r>
        <w:rPr>
          <w:sz w:val="23"/>
          <w:szCs w:val="23"/>
        </w:rPr>
        <w:t>,</w:t>
      </w:r>
      <w:r w:rsidRPr="00C9649B">
        <w:rPr>
          <w:sz w:val="23"/>
          <w:szCs w:val="23"/>
        </w:rPr>
        <w:t xml:space="preserve"> here I come!</w:t>
      </w:r>
    </w:p>
    <w:p w:rsidR="00A64945" w:rsidRPr="0042291E" w:rsidRDefault="00A64945" w:rsidP="006B3431">
      <w:pPr>
        <w:jc w:val="both"/>
        <w:rPr>
          <w:i/>
          <w:sz w:val="23"/>
          <w:szCs w:val="23"/>
        </w:rPr>
      </w:pPr>
      <w:r w:rsidRPr="0042291E">
        <w:rPr>
          <w:i/>
          <w:sz w:val="23"/>
          <w:szCs w:val="23"/>
        </w:rPr>
        <w:t>Maite M. M. Everon.</w:t>
      </w:r>
    </w:p>
    <w:p w:rsidR="00A64945" w:rsidRPr="007039F2" w:rsidRDefault="00A64945" w:rsidP="000D4F67">
      <w:pPr>
        <w:pStyle w:val="Heading1"/>
        <w:jc w:val="both"/>
        <w:rPr>
          <w:rFonts w:ascii="Calibri" w:hAnsi="Calibri"/>
          <w:color w:val="auto"/>
        </w:rPr>
      </w:pPr>
      <w:bookmarkStart w:id="3" w:name="_Toc299634258"/>
      <w:r w:rsidRPr="007039F2">
        <w:rPr>
          <w:rFonts w:ascii="Calibri" w:hAnsi="Calibri"/>
          <w:color w:val="auto"/>
        </w:rPr>
        <w:lastRenderedPageBreak/>
        <w:t xml:space="preserve">H1. </w:t>
      </w:r>
      <w:r>
        <w:rPr>
          <w:rFonts w:ascii="Calibri" w:hAnsi="Calibri"/>
          <w:color w:val="auto"/>
        </w:rPr>
        <w:t>Inleiding</w:t>
      </w:r>
      <w:bookmarkEnd w:id="1"/>
      <w:bookmarkEnd w:id="3"/>
    </w:p>
    <w:p w:rsidR="00A64945" w:rsidRPr="007039F2" w:rsidRDefault="00A64945" w:rsidP="00AE333F">
      <w:pPr>
        <w:pStyle w:val="Heading2"/>
        <w:spacing w:line="360" w:lineRule="auto"/>
        <w:jc w:val="both"/>
        <w:rPr>
          <w:color w:val="auto"/>
        </w:rPr>
      </w:pPr>
      <w:bookmarkStart w:id="4" w:name="_Toc286250307"/>
      <w:bookmarkStart w:id="5" w:name="_Toc299634259"/>
      <w:r w:rsidRPr="007039F2">
        <w:rPr>
          <w:color w:val="auto"/>
        </w:rPr>
        <w:t>§1.1. Aanleiding tot onderzoek</w:t>
      </w:r>
      <w:bookmarkEnd w:id="4"/>
      <w:bookmarkEnd w:id="5"/>
    </w:p>
    <w:p w:rsidR="00A64945" w:rsidRDefault="00A64945" w:rsidP="00AE333F">
      <w:pPr>
        <w:spacing w:after="0" w:line="360" w:lineRule="auto"/>
        <w:jc w:val="both"/>
        <w:rPr>
          <w:b/>
        </w:rPr>
      </w:pPr>
    </w:p>
    <w:p w:rsidR="00A64945" w:rsidRPr="006E5242" w:rsidRDefault="00A64945" w:rsidP="00AE333F">
      <w:pPr>
        <w:pStyle w:val="Heading3"/>
        <w:spacing w:before="0" w:line="360" w:lineRule="auto"/>
        <w:jc w:val="both"/>
      </w:pPr>
      <w:bookmarkStart w:id="6" w:name="_Toc286250308"/>
      <w:bookmarkStart w:id="7" w:name="_Toc299634260"/>
      <w:r w:rsidRPr="006E5242">
        <w:t>§1.1.1. Inleiding</w:t>
      </w:r>
      <w:bookmarkEnd w:id="6"/>
      <w:bookmarkEnd w:id="7"/>
    </w:p>
    <w:p w:rsidR="00A64945" w:rsidRDefault="00A64945" w:rsidP="00AE333F">
      <w:pPr>
        <w:spacing w:after="0" w:line="360" w:lineRule="auto"/>
        <w:jc w:val="both"/>
      </w:pPr>
      <w:r w:rsidRPr="00907131">
        <w:t xml:space="preserve">In deze eerste paragraaf </w:t>
      </w:r>
      <w:r>
        <w:t xml:space="preserve">geef ik een uiteenzetting van wat voor mij de aanleiding is geweest voor de probleemstelling die in deze scriptie centraal staat </w:t>
      </w:r>
      <w:r w:rsidRPr="00907131">
        <w:t>en het in het kader daarvan te verrichten onderzoek</w:t>
      </w:r>
      <w:r>
        <w:t xml:space="preserve">. Ik zal een korte </w:t>
      </w:r>
      <w:r w:rsidRPr="00907131">
        <w:t xml:space="preserve">uitleg geven </w:t>
      </w:r>
      <w:r>
        <w:t>van</w:t>
      </w:r>
      <w:r w:rsidRPr="00907131">
        <w:t xml:space="preserve"> de begrippen Landen en Gebieden Overzee</w:t>
      </w:r>
      <w:r>
        <w:t xml:space="preserve"> (§1.1.2.)</w:t>
      </w:r>
      <w:r w:rsidRPr="00907131">
        <w:t xml:space="preserve"> en Ultraperifere Gebieden</w:t>
      </w:r>
      <w:r>
        <w:rPr>
          <w:rStyle w:val="FootnoteReference"/>
          <w:rFonts w:cs="Arial"/>
        </w:rPr>
        <w:footnoteReference w:id="1"/>
      </w:r>
      <w:r>
        <w:t xml:space="preserve"> (§1.1.3.) o</w:t>
      </w:r>
      <w:r w:rsidRPr="00907131">
        <w:t>m vervolgens de opvattingen van (o.a.) auteurs, onderzoekers</w:t>
      </w:r>
      <w:r>
        <w:t xml:space="preserve"> (§1.1.5.)</w:t>
      </w:r>
      <w:r w:rsidRPr="00907131">
        <w:t>, de Raad van State van het Koninkrijk en de Staatssecretaris van Financiën van de Nederlandse Antillen</w:t>
      </w:r>
      <w:r>
        <w:t xml:space="preserve"> (§1.1.4.)</w:t>
      </w:r>
      <w:r w:rsidRPr="00907131">
        <w:t xml:space="preserve"> </w:t>
      </w:r>
      <w:r w:rsidRPr="00920F95">
        <w:t>over een statuswisseling van LGO naar UPG voor</w:t>
      </w:r>
      <w:r>
        <w:t xml:space="preserve"> de (ei)landen van het Koninkrijk der Nederlanden </w:t>
      </w:r>
      <w:r w:rsidRPr="00907131">
        <w:t>te behandelen.</w:t>
      </w:r>
      <w:r>
        <w:t xml:space="preserve"> In de tweede paragraaf (§1.2.) van deze inleiding komt de probleemstelling van deze scriptie aan de orde. In de laatste paragraaf van dit inleidend hoofdstuk volgt een beschrijving van de opzet van het onderzoek (§1.3.). Allereerst </w:t>
      </w:r>
      <w:r w:rsidRPr="00907131">
        <w:t xml:space="preserve">wil ik stil staan bij de staatkundige hervormingen die </w:t>
      </w:r>
      <w:r>
        <w:t xml:space="preserve">recentelijk in </w:t>
      </w:r>
      <w:r w:rsidRPr="00907131">
        <w:t xml:space="preserve">het Koninkrijk der Nederlanden </w:t>
      </w:r>
      <w:r>
        <w:t>plaats hebben gevonden</w:t>
      </w:r>
      <w:r w:rsidRPr="00907131">
        <w:t>.</w:t>
      </w:r>
    </w:p>
    <w:p w:rsidR="00A64945" w:rsidRPr="00907131" w:rsidRDefault="00A64945" w:rsidP="00AE333F">
      <w:pPr>
        <w:spacing w:after="0" w:line="360" w:lineRule="auto"/>
        <w:jc w:val="both"/>
      </w:pPr>
    </w:p>
    <w:p w:rsidR="00A64945" w:rsidRDefault="00A64945" w:rsidP="00BC010A">
      <w:pPr>
        <w:spacing w:after="0" w:line="360" w:lineRule="auto"/>
        <w:jc w:val="both"/>
      </w:pPr>
      <w:r w:rsidRPr="00907131">
        <w:t xml:space="preserve">Op 15 december 2008 vond een Ronde Tafel Conferentie </w:t>
      </w:r>
      <w:r w:rsidRPr="00774CBC">
        <w:t>(</w:t>
      </w:r>
      <w:r>
        <w:t xml:space="preserve">hierna: </w:t>
      </w:r>
      <w:r w:rsidRPr="00774CBC">
        <w:t xml:space="preserve">RTC) </w:t>
      </w:r>
      <w:r>
        <w:t>plaats in</w:t>
      </w:r>
      <w:r w:rsidRPr="00907131">
        <w:t xml:space="preserve"> Curaçao.  Onderwerp </w:t>
      </w:r>
      <w:r>
        <w:t xml:space="preserve">van deze conferentie </w:t>
      </w:r>
      <w:r w:rsidRPr="00907131">
        <w:t xml:space="preserve">was de staatkundige hervormingen binnen het Koninkrijk der Nederlanden. Tijdens deze </w:t>
      </w:r>
      <w:r>
        <w:t>RTC</w:t>
      </w:r>
      <w:r w:rsidRPr="00907131">
        <w:t xml:space="preserve"> is door de landen van het Koninkrijk</w:t>
      </w:r>
      <w:r w:rsidRPr="00907131">
        <w:rPr>
          <w:rStyle w:val="FootnoteReference"/>
          <w:rFonts w:cs="Arial"/>
        </w:rPr>
        <w:footnoteReference w:id="2"/>
      </w:r>
      <w:r w:rsidRPr="00907131">
        <w:t xml:space="preserve"> een akkoord ondertekend over de ontmanteling van de Nederlandse Antillen. </w:t>
      </w:r>
    </w:p>
    <w:p w:rsidR="00A64945" w:rsidRDefault="00A64945" w:rsidP="00BC010A">
      <w:pPr>
        <w:spacing w:after="0" w:line="360" w:lineRule="auto"/>
        <w:jc w:val="both"/>
        <w:rPr>
          <w:rStyle w:val="Strong"/>
          <w:rFonts w:cs="Arial"/>
        </w:rPr>
      </w:pPr>
      <w:r w:rsidRPr="006733F6">
        <w:t xml:space="preserve">Met betrekking tot Curaçao is toen vastgelegd dat Curaçao, </w:t>
      </w:r>
      <w:r w:rsidRPr="006733F6">
        <w:rPr>
          <w:color w:val="000000"/>
        </w:rPr>
        <w:t xml:space="preserve">in navolging van Aruba, </w:t>
      </w:r>
      <w:r w:rsidRPr="006733F6">
        <w:t xml:space="preserve">door gaat als een autonoom land binnen het Koninkrijk. </w:t>
      </w:r>
      <w:r w:rsidRPr="006733F6">
        <w:rPr>
          <w:color w:val="000000"/>
        </w:rPr>
        <w:t xml:space="preserve">Met andere woorden Curaçao krijgt de </w:t>
      </w:r>
      <w:r>
        <w:rPr>
          <w:color w:val="000000"/>
        </w:rPr>
        <w:t>S</w:t>
      </w:r>
      <w:r w:rsidRPr="006733F6">
        <w:rPr>
          <w:color w:val="000000"/>
        </w:rPr>
        <w:t xml:space="preserve">tatus </w:t>
      </w:r>
      <w:r>
        <w:rPr>
          <w:color w:val="000000"/>
        </w:rPr>
        <w:t>A</w:t>
      </w:r>
      <w:r w:rsidRPr="006733F6">
        <w:rPr>
          <w:color w:val="000000"/>
        </w:rPr>
        <w:t>parte.</w:t>
      </w:r>
      <w:r w:rsidRPr="006733F6">
        <w:rPr>
          <w:rStyle w:val="FootnoteReference"/>
          <w:rFonts w:cs="Arial"/>
          <w:color w:val="000000"/>
        </w:rPr>
        <w:t xml:space="preserve"> </w:t>
      </w:r>
      <w:r w:rsidRPr="006733F6">
        <w:rPr>
          <w:rStyle w:val="FootnoteReference"/>
          <w:rFonts w:cs="Arial"/>
          <w:color w:val="000000"/>
        </w:rPr>
        <w:footnoteReference w:id="3"/>
      </w:r>
      <w:r w:rsidRPr="006733F6">
        <w:rPr>
          <w:color w:val="000000"/>
        </w:rPr>
        <w:t xml:space="preserve">  Via een referendum gehouden op 15 mei 2009 stemde het volk van Curaçao in met dit resultaat.</w:t>
      </w:r>
      <w:r>
        <w:rPr>
          <w:color w:val="000000"/>
        </w:rPr>
        <w:t xml:space="preserve"> </w:t>
      </w:r>
      <w:r w:rsidRPr="00774CBC">
        <w:t xml:space="preserve">Op donderdag </w:t>
      </w:r>
      <w:r>
        <w:t xml:space="preserve">9 september 2010 werd in de Ridderzaal te Den Haag </w:t>
      </w:r>
      <w:r w:rsidRPr="00774CBC">
        <w:t xml:space="preserve">de slot </w:t>
      </w:r>
      <w:r>
        <w:t>RTC</w:t>
      </w:r>
      <w:r w:rsidRPr="00774CBC">
        <w:t xml:space="preserve"> gehouden. </w:t>
      </w:r>
      <w:r w:rsidRPr="00B40FDF">
        <w:t>T</w:t>
      </w:r>
      <w:r w:rsidRPr="00B40FDF">
        <w:rPr>
          <w:rStyle w:val="Strong"/>
          <w:rFonts w:cs="Arial"/>
        </w:rPr>
        <w:t>i</w:t>
      </w:r>
      <w:r>
        <w:rPr>
          <w:rStyle w:val="Strong"/>
          <w:rFonts w:cs="Arial"/>
          <w:b w:val="0"/>
        </w:rPr>
        <w:t xml:space="preserve">jdens deze RTC </w:t>
      </w:r>
      <w:r w:rsidRPr="00C572E5">
        <w:rPr>
          <w:rStyle w:val="Strong"/>
          <w:rFonts w:cs="Arial"/>
          <w:b w:val="0"/>
        </w:rPr>
        <w:t>vond de afronding van het staatkundige hervormingsproces binnen het Koninkrijk der Nederlanden plaats. In zijn slotwoord bij deze RTC heeft de toenmalige minister- president Ba</w:t>
      </w:r>
      <w:r>
        <w:rPr>
          <w:rStyle w:val="Strong"/>
          <w:rFonts w:cs="Arial"/>
          <w:b w:val="0"/>
        </w:rPr>
        <w:t>l</w:t>
      </w:r>
      <w:r w:rsidRPr="00C572E5">
        <w:rPr>
          <w:rStyle w:val="Strong"/>
          <w:rFonts w:cs="Arial"/>
          <w:b w:val="0"/>
        </w:rPr>
        <w:t>kenende aangegeven dat 10 oktober 2010 de dag zal zijn waarop een nieuwe fase zal aanbreken voor het Koninkrijk der Nederlanden.</w:t>
      </w:r>
      <w:r w:rsidRPr="0072632F">
        <w:rPr>
          <w:rStyle w:val="FootnoteReference"/>
          <w:rFonts w:cs="Arial"/>
          <w:bCs/>
        </w:rPr>
        <w:footnoteReference w:id="4"/>
      </w:r>
      <w:r w:rsidRPr="0072632F">
        <w:rPr>
          <w:rStyle w:val="Strong"/>
          <w:rFonts w:cs="Arial"/>
        </w:rPr>
        <w:t xml:space="preserve"> </w:t>
      </w:r>
    </w:p>
    <w:p w:rsidR="00A64945" w:rsidRDefault="00A64945" w:rsidP="00AE333F">
      <w:pPr>
        <w:tabs>
          <w:tab w:val="num" w:pos="720"/>
        </w:tabs>
        <w:spacing w:before="100" w:beforeAutospacing="1" w:after="120" w:line="360" w:lineRule="auto"/>
        <w:jc w:val="both"/>
        <w:rPr>
          <w:color w:val="000000"/>
        </w:rPr>
      </w:pPr>
      <w:r w:rsidRPr="00C572E5">
        <w:rPr>
          <w:rStyle w:val="Strong"/>
          <w:rFonts w:cs="Arial"/>
          <w:b w:val="0"/>
        </w:rPr>
        <w:lastRenderedPageBreak/>
        <w:t>De streefdatum van 10 oktober 2010 is gehaald.</w:t>
      </w:r>
      <w:r>
        <w:rPr>
          <w:color w:val="000000"/>
        </w:rPr>
        <w:t xml:space="preserve"> Op 10 oktober 2010 werd de Nederlandse Antillen</w:t>
      </w:r>
      <w:r>
        <w:rPr>
          <w:rStyle w:val="FootnoteReference"/>
          <w:rFonts w:cs="Arial"/>
          <w:color w:val="000000"/>
        </w:rPr>
        <w:footnoteReference w:id="5"/>
      </w:r>
      <w:r>
        <w:rPr>
          <w:color w:val="000000"/>
        </w:rPr>
        <w:t xml:space="preserve"> opgeheven.  Het Koninkrijk der Nederlanden bestaat sinds 10 oktober 2010 uit vier landen, dat zijn Nederland, Aruba, Curaçao en Sint Maarten. Bonaire, Sint Eustatius en Saba kregen per die datum de status van openbaar lichaam binnen het land Nederland. Onderstaand figuur illustreert de ligging van de eilanden, het aantal inwoners dat elk eiland telt en de nieuwe status dat elk eiland per 10 oktober 2010 heeft.</w:t>
      </w:r>
    </w:p>
    <w:p w:rsidR="00A64945" w:rsidRDefault="00DA44D0" w:rsidP="00AE333F">
      <w:pPr>
        <w:tabs>
          <w:tab w:val="num" w:pos="720"/>
        </w:tabs>
        <w:spacing w:before="100" w:beforeAutospacing="1" w:after="120" w:line="360" w:lineRule="auto"/>
        <w:jc w:val="both"/>
        <w:rPr>
          <w:color w:val="000000"/>
        </w:rPr>
      </w:pPr>
      <w:r>
        <w:rPr>
          <w:noProof/>
          <w:color w:val="000000"/>
          <w:lang w:val="en-US"/>
        </w:rPr>
        <w:drawing>
          <wp:inline distT="0" distB="0" distL="0" distR="0">
            <wp:extent cx="4060190" cy="363918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4060190" cy="3639185"/>
                    </a:xfrm>
                    <a:prstGeom prst="rect">
                      <a:avLst/>
                    </a:prstGeom>
                    <a:noFill/>
                    <a:ln w="9525">
                      <a:noFill/>
                      <a:miter lim="800000"/>
                      <a:headEnd/>
                      <a:tailEnd/>
                    </a:ln>
                  </pic:spPr>
                </pic:pic>
              </a:graphicData>
            </a:graphic>
          </wp:inline>
        </w:drawing>
      </w:r>
    </w:p>
    <w:p w:rsidR="00A64945" w:rsidRPr="004C56D0" w:rsidRDefault="00A64945" w:rsidP="004C56D0">
      <w:pPr>
        <w:tabs>
          <w:tab w:val="num" w:pos="720"/>
        </w:tabs>
        <w:spacing w:before="100" w:beforeAutospacing="1" w:after="120" w:line="360" w:lineRule="auto"/>
        <w:rPr>
          <w:b/>
          <w:color w:val="000000"/>
          <w:sz w:val="20"/>
          <w:szCs w:val="20"/>
        </w:rPr>
      </w:pPr>
      <w:r w:rsidRPr="004C56D0">
        <w:rPr>
          <w:color w:val="000000"/>
          <w:sz w:val="20"/>
          <w:szCs w:val="20"/>
        </w:rPr>
        <w:t>Figuur 1.1: Status eilanden van het Koninkrijk der Nederlanden per 10 oktober 2010 (Bron: NRC handelsblad van 9 september 2010).</w:t>
      </w:r>
    </w:p>
    <w:p w:rsidR="00A64945" w:rsidRPr="006A0C87" w:rsidRDefault="00A64945" w:rsidP="00AE333F">
      <w:pPr>
        <w:pStyle w:val="Heading3"/>
        <w:spacing w:before="0" w:line="360" w:lineRule="auto"/>
        <w:jc w:val="both"/>
      </w:pPr>
      <w:bookmarkStart w:id="8" w:name="_Toc286250309"/>
      <w:bookmarkStart w:id="9" w:name="_Toc299634261"/>
      <w:r w:rsidRPr="006A0C87">
        <w:t>§1.1.2. Landen en Gebieden Overzee</w:t>
      </w:r>
      <w:bookmarkEnd w:id="8"/>
      <w:bookmarkEnd w:id="9"/>
    </w:p>
    <w:p w:rsidR="00A64945" w:rsidRPr="006733F6" w:rsidRDefault="00A64945" w:rsidP="00AE333F">
      <w:pPr>
        <w:tabs>
          <w:tab w:val="num" w:pos="720"/>
        </w:tabs>
        <w:spacing w:after="120" w:line="360" w:lineRule="auto"/>
        <w:jc w:val="both"/>
      </w:pPr>
      <w:r w:rsidRPr="006733F6">
        <w:t xml:space="preserve">De </w:t>
      </w:r>
      <w:r>
        <w:t>landen Aruba, Curaçao en Sint Maarten en de drie openbare lichamen van het Koninkrijk der Nederlanden Bonaire, Sint Eustatius en Saba</w:t>
      </w:r>
      <w:r w:rsidRPr="006733F6">
        <w:t xml:space="preserve"> hebben binnen de Europese Unie (</w:t>
      </w:r>
      <w:r>
        <w:t xml:space="preserve">hierna: </w:t>
      </w:r>
      <w:r w:rsidRPr="006733F6">
        <w:t xml:space="preserve">EU) </w:t>
      </w:r>
      <w:r w:rsidRPr="006733F6">
        <w:lastRenderedPageBreak/>
        <w:t>momenteel de status van Landen en Gebieden Overzee (</w:t>
      </w:r>
      <w:r>
        <w:t xml:space="preserve">hierna: </w:t>
      </w:r>
      <w:r w:rsidRPr="006733F6">
        <w:t>LGO’s).</w:t>
      </w:r>
      <w:r>
        <w:rPr>
          <w:rStyle w:val="FootnoteReference"/>
          <w:rFonts w:cs="Arial"/>
        </w:rPr>
        <w:footnoteReference w:id="6"/>
      </w:r>
      <w:r w:rsidRPr="006733F6">
        <w:t xml:space="preserve"> Deze status wordt toegekend aan gebieden die territoriaal </w:t>
      </w:r>
      <w:r>
        <w:t xml:space="preserve">gezien </w:t>
      </w:r>
      <w:r w:rsidRPr="006733F6">
        <w:t xml:space="preserve">niet tot de EU behoren, maar </w:t>
      </w:r>
      <w:r>
        <w:t xml:space="preserve">wel </w:t>
      </w:r>
      <w:r w:rsidRPr="006733F6">
        <w:t xml:space="preserve">een speciale relatie met een van de verdragsluitende partijen van de EU onderhouden. </w:t>
      </w:r>
      <w:r>
        <w:t>Wat betreft de eilanden van het Koninkrijk</w:t>
      </w:r>
      <w:r w:rsidRPr="006733F6">
        <w:t xml:space="preserve"> is dat </w:t>
      </w:r>
      <w:r>
        <w:t xml:space="preserve">de lidstaat </w:t>
      </w:r>
      <w:r w:rsidRPr="006733F6">
        <w:t>Nederland.</w:t>
      </w:r>
    </w:p>
    <w:p w:rsidR="00A64945" w:rsidRPr="006733F6" w:rsidRDefault="00A64945" w:rsidP="00AE333F">
      <w:pPr>
        <w:pStyle w:val="FootnoteText"/>
        <w:spacing w:line="360" w:lineRule="auto"/>
        <w:jc w:val="both"/>
        <w:rPr>
          <w:sz w:val="22"/>
          <w:szCs w:val="22"/>
        </w:rPr>
      </w:pPr>
      <w:r>
        <w:rPr>
          <w:sz w:val="22"/>
          <w:szCs w:val="22"/>
        </w:rPr>
        <w:t xml:space="preserve">Welke landen en/of gebieden de status van LGO toegewezen krijgen, vloeit voort uit het EU- Verdrag. </w:t>
      </w:r>
      <w:r w:rsidRPr="006733F6">
        <w:rPr>
          <w:sz w:val="22"/>
          <w:szCs w:val="22"/>
        </w:rPr>
        <w:t>Het voormalig EG- Verdrag</w:t>
      </w:r>
      <w:r w:rsidRPr="006733F6">
        <w:rPr>
          <w:rStyle w:val="FootnoteReference"/>
          <w:rFonts w:cs="Arial"/>
          <w:sz w:val="22"/>
          <w:szCs w:val="22"/>
        </w:rPr>
        <w:footnoteReference w:id="7"/>
      </w:r>
      <w:r w:rsidRPr="006733F6">
        <w:rPr>
          <w:sz w:val="22"/>
          <w:szCs w:val="22"/>
        </w:rPr>
        <w:t xml:space="preserve"> is pe</w:t>
      </w:r>
      <w:r>
        <w:rPr>
          <w:sz w:val="22"/>
          <w:szCs w:val="22"/>
        </w:rPr>
        <w:t xml:space="preserve">r 1 december 2009 gewijzigd.  Daarbij is de </w:t>
      </w:r>
      <w:r w:rsidRPr="006733F6">
        <w:rPr>
          <w:sz w:val="22"/>
          <w:szCs w:val="22"/>
        </w:rPr>
        <w:t xml:space="preserve"> inhoud van het EG- Verdrag gesplitst over twee nieuwe verdragen. Dit zijn het Verdrag betreffende de werking van de Europese Unie (hierna</w:t>
      </w:r>
      <w:r>
        <w:rPr>
          <w:sz w:val="22"/>
          <w:szCs w:val="22"/>
        </w:rPr>
        <w:t>:</w:t>
      </w:r>
      <w:r w:rsidRPr="006733F6">
        <w:rPr>
          <w:sz w:val="22"/>
          <w:szCs w:val="22"/>
        </w:rPr>
        <w:t xml:space="preserve"> VwEU) en het Verdrag betreffende de Europese Unie (</w:t>
      </w:r>
      <w:r>
        <w:rPr>
          <w:sz w:val="22"/>
          <w:szCs w:val="22"/>
        </w:rPr>
        <w:t xml:space="preserve">hierna: </w:t>
      </w:r>
      <w:r w:rsidRPr="006733F6">
        <w:rPr>
          <w:sz w:val="22"/>
          <w:szCs w:val="22"/>
        </w:rPr>
        <w:t xml:space="preserve">VEU). In het VwEU staat wat de </w:t>
      </w:r>
      <w:r w:rsidRPr="006733F6">
        <w:rPr>
          <w:rStyle w:val="Emphasis"/>
          <w:rFonts w:cs="Arial"/>
          <w:sz w:val="22"/>
          <w:szCs w:val="22"/>
        </w:rPr>
        <w:t>bevoegdheden</w:t>
      </w:r>
      <w:r w:rsidRPr="006733F6">
        <w:rPr>
          <w:sz w:val="22"/>
          <w:szCs w:val="22"/>
        </w:rPr>
        <w:t xml:space="preserve"> zijn van de Europese Unie, en op welke manier de Europese Unie die bevoegdheden kan uitoefenen. In het </w:t>
      </w:r>
      <w:r>
        <w:rPr>
          <w:sz w:val="22"/>
          <w:szCs w:val="22"/>
        </w:rPr>
        <w:t xml:space="preserve">VEU </w:t>
      </w:r>
      <w:r w:rsidRPr="006733F6">
        <w:rPr>
          <w:sz w:val="22"/>
          <w:szCs w:val="22"/>
        </w:rPr>
        <w:t xml:space="preserve">staan de </w:t>
      </w:r>
      <w:r w:rsidRPr="006733F6">
        <w:rPr>
          <w:rStyle w:val="Emphasis"/>
          <w:rFonts w:cs="Arial"/>
          <w:sz w:val="22"/>
          <w:szCs w:val="22"/>
        </w:rPr>
        <w:t>waarden</w:t>
      </w:r>
      <w:r w:rsidRPr="006733F6">
        <w:rPr>
          <w:sz w:val="22"/>
          <w:szCs w:val="22"/>
        </w:rPr>
        <w:t xml:space="preserve"> waar de Europese Unie en alle lidstaten zich aan moeten houden, en de belangrijkste </w:t>
      </w:r>
      <w:r w:rsidRPr="006733F6">
        <w:rPr>
          <w:rStyle w:val="Emphasis"/>
          <w:rFonts w:cs="Arial"/>
          <w:sz w:val="22"/>
          <w:szCs w:val="22"/>
        </w:rPr>
        <w:t>doelstellingen</w:t>
      </w:r>
      <w:r w:rsidRPr="006733F6">
        <w:rPr>
          <w:sz w:val="22"/>
          <w:szCs w:val="22"/>
        </w:rPr>
        <w:t xml:space="preserve"> van de Europese Unie.</w:t>
      </w:r>
      <w:r w:rsidRPr="006733F6">
        <w:rPr>
          <w:rStyle w:val="FootnoteReference"/>
          <w:rFonts w:cs="Arial"/>
          <w:sz w:val="22"/>
          <w:szCs w:val="22"/>
        </w:rPr>
        <w:footnoteReference w:id="8"/>
      </w:r>
      <w:r w:rsidRPr="006733F6">
        <w:rPr>
          <w:sz w:val="22"/>
          <w:szCs w:val="22"/>
        </w:rPr>
        <w:t> </w:t>
      </w:r>
      <w:r>
        <w:rPr>
          <w:sz w:val="22"/>
          <w:szCs w:val="22"/>
        </w:rPr>
        <w:t>Voorgenoemde verdragen zullen hierna gezamenlijk geduid worden met ‘de Verdragen’.</w:t>
      </w:r>
      <w:r w:rsidRPr="008C5644">
        <w:rPr>
          <w:rStyle w:val="FootnoteReference"/>
          <w:rFonts w:cs="Arial"/>
          <w:sz w:val="22"/>
          <w:szCs w:val="22"/>
        </w:rPr>
        <w:t xml:space="preserve"> </w:t>
      </w:r>
    </w:p>
    <w:p w:rsidR="00A64945" w:rsidRDefault="00A64945" w:rsidP="00AE333F">
      <w:pPr>
        <w:pStyle w:val="FootnoteText"/>
        <w:spacing w:line="360" w:lineRule="auto"/>
        <w:jc w:val="both"/>
        <w:rPr>
          <w:sz w:val="22"/>
          <w:szCs w:val="22"/>
        </w:rPr>
      </w:pPr>
    </w:p>
    <w:p w:rsidR="00A64945" w:rsidRPr="00AD0091" w:rsidRDefault="00A64945" w:rsidP="00AE333F">
      <w:pPr>
        <w:pStyle w:val="FootnoteText"/>
        <w:spacing w:line="360" w:lineRule="auto"/>
        <w:jc w:val="both"/>
        <w:rPr>
          <w:b/>
          <w:i/>
          <w:sz w:val="18"/>
          <w:szCs w:val="18"/>
        </w:rPr>
      </w:pPr>
      <w:r w:rsidRPr="00AD0091">
        <w:rPr>
          <w:b/>
          <w:i/>
          <w:sz w:val="18"/>
          <w:szCs w:val="18"/>
        </w:rPr>
        <w:t>Wettelijke regeling</w:t>
      </w:r>
      <w:r>
        <w:rPr>
          <w:b/>
          <w:i/>
          <w:sz w:val="18"/>
          <w:szCs w:val="18"/>
        </w:rPr>
        <w:t xml:space="preserve"> betreffende de</w:t>
      </w:r>
      <w:r w:rsidRPr="00AD0091">
        <w:rPr>
          <w:b/>
          <w:i/>
          <w:sz w:val="18"/>
          <w:szCs w:val="18"/>
        </w:rPr>
        <w:t xml:space="preserve"> LGO</w:t>
      </w:r>
      <w:r>
        <w:rPr>
          <w:b/>
          <w:i/>
          <w:sz w:val="18"/>
          <w:szCs w:val="18"/>
        </w:rPr>
        <w:t>’s</w:t>
      </w:r>
    </w:p>
    <w:p w:rsidR="00A64945" w:rsidRPr="006733F6" w:rsidRDefault="00A64945" w:rsidP="00AE333F">
      <w:pPr>
        <w:pStyle w:val="FootnoteText"/>
        <w:spacing w:line="360" w:lineRule="auto"/>
        <w:jc w:val="both"/>
        <w:rPr>
          <w:sz w:val="22"/>
          <w:szCs w:val="22"/>
        </w:rPr>
      </w:pPr>
      <w:r w:rsidRPr="006733F6">
        <w:rPr>
          <w:sz w:val="22"/>
          <w:szCs w:val="22"/>
        </w:rPr>
        <w:t xml:space="preserve">In art. 52 van het VEU en art. 355 van het VwEU is de reikwijdte van de Verdragen verwoord. Uit </w:t>
      </w:r>
      <w:r>
        <w:rPr>
          <w:sz w:val="22"/>
          <w:szCs w:val="22"/>
        </w:rPr>
        <w:t>deze twee artikelen</w:t>
      </w:r>
      <w:r w:rsidRPr="006733F6">
        <w:rPr>
          <w:sz w:val="22"/>
          <w:szCs w:val="22"/>
        </w:rPr>
        <w:t xml:space="preserve"> blijkt dat </w:t>
      </w:r>
      <w:r>
        <w:rPr>
          <w:sz w:val="22"/>
          <w:szCs w:val="22"/>
        </w:rPr>
        <w:t xml:space="preserve">de </w:t>
      </w:r>
      <w:r w:rsidRPr="006733F6">
        <w:rPr>
          <w:sz w:val="22"/>
          <w:szCs w:val="22"/>
        </w:rPr>
        <w:t>overzeese gebieden in beginsel niet onder de Verdragen vallen.</w:t>
      </w:r>
      <w:r>
        <w:rPr>
          <w:rStyle w:val="FootnoteReference"/>
          <w:rFonts w:cs="Arial"/>
          <w:sz w:val="22"/>
          <w:szCs w:val="22"/>
        </w:rPr>
        <w:footnoteReference w:id="9"/>
      </w:r>
      <w:r w:rsidRPr="006733F6">
        <w:rPr>
          <w:sz w:val="22"/>
          <w:szCs w:val="22"/>
        </w:rPr>
        <w:t xml:space="preserve"> In het tweede lid van </w:t>
      </w:r>
      <w:r>
        <w:rPr>
          <w:sz w:val="22"/>
          <w:szCs w:val="22"/>
        </w:rPr>
        <w:t>art. 355 VwEU</w:t>
      </w:r>
      <w:r w:rsidRPr="006733F6">
        <w:rPr>
          <w:sz w:val="22"/>
          <w:szCs w:val="22"/>
        </w:rPr>
        <w:t xml:space="preserve"> wordt </w:t>
      </w:r>
      <w:r>
        <w:rPr>
          <w:sz w:val="22"/>
          <w:szCs w:val="22"/>
        </w:rPr>
        <w:t xml:space="preserve">echter </w:t>
      </w:r>
      <w:r w:rsidRPr="006733F6">
        <w:rPr>
          <w:sz w:val="22"/>
          <w:szCs w:val="22"/>
        </w:rPr>
        <w:t xml:space="preserve">bepaald dat de landen en gebieden die opgenomen zijn op de lijst die als bijlage II aan het VwEU is gehecht, het onderwerp vormen van de bijzondere associatieregeling die is omschreven in het vierde deel van het VwEU. </w:t>
      </w:r>
      <w:r>
        <w:rPr>
          <w:sz w:val="22"/>
          <w:szCs w:val="22"/>
        </w:rPr>
        <w:t>Dit deel</w:t>
      </w:r>
      <w:r w:rsidRPr="006733F6">
        <w:rPr>
          <w:sz w:val="22"/>
          <w:szCs w:val="22"/>
        </w:rPr>
        <w:t xml:space="preserve"> van het VwEU omvat een bijzondere associatieregeling genaamd ‘</w:t>
      </w:r>
      <w:r w:rsidRPr="006733F6">
        <w:rPr>
          <w:i/>
          <w:sz w:val="22"/>
          <w:szCs w:val="22"/>
        </w:rPr>
        <w:t xml:space="preserve">De associatie van de landen en gebieden overzee.’ </w:t>
      </w:r>
      <w:r w:rsidRPr="006733F6">
        <w:rPr>
          <w:sz w:val="22"/>
          <w:szCs w:val="22"/>
        </w:rPr>
        <w:t>Deze</w:t>
      </w:r>
      <w:r w:rsidRPr="006733F6">
        <w:rPr>
          <w:i/>
          <w:sz w:val="22"/>
          <w:szCs w:val="22"/>
        </w:rPr>
        <w:t xml:space="preserve"> </w:t>
      </w:r>
      <w:r w:rsidRPr="006733F6">
        <w:rPr>
          <w:sz w:val="22"/>
          <w:szCs w:val="22"/>
        </w:rPr>
        <w:t>regeling beslaat de artikelen 198 tot en met 204 van het VwEU.</w:t>
      </w:r>
    </w:p>
    <w:p w:rsidR="00A64945" w:rsidRPr="006733F6" w:rsidRDefault="00A64945" w:rsidP="00AE333F">
      <w:pPr>
        <w:pStyle w:val="FootnoteText"/>
        <w:spacing w:line="360" w:lineRule="auto"/>
        <w:jc w:val="both"/>
        <w:rPr>
          <w:sz w:val="22"/>
          <w:szCs w:val="22"/>
        </w:rPr>
      </w:pPr>
      <w:r w:rsidRPr="006733F6">
        <w:rPr>
          <w:sz w:val="22"/>
          <w:szCs w:val="22"/>
        </w:rPr>
        <w:t xml:space="preserve">In artikel 198 VwEU is vastgelegd dat de lidstaten overeen zijn gekomen </w:t>
      </w:r>
      <w:r>
        <w:rPr>
          <w:sz w:val="22"/>
          <w:szCs w:val="22"/>
        </w:rPr>
        <w:t xml:space="preserve">om </w:t>
      </w:r>
      <w:r w:rsidRPr="006733F6">
        <w:rPr>
          <w:sz w:val="22"/>
          <w:szCs w:val="22"/>
        </w:rPr>
        <w:t xml:space="preserve">de niet- Europese landen en gebieden welke bijzondere betrekkingen onderhouden met Denemarken, Frankrijk, Nederland en Het Verenigd Koninkrijk, te associëren met de Unie. Het doel van deze associatie </w:t>
      </w:r>
      <w:r>
        <w:rPr>
          <w:sz w:val="22"/>
          <w:szCs w:val="22"/>
        </w:rPr>
        <w:t xml:space="preserve">wordt omschreven als </w:t>
      </w:r>
      <w:r w:rsidRPr="00C07032">
        <w:rPr>
          <w:i/>
          <w:sz w:val="22"/>
          <w:szCs w:val="22"/>
        </w:rPr>
        <w:t>‘het bevorderen van de economische en sociale ontwikkeling der landen en gebieden en de totstandkoming van nauwe economische betrekkingen tussen hen en de Unie in haar geheel’.</w:t>
      </w:r>
      <w:r w:rsidRPr="006733F6">
        <w:rPr>
          <w:rStyle w:val="FootnoteReference"/>
          <w:rFonts w:cs="Arial"/>
          <w:sz w:val="22"/>
          <w:szCs w:val="22"/>
        </w:rPr>
        <w:footnoteReference w:id="10"/>
      </w:r>
    </w:p>
    <w:p w:rsidR="00A64945" w:rsidRDefault="00A64945" w:rsidP="00AE333F">
      <w:pPr>
        <w:spacing w:after="0" w:line="360" w:lineRule="auto"/>
        <w:jc w:val="both"/>
        <w:rPr>
          <w:b/>
          <w:sz w:val="24"/>
          <w:szCs w:val="24"/>
        </w:rPr>
      </w:pPr>
    </w:p>
    <w:p w:rsidR="00A64945" w:rsidRDefault="00A64945" w:rsidP="00AD0091">
      <w:pPr>
        <w:spacing w:after="0" w:line="360" w:lineRule="auto"/>
        <w:jc w:val="both"/>
        <w:rPr>
          <w:b/>
          <w:i/>
          <w:sz w:val="18"/>
          <w:szCs w:val="18"/>
        </w:rPr>
      </w:pPr>
      <w:bookmarkStart w:id="10" w:name="_Toc290633265"/>
    </w:p>
    <w:p w:rsidR="00A64945" w:rsidRDefault="00A64945" w:rsidP="00AD0091">
      <w:pPr>
        <w:spacing w:after="0" w:line="360" w:lineRule="auto"/>
        <w:jc w:val="both"/>
        <w:rPr>
          <w:b/>
          <w:i/>
          <w:sz w:val="18"/>
          <w:szCs w:val="18"/>
        </w:rPr>
      </w:pPr>
    </w:p>
    <w:p w:rsidR="00A64945" w:rsidRDefault="00A64945" w:rsidP="00AD0091">
      <w:pPr>
        <w:spacing w:after="0" w:line="360" w:lineRule="auto"/>
        <w:jc w:val="both"/>
        <w:rPr>
          <w:b/>
          <w:i/>
          <w:sz w:val="18"/>
          <w:szCs w:val="18"/>
        </w:rPr>
      </w:pPr>
    </w:p>
    <w:p w:rsidR="00A64945" w:rsidRDefault="00A64945" w:rsidP="00AD0091">
      <w:pPr>
        <w:spacing w:after="0" w:line="360" w:lineRule="auto"/>
        <w:jc w:val="both"/>
        <w:rPr>
          <w:b/>
          <w:i/>
          <w:sz w:val="18"/>
          <w:szCs w:val="18"/>
        </w:rPr>
      </w:pPr>
      <w:r>
        <w:rPr>
          <w:b/>
          <w:i/>
          <w:sz w:val="18"/>
          <w:szCs w:val="18"/>
        </w:rPr>
        <w:lastRenderedPageBreak/>
        <w:t xml:space="preserve">Het </w:t>
      </w:r>
      <w:r w:rsidRPr="00AD0091">
        <w:rPr>
          <w:b/>
          <w:i/>
          <w:sz w:val="18"/>
          <w:szCs w:val="18"/>
        </w:rPr>
        <w:t>LGO- besluit</w:t>
      </w:r>
      <w:bookmarkEnd w:id="10"/>
    </w:p>
    <w:p w:rsidR="00A64945" w:rsidRPr="007034CC" w:rsidRDefault="00A64945" w:rsidP="00AD0091">
      <w:pPr>
        <w:spacing w:after="0" w:line="360" w:lineRule="auto"/>
        <w:jc w:val="both"/>
      </w:pPr>
      <w:r w:rsidRPr="007034CC">
        <w:t>De inhoud van de associatie is verder uitgewerkt in het LGO- besluit.</w:t>
      </w:r>
      <w:r w:rsidRPr="007034CC">
        <w:rPr>
          <w:rStyle w:val="FootnoteReference"/>
          <w:rFonts w:cs="Arial"/>
        </w:rPr>
        <w:footnoteReference w:id="11"/>
      </w:r>
      <w:r w:rsidRPr="007034CC">
        <w:t xml:space="preserve"> </w:t>
      </w:r>
      <w:r>
        <w:t>Dit</w:t>
      </w:r>
      <w:r w:rsidRPr="007034CC">
        <w:t xml:space="preserve"> besluit bevat </w:t>
      </w:r>
      <w:r>
        <w:t xml:space="preserve">ten opzichte van de Verdragen </w:t>
      </w:r>
      <w:r w:rsidRPr="007034CC">
        <w:t>diverse uitbreidende bepalingen</w:t>
      </w:r>
      <w:r>
        <w:t xml:space="preserve"> die betrekking hebben op de LGO’s</w:t>
      </w:r>
      <w:r w:rsidRPr="007034CC">
        <w:t xml:space="preserve">. In het LGO- besluit is de werking van de associatieregeling vastgelegd alsmede de periode </w:t>
      </w:r>
      <w:r>
        <w:t>waarop</w:t>
      </w:r>
      <w:r w:rsidRPr="007034CC">
        <w:t xml:space="preserve"> de regeling </w:t>
      </w:r>
      <w:r>
        <w:t>betrekking</w:t>
      </w:r>
      <w:r w:rsidRPr="007034CC">
        <w:t xml:space="preserve"> heeft. Elke associatieregeling wordt telkens voor een bepaalde termijn aangegaan. Momenteel </w:t>
      </w:r>
      <w:r>
        <w:t>geldt het zevende LGO- besluit, waarin</w:t>
      </w:r>
      <w:r w:rsidRPr="007034CC">
        <w:t xml:space="preserve"> de associatieregeling </w:t>
      </w:r>
      <w:r>
        <w:t xml:space="preserve">voor </w:t>
      </w:r>
      <w:r w:rsidRPr="007034CC">
        <w:t>de periode 2002-</w:t>
      </w:r>
      <w:r>
        <w:t xml:space="preserve"> </w:t>
      </w:r>
      <w:r w:rsidRPr="007034CC">
        <w:t>2011</w:t>
      </w:r>
      <w:r>
        <w:t xml:space="preserve"> is opgenomen</w:t>
      </w:r>
      <w:r w:rsidRPr="007034CC">
        <w:t>.</w:t>
      </w:r>
      <w:r w:rsidRPr="007034CC">
        <w:rPr>
          <w:rStyle w:val="FootnoteReference"/>
          <w:rFonts w:cs="Arial"/>
        </w:rPr>
        <w:footnoteReference w:id="12"/>
      </w:r>
      <w:r w:rsidRPr="007034CC">
        <w:t xml:space="preserve"> </w:t>
      </w:r>
    </w:p>
    <w:p w:rsidR="00A64945" w:rsidRPr="007034CC" w:rsidRDefault="00A64945" w:rsidP="00AD0091">
      <w:pPr>
        <w:spacing w:line="360" w:lineRule="auto"/>
        <w:jc w:val="both"/>
      </w:pPr>
      <w:r w:rsidRPr="00FC79FC">
        <w:t>Het LGO- besluit bevat in principe geen regeling</w:t>
      </w:r>
      <w:r>
        <w:t xml:space="preserve">en op het terrein van belastingen. Artikel </w:t>
      </w:r>
      <w:r w:rsidRPr="007034CC">
        <w:t xml:space="preserve">55 </w:t>
      </w:r>
      <w:r>
        <w:t xml:space="preserve">van het </w:t>
      </w:r>
      <w:r w:rsidRPr="007034CC">
        <w:t>LGO- besluit</w:t>
      </w:r>
      <w:r>
        <w:t xml:space="preserve"> vormt daar een uitzondering op. In dat artikel </w:t>
      </w:r>
      <w:r w:rsidRPr="007034CC">
        <w:t>is een ‘fiscale uitzonderingsclausule’ opgenomen. Uit deze clausule blijkt dat wat betreft de directe belastingen</w:t>
      </w:r>
      <w:r>
        <w:rPr>
          <w:rStyle w:val="FootnoteReference"/>
          <w:rFonts w:cs="Arial"/>
        </w:rPr>
        <w:footnoteReference w:id="13"/>
      </w:r>
      <w:r w:rsidRPr="007034CC">
        <w:t xml:space="preserve"> de lidstaten en de LGO</w:t>
      </w:r>
      <w:r>
        <w:t>’s</w:t>
      </w:r>
      <w:r w:rsidRPr="007034CC">
        <w:t xml:space="preserve"> hun soevereiniteit willen behouden.</w:t>
      </w:r>
      <w:r>
        <w:t xml:space="preserve"> Dit voorbehoud is mijns inziens een vastlegging van een algemeen bekend fenomeen. Lidstaten wensen wat betreft de fiscaliteit niet zelden zoveel mogelijk autonoom te blijven.</w:t>
      </w:r>
      <w:r>
        <w:rPr>
          <w:rStyle w:val="FootnoteReference"/>
          <w:rFonts w:cs="Arial"/>
        </w:rPr>
        <w:footnoteReference w:id="14"/>
      </w:r>
      <w:r>
        <w:t xml:space="preserve"> Omwille van een soepelere werking van de Europese interne markt is het echter noodzakelijk geweest om de directe belastingen te harmoniseren. Lidstaten hebben aan dit ‘noodzakelijke kwaad’ mee moeten werken.</w:t>
      </w:r>
      <w:r>
        <w:rPr>
          <w:rStyle w:val="FootnoteReference"/>
          <w:rFonts w:cs="Arial"/>
        </w:rPr>
        <w:footnoteReference w:id="15"/>
      </w:r>
      <w:r>
        <w:t xml:space="preserve"> Daar waar deze noodzakelijkheid in mindere mate aanwezig is, klampen lidstaten zich stevig vast aan het ‘eigene’</w:t>
      </w:r>
      <w:r>
        <w:rPr>
          <w:rStyle w:val="FootnoteReference"/>
          <w:rFonts w:cs="Arial"/>
        </w:rPr>
        <w:footnoteReference w:id="16"/>
      </w:r>
      <w:r>
        <w:t xml:space="preserve"> en is de behoefte om de soevereiniteit uit handen te geven minimaal of zelfs afwezig. </w:t>
      </w:r>
    </w:p>
    <w:p w:rsidR="00A64945" w:rsidRPr="00AB3B8E" w:rsidRDefault="00A64945" w:rsidP="00AD0091">
      <w:pPr>
        <w:autoSpaceDE w:val="0"/>
        <w:autoSpaceDN w:val="0"/>
        <w:adjustRightInd w:val="0"/>
        <w:spacing w:after="0" w:line="360" w:lineRule="auto"/>
        <w:jc w:val="both"/>
        <w:rPr>
          <w:color w:val="FF0000"/>
        </w:rPr>
      </w:pPr>
      <w:r w:rsidRPr="007034CC">
        <w:t>De kern van de LGO- regeling is dat er een verbod  op douanerechten</w:t>
      </w:r>
      <w:r>
        <w:t xml:space="preserve"> </w:t>
      </w:r>
      <w:r w:rsidRPr="007034CC">
        <w:t>wordt gehanteerd in het geval dat goederen vanuit een LGO worden ingevoerd in een lidstaat van de EU.</w:t>
      </w:r>
      <w:r w:rsidRPr="007034CC">
        <w:rPr>
          <w:rStyle w:val="FootnoteReference"/>
          <w:rFonts w:cs="Arial"/>
        </w:rPr>
        <w:footnoteReference w:id="17"/>
      </w:r>
      <w:r w:rsidRPr="007034CC">
        <w:t xml:space="preserve">  Met andere woorden: de invoer van goederen</w:t>
      </w:r>
      <w:r>
        <w:t xml:space="preserve"> uit een LGO</w:t>
      </w:r>
      <w:r w:rsidRPr="007034CC">
        <w:t xml:space="preserve"> mag door de EU niet nadeliger worden behandeld dan de goederenstroom tussen de lidstaten. Het moet hierbij gaan om goederen die hun oorsprong</w:t>
      </w:r>
      <w:r w:rsidRPr="007034CC">
        <w:rPr>
          <w:rStyle w:val="FootnoteReference"/>
          <w:rFonts w:cs="Arial"/>
        </w:rPr>
        <w:footnoteReference w:id="18"/>
      </w:r>
      <w:r w:rsidRPr="007034CC">
        <w:t xml:space="preserve">  in de </w:t>
      </w:r>
      <w:r w:rsidRPr="007034CC">
        <w:lastRenderedPageBreak/>
        <w:t xml:space="preserve">LGO’s hebben. </w:t>
      </w:r>
      <w:r>
        <w:t xml:space="preserve">Bij de omgekeerde situatie- </w:t>
      </w:r>
      <w:r w:rsidRPr="001015D9">
        <w:t>goederen die vanuit de lidstaten van de EU worden ingevoerd in de LGO’s</w:t>
      </w:r>
      <w:r>
        <w:t xml:space="preserve">- </w:t>
      </w:r>
      <w:r w:rsidRPr="001015D9">
        <w:t xml:space="preserve"> geldt ook een verbod op douanerechten. Dit is in principe ook het geval bij invoer van goederen uit andere LGO’s.</w:t>
      </w:r>
      <w:r w:rsidRPr="001015D9">
        <w:rPr>
          <w:rStyle w:val="FootnoteReference"/>
          <w:rFonts w:cs="Arial"/>
        </w:rPr>
        <w:footnoteReference w:id="19"/>
      </w:r>
      <w:r w:rsidRPr="001015D9">
        <w:t xml:space="preserve"> Hier dient echter wel een kanttekening bij </w:t>
      </w:r>
      <w:r>
        <w:t>te worden geplaatst. V</w:t>
      </w:r>
      <w:r w:rsidRPr="001015D9">
        <w:t xml:space="preserve">oor goederen die worden geïmporteerd in een LGO, voorziet de wet in een uitzondering op de hoofdregel van </w:t>
      </w:r>
      <w:r>
        <w:t xml:space="preserve">het </w:t>
      </w:r>
      <w:r w:rsidRPr="001015D9">
        <w:t xml:space="preserve">verbod op </w:t>
      </w:r>
      <w:r>
        <w:t xml:space="preserve">heffing van </w:t>
      </w:r>
      <w:r w:rsidRPr="001015D9">
        <w:t xml:space="preserve">douanerechten. </w:t>
      </w:r>
      <w:r w:rsidRPr="001015D9">
        <w:rPr>
          <w:rFonts w:cs="Times-Roman"/>
        </w:rPr>
        <w:t xml:space="preserve">De betrekkingen tussen de EU en de geassocieerde landen en gebieden overzee </w:t>
      </w:r>
      <w:r>
        <w:rPr>
          <w:rFonts w:cs="Times-Roman"/>
        </w:rPr>
        <w:t>kunnen</w:t>
      </w:r>
      <w:r w:rsidRPr="001015D9">
        <w:rPr>
          <w:rFonts w:cs="Times-Roman"/>
        </w:rPr>
        <w:t xml:space="preserve"> in dit opzicht beslist a-</w:t>
      </w:r>
      <w:r>
        <w:rPr>
          <w:rFonts w:cs="Times-Roman"/>
        </w:rPr>
        <w:t xml:space="preserve"> </w:t>
      </w:r>
      <w:r w:rsidRPr="001015D9">
        <w:rPr>
          <w:rFonts w:cs="Times-Roman"/>
        </w:rPr>
        <w:t>symmetrisch</w:t>
      </w:r>
      <w:r>
        <w:rPr>
          <w:rFonts w:cs="Times-Roman"/>
        </w:rPr>
        <w:t xml:space="preserve"> worden genoemd</w:t>
      </w:r>
      <w:r w:rsidRPr="001015D9">
        <w:rPr>
          <w:rFonts w:cs="Times-Roman"/>
        </w:rPr>
        <w:t xml:space="preserve">. </w:t>
      </w:r>
      <w:r w:rsidRPr="001015D9">
        <w:rPr>
          <w:rStyle w:val="FootnoteReference"/>
          <w:rFonts w:cs="Times-Roman"/>
        </w:rPr>
        <w:footnoteReference w:id="20"/>
      </w:r>
      <w:r>
        <w:rPr>
          <w:rFonts w:cs="Times-Roman"/>
        </w:rPr>
        <w:t xml:space="preserve"> </w:t>
      </w:r>
      <w:r>
        <w:t xml:space="preserve">Deze maatregel heeft namelijk iets weg van een steunmaatregel. </w:t>
      </w:r>
      <w:r w:rsidRPr="001015D9">
        <w:t>Het is de LGO’s toegestaan douanerechten te heffen welke in overeenstemming zijn met de eisen van hun ontwikkeling en de behoeften van hun industrialisatie, of welke van fiscale aard zijn en ten doel hebben in hun begrotingsmiddelen te voorzien. Voorwaarde hierbij is dat deze douanerechten niet hoger zijn dan de invoerrechten die gelden op producten uit de lidstaat waarmee elk LGO bijzondere betrekkingen onderhoudt.</w:t>
      </w:r>
      <w:r w:rsidRPr="001015D9">
        <w:rPr>
          <w:rStyle w:val="FootnoteReference"/>
          <w:rFonts w:cs="Arial"/>
        </w:rPr>
        <w:footnoteReference w:id="21"/>
      </w:r>
      <w:r w:rsidRPr="001015D9">
        <w:t xml:space="preserve"> </w:t>
      </w:r>
    </w:p>
    <w:p w:rsidR="00A64945" w:rsidRDefault="00A64945" w:rsidP="00AE333F">
      <w:pPr>
        <w:spacing w:after="0" w:line="360" w:lineRule="auto"/>
        <w:jc w:val="both"/>
        <w:rPr>
          <w:b/>
          <w:sz w:val="24"/>
          <w:szCs w:val="24"/>
        </w:rPr>
      </w:pPr>
    </w:p>
    <w:p w:rsidR="00A64945" w:rsidRPr="00284B68" w:rsidRDefault="00A64945" w:rsidP="00AE333F">
      <w:pPr>
        <w:pStyle w:val="Heading3"/>
        <w:spacing w:before="0" w:line="360" w:lineRule="auto"/>
        <w:jc w:val="both"/>
      </w:pPr>
      <w:bookmarkStart w:id="11" w:name="_Toc299634262"/>
      <w:bookmarkStart w:id="12" w:name="_Toc286250310"/>
      <w:r w:rsidRPr="00284B68">
        <w:t>§1.1.3. Ultraperifere Gebieden</w:t>
      </w:r>
      <w:bookmarkEnd w:id="11"/>
      <w:r w:rsidRPr="00284B68">
        <w:t xml:space="preserve"> </w:t>
      </w:r>
      <w:bookmarkEnd w:id="12"/>
    </w:p>
    <w:p w:rsidR="00A64945" w:rsidRDefault="00A64945" w:rsidP="00AE333F">
      <w:pPr>
        <w:spacing w:after="0" w:line="360" w:lineRule="auto"/>
        <w:jc w:val="both"/>
      </w:pPr>
      <w:r>
        <w:t>Een andere vorm van samenwerking binnen de EU</w:t>
      </w:r>
      <w:r>
        <w:rPr>
          <w:rStyle w:val="FootnoteReference"/>
          <w:rFonts w:cs="Arial"/>
        </w:rPr>
        <w:footnoteReference w:id="22"/>
      </w:r>
      <w:r>
        <w:t xml:space="preserve"> is de samenwerking tussen EU- lidstaten en de zogenoemde ultraperifere gebieden (hierna: UPG’s). De bestaande ultraperifere gebieden van de EU worden in a</w:t>
      </w:r>
      <w:r w:rsidRPr="00D5061B">
        <w:t xml:space="preserve">rtikel 355 </w:t>
      </w:r>
      <w:r>
        <w:t>eerste lid van het</w:t>
      </w:r>
      <w:r w:rsidRPr="00D5061B">
        <w:t xml:space="preserve"> VwEU </w:t>
      </w:r>
      <w:r>
        <w:t xml:space="preserve">genoemd. Dat artikel </w:t>
      </w:r>
      <w:r w:rsidRPr="00D5061B">
        <w:t>verklaart de bepalingen van de Verdragen van toepassing</w:t>
      </w:r>
      <w:r>
        <w:t xml:space="preserve"> op Guadeloupe, Frans Guyana, Martinique, Réunion, Saint Barthélemy en Saint Martin,</w:t>
      </w:r>
      <w:r>
        <w:rPr>
          <w:rStyle w:val="FootnoteReference"/>
          <w:rFonts w:cs="Arial"/>
        </w:rPr>
        <w:footnoteReference w:id="23"/>
      </w:r>
      <w:r>
        <w:t xml:space="preserve"> de Azoren en  Madeira</w:t>
      </w:r>
      <w:r>
        <w:rPr>
          <w:rStyle w:val="FootnoteReference"/>
          <w:rFonts w:cs="Arial"/>
        </w:rPr>
        <w:footnoteReference w:id="24"/>
      </w:r>
      <w:r>
        <w:t xml:space="preserve"> en de Canarische Eilanden.</w:t>
      </w:r>
      <w:r>
        <w:rPr>
          <w:rStyle w:val="FootnoteReference"/>
          <w:rFonts w:cs="Arial"/>
        </w:rPr>
        <w:footnoteReference w:id="25"/>
      </w:r>
      <w:r>
        <w:t xml:space="preserve"> </w:t>
      </w:r>
    </w:p>
    <w:p w:rsidR="00A64945" w:rsidRDefault="00A64945" w:rsidP="00AE333F">
      <w:pPr>
        <w:spacing w:after="0" w:line="360" w:lineRule="auto"/>
        <w:jc w:val="both"/>
      </w:pPr>
      <w:r>
        <w:t xml:space="preserve">In een UPG is </w:t>
      </w:r>
      <w:r w:rsidRPr="006733F6">
        <w:t>sprake van een integrale toepassin</w:t>
      </w:r>
      <w:r>
        <w:t xml:space="preserve">g van de </w:t>
      </w:r>
      <w:r w:rsidRPr="006733F6">
        <w:t xml:space="preserve">EU- wetgeving. </w:t>
      </w:r>
      <w:r>
        <w:t xml:space="preserve">Zou Curaçao een UPG </w:t>
      </w:r>
      <w:r w:rsidRPr="006733F6">
        <w:t>van de EU</w:t>
      </w:r>
      <w:r>
        <w:t xml:space="preserve"> worden</w:t>
      </w:r>
      <w:r w:rsidRPr="006733F6">
        <w:t xml:space="preserve">, </w:t>
      </w:r>
      <w:r>
        <w:t xml:space="preserve">dan worden in beginsel </w:t>
      </w:r>
      <w:r w:rsidRPr="006733F6">
        <w:t xml:space="preserve">alle bepalingen van de Verdragen van toepassing </w:t>
      </w:r>
      <w:r>
        <w:t xml:space="preserve">in Curaçao </w:t>
      </w:r>
      <w:r w:rsidRPr="006733F6">
        <w:t xml:space="preserve">en ook alle verordeningen en richtlijnen die op grond van de Verdragen door de </w:t>
      </w:r>
      <w:r>
        <w:t>Raad van de Europese Unie (hierna: Raad EU)</w:t>
      </w:r>
      <w:r>
        <w:rPr>
          <w:rStyle w:val="FootnoteReference"/>
          <w:rFonts w:cs="Arial"/>
        </w:rPr>
        <w:footnoteReference w:id="26"/>
      </w:r>
      <w:r w:rsidRPr="006733F6">
        <w:t xml:space="preserve"> </w:t>
      </w:r>
      <w:r>
        <w:t>zijn aanvaard. Bovendien krijgt</w:t>
      </w:r>
      <w:r w:rsidRPr="006733F6">
        <w:t xml:space="preserve"> </w:t>
      </w:r>
      <w:r>
        <w:t>Curaçao</w:t>
      </w:r>
      <w:r w:rsidRPr="006733F6">
        <w:t xml:space="preserve"> dan ook met de jurisprudentie van het Hof van Justitie van de Europese Un</w:t>
      </w:r>
      <w:r>
        <w:t xml:space="preserve">ie te maken (hierna: HvJ EU). Met andere woorden, Curaçao </w:t>
      </w:r>
      <w:r w:rsidRPr="006733F6">
        <w:t xml:space="preserve">zal dan met het gehele </w:t>
      </w:r>
      <w:r w:rsidRPr="006733F6">
        <w:rPr>
          <w:i/>
        </w:rPr>
        <w:t>Acquis Communitaire</w:t>
      </w:r>
      <w:r>
        <w:rPr>
          <w:rStyle w:val="FootnoteReference"/>
          <w:rFonts w:cs="Arial"/>
          <w:i/>
        </w:rPr>
        <w:footnoteReference w:id="27"/>
      </w:r>
      <w:r w:rsidRPr="006733F6">
        <w:t xml:space="preserve">  te maken krijgen. Voor het </w:t>
      </w:r>
      <w:r w:rsidRPr="006733F6">
        <w:lastRenderedPageBreak/>
        <w:t xml:space="preserve">belastingrecht betekent dit dat de EU- verdragsvrijheden, de belastingrichtlijnen en de bepalingen betreffende staatssteun op (de inwoners van) </w:t>
      </w:r>
      <w:r>
        <w:t>Curaçao</w:t>
      </w:r>
      <w:r w:rsidRPr="006733F6">
        <w:t xml:space="preserve"> van toepassing zullen </w:t>
      </w:r>
      <w:r>
        <w:t>worden</w:t>
      </w:r>
      <w:r w:rsidRPr="006733F6">
        <w:t>. Dit is een groot verschil met de LGO- regeling, waaronder</w:t>
      </w:r>
      <w:r>
        <w:t xml:space="preserve"> </w:t>
      </w:r>
      <w:r w:rsidRPr="006733F6">
        <w:t>in principe</w:t>
      </w:r>
      <w:r>
        <w:rPr>
          <w:rStyle w:val="FootnoteReference"/>
          <w:rFonts w:cs="Arial"/>
        </w:rPr>
        <w:footnoteReference w:id="28"/>
      </w:r>
      <w:r w:rsidRPr="006733F6">
        <w:t xml:space="preserve"> maar een beperkt deel</w:t>
      </w:r>
      <w:r>
        <w:rPr>
          <w:rStyle w:val="FootnoteReference"/>
          <w:rFonts w:cs="Arial"/>
        </w:rPr>
        <w:footnoteReference w:id="29"/>
      </w:r>
      <w:r w:rsidRPr="006733F6">
        <w:t xml:space="preserve"> </w:t>
      </w:r>
      <w:r>
        <w:t xml:space="preserve">(zie ook §1.1.2.) </w:t>
      </w:r>
      <w:r w:rsidRPr="006733F6">
        <w:t>van het gemeenschapsrecht op (</w:t>
      </w:r>
      <w:r>
        <w:t xml:space="preserve">de </w:t>
      </w:r>
      <w:r w:rsidRPr="006733F6">
        <w:t xml:space="preserve">inwoners van) </w:t>
      </w:r>
      <w:r>
        <w:t>Curaçao</w:t>
      </w:r>
      <w:r w:rsidRPr="006733F6">
        <w:t xml:space="preserve"> van toepassing is.</w:t>
      </w:r>
    </w:p>
    <w:p w:rsidR="00A64945" w:rsidRDefault="00A64945" w:rsidP="00AE333F">
      <w:pPr>
        <w:spacing w:after="0" w:line="360" w:lineRule="auto"/>
        <w:jc w:val="both"/>
      </w:pPr>
      <w:r w:rsidRPr="006733F6">
        <w:t xml:space="preserve">Hoewel bij </w:t>
      </w:r>
      <w:r>
        <w:t xml:space="preserve">de </w:t>
      </w:r>
      <w:r w:rsidRPr="006733F6">
        <w:t xml:space="preserve">aanvaardig van een status als UPG dus het gehele </w:t>
      </w:r>
      <w:r w:rsidRPr="006733F6">
        <w:rPr>
          <w:i/>
        </w:rPr>
        <w:t xml:space="preserve">Acquis Communitaire onverkort </w:t>
      </w:r>
      <w:r w:rsidRPr="006733F6">
        <w:t xml:space="preserve"> van toepassing zal worden, is in artikel 349 VwEU voorzien van een speciale behandeling van de UPG’s. In dit artikel is bepaald dat gezien de structurele, economische en sociale situatie van een ultraperifeer gebied die wordt bemoeilijkt door de grote afstand, het insulaire karakter, de kleine oppervlakte, een moeilijk reliëf en klimaat en de economische afhankelijkheid van enkele producten, welke factoren door hun blijvende en cumulatieve karakter de ontwikkeling van deze gebieden ernstig schaden, de Raad</w:t>
      </w:r>
      <w:r>
        <w:t xml:space="preserve"> EU</w:t>
      </w:r>
      <w:r w:rsidRPr="006733F6">
        <w:t xml:space="preserve"> op voorstel van de Commissie</w:t>
      </w:r>
      <w:r>
        <w:rPr>
          <w:rStyle w:val="FootnoteReference"/>
          <w:rFonts w:cs="Arial"/>
        </w:rPr>
        <w:footnoteReference w:id="30"/>
      </w:r>
      <w:r w:rsidRPr="006733F6">
        <w:t xml:space="preserve"> en na raadpleging van het Europees parlement,</w:t>
      </w:r>
      <w:r>
        <w:rPr>
          <w:rStyle w:val="FootnoteReference"/>
          <w:rFonts w:cs="Arial"/>
        </w:rPr>
        <w:footnoteReference w:id="31"/>
      </w:r>
      <w:r w:rsidRPr="006733F6">
        <w:t xml:space="preserve"> specifieke maatregelen kan nemen. Deze maatregelen dienen met name betrekking te hebben op het douane- en handelsbeleid, het fiscale beleid, vrijhandelszones, h</w:t>
      </w:r>
      <w:r>
        <w:t xml:space="preserve">et landbouw- en visserijbeleid, </w:t>
      </w:r>
      <w:r w:rsidRPr="006733F6">
        <w:t>de voorwaarden voor het aanbod van grondstoffen en essentiële consumptiegoederen, staatssteun en de voorwaarden voor toegang tot de structuurfondsen en tot horizontale programma’s van de unie.</w:t>
      </w:r>
      <w:r w:rsidRPr="006733F6">
        <w:rPr>
          <w:rStyle w:val="FootnoteReference"/>
          <w:rFonts w:cs="Arial"/>
        </w:rPr>
        <w:footnoteReference w:id="32"/>
      </w:r>
      <w:r w:rsidRPr="006733F6">
        <w:t xml:space="preserve"> Daarnaast dient de Raad</w:t>
      </w:r>
      <w:r>
        <w:t xml:space="preserve"> EU</w:t>
      </w:r>
      <w:r w:rsidRPr="006733F6">
        <w:t xml:space="preserve"> over het algemeen rekening te houden met de bijzondere kenmerken en beperkingen van de ultraperifere gebieden waarbij er geen afbreuk dient te worden gedaan aan de integriteit en de samenhang van de rechtsorde van de Unie, met inbegrip van de interne markt en het gemeenschappelijk beleid.</w:t>
      </w:r>
      <w:r>
        <w:rPr>
          <w:rStyle w:val="FootnoteReference"/>
          <w:rFonts w:cs="Arial"/>
          <w:sz w:val="24"/>
          <w:szCs w:val="24"/>
        </w:rPr>
        <w:footnoteReference w:id="33"/>
      </w:r>
    </w:p>
    <w:p w:rsidR="00A64945" w:rsidRDefault="00A64945" w:rsidP="00AE333F">
      <w:pPr>
        <w:spacing w:after="0" w:line="360" w:lineRule="auto"/>
        <w:jc w:val="both"/>
      </w:pPr>
    </w:p>
    <w:p w:rsidR="00A64945" w:rsidRDefault="00A64945" w:rsidP="00AE333F">
      <w:pPr>
        <w:spacing w:after="0" w:line="360" w:lineRule="auto"/>
        <w:jc w:val="both"/>
      </w:pPr>
      <w:r>
        <w:lastRenderedPageBreak/>
        <w:t xml:space="preserve">Alvorens ik verder ga met de volgende subparagraaf, wil ik het volgende opmerken. De vraag of de landen van het Koninkrijk al dan niet hun huidige LGO- status moeten inwisselen voor de UPG- status is een interessante. Naar aanleiding van de recente hervormingen die hebben plaatsgevonden in het Koninkrijk der Nederland is de discussie hierover weer opgelaaid. De meningen over de wenselijkheid van een statuswisseling zijn verdeeld, maar er valt wel een rode draad waar te nemen. Voor wat betreft Aruba, Curaçao en Sint Maarten, dit zijn de landen die na 10 oktober 2010 binnen het Koninkrijk der Nederland de </w:t>
      </w:r>
      <w:r w:rsidRPr="00E91023">
        <w:rPr>
          <w:i/>
        </w:rPr>
        <w:t>Status Aparte</w:t>
      </w:r>
      <w:r>
        <w:t xml:space="preserve"> hebben, kan gezegd worden dat men heel erg sceptisch tegen een statuswisseling aankijkt. Zoals uit de volgende twee subparagrafen zal blijken, is men het er over het algemeen over eens dat deze landen er beter aan doen de LGO- status te behouden. Ik maak in deze scriptie de veronderstelling dat Curaçao de UPG- status aanvaart en laat hierbij de vraag of die status wenselijk is buiten beschouwing. Met andere woorden, de vraag of Curaçao voor een statusswitch moet gaan, is in deze scriptie niet aan de orde. Ik ga in deze scriptie dus als het ware uit van een scenario waarin het uitgangspunt de situatie is dat Curaçao reeds de keuze heeft gemaakt voor de UPG- status. Curaçao wordt een UPG. Dat staat vast. Van uit deze uitgangssituatie ga ik dan onderzoeken wat de specifieke fiscale gevolgen van dit gegeven voor het Curaçaose E- Zoneregime zijn. In hoeverre is het huidige E- Zoneregime in overeenstemming met het EU- recht en voor zover dat niet het geval blijkt te zijn; welke aanpassingen dienen er dan doorgevoerd te worden om dit regime (meer) in overeenstemming te brengen met het EU- recht? De reden dat ik voor deze aanpak heb gekozen is omdat ik mijn onderzoek moet afbakenen en de vraag of een statusswitch wenselijk is of niet, een heel (breed) onderwerp op zich zelf is. Waaraan zou je die wenselijkheid bovendien moeten afmeten? Voorts ben ik er niet helemaal van overtuigd dat een UPG- status voor Curaçao een slechte keuze is. Ik vind dat men hier en daar met betrekking tot de wenselijkheid van een UPG- status voor Curaçao (te) voorbarige conclusies trekt die bovendien niet (voldoende) onderbouwd worden. Ook dit zal uit de volgende twee subparagrafen blijken.</w:t>
      </w:r>
    </w:p>
    <w:p w:rsidR="00A64945" w:rsidRDefault="00A64945" w:rsidP="000B02AF">
      <w:pPr>
        <w:spacing w:after="0" w:line="360" w:lineRule="auto"/>
        <w:jc w:val="both"/>
      </w:pPr>
      <w:r>
        <w:t xml:space="preserve">Toch vind ik het noodzakelijk om de discussie die momenteel gaande is met betrekking tot de </w:t>
      </w:r>
      <w:r w:rsidRPr="00D90C2D">
        <w:rPr>
          <w:i/>
        </w:rPr>
        <w:t>wenselijkheid</w:t>
      </w:r>
      <w:r>
        <w:t xml:space="preserve"> van een statusswitch enigszins aan de orde te stellen. Uit de diverse opvattingen betreffende een statuswisseling van LGO naar UPG die hierna aan de orde zullen komen, worden de visies duidelijk van verschillende personen over hoe deze personen verwachten dat de werkelijkheid die zal ontstaan als Curaçao een UPG wordt, eruit zal komen te zien. Er worden voorspellingen gemaakt over de economische, sociale en juridische realiteit die zich bij de aanname van de UPG- status in Curaçao zal voordoen. Of de verwachtingen van deze personen, bij een omschakeling naar de UPG- status, ook daadwerkelijk bewaarheid zullen worden, is nog maar de vraag maar is, aangezien ik in deze scriptie van de scenario uit ga dat Curaçao de UPG- status aanvaart, mijns inziens, relevante informatie. Het geeft namelijk een algemeen inzicht in de (door sommige personen </w:t>
      </w:r>
      <w:r>
        <w:lastRenderedPageBreak/>
        <w:t xml:space="preserve">mogelijk geachte) werkelijkheid van Curaçao als UPG. Derhalve komen in de volgende twee subparagrafen de opvattingen van o.a. </w:t>
      </w:r>
      <w:r w:rsidRPr="00907131">
        <w:t xml:space="preserve">auteurs, </w:t>
      </w:r>
      <w:r>
        <w:t xml:space="preserve">van </w:t>
      </w:r>
      <w:r w:rsidRPr="00907131">
        <w:t>onderzoekers, de Raad van State van het Koninkrijk en de Staatssecretaris van Financiën van de Nederlandse Antillen</w:t>
      </w:r>
      <w:r>
        <w:t xml:space="preserve"> over een statuswisseling aan de orde.</w:t>
      </w:r>
      <w:bookmarkStart w:id="13" w:name="_Toc286250311"/>
    </w:p>
    <w:p w:rsidR="00A64945" w:rsidRDefault="00A64945" w:rsidP="00AE333F">
      <w:pPr>
        <w:pStyle w:val="Heading3"/>
        <w:spacing w:before="0" w:line="360" w:lineRule="auto"/>
        <w:jc w:val="both"/>
      </w:pPr>
    </w:p>
    <w:p w:rsidR="00A64945" w:rsidRPr="007D237E" w:rsidRDefault="00A64945" w:rsidP="00AE333F">
      <w:pPr>
        <w:pStyle w:val="Heading3"/>
        <w:spacing w:before="0" w:line="360" w:lineRule="auto"/>
        <w:jc w:val="both"/>
      </w:pPr>
      <w:bookmarkStart w:id="14" w:name="_Toc299634263"/>
      <w:r w:rsidRPr="007D237E">
        <w:t>§1.1.4. UPG- status voor bijzondere gemeenten Bonaire, Saba en Sint Eustatius</w:t>
      </w:r>
      <w:bookmarkEnd w:id="13"/>
      <w:bookmarkEnd w:id="14"/>
    </w:p>
    <w:p w:rsidR="00A64945" w:rsidRDefault="00A64945" w:rsidP="00AE333F">
      <w:pPr>
        <w:tabs>
          <w:tab w:val="num" w:pos="720"/>
        </w:tabs>
        <w:spacing w:after="0" w:line="360" w:lineRule="auto"/>
        <w:jc w:val="both"/>
        <w:rPr>
          <w:b/>
          <w:i/>
          <w:sz w:val="18"/>
          <w:szCs w:val="18"/>
        </w:rPr>
      </w:pPr>
    </w:p>
    <w:p w:rsidR="00A64945" w:rsidRPr="003532DC" w:rsidRDefault="00A64945" w:rsidP="00AE333F">
      <w:pPr>
        <w:tabs>
          <w:tab w:val="num" w:pos="720"/>
        </w:tabs>
        <w:spacing w:after="0" w:line="360" w:lineRule="auto"/>
        <w:jc w:val="both"/>
        <w:rPr>
          <w:b/>
          <w:i/>
          <w:sz w:val="18"/>
          <w:szCs w:val="18"/>
        </w:rPr>
      </w:pPr>
      <w:r w:rsidRPr="003532DC">
        <w:rPr>
          <w:b/>
          <w:i/>
          <w:sz w:val="18"/>
          <w:szCs w:val="18"/>
        </w:rPr>
        <w:t>Miniconferentie over de toekomstige staatkundige positie van Bonaire, Sint Eustatius en Saba</w:t>
      </w:r>
    </w:p>
    <w:p w:rsidR="00A64945" w:rsidRPr="006733F6" w:rsidRDefault="00A64945" w:rsidP="00AE333F">
      <w:pPr>
        <w:tabs>
          <w:tab w:val="num" w:pos="720"/>
        </w:tabs>
        <w:spacing w:after="0" w:line="360" w:lineRule="auto"/>
        <w:jc w:val="both"/>
      </w:pPr>
      <w:r w:rsidRPr="006733F6">
        <w:t>Bij diverse besprekingen</w:t>
      </w:r>
      <w:r w:rsidRPr="006733F6">
        <w:rPr>
          <w:rStyle w:val="FootnoteReference"/>
          <w:rFonts w:cs="Arial"/>
        </w:rPr>
        <w:footnoteReference w:id="34"/>
      </w:r>
      <w:r w:rsidRPr="006733F6">
        <w:t xml:space="preserve"> die naar aanleiding van de staatkundige hervormingen van de Nederlandse Antillen hebben plaatsgevonden, is door de aanwezige partijen de mogelijkheid overwogen om aan de eilanden van de Nederlandse Antillen de status van UPG toe te kennen. De bij deze besprekingen aanwezige p</w:t>
      </w:r>
      <w:r>
        <w:t>artijen waren</w:t>
      </w:r>
      <w:r w:rsidRPr="006733F6">
        <w:t xml:space="preserve"> het er hierbij over eens dat in ieder geval een kans bestaat dat bij een deel van de </w:t>
      </w:r>
      <w:r>
        <w:t xml:space="preserve">voormalige </w:t>
      </w:r>
      <w:r w:rsidRPr="006733F6">
        <w:t xml:space="preserve">Nederlandse Antillen de status gewijzigd zal worden in die van UPG. Dit </w:t>
      </w:r>
      <w:r>
        <w:t>is het</w:t>
      </w:r>
      <w:r w:rsidRPr="006733F6">
        <w:t xml:space="preserve"> geval bij de nieuw te vormen bijzondere gemeenten Bonaire, Saba en Sint E</w:t>
      </w:r>
      <w:r>
        <w:t xml:space="preserve">ustatius. </w:t>
      </w:r>
      <w:r w:rsidRPr="006733F6">
        <w:t xml:space="preserve">In dit kader </w:t>
      </w:r>
      <w:r>
        <w:t>werd</w:t>
      </w:r>
      <w:r w:rsidRPr="006733F6">
        <w:t xml:space="preserve"> in de slotverklaring</w:t>
      </w:r>
      <w:r w:rsidRPr="006733F6">
        <w:rPr>
          <w:rStyle w:val="FootnoteReference"/>
          <w:rFonts w:cs="Arial"/>
        </w:rPr>
        <w:footnoteReference w:id="35"/>
      </w:r>
      <w:r w:rsidRPr="006733F6">
        <w:t xml:space="preserve"> van de miniconferentie over de toekomstige staatkundige positie van Bonaire, Sint Eustatius en Saba, zoals dat </w:t>
      </w:r>
      <w:r>
        <w:t>op 11 oktober 2006 tot stand was</w:t>
      </w:r>
      <w:r w:rsidRPr="006733F6">
        <w:t xml:space="preserve"> gekomen, vastgelegd dat </w:t>
      </w:r>
      <w:r>
        <w:t xml:space="preserve">er een onderzoek zal worden gedaan naar de </w:t>
      </w:r>
      <w:r w:rsidRPr="006733F6">
        <w:t xml:space="preserve">mogelijkheden </w:t>
      </w:r>
      <w:r>
        <w:t xml:space="preserve">en </w:t>
      </w:r>
      <w:r w:rsidRPr="006733F6">
        <w:t xml:space="preserve">de implicaties </w:t>
      </w:r>
      <w:r>
        <w:t xml:space="preserve">van het verkrijgen van een UPG- </w:t>
      </w:r>
      <w:r w:rsidRPr="006733F6">
        <w:t xml:space="preserve"> status voor de ‘kleine Antillen’.</w:t>
      </w:r>
      <w:r w:rsidRPr="006733F6">
        <w:rPr>
          <w:rStyle w:val="FootnoteReference"/>
          <w:rFonts w:cs="Arial"/>
        </w:rPr>
        <w:footnoteReference w:id="36"/>
      </w:r>
      <w:r w:rsidRPr="006733F6">
        <w:t xml:space="preserve"> </w:t>
      </w:r>
    </w:p>
    <w:p w:rsidR="00A64945" w:rsidRDefault="00A64945" w:rsidP="00AE333F">
      <w:pPr>
        <w:tabs>
          <w:tab w:val="num" w:pos="720"/>
        </w:tabs>
        <w:spacing w:after="0" w:line="360" w:lineRule="auto"/>
        <w:jc w:val="both"/>
        <w:rPr>
          <w:b/>
          <w:i/>
          <w:sz w:val="18"/>
          <w:szCs w:val="18"/>
        </w:rPr>
      </w:pPr>
    </w:p>
    <w:p w:rsidR="00A64945" w:rsidRPr="003532DC" w:rsidRDefault="00A64945" w:rsidP="00AE333F">
      <w:pPr>
        <w:tabs>
          <w:tab w:val="num" w:pos="720"/>
        </w:tabs>
        <w:spacing w:after="0" w:line="360" w:lineRule="auto"/>
        <w:jc w:val="both"/>
        <w:rPr>
          <w:b/>
          <w:i/>
          <w:sz w:val="18"/>
          <w:szCs w:val="18"/>
        </w:rPr>
      </w:pPr>
      <w:r w:rsidRPr="003532DC">
        <w:rPr>
          <w:b/>
          <w:i/>
          <w:sz w:val="18"/>
          <w:szCs w:val="18"/>
        </w:rPr>
        <w:t>De Raad van State van het Koninkrijk</w:t>
      </w:r>
    </w:p>
    <w:p w:rsidR="00A64945" w:rsidRPr="006733F6" w:rsidRDefault="00A64945" w:rsidP="00AE333F">
      <w:pPr>
        <w:tabs>
          <w:tab w:val="num" w:pos="720"/>
        </w:tabs>
        <w:spacing w:after="0" w:line="360" w:lineRule="auto"/>
        <w:jc w:val="both"/>
      </w:pPr>
      <w:r w:rsidRPr="006733F6">
        <w:t>De</w:t>
      </w:r>
      <w:r>
        <w:t xml:space="preserve"> Raad van State </w:t>
      </w:r>
      <w:r w:rsidRPr="006733F6">
        <w:t>van het Koninkrijk</w:t>
      </w:r>
      <w:r>
        <w:rPr>
          <w:rStyle w:val="FootnoteReference"/>
          <w:rFonts w:cs="Arial"/>
        </w:rPr>
        <w:footnoteReference w:id="37"/>
      </w:r>
      <w:r w:rsidRPr="006733F6">
        <w:t xml:space="preserve"> had in haar voorlichting</w:t>
      </w:r>
      <w:r w:rsidRPr="006733F6">
        <w:rPr>
          <w:rStyle w:val="FootnoteReference"/>
          <w:rFonts w:cs="Arial"/>
        </w:rPr>
        <w:footnoteReference w:id="38"/>
      </w:r>
      <w:r w:rsidRPr="006733F6">
        <w:t xml:space="preserve"> over de </w:t>
      </w:r>
      <w:r>
        <w:t xml:space="preserve">toen </w:t>
      </w:r>
      <w:r w:rsidRPr="006733F6">
        <w:t xml:space="preserve">op handen zijnde staatkundige hervormingen  </w:t>
      </w:r>
      <w:r>
        <w:t xml:space="preserve">al </w:t>
      </w:r>
      <w:r w:rsidRPr="006733F6">
        <w:t xml:space="preserve">laten weten dat zij het zelfs onwenselijk acht dat Bonaire, Saba en Sint Eustatius hun LGO-  status na de overgangsperiode behouden. Het behouden van de LGO- status door de toekomstige bijzondere gemeenten zou volgens de Raad  tot merkwaardige verschillen leiden binnen het Nederlandse staatsverband wat na de hervormingen binnen het Koninkrijk tot stand </w:t>
      </w:r>
      <w:r>
        <w:t>zou</w:t>
      </w:r>
      <w:r w:rsidRPr="006733F6">
        <w:t xml:space="preserve"> komen. Bovendien zou een UPG- status voor de toekomstige bijzondere gemeenten veel </w:t>
      </w:r>
      <w:r w:rsidRPr="006733F6">
        <w:lastRenderedPageBreak/>
        <w:t>makkelijker haalbaar zijn dan voor de (toekomstige) autonome landen</w:t>
      </w:r>
      <w:r w:rsidRPr="006733F6">
        <w:rPr>
          <w:rStyle w:val="FootnoteReference"/>
          <w:rFonts w:cs="Arial"/>
        </w:rPr>
        <w:footnoteReference w:id="39"/>
      </w:r>
      <w:r w:rsidRPr="006733F6">
        <w:t xml:space="preserve"> binnen het Koninkrijk. </w:t>
      </w:r>
      <w:r>
        <w:t xml:space="preserve">Volgens de Raad van State zouden </w:t>
      </w:r>
      <w:r w:rsidRPr="006733F6">
        <w:t>Bonaire, Saba en Sint Eustatius</w:t>
      </w:r>
      <w:r>
        <w:t>,</w:t>
      </w:r>
      <w:r w:rsidRPr="006733F6">
        <w:t xml:space="preserve"> </w:t>
      </w:r>
      <w:r>
        <w:t>aangezien zij</w:t>
      </w:r>
      <w:r w:rsidRPr="006733F6">
        <w:t xml:space="preserve"> Nederlandse wetgeving moeten invoeren</w:t>
      </w:r>
      <w:r>
        <w:t>,</w:t>
      </w:r>
      <w:r w:rsidRPr="006733F6">
        <w:t xml:space="preserve"> veel Europese regelgeving al automatisch overnemen. Aruba, Curaçao en Sint Maarten zouden daarentegen het gehele gemeenschapsrecht  van de </w:t>
      </w:r>
      <w:r w:rsidRPr="00322F88">
        <w:t>E</w:t>
      </w:r>
      <w:r>
        <w:t>U,</w:t>
      </w:r>
      <w:r w:rsidRPr="006733F6">
        <w:t xml:space="preserve"> naast hun eigen wetgeving</w:t>
      </w:r>
      <w:r>
        <w:t>,</w:t>
      </w:r>
      <w:r w:rsidRPr="006733F6">
        <w:t xml:space="preserve"> zelf moeten invoeren. </w:t>
      </w:r>
    </w:p>
    <w:p w:rsidR="00A64945" w:rsidRPr="00870059" w:rsidRDefault="00A64945" w:rsidP="00870059">
      <w:pPr>
        <w:tabs>
          <w:tab w:val="num" w:pos="720"/>
        </w:tabs>
        <w:spacing w:after="0" w:line="360" w:lineRule="auto"/>
        <w:jc w:val="both"/>
      </w:pPr>
      <w:r w:rsidRPr="00870059">
        <w:t>Ik kan me enigszins vinden in de redenatie dat het voor de toekomstige bijzondere gemeenten minder gecompliceerd zal zijn om de LGO- status in te wisselen voor de UPG- status. De wetgeving die na de hervormingen zal komen te gelden in deze gemeenten vertoont immers</w:t>
      </w:r>
      <w:r>
        <w:t xml:space="preserve"> al</w:t>
      </w:r>
      <w:r w:rsidRPr="00870059">
        <w:t xml:space="preserve"> grote overeenkomsten met de Nederlandse wetgeving. Nederland maakt al </w:t>
      </w:r>
      <w:r>
        <w:t>lange</w:t>
      </w:r>
      <w:r w:rsidRPr="00870059">
        <w:t xml:space="preserve"> tijd deel uit van de EU. De wetgeving die van kracht is bij de relatie tussen Nederland en de EU</w:t>
      </w:r>
      <w:r>
        <w:t xml:space="preserve"> is dan ook product van een </w:t>
      </w:r>
      <w:r w:rsidRPr="00870059">
        <w:t>aan</w:t>
      </w:r>
      <w:r>
        <w:t>tal</w:t>
      </w:r>
      <w:r w:rsidRPr="00870059">
        <w:t xml:space="preserve"> ontwikkelingen die over de jaren heen </w:t>
      </w:r>
      <w:r>
        <w:t>hebben</w:t>
      </w:r>
      <w:r w:rsidRPr="00870059">
        <w:t xml:space="preserve"> plaatsgevonden. De toekomstige bijzond</w:t>
      </w:r>
      <w:r>
        <w:t xml:space="preserve">ere gemeenten krijgen dit als </w:t>
      </w:r>
      <w:r w:rsidRPr="00870059">
        <w:t>het ware mee bij het overnemen van de Nederlandse wetgeving. Veel dingen zijn al geregeld. Dit wil echter nog niet zeggen dat ook de implementatie vlekkeloos zal verlopen.</w:t>
      </w:r>
    </w:p>
    <w:p w:rsidR="00A64945" w:rsidRPr="006733F6" w:rsidRDefault="00A64945" w:rsidP="001E6460">
      <w:pPr>
        <w:tabs>
          <w:tab w:val="num" w:pos="720"/>
        </w:tabs>
        <w:spacing w:after="0" w:line="360" w:lineRule="auto"/>
        <w:jc w:val="both"/>
      </w:pPr>
      <w:r w:rsidRPr="006733F6">
        <w:t xml:space="preserve">Bovendien heeft het EU- recht een aantal specifieke kenmerken. </w:t>
      </w:r>
      <w:r w:rsidRPr="006733F6">
        <w:rPr>
          <w:rStyle w:val="FootnoteReference"/>
          <w:rFonts w:cs="Arial"/>
        </w:rPr>
        <w:footnoteReference w:id="40"/>
      </w:r>
      <w:r w:rsidRPr="006733F6">
        <w:t xml:space="preserve"> Een daarvan is dat </w:t>
      </w:r>
      <w:r>
        <w:t>het EU- recht voorrang heeft. Da</w:t>
      </w:r>
      <w:r w:rsidRPr="006733F6">
        <w:t xml:space="preserve">t wil zeggen dat het EU- recht </w:t>
      </w:r>
      <w:r>
        <w:t>in beginsel</w:t>
      </w:r>
      <w:r>
        <w:rPr>
          <w:rStyle w:val="FootnoteReference"/>
          <w:rFonts w:cs="Arial"/>
        </w:rPr>
        <w:footnoteReference w:id="41"/>
      </w:r>
      <w:r w:rsidRPr="006733F6">
        <w:t xml:space="preserve"> voor gaat op al het daarmee strijdig nationale recht, ongeacht of dit van eerdere of van latere datum is dan het EU- recht. </w:t>
      </w:r>
      <w:r>
        <w:t>Dit komt voort uit het Costa/ENEL</w:t>
      </w:r>
      <w:r w:rsidRPr="006733F6">
        <w:t xml:space="preserve"> arrest. </w:t>
      </w:r>
      <w:r w:rsidRPr="006733F6">
        <w:rPr>
          <w:rStyle w:val="FootnoteReference"/>
          <w:rFonts w:cs="Arial"/>
        </w:rPr>
        <w:footnoteReference w:id="42"/>
      </w:r>
      <w:r>
        <w:t xml:space="preserve"> Het HvJ EU</w:t>
      </w:r>
      <w:r w:rsidRPr="006733F6">
        <w:t xml:space="preserve"> heeft twee arresten gewezen di</w:t>
      </w:r>
      <w:r>
        <w:t xml:space="preserve">e de karakteristiek van het EU- </w:t>
      </w:r>
      <w:r w:rsidRPr="006733F6">
        <w:t>recht weergeven. Dit zijn het Van Gend &amp; Loos arrest</w:t>
      </w:r>
      <w:r w:rsidRPr="006733F6">
        <w:rPr>
          <w:rStyle w:val="FootnoteReference"/>
          <w:rFonts w:cs="Arial"/>
        </w:rPr>
        <w:footnoteReference w:id="43"/>
      </w:r>
      <w:r w:rsidRPr="006733F6">
        <w:t xml:space="preserve"> en</w:t>
      </w:r>
      <w:r>
        <w:t xml:space="preserve"> dat Costa/ENEL </w:t>
      </w:r>
      <w:r w:rsidRPr="006733F6">
        <w:t>arrest. Uit deze twee arresten vloeien drie kenmerken van het Europese recht voort. Dit zijn de rechtstreekse toepasselijkheid van het gemeenschapsrecht, de rechtstreekse werking van het gemeenschapsrecht en de voorrang van het gemeenschapsrecht.</w:t>
      </w:r>
      <w:r w:rsidRPr="006733F6">
        <w:rPr>
          <w:rStyle w:val="FootnoteReference"/>
          <w:rFonts w:cs="Arial"/>
        </w:rPr>
        <w:footnoteReference w:id="44"/>
      </w:r>
    </w:p>
    <w:p w:rsidR="00A64945" w:rsidRPr="006733F6" w:rsidRDefault="00A64945" w:rsidP="00224EF9">
      <w:pPr>
        <w:spacing w:after="0" w:line="360" w:lineRule="auto"/>
        <w:jc w:val="both"/>
      </w:pPr>
      <w:r w:rsidRPr="006733F6">
        <w:t>In het V</w:t>
      </w:r>
      <w:r>
        <w:t xml:space="preserve">an Gend &amp; Loos arrest </w:t>
      </w:r>
      <w:r w:rsidRPr="006733F6">
        <w:t xml:space="preserve"> is vastgelegd dat het gemeenschapsrecht  een nieuwe rechtsorde is. Er is sprake van een rechtstreekse toepasselijkheid van het gemeenschapsrecht. Met rechtstreekse toepasselijkheid van het gemeenschapsrecht wordt bedoeld dat het gemeenschapsrecht, geheel zelfstandig en onafhankelijk van de wetgeving van de lidstaten, doorwerkt in de rechtsorde van de </w:t>
      </w:r>
      <w:r w:rsidRPr="006733F6">
        <w:lastRenderedPageBreak/>
        <w:t>lidstaten. Er is hierbij sprake van een directe oftewel rechtstreekse werking</w:t>
      </w:r>
      <w:r w:rsidRPr="006733F6">
        <w:rPr>
          <w:rStyle w:val="FootnoteReference"/>
          <w:rFonts w:cs="Arial"/>
        </w:rPr>
        <w:footnoteReference w:id="45"/>
      </w:r>
      <w:r w:rsidRPr="006733F6">
        <w:t xml:space="preserve"> van het E</w:t>
      </w:r>
      <w:r>
        <w:t>U</w:t>
      </w:r>
      <w:r w:rsidRPr="006733F6">
        <w:t>- recht. Dit wil zeggen dat de werking van het E</w:t>
      </w:r>
      <w:r>
        <w:t>U</w:t>
      </w:r>
      <w:r w:rsidRPr="006733F6">
        <w:t xml:space="preserve">- recht direct gericht is op de burgers van de EU. Particulieren kunnen zich dan ook uitdrukkelijk beroepen op het gemeenschapsrecht. </w:t>
      </w:r>
    </w:p>
    <w:p w:rsidR="00A64945" w:rsidRPr="006733F6" w:rsidRDefault="00A64945" w:rsidP="00AE333F">
      <w:pPr>
        <w:spacing w:line="360" w:lineRule="auto"/>
        <w:jc w:val="both"/>
      </w:pPr>
      <w:r w:rsidRPr="00DB3F6F">
        <w:rPr>
          <w:sz w:val="24"/>
          <w:szCs w:val="24"/>
        </w:rPr>
        <w:t xml:space="preserve"> </w:t>
      </w:r>
      <w:r>
        <w:t xml:space="preserve">In het  Costa/ENEL arrest bevestigde het HvJ EU hetgeen in Van Gend &amp; Loos </w:t>
      </w:r>
      <w:r w:rsidRPr="006733F6">
        <w:t>vast</w:t>
      </w:r>
      <w:r>
        <w:t xml:space="preserve"> was</w:t>
      </w:r>
      <w:r w:rsidRPr="006733F6">
        <w:t xml:space="preserve"> kome</w:t>
      </w:r>
      <w:r>
        <w:t>n te staan. Uit het Costa/ ENEL</w:t>
      </w:r>
      <w:r w:rsidRPr="006733F6">
        <w:t xml:space="preserve"> ar</w:t>
      </w:r>
      <w:r>
        <w:t xml:space="preserve">rest blijkt nogmaals dat het HvJ EU </w:t>
      </w:r>
      <w:r w:rsidRPr="006733F6">
        <w:t>de mening is toegedaan dat met de totstandkoming van het E</w:t>
      </w:r>
      <w:r>
        <w:t>U</w:t>
      </w:r>
      <w:r w:rsidRPr="006733F6">
        <w:t>- Verdrag een eigen rechtsorde in het</w:t>
      </w:r>
      <w:r w:rsidRPr="00DB3F6F">
        <w:rPr>
          <w:sz w:val="24"/>
          <w:szCs w:val="24"/>
        </w:rPr>
        <w:t xml:space="preserve"> leven is geroepen. </w:t>
      </w:r>
      <w:r w:rsidRPr="00AE291C">
        <w:rPr>
          <w:sz w:val="24"/>
          <w:szCs w:val="24"/>
        </w:rPr>
        <w:t xml:space="preserve">Deze </w:t>
      </w:r>
      <w:r w:rsidRPr="006733F6">
        <w:t>communautaire rec</w:t>
      </w:r>
      <w:r>
        <w:t>htsorde maakt volgens het HvJ EU</w:t>
      </w:r>
      <w:r w:rsidRPr="006733F6">
        <w:t xml:space="preserve"> deel uit van de rechtsorde van de lidstaten (rechtstreekse toepasselijkheid). De tot stand gekomen rechtsorde is dwingend va</w:t>
      </w:r>
      <w:r>
        <w:t>n aard. De HvJ EU</w:t>
      </w:r>
      <w:r w:rsidRPr="006733F6">
        <w:t xml:space="preserve"> geeft dit mijns inziens aan door te vast te stellen dat </w:t>
      </w:r>
      <w:r w:rsidRPr="00E51E8B">
        <w:t>de lidstaten door de oprichting van de E</w:t>
      </w:r>
      <w:r>
        <w:t>U</w:t>
      </w:r>
      <w:r w:rsidRPr="00E51E8B">
        <w:t xml:space="preserve"> hun soevereiniteit, zij het op een beperkt terrein, hebben </w:t>
      </w:r>
      <w:r>
        <w:t>ingeperkt</w:t>
      </w:r>
      <w:r w:rsidRPr="00E51E8B">
        <w:t xml:space="preserve"> en een rechtstelsel in het leven hebben geroepen dat bindend is voor hun onderdanen en voor henzelf.</w:t>
      </w:r>
      <w:r w:rsidRPr="006733F6">
        <w:t xml:space="preserve"> Daarnaast geeft het HvJ</w:t>
      </w:r>
      <w:r>
        <w:t xml:space="preserve"> EU ook in het Costa/ENEL</w:t>
      </w:r>
      <w:r w:rsidRPr="006733F6">
        <w:t xml:space="preserve"> arrest aan dat burgers zich rechtstreeks op het gemeenschapsrecht kunnen beroepen (rechtstreekse werking van het gemeenschapsrecht). </w:t>
      </w:r>
      <w:r>
        <w:t xml:space="preserve">Voorgenoemde karakteristieke elementen, de rechtstreekse toepasselijkheid en de rechtstreekse werking van het EU- recht vloeiden reeds voort uit het Van Gend &amp; Loos arrest. Noviteit in het Costa/ENEL arrest is dat uit dit arrest het derde kenmerk van het EU- recht voortvloeit. Uit het Costa/ENEL arrest blijkt </w:t>
      </w:r>
      <w:r w:rsidRPr="006733F6">
        <w:t>dat sprake is van voorrang van het gemeenschapsrecht. Het HvJ</w:t>
      </w:r>
      <w:r>
        <w:t xml:space="preserve"> EU</w:t>
      </w:r>
      <w:r w:rsidRPr="006733F6">
        <w:t xml:space="preserve"> heeft in het Costa/</w:t>
      </w:r>
      <w:r>
        <w:t>ENEL</w:t>
      </w:r>
      <w:r w:rsidRPr="006733F6">
        <w:t xml:space="preserve"> arrest namelijk bepaald dat een lidstaat niet met een later afzijdig afgekondigd wettelijk voorschrift tegen die door hen zelf aanvaarde rechtsorde in kan gaan. Dit zou volgens het HvJ </w:t>
      </w:r>
      <w:r>
        <w:t xml:space="preserve">EU </w:t>
      </w:r>
      <w:r w:rsidRPr="006733F6">
        <w:t>de verwezenlijking van de doelstelling van de EU in gevaar brengen en tot een bij art 12 EG</w:t>
      </w:r>
      <w:r>
        <w:t>- verdrag</w:t>
      </w:r>
      <w:r w:rsidRPr="006733F6">
        <w:rPr>
          <w:rStyle w:val="FootnoteReference"/>
          <w:rFonts w:cs="Arial"/>
        </w:rPr>
        <w:footnoteReference w:id="46"/>
      </w:r>
      <w:r w:rsidRPr="006733F6">
        <w:t xml:space="preserve"> verboden discriminatie leiden.  </w:t>
      </w:r>
    </w:p>
    <w:p w:rsidR="00A64945" w:rsidRPr="006733F6" w:rsidRDefault="00A64945" w:rsidP="00AE333F">
      <w:pPr>
        <w:tabs>
          <w:tab w:val="num" w:pos="720"/>
        </w:tabs>
        <w:spacing w:before="100" w:beforeAutospacing="1" w:after="120" w:line="360" w:lineRule="auto"/>
        <w:jc w:val="both"/>
      </w:pPr>
      <w:r w:rsidRPr="006733F6">
        <w:t>Het vereiste van het EU- recht dat nationale regelgeving in beginsel niet strijdig dient te zijn met het EU- recht en daar dat wel het geval is, het EU- recht voorrang heeft,  is voor mij een reden om aan te nemen dat de Nederlands</w:t>
      </w:r>
      <w:r>
        <w:t xml:space="preserve">e wetgeving zo goed mogelijk </w:t>
      </w:r>
      <w:r w:rsidRPr="006733F6">
        <w:t xml:space="preserve">wordt afgestemd op de Europese. De wetgeving die op deze eilanden zou komen te gelden zal dan ook, zoals dat bij de Nederlandse wetgeving nu al het geval is, aansluiten op de Europese regelgeving en </w:t>
      </w:r>
      <w:r>
        <w:t xml:space="preserve">automatisch </w:t>
      </w:r>
      <w:r w:rsidRPr="006733F6">
        <w:t>meer raakvlakken vertonen met de Europese regelgeving. Voor de toekomstige autonome landen zou een dergelijke verandering van status veel her- en bijformulering van de huidige wetgeving impliceren. Wat de kans van slagen en het succes betreft van de statusswitch hebben de toekomstige bijzondere gemeenten dus als het ware al een voorstand ten opzichte van de toekomstige autonome landen. Ze vertrekken vanuit een gunstiger en stabielere uitgangssituatie.</w:t>
      </w:r>
    </w:p>
    <w:p w:rsidR="00A64945" w:rsidRDefault="00A64945" w:rsidP="00AE333F">
      <w:pPr>
        <w:tabs>
          <w:tab w:val="num" w:pos="720"/>
        </w:tabs>
        <w:spacing w:after="0" w:line="360" w:lineRule="auto"/>
        <w:jc w:val="both"/>
        <w:rPr>
          <w:b/>
          <w:i/>
          <w:sz w:val="18"/>
          <w:szCs w:val="18"/>
        </w:rPr>
      </w:pPr>
    </w:p>
    <w:p w:rsidR="00A64945" w:rsidRDefault="00A64945" w:rsidP="00AE333F">
      <w:pPr>
        <w:tabs>
          <w:tab w:val="num" w:pos="720"/>
        </w:tabs>
        <w:spacing w:after="0" w:line="360" w:lineRule="auto"/>
        <w:jc w:val="both"/>
        <w:rPr>
          <w:b/>
          <w:i/>
          <w:sz w:val="18"/>
          <w:szCs w:val="18"/>
        </w:rPr>
      </w:pPr>
    </w:p>
    <w:p w:rsidR="00A64945" w:rsidRPr="00E16E7B" w:rsidRDefault="00A64945" w:rsidP="00AE333F">
      <w:pPr>
        <w:tabs>
          <w:tab w:val="num" w:pos="720"/>
        </w:tabs>
        <w:spacing w:after="0" w:line="360" w:lineRule="auto"/>
        <w:jc w:val="both"/>
        <w:rPr>
          <w:b/>
          <w:i/>
          <w:sz w:val="18"/>
          <w:szCs w:val="18"/>
        </w:rPr>
      </w:pPr>
      <w:r w:rsidRPr="00E16E7B">
        <w:rPr>
          <w:b/>
          <w:i/>
          <w:sz w:val="18"/>
          <w:szCs w:val="18"/>
        </w:rPr>
        <w:t>Mijn mening</w:t>
      </w:r>
    </w:p>
    <w:p w:rsidR="00A64945" w:rsidRDefault="00A64945" w:rsidP="00AE333F">
      <w:pPr>
        <w:tabs>
          <w:tab w:val="num" w:pos="720"/>
        </w:tabs>
        <w:spacing w:after="0" w:line="360" w:lineRule="auto"/>
        <w:jc w:val="both"/>
      </w:pPr>
      <w:r w:rsidRPr="006733F6">
        <w:t xml:space="preserve">Uit het voorgaande kan geconcludeerd worden dat een statuswisseling van LGO- status naar UPG- status voor de toekomstige bijzondere gemeenten Bonaire, Saba en Sint Eustatius </w:t>
      </w:r>
      <w:r>
        <w:t xml:space="preserve">als een potentiële kans wordt gezien. </w:t>
      </w:r>
      <w:r w:rsidRPr="006733F6">
        <w:t>Het is ter sprake gekomen tijdens de miniconferentie over de toekomstige positie van Bonaire, Si</w:t>
      </w:r>
      <w:r>
        <w:t>nt Eustatius en Saba en ook in d</w:t>
      </w:r>
      <w:r w:rsidRPr="006733F6">
        <w:t xml:space="preserve">e Raad van State </w:t>
      </w:r>
      <w:r>
        <w:t xml:space="preserve">van het Koninkrijk </w:t>
      </w:r>
      <w:r w:rsidRPr="006733F6">
        <w:t>is er over nagedacht.</w:t>
      </w:r>
      <w:r>
        <w:t xml:space="preserve"> Betrokken partijen zien een statuswisseling voor de toekomstige bijzondere gemeenten van Nederland wel zitten.</w:t>
      </w:r>
    </w:p>
    <w:p w:rsidR="00A64945" w:rsidRDefault="00A64945" w:rsidP="00AE333F">
      <w:pPr>
        <w:tabs>
          <w:tab w:val="num" w:pos="720"/>
        </w:tabs>
        <w:spacing w:after="0" w:line="360" w:lineRule="auto"/>
        <w:jc w:val="both"/>
        <w:rPr>
          <w:color w:val="000000"/>
        </w:rPr>
      </w:pPr>
      <w:r>
        <w:t xml:space="preserve">Bij mij wekt dit de vraag op </w:t>
      </w:r>
      <w:r w:rsidRPr="006733F6">
        <w:t xml:space="preserve">of het tevens voor </w:t>
      </w:r>
      <w:r w:rsidRPr="006733F6">
        <w:rPr>
          <w:color w:val="000000"/>
        </w:rPr>
        <w:t xml:space="preserve">Curaçao geen goed moment </w:t>
      </w:r>
      <w:r>
        <w:rPr>
          <w:color w:val="000000"/>
        </w:rPr>
        <w:t>zou zijn</w:t>
      </w:r>
      <w:r w:rsidRPr="006733F6">
        <w:rPr>
          <w:color w:val="000000"/>
        </w:rPr>
        <w:t xml:space="preserve"> om te</w:t>
      </w:r>
      <w:r>
        <w:rPr>
          <w:color w:val="000000"/>
        </w:rPr>
        <w:t xml:space="preserve"> kiezen voor toetreding tot de ultraperifere g</w:t>
      </w:r>
      <w:r w:rsidRPr="006733F6">
        <w:rPr>
          <w:color w:val="000000"/>
        </w:rPr>
        <w:t>ebieden. Zou het nu al deze hervormingen gaande zijn, voor Curaçao niet een goede gelegenheid zijn de keuz</w:t>
      </w:r>
      <w:r>
        <w:rPr>
          <w:color w:val="000000"/>
        </w:rPr>
        <w:t xml:space="preserve">e te maken voor de UPG- </w:t>
      </w:r>
      <w:r w:rsidRPr="006733F6">
        <w:rPr>
          <w:color w:val="000000"/>
        </w:rPr>
        <w:t xml:space="preserve">status? </w:t>
      </w:r>
    </w:p>
    <w:p w:rsidR="00A64945" w:rsidRDefault="00A64945" w:rsidP="00AE333F">
      <w:pPr>
        <w:tabs>
          <w:tab w:val="num" w:pos="720"/>
        </w:tabs>
        <w:spacing w:after="0" w:line="360" w:lineRule="auto"/>
        <w:jc w:val="both"/>
      </w:pPr>
      <w:r w:rsidRPr="006733F6">
        <w:rPr>
          <w:color w:val="000000"/>
        </w:rPr>
        <w:t xml:space="preserve">Mijn eerste indruk is dat er </w:t>
      </w:r>
      <w:r w:rsidRPr="006733F6">
        <w:t xml:space="preserve">niet goed is nagedacht over deze vraag. Zoals hierboven al aan bod is gekomen, speculeert men over de haalbaarheid van de UPG- status voor de nieuw te vormen gemeenten Bonaire, Saba en Sint Eustatius. Voor deze gebieden zou een UPG- status gemakkelijker te halen zijn dan voor de toekomstige autonomen landen Sint Maarten, Curaçao en Aruba. </w:t>
      </w:r>
    </w:p>
    <w:p w:rsidR="00A64945" w:rsidRPr="006733F6" w:rsidRDefault="00A64945" w:rsidP="00AE333F">
      <w:pPr>
        <w:tabs>
          <w:tab w:val="num" w:pos="720"/>
        </w:tabs>
        <w:spacing w:after="0" w:line="360" w:lineRule="auto"/>
        <w:jc w:val="both"/>
      </w:pPr>
      <w:r w:rsidRPr="006733F6">
        <w:t xml:space="preserve">Met betrekking tot de toekomstige autonome landen lijkt men een punt te willen zetten achter de conclusie dat de overgang van de LGO- status naar een UPG- status een lastige zal zijn, aangezien deze landen dan het gehele EU- recht zouden moeten gaan overnemen. Deze conclusie vind ik voorbarig.  De Raad van State </w:t>
      </w:r>
      <w:r>
        <w:t xml:space="preserve">van het Koninkrijk </w:t>
      </w:r>
      <w:r w:rsidRPr="006733F6">
        <w:t>haakt</w:t>
      </w:r>
      <w:r>
        <w:t>e</w:t>
      </w:r>
      <w:r w:rsidRPr="006733F6">
        <w:t xml:space="preserve"> al af bij de haalbaarheid zonder de wenselijkheid in overweging te hebben genomen. </w:t>
      </w:r>
      <w:r>
        <w:t>Bovendien</w:t>
      </w:r>
      <w:r w:rsidRPr="006733F6">
        <w:t xml:space="preserve"> is het o</w:t>
      </w:r>
      <w:r>
        <w:t xml:space="preserve">ok nog maar de vraag of een UPG- </w:t>
      </w:r>
      <w:r w:rsidRPr="006733F6">
        <w:t xml:space="preserve">status ook daadwerkelijk zo </w:t>
      </w:r>
      <w:r>
        <w:t>moeilijk haalbaar</w:t>
      </w:r>
      <w:r w:rsidRPr="006733F6">
        <w:t xml:space="preserve"> is voor de toekomstige autonome landen (met name Curaçao waar ik me op toespits) als </w:t>
      </w:r>
      <w:r>
        <w:t xml:space="preserve">door de Raad van State van het Koninkrijk </w:t>
      </w:r>
      <w:r w:rsidRPr="006733F6">
        <w:t>wordt beweerd.</w:t>
      </w:r>
    </w:p>
    <w:p w:rsidR="00A64945" w:rsidRDefault="00A64945" w:rsidP="00AE333F">
      <w:pPr>
        <w:pStyle w:val="Heading3"/>
        <w:spacing w:before="0" w:line="360" w:lineRule="auto"/>
        <w:jc w:val="both"/>
      </w:pPr>
      <w:bookmarkStart w:id="15" w:name="_Toc286250312"/>
    </w:p>
    <w:p w:rsidR="00A64945" w:rsidRPr="001C57F0" w:rsidRDefault="00A64945" w:rsidP="00AE333F">
      <w:pPr>
        <w:pStyle w:val="Heading3"/>
        <w:spacing w:before="0" w:line="360" w:lineRule="auto"/>
        <w:jc w:val="both"/>
      </w:pPr>
      <w:bookmarkStart w:id="16" w:name="_Toc299634264"/>
      <w:r w:rsidRPr="001C57F0">
        <w:t>§1.1.5. Opvattingen betreffende een statuswisseling van LGO naar UPG voor Curaçao</w:t>
      </w:r>
      <w:bookmarkEnd w:id="15"/>
      <w:bookmarkEnd w:id="16"/>
      <w:r w:rsidRPr="001C57F0">
        <w:t xml:space="preserve"> </w:t>
      </w:r>
    </w:p>
    <w:p w:rsidR="00A64945" w:rsidRDefault="00A64945" w:rsidP="00AE333F">
      <w:pPr>
        <w:spacing w:after="0" w:line="360" w:lineRule="auto"/>
        <w:jc w:val="both"/>
        <w:rPr>
          <w:b/>
          <w:i/>
          <w:color w:val="000000"/>
          <w:sz w:val="18"/>
          <w:szCs w:val="18"/>
        </w:rPr>
      </w:pPr>
      <w:r>
        <w:rPr>
          <w:color w:val="000000"/>
        </w:rPr>
        <w:t>De</w:t>
      </w:r>
      <w:r w:rsidRPr="006733F6">
        <w:rPr>
          <w:color w:val="000000"/>
        </w:rPr>
        <w:t xml:space="preserve"> </w:t>
      </w:r>
      <w:r>
        <w:rPr>
          <w:color w:val="000000"/>
        </w:rPr>
        <w:t>meningen</w:t>
      </w:r>
      <w:r w:rsidRPr="006733F6">
        <w:rPr>
          <w:color w:val="000000"/>
        </w:rPr>
        <w:t xml:space="preserve"> over het onderwerp betreffende een eventuele statuswisseling</w:t>
      </w:r>
      <w:r>
        <w:rPr>
          <w:color w:val="000000"/>
        </w:rPr>
        <w:t xml:space="preserve"> zijn</w:t>
      </w:r>
      <w:r w:rsidRPr="006733F6">
        <w:rPr>
          <w:color w:val="000000"/>
        </w:rPr>
        <w:t xml:space="preserve"> verdeeld.</w:t>
      </w:r>
      <w:r>
        <w:rPr>
          <w:color w:val="000000"/>
        </w:rPr>
        <w:t xml:space="preserve"> Om dat te illustreren, komen in deze subparagraaf de opvattingen hierover van achtereenvolgens </w:t>
      </w:r>
      <w:r w:rsidRPr="0085178F">
        <w:rPr>
          <w:i/>
          <w:color w:val="000000"/>
        </w:rPr>
        <w:t>Kavelaars</w:t>
      </w:r>
      <w:r>
        <w:rPr>
          <w:color w:val="000000"/>
        </w:rPr>
        <w:t xml:space="preserve"> en </w:t>
      </w:r>
      <w:r w:rsidRPr="0085178F">
        <w:rPr>
          <w:i/>
          <w:color w:val="000000"/>
        </w:rPr>
        <w:t>Adeler</w:t>
      </w:r>
      <w:r>
        <w:rPr>
          <w:color w:val="000000"/>
        </w:rPr>
        <w:t>, onderzoekers van Rijksuniversiteit van Groningen en de Staatssecretaris van Financiën van de Nederlandse Antillen aan de orde.</w:t>
      </w:r>
    </w:p>
    <w:p w:rsidR="00A64945" w:rsidRDefault="00A64945" w:rsidP="00AE333F">
      <w:pPr>
        <w:spacing w:after="0" w:line="360" w:lineRule="auto"/>
        <w:jc w:val="both"/>
        <w:rPr>
          <w:b/>
          <w:i/>
          <w:color w:val="000000"/>
          <w:sz w:val="18"/>
          <w:szCs w:val="18"/>
        </w:rPr>
      </w:pPr>
    </w:p>
    <w:p w:rsidR="00A64945" w:rsidRPr="00D958A4" w:rsidRDefault="00A64945" w:rsidP="00AE333F">
      <w:pPr>
        <w:spacing w:after="0" w:line="360" w:lineRule="auto"/>
        <w:jc w:val="both"/>
        <w:rPr>
          <w:b/>
          <w:i/>
          <w:color w:val="000000"/>
          <w:sz w:val="18"/>
          <w:szCs w:val="18"/>
        </w:rPr>
      </w:pPr>
      <w:r w:rsidRPr="00D958A4">
        <w:rPr>
          <w:b/>
          <w:i/>
          <w:color w:val="000000"/>
          <w:sz w:val="18"/>
          <w:szCs w:val="18"/>
        </w:rPr>
        <w:t>Kavelaars en Adeler</w:t>
      </w:r>
    </w:p>
    <w:p w:rsidR="00A64945" w:rsidRDefault="00A64945" w:rsidP="00AE333F">
      <w:pPr>
        <w:spacing w:after="0" w:line="360" w:lineRule="auto"/>
        <w:jc w:val="both"/>
        <w:rPr>
          <w:color w:val="000000"/>
        </w:rPr>
      </w:pPr>
      <w:r w:rsidRPr="006733F6">
        <w:rPr>
          <w:i/>
          <w:color w:val="000000"/>
        </w:rPr>
        <w:t xml:space="preserve">Kavelaars </w:t>
      </w:r>
      <w:r w:rsidRPr="006733F6">
        <w:rPr>
          <w:color w:val="000000"/>
        </w:rPr>
        <w:t xml:space="preserve">en </w:t>
      </w:r>
      <w:r w:rsidRPr="006733F6">
        <w:rPr>
          <w:i/>
          <w:color w:val="000000"/>
        </w:rPr>
        <w:t>Adeler</w:t>
      </w:r>
      <w:r w:rsidRPr="006733F6">
        <w:rPr>
          <w:color w:val="000000"/>
        </w:rPr>
        <w:t xml:space="preserve"> hebben</w:t>
      </w:r>
      <w:r>
        <w:rPr>
          <w:color w:val="000000"/>
        </w:rPr>
        <w:t xml:space="preserve"> in een bijdrage in het Weekblad voor fiscaal recht</w:t>
      </w:r>
      <w:r w:rsidRPr="006733F6">
        <w:rPr>
          <w:rStyle w:val="FootnoteReference"/>
          <w:rFonts w:cs="Arial"/>
          <w:color w:val="000000"/>
        </w:rPr>
        <w:footnoteReference w:id="47"/>
      </w:r>
      <w:r w:rsidRPr="006733F6">
        <w:rPr>
          <w:color w:val="000000"/>
        </w:rPr>
        <w:t xml:space="preserve"> aandacht besteed aan deze materie. Daarin gaan zij in op de UPG- status als alternatief. Zij zijn van oordeel dat de UPG- status geen aanbeveling is voor de Nederlandse Antillen en Aruba, omdat dit een veel te nauw </w:t>
      </w:r>
      <w:r w:rsidRPr="006733F6">
        <w:rPr>
          <w:color w:val="000000"/>
        </w:rPr>
        <w:lastRenderedPageBreak/>
        <w:t>keurslijf zou opleveren. De gebieden zullen dan –uitgezonderd het terrein van de staatssteun</w:t>
      </w:r>
      <w:r w:rsidRPr="006733F6">
        <w:rPr>
          <w:rStyle w:val="FootnoteReference"/>
          <w:rFonts w:cs="Arial"/>
          <w:color w:val="000000"/>
        </w:rPr>
        <w:footnoteReference w:id="48"/>
      </w:r>
      <w:r w:rsidRPr="006733F6">
        <w:rPr>
          <w:color w:val="000000"/>
        </w:rPr>
        <w:t xml:space="preserve">- geheel moeten voldoen aan het EU- recht en met name aan de vrije verkeersbepalingen, inclusief de daarbij behorende rechtspraak. </w:t>
      </w:r>
      <w:r w:rsidRPr="006733F6">
        <w:rPr>
          <w:i/>
          <w:color w:val="000000"/>
        </w:rPr>
        <w:t>Kavelaars</w:t>
      </w:r>
      <w:r w:rsidRPr="006733F6">
        <w:rPr>
          <w:color w:val="000000"/>
        </w:rPr>
        <w:t xml:space="preserve"> en </w:t>
      </w:r>
      <w:r w:rsidRPr="006733F6">
        <w:rPr>
          <w:i/>
          <w:color w:val="000000"/>
        </w:rPr>
        <w:t>Adeler</w:t>
      </w:r>
      <w:r w:rsidRPr="006733F6">
        <w:rPr>
          <w:color w:val="000000"/>
        </w:rPr>
        <w:t xml:space="preserve"> stellen dat het  verwisselen van de LGO- status voor de UPG- status naar alle waarschijnlijkheid eerder belemmerend dan bevorder</w:t>
      </w:r>
      <w:r>
        <w:rPr>
          <w:color w:val="000000"/>
        </w:rPr>
        <w:t>end</w:t>
      </w:r>
      <w:r w:rsidRPr="006733F6">
        <w:rPr>
          <w:color w:val="000000"/>
        </w:rPr>
        <w:t xml:space="preserve"> zal werken op de sociale, economische en maatschappelijke ontwikkeling van de gebieden. Hoe deze belemmering op de sociale, economische en maatschappelijke ontwikkeling zich </w:t>
      </w:r>
      <w:r>
        <w:rPr>
          <w:color w:val="000000"/>
        </w:rPr>
        <w:t>dan zou</w:t>
      </w:r>
      <w:r w:rsidRPr="006733F6">
        <w:rPr>
          <w:color w:val="000000"/>
        </w:rPr>
        <w:t xml:space="preserve"> uiten, daar gaan zij echter verder niet op in.</w:t>
      </w:r>
      <w:r>
        <w:rPr>
          <w:rStyle w:val="FootnoteReference"/>
          <w:rFonts w:cs="Arial"/>
          <w:color w:val="000000"/>
        </w:rPr>
        <w:footnoteReference w:id="49"/>
      </w:r>
      <w:r w:rsidRPr="006733F6">
        <w:rPr>
          <w:color w:val="000000"/>
        </w:rPr>
        <w:t xml:space="preserve"> </w:t>
      </w:r>
    </w:p>
    <w:p w:rsidR="00A64945" w:rsidRPr="006733F6" w:rsidRDefault="00A64945" w:rsidP="00AE333F">
      <w:pPr>
        <w:spacing w:after="0" w:line="360" w:lineRule="auto"/>
        <w:jc w:val="both"/>
      </w:pPr>
      <w:r w:rsidRPr="006733F6">
        <w:rPr>
          <w:color w:val="000000"/>
        </w:rPr>
        <w:t xml:space="preserve">Ik wil hier een kanttekening bij plaatsen. Zoals </w:t>
      </w:r>
      <w:r w:rsidRPr="006733F6">
        <w:rPr>
          <w:i/>
          <w:color w:val="000000"/>
        </w:rPr>
        <w:t xml:space="preserve">Kavelaars </w:t>
      </w:r>
      <w:r w:rsidRPr="006733F6">
        <w:rPr>
          <w:color w:val="000000"/>
        </w:rPr>
        <w:t xml:space="preserve">en </w:t>
      </w:r>
      <w:r w:rsidRPr="006733F6">
        <w:rPr>
          <w:i/>
          <w:color w:val="000000"/>
        </w:rPr>
        <w:t>Adeler</w:t>
      </w:r>
      <w:r w:rsidRPr="006733F6">
        <w:rPr>
          <w:color w:val="000000"/>
        </w:rPr>
        <w:t xml:space="preserve"> dit stellen, roept de vraag op vanuit welk perspectief </w:t>
      </w:r>
      <w:r w:rsidRPr="006733F6">
        <w:rPr>
          <w:i/>
          <w:color w:val="000000"/>
        </w:rPr>
        <w:t>Kavelaars</w:t>
      </w:r>
      <w:r w:rsidRPr="006733F6">
        <w:rPr>
          <w:color w:val="000000"/>
        </w:rPr>
        <w:t xml:space="preserve"> en </w:t>
      </w:r>
      <w:r w:rsidRPr="006733F6">
        <w:rPr>
          <w:i/>
          <w:color w:val="000000"/>
        </w:rPr>
        <w:t>Adeler</w:t>
      </w:r>
      <w:r w:rsidRPr="006733F6">
        <w:rPr>
          <w:color w:val="000000"/>
        </w:rPr>
        <w:t xml:space="preserve"> dit hebben bekeken. Het EU-</w:t>
      </w:r>
      <w:r>
        <w:rPr>
          <w:color w:val="000000"/>
        </w:rPr>
        <w:t xml:space="preserve"> </w:t>
      </w:r>
      <w:r w:rsidRPr="006733F6">
        <w:rPr>
          <w:color w:val="000000"/>
        </w:rPr>
        <w:t>recht heeft namelijk ook goede kanten, met name voor onderdanen. Te denken valt hierbij bijvoorbeeld aan de verkeersvrijheden. Het vrije verkeer van personen, diens</w:t>
      </w:r>
      <w:r>
        <w:rPr>
          <w:color w:val="000000"/>
        </w:rPr>
        <w:t>ten, goederen en kapitaal wordt</w:t>
      </w:r>
      <w:r w:rsidRPr="006733F6">
        <w:rPr>
          <w:color w:val="000000"/>
        </w:rPr>
        <w:t xml:space="preserve"> door en binnen de EU gewaarborgd.</w:t>
      </w:r>
      <w:r w:rsidRPr="006733F6">
        <w:rPr>
          <w:rStyle w:val="FootnoteReference"/>
          <w:rFonts w:cs="Arial"/>
          <w:color w:val="000000"/>
        </w:rPr>
        <w:footnoteReference w:id="50"/>
      </w:r>
      <w:r w:rsidRPr="006733F6">
        <w:rPr>
          <w:color w:val="000000"/>
        </w:rPr>
        <w:t xml:space="preserve"> </w:t>
      </w:r>
      <w:r w:rsidRPr="006733F6">
        <w:t>De Verdragen bevatten diverse geboden, verboden maar ook rechten om dit vrije verkeer ook daadwerkelijk te waarborgen.</w:t>
      </w:r>
      <w:r w:rsidRPr="006733F6">
        <w:rPr>
          <w:rStyle w:val="FootnoteReference"/>
          <w:rFonts w:cs="Arial"/>
        </w:rPr>
        <w:footnoteReference w:id="51"/>
      </w:r>
      <w:r w:rsidRPr="006733F6">
        <w:t xml:space="preserve"> </w:t>
      </w:r>
      <w:r w:rsidRPr="006733F6">
        <w:rPr>
          <w:color w:val="000000"/>
        </w:rPr>
        <w:t>Daarnaast is in artikel 18 VwEU een algemeen verbod betreffende discriminatie naar nationaliteit opgenomen. Een ander voorbeeld is het Europees Verdrag voor de Rechten van de Mens (</w:t>
      </w:r>
      <w:r>
        <w:rPr>
          <w:color w:val="000000"/>
        </w:rPr>
        <w:t xml:space="preserve">hierna </w:t>
      </w:r>
      <w:r w:rsidRPr="006733F6">
        <w:rPr>
          <w:color w:val="000000"/>
        </w:rPr>
        <w:t>EVRM). Het EVRM regelt de mensen- en burgerrechten voor alle inwoners van de verdragsluitende staten.</w:t>
      </w:r>
      <w:r w:rsidRPr="006733F6">
        <w:t xml:space="preserve"> Door te zeggen dat de UPG- status geen aanbeveling is voor de N</w:t>
      </w:r>
      <w:r>
        <w:t xml:space="preserve">ederlandse Antillen </w:t>
      </w:r>
      <w:r w:rsidRPr="006733F6">
        <w:t xml:space="preserve">en Aruba, omdat dit een veel te nauw keurslijf zal opleveren, benadrukken </w:t>
      </w:r>
      <w:r w:rsidRPr="006733F6">
        <w:rPr>
          <w:i/>
        </w:rPr>
        <w:t>Kavelaars en Adeler</w:t>
      </w:r>
      <w:r w:rsidRPr="006733F6">
        <w:t xml:space="preserve"> mijns inziens enkel de geboden en de verboden die een onderwerping aan EU- recht met zich meebrengt, terwijl hier aan de andere kant ook wezenlijke vrijheden en rechten tegenoverstaan waardoor burgers van de Unie te</w:t>
      </w:r>
      <w:r>
        <w:t xml:space="preserve">n opzichte van degenen die geen </w:t>
      </w:r>
      <w:r w:rsidRPr="006733F6">
        <w:t xml:space="preserve">burger van de Unie zijn, bevoorrecht zijn. </w:t>
      </w:r>
      <w:r>
        <w:t xml:space="preserve">Verkeersvrijheden hebben twee kanten. Aan de ene kant heb je de personen die een beroep wensen te doen op de verkeersvrijheden en aan de kant degenen die dat moeten respecteren. </w:t>
      </w:r>
      <w:r w:rsidRPr="006733F6">
        <w:t>Ik denk dan ook niet dat de lidstaten de verkeersvrijheden bijvoorbeeld per definitie als een probleem ervaren</w:t>
      </w:r>
      <w:r>
        <w:t>.</w:t>
      </w:r>
      <w:r w:rsidRPr="006733F6">
        <w:t xml:space="preserve"> </w:t>
      </w:r>
      <w:r>
        <w:t xml:space="preserve">Het EU- recht brengt veel verplichtingen met zich mee, maar aan de andere kant </w:t>
      </w:r>
      <w:r w:rsidRPr="006733F6">
        <w:t xml:space="preserve">kunnen de burgers van de landen van de Unie </w:t>
      </w:r>
      <w:r>
        <w:t>d</w:t>
      </w:r>
      <w:r w:rsidRPr="006733F6">
        <w:t xml:space="preserve">ankzij de EU en de Verdragen </w:t>
      </w:r>
      <w:r>
        <w:t xml:space="preserve">bijvoorbeeld </w:t>
      </w:r>
      <w:r w:rsidRPr="006733F6">
        <w:t xml:space="preserve">overal in Europa reizen, wonen en verblijven. Een ander voorbeeld is </w:t>
      </w:r>
      <w:r w:rsidRPr="006733F6">
        <w:lastRenderedPageBreak/>
        <w:t>artikel 53 VwEU. Om de vrijheid van vestiging en dienstverlening te vergemakkelijken voorzien de Verdragen in een systeem van wederzijdse erkenning van de in ieder land voor de toegang tot beroepsactiviteiten vereiste diploma’s en andere titels. Dit door middel van richtlijnen die door het Europees Parlement en de Raad</w:t>
      </w:r>
      <w:r>
        <w:t xml:space="preserve"> EU</w:t>
      </w:r>
      <w:r w:rsidRPr="006733F6">
        <w:t xml:space="preserve"> vast worden gesteld.</w:t>
      </w:r>
      <w:r w:rsidRPr="006733F6">
        <w:rPr>
          <w:rStyle w:val="FootnoteReference"/>
          <w:rFonts w:cs="Arial"/>
        </w:rPr>
        <w:t xml:space="preserve"> </w:t>
      </w:r>
      <w:r w:rsidRPr="006733F6">
        <w:rPr>
          <w:rStyle w:val="FootnoteReference"/>
          <w:rFonts w:cs="Arial"/>
        </w:rPr>
        <w:footnoteReference w:id="52"/>
      </w:r>
      <w:r w:rsidRPr="006733F6">
        <w:t xml:space="preserve"> </w:t>
      </w:r>
      <w:r>
        <w:t xml:space="preserve">Je hoort de lidstaten toch ook niet doorlopend klagen dat zij het EU- recht als enkel en alleen als belemmerend ervaren omdat het voor hen een te strak keurslijf oplevert? </w:t>
      </w:r>
      <w:r w:rsidRPr="006733F6">
        <w:t xml:space="preserve">Waarom zou het van toepassing worden van het gehele EU- recht bij de aanname van de UPG- status dan </w:t>
      </w:r>
      <w:r>
        <w:t xml:space="preserve">wel </w:t>
      </w:r>
      <w:r w:rsidRPr="006733F6">
        <w:t>als enkel problematisch voor de N</w:t>
      </w:r>
      <w:r>
        <w:t xml:space="preserve">ederlandse </w:t>
      </w:r>
      <w:r w:rsidRPr="006733F6">
        <w:t>A</w:t>
      </w:r>
      <w:r>
        <w:t>ntillen</w:t>
      </w:r>
      <w:r w:rsidRPr="006733F6">
        <w:t xml:space="preserve"> en Aruba moeten worden beschouwd?</w:t>
      </w:r>
      <w:r>
        <w:t xml:space="preserve"> Als je je ergens aan committeert dan kleven daar nu eenmaal ook verplichtingen aan, maar het hebben van verplichtingen is niet per definitie slecht. Daartegenover staan immers bepaalde privileges. En het kan ook zo zijn dat de uitruil van de verplichtingen die een lidstaat opgelegd worden maatschappelijk gezien meer waard is dan wat een lidstaat op heeft moeten geven. In zo een geval is een lidstaat niet slechter af, maar juist beter. Uiteindelijk dient er dus een afweging te  worden gemaakt of degene die onderhevig wordt aan het EU- recht, rekening houdende met zowel de verplichtingen die hieruit voortvloeien als rechten die aan het EU- recht ontleend kunnen worden,  er in welvaartstermen</w:t>
      </w:r>
      <w:r>
        <w:rPr>
          <w:rStyle w:val="FootnoteReference"/>
          <w:rFonts w:cs="Arial"/>
        </w:rPr>
        <w:footnoteReference w:id="53"/>
      </w:r>
      <w:r>
        <w:t xml:space="preserve"> op vooruit zal gaan.  </w:t>
      </w:r>
    </w:p>
    <w:p w:rsidR="00A64945" w:rsidRDefault="00A64945" w:rsidP="00AE333F">
      <w:pPr>
        <w:spacing w:after="0" w:line="360" w:lineRule="auto"/>
        <w:jc w:val="both"/>
        <w:rPr>
          <w:b/>
          <w:i/>
          <w:color w:val="000000"/>
          <w:sz w:val="18"/>
          <w:szCs w:val="18"/>
        </w:rPr>
      </w:pPr>
    </w:p>
    <w:p w:rsidR="00A64945" w:rsidRPr="009C11DD" w:rsidRDefault="00A64945" w:rsidP="00AE333F">
      <w:pPr>
        <w:spacing w:after="0" w:line="360" w:lineRule="auto"/>
        <w:jc w:val="both"/>
        <w:rPr>
          <w:b/>
          <w:i/>
          <w:color w:val="000000"/>
          <w:sz w:val="18"/>
          <w:szCs w:val="18"/>
        </w:rPr>
      </w:pPr>
      <w:r w:rsidRPr="009C11DD">
        <w:rPr>
          <w:b/>
          <w:i/>
          <w:color w:val="000000"/>
          <w:sz w:val="18"/>
          <w:szCs w:val="18"/>
        </w:rPr>
        <w:t xml:space="preserve">Onderzoekers </w:t>
      </w:r>
      <w:r>
        <w:rPr>
          <w:b/>
          <w:i/>
          <w:color w:val="000000"/>
          <w:sz w:val="18"/>
          <w:szCs w:val="18"/>
        </w:rPr>
        <w:t xml:space="preserve">van de Erasmus universiteit Rotterdam en de </w:t>
      </w:r>
      <w:r w:rsidRPr="009C11DD">
        <w:rPr>
          <w:b/>
          <w:i/>
          <w:color w:val="000000"/>
          <w:sz w:val="18"/>
          <w:szCs w:val="18"/>
        </w:rPr>
        <w:t>Rijksuniversiteit Groningen</w:t>
      </w:r>
    </w:p>
    <w:p w:rsidR="00A64945" w:rsidRPr="006733F6" w:rsidRDefault="00A64945" w:rsidP="00AE333F">
      <w:pPr>
        <w:spacing w:after="0" w:line="360" w:lineRule="auto"/>
        <w:jc w:val="both"/>
        <w:rPr>
          <w:color w:val="000000"/>
        </w:rPr>
      </w:pPr>
      <w:r w:rsidRPr="006733F6">
        <w:rPr>
          <w:color w:val="000000"/>
        </w:rPr>
        <w:t>Onderzoekers</w:t>
      </w:r>
      <w:r>
        <w:rPr>
          <w:color w:val="000000"/>
        </w:rPr>
        <w:t xml:space="preserve"> van de Erasmus universiteit Rotterdam</w:t>
      </w:r>
      <w:r>
        <w:rPr>
          <w:rStyle w:val="FootnoteReference"/>
          <w:rFonts w:cs="Arial"/>
          <w:color w:val="000000"/>
        </w:rPr>
        <w:footnoteReference w:id="54"/>
      </w:r>
      <w:r>
        <w:rPr>
          <w:color w:val="000000"/>
        </w:rPr>
        <w:t xml:space="preserve"> en </w:t>
      </w:r>
      <w:r w:rsidRPr="006733F6">
        <w:rPr>
          <w:color w:val="000000"/>
        </w:rPr>
        <w:t>van de Rijksuniversiteit van Groningen</w:t>
      </w:r>
      <w:r w:rsidRPr="006733F6">
        <w:rPr>
          <w:rStyle w:val="FootnoteReference"/>
          <w:rFonts w:cs="Arial"/>
          <w:color w:val="000000"/>
        </w:rPr>
        <w:footnoteReference w:id="55"/>
      </w:r>
      <w:r w:rsidRPr="006733F6">
        <w:rPr>
          <w:color w:val="000000"/>
        </w:rPr>
        <w:t xml:space="preserve"> hebben in opdracht van het Ministerie van Binnenlandse Zaken en Koninkrijksrelaties onderzoek</w:t>
      </w:r>
      <w:r w:rsidRPr="006733F6">
        <w:rPr>
          <w:rStyle w:val="FootnoteReference"/>
          <w:rFonts w:cs="Arial"/>
          <w:color w:val="000000"/>
        </w:rPr>
        <w:footnoteReference w:id="56"/>
      </w:r>
      <w:r w:rsidRPr="006733F6">
        <w:rPr>
          <w:color w:val="000000"/>
        </w:rPr>
        <w:t xml:space="preserve"> gedaan naar de relaties tussen de Nederlandse Antillen en de Europese Unie. </w:t>
      </w:r>
      <w:r>
        <w:rPr>
          <w:color w:val="000000"/>
        </w:rPr>
        <w:t xml:space="preserve">De onderzoeker van de </w:t>
      </w:r>
      <w:r>
        <w:rPr>
          <w:color w:val="000000"/>
        </w:rPr>
        <w:lastRenderedPageBreak/>
        <w:t>Erasmus universiteit hebben onderzoek gedaan naar de economische gevolgen van de status van ultraperifeer gebied voor de Nederlandse Antillen en Aruba, terwijl de onderzoekers van de rijksuniversiteit van Groningen de juridische implicaties van de UPG- status voor de eilandgebieden van de Nederlandse Antillen en Aruba hebben onderzocht. De onderzoekers</w:t>
      </w:r>
      <w:r w:rsidRPr="006733F6">
        <w:rPr>
          <w:color w:val="000000"/>
        </w:rPr>
        <w:t xml:space="preserve"> komen tot de conclusie dat het voor de Nederlandse Antillen en Aruba niet verstandig is om volledig over te stappen op Europees recht. Ook zij zijn van mening dat dit de eilanden op onnodige economische achterstand zal brengen.</w:t>
      </w:r>
    </w:p>
    <w:p w:rsidR="00A64945" w:rsidRDefault="00A64945" w:rsidP="007E35A9">
      <w:pPr>
        <w:spacing w:before="100" w:beforeAutospacing="1" w:after="120" w:line="360" w:lineRule="auto"/>
        <w:jc w:val="both"/>
      </w:pPr>
      <w:r w:rsidRPr="006733F6">
        <w:rPr>
          <w:color w:val="000000"/>
        </w:rPr>
        <w:t xml:space="preserve">Deze economische achterstand zal zich volgens de onderzoekers op een aantal manieren manifesteren.  De onderzoekers zijn onder andere van mening dat de fiscale voordelen die de eilanden nu nog aantrekkelijk maken voor bedrijven en toeristen op losse schroeven zullen komen te staan. </w:t>
      </w:r>
      <w:r>
        <w:rPr>
          <w:color w:val="000000"/>
        </w:rPr>
        <w:t>Onder de</w:t>
      </w:r>
      <w:r w:rsidRPr="006733F6">
        <w:rPr>
          <w:color w:val="000000"/>
        </w:rPr>
        <w:t xml:space="preserve"> huidige LGO</w:t>
      </w:r>
      <w:r>
        <w:rPr>
          <w:color w:val="000000"/>
        </w:rPr>
        <w:t>- status</w:t>
      </w:r>
      <w:r w:rsidRPr="006733F6">
        <w:rPr>
          <w:color w:val="000000"/>
        </w:rPr>
        <w:t xml:space="preserve"> </w:t>
      </w:r>
      <w:r>
        <w:rPr>
          <w:color w:val="000000"/>
        </w:rPr>
        <w:t xml:space="preserve">kunnen </w:t>
      </w:r>
      <w:r w:rsidRPr="006733F6">
        <w:rPr>
          <w:color w:val="000000"/>
        </w:rPr>
        <w:t>goederen uit de regio, bijvoorbeeld uit Venezuela,  na een kleine bewerking op  de eilanden, heffingsvrij</w:t>
      </w:r>
      <w:r w:rsidRPr="006733F6">
        <w:rPr>
          <w:rStyle w:val="FootnoteReference"/>
          <w:rFonts w:cs="Arial"/>
          <w:color w:val="000000"/>
        </w:rPr>
        <w:footnoteReference w:id="57"/>
      </w:r>
      <w:r w:rsidRPr="006733F6">
        <w:rPr>
          <w:color w:val="000000"/>
        </w:rPr>
        <w:t xml:space="preserve">  worden geëxporteerd naar de EU. Introductie van het UPG</w:t>
      </w:r>
      <w:r>
        <w:rPr>
          <w:color w:val="000000"/>
        </w:rPr>
        <w:t xml:space="preserve">- </w:t>
      </w:r>
      <w:r w:rsidRPr="006733F6">
        <w:rPr>
          <w:color w:val="000000"/>
        </w:rPr>
        <w:t xml:space="preserve">regime zal volgens de onderzoekers tot gevolg hebben dat voor </w:t>
      </w:r>
      <w:r>
        <w:rPr>
          <w:color w:val="000000"/>
        </w:rPr>
        <w:t>basis</w:t>
      </w:r>
      <w:r w:rsidRPr="006733F6">
        <w:rPr>
          <w:color w:val="000000"/>
        </w:rPr>
        <w:t xml:space="preserve">levensmiddelen </w:t>
      </w:r>
      <w:r>
        <w:rPr>
          <w:color w:val="000000"/>
        </w:rPr>
        <w:t xml:space="preserve">die </w:t>
      </w:r>
      <w:r w:rsidRPr="006733F6">
        <w:rPr>
          <w:color w:val="000000"/>
        </w:rPr>
        <w:t>uit de Verenigde Staten en Venezuela</w:t>
      </w:r>
      <w:r>
        <w:rPr>
          <w:color w:val="000000"/>
        </w:rPr>
        <w:t xml:space="preserve"> ingevoerd worden in de EU</w:t>
      </w:r>
      <w:r w:rsidRPr="006733F6">
        <w:rPr>
          <w:color w:val="000000"/>
        </w:rPr>
        <w:t xml:space="preserve"> hogere invoerrechten zullen moeten worden betaald. Dit zou een negatieve uitwerking op de handelsbetrekkingen tussen deze gebieden tot gevolg </w:t>
      </w:r>
      <w:r>
        <w:rPr>
          <w:color w:val="000000"/>
        </w:rPr>
        <w:t xml:space="preserve">kunnen </w:t>
      </w:r>
      <w:r w:rsidRPr="006733F6">
        <w:rPr>
          <w:color w:val="000000"/>
        </w:rPr>
        <w:t>hebben. Tenslotte  kunnen strengere EU-</w:t>
      </w:r>
      <w:r>
        <w:rPr>
          <w:color w:val="000000"/>
        </w:rPr>
        <w:t xml:space="preserve"> </w:t>
      </w:r>
      <w:r w:rsidRPr="006733F6">
        <w:rPr>
          <w:color w:val="000000"/>
        </w:rPr>
        <w:t>eisen aan milieu</w:t>
      </w:r>
      <w:r>
        <w:rPr>
          <w:color w:val="000000"/>
        </w:rPr>
        <w:t>-</w:t>
      </w:r>
      <w:r w:rsidRPr="006733F6">
        <w:rPr>
          <w:color w:val="000000"/>
        </w:rPr>
        <w:t xml:space="preserve"> en arbeidsomstandigheden het voortbestaan van de economisch belangrijke olieraffinaderijen op Curaçao en Aruba in gevaar brengen. </w:t>
      </w:r>
      <w:r w:rsidRPr="006733F6">
        <w:t xml:space="preserve">Het Europese recht stelt namelijk strengere eisen op het terrein van milieu en veiligheid op de werkvloer dan het Antilliaanse en Arubaanse recht. Dit geldt niet alleen voor de olieraffinaderijen, maar </w:t>
      </w:r>
      <w:r>
        <w:t xml:space="preserve">kan </w:t>
      </w:r>
      <w:r w:rsidRPr="006733F6">
        <w:t>ook op andere terreinen een rol gaan spelen, te denken valt aan de situatie in gevangenissen.</w:t>
      </w:r>
    </w:p>
    <w:p w:rsidR="00A64945" w:rsidRDefault="00A64945" w:rsidP="00AE333F">
      <w:pPr>
        <w:spacing w:after="0" w:line="360" w:lineRule="auto"/>
        <w:rPr>
          <w:rFonts w:cs="Times New Roman"/>
          <w:b/>
          <w:i/>
          <w:sz w:val="18"/>
          <w:szCs w:val="18"/>
          <w:lang w:eastAsia="nl-NL"/>
        </w:rPr>
      </w:pPr>
    </w:p>
    <w:p w:rsidR="00A64945" w:rsidRPr="009E6F2F" w:rsidRDefault="00A64945" w:rsidP="00AE333F">
      <w:pPr>
        <w:spacing w:after="0" w:line="360" w:lineRule="auto"/>
        <w:rPr>
          <w:rFonts w:cs="Times New Roman"/>
          <w:b/>
          <w:i/>
          <w:sz w:val="18"/>
          <w:szCs w:val="18"/>
          <w:lang w:eastAsia="nl-NL"/>
        </w:rPr>
      </w:pPr>
      <w:r w:rsidRPr="009E6F2F">
        <w:rPr>
          <w:rFonts w:cs="Times New Roman"/>
          <w:b/>
          <w:i/>
          <w:sz w:val="18"/>
          <w:szCs w:val="18"/>
          <w:lang w:eastAsia="nl-NL"/>
        </w:rPr>
        <w:t>Staatsecretaris van Financiën van de Nederlandse Antillen</w:t>
      </w:r>
    </w:p>
    <w:p w:rsidR="00A64945" w:rsidRPr="006733F6" w:rsidRDefault="00A64945" w:rsidP="00AE333F">
      <w:pPr>
        <w:spacing w:after="0" w:line="360" w:lineRule="auto"/>
        <w:rPr>
          <w:rFonts w:cs="Times New Roman"/>
          <w:lang w:eastAsia="nl-NL"/>
        </w:rPr>
      </w:pPr>
      <w:r w:rsidRPr="006733F6">
        <w:rPr>
          <w:rFonts w:cs="Times New Roman"/>
          <w:lang w:eastAsia="nl-NL"/>
        </w:rPr>
        <w:t xml:space="preserve">Ook de </w:t>
      </w:r>
      <w:r>
        <w:rPr>
          <w:rFonts w:cs="Times New Roman"/>
          <w:lang w:eastAsia="nl-NL"/>
        </w:rPr>
        <w:t>oud- s</w:t>
      </w:r>
      <w:r w:rsidRPr="006733F6">
        <w:rPr>
          <w:rFonts w:cs="Times New Roman"/>
          <w:lang w:eastAsia="nl-NL"/>
        </w:rPr>
        <w:t>taatssecre</w:t>
      </w:r>
      <w:r>
        <w:rPr>
          <w:rFonts w:cs="Times New Roman"/>
          <w:lang w:eastAsia="nl-NL"/>
        </w:rPr>
        <w:t xml:space="preserve">taris van Financiën (hierna:  oud- </w:t>
      </w:r>
      <w:r w:rsidRPr="006733F6">
        <w:rPr>
          <w:rFonts w:cs="Times New Roman"/>
          <w:lang w:eastAsia="nl-NL"/>
        </w:rPr>
        <w:t>Staatssecretaris</w:t>
      </w:r>
      <w:r>
        <w:rPr>
          <w:rFonts w:cs="Times New Roman"/>
          <w:lang w:eastAsia="nl-NL"/>
        </w:rPr>
        <w:t>) van de Nederlandse Antillen was</w:t>
      </w:r>
      <w:r w:rsidRPr="006733F6">
        <w:rPr>
          <w:rFonts w:cs="Times New Roman"/>
          <w:lang w:eastAsia="nl-NL"/>
        </w:rPr>
        <w:t xml:space="preserve"> van mening dat het aannemen van de UPG- status voor de Nederlandse Antillen geen verstandige keuze </w:t>
      </w:r>
      <w:r>
        <w:rPr>
          <w:rFonts w:cs="Times New Roman"/>
          <w:lang w:eastAsia="nl-NL"/>
        </w:rPr>
        <w:t>zou zijn</w:t>
      </w:r>
      <w:r w:rsidRPr="006733F6">
        <w:rPr>
          <w:rFonts w:cs="Times New Roman"/>
          <w:lang w:eastAsia="nl-NL"/>
        </w:rPr>
        <w:t xml:space="preserve">.  Volgens de </w:t>
      </w:r>
      <w:r>
        <w:rPr>
          <w:rFonts w:cs="Times New Roman"/>
          <w:lang w:eastAsia="nl-NL"/>
        </w:rPr>
        <w:t xml:space="preserve">oud- </w:t>
      </w:r>
      <w:r w:rsidRPr="006733F6">
        <w:rPr>
          <w:rFonts w:cs="Times New Roman"/>
          <w:lang w:eastAsia="nl-NL"/>
        </w:rPr>
        <w:t>Staatssecretaris is de UPG een dode mus voor de Nederlandse Antillen en dient de Nederlandse Antillen door te gaan met de regio.</w:t>
      </w:r>
      <w:r w:rsidRPr="006733F6">
        <w:rPr>
          <w:rStyle w:val="FootnoteReference"/>
          <w:lang w:eastAsia="nl-NL"/>
        </w:rPr>
        <w:footnoteReference w:id="58"/>
      </w:r>
    </w:p>
    <w:p w:rsidR="00A64945" w:rsidRDefault="00A64945" w:rsidP="00AE333F">
      <w:pPr>
        <w:spacing w:before="100" w:beforeAutospacing="1" w:after="120" w:line="360" w:lineRule="auto"/>
        <w:jc w:val="both"/>
        <w:rPr>
          <w:rFonts w:cs="Times New Roman"/>
          <w:lang w:eastAsia="nl-NL"/>
        </w:rPr>
      </w:pPr>
      <w:r w:rsidRPr="006733F6">
        <w:rPr>
          <w:rFonts w:cs="Times New Roman"/>
          <w:lang w:eastAsia="nl-NL"/>
        </w:rPr>
        <w:t xml:space="preserve"> Het belangrijkste argu</w:t>
      </w:r>
      <w:r>
        <w:rPr>
          <w:rFonts w:cs="Times New Roman"/>
          <w:lang w:eastAsia="nl-NL"/>
        </w:rPr>
        <w:t xml:space="preserve">ment van de oud- Staatssecretaris was </w:t>
      </w:r>
      <w:r w:rsidRPr="006733F6">
        <w:rPr>
          <w:rFonts w:cs="Times New Roman"/>
          <w:lang w:eastAsia="nl-NL"/>
        </w:rPr>
        <w:t xml:space="preserve">dat een nauwere relatie met de eigen regio, dus het westelijk halfrond, economisch veel belangrijker is voor de Nederlandse Antillen. Feit is </w:t>
      </w:r>
      <w:r>
        <w:rPr>
          <w:rFonts w:cs="Times New Roman"/>
          <w:lang w:eastAsia="nl-NL"/>
        </w:rPr>
        <w:lastRenderedPageBreak/>
        <w:t xml:space="preserve">volgens de oud- Staatssecretaris </w:t>
      </w:r>
      <w:r w:rsidRPr="006733F6">
        <w:rPr>
          <w:rFonts w:cs="Times New Roman"/>
          <w:lang w:eastAsia="nl-NL"/>
        </w:rPr>
        <w:t xml:space="preserve">dat meer dan 70% de Antilliaanse handel plaatsvindt met het NAFTA blok (North American Free Trade Agreement bestaande uit de VS, Canada en Mexico) en zelfs meer dan 80% met het bredere westelijk halfrond. Een UPG- status zou volgens de </w:t>
      </w:r>
      <w:r>
        <w:rPr>
          <w:rFonts w:cs="Times New Roman"/>
          <w:lang w:eastAsia="nl-NL"/>
        </w:rPr>
        <w:t xml:space="preserve">oud- </w:t>
      </w:r>
      <w:r w:rsidRPr="006733F6">
        <w:rPr>
          <w:rFonts w:cs="Times New Roman"/>
          <w:lang w:eastAsia="nl-NL"/>
        </w:rPr>
        <w:t>Staatssecretaris behoorlijk roet gooien in deze relatie.</w:t>
      </w:r>
      <w:r>
        <w:rPr>
          <w:rStyle w:val="FootnoteReference"/>
          <w:lang w:eastAsia="nl-NL"/>
        </w:rPr>
        <w:footnoteReference w:id="59"/>
      </w:r>
      <w:r w:rsidRPr="006733F6">
        <w:rPr>
          <w:rFonts w:cs="Times New Roman"/>
          <w:lang w:eastAsia="nl-NL"/>
        </w:rPr>
        <w:t xml:space="preserve"> Dit zou voor de gehele Nederlandse Antillen tot economisch nadeel leiden. Feit is</w:t>
      </w:r>
      <w:r>
        <w:rPr>
          <w:rFonts w:cs="Times New Roman"/>
          <w:lang w:eastAsia="nl-NL"/>
        </w:rPr>
        <w:t xml:space="preserve"> volgens de oud- Staatssecretaris</w:t>
      </w:r>
      <w:r w:rsidRPr="006733F6">
        <w:rPr>
          <w:rFonts w:cs="Times New Roman"/>
          <w:lang w:eastAsia="nl-NL"/>
        </w:rPr>
        <w:t xml:space="preserve"> </w:t>
      </w:r>
      <w:r>
        <w:rPr>
          <w:rFonts w:cs="Times New Roman"/>
          <w:lang w:eastAsia="nl-NL"/>
        </w:rPr>
        <w:t xml:space="preserve">namelijk </w:t>
      </w:r>
      <w:r w:rsidRPr="006733F6">
        <w:rPr>
          <w:rFonts w:cs="Times New Roman"/>
          <w:lang w:eastAsia="nl-NL"/>
        </w:rPr>
        <w:t xml:space="preserve">ook dat de economie van de Nederlandse Antillen </w:t>
      </w:r>
      <w:r>
        <w:rPr>
          <w:rFonts w:cs="Times New Roman"/>
          <w:lang w:eastAsia="nl-NL"/>
        </w:rPr>
        <w:t>‘</w:t>
      </w:r>
      <w:r w:rsidRPr="006733F6">
        <w:rPr>
          <w:rFonts w:cs="Times New Roman"/>
          <w:lang w:eastAsia="nl-NL"/>
        </w:rPr>
        <w:t>gedollariseerd</w:t>
      </w:r>
      <w:r>
        <w:rPr>
          <w:rFonts w:cs="Times New Roman"/>
          <w:lang w:eastAsia="nl-NL"/>
        </w:rPr>
        <w:t>’</w:t>
      </w:r>
      <w:r w:rsidRPr="006733F6">
        <w:rPr>
          <w:rFonts w:cs="Times New Roman"/>
          <w:lang w:eastAsia="nl-NL"/>
        </w:rPr>
        <w:t xml:space="preserve"> is en een UPG- status juist als gevolg zal hebben dat de Euro ingevoerd moet worden</w:t>
      </w:r>
      <w:r>
        <w:rPr>
          <w:rStyle w:val="FootnoteReference"/>
          <w:lang w:eastAsia="nl-NL"/>
        </w:rPr>
        <w:footnoteReference w:id="60"/>
      </w:r>
      <w:r w:rsidRPr="006733F6">
        <w:rPr>
          <w:rFonts w:cs="Times New Roman"/>
          <w:lang w:eastAsia="nl-NL"/>
        </w:rPr>
        <w:t>.</w:t>
      </w:r>
      <w:r>
        <w:rPr>
          <w:rStyle w:val="FootnoteReference"/>
          <w:lang w:eastAsia="nl-NL"/>
        </w:rPr>
        <w:footnoteReference w:id="61"/>
      </w:r>
    </w:p>
    <w:p w:rsidR="00A64945" w:rsidRDefault="00A64945" w:rsidP="00E167E1">
      <w:pPr>
        <w:spacing w:line="360" w:lineRule="auto"/>
        <w:jc w:val="both"/>
        <w:rPr>
          <w:color w:val="FF0000"/>
        </w:rPr>
      </w:pPr>
      <w:r w:rsidRPr="006733F6">
        <w:t xml:space="preserve">Met </w:t>
      </w:r>
      <w:r>
        <w:t>‘</w:t>
      </w:r>
      <w:r w:rsidRPr="006733F6">
        <w:t>dollarisering</w:t>
      </w:r>
      <w:r>
        <w:t>’</w:t>
      </w:r>
      <w:r w:rsidRPr="006733F6">
        <w:t xml:space="preserve"> wordt geduid op een ontwikkeling die ten doel heeft de nationale munt, in dit geval de Nederlands- Antilliaanse Gulden</w:t>
      </w:r>
      <w:r>
        <w:t xml:space="preserve"> </w:t>
      </w:r>
      <w:r w:rsidRPr="006733F6">
        <w:t xml:space="preserve">(NAF), vast te koppelen aan de US Dollar, of de nationale munt zelfs geheel te vervangen door de US Dollar. Met een </w:t>
      </w:r>
      <w:r>
        <w:t>‘</w:t>
      </w:r>
      <w:r w:rsidRPr="006733F6">
        <w:t>gedollariseerde</w:t>
      </w:r>
      <w:r>
        <w:t>’</w:t>
      </w:r>
      <w:r w:rsidRPr="006733F6">
        <w:t xml:space="preserve"> economie wordt mijns inziens een economie bedoeld die sterk gericht is op</w:t>
      </w:r>
      <w:r>
        <w:t xml:space="preserve"> en verweven is met</w:t>
      </w:r>
      <w:r w:rsidRPr="006733F6">
        <w:t xml:space="preserve"> de VS. Met als gevolg dat ook de NAF </w:t>
      </w:r>
      <w:r>
        <w:t>in feite gekoppeld</w:t>
      </w:r>
      <w:r w:rsidRPr="006733F6">
        <w:t xml:space="preserve"> wordt aan de US Dollar, doordat de </w:t>
      </w:r>
      <w:r>
        <w:t xml:space="preserve">US- </w:t>
      </w:r>
      <w:r w:rsidRPr="006733F6">
        <w:t xml:space="preserve">Dollar </w:t>
      </w:r>
      <w:r>
        <w:t>het</w:t>
      </w:r>
      <w:r w:rsidRPr="006733F6">
        <w:t xml:space="preserve"> meest gangbare betaalmiddel bij het handeldrijven is geworden. </w:t>
      </w:r>
      <w:r>
        <w:t xml:space="preserve"> Vanuit het perspectief van de internationale handel wordt namelijk in het algemeen aangenomen dat een land er verstandig aan doet de ontwikkeling van zijn valuta te koppelen aan die van zijn grootste handelspartner.</w:t>
      </w:r>
      <w:r w:rsidRPr="005052B2">
        <w:rPr>
          <w:rStyle w:val="FootnoteReference"/>
          <w:rFonts w:cs="Arial"/>
        </w:rPr>
        <w:t xml:space="preserve"> </w:t>
      </w:r>
      <w:r>
        <w:rPr>
          <w:rStyle w:val="FootnoteReference"/>
          <w:rFonts w:cs="Arial"/>
        </w:rPr>
        <w:footnoteReference w:id="62"/>
      </w:r>
      <w:r>
        <w:t xml:space="preserve"> Een vaste wisselkoers met de grootste handelspartner vergroot de economische stabiliteit en de internationale handel en stimuleert buitenlandse investeringen.</w:t>
      </w:r>
      <w:r>
        <w:rPr>
          <w:rStyle w:val="FootnoteReference"/>
          <w:rFonts w:cs="Arial"/>
        </w:rPr>
        <w:footnoteReference w:id="63"/>
      </w:r>
      <w:r>
        <w:t xml:space="preserve"> </w:t>
      </w:r>
      <w:r w:rsidRPr="006733F6">
        <w:t xml:space="preserve">Kijken we </w:t>
      </w:r>
      <w:r>
        <w:t xml:space="preserve">in onderstaand figuur 1.2 </w:t>
      </w:r>
      <w:r w:rsidRPr="006733F6">
        <w:t xml:space="preserve">naar de gemiddelde </w:t>
      </w:r>
      <w:r w:rsidRPr="006733F6">
        <w:lastRenderedPageBreak/>
        <w:t>import en export van goederen van Curaçao over de periode 2000-</w:t>
      </w:r>
      <w:r>
        <w:t xml:space="preserve"> </w:t>
      </w:r>
      <w:r w:rsidRPr="006733F6">
        <w:t>2006,</w:t>
      </w:r>
      <w:r w:rsidRPr="006733F6">
        <w:rPr>
          <w:rStyle w:val="FootnoteReference"/>
          <w:lang w:eastAsia="nl-NL"/>
        </w:rPr>
        <w:t xml:space="preserve"> </w:t>
      </w:r>
      <w:r w:rsidRPr="006733F6">
        <w:rPr>
          <w:rStyle w:val="FootnoteReference"/>
          <w:lang w:eastAsia="nl-NL"/>
        </w:rPr>
        <w:footnoteReference w:id="64"/>
      </w:r>
      <w:r w:rsidRPr="006733F6">
        <w:t xml:space="preserve"> dan kan er inderdaad geconstateerd worden dat er het meest handel wordt gedreven met de VS.</w:t>
      </w:r>
      <w:r w:rsidRPr="00814EAF">
        <w:rPr>
          <w:rStyle w:val="FootnoteReference"/>
          <w:rFonts w:cs="Arial"/>
        </w:rPr>
        <w:t xml:space="preserve"> </w:t>
      </w:r>
      <w:r>
        <w:rPr>
          <w:rStyle w:val="FootnoteReference"/>
          <w:rFonts w:cs="Arial"/>
        </w:rPr>
        <w:footnoteReference w:id="65"/>
      </w:r>
      <w:r w:rsidRPr="006733F6">
        <w:t xml:space="preserve"> Amerikanen zijn voor Curaçao de voornaamste leverancier. </w:t>
      </w:r>
      <w:r>
        <w:t>48,</w:t>
      </w:r>
      <w:r w:rsidRPr="006733F6">
        <w:t>1 % van de totale import</w:t>
      </w:r>
      <w:r>
        <w:t xml:space="preserve"> van goederen</w:t>
      </w:r>
      <w:r w:rsidRPr="006733F6">
        <w:t xml:space="preserve"> in die perio</w:t>
      </w:r>
      <w:r>
        <w:t>de is afkomstig uit de VS en 30,</w:t>
      </w:r>
      <w:r w:rsidRPr="006733F6">
        <w:t xml:space="preserve">4 %  van de totale export </w:t>
      </w:r>
      <w:r>
        <w:t xml:space="preserve">van goederen uit </w:t>
      </w:r>
      <w:r w:rsidRPr="006733F6">
        <w:t xml:space="preserve">Curaçao in die periode vindt naar de VS plaats. Hier moet echter wel bij worden </w:t>
      </w:r>
      <w:r>
        <w:t>aangegeven</w:t>
      </w:r>
      <w:r w:rsidRPr="006733F6">
        <w:t xml:space="preserve"> dat de EU als handelspartner van Curaçao op de tweede plaats staat.</w:t>
      </w:r>
      <w:r>
        <w:t xml:space="preserve"> 27,</w:t>
      </w:r>
      <w:r w:rsidRPr="006733F6">
        <w:t>4 % van de gemiddelde totale import</w:t>
      </w:r>
      <w:r>
        <w:t xml:space="preserve"> van goederen</w:t>
      </w:r>
      <w:r w:rsidRPr="006733F6">
        <w:t xml:space="preserve"> in de periode van 2000-</w:t>
      </w:r>
      <w:r>
        <w:t xml:space="preserve"> </w:t>
      </w:r>
      <w:r w:rsidRPr="006733F6">
        <w:t>2006 was afkomstig uit de EU en er werd in die periode gemiddeld voor maar liefst 34% van de totale export</w:t>
      </w:r>
      <w:r>
        <w:t xml:space="preserve"> van goederen</w:t>
      </w:r>
      <w:r w:rsidRPr="006733F6">
        <w:t>, geëxporteerd naar de EU. Dit per</w:t>
      </w:r>
      <w:r>
        <w:t xml:space="preserve">centage ligt zelfs hoger dan </w:t>
      </w:r>
      <w:r w:rsidRPr="006733F6">
        <w:t xml:space="preserve">dat van de export naar de VS. Indien we alleen naar de export van Curaçao kijken, ben ik van mening dat het eerder genoemde argument van de Staatssecretaris dat de invoering van de Euro naar aanleiding van de aanname van een UPG- status, niet verenigbaar is met de </w:t>
      </w:r>
      <w:r>
        <w:t>‘</w:t>
      </w:r>
      <w:r w:rsidRPr="006733F6">
        <w:t>gedollariseerde</w:t>
      </w:r>
      <w:r>
        <w:t>’</w:t>
      </w:r>
      <w:r w:rsidRPr="006733F6">
        <w:t xml:space="preserve"> economie die Curaçao volgens de Staatssecretaris is, geen valide argument is.</w:t>
      </w:r>
      <w:r>
        <w:t xml:space="preserve"> </w:t>
      </w:r>
    </w:p>
    <w:p w:rsidR="00A64945" w:rsidRDefault="00DA44D0" w:rsidP="00E167E1">
      <w:pPr>
        <w:spacing w:line="360" w:lineRule="auto"/>
        <w:jc w:val="both"/>
        <w:rPr>
          <w:color w:val="FF0000"/>
        </w:rPr>
      </w:pPr>
      <w:r>
        <w:rPr>
          <w:noProof/>
          <w:color w:val="FF0000"/>
          <w:lang w:val="en-US"/>
        </w:rPr>
        <w:drawing>
          <wp:inline distT="0" distB="0" distL="0" distR="0">
            <wp:extent cx="4785360" cy="181038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4785360" cy="1810385"/>
                    </a:xfrm>
                    <a:prstGeom prst="rect">
                      <a:avLst/>
                    </a:prstGeom>
                    <a:noFill/>
                    <a:ln w="9525">
                      <a:noFill/>
                      <a:miter lim="800000"/>
                      <a:headEnd/>
                      <a:tailEnd/>
                    </a:ln>
                  </pic:spPr>
                </pic:pic>
              </a:graphicData>
            </a:graphic>
          </wp:inline>
        </w:drawing>
      </w:r>
    </w:p>
    <w:p w:rsidR="00A64945" w:rsidRDefault="00DA44D0" w:rsidP="00E167E1">
      <w:pPr>
        <w:spacing w:line="360" w:lineRule="auto"/>
        <w:jc w:val="both"/>
        <w:rPr>
          <w:sz w:val="18"/>
          <w:szCs w:val="18"/>
        </w:rPr>
      </w:pPr>
      <w:r>
        <w:rPr>
          <w:noProof/>
          <w:color w:val="FF0000"/>
          <w:lang w:val="en-US"/>
        </w:rPr>
        <w:drawing>
          <wp:inline distT="0" distB="0" distL="0" distR="0">
            <wp:extent cx="5248910" cy="1779905"/>
            <wp:effectExtent l="19050" t="0" r="889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5248910" cy="1779905"/>
                    </a:xfrm>
                    <a:prstGeom prst="rect">
                      <a:avLst/>
                    </a:prstGeom>
                    <a:noFill/>
                    <a:ln w="9525">
                      <a:noFill/>
                      <a:miter lim="800000"/>
                      <a:headEnd/>
                      <a:tailEnd/>
                    </a:ln>
                  </pic:spPr>
                </pic:pic>
              </a:graphicData>
            </a:graphic>
          </wp:inline>
        </w:drawing>
      </w:r>
    </w:p>
    <w:p w:rsidR="00A64945" w:rsidRPr="0044034A" w:rsidRDefault="00A64945" w:rsidP="0044034A">
      <w:pPr>
        <w:spacing w:line="360" w:lineRule="auto"/>
        <w:rPr>
          <w:sz w:val="20"/>
          <w:szCs w:val="20"/>
        </w:rPr>
      </w:pPr>
      <w:r w:rsidRPr="0044034A">
        <w:rPr>
          <w:sz w:val="20"/>
          <w:szCs w:val="20"/>
        </w:rPr>
        <w:t xml:space="preserve">Figuur 1.2: De gemiddelde import en export van goederen  over de periode 2000- 2006 van de eilanden van het Koninkrijk der Nederlanden. </w:t>
      </w:r>
    </w:p>
    <w:p w:rsidR="00A64945" w:rsidRPr="006733F6" w:rsidRDefault="00A64945" w:rsidP="00E167E1">
      <w:pPr>
        <w:spacing w:before="100" w:beforeAutospacing="1" w:after="120" w:line="360" w:lineRule="auto"/>
        <w:jc w:val="both"/>
        <w:rPr>
          <w:color w:val="000000"/>
        </w:rPr>
      </w:pPr>
      <w:r>
        <w:rPr>
          <w:color w:val="000000"/>
        </w:rPr>
        <w:lastRenderedPageBreak/>
        <w:t>Ondanks</w:t>
      </w:r>
      <w:r w:rsidRPr="006733F6">
        <w:rPr>
          <w:color w:val="000000"/>
        </w:rPr>
        <w:t xml:space="preserve"> de argumenten die de </w:t>
      </w:r>
      <w:r>
        <w:rPr>
          <w:color w:val="000000"/>
        </w:rPr>
        <w:t xml:space="preserve">oud- </w:t>
      </w:r>
      <w:r w:rsidRPr="006733F6">
        <w:rPr>
          <w:color w:val="000000"/>
        </w:rPr>
        <w:t xml:space="preserve">Staatssecretaris aanvoert, zijn de onderzoekers van de Rijksuniversiteit van Groningen van mening dat de status van UPG ook zijn voordelen heeft. Het voordeel zou volgens de onderzoekers gelegen zijn in het feit dat de eilanden dan in aanmerking komen voor financiering uit de EU- structuurfondsen die ter beschikking staan aan alle EU- lidstaten en dat de eilanden onderdeel worden van de gemeenschappelijke markt. </w:t>
      </w:r>
    </w:p>
    <w:p w:rsidR="00A64945" w:rsidRPr="006733F6" w:rsidRDefault="00A64945" w:rsidP="00AE333F">
      <w:pPr>
        <w:spacing w:before="100" w:beforeAutospacing="1" w:after="120" w:line="360" w:lineRule="auto"/>
        <w:jc w:val="both"/>
        <w:rPr>
          <w:rFonts w:cs="Times New Roman"/>
          <w:lang w:eastAsia="nl-NL"/>
        </w:rPr>
      </w:pPr>
      <w:r w:rsidRPr="006733F6">
        <w:rPr>
          <w:color w:val="000000"/>
        </w:rPr>
        <w:t xml:space="preserve">Volgens de </w:t>
      </w:r>
      <w:r>
        <w:rPr>
          <w:color w:val="000000"/>
        </w:rPr>
        <w:t xml:space="preserve">oud- </w:t>
      </w:r>
      <w:r w:rsidRPr="006733F6">
        <w:rPr>
          <w:color w:val="000000"/>
        </w:rPr>
        <w:t xml:space="preserve">Staatssecretaris strookt dit wat betreft de financiering uit de EU- structuurfondsen echter niet helemaal met de werkelijkheid. Volgens de </w:t>
      </w:r>
      <w:r>
        <w:rPr>
          <w:color w:val="000000"/>
        </w:rPr>
        <w:t xml:space="preserve">oud- </w:t>
      </w:r>
      <w:r w:rsidRPr="006733F6">
        <w:rPr>
          <w:color w:val="000000"/>
        </w:rPr>
        <w:t xml:space="preserve">Staatssecretaris is het </w:t>
      </w:r>
      <w:r w:rsidRPr="006733F6">
        <w:rPr>
          <w:rFonts w:cs="Times New Roman"/>
          <w:lang w:eastAsia="nl-NL"/>
        </w:rPr>
        <w:t>argument dat de Nederlandse Antillen als UPG aanspraak zou kunnen maken op bijdragen uit de zogenaamde structuurfondsen onjuist. De meeste fondsen stellen namelijk middelen beschikbaar op grond van land</w:t>
      </w:r>
      <w:r>
        <w:rPr>
          <w:rFonts w:cs="Times New Roman"/>
          <w:lang w:eastAsia="nl-NL"/>
        </w:rPr>
        <w:t>bouw en landbouwhervormingen. Da</w:t>
      </w:r>
      <w:r w:rsidRPr="006733F6">
        <w:rPr>
          <w:rFonts w:cs="Times New Roman"/>
          <w:lang w:eastAsia="nl-NL"/>
        </w:rPr>
        <w:t>t is op de Nederlandse Antillen niet aan de orde.</w:t>
      </w:r>
      <w:r w:rsidRPr="006733F6">
        <w:rPr>
          <w:rStyle w:val="FootnoteReference"/>
          <w:lang w:eastAsia="nl-NL"/>
        </w:rPr>
        <w:footnoteReference w:id="66"/>
      </w:r>
      <w:r w:rsidRPr="006733F6">
        <w:rPr>
          <w:rFonts w:cs="Times New Roman"/>
          <w:lang w:eastAsia="nl-NL"/>
        </w:rPr>
        <w:t xml:space="preserve"> Voor de overige fondsen waar de Nederlandse Antillen aanspraak op zouden kunnen maken ligt volgens de </w:t>
      </w:r>
      <w:r>
        <w:rPr>
          <w:rFonts w:cs="Times New Roman"/>
          <w:lang w:eastAsia="nl-NL"/>
        </w:rPr>
        <w:t xml:space="preserve">oud- </w:t>
      </w:r>
      <w:r w:rsidRPr="006733F6">
        <w:rPr>
          <w:rFonts w:cs="Times New Roman"/>
          <w:lang w:eastAsia="nl-NL"/>
        </w:rPr>
        <w:t>Staatssecretaris het welvaartsniveau van de Nederlandse Antillen te hoog om te kunnen kwalificeren.</w:t>
      </w:r>
    </w:p>
    <w:p w:rsidR="00A64945" w:rsidRPr="006733F6" w:rsidRDefault="00A64945" w:rsidP="00AE333F">
      <w:pPr>
        <w:spacing w:before="100" w:beforeAutospacing="1" w:after="120" w:line="360" w:lineRule="auto"/>
        <w:jc w:val="both"/>
        <w:rPr>
          <w:color w:val="000000"/>
        </w:rPr>
      </w:pPr>
      <w:r w:rsidRPr="006733F6">
        <w:rPr>
          <w:color w:val="000000"/>
        </w:rPr>
        <w:t>De uiteindelijke conclusie van de onderzoekers  luidt dat de Nederlandse Antillen en Aruba het Europees recht het beste selectief kunnen gebruiken.</w:t>
      </w:r>
      <w:r w:rsidRPr="006733F6">
        <w:rPr>
          <w:rStyle w:val="FootnoteReference"/>
          <w:rFonts w:cs="Arial"/>
          <w:color w:val="000000"/>
        </w:rPr>
        <w:t xml:space="preserve"> </w:t>
      </w:r>
      <w:r w:rsidRPr="006733F6">
        <w:rPr>
          <w:rStyle w:val="FootnoteReference"/>
          <w:rFonts w:cs="Arial"/>
          <w:color w:val="000000"/>
        </w:rPr>
        <w:footnoteReference w:id="67"/>
      </w:r>
      <w:r w:rsidRPr="006733F6">
        <w:rPr>
          <w:color w:val="000000"/>
        </w:rPr>
        <w:t xml:space="preserve"> Dit door delen van het Europees recht over te nemen om het bestuur en de marktwerking op de eilanden te verbeteren. Of het Europees Parlement en de Raad van de Europese Unie</w:t>
      </w:r>
      <w:r w:rsidRPr="006733F6">
        <w:rPr>
          <w:rStyle w:val="FootnoteReference"/>
          <w:rFonts w:cs="Arial"/>
          <w:color w:val="000000"/>
        </w:rPr>
        <w:footnoteReference w:id="68"/>
      </w:r>
      <w:r w:rsidRPr="006733F6">
        <w:rPr>
          <w:color w:val="000000"/>
        </w:rPr>
        <w:t xml:space="preserve"> met een dergelijke regeling eens zullen zijn, is nog maar de vraag en lijkt mij zeer onwaarschijnlijk. Bij de keuze voor een status als ultraperifeer gebied wordt namelijk in beginsel het gehele gemeenschapsrecht </w:t>
      </w:r>
      <w:r w:rsidRPr="006733F6">
        <w:rPr>
          <w:i/>
          <w:color w:val="000000"/>
        </w:rPr>
        <w:t xml:space="preserve">onverkort </w:t>
      </w:r>
      <w:r w:rsidRPr="006733F6">
        <w:rPr>
          <w:rStyle w:val="FootnoteReference"/>
          <w:rFonts w:cs="Arial"/>
          <w:color w:val="000000"/>
        </w:rPr>
        <w:footnoteReference w:id="69"/>
      </w:r>
      <w:r w:rsidRPr="006733F6">
        <w:rPr>
          <w:color w:val="000000"/>
        </w:rPr>
        <w:t xml:space="preserve"> van toepassing op dat gebied. Dus zowel de lusten als de mogelijke lasten. Het staat de ‘begunstigde’ niet vrij om zelf te bepalen welke delen van de regeling in een specifieke geval het beste uitkomen en die eruit te pikken. Het Europese recht kan mijn inziens dus </w:t>
      </w:r>
      <w:r>
        <w:rPr>
          <w:color w:val="000000"/>
        </w:rPr>
        <w:t>niet selectief worden</w:t>
      </w:r>
      <w:r w:rsidRPr="006733F6">
        <w:rPr>
          <w:color w:val="000000"/>
        </w:rPr>
        <w:t xml:space="preserve"> toe</w:t>
      </w:r>
      <w:r>
        <w:rPr>
          <w:color w:val="000000"/>
        </w:rPr>
        <w:t>gepast</w:t>
      </w:r>
      <w:r w:rsidRPr="006733F6">
        <w:rPr>
          <w:color w:val="000000"/>
        </w:rPr>
        <w:t xml:space="preserve"> zoals hier wordt gesuggereerd. </w:t>
      </w:r>
    </w:p>
    <w:p w:rsidR="00A64945" w:rsidRPr="00784A27" w:rsidRDefault="00A64945" w:rsidP="00784A27">
      <w:pPr>
        <w:spacing w:before="100" w:beforeAutospacing="1" w:after="120" w:line="360" w:lineRule="auto"/>
        <w:jc w:val="both"/>
        <w:rPr>
          <w:color w:val="000000"/>
        </w:rPr>
      </w:pPr>
      <w:r w:rsidRPr="006733F6">
        <w:t xml:space="preserve">Indien een selectief gebruik van het Europees recht wordt voorgestaan, lijkt het mij bovendien vanzelfsprekender om de LGO- status te handhaven, aangezien dit reeds gezien kan worden als  een </w:t>
      </w:r>
      <w:r w:rsidRPr="006733F6">
        <w:lastRenderedPageBreak/>
        <w:t xml:space="preserve">selectieve vorm van toepassing van het Europees recht. </w:t>
      </w:r>
      <w:r w:rsidRPr="006733F6">
        <w:rPr>
          <w:color w:val="000000"/>
        </w:rPr>
        <w:t>Door de keuze voor een statuswijziging niet te maken, wordt bovendien de mogelijkheid behouden om selectief te zijn in de verwerking van (grond)rechten en beginselen in het eigen rechtsgebied. Dit zou een reden kunnen z</w:t>
      </w:r>
      <w:r>
        <w:rPr>
          <w:color w:val="000000"/>
        </w:rPr>
        <w:t xml:space="preserve">ijn niet te kiezen voor het UPG- </w:t>
      </w:r>
      <w:r w:rsidRPr="006733F6">
        <w:rPr>
          <w:color w:val="000000"/>
        </w:rPr>
        <w:t>traject</w:t>
      </w:r>
      <w:r>
        <w:rPr>
          <w:color w:val="000000"/>
        </w:rPr>
        <w:t xml:space="preserve">. Door de UPG- </w:t>
      </w:r>
      <w:r w:rsidRPr="006733F6">
        <w:rPr>
          <w:color w:val="000000"/>
        </w:rPr>
        <w:t xml:space="preserve">status aan te nemen, geeft een deelnemer een deel van zijn soevereiniteit op. Bovendien committeert hij zich tevens voor de toekomt </w:t>
      </w:r>
      <w:r>
        <w:rPr>
          <w:color w:val="000000"/>
        </w:rPr>
        <w:t>aan het EU- recht, met alle onzekere gevolgen van dien</w:t>
      </w:r>
      <w:r w:rsidRPr="006733F6">
        <w:rPr>
          <w:color w:val="000000"/>
        </w:rPr>
        <w:t xml:space="preserve">. Eenmaal deel van de EU, is afstand nemen van de EU  geen makkelijke opgave. </w:t>
      </w:r>
    </w:p>
    <w:p w:rsidR="00A64945" w:rsidRDefault="00A64945" w:rsidP="00AE333F">
      <w:pPr>
        <w:pStyle w:val="Heading2"/>
        <w:spacing w:before="0" w:line="360" w:lineRule="auto"/>
        <w:jc w:val="both"/>
        <w:rPr>
          <w:color w:val="auto"/>
        </w:rPr>
      </w:pPr>
      <w:bookmarkStart w:id="17" w:name="_Toc286250313"/>
      <w:bookmarkStart w:id="18" w:name="_Toc299634265"/>
      <w:r w:rsidRPr="00D10AB6">
        <w:rPr>
          <w:color w:val="auto"/>
        </w:rPr>
        <w:t>§1.2 Probleemstelling</w:t>
      </w:r>
      <w:bookmarkEnd w:id="17"/>
      <w:bookmarkEnd w:id="18"/>
    </w:p>
    <w:p w:rsidR="00A64945" w:rsidRPr="00EC65AF" w:rsidRDefault="00A64945" w:rsidP="00854341">
      <w:pPr>
        <w:spacing w:after="0"/>
      </w:pPr>
    </w:p>
    <w:p w:rsidR="00A64945" w:rsidRPr="00354F35" w:rsidRDefault="00A64945" w:rsidP="00354F35">
      <w:pPr>
        <w:tabs>
          <w:tab w:val="left" w:pos="3438"/>
        </w:tabs>
        <w:spacing w:after="0" w:line="360" w:lineRule="auto"/>
        <w:jc w:val="both"/>
        <w:rPr>
          <w:b/>
          <w:i/>
          <w:sz w:val="20"/>
          <w:szCs w:val="20"/>
        </w:rPr>
      </w:pPr>
      <w:r w:rsidRPr="00354F35">
        <w:rPr>
          <w:b/>
          <w:i/>
          <w:sz w:val="20"/>
          <w:szCs w:val="20"/>
        </w:rPr>
        <w:t>Afbakening  onderzoek</w:t>
      </w:r>
    </w:p>
    <w:p w:rsidR="00A64945" w:rsidRDefault="00A64945" w:rsidP="00354F35">
      <w:pPr>
        <w:tabs>
          <w:tab w:val="left" w:pos="3438"/>
        </w:tabs>
        <w:spacing w:after="0" w:line="360" w:lineRule="auto"/>
        <w:jc w:val="both"/>
      </w:pPr>
      <w:r>
        <w:t>Zoals eerder gezegd, maak ik in mijn scriptie de veronderstelling dat Curaçao de UPG- status aanvaart.</w:t>
      </w:r>
      <w:r w:rsidRPr="00906F0F">
        <w:t xml:space="preserve"> </w:t>
      </w:r>
      <w:r>
        <w:t xml:space="preserve">Vanuit die uitgangssituatie, welke in hoofdstuk twee wordt beschreven, ga ik in deze scriptie analyseren hoe het E- Zoneregime eruit zou moeten zien indien Curaçao aan het EU- recht wil voldoen en gegeven het feit dat Curaçao de UPG- status aanneemt. Met andere woorden, ik ga in kaart brengen wat op fiscaal terrein mogelijke knelpunten zijn van de Curaçaose E- Zonewetgeving. De fiscaliteit die kleeft aan het E- Zoneregime zal aan het fiscale EU- recht getoetst worden. </w:t>
      </w:r>
    </w:p>
    <w:p w:rsidR="00A64945" w:rsidRPr="00906F0F" w:rsidRDefault="00A64945" w:rsidP="00AE333F">
      <w:pPr>
        <w:tabs>
          <w:tab w:val="left" w:pos="3438"/>
        </w:tabs>
        <w:spacing w:line="360" w:lineRule="auto"/>
        <w:jc w:val="both"/>
      </w:pPr>
      <w:r w:rsidRPr="00906F0F">
        <w:t>Bij aanname van de UPG- status wordt, k</w:t>
      </w:r>
      <w:r>
        <w:t xml:space="preserve">ort samengevat, het gehele EU- </w:t>
      </w:r>
      <w:r w:rsidRPr="00906F0F">
        <w:t xml:space="preserve">recht van toepassing op Curaçao. Dit zal sociale, economische en juridische gevolgen met zich mee brengen. Wat </w:t>
      </w:r>
      <w:r>
        <w:t xml:space="preserve">in dit kader </w:t>
      </w:r>
      <w:r w:rsidRPr="00906F0F">
        <w:t xml:space="preserve">onder sociale, economische en juridische gevolgen dient te worden verstaan zal ik in het hiernavolgende </w:t>
      </w:r>
      <w:r>
        <w:t xml:space="preserve">puntsgewijs </w:t>
      </w:r>
      <w:r w:rsidRPr="00906F0F">
        <w:t>nader toelichten.</w:t>
      </w:r>
    </w:p>
    <w:p w:rsidR="00A64945" w:rsidRPr="00B45931" w:rsidRDefault="00A64945" w:rsidP="00B45931">
      <w:pPr>
        <w:pStyle w:val="ListParagraph"/>
        <w:numPr>
          <w:ilvl w:val="0"/>
          <w:numId w:val="32"/>
        </w:numPr>
        <w:tabs>
          <w:tab w:val="left" w:pos="3438"/>
        </w:tabs>
        <w:spacing w:after="0" w:line="360" w:lineRule="auto"/>
        <w:ind w:hanging="720"/>
        <w:jc w:val="both"/>
        <w:rPr>
          <w:b/>
          <w:i/>
          <w:sz w:val="18"/>
          <w:szCs w:val="18"/>
        </w:rPr>
      </w:pPr>
      <w:r w:rsidRPr="00B45931">
        <w:rPr>
          <w:b/>
          <w:i/>
          <w:sz w:val="18"/>
          <w:szCs w:val="18"/>
        </w:rPr>
        <w:t>Economische gevolgen</w:t>
      </w:r>
    </w:p>
    <w:p w:rsidR="00A64945" w:rsidRDefault="00A64945" w:rsidP="00AE333F">
      <w:pPr>
        <w:tabs>
          <w:tab w:val="left" w:pos="3438"/>
        </w:tabs>
        <w:spacing w:after="0" w:line="360" w:lineRule="auto"/>
        <w:jc w:val="both"/>
      </w:pPr>
      <w:r w:rsidRPr="005D025C">
        <w:t xml:space="preserve">De overgang van LGO naar UPG brengt volgens  het rapport </w:t>
      </w:r>
      <w:r w:rsidRPr="005D025C">
        <w:rPr>
          <w:i/>
        </w:rPr>
        <w:t>‘Economische gevolgen van de status van ultraperifeer gebied voor de Nederlandse Antillen en Aruba’</w:t>
      </w:r>
      <w:r w:rsidRPr="005D025C">
        <w:t xml:space="preserve"> twee belangrijke economische veranderingen</w:t>
      </w:r>
      <w:r w:rsidRPr="005D025C">
        <w:rPr>
          <w:rStyle w:val="FootnoteReference"/>
          <w:rFonts w:cs="Arial"/>
        </w:rPr>
        <w:footnoteReference w:id="70"/>
      </w:r>
      <w:r w:rsidRPr="005D025C">
        <w:t xml:space="preserve"> met zich mee. </w:t>
      </w:r>
      <w:r>
        <w:t xml:space="preserve">Economische factoren die een rol zullen gaan spelen en die volgens dit rapport bepalend zijn voor het antwoord op de vraag of een statuswisseling economisch gezien gunstig is, zijn in de eerste plaats de implicaties voor het toekomstige UPG van het EU handelsregime, de realisatie van de integratie van de economie van desbetreffend UPG in de interne markt van de EU en de introductie van de euro in het desbetreffende UPG als gevolg van de aanname van de UPG- status. </w:t>
      </w:r>
    </w:p>
    <w:p w:rsidR="00A64945" w:rsidRDefault="00A64945" w:rsidP="00AE333F">
      <w:pPr>
        <w:tabs>
          <w:tab w:val="left" w:pos="3438"/>
        </w:tabs>
        <w:spacing w:line="360" w:lineRule="auto"/>
        <w:jc w:val="both"/>
      </w:pPr>
      <w:r>
        <w:t xml:space="preserve"> </w:t>
      </w:r>
    </w:p>
    <w:p w:rsidR="00A64945" w:rsidRDefault="00A64945" w:rsidP="00AE333F">
      <w:pPr>
        <w:tabs>
          <w:tab w:val="left" w:pos="3438"/>
        </w:tabs>
        <w:spacing w:line="360" w:lineRule="auto"/>
        <w:jc w:val="both"/>
      </w:pPr>
      <w:r>
        <w:t xml:space="preserve">De tweede belangrijke economische verandering heeft volgens het rapport betrekking op de implicaties van het gebruik van de structuurfondsen door het toekomstig UPG. Als onderdeel van de </w:t>
      </w:r>
      <w:r>
        <w:lastRenderedPageBreak/>
        <w:t>EU, kunnen UPG’s in principe aanspraak maken op een verscheidenheid aan EU fondsen. Voorbeelden van EU fondsen zijn  de Structuurfondsen, de Cohesiefondsen en de Sociale Fondsen.</w:t>
      </w:r>
      <w:r>
        <w:rPr>
          <w:rStyle w:val="FootnoteReference"/>
          <w:rFonts w:cs="Arial"/>
        </w:rPr>
        <w:footnoteReference w:id="71"/>
      </w:r>
      <w:r>
        <w:t xml:space="preserve"> Daarnaast bestaan er naast de reguliere fondsen EU fondsen</w:t>
      </w:r>
      <w:r>
        <w:rPr>
          <w:rStyle w:val="FootnoteReference"/>
          <w:rFonts w:cs="Arial"/>
        </w:rPr>
        <w:footnoteReference w:id="72"/>
      </w:r>
      <w:r>
        <w:t xml:space="preserve"> die zich specifiek richten op UPG’s vanwege hun buitengewone positie binnen de EU. </w:t>
      </w:r>
    </w:p>
    <w:p w:rsidR="00A64945" w:rsidRPr="00B45931" w:rsidRDefault="00A64945" w:rsidP="00B45931">
      <w:pPr>
        <w:pStyle w:val="ListParagraph"/>
        <w:numPr>
          <w:ilvl w:val="0"/>
          <w:numId w:val="32"/>
        </w:numPr>
        <w:tabs>
          <w:tab w:val="left" w:pos="3438"/>
        </w:tabs>
        <w:spacing w:after="0" w:line="360" w:lineRule="auto"/>
        <w:ind w:hanging="720"/>
        <w:jc w:val="both"/>
        <w:rPr>
          <w:b/>
          <w:i/>
          <w:sz w:val="18"/>
          <w:szCs w:val="18"/>
        </w:rPr>
      </w:pPr>
      <w:r w:rsidRPr="00B45931">
        <w:rPr>
          <w:b/>
          <w:i/>
          <w:sz w:val="18"/>
          <w:szCs w:val="18"/>
        </w:rPr>
        <w:t>Sociale gevolgen</w:t>
      </w:r>
    </w:p>
    <w:p w:rsidR="00A64945" w:rsidRDefault="00A64945" w:rsidP="00251A98">
      <w:pPr>
        <w:tabs>
          <w:tab w:val="left" w:pos="3438"/>
        </w:tabs>
        <w:spacing w:after="0" w:line="360" w:lineRule="auto"/>
        <w:jc w:val="both"/>
      </w:pPr>
      <w:r>
        <w:t>Het gegeven dat het toekomstige UPG steun van diverse fondsen tot zijn beschikking zal hebben,  heeft mijns inziens tevens sociale gevolgen voor desbetreffend UPG.  Op sociaal gebied zal het UPG hier namelijk ook profijt van kunnen gaan ondervinden. Denk bijvoorbeeld aan het Europees Sociaal Fonds (ESF). Het ESF is een van de structuurfondsen van de EU en is in het leven geroepen om verschillen in welvaart en levensstandaard tussen EU- lidstaten en –regio’s terug te dringen, mede door het bieden van ondersteuning van werkgelegenheid. Zodoende streeft het ESF ernaar de  economische en sociale samenhang binnen de EU te versterken.</w:t>
      </w:r>
      <w:r>
        <w:rPr>
          <w:rStyle w:val="FootnoteReference"/>
          <w:rFonts w:cs="Arial"/>
        </w:rPr>
        <w:footnoteReference w:id="73"/>
      </w:r>
      <w:r>
        <w:t xml:space="preserve"> Door onderdeel te zijn van de EU, kunnen UPG’s, indien zij aan bepaalde voorwaarden</w:t>
      </w:r>
      <w:r>
        <w:rPr>
          <w:rStyle w:val="FootnoteReference"/>
          <w:rFonts w:cs="Arial"/>
        </w:rPr>
        <w:footnoteReference w:id="74"/>
      </w:r>
      <w:r>
        <w:t xml:space="preserve"> voldoen,  rekenen op steun van dergelijke fondsen. </w:t>
      </w:r>
    </w:p>
    <w:p w:rsidR="00A64945" w:rsidRDefault="00A64945" w:rsidP="00251A98">
      <w:pPr>
        <w:autoSpaceDE w:val="0"/>
        <w:autoSpaceDN w:val="0"/>
        <w:adjustRightInd w:val="0"/>
        <w:spacing w:after="0" w:line="360" w:lineRule="auto"/>
        <w:jc w:val="both"/>
        <w:rPr>
          <w:rFonts w:cs="Times New Roman"/>
        </w:rPr>
      </w:pPr>
      <w:r>
        <w:rPr>
          <w:rFonts w:cs="Times New Roman"/>
        </w:rPr>
        <w:t>In het rapport ‘</w:t>
      </w:r>
      <w:r w:rsidRPr="00305908">
        <w:rPr>
          <w:rFonts w:cs="Times New Roman"/>
        </w:rPr>
        <w:t xml:space="preserve">Banden met Brussel: </w:t>
      </w:r>
      <w:r w:rsidRPr="00305908">
        <w:rPr>
          <w:rFonts w:cs="Times New Roman"/>
          <w:i/>
        </w:rPr>
        <w:t>de betrekkingen van de Nederlandse Antillen en Aruba met de Europese Unie</w:t>
      </w:r>
      <w:r>
        <w:rPr>
          <w:rFonts w:cs="Times New Roman"/>
          <w:i/>
        </w:rPr>
        <w:t>’</w:t>
      </w:r>
      <w:r>
        <w:rPr>
          <w:rStyle w:val="FootnoteReference"/>
        </w:rPr>
        <w:footnoteReference w:id="75"/>
      </w:r>
      <w:r w:rsidRPr="00305908">
        <w:rPr>
          <w:rFonts w:cs="Times New Roman"/>
        </w:rPr>
        <w:t>(hierna</w:t>
      </w:r>
      <w:r>
        <w:rPr>
          <w:rFonts w:cs="Times New Roman"/>
        </w:rPr>
        <w:t>:</w:t>
      </w:r>
      <w:r w:rsidRPr="00305908">
        <w:rPr>
          <w:rFonts w:cs="Times New Roman"/>
        </w:rPr>
        <w:t xml:space="preserve"> rapport)</w:t>
      </w:r>
      <w:r>
        <w:rPr>
          <w:rFonts w:cs="Times New Roman"/>
          <w:i/>
        </w:rPr>
        <w:t xml:space="preserve"> </w:t>
      </w:r>
      <w:r>
        <w:rPr>
          <w:rFonts w:cs="Times New Roman"/>
        </w:rPr>
        <w:t>worden</w:t>
      </w:r>
      <w:r>
        <w:rPr>
          <w:rFonts w:cs="Times New Roman"/>
          <w:i/>
        </w:rPr>
        <w:t xml:space="preserve"> </w:t>
      </w:r>
      <w:r>
        <w:rPr>
          <w:rFonts w:cs="Times New Roman"/>
        </w:rPr>
        <w:t xml:space="preserve">bovendien enkele sociale gevolgen voor de Nederlandse Antillen en Aruba van de aanname van de UPG status gesignaleerd. Volgens dit rapport zal </w:t>
      </w:r>
      <w:r w:rsidRPr="00305908">
        <w:rPr>
          <w:rFonts w:cs="Times New Roman"/>
        </w:rPr>
        <w:t>bij de aanname van de UPG- status op het terrein van het sociaal beleid een uitgebreid pakket aan EU-</w:t>
      </w:r>
      <w:r>
        <w:rPr>
          <w:rFonts w:cs="Times New Roman"/>
        </w:rPr>
        <w:t xml:space="preserve"> </w:t>
      </w:r>
      <w:r w:rsidRPr="00305908">
        <w:rPr>
          <w:rFonts w:cs="Times New Roman"/>
        </w:rPr>
        <w:t>regelgeving op de Nederlandse Antillen en Aruba van kracht worden.</w:t>
      </w:r>
      <w:r>
        <w:rPr>
          <w:rStyle w:val="FootnoteReference"/>
        </w:rPr>
        <w:footnoteReference w:id="76"/>
      </w:r>
      <w:r w:rsidRPr="00305908">
        <w:rPr>
          <w:rFonts w:cs="Times New Roman"/>
        </w:rPr>
        <w:t xml:space="preserve"> Dit zal volgens genoemd rapport invloed </w:t>
      </w:r>
      <w:r>
        <w:rPr>
          <w:rFonts w:cs="Times New Roman"/>
        </w:rPr>
        <w:t>gaan uitoefenen</w:t>
      </w:r>
      <w:r w:rsidRPr="00305908">
        <w:rPr>
          <w:rFonts w:cs="Times New Roman"/>
        </w:rPr>
        <w:t xml:space="preserve"> op een veelheid aan sociale onderwerpen</w:t>
      </w:r>
      <w:r>
        <w:rPr>
          <w:rFonts w:cs="Times New Roman"/>
        </w:rPr>
        <w:t xml:space="preserve"> in deze gebieden</w:t>
      </w:r>
      <w:r w:rsidRPr="00305908">
        <w:rPr>
          <w:rFonts w:cs="Times New Roman"/>
        </w:rPr>
        <w:t xml:space="preserve">. </w:t>
      </w:r>
    </w:p>
    <w:p w:rsidR="00A64945" w:rsidRPr="00305908" w:rsidRDefault="00A64945" w:rsidP="00251A98">
      <w:pPr>
        <w:autoSpaceDE w:val="0"/>
        <w:autoSpaceDN w:val="0"/>
        <w:adjustRightInd w:val="0"/>
        <w:spacing w:after="0" w:line="360" w:lineRule="auto"/>
        <w:jc w:val="both"/>
        <w:rPr>
          <w:rFonts w:cs="Times New Roman"/>
        </w:rPr>
      </w:pPr>
      <w:r>
        <w:rPr>
          <w:rFonts w:cs="Times New Roman"/>
        </w:rPr>
        <w:t xml:space="preserve">Voorbeelden van </w:t>
      </w:r>
      <w:r w:rsidRPr="00305908">
        <w:rPr>
          <w:rFonts w:cs="Times New Roman"/>
        </w:rPr>
        <w:t xml:space="preserve">sociale terreinen die </w:t>
      </w:r>
      <w:r>
        <w:rPr>
          <w:rFonts w:cs="Times New Roman"/>
        </w:rPr>
        <w:t xml:space="preserve">volgens dit rapport </w:t>
      </w:r>
      <w:r w:rsidRPr="00305908">
        <w:rPr>
          <w:rFonts w:cs="Times New Roman"/>
        </w:rPr>
        <w:t>geraakt zullen worden</w:t>
      </w:r>
      <w:r>
        <w:rPr>
          <w:rFonts w:cs="Times New Roman"/>
        </w:rPr>
        <w:t xml:space="preserve"> door de aanname van de UPG- status bevinden zich </w:t>
      </w:r>
      <w:r w:rsidRPr="00305908">
        <w:rPr>
          <w:rFonts w:cs="Times New Roman"/>
        </w:rPr>
        <w:t xml:space="preserve">op het gebied van de bescherming van de veiligheid en gezondheid van werknemers, de sociale bescherming en het recht op collectieve verdediging van de belangen tot de gelijke behandeling van mannen en vrouwen. </w:t>
      </w:r>
    </w:p>
    <w:p w:rsidR="00A64945" w:rsidRPr="00305908" w:rsidRDefault="00A64945" w:rsidP="00251A98">
      <w:pPr>
        <w:autoSpaceDE w:val="0"/>
        <w:autoSpaceDN w:val="0"/>
        <w:adjustRightInd w:val="0"/>
        <w:spacing w:after="0" w:line="360" w:lineRule="auto"/>
        <w:jc w:val="both"/>
      </w:pPr>
      <w:r>
        <w:rPr>
          <w:rFonts w:cs="Times New Roman"/>
        </w:rPr>
        <w:t xml:space="preserve">Het loonbeleid van het toekomstige UPG zal echter niet getroffen worden door de verworven status. </w:t>
      </w:r>
      <w:r w:rsidRPr="00305908">
        <w:rPr>
          <w:rFonts w:cs="Times New Roman"/>
        </w:rPr>
        <w:t>Volgens het rapport strekt het EU-</w:t>
      </w:r>
      <w:r>
        <w:rPr>
          <w:rFonts w:cs="Times New Roman"/>
        </w:rPr>
        <w:t xml:space="preserve"> </w:t>
      </w:r>
      <w:r w:rsidRPr="00305908">
        <w:rPr>
          <w:rFonts w:cs="Times New Roman"/>
        </w:rPr>
        <w:t xml:space="preserve">beleid zich </w:t>
      </w:r>
      <w:r>
        <w:rPr>
          <w:rFonts w:cs="Times New Roman"/>
        </w:rPr>
        <w:t xml:space="preserve">namelijk </w:t>
      </w:r>
      <w:r w:rsidRPr="00305908">
        <w:rPr>
          <w:rFonts w:cs="Times New Roman"/>
        </w:rPr>
        <w:t>niet uit</w:t>
      </w:r>
      <w:r>
        <w:rPr>
          <w:rFonts w:cs="Times New Roman"/>
        </w:rPr>
        <w:t xml:space="preserve"> tot de hoogte van het minimum</w:t>
      </w:r>
      <w:r w:rsidRPr="00305908">
        <w:rPr>
          <w:rFonts w:cs="Times New Roman"/>
        </w:rPr>
        <w:t xml:space="preserve">loon </w:t>
      </w:r>
      <w:r w:rsidRPr="00305908">
        <w:rPr>
          <w:rFonts w:cs="Times New Roman"/>
        </w:rPr>
        <w:lastRenderedPageBreak/>
        <w:t xml:space="preserve">of het stelsel van sociale zekerheid en pensioenen. Op deze terreinen blijven de </w:t>
      </w:r>
      <w:r>
        <w:rPr>
          <w:rFonts w:cs="Times New Roman"/>
        </w:rPr>
        <w:t>l</w:t>
      </w:r>
      <w:r w:rsidRPr="00305908">
        <w:rPr>
          <w:rFonts w:cs="Times New Roman"/>
        </w:rPr>
        <w:t>id- Staten</w:t>
      </w:r>
      <w:r>
        <w:rPr>
          <w:rStyle w:val="FootnoteReference"/>
        </w:rPr>
        <w:footnoteReference w:id="77"/>
      </w:r>
      <w:r w:rsidRPr="00305908">
        <w:rPr>
          <w:rFonts w:cs="Times New Roman"/>
        </w:rPr>
        <w:t xml:space="preserve"> zelf bevoegd, hoewel ook hierbij</w:t>
      </w:r>
      <w:r>
        <w:rPr>
          <w:rFonts w:cs="Times New Roman"/>
        </w:rPr>
        <w:t xml:space="preserve"> volgens het rapport</w:t>
      </w:r>
      <w:r w:rsidRPr="00305908">
        <w:rPr>
          <w:rFonts w:cs="Times New Roman"/>
        </w:rPr>
        <w:t xml:space="preserve"> steeds meer beleidscoördinatie tussen de </w:t>
      </w:r>
      <w:r>
        <w:rPr>
          <w:rFonts w:cs="Times New Roman"/>
        </w:rPr>
        <w:t>l</w:t>
      </w:r>
      <w:r w:rsidRPr="00305908">
        <w:rPr>
          <w:rFonts w:cs="Times New Roman"/>
        </w:rPr>
        <w:t xml:space="preserve">id- Staten optreedt. Zo vereist het vrije verkeer van werknemers </w:t>
      </w:r>
      <w:r>
        <w:rPr>
          <w:rFonts w:cs="Times New Roman"/>
        </w:rPr>
        <w:t xml:space="preserve">volgens het rapport </w:t>
      </w:r>
      <w:r w:rsidRPr="00305908">
        <w:rPr>
          <w:rFonts w:cs="Times New Roman"/>
        </w:rPr>
        <w:t>een goede coördinatie van de sociale zekerheidsstelsels</w:t>
      </w:r>
      <w:r>
        <w:rPr>
          <w:rStyle w:val="FootnoteReference"/>
        </w:rPr>
        <w:footnoteReference w:id="78"/>
      </w:r>
      <w:r w:rsidRPr="00305908">
        <w:rPr>
          <w:rFonts w:cs="Times New Roman"/>
        </w:rPr>
        <w:t xml:space="preserve"> en is in het kader van de EMU</w:t>
      </w:r>
      <w:r>
        <w:rPr>
          <w:rStyle w:val="FootnoteReference"/>
        </w:rPr>
        <w:footnoteReference w:id="79"/>
      </w:r>
      <w:r w:rsidRPr="00305908">
        <w:rPr>
          <w:rFonts w:cs="Times New Roman"/>
        </w:rPr>
        <w:t xml:space="preserve"> de inrichting van de nationale pensioenstelsels in het licht van de vergrijzing een belangrijk thema.</w:t>
      </w:r>
    </w:p>
    <w:p w:rsidR="00A64945" w:rsidRDefault="00A64945" w:rsidP="00AE333F">
      <w:pPr>
        <w:tabs>
          <w:tab w:val="left" w:pos="3438"/>
        </w:tabs>
        <w:spacing w:after="0" w:line="360" w:lineRule="auto"/>
        <w:jc w:val="both"/>
        <w:rPr>
          <w:b/>
          <w:i/>
          <w:sz w:val="18"/>
          <w:szCs w:val="18"/>
        </w:rPr>
      </w:pPr>
    </w:p>
    <w:p w:rsidR="00A64945" w:rsidRPr="00B45931" w:rsidRDefault="00A64945" w:rsidP="00B45931">
      <w:pPr>
        <w:pStyle w:val="ListParagraph"/>
        <w:numPr>
          <w:ilvl w:val="0"/>
          <w:numId w:val="32"/>
        </w:numPr>
        <w:tabs>
          <w:tab w:val="left" w:pos="3438"/>
        </w:tabs>
        <w:spacing w:after="0" w:line="360" w:lineRule="auto"/>
        <w:ind w:hanging="720"/>
        <w:jc w:val="both"/>
        <w:rPr>
          <w:b/>
          <w:i/>
          <w:sz w:val="18"/>
          <w:szCs w:val="18"/>
        </w:rPr>
      </w:pPr>
      <w:r w:rsidRPr="00B45931">
        <w:rPr>
          <w:b/>
          <w:i/>
          <w:sz w:val="18"/>
          <w:szCs w:val="18"/>
        </w:rPr>
        <w:t>Juridische gevolgen</w:t>
      </w:r>
    </w:p>
    <w:p w:rsidR="00A64945" w:rsidRDefault="00A64945" w:rsidP="00AE333F">
      <w:pPr>
        <w:tabs>
          <w:tab w:val="left" w:pos="3438"/>
        </w:tabs>
        <w:spacing w:after="0" w:line="360" w:lineRule="auto"/>
        <w:jc w:val="both"/>
      </w:pPr>
      <w:r>
        <w:t xml:space="preserve">Juridische factoren van een statuswisseling zijn de implicaties van de inwerkingtreding van het </w:t>
      </w:r>
      <w:r w:rsidRPr="00A612A6">
        <w:rPr>
          <w:i/>
        </w:rPr>
        <w:t>Acquis Communautaire</w:t>
      </w:r>
      <w:r>
        <w:t xml:space="preserve"> voor het UPG en de potentiële afwijkingen</w:t>
      </w:r>
      <w:r>
        <w:rPr>
          <w:rStyle w:val="FootnoteReference"/>
          <w:rFonts w:cs="Arial"/>
        </w:rPr>
        <w:footnoteReference w:id="80"/>
      </w:r>
      <w:r>
        <w:t xml:space="preserve"> hiervan die voor UPG’s zijn weggelegd.</w:t>
      </w:r>
      <w:r>
        <w:rPr>
          <w:rStyle w:val="FootnoteReference"/>
          <w:rFonts w:cs="Arial"/>
        </w:rPr>
        <w:footnoteReference w:id="81"/>
      </w:r>
      <w:r>
        <w:t xml:space="preserve"> Het aannemen van het </w:t>
      </w:r>
      <w:r w:rsidRPr="00A612A6">
        <w:rPr>
          <w:i/>
        </w:rPr>
        <w:t>Acquis Communautaire</w:t>
      </w:r>
      <w:r>
        <w:t xml:space="preserve"> in het UPG zal zowel aanloopkosten als operationele kosten met zich meebrengen. </w:t>
      </w:r>
      <w:r w:rsidRPr="005475F1">
        <w:t xml:space="preserve">Een voorbeeld van aanloopkosten zijn de kosten die gemoeid gaan met  het werven van personeel dat over de nodige deskundigheid beschikt om de invoering van het </w:t>
      </w:r>
      <w:r>
        <w:t>Eu- recht in het UPG</w:t>
      </w:r>
      <w:r w:rsidRPr="005475F1">
        <w:t xml:space="preserve"> te begeleiden. De</w:t>
      </w:r>
      <w:r>
        <w:t xml:space="preserve"> omvang van deze kosten zullen afhankelijk zijn van de lokale institutionele capaciteit in het UPG, de impliciete voorwaarden verbonden aan het implementeren van het</w:t>
      </w:r>
      <w:r w:rsidRPr="007321DE">
        <w:rPr>
          <w:i/>
        </w:rPr>
        <w:t xml:space="preserve"> </w:t>
      </w:r>
      <w:r w:rsidRPr="00A612A6">
        <w:rPr>
          <w:i/>
        </w:rPr>
        <w:t>Acquis Communautaire</w:t>
      </w:r>
      <w:r>
        <w:t xml:space="preserve"> en de mogelijke discrepantie tussen de huidige en de te introduceren wetgeving, voorschriften, verordeningen en besluiten.</w:t>
      </w:r>
      <w:r>
        <w:rPr>
          <w:rStyle w:val="FootnoteReference"/>
          <w:rFonts w:cs="Arial"/>
        </w:rPr>
        <w:footnoteReference w:id="82"/>
      </w:r>
    </w:p>
    <w:p w:rsidR="00A64945" w:rsidRDefault="00A64945" w:rsidP="00AE333F">
      <w:pPr>
        <w:spacing w:line="360" w:lineRule="auto"/>
        <w:jc w:val="both"/>
      </w:pPr>
      <w:r>
        <w:t>Ik richt me op de fiscaal</w:t>
      </w:r>
      <w:r w:rsidRPr="006733F6">
        <w:t xml:space="preserve">juridische aspecten van een </w:t>
      </w:r>
      <w:r>
        <w:t>omschakeling naar de UPG- status.</w:t>
      </w:r>
      <w:r w:rsidRPr="006733F6">
        <w:t xml:space="preserve"> Ik </w:t>
      </w:r>
      <w:r>
        <w:t>baken</w:t>
      </w:r>
      <w:r w:rsidRPr="006733F6">
        <w:t xml:space="preserve"> dit onderwerp </w:t>
      </w:r>
      <w:r>
        <w:t>af</w:t>
      </w:r>
      <w:r w:rsidRPr="006733F6">
        <w:t xml:space="preserve"> door voor een specifi</w:t>
      </w:r>
      <w:r>
        <w:t xml:space="preserve">eke Curaçaose fiscale regeling </w:t>
      </w:r>
      <w:r w:rsidRPr="006733F6">
        <w:t xml:space="preserve">te gaan onderzoeken wat de consequenties zijn van </w:t>
      </w:r>
      <w:r>
        <w:t>het overstappen op</w:t>
      </w:r>
      <w:r w:rsidRPr="006733F6">
        <w:t xml:space="preserve"> de UPG- status. De fiscale regeling waarvoor ik heb </w:t>
      </w:r>
      <w:r w:rsidRPr="006733F6">
        <w:lastRenderedPageBreak/>
        <w:t>gekozen is het</w:t>
      </w:r>
      <w:r>
        <w:t xml:space="preserve"> Curaçaose</w:t>
      </w:r>
      <w:r w:rsidRPr="006733F6">
        <w:t xml:space="preserve"> E- Zoneregime.</w:t>
      </w:r>
      <w:r>
        <w:rPr>
          <w:rStyle w:val="FootnoteReference"/>
          <w:rFonts w:cs="Arial"/>
        </w:rPr>
        <w:footnoteReference w:id="83"/>
      </w:r>
      <w:r w:rsidRPr="006733F6">
        <w:t xml:space="preserve"> Het E</w:t>
      </w:r>
      <w:r>
        <w:t xml:space="preserve">- Zoneregime komt in hoofdstuk drie </w:t>
      </w:r>
      <w:r w:rsidRPr="006733F6">
        <w:t xml:space="preserve">uitgebreid aan de orde. </w:t>
      </w:r>
      <w:r w:rsidRPr="00064448">
        <w:t xml:space="preserve">Ik wil in mijn scriptie gaan onderzoeken wat de </w:t>
      </w:r>
      <w:r>
        <w:t xml:space="preserve">fiscaaljuridische </w:t>
      </w:r>
      <w:r w:rsidRPr="00064448">
        <w:t xml:space="preserve">gevolgen zullen zijn </w:t>
      </w:r>
      <w:r>
        <w:t>voor het E- Z</w:t>
      </w:r>
      <w:r w:rsidRPr="00064448">
        <w:t>onereg</w:t>
      </w:r>
      <w:r>
        <w:t>ime dat Curaçao momenteel kent indien Curaçao die overstap maakt naar de UPG- status, teneinde</w:t>
      </w:r>
      <w:r w:rsidRPr="00064448">
        <w:t xml:space="preserve"> een oordeel te kunnen vormen of het huidige </w:t>
      </w:r>
      <w:r>
        <w:t xml:space="preserve">Curaçaose E- Zoneregime Europees rechtelijk bestendig is en om eventueel te kunnen bepalen wat er dient te gebeuren, bijvoorbeeld welke veranderingen er doorgevoerd dienen te worden om het huidige E- Zoneregime (meer) Europees rechtelijk bestendig te maken. Met Europees rechtelijke bestendigheid bedoel ik in overeenstemming met het EU- recht. De mate van Europees rechtelijke bestendigheid wordt bepaald door de mate van strijdigheid met het EU- recht. Hoe meer (mogelijke) strijdigheid het huidige Curaçaose E- Zoneregime met het EU- recht vertoont, hoe minder Europees rechtelijk bestendig dit regime  is.  </w:t>
      </w:r>
      <w:r w:rsidRPr="00064448">
        <w:t xml:space="preserve">Het onderzoek zal kwalitatief van aard zijn. Een kwantitatief onderzoek is immers feitelijk niet mogelijk aangezien geen cijfers beschikbaar zijn over de situatie die op Curaçao zal ontstaan na de aanname van de UPG- status. </w:t>
      </w:r>
      <w:r>
        <w:t>De vraag die in deze scriptie centraal zal staan luidt als volgt:</w:t>
      </w:r>
    </w:p>
    <w:p w:rsidR="00A64945" w:rsidRPr="000F7A01" w:rsidRDefault="00A64945" w:rsidP="000F7A01">
      <w:pPr>
        <w:shd w:val="clear" w:color="auto" w:fill="4BACC6"/>
        <w:spacing w:line="360" w:lineRule="auto"/>
        <w:jc w:val="both"/>
        <w:rPr>
          <w:b/>
          <w:i/>
          <w:sz w:val="24"/>
          <w:szCs w:val="24"/>
        </w:rPr>
      </w:pPr>
      <w:r>
        <w:rPr>
          <w:b/>
          <w:i/>
          <w:sz w:val="24"/>
          <w:szCs w:val="24"/>
        </w:rPr>
        <w:t xml:space="preserve">‘ In hoeverre is de op de landsverordening economische zone 2000 gebaseerde huidige Curaçaose economische zone, gegeven het feit dat Curaçao de UPG- status aanvaart en </w:t>
      </w:r>
      <w:r w:rsidRPr="000F7A01">
        <w:rPr>
          <w:b/>
          <w:i/>
          <w:sz w:val="24"/>
          <w:szCs w:val="24"/>
        </w:rPr>
        <w:t xml:space="preserve">uitsluitend </w:t>
      </w:r>
      <w:r w:rsidRPr="000F7A01">
        <w:rPr>
          <w:b/>
          <w:i/>
          <w:sz w:val="24"/>
          <w:szCs w:val="24"/>
          <w:shd w:val="clear" w:color="auto" w:fill="4BACC6"/>
        </w:rPr>
        <w:t xml:space="preserve">gezien vanuit een fiscaal perspectief, </w:t>
      </w:r>
      <w:r>
        <w:rPr>
          <w:b/>
          <w:i/>
          <w:sz w:val="24"/>
          <w:szCs w:val="24"/>
          <w:shd w:val="clear" w:color="auto" w:fill="4BACC6"/>
        </w:rPr>
        <w:t xml:space="preserve">Europees rechtelijk </w:t>
      </w:r>
      <w:r w:rsidRPr="007E1AED">
        <w:rPr>
          <w:b/>
          <w:i/>
          <w:sz w:val="24"/>
          <w:szCs w:val="24"/>
          <w:shd w:val="clear" w:color="auto" w:fill="4BACC6"/>
        </w:rPr>
        <w:t>bestendig?’</w:t>
      </w:r>
    </w:p>
    <w:p w:rsidR="00A64945" w:rsidRDefault="00A64945" w:rsidP="003D0F43">
      <w:pPr>
        <w:spacing w:after="0" w:line="360" w:lineRule="auto"/>
        <w:jc w:val="both"/>
      </w:pPr>
    </w:p>
    <w:p w:rsidR="00A64945" w:rsidRDefault="00A64945" w:rsidP="000F7A01">
      <w:pPr>
        <w:pStyle w:val="Heading2"/>
        <w:spacing w:before="0" w:line="360" w:lineRule="auto"/>
        <w:jc w:val="both"/>
        <w:rPr>
          <w:color w:val="auto"/>
        </w:rPr>
      </w:pPr>
      <w:bookmarkStart w:id="19" w:name="_Toc299634266"/>
      <w:r>
        <w:rPr>
          <w:color w:val="auto"/>
        </w:rPr>
        <w:t>§1.3</w:t>
      </w:r>
      <w:r w:rsidRPr="00D10AB6">
        <w:rPr>
          <w:color w:val="auto"/>
        </w:rPr>
        <w:t xml:space="preserve"> </w:t>
      </w:r>
      <w:r>
        <w:rPr>
          <w:color w:val="auto"/>
        </w:rPr>
        <w:t>Opzet onderzoek</w:t>
      </w:r>
      <w:bookmarkEnd w:id="19"/>
    </w:p>
    <w:p w:rsidR="00A64945" w:rsidRDefault="00A64945" w:rsidP="003D0F43">
      <w:pPr>
        <w:spacing w:after="0" w:line="360" w:lineRule="auto"/>
        <w:jc w:val="both"/>
      </w:pPr>
    </w:p>
    <w:p w:rsidR="00A64945" w:rsidRDefault="00A64945" w:rsidP="00E772D8">
      <w:pPr>
        <w:spacing w:after="0" w:line="360" w:lineRule="auto"/>
        <w:jc w:val="both"/>
        <w:rPr>
          <w:i/>
        </w:rPr>
      </w:pPr>
      <w:r>
        <w:t xml:space="preserve">In twee volgende </w:t>
      </w:r>
      <w:r w:rsidRPr="00C5325D">
        <w:t>hoofdstuk</w:t>
      </w:r>
      <w:r>
        <w:t xml:space="preserve">ken wordt de uitgangssituatie van de in deze scriptie te verrichten analyse in kaart gebracht. Daartoe </w:t>
      </w:r>
      <w:r w:rsidRPr="00C5325D">
        <w:t xml:space="preserve">komen twee </w:t>
      </w:r>
      <w:r>
        <w:t>onderwerpen</w:t>
      </w:r>
      <w:r w:rsidRPr="00C5325D">
        <w:t xml:space="preserve"> aan bod. Dit zijn een beschrijving van </w:t>
      </w:r>
      <w:r>
        <w:t>het fiscale EU- recht dat van toepassing is op UPG’s  (H2)</w:t>
      </w:r>
      <w:r w:rsidRPr="00C5325D">
        <w:t xml:space="preserve"> </w:t>
      </w:r>
      <w:r>
        <w:t xml:space="preserve">en een beschrijving van het </w:t>
      </w:r>
      <w:r w:rsidRPr="00B44448">
        <w:t xml:space="preserve"> </w:t>
      </w:r>
      <w:r>
        <w:t xml:space="preserve">Curaçaose </w:t>
      </w:r>
      <w:r w:rsidRPr="00B44448">
        <w:t>E-</w:t>
      </w:r>
      <w:r>
        <w:t xml:space="preserve"> Zone</w:t>
      </w:r>
      <w:r w:rsidRPr="00B44448">
        <w:t>regime</w:t>
      </w:r>
      <w:r>
        <w:t xml:space="preserve"> (H3).  </w:t>
      </w:r>
      <w:r w:rsidRPr="004F4297">
        <w:t xml:space="preserve">In </w:t>
      </w:r>
      <w:r>
        <w:t>§1.1.3</w:t>
      </w:r>
      <w:r w:rsidRPr="004F4297">
        <w:t>. is</w:t>
      </w:r>
      <w:r>
        <w:t xml:space="preserve"> het onderwerp ‘</w:t>
      </w:r>
      <w:r w:rsidRPr="004F4297">
        <w:t>U</w:t>
      </w:r>
      <w:r>
        <w:t>ltraperifere gebieden’ al kort aan de orde geweest</w:t>
      </w:r>
      <w:r w:rsidRPr="004F4297">
        <w:t xml:space="preserve">. In het </w:t>
      </w:r>
      <w:r>
        <w:t xml:space="preserve">tweede </w:t>
      </w:r>
      <w:r w:rsidRPr="004F4297">
        <w:t xml:space="preserve">hoofdstuk wordt </w:t>
      </w:r>
      <w:r>
        <w:t>dieper ingegaan op dit onderwerp</w:t>
      </w:r>
      <w:r w:rsidRPr="004F4297">
        <w:t xml:space="preserve">. De UPG- status </w:t>
      </w:r>
      <w:r>
        <w:t xml:space="preserve">wordt </w:t>
      </w:r>
      <w:r w:rsidRPr="004F4297">
        <w:t>in zijn algemeenheid beschreven waarbij elementen als de E</w:t>
      </w:r>
      <w:r>
        <w:t xml:space="preserve">U- verdragsvrijheden, de belastingrichtlijnen, </w:t>
      </w:r>
      <w:r w:rsidRPr="004F4297">
        <w:t xml:space="preserve">schadelijke belastingconcurrentie en staatssteun aan bod zullen komen. </w:t>
      </w:r>
    </w:p>
    <w:p w:rsidR="00A64945" w:rsidRDefault="00A64945" w:rsidP="00E37DE1">
      <w:pPr>
        <w:spacing w:after="0" w:line="360" w:lineRule="auto"/>
        <w:jc w:val="both"/>
      </w:pPr>
      <w:r>
        <w:t xml:space="preserve">Het tweede onderwerp dat in hoofdstuk drie aan bod komt, het Curaçaose E- Zoneregime, omvat een beschrijving van de E- Zone activiteiten, de voorwaarden die gelden bij de toelating tot een E- Zone en de fiscale faciliteiten verbonden aan het gevestigd zijn in een E- Zone. Hierbij zal er specifiek ingegaan worden op de fiscale faciliteiten in de sfeer van de winstbelasting, de omzetbelasting, </w:t>
      </w:r>
      <w:r>
        <w:lastRenderedPageBreak/>
        <w:t xml:space="preserve">invoerrechten en accijnzen en de loonbelasting. In §3.4 worden de fiscale tegemoetkomingen voor de Curaçaose E- Zoneondernemer samenvattend weergegeven. De fiscale faciliteiten die kleven aan het Curaçaose E- Zoneregime zijn het object van en dienen als uitgangspunt voor de analyse die in hoofdstuk vier plaats zal vinden.  </w:t>
      </w:r>
    </w:p>
    <w:p w:rsidR="00A64945" w:rsidRDefault="00A64945" w:rsidP="00E37DE1">
      <w:pPr>
        <w:spacing w:after="0" w:line="360" w:lineRule="auto"/>
        <w:jc w:val="both"/>
      </w:pPr>
      <w:r>
        <w:t>In hoofdstuk vier volgt deze</w:t>
      </w:r>
      <w:r w:rsidRPr="003E100B">
        <w:t xml:space="preserve"> analyse. </w:t>
      </w:r>
      <w:r>
        <w:t xml:space="preserve">Het toetsingskader hierbij is het fiscale EU- recht. Het fiscale EU- recht omvat de onderdelen van het EU- recht die in hoofdstuk twee aan de orde zijn gekomen. </w:t>
      </w:r>
    </w:p>
    <w:p w:rsidR="00A64945" w:rsidRPr="005D466E" w:rsidRDefault="00A64945" w:rsidP="00E37DE1">
      <w:pPr>
        <w:spacing w:after="0" w:line="360" w:lineRule="auto"/>
        <w:jc w:val="both"/>
      </w:pPr>
      <w:r w:rsidRPr="005D466E">
        <w:t>De scriptie wor</w:t>
      </w:r>
      <w:r>
        <w:t>dt afgesloten met hoofdstuk vijf. Dit hoofdstuk bevat het concluderende gedeelte van de scriptie.</w:t>
      </w:r>
      <w:r w:rsidRPr="00E37DE1">
        <w:t xml:space="preserve"> </w:t>
      </w:r>
      <w:r>
        <w:t xml:space="preserve">De conclusie bevat het antwoord op de probleemstelling: in dit hoofdstuk </w:t>
      </w:r>
      <w:r w:rsidRPr="00C13BCB">
        <w:t xml:space="preserve">zal vastgelegd worden </w:t>
      </w:r>
      <w:r>
        <w:t>in hoeverre het huidige E- Zoneregime concordeert met het EU- recht.</w:t>
      </w:r>
    </w:p>
    <w:p w:rsidR="00A64945" w:rsidRPr="00E43FD3" w:rsidRDefault="00A64945" w:rsidP="00A669E2">
      <w:pPr>
        <w:spacing w:after="0" w:line="360" w:lineRule="auto"/>
        <w:jc w:val="both"/>
      </w:pPr>
    </w:p>
    <w:p w:rsidR="00A64945" w:rsidRPr="00E357EB" w:rsidRDefault="00A64945" w:rsidP="00E357EB">
      <w:pPr>
        <w:spacing w:line="360" w:lineRule="auto"/>
        <w:jc w:val="both"/>
        <w:rPr>
          <w:rFonts w:cs="Times New Roman"/>
          <w:b/>
          <w:bCs/>
          <w:sz w:val="28"/>
          <w:szCs w:val="28"/>
        </w:rPr>
      </w:pPr>
      <w:r w:rsidRPr="004C48F3">
        <w:rPr>
          <w:rFonts w:cs="Times New Roman"/>
          <w:b/>
          <w:bCs/>
          <w:sz w:val="28"/>
          <w:szCs w:val="28"/>
        </w:rPr>
        <w:br w:type="page"/>
      </w:r>
      <w:r>
        <w:lastRenderedPageBreak/>
        <w:tab/>
      </w:r>
    </w:p>
    <w:p w:rsidR="00A64945" w:rsidRDefault="00A64945" w:rsidP="00B6772C">
      <w:pPr>
        <w:pStyle w:val="Heading1"/>
        <w:spacing w:before="0" w:line="360" w:lineRule="auto"/>
        <w:jc w:val="both"/>
        <w:rPr>
          <w:rFonts w:ascii="Calibri" w:hAnsi="Calibri"/>
          <w:color w:val="auto"/>
        </w:rPr>
      </w:pPr>
      <w:bookmarkStart w:id="20" w:name="_Toc287433423"/>
      <w:bookmarkStart w:id="21" w:name="_Toc299634267"/>
      <w:r>
        <w:rPr>
          <w:rFonts w:ascii="Calibri" w:hAnsi="Calibri"/>
          <w:color w:val="auto"/>
        </w:rPr>
        <w:t>H2</w:t>
      </w:r>
      <w:r w:rsidRPr="006B6DF3">
        <w:rPr>
          <w:rFonts w:ascii="Calibri" w:hAnsi="Calibri"/>
          <w:color w:val="auto"/>
        </w:rPr>
        <w:t>. Ultraperifere gebieden</w:t>
      </w:r>
      <w:bookmarkEnd w:id="20"/>
      <w:bookmarkEnd w:id="21"/>
    </w:p>
    <w:p w:rsidR="00A64945" w:rsidRDefault="00A64945" w:rsidP="007D0E1E">
      <w:pPr>
        <w:spacing w:after="0" w:line="360" w:lineRule="auto"/>
        <w:jc w:val="both"/>
      </w:pPr>
      <w:r w:rsidRPr="00EB1524">
        <w:t>Zoal</w:t>
      </w:r>
      <w:r>
        <w:t>s eerder in §1.1.3.</w:t>
      </w:r>
      <w:r w:rsidRPr="00EB1524">
        <w:t xml:space="preserve"> </w:t>
      </w:r>
      <w:r>
        <w:t xml:space="preserve">kort </w:t>
      </w:r>
      <w:r w:rsidRPr="00EB1524">
        <w:t xml:space="preserve">aan de orde is geweest, heeft een ultraperifeer gebied met het gehele EU- recht  te maken. </w:t>
      </w:r>
      <w:r>
        <w:t xml:space="preserve">Overstappen naar de UPG- status heeft voor Curaçao als gevolg  dat in plaats van alleen het vierde deel van de Verdragen, in beginsel het gehele EU- recht van toepassing wordt op Curaçao. </w:t>
      </w:r>
      <w:r w:rsidRPr="00164B67">
        <w:t xml:space="preserve">In dit hoofdstuk </w:t>
      </w:r>
      <w:r>
        <w:t>wordt,</w:t>
      </w:r>
      <w:r w:rsidRPr="00164B67">
        <w:t xml:space="preserve"> </w:t>
      </w:r>
      <w:r>
        <w:t>voor zoverre dat relevant is voor de beantwoording van de onderzoeksvraag die in deze scriptie centraal staat,</w:t>
      </w:r>
      <w:r w:rsidRPr="00164B67">
        <w:t xml:space="preserve"> een algemene beschrijving van het E</w:t>
      </w:r>
      <w:r>
        <w:t>U-</w:t>
      </w:r>
      <w:r w:rsidRPr="00164B67">
        <w:t xml:space="preserve"> recht waar</w:t>
      </w:r>
      <w:r>
        <w:t>aan ultraperifere gebieden onderhevig zijn. Het bereik van het EU- recht</w:t>
      </w:r>
      <w:r w:rsidRPr="00164B67">
        <w:t xml:space="preserve"> </w:t>
      </w:r>
      <w:r>
        <w:t xml:space="preserve">is groot. De invloed van het EU- recht is op verschillende terreinen voelbaar. Bijvoorbeeld op sociaal, economisch en juridisch vlak (zie ook §.1.2.). Niet alleen maar op de fiscaliteit. </w:t>
      </w:r>
      <w:r w:rsidRPr="00EB1524">
        <w:t>Het EU- recht, oftewel A</w:t>
      </w:r>
      <w:r w:rsidRPr="00EB1524">
        <w:rPr>
          <w:i/>
        </w:rPr>
        <w:t>cquis Communitaire,</w:t>
      </w:r>
      <w:r w:rsidRPr="00EB1524">
        <w:t xml:space="preserve"> is samengesteld uit de EU-</w:t>
      </w:r>
      <w:r>
        <w:t xml:space="preserve"> v</w:t>
      </w:r>
      <w:r w:rsidRPr="00164B67">
        <w:t>erdragen, - richtlijnen,</w:t>
      </w:r>
      <w:r>
        <w:t xml:space="preserve"> - v</w:t>
      </w:r>
      <w:r w:rsidRPr="00164B67">
        <w:t>erordeningen,</w:t>
      </w:r>
      <w:r>
        <w:t xml:space="preserve"> </w:t>
      </w:r>
      <w:r w:rsidRPr="00164B67">
        <w:t xml:space="preserve">- beschikkingen, </w:t>
      </w:r>
      <w:r>
        <w:t xml:space="preserve"> -</w:t>
      </w:r>
      <w:r w:rsidRPr="00164B67">
        <w:t>aanbevelingen,</w:t>
      </w:r>
      <w:r>
        <w:t xml:space="preserve"> -</w:t>
      </w:r>
      <w:r w:rsidRPr="00164B67">
        <w:t>adviezen,</w:t>
      </w:r>
      <w:r>
        <w:t xml:space="preserve"> -</w:t>
      </w:r>
      <w:r w:rsidRPr="00164B67">
        <w:t>mededelingen en</w:t>
      </w:r>
      <w:r>
        <w:t xml:space="preserve"> -</w:t>
      </w:r>
      <w:r w:rsidRPr="00164B67">
        <w:t>gedragscodes. Ook de jurisprudentie van het HvJ</w:t>
      </w:r>
      <w:r>
        <w:t xml:space="preserve"> EU </w:t>
      </w:r>
      <w:r w:rsidRPr="00164B67">
        <w:t>valt hier onder</w:t>
      </w:r>
      <w:r>
        <w:t xml:space="preserve">. Gelet op mijn onderzoeksvraag beperk ik me tot die onderdelen die invloed (kunnen) uitoefenen op de fiscaliteit. </w:t>
      </w:r>
    </w:p>
    <w:p w:rsidR="00A64945" w:rsidRPr="008A2898" w:rsidRDefault="00A64945" w:rsidP="00B6772C">
      <w:pPr>
        <w:spacing w:after="0" w:line="360" w:lineRule="auto"/>
        <w:jc w:val="both"/>
        <w:rPr>
          <w:color w:val="FF0000"/>
        </w:rPr>
      </w:pPr>
      <w:r>
        <w:t xml:space="preserve">De volgende onderdelen van het </w:t>
      </w:r>
      <w:r w:rsidRPr="00164B67">
        <w:rPr>
          <w:i/>
        </w:rPr>
        <w:t>Acquis Communitaire</w:t>
      </w:r>
      <w:r>
        <w:t xml:space="preserve"> zullen in dit hoofdstuk aan bod komen: </w:t>
      </w:r>
    </w:p>
    <w:p w:rsidR="00A64945" w:rsidRPr="002A29FF" w:rsidRDefault="00A64945" w:rsidP="00B6772C">
      <w:pPr>
        <w:pStyle w:val="ListParagraph"/>
        <w:numPr>
          <w:ilvl w:val="0"/>
          <w:numId w:val="13"/>
        </w:numPr>
        <w:spacing w:after="0" w:line="360" w:lineRule="auto"/>
        <w:jc w:val="both"/>
      </w:pPr>
      <w:r w:rsidRPr="002A29FF">
        <w:t>De EU- verdragsvrijheden</w:t>
      </w:r>
      <w:r>
        <w:t xml:space="preserve"> (§2.2);</w:t>
      </w:r>
    </w:p>
    <w:p w:rsidR="00A64945" w:rsidRPr="00455141" w:rsidRDefault="00A64945" w:rsidP="00B6772C">
      <w:pPr>
        <w:pStyle w:val="ListParagraph"/>
        <w:numPr>
          <w:ilvl w:val="0"/>
          <w:numId w:val="13"/>
        </w:numPr>
        <w:spacing w:after="0" w:line="360" w:lineRule="auto"/>
        <w:jc w:val="both"/>
      </w:pPr>
      <w:r w:rsidRPr="00455141">
        <w:t xml:space="preserve">De </w:t>
      </w:r>
      <w:r>
        <w:t>directe</w:t>
      </w:r>
      <w:r>
        <w:rPr>
          <w:rStyle w:val="FootnoteReference"/>
        </w:rPr>
        <w:footnoteReference w:id="84"/>
      </w:r>
      <w:r>
        <w:t xml:space="preserve"> </w:t>
      </w:r>
      <w:r w:rsidRPr="00455141">
        <w:t>belastingrichtlijnen</w:t>
      </w:r>
      <w:r>
        <w:t xml:space="preserve"> (§2.3);</w:t>
      </w:r>
    </w:p>
    <w:p w:rsidR="00A64945" w:rsidRDefault="00A64945" w:rsidP="00B6772C">
      <w:pPr>
        <w:pStyle w:val="ListParagraph"/>
        <w:numPr>
          <w:ilvl w:val="0"/>
          <w:numId w:val="13"/>
        </w:numPr>
        <w:spacing w:after="0" w:line="360" w:lineRule="auto"/>
        <w:jc w:val="both"/>
      </w:pPr>
      <w:r w:rsidRPr="002A29FF">
        <w:t>Schadelijke belastingconcurrentie en staatssteun</w:t>
      </w:r>
      <w:r>
        <w:t xml:space="preserve"> (§2.4).</w:t>
      </w:r>
    </w:p>
    <w:p w:rsidR="00A64945" w:rsidRDefault="00A64945" w:rsidP="00B6772C">
      <w:pPr>
        <w:spacing w:after="0" w:line="360" w:lineRule="auto"/>
        <w:jc w:val="both"/>
      </w:pPr>
      <w:r>
        <w:t xml:space="preserve">Tevens zal daar waar dat noodzakelijk wordt geacht, relevante jurisprudentie van het HvJ EU worden aangehaald. </w:t>
      </w:r>
    </w:p>
    <w:p w:rsidR="00A64945" w:rsidRPr="0011311C" w:rsidRDefault="00A64945" w:rsidP="00E357EB">
      <w:pPr>
        <w:spacing w:after="0" w:line="360" w:lineRule="auto"/>
        <w:jc w:val="both"/>
      </w:pPr>
      <w:r w:rsidRPr="0011311C">
        <w:lastRenderedPageBreak/>
        <w:t>De LGO</w:t>
      </w:r>
      <w:r>
        <w:t>-</w:t>
      </w:r>
      <w:r w:rsidRPr="0011311C">
        <w:t xml:space="preserve"> relatie met de EU impliceert dus</w:t>
      </w:r>
      <w:r>
        <w:t xml:space="preserve"> een beperkte toepassing van het EU recht in de landen en/of gebieden die LGO’s zijn. Dit tegenover een integrale toepassing van het EU- recht bij UPG’s. Behalve deze twee tegenpolen van samenwerking tussen de EU en ‘buitenlanden’</w:t>
      </w:r>
      <w:r>
        <w:rPr>
          <w:rStyle w:val="FootnoteReference"/>
          <w:rFonts w:cs="Arial"/>
        </w:rPr>
        <w:footnoteReference w:id="85"/>
      </w:r>
      <w:r>
        <w:t>, werkt de EU ook op andere manieren samen met diverse landen en/of gebieden. Dat komt in het hiernavolgende paragraaf aan de orde.</w:t>
      </w:r>
    </w:p>
    <w:p w:rsidR="00A64945" w:rsidRDefault="00A64945" w:rsidP="00B6772C">
      <w:pPr>
        <w:spacing w:after="0" w:line="360" w:lineRule="auto"/>
        <w:jc w:val="both"/>
      </w:pPr>
    </w:p>
    <w:p w:rsidR="00A64945" w:rsidRPr="009F5456" w:rsidRDefault="00A64945" w:rsidP="00B6772C">
      <w:pPr>
        <w:pStyle w:val="Heading2"/>
        <w:spacing w:before="0"/>
        <w:jc w:val="both"/>
        <w:rPr>
          <w:color w:val="auto"/>
        </w:rPr>
      </w:pPr>
      <w:bookmarkStart w:id="22" w:name="_Toc299634268"/>
      <w:r>
        <w:rPr>
          <w:color w:val="auto"/>
        </w:rPr>
        <w:t xml:space="preserve">§2.1. </w:t>
      </w:r>
      <w:r w:rsidRPr="009F5456">
        <w:rPr>
          <w:color w:val="auto"/>
        </w:rPr>
        <w:t>Diverse vormen van samenwerking en integratie binnen de EU</w:t>
      </w:r>
      <w:bookmarkEnd w:id="22"/>
    </w:p>
    <w:p w:rsidR="00A64945" w:rsidRPr="009F5456" w:rsidRDefault="00A64945" w:rsidP="00B6772C"/>
    <w:p w:rsidR="00A64945" w:rsidRPr="00763716" w:rsidRDefault="00A64945" w:rsidP="00B6772C">
      <w:pPr>
        <w:spacing w:line="360" w:lineRule="auto"/>
        <w:jc w:val="both"/>
      </w:pPr>
      <w:r w:rsidRPr="00763716">
        <w:t>De EU heeft met diverse landen en gebieden overeenkomsten gesloten of regelingen getroffen. Binnen de EU bestaan derhalve diverse vormen van samenwerking en integratie.</w:t>
      </w:r>
      <w:r w:rsidRPr="00763716">
        <w:rPr>
          <w:rStyle w:val="FootnoteReference"/>
          <w:rFonts w:cs="Arial"/>
        </w:rPr>
        <w:footnoteReference w:id="86"/>
      </w:r>
      <w:r w:rsidRPr="00763716">
        <w:t xml:space="preserve"> De </w:t>
      </w:r>
      <w:r>
        <w:t>verschillende</w:t>
      </w:r>
      <w:r w:rsidRPr="00763716">
        <w:t xml:space="preserve"> vormen van samenwerking of integratie verhouden zich in een bepaalde rangorde ten opzichte van elkaar. Deze rangorde is gebaseerd op de mate waarin een bepaalde samenwerkings- of integratievorm onderworpen is aan het EU</w:t>
      </w:r>
      <w:r>
        <w:t xml:space="preserve">- </w:t>
      </w:r>
      <w:r w:rsidRPr="00763716">
        <w:t>recht.</w:t>
      </w:r>
      <w:r>
        <w:t xml:space="preserve"> </w:t>
      </w:r>
      <w:r w:rsidRPr="00763716">
        <w:t>De volgende vormen kunnen worden onderscheiden:</w:t>
      </w:r>
    </w:p>
    <w:p w:rsidR="00A64945" w:rsidRPr="00763716" w:rsidRDefault="00A64945" w:rsidP="00B6772C">
      <w:pPr>
        <w:pStyle w:val="ListParagraph"/>
        <w:numPr>
          <w:ilvl w:val="0"/>
          <w:numId w:val="1"/>
        </w:numPr>
        <w:spacing w:line="360" w:lineRule="auto"/>
        <w:ind w:left="0"/>
        <w:jc w:val="both"/>
      </w:pPr>
      <w:r w:rsidRPr="00763716">
        <w:t xml:space="preserve">Samenwerking tussen de 27 </w:t>
      </w:r>
      <w:r w:rsidRPr="00763716">
        <w:rPr>
          <w:rStyle w:val="FootnoteReference"/>
          <w:rFonts w:cs="Arial"/>
        </w:rPr>
        <w:footnoteReference w:id="87"/>
      </w:r>
      <w:r w:rsidRPr="00763716">
        <w:t xml:space="preserve"> EU- lidstaten onderling.</w:t>
      </w:r>
    </w:p>
    <w:p w:rsidR="00A64945" w:rsidRPr="00763716" w:rsidRDefault="00A64945" w:rsidP="00B6772C">
      <w:pPr>
        <w:pStyle w:val="ListParagraph"/>
        <w:numPr>
          <w:ilvl w:val="0"/>
          <w:numId w:val="1"/>
        </w:numPr>
        <w:spacing w:line="360" w:lineRule="auto"/>
        <w:ind w:left="0"/>
        <w:jc w:val="both"/>
      </w:pPr>
      <w:r w:rsidRPr="00763716">
        <w:t xml:space="preserve">Samenwerking tussen de EU- lidstaten en de Ultraperifere Gebieden. </w:t>
      </w:r>
      <w:r w:rsidRPr="00763716">
        <w:rPr>
          <w:rStyle w:val="FootnoteReference"/>
          <w:rFonts w:cs="Arial"/>
        </w:rPr>
        <w:footnoteReference w:id="88"/>
      </w:r>
      <w:r w:rsidRPr="00763716">
        <w:t xml:space="preserve"> D</w:t>
      </w:r>
      <w:r>
        <w:t>a</w:t>
      </w:r>
      <w:r w:rsidRPr="00763716">
        <w:t xml:space="preserve">t komt in </w:t>
      </w:r>
      <w:r>
        <w:t>dit hoofdstuk</w:t>
      </w:r>
      <w:r w:rsidRPr="00763716">
        <w:t xml:space="preserve"> aan bod.</w:t>
      </w:r>
    </w:p>
    <w:p w:rsidR="00A64945" w:rsidRPr="00763716" w:rsidRDefault="00A64945" w:rsidP="00B6772C">
      <w:pPr>
        <w:pStyle w:val="ListParagraph"/>
        <w:numPr>
          <w:ilvl w:val="0"/>
          <w:numId w:val="1"/>
        </w:numPr>
        <w:spacing w:line="360" w:lineRule="auto"/>
        <w:ind w:left="0"/>
        <w:jc w:val="both"/>
      </w:pPr>
      <w:r w:rsidRPr="00763716">
        <w:t>Samenwerking tussen de EU- lidstaten en de Landen en Gebieden Overzee.</w:t>
      </w:r>
      <w:r w:rsidRPr="00763716">
        <w:rPr>
          <w:rStyle w:val="FootnoteReference"/>
          <w:rFonts w:cs="Arial"/>
        </w:rPr>
        <w:footnoteReference w:id="89"/>
      </w:r>
      <w:r w:rsidRPr="00763716">
        <w:t xml:space="preserve"> </w:t>
      </w:r>
      <w:r>
        <w:t>Dat is reeds in § 1.1.2. aan de orde geweest.</w:t>
      </w:r>
    </w:p>
    <w:p w:rsidR="00A64945" w:rsidRDefault="00A64945" w:rsidP="0036507E">
      <w:pPr>
        <w:pStyle w:val="ListParagraph"/>
        <w:numPr>
          <w:ilvl w:val="0"/>
          <w:numId w:val="1"/>
        </w:numPr>
        <w:spacing w:after="0" w:line="360" w:lineRule="auto"/>
        <w:ind w:left="0"/>
        <w:jc w:val="both"/>
      </w:pPr>
      <w:r w:rsidRPr="00763716">
        <w:t>Samenwerking tussen de EU- lidstaten en de zogen</w:t>
      </w:r>
      <w:r>
        <w:t>oe</w:t>
      </w:r>
      <w:r w:rsidRPr="00763716">
        <w:t>mde ACS- staten.</w:t>
      </w:r>
      <w:r>
        <w:rPr>
          <w:rStyle w:val="FootnoteReference"/>
        </w:rPr>
        <w:footnoteReference w:id="90"/>
      </w:r>
      <w:r w:rsidRPr="00763716">
        <w:t xml:space="preserve">  </w:t>
      </w:r>
    </w:p>
    <w:p w:rsidR="00A64945" w:rsidRDefault="00A64945" w:rsidP="0036507E">
      <w:pPr>
        <w:pStyle w:val="ListParagraph"/>
        <w:numPr>
          <w:ilvl w:val="0"/>
          <w:numId w:val="1"/>
        </w:numPr>
        <w:spacing w:after="0" w:line="360" w:lineRule="auto"/>
        <w:ind w:left="0"/>
        <w:jc w:val="both"/>
      </w:pPr>
      <w:r>
        <w:lastRenderedPageBreak/>
        <w:t xml:space="preserve">Samenwerking tussen de EU- </w:t>
      </w:r>
      <w:r w:rsidRPr="003F2C02">
        <w:t>lidstaten en Zwitserland en</w:t>
      </w:r>
      <w:r>
        <w:t xml:space="preserve"> samenwerking tussen de EU- lidstaten en de </w:t>
      </w:r>
      <w:r w:rsidRPr="003F2C02">
        <w:t>landen die behoren tot de zogenoemde Eu</w:t>
      </w:r>
      <w:r>
        <w:t>ropese Economische Ruimte (EER).</w:t>
      </w:r>
      <w:r>
        <w:rPr>
          <w:rStyle w:val="FootnoteReference"/>
        </w:rPr>
        <w:footnoteReference w:id="91"/>
      </w:r>
      <w:r>
        <w:t xml:space="preserve"> </w:t>
      </w:r>
    </w:p>
    <w:p w:rsidR="00A64945" w:rsidRDefault="00A64945" w:rsidP="00B6772C">
      <w:pPr>
        <w:pStyle w:val="Heading2"/>
        <w:spacing w:before="0" w:line="360" w:lineRule="auto"/>
        <w:jc w:val="both"/>
        <w:rPr>
          <w:color w:val="auto"/>
        </w:rPr>
      </w:pPr>
      <w:bookmarkStart w:id="23" w:name="_Toc287433424"/>
    </w:p>
    <w:p w:rsidR="00A64945" w:rsidRDefault="00A64945" w:rsidP="00B6772C">
      <w:pPr>
        <w:pStyle w:val="Heading2"/>
        <w:spacing w:before="0" w:line="360" w:lineRule="auto"/>
        <w:jc w:val="both"/>
        <w:rPr>
          <w:color w:val="auto"/>
        </w:rPr>
      </w:pPr>
      <w:bookmarkStart w:id="24" w:name="_Toc299634269"/>
      <w:r>
        <w:rPr>
          <w:color w:val="auto"/>
        </w:rPr>
        <w:t>§2</w:t>
      </w:r>
      <w:r w:rsidRPr="004B7EEC">
        <w:rPr>
          <w:color w:val="auto"/>
        </w:rPr>
        <w:t>.</w:t>
      </w:r>
      <w:r>
        <w:rPr>
          <w:color w:val="auto"/>
        </w:rPr>
        <w:t>2</w:t>
      </w:r>
      <w:r w:rsidRPr="004B7EEC">
        <w:rPr>
          <w:color w:val="auto"/>
        </w:rPr>
        <w:t xml:space="preserve"> EU- Verdragsvrijheden</w:t>
      </w:r>
      <w:bookmarkEnd w:id="23"/>
      <w:bookmarkEnd w:id="24"/>
    </w:p>
    <w:p w:rsidR="00A64945" w:rsidRPr="000B709C" w:rsidRDefault="00A64945" w:rsidP="00B6772C">
      <w:pPr>
        <w:pStyle w:val="Heading3"/>
        <w:spacing w:before="0" w:line="360" w:lineRule="auto"/>
        <w:jc w:val="both"/>
      </w:pPr>
      <w:bookmarkStart w:id="25" w:name="_Toc299634270"/>
      <w:r>
        <w:t>§2</w:t>
      </w:r>
      <w:r w:rsidRPr="000B709C">
        <w:t>.</w:t>
      </w:r>
      <w:r>
        <w:t>2</w:t>
      </w:r>
      <w:r w:rsidRPr="000B709C">
        <w:t xml:space="preserve">.1. </w:t>
      </w:r>
      <w:r>
        <w:t>Inleiding</w:t>
      </w:r>
      <w:bookmarkEnd w:id="25"/>
      <w:r w:rsidRPr="000B709C">
        <w:t xml:space="preserve"> </w:t>
      </w:r>
    </w:p>
    <w:p w:rsidR="00A64945" w:rsidRDefault="00A64945" w:rsidP="00427070">
      <w:pPr>
        <w:spacing w:after="0" w:line="360" w:lineRule="auto"/>
        <w:jc w:val="both"/>
      </w:pPr>
      <w:r>
        <w:t>Het primaire</w:t>
      </w:r>
      <w:r>
        <w:rPr>
          <w:rStyle w:val="FootnoteReference"/>
        </w:rPr>
        <w:footnoteReference w:id="92"/>
      </w:r>
      <w:r>
        <w:t xml:space="preserve"> EU- recht bevat in principe geen fiscaal recht. Met andere woorden in het EU- recht zijn geen bepalingen opgenomen die fiscaal van aard zijn.</w:t>
      </w:r>
      <w:r w:rsidRPr="000278CA">
        <w:t xml:space="preserve"> </w:t>
      </w:r>
      <w:r>
        <w:t>Het feit dat er op fiscaal gebied formeel niets is geregeld in het EU- recht, wil echter niet zeggen dat de fiscaliteit geen invloed ondervindt van het EU- recht. Het belang van het EU- recht voor het fiscaal recht moet niet worden onderschat.</w:t>
      </w:r>
      <w:r>
        <w:rPr>
          <w:rStyle w:val="FootnoteReference"/>
          <w:rFonts w:cs="Arial"/>
        </w:rPr>
        <w:footnoteReference w:id="93"/>
      </w:r>
      <w:r>
        <w:t xml:space="preserve"> De vrije verkeersbepalingen bijvoorbeeld, hebben enorme invloed op de regelgeving van lidstaten. Zowel non- fiscaal als fiscaal. Voorbeelden van regelingen die aan de orde komen in het Nederlands nationale recht en betrekking hebben op internationale regelgeving zijn art. 2.5 van de Wet Inkomstenbelasting 2001 (keuzerecht) en art. 15a lid 1j van de Wet op de Loonbelasting 1964 (extraterritoriale kostenregeling oftewel 30%- regeling). Nederland kent zowel in de inkomstenbelasting</w:t>
      </w:r>
      <w:r>
        <w:rPr>
          <w:rStyle w:val="FootnoteReference"/>
          <w:rFonts w:cs="Arial"/>
        </w:rPr>
        <w:footnoteReference w:id="94"/>
      </w:r>
      <w:r>
        <w:t xml:space="preserve"> als in de vennootschapsbelasting</w:t>
      </w:r>
      <w:r>
        <w:rPr>
          <w:rStyle w:val="FootnoteReference"/>
          <w:rFonts w:cs="Arial"/>
        </w:rPr>
        <w:footnoteReference w:id="95"/>
      </w:r>
      <w:r>
        <w:t xml:space="preserve"> bepalingen die exitheffingen mogelijk maken.</w:t>
      </w:r>
      <w:r w:rsidRPr="00F862AC">
        <w:t xml:space="preserve"> </w:t>
      </w:r>
      <w:r>
        <w:t xml:space="preserve">Exitheffingen zijn (fictie)bepalingen die er toe dienen dat Nederland bij de emigratie van natuurlijke – en/of rechtspersonen haar heffingsrechten behoudt.  Naar aanleiding van Europese jurisprudentie zijn de Nederlandse exitheffingen onder druk komen te staan. In verband met de </w:t>
      </w:r>
      <w:r>
        <w:lastRenderedPageBreak/>
        <w:t xml:space="preserve">uitkomst van de arresten De </w:t>
      </w:r>
      <w:r w:rsidRPr="00C11D53">
        <w:t>Lasteyrie du Saillant</w:t>
      </w:r>
      <w:r>
        <w:rPr>
          <w:rStyle w:val="FootnoteReference"/>
          <w:rFonts w:cs="Arial"/>
        </w:rPr>
        <w:footnoteReference w:id="96"/>
      </w:r>
      <w:r w:rsidRPr="00C11D53">
        <w:t xml:space="preserve"> en N- zaak</w:t>
      </w:r>
      <w:r>
        <w:rPr>
          <w:rStyle w:val="FootnoteReference"/>
          <w:rFonts w:cs="Arial"/>
        </w:rPr>
        <w:footnoteReference w:id="97"/>
      </w:r>
      <w:r>
        <w:t xml:space="preserve"> was Nederland genoodzaakt haar regelgeving met betrekking tot emigratieheffingen aan te passen. </w:t>
      </w:r>
    </w:p>
    <w:p w:rsidR="00A64945" w:rsidRPr="002A29FF" w:rsidRDefault="00A64945" w:rsidP="00427070">
      <w:pPr>
        <w:spacing w:line="360" w:lineRule="auto"/>
        <w:jc w:val="both"/>
      </w:pPr>
      <w:r>
        <w:t>In totaal bestaan e</w:t>
      </w:r>
      <w:r w:rsidRPr="002A29FF">
        <w:t>r zes EU- verkeersvrijheden. Deze vrijheden voorzien in een vrije verkeer van burgers van de Unie,</w:t>
      </w:r>
      <w:r w:rsidRPr="003F5450">
        <w:rPr>
          <w:rStyle w:val="FootnoteReference"/>
          <w:rFonts w:cs="Arial"/>
        </w:rPr>
        <w:t xml:space="preserve"> </w:t>
      </w:r>
      <w:r w:rsidRPr="002A29FF">
        <w:rPr>
          <w:rStyle w:val="FootnoteReference"/>
          <w:rFonts w:cs="Arial"/>
        </w:rPr>
        <w:footnoteReference w:id="98"/>
      </w:r>
      <w:r w:rsidRPr="002A29FF">
        <w:t xml:space="preserve"> van goederen,</w:t>
      </w:r>
      <w:r w:rsidRPr="003F5450">
        <w:rPr>
          <w:rStyle w:val="FootnoteReference"/>
          <w:rFonts w:cs="Arial"/>
        </w:rPr>
        <w:t xml:space="preserve"> </w:t>
      </w:r>
      <w:r w:rsidRPr="002A29FF">
        <w:rPr>
          <w:rStyle w:val="FootnoteReference"/>
          <w:rFonts w:cs="Arial"/>
        </w:rPr>
        <w:footnoteReference w:id="99"/>
      </w:r>
      <w:r w:rsidRPr="002A29FF">
        <w:t xml:space="preserve"> van (rechts)personen,</w:t>
      </w:r>
      <w:r w:rsidRPr="003F5450">
        <w:rPr>
          <w:rStyle w:val="FootnoteReference"/>
          <w:rFonts w:cs="Arial"/>
        </w:rPr>
        <w:t xml:space="preserve"> </w:t>
      </w:r>
      <w:r w:rsidRPr="002A29FF">
        <w:rPr>
          <w:rStyle w:val="FootnoteReference"/>
          <w:rFonts w:cs="Arial"/>
        </w:rPr>
        <w:footnoteReference w:id="100"/>
      </w:r>
      <w:r w:rsidRPr="002A29FF">
        <w:t xml:space="preserve"> van diensten,</w:t>
      </w:r>
      <w:r w:rsidRPr="002A29FF">
        <w:rPr>
          <w:rStyle w:val="FootnoteReference"/>
          <w:rFonts w:cs="Arial"/>
        </w:rPr>
        <w:footnoteReference w:id="101"/>
      </w:r>
      <w:r w:rsidRPr="002A29FF">
        <w:t xml:space="preserve"> van kapitaal</w:t>
      </w:r>
      <w:r w:rsidRPr="002A29FF">
        <w:rPr>
          <w:rStyle w:val="FootnoteReference"/>
          <w:rFonts w:cs="Arial"/>
        </w:rPr>
        <w:footnoteReference w:id="102"/>
      </w:r>
      <w:r w:rsidRPr="002A29FF">
        <w:t xml:space="preserve"> en van betalingen</w:t>
      </w:r>
      <w:r w:rsidRPr="002A29FF">
        <w:rPr>
          <w:rStyle w:val="FootnoteReference"/>
          <w:rFonts w:cs="Arial"/>
        </w:rPr>
        <w:footnoteReference w:id="103"/>
      </w:r>
      <w:r w:rsidRPr="002A29FF">
        <w:t xml:space="preserve"> binnen de Unie. Deze vrijheden hebben een toenemende invloed op </w:t>
      </w:r>
      <w:r>
        <w:t xml:space="preserve">onder andere </w:t>
      </w:r>
      <w:r w:rsidRPr="002A29FF">
        <w:t xml:space="preserve">het nationale belastingrecht binnen de EU. De lidstaten van de </w:t>
      </w:r>
      <w:r>
        <w:t>EU</w:t>
      </w:r>
      <w:r w:rsidRPr="002A29FF">
        <w:t xml:space="preserve"> zijn op het gebied van directe belastingen soeverein.</w:t>
      </w:r>
      <w:r>
        <w:rPr>
          <w:rStyle w:val="FootnoteReference"/>
          <w:rFonts w:cs="Arial"/>
        </w:rPr>
        <w:footnoteReference w:id="104"/>
      </w:r>
      <w:r w:rsidRPr="002A29FF">
        <w:t xml:space="preserve"> Dat wil zeggen dat de exclusieve bevoegdheid met betrekking tot directe belastingen</w:t>
      </w:r>
      <w:r>
        <w:rPr>
          <w:rStyle w:val="FootnoteReference"/>
          <w:rFonts w:cs="Arial"/>
        </w:rPr>
        <w:footnoteReference w:id="105"/>
      </w:r>
      <w:r w:rsidRPr="002A29FF">
        <w:t xml:space="preserve"> aan de lidstaten toekomt. Lidstaten zijn vrij om hun eigen belastingstelsel in te richten en vrij om in dit kader hun eigen beleid te bepalen, </w:t>
      </w:r>
      <w:r w:rsidRPr="005D13FD">
        <w:rPr>
          <w:b/>
          <w:i/>
        </w:rPr>
        <w:t>mits</w:t>
      </w:r>
      <w:r w:rsidRPr="002A29FF">
        <w:t xml:space="preserve"> d</w:t>
      </w:r>
      <w:r>
        <w:t>a</w:t>
      </w:r>
      <w:r w:rsidRPr="002A29FF">
        <w:t xml:space="preserve">t niet in strijd is met hetgeen het </w:t>
      </w:r>
      <w:r>
        <w:t>EU- recht</w:t>
      </w:r>
      <w:r w:rsidRPr="002A29FF">
        <w:t xml:space="preserve"> voorschrijft. De op dit gebied bij de lidstaten verbleven bevoegdheden dienen dus in overeenstemming met het </w:t>
      </w:r>
      <w:r>
        <w:t>EU-</w:t>
      </w:r>
      <w:r w:rsidRPr="002A29FF">
        <w:t xml:space="preserve"> recht uit te worden geoefend. </w:t>
      </w:r>
      <w:r>
        <w:t xml:space="preserve">Voor Nederland betekent dit dat ofschoon Nederland in formele zin fiscale autonomie heeft, Nederland rekening dient te houden met wat er op Europees vlak gebeurt.  </w:t>
      </w:r>
    </w:p>
    <w:p w:rsidR="00A64945" w:rsidRPr="000B709C" w:rsidRDefault="00A64945" w:rsidP="00B6772C">
      <w:pPr>
        <w:pStyle w:val="Heading3"/>
        <w:spacing w:before="0" w:line="360" w:lineRule="auto"/>
        <w:jc w:val="both"/>
      </w:pPr>
      <w:bookmarkStart w:id="26" w:name="_Toc287433425"/>
      <w:bookmarkStart w:id="27" w:name="_Toc299634271"/>
      <w:r>
        <w:t>§2</w:t>
      </w:r>
      <w:r w:rsidRPr="000B709C">
        <w:t>.</w:t>
      </w:r>
      <w:r>
        <w:t>2</w:t>
      </w:r>
      <w:r w:rsidRPr="000B709C">
        <w:t>.</w:t>
      </w:r>
      <w:r>
        <w:t>2</w:t>
      </w:r>
      <w:r w:rsidRPr="000B709C">
        <w:t>. Discriminatie &amp; verboden belemmering</w:t>
      </w:r>
      <w:bookmarkEnd w:id="26"/>
      <w:bookmarkEnd w:id="27"/>
      <w:r w:rsidRPr="000B709C">
        <w:t xml:space="preserve"> </w:t>
      </w:r>
    </w:p>
    <w:p w:rsidR="00A64945" w:rsidRDefault="00A64945" w:rsidP="00B6772C">
      <w:pPr>
        <w:spacing w:line="360" w:lineRule="auto"/>
        <w:jc w:val="both"/>
      </w:pPr>
      <w:r w:rsidRPr="00183CB4">
        <w:t>Discriminatie naar nationaliteit</w:t>
      </w:r>
      <w:r w:rsidRPr="00183CB4">
        <w:rPr>
          <w:rStyle w:val="FootnoteReference"/>
          <w:rFonts w:cs="Arial"/>
        </w:rPr>
        <w:footnoteReference w:id="106"/>
      </w:r>
      <w:r w:rsidRPr="00183CB4">
        <w:t xml:space="preserve"> en het belemmeren van het vrije verkeer is verboden.</w:t>
      </w:r>
      <w:r w:rsidRPr="002A29FF">
        <w:t xml:space="preserve"> Onderdanen van de lidstaten dienen ongestoord gebruik te kunnen maken van het vrije verkeer. Ongestoord wil zeggen zonder</w:t>
      </w:r>
      <w:r>
        <w:t xml:space="preserve"> hierbij</w:t>
      </w:r>
      <w:r w:rsidRPr="002A29FF">
        <w:t xml:space="preserve"> belemmeringen</w:t>
      </w:r>
      <w:r>
        <w:t xml:space="preserve"> te ondergaan</w:t>
      </w:r>
      <w:r w:rsidRPr="002A29FF">
        <w:t xml:space="preserve"> en/of zonder gediscrimineerd te worden. </w:t>
      </w:r>
      <w:r>
        <w:t>Nationale bepalingen die deze rechten niet waarborgen, zijn in strijd met het EU- recht.</w:t>
      </w:r>
    </w:p>
    <w:p w:rsidR="00A64945" w:rsidRPr="002D0955" w:rsidRDefault="00A64945" w:rsidP="00B6772C">
      <w:pPr>
        <w:spacing w:after="0" w:line="360" w:lineRule="auto"/>
        <w:jc w:val="both"/>
        <w:rPr>
          <w:b/>
          <w:i/>
          <w:sz w:val="20"/>
          <w:szCs w:val="20"/>
        </w:rPr>
      </w:pPr>
      <w:bookmarkStart w:id="28" w:name="_Toc287433426"/>
      <w:r w:rsidRPr="002D0955">
        <w:rPr>
          <w:b/>
          <w:i/>
          <w:sz w:val="20"/>
          <w:szCs w:val="20"/>
        </w:rPr>
        <w:t>Verdragsgerechtigdheid</w:t>
      </w:r>
      <w:bookmarkEnd w:id="28"/>
    </w:p>
    <w:p w:rsidR="00A64945" w:rsidRDefault="00A64945" w:rsidP="00B6772C">
      <w:pPr>
        <w:spacing w:after="0" w:line="360" w:lineRule="auto"/>
        <w:jc w:val="both"/>
      </w:pPr>
      <w:r>
        <w:t>Om te kunnen bepalen</w:t>
      </w:r>
      <w:r w:rsidRPr="002A29FF">
        <w:t xml:space="preserve"> of een bepaalde nationale bepaling in strijd</w:t>
      </w:r>
      <w:r>
        <w:t xml:space="preserve"> is met het EU- r</w:t>
      </w:r>
      <w:r w:rsidRPr="002A29FF">
        <w:t xml:space="preserve">echt, dient in de eerste plaats vastgesteld te worden of </w:t>
      </w:r>
      <w:r>
        <w:t xml:space="preserve">de betrokkene(n) bij </w:t>
      </w:r>
      <w:r w:rsidRPr="002A29FF">
        <w:t>een bepaalde situatie überhaupt toegang heeft</w:t>
      </w:r>
      <w:r>
        <w:t>/hebben</w:t>
      </w:r>
      <w:r w:rsidRPr="002A29FF">
        <w:t xml:space="preserve"> tot het EU- recht. </w:t>
      </w:r>
      <w:r>
        <w:t>Gerechtigd tot het verdrag is een ieder die burger van de Unie is.</w:t>
      </w:r>
      <w:r>
        <w:rPr>
          <w:rStyle w:val="FootnoteReference"/>
          <w:rFonts w:cs="Arial"/>
        </w:rPr>
        <w:footnoteReference w:id="107"/>
      </w:r>
      <w:r>
        <w:t xml:space="preserve"> Burger van de Unie is een ieder die de nationaliteit van een lidstaat bezit</w:t>
      </w:r>
      <w:r>
        <w:rPr>
          <w:rStyle w:val="FootnoteReference"/>
          <w:rFonts w:cs="Arial"/>
        </w:rPr>
        <w:footnoteReference w:id="108"/>
      </w:r>
      <w:r>
        <w:t>.</w:t>
      </w:r>
      <w:r>
        <w:rPr>
          <w:rStyle w:val="FootnoteReference"/>
          <w:rFonts w:cs="Arial"/>
        </w:rPr>
        <w:footnoteReference w:id="109"/>
      </w:r>
    </w:p>
    <w:p w:rsidR="00A64945" w:rsidRDefault="00A64945" w:rsidP="009C2672">
      <w:pPr>
        <w:tabs>
          <w:tab w:val="left" w:pos="1250"/>
        </w:tabs>
        <w:spacing w:after="0" w:line="360" w:lineRule="auto"/>
        <w:jc w:val="both"/>
      </w:pPr>
      <w:r>
        <w:lastRenderedPageBreak/>
        <w:tab/>
      </w:r>
    </w:p>
    <w:p w:rsidR="00A64945" w:rsidRPr="002D0955" w:rsidRDefault="00A64945" w:rsidP="00B6772C">
      <w:pPr>
        <w:spacing w:after="0" w:line="360" w:lineRule="auto"/>
        <w:jc w:val="both"/>
        <w:rPr>
          <w:b/>
          <w:i/>
          <w:sz w:val="20"/>
          <w:szCs w:val="20"/>
        </w:rPr>
      </w:pPr>
      <w:bookmarkStart w:id="29" w:name="_Toc287433427"/>
      <w:r w:rsidRPr="002D0955">
        <w:rPr>
          <w:b/>
          <w:i/>
          <w:sz w:val="20"/>
          <w:szCs w:val="20"/>
        </w:rPr>
        <w:t>Maatregelen met of zonder onderscheid</w:t>
      </w:r>
      <w:bookmarkEnd w:id="29"/>
    </w:p>
    <w:p w:rsidR="00A64945" w:rsidRDefault="00A64945" w:rsidP="008805B5">
      <w:pPr>
        <w:spacing w:after="0" w:line="360" w:lineRule="auto"/>
        <w:jc w:val="both"/>
      </w:pPr>
      <w:r w:rsidRPr="00541613">
        <w:t xml:space="preserve">De hoofdregel is dus dat discriminatie naar nationaliteit en </w:t>
      </w:r>
      <w:r>
        <w:t xml:space="preserve">de </w:t>
      </w:r>
      <w:r w:rsidRPr="00541613">
        <w:t xml:space="preserve">belemmering van het vrije verkeer verboden </w:t>
      </w:r>
      <w:r>
        <w:t>zijn</w:t>
      </w:r>
      <w:r w:rsidRPr="00541613">
        <w:t>.</w:t>
      </w:r>
      <w:r>
        <w:t xml:space="preserve"> Het discriminatieverbod uit zich in het verbod van maatregelen die onderscheid</w:t>
      </w:r>
      <w:r>
        <w:rPr>
          <w:rStyle w:val="FootnoteReference"/>
          <w:rFonts w:cs="Arial"/>
        </w:rPr>
        <w:footnoteReference w:id="110"/>
      </w:r>
      <w:r>
        <w:t xml:space="preserve"> maken welke nadelig zijn voor het vrije verkeer. Het belemmeringsverbod spitst zich toe op maatregelen die zonder onderscheid van toepassing zijn en zodoende een belemmering (kunnen) opleveren voor het vrije verkeer.</w:t>
      </w:r>
      <w:r w:rsidRPr="009A4860">
        <w:t xml:space="preserve"> </w:t>
      </w:r>
      <w:r>
        <w:t>Dergelijke belemmeringen zijn niet per definitie verboden. Dat een bepaalde situatie het vrije verkeer belemmert, wil nog niet zeggen dat er sprake is van een verboden belemmering. Wellicht is er een adequate rechtvaardigingsgrond voor. Maatregelen zonder onderscheid zijn nationale regels die gebruikmaking van het vrije verkeer minder aantrekkelijk maken, alhoewel ze onder vergelijkbare omstandigheden ook in binnenlandse situaties gelden. Het gaat hier dus om een regel die zowel van toepassing is op binnenlandse (interne) situaties als op grensoverschrijdende situaties, waarbij het vrije verkeer belemmerd wordt. Deze belemmering kan zich in verschillende vormen voordoen.</w:t>
      </w:r>
      <w:r>
        <w:rPr>
          <w:rStyle w:val="FootnoteReference"/>
          <w:rFonts w:cs="Arial"/>
        </w:rPr>
        <w:footnoteReference w:id="111"/>
      </w:r>
      <w:r>
        <w:t xml:space="preserve"> Bij maatregelen met onderscheid valt bijvoorbeeld te denken aan bepalingen die direct of indirect discrimineren naar nationaliteit of aan maatregelen die gebruikmaking van het vrije verkeer minder aantrekkelijk maken (bijvoorbeeld emigratieheffingen of vestigingsbelemmeringen).</w:t>
      </w:r>
    </w:p>
    <w:p w:rsidR="00A64945" w:rsidRDefault="00A64945" w:rsidP="00B6772C">
      <w:pPr>
        <w:spacing w:after="0" w:line="360" w:lineRule="auto"/>
        <w:jc w:val="both"/>
        <w:rPr>
          <w:b/>
          <w:i/>
          <w:sz w:val="20"/>
          <w:szCs w:val="20"/>
        </w:rPr>
      </w:pPr>
      <w:bookmarkStart w:id="30" w:name="_Toc287433428"/>
    </w:p>
    <w:p w:rsidR="00A64945" w:rsidRPr="002D0955" w:rsidRDefault="00A64945" w:rsidP="00B6772C">
      <w:pPr>
        <w:spacing w:after="0" w:line="360" w:lineRule="auto"/>
        <w:jc w:val="both"/>
        <w:rPr>
          <w:b/>
          <w:i/>
          <w:sz w:val="20"/>
          <w:szCs w:val="20"/>
        </w:rPr>
      </w:pPr>
      <w:r w:rsidRPr="002D0955">
        <w:rPr>
          <w:b/>
          <w:i/>
          <w:sz w:val="20"/>
          <w:szCs w:val="20"/>
        </w:rPr>
        <w:t>Rechtvaardigingsgronden voor belemmeringen</w:t>
      </w:r>
      <w:bookmarkEnd w:id="30"/>
      <w:r w:rsidRPr="002D0955">
        <w:rPr>
          <w:b/>
          <w:i/>
          <w:sz w:val="20"/>
          <w:szCs w:val="20"/>
        </w:rPr>
        <w:t xml:space="preserve"> </w:t>
      </w:r>
    </w:p>
    <w:p w:rsidR="00A64945" w:rsidRPr="0054340E" w:rsidRDefault="00A64945" w:rsidP="00B6772C">
      <w:pPr>
        <w:spacing w:after="0" w:line="360" w:lineRule="auto"/>
        <w:jc w:val="both"/>
      </w:pPr>
      <w:r w:rsidRPr="0054340E">
        <w:t>Nationale maatregelen die de uitoefening van de in de Verdragen gewaarborgde fundamentele vrijheden kunnen belemmeren of minder aantrekkelijk maken, dienen volgens het HvJ E</w:t>
      </w:r>
      <w:r>
        <w:t>U</w:t>
      </w:r>
      <w:r w:rsidRPr="003E1D77">
        <w:t xml:space="preserve"> </w:t>
      </w:r>
      <w:r w:rsidRPr="0054340E">
        <w:t xml:space="preserve">cumulatief aan vier voorwaarden te voldoen, willen zij </w:t>
      </w:r>
      <w:r>
        <w:t>met het EU- recht aanvaardbaar zijn. Dat zijn:</w:t>
      </w:r>
      <w:r>
        <w:rPr>
          <w:rStyle w:val="FootnoteReference"/>
          <w:rFonts w:cs="Arial"/>
        </w:rPr>
        <w:footnoteReference w:id="112"/>
      </w:r>
    </w:p>
    <w:p w:rsidR="00A64945" w:rsidRPr="005C13D3" w:rsidRDefault="00A64945" w:rsidP="00B6772C">
      <w:pPr>
        <w:pStyle w:val="ListParagraph"/>
        <w:numPr>
          <w:ilvl w:val="0"/>
          <w:numId w:val="14"/>
        </w:numPr>
        <w:spacing w:after="0" w:line="360" w:lineRule="auto"/>
        <w:jc w:val="both"/>
      </w:pPr>
      <w:r w:rsidRPr="005C13D3">
        <w:t>Zij dienen zonder discriminatie, derhalve zonder onderscheid, te worden toegepast;</w:t>
      </w:r>
    </w:p>
    <w:p w:rsidR="00A64945" w:rsidRPr="005C13D3" w:rsidRDefault="00A64945" w:rsidP="00B6772C">
      <w:pPr>
        <w:pStyle w:val="ListParagraph"/>
        <w:numPr>
          <w:ilvl w:val="0"/>
          <w:numId w:val="14"/>
        </w:numPr>
        <w:spacing w:after="0" w:line="360" w:lineRule="auto"/>
        <w:jc w:val="both"/>
      </w:pPr>
      <w:r w:rsidRPr="005C13D3">
        <w:lastRenderedPageBreak/>
        <w:t>Zij dienen hun rechtvaardiging te vinden in dwingende redenen van algemeen belang;</w:t>
      </w:r>
      <w:r>
        <w:rPr>
          <w:rStyle w:val="FootnoteReference"/>
          <w:rFonts w:cs="Arial"/>
        </w:rPr>
        <w:footnoteReference w:id="113"/>
      </w:r>
    </w:p>
    <w:p w:rsidR="00A64945" w:rsidRPr="005C13D3" w:rsidRDefault="00A64945" w:rsidP="00B6772C">
      <w:pPr>
        <w:pStyle w:val="ListParagraph"/>
        <w:numPr>
          <w:ilvl w:val="0"/>
          <w:numId w:val="14"/>
        </w:numPr>
        <w:spacing w:after="0" w:line="360" w:lineRule="auto"/>
        <w:jc w:val="both"/>
      </w:pPr>
      <w:r w:rsidRPr="005C13D3">
        <w:t xml:space="preserve">Zij dienen geschikt te zijn om de verwezenlijking van het nagestreefde doel te waarborgen en </w:t>
      </w:r>
    </w:p>
    <w:p w:rsidR="00A64945" w:rsidRPr="005C13D3" w:rsidRDefault="00A64945" w:rsidP="00B6772C">
      <w:pPr>
        <w:pStyle w:val="ListParagraph"/>
        <w:numPr>
          <w:ilvl w:val="0"/>
          <w:numId w:val="14"/>
        </w:numPr>
        <w:spacing w:after="0" w:line="360" w:lineRule="auto"/>
        <w:jc w:val="both"/>
      </w:pPr>
      <w:r w:rsidRPr="005C13D3">
        <w:t>Zij mogen niet verder gaan dan voor het te bereiken doel noodzakelijk is.</w:t>
      </w:r>
      <w:r w:rsidRPr="0054340E">
        <w:rPr>
          <w:rStyle w:val="FootnoteReference"/>
          <w:rFonts w:cs="Arial"/>
        </w:rPr>
        <w:footnoteReference w:id="114"/>
      </w:r>
    </w:p>
    <w:p w:rsidR="00A64945" w:rsidRDefault="00A64945" w:rsidP="00B6772C">
      <w:pPr>
        <w:spacing w:after="0" w:line="360" w:lineRule="auto"/>
        <w:jc w:val="both"/>
        <w:rPr>
          <w:b/>
          <w:i/>
          <w:sz w:val="18"/>
          <w:szCs w:val="18"/>
        </w:rPr>
      </w:pPr>
    </w:p>
    <w:p w:rsidR="00A64945" w:rsidRPr="00996B4B" w:rsidRDefault="00A64945" w:rsidP="00B6772C">
      <w:pPr>
        <w:spacing w:after="0" w:line="360" w:lineRule="auto"/>
        <w:jc w:val="both"/>
      </w:pPr>
      <w:r>
        <w:t>D</w:t>
      </w:r>
      <w:r w:rsidRPr="002A29FF">
        <w:t>e lidstaten</w:t>
      </w:r>
      <w:r>
        <w:rPr>
          <w:rStyle w:val="FootnoteReference"/>
          <w:rFonts w:cs="Arial"/>
        </w:rPr>
        <w:footnoteReference w:id="115"/>
      </w:r>
      <w:r w:rsidRPr="002A29FF">
        <w:t xml:space="preserve"> mogen in situaties waarin  gebruik (kan) wordt(en) gemaakt van het vrije verkeer  alleen belemmeringen opwerpen indien</w:t>
      </w:r>
      <w:r w:rsidRPr="00596AD3">
        <w:t xml:space="preserve"> </w:t>
      </w:r>
      <w:r>
        <w:t>hier een reden voor bestaat die cumulatief voldoet aan de vier bovengenoemde</w:t>
      </w:r>
      <w:r w:rsidRPr="00596AD3">
        <w:t xml:space="preserve"> </w:t>
      </w:r>
      <w:r>
        <w:t>criteria of in het geval dat er sprake is van een ‘objectief verschil’.</w:t>
      </w:r>
      <w:r w:rsidRPr="002A29FF">
        <w:rPr>
          <w:rStyle w:val="FootnoteReference"/>
          <w:rFonts w:cs="Arial"/>
        </w:rPr>
        <w:footnoteReference w:id="116"/>
      </w:r>
      <w:r>
        <w:rPr>
          <w:b/>
          <w:i/>
          <w:sz w:val="18"/>
          <w:szCs w:val="18"/>
        </w:rPr>
        <w:t xml:space="preserve"> </w:t>
      </w:r>
      <w:r>
        <w:t>Het begrip ‘objectief verschil’</w:t>
      </w:r>
      <w:r>
        <w:rPr>
          <w:rStyle w:val="FootnoteReference"/>
          <w:rFonts w:cs="Arial"/>
        </w:rPr>
        <w:footnoteReference w:id="117"/>
      </w:r>
      <w:r>
        <w:t xml:space="preserve"> wordt in de volgende subparagraaf voor wat betreft de belastingheffing in zijn algemeenheid en het kapitaalverkeer in het bijzonder, nader uitgelegd.</w:t>
      </w:r>
    </w:p>
    <w:p w:rsidR="00A64945" w:rsidRDefault="00A64945" w:rsidP="00AE45AB">
      <w:pPr>
        <w:pStyle w:val="Heading3"/>
        <w:spacing w:before="0" w:line="360" w:lineRule="auto"/>
        <w:jc w:val="both"/>
      </w:pPr>
      <w:bookmarkStart w:id="31" w:name="_Toc287433429"/>
    </w:p>
    <w:p w:rsidR="00A64945" w:rsidRPr="002964E8" w:rsidRDefault="00A64945" w:rsidP="00AE45AB">
      <w:pPr>
        <w:pStyle w:val="Heading3"/>
        <w:spacing w:before="0" w:line="360" w:lineRule="auto"/>
        <w:jc w:val="both"/>
      </w:pPr>
      <w:bookmarkStart w:id="32" w:name="_Toc299634272"/>
      <w:r w:rsidRPr="002964E8">
        <w:t>§</w:t>
      </w:r>
      <w:r>
        <w:t>2</w:t>
      </w:r>
      <w:r w:rsidRPr="002964E8">
        <w:t>.</w:t>
      </w:r>
      <w:r>
        <w:t>2</w:t>
      </w:r>
      <w:r w:rsidRPr="002964E8">
        <w:t>.</w:t>
      </w:r>
      <w:r>
        <w:t>3</w:t>
      </w:r>
      <w:r w:rsidRPr="002964E8">
        <w:t>. Objectief verschil</w:t>
      </w:r>
      <w:bookmarkEnd w:id="31"/>
      <w:bookmarkEnd w:id="32"/>
    </w:p>
    <w:p w:rsidR="00A64945" w:rsidRPr="004F1500" w:rsidRDefault="00A64945" w:rsidP="00B6772C">
      <w:pPr>
        <w:spacing w:after="0" w:line="360" w:lineRule="auto"/>
        <w:jc w:val="both"/>
      </w:pPr>
      <w:r>
        <w:t>Vergelijkbare omstandigheden mogen in beginsel geen verschillende fiscale behandeling krijgen, tenzij sprake is van een relevant objectief verschil.</w:t>
      </w:r>
      <w:r>
        <w:rPr>
          <w:rStyle w:val="FootnoteReference"/>
          <w:rFonts w:cs="Arial"/>
        </w:rPr>
        <w:footnoteReference w:id="118"/>
      </w:r>
      <w:r>
        <w:t xml:space="preserve"> Met andere woorden: het is toegestaan om vergelijkbare omstandigheden verschillend te behandelen op basis van een relevant objectief verschil. Het objectieve en het relevante verschil zit hem in het feit dat geen sprake kan zijn van discriminatie in het geval dat de situaties die in de eerste plaats vergelijkbaar lijken te zijn, op een bepaald punt toch niet vergelijkbaar blijken te zijn door de aanwezigheid van een relevant objectief verschil.</w:t>
      </w:r>
      <w:r>
        <w:rPr>
          <w:rStyle w:val="FootnoteReference"/>
          <w:rFonts w:cs="Arial"/>
        </w:rPr>
        <w:footnoteReference w:id="119"/>
      </w:r>
      <w:r>
        <w:t xml:space="preserve"> Bij de vraag of een buitenlander anders wordt behandeld dan een binnenlander en of dit in strijd is met het EU- recht, is de eerste vraag: ‘Bevinden desbetreffende buitenlander en die binnenlander zich in dezelfde omstandigheden? Met andere woorden zijn het vergelijkbare gevallen? Het HvJ EU heeft dienaangaande bepaald dat binnen- en buitenlanders zich nooit in vergelijkbare omstandigheden bevinden. </w:t>
      </w:r>
      <w:r w:rsidRPr="004F1500">
        <w:t>Een verschil in</w:t>
      </w:r>
      <w:r>
        <w:t xml:space="preserve"> fiscale</w:t>
      </w:r>
      <w:r w:rsidRPr="004F1500">
        <w:t xml:space="preserve"> behandeling is toegestaan bij verschillende gevallen,</w:t>
      </w:r>
      <w:r w:rsidRPr="004F1500">
        <w:rPr>
          <w:rStyle w:val="FootnoteReference"/>
          <w:rFonts w:cs="Arial"/>
        </w:rPr>
        <w:t xml:space="preserve"> </w:t>
      </w:r>
      <w:r w:rsidRPr="004F1500">
        <w:rPr>
          <w:rStyle w:val="FootnoteReference"/>
          <w:rFonts w:cs="Arial"/>
        </w:rPr>
        <w:footnoteReference w:id="120"/>
      </w:r>
      <w:r w:rsidRPr="004F1500">
        <w:t xml:space="preserve"> maar dient wel proportioneel te zijn. Het verschillend behandelen van een buitenlander en een binnenlander is dus niet </w:t>
      </w:r>
      <w:r>
        <w:t xml:space="preserve">zonder meer </w:t>
      </w:r>
      <w:r w:rsidRPr="004F1500">
        <w:t xml:space="preserve">in strijd met het EU- recht. </w:t>
      </w:r>
    </w:p>
    <w:p w:rsidR="00A64945" w:rsidRDefault="00A64945" w:rsidP="00F704CE">
      <w:pPr>
        <w:spacing w:after="0" w:line="360" w:lineRule="auto"/>
        <w:jc w:val="both"/>
      </w:pPr>
      <w:r>
        <w:t>In het Schumacker- arrest</w:t>
      </w:r>
      <w:r>
        <w:rPr>
          <w:rStyle w:val="FootnoteReference"/>
          <w:rFonts w:cs="Arial"/>
        </w:rPr>
        <w:footnoteReference w:id="121"/>
      </w:r>
      <w:r>
        <w:t xml:space="preserve"> bepaalde het HvJ EU echter dat indien een buitenlander 90%</w:t>
      </w:r>
      <w:r>
        <w:rPr>
          <w:rStyle w:val="FootnoteReference"/>
          <w:rFonts w:cs="Arial"/>
        </w:rPr>
        <w:footnoteReference w:id="122"/>
      </w:r>
      <w:r>
        <w:t xml:space="preserve"> van het inkomen in een land verdient, hij vergelijkbaar wordt met de inwoners van dat land. Formeel gezien was Schumacker buitenlander en dus wat betreft woonplaats niet vergelijkbaar met de inwoners van het land waar hij werkte. Op grond hiervan zou Schumacker volgens de hoofdregel een verschillende fiscale behandeling mogen ondergaan. Ondanks het feit dat Schumacker formeel buitenlander was, werd hij echter vergelijkbaar gesteld met een binnenlander vanwege het feit dat hij inkomenstechnisch</w:t>
      </w:r>
      <w:r>
        <w:rPr>
          <w:rStyle w:val="FootnoteReference"/>
          <w:rFonts w:cs="Arial"/>
        </w:rPr>
        <w:footnoteReference w:id="123"/>
      </w:r>
      <w:r>
        <w:t xml:space="preserve"> werd vereenzelvigd met een binnenlander en dus als binnenlander moest worden beschouwd. Pas nadat dit vaststond, ging het HvJ EU verder met het beoordelen van de </w:t>
      </w:r>
      <w:r>
        <w:lastRenderedPageBreak/>
        <w:t>vraag of de  buitenlander in kwestie zich in dezelfde omstandigheden bevond als de binnenlanders</w:t>
      </w:r>
      <w:r w:rsidRPr="00DB5249">
        <w:rPr>
          <w:rStyle w:val="FootnoteReference"/>
          <w:rFonts w:cs="Arial"/>
        </w:rPr>
        <w:footnoteReference w:id="124"/>
      </w:r>
      <w:r>
        <w:t xml:space="preserve"> en ging het Hof in op de vraag of er een relevant objectief verschil aangemerkt kon worden die de belemmering die Schumacker onderging</w:t>
      </w:r>
      <w:r>
        <w:rPr>
          <w:rStyle w:val="FootnoteReference"/>
          <w:rFonts w:cs="Arial"/>
        </w:rPr>
        <w:footnoteReference w:id="125"/>
      </w:r>
      <w:r>
        <w:t xml:space="preserve"> kon rechtvaardigen. Met dit voorbeeld wil ik illustreren dat het dus heel belangrijk is om zich bij de beoordeling van een situatie allereerst af te vragen of  het wel vergelijkbare gevallen zijn. Appels kunnen immers niet worden vergeleken met peren. Pas als vast staat dat er sprake is van gelijke gevallen, komt de vraag of deze gevallen rechtvaardig zijn behandeld en een gelijke (fiscale) behandeling hebben ondergaan aan de orde.</w:t>
      </w:r>
    </w:p>
    <w:p w:rsidR="00A64945" w:rsidRDefault="00A64945" w:rsidP="00B6772C">
      <w:pPr>
        <w:spacing w:after="0" w:line="360" w:lineRule="auto"/>
        <w:jc w:val="both"/>
        <w:rPr>
          <w:b/>
          <w:i/>
          <w:sz w:val="20"/>
          <w:szCs w:val="20"/>
        </w:rPr>
      </w:pPr>
    </w:p>
    <w:p w:rsidR="00A64945" w:rsidRPr="00807906" w:rsidRDefault="00A64945" w:rsidP="00B6772C">
      <w:pPr>
        <w:spacing w:after="0" w:line="360" w:lineRule="auto"/>
        <w:jc w:val="both"/>
        <w:rPr>
          <w:b/>
          <w:i/>
          <w:sz w:val="20"/>
          <w:szCs w:val="20"/>
        </w:rPr>
      </w:pPr>
      <w:r w:rsidRPr="00807906">
        <w:rPr>
          <w:b/>
          <w:i/>
          <w:sz w:val="20"/>
          <w:szCs w:val="20"/>
        </w:rPr>
        <w:t xml:space="preserve">Objectief verschil en </w:t>
      </w:r>
      <w:r>
        <w:rPr>
          <w:b/>
          <w:i/>
          <w:sz w:val="20"/>
          <w:szCs w:val="20"/>
        </w:rPr>
        <w:t xml:space="preserve">het </w:t>
      </w:r>
      <w:r w:rsidRPr="00807906">
        <w:rPr>
          <w:b/>
          <w:i/>
          <w:sz w:val="20"/>
          <w:szCs w:val="20"/>
        </w:rPr>
        <w:t>kapitaalverkeer</w:t>
      </w:r>
    </w:p>
    <w:p w:rsidR="00A64945" w:rsidRDefault="00A64945" w:rsidP="00B6772C">
      <w:pPr>
        <w:spacing w:after="0" w:line="360" w:lineRule="auto"/>
        <w:jc w:val="both"/>
      </w:pPr>
      <w:r>
        <w:t xml:space="preserve">Met betrekking tot het kapitaalverkeer is in artikel 63 VwEU bepaald dat alle beperkingen van het kapitaalverkeer en het betalingsverkeer tussen de lidstaten onderling en tussen de lidstaten en derde landen in beginsel verboden zijn. Dat is de hoofdregel. Artikel 65, lid 1, letter a VwEU bevat hier een uitzondering op. In dat artikel is bepaald dat het bepaalde in artikel 63 VwEU niets af doet aan het recht van de lidstaten de ter zake dienende bepalingen van hun belastingwetgeving toe te passen die onderscheid maken tussen belastingplichtigen die niet in dezelfde situatie verkeren met betrekking tot hun vestigingsplaats of de plaats waar hun kapitaal is belegd. </w:t>
      </w:r>
    </w:p>
    <w:p w:rsidR="00A64945" w:rsidRDefault="00A64945" w:rsidP="00A63D76">
      <w:pPr>
        <w:spacing w:line="360" w:lineRule="auto"/>
        <w:jc w:val="both"/>
      </w:pPr>
      <w:r w:rsidRPr="00E339D8">
        <w:t>De kern van artikel 65, lid 1, letter a VwEU is</w:t>
      </w:r>
      <w:r>
        <w:t xml:space="preserve"> dat </w:t>
      </w:r>
      <w:r w:rsidRPr="00E339D8">
        <w:t>het lidstaten toegestaan is onderscheid te maken tussen belastingplichtigen die niet in dezelfde situatie verkeren. Het is lidstaten toegestaan vergelijkbare omstandigheden verschillend te behandelen</w:t>
      </w:r>
      <w:r>
        <w:t>,</w:t>
      </w:r>
      <w:r w:rsidRPr="00E339D8">
        <w:t xml:space="preserve"> indien dit plaatsvindt op grond van een relevant objectief verschil in situaties. Dit vloeit onder andere voort uit hetgeen bepaald is in artikel 65, lid 3, VwEU waarin</w:t>
      </w:r>
      <w:r>
        <w:t xml:space="preserve"> is opgenomen dat de in leden 1 en 2 bedoelde maatregelen en procedures geen middel tot willekeurige discriminatie mogen vormen, noch een verkapte beperking van het vrije kapitaalverkeer en betalingsverkeer als omschreven in artikel 63 VwEU. Bovendien heeft het Hof in het zogenoemde Verkooijen- arrest</w:t>
      </w:r>
      <w:r>
        <w:rPr>
          <w:rStyle w:val="FootnoteReference"/>
          <w:rFonts w:cs="Arial"/>
        </w:rPr>
        <w:footnoteReference w:id="126"/>
      </w:r>
      <w:r>
        <w:t xml:space="preserve"> in r.o. 43 een duidelijke verband gelegd tussen art. 65, lid 1, letter aVwEU</w:t>
      </w:r>
      <w:r>
        <w:rPr>
          <w:rStyle w:val="FootnoteReference"/>
          <w:rFonts w:cs="Arial"/>
        </w:rPr>
        <w:footnoteReference w:id="127"/>
      </w:r>
      <w:r>
        <w:t xml:space="preserve"> en het Schumacker- arrest. Uit de uitleg die het HvJ EU aan dat artikel geeft, vloeit wederom voort dat de lidstaten onder het kapitaalverkeer hun belastingwetgeving zodanig mogen vormgeven dat een onderscheid mag bestaan tussen belastingplichtigen die niet in dezelfde situatie </w:t>
      </w:r>
      <w:r>
        <w:lastRenderedPageBreak/>
        <w:t>verkeren met betrekking tot hun vestigingsplaats of de plaats waar hun kapitaal is belegd, mits en zolang het situaties betreft die niet objectief vergelijkbaar zijn.</w:t>
      </w:r>
      <w:r>
        <w:rPr>
          <w:rStyle w:val="FootnoteReference"/>
          <w:rFonts w:cs="Arial"/>
        </w:rPr>
        <w:footnoteReference w:id="128"/>
      </w:r>
      <w:r>
        <w:t xml:space="preserve">  </w:t>
      </w:r>
    </w:p>
    <w:p w:rsidR="00A64945" w:rsidRPr="00406C2D" w:rsidRDefault="00A64945" w:rsidP="00B6772C">
      <w:pPr>
        <w:pStyle w:val="Heading2"/>
        <w:spacing w:before="0" w:line="360" w:lineRule="auto"/>
        <w:jc w:val="both"/>
        <w:rPr>
          <w:color w:val="auto"/>
        </w:rPr>
      </w:pPr>
      <w:bookmarkStart w:id="33" w:name="_Toc287433430"/>
      <w:bookmarkStart w:id="34" w:name="_Toc299634273"/>
      <w:r>
        <w:rPr>
          <w:color w:val="auto"/>
        </w:rPr>
        <w:t>§2</w:t>
      </w:r>
      <w:r w:rsidRPr="00406C2D">
        <w:rPr>
          <w:color w:val="auto"/>
        </w:rPr>
        <w:t>.</w:t>
      </w:r>
      <w:r>
        <w:rPr>
          <w:color w:val="auto"/>
        </w:rPr>
        <w:t>3</w:t>
      </w:r>
      <w:r w:rsidRPr="00406C2D">
        <w:rPr>
          <w:color w:val="auto"/>
        </w:rPr>
        <w:t xml:space="preserve"> Directe belastingrichtlijnen</w:t>
      </w:r>
      <w:bookmarkEnd w:id="33"/>
      <w:bookmarkEnd w:id="34"/>
      <w:r w:rsidRPr="00406C2D">
        <w:rPr>
          <w:color w:val="auto"/>
        </w:rPr>
        <w:tab/>
      </w:r>
    </w:p>
    <w:p w:rsidR="00A64945" w:rsidRPr="00406C2D" w:rsidRDefault="00A64945" w:rsidP="00B6772C">
      <w:pPr>
        <w:pStyle w:val="Heading3"/>
        <w:spacing w:before="0" w:line="360" w:lineRule="auto"/>
        <w:jc w:val="both"/>
      </w:pPr>
      <w:bookmarkStart w:id="35" w:name="_Toc287433431"/>
      <w:bookmarkStart w:id="36" w:name="_Toc299634274"/>
      <w:r>
        <w:t>§2</w:t>
      </w:r>
      <w:r w:rsidRPr="00406C2D">
        <w:t>.</w:t>
      </w:r>
      <w:r>
        <w:t>3</w:t>
      </w:r>
      <w:r w:rsidRPr="00406C2D">
        <w:t>.1 Inleiding</w:t>
      </w:r>
      <w:bookmarkEnd w:id="35"/>
      <w:bookmarkEnd w:id="36"/>
    </w:p>
    <w:p w:rsidR="00A64945" w:rsidRDefault="00A64945" w:rsidP="00B6772C">
      <w:pPr>
        <w:tabs>
          <w:tab w:val="left" w:pos="3015"/>
        </w:tabs>
        <w:spacing w:line="360" w:lineRule="auto"/>
        <w:jc w:val="both"/>
      </w:pPr>
      <w:r w:rsidRPr="00E26A15">
        <w:t xml:space="preserve">In </w:t>
      </w:r>
      <w:r>
        <w:t xml:space="preserve">het verlengde </w:t>
      </w:r>
      <w:r w:rsidRPr="00E26A15">
        <w:t>van het streven na</w:t>
      </w:r>
      <w:r>
        <w:t>ar een gemeenschappelijke markt ligt dat</w:t>
      </w:r>
      <w:r w:rsidRPr="00E26A15">
        <w:t xml:space="preserve"> de stelsels van belastingheffing van de verschillende lidstaten op elkaar afgestemd zijn.</w:t>
      </w:r>
      <w:r>
        <w:t xml:space="preserve"> </w:t>
      </w:r>
      <w:r w:rsidRPr="00B7517E">
        <w:t xml:space="preserve">Teneinde dit te bereiken, </w:t>
      </w:r>
      <w:r>
        <w:t xml:space="preserve">wordt op EU- niveau naar verdere harmonisatie van </w:t>
      </w:r>
      <w:r w:rsidRPr="00B7517E">
        <w:t>het nationale fiscale belastingrecht</w:t>
      </w:r>
      <w:r>
        <w:t xml:space="preserve"> van de verschillende lidstaten gestreefd</w:t>
      </w:r>
      <w:r w:rsidRPr="00B7517E">
        <w:t xml:space="preserve">. </w:t>
      </w:r>
      <w:r>
        <w:t>Het doorvoeren van verdere harmonisatie op fiscaal gebied is echter geen eenvoudige taak,  aangezien lidstaten, zoals eerder ter sprake is geweest, op fiscaal terrein veelal zoveel mogelijk autonoom wensen te blijven.</w:t>
      </w:r>
      <w:r>
        <w:rPr>
          <w:rStyle w:val="FootnoteReference"/>
          <w:rFonts w:cs="Arial"/>
        </w:rPr>
        <w:footnoteReference w:id="129"/>
      </w:r>
      <w:r>
        <w:t xml:space="preserve"> </w:t>
      </w:r>
      <w:r w:rsidRPr="00B7517E">
        <w:t xml:space="preserve">Een middel </w:t>
      </w:r>
      <w:r>
        <w:t xml:space="preserve">dat op EU- niveau ingezet wordt </w:t>
      </w:r>
      <w:r w:rsidRPr="00B7517E">
        <w:t xml:space="preserve">om </w:t>
      </w:r>
      <w:r>
        <w:t xml:space="preserve">de gewenste </w:t>
      </w:r>
      <w:r w:rsidRPr="00B7517E">
        <w:t xml:space="preserve">harmonisatie te verwezenlijken is het </w:t>
      </w:r>
      <w:r>
        <w:t>uitvaardigen</w:t>
      </w:r>
      <w:r w:rsidRPr="00B7517E">
        <w:t xml:space="preserve">  van zogenoemde richtlijnen.</w:t>
      </w:r>
      <w:r>
        <w:t xml:space="preserve"> </w:t>
      </w:r>
      <w:r w:rsidRPr="00B7517E">
        <w:t xml:space="preserve">In het belastingrecht wordt </w:t>
      </w:r>
      <w:r>
        <w:t xml:space="preserve">om die reden dan ook </w:t>
      </w:r>
      <w:r w:rsidRPr="00B7517E">
        <w:t>veelvuldig gebruik gemaakt van richtlijnen. Voorbeelden zijn de BTW- richtlijnen, de Accijnsrichtlijnen en de richtlijnen op het gebied van de directe belastingen.</w:t>
      </w:r>
      <w:r w:rsidRPr="00B7517E">
        <w:rPr>
          <w:rStyle w:val="FootnoteReference"/>
          <w:rFonts w:cs="Arial"/>
        </w:rPr>
        <w:footnoteReference w:id="130"/>
      </w:r>
      <w:r w:rsidRPr="00B7517E">
        <w:t xml:space="preserve"> </w:t>
      </w:r>
    </w:p>
    <w:p w:rsidR="00A64945" w:rsidRDefault="00A64945" w:rsidP="00B6772C">
      <w:pPr>
        <w:tabs>
          <w:tab w:val="left" w:pos="3015"/>
        </w:tabs>
        <w:spacing w:after="0" w:line="360" w:lineRule="auto"/>
        <w:jc w:val="both"/>
      </w:pPr>
      <w:r w:rsidRPr="00B7517E">
        <w:t xml:space="preserve">De Europese richtlijnen vormen een bron van het Europees recht en </w:t>
      </w:r>
      <w:r>
        <w:t>zijn onderdeel</w:t>
      </w:r>
      <w:r>
        <w:rPr>
          <w:rStyle w:val="FootnoteReference"/>
          <w:rFonts w:cs="Arial"/>
        </w:rPr>
        <w:footnoteReference w:id="131"/>
      </w:r>
      <w:r>
        <w:t xml:space="preserve"> van het zogenaamde </w:t>
      </w:r>
      <w:r w:rsidRPr="002D3A18">
        <w:rPr>
          <w:i/>
        </w:rPr>
        <w:t>secundair</w:t>
      </w:r>
      <w:r>
        <w:rPr>
          <w:i/>
        </w:rPr>
        <w:t>e</w:t>
      </w:r>
      <w:r w:rsidRPr="002D3A18">
        <w:rPr>
          <w:i/>
        </w:rPr>
        <w:t xml:space="preserve"> gemeenschapsrecht</w:t>
      </w:r>
      <w:r w:rsidRPr="00B7517E">
        <w:t>.</w:t>
      </w:r>
      <w:r w:rsidRPr="00B91C69">
        <w:rPr>
          <w:rStyle w:val="FootnoteReference"/>
          <w:rFonts w:cs="Arial"/>
        </w:rPr>
        <w:footnoteReference w:id="132"/>
      </w:r>
      <w:r w:rsidRPr="00B91C69">
        <w:t xml:space="preserve"> In art. 288 VEU</w:t>
      </w:r>
      <w:r w:rsidRPr="00B7517E">
        <w:t xml:space="preserve"> is namelijk opgenomen dat de instellingen  van de EU, dit zijn het Europees parlement, de Europese Raad en de Europese Commissie, voor de vervulling van hun taak verordeningen en richtlijnen</w:t>
      </w:r>
      <w:r>
        <w:t xml:space="preserve"> kunnen vaststellen, </w:t>
      </w:r>
      <w:r>
        <w:lastRenderedPageBreak/>
        <w:t>beschikkingen kunnen geven of aanbevelingen en adviezen uit kunnen brengen.</w:t>
      </w:r>
      <w:r w:rsidRPr="000C011E">
        <w:t xml:space="preserve"> </w:t>
      </w:r>
      <w:r w:rsidRPr="00B91C69">
        <w:t xml:space="preserve">In </w:t>
      </w:r>
      <w:r>
        <w:t>hetzelfde artikel</w:t>
      </w:r>
      <w:r w:rsidRPr="00B91C69">
        <w:t xml:space="preserve"> staat</w:t>
      </w:r>
      <w:r>
        <w:t xml:space="preserve"> tevens de karakteristiek van een Europese richtlijn beschreven. Een richtlijn is voor elke lidstaat waarvoor zij bestemd is, verbindend ten aan zien van het te bereiken resultaat. Dat een richtlijn verbindend is, brengt met zich dat richtlijnen in het nationale recht dienen te worden geïmplementeerd. De nationale instanties van een lidstaat zijn hierbij echter vrij</w:t>
      </w:r>
      <w:r>
        <w:rPr>
          <w:rStyle w:val="FootnoteReference"/>
          <w:rFonts w:cs="Arial"/>
        </w:rPr>
        <w:footnoteReference w:id="133"/>
      </w:r>
      <w:r>
        <w:t xml:space="preserve"> de vorm en de middelen te kiezen om dit resultaat te bereiken. Dit wil zeggen dat de lidstaten bij het omzetten van een richtlijn in nationaal recht, de richtlijn bijvoorbeeld niet letterlijk, woord voor woord behoeven over te nemen. Voldoende is dat het te bereiken ‘resultaat’ ook daadwerkelijk wordt behaald. Kortom, het doel ligt vast, maar de wijze waarop dit doel wordt verwezenlijkt mag iedere lidstaat zelf bepalen, mits de wijze van realisatie, dat is de wijze waarop een lidstaat haar wet inricht, het realiseren van dat doel niet in de weg staat.</w:t>
      </w:r>
    </w:p>
    <w:p w:rsidR="00A64945" w:rsidRPr="000C011E" w:rsidRDefault="00A64945" w:rsidP="00B6772C">
      <w:pPr>
        <w:tabs>
          <w:tab w:val="left" w:pos="3015"/>
        </w:tabs>
        <w:spacing w:after="0" w:line="360" w:lineRule="auto"/>
        <w:jc w:val="both"/>
      </w:pPr>
      <w:r>
        <w:t>Momenteel bestaan er met betrekking tot het directe belastingrecht vier richtlijnen die zorgen voor (deel)harmonisatie van de directe belastingen. Deze maatregelen zullen bij aanname van de UPG- status door Curaçao, ook voor Curaçao komen te gelden. Deze vier richtlijnen zijn de:</w:t>
      </w:r>
    </w:p>
    <w:p w:rsidR="00A64945" w:rsidRPr="000C011E" w:rsidRDefault="00A64945" w:rsidP="00B6772C">
      <w:pPr>
        <w:pStyle w:val="ListParagraph"/>
        <w:numPr>
          <w:ilvl w:val="0"/>
          <w:numId w:val="15"/>
        </w:numPr>
        <w:tabs>
          <w:tab w:val="left" w:pos="3015"/>
        </w:tabs>
        <w:spacing w:after="0" w:line="240" w:lineRule="auto"/>
        <w:jc w:val="both"/>
      </w:pPr>
      <w:r w:rsidRPr="000C011E">
        <w:t>Moeder- dochterrichtlijn</w:t>
      </w:r>
      <w:r>
        <w:t>;</w:t>
      </w:r>
    </w:p>
    <w:p w:rsidR="00A64945" w:rsidRPr="000C011E" w:rsidRDefault="00A64945" w:rsidP="00B6772C">
      <w:pPr>
        <w:pStyle w:val="ListParagraph"/>
        <w:numPr>
          <w:ilvl w:val="0"/>
          <w:numId w:val="15"/>
        </w:numPr>
        <w:tabs>
          <w:tab w:val="left" w:pos="3015"/>
        </w:tabs>
        <w:spacing w:after="0" w:line="240" w:lineRule="auto"/>
        <w:jc w:val="both"/>
      </w:pPr>
      <w:r w:rsidRPr="000C011E">
        <w:t>Fusierichtlijn</w:t>
      </w:r>
      <w:r>
        <w:t>;</w:t>
      </w:r>
    </w:p>
    <w:p w:rsidR="00A64945" w:rsidRPr="000C011E" w:rsidRDefault="00A64945" w:rsidP="00B6772C">
      <w:pPr>
        <w:pStyle w:val="ListParagraph"/>
        <w:numPr>
          <w:ilvl w:val="0"/>
          <w:numId w:val="15"/>
        </w:numPr>
        <w:tabs>
          <w:tab w:val="left" w:pos="3015"/>
        </w:tabs>
        <w:spacing w:after="0" w:line="240" w:lineRule="auto"/>
        <w:jc w:val="both"/>
      </w:pPr>
      <w:r w:rsidRPr="000C011E">
        <w:t>Rente- en royaltyrichtlijn</w:t>
      </w:r>
      <w:r>
        <w:t xml:space="preserve"> en de</w:t>
      </w:r>
    </w:p>
    <w:p w:rsidR="00A64945" w:rsidRPr="000C011E" w:rsidRDefault="00A64945" w:rsidP="00B6772C">
      <w:pPr>
        <w:pStyle w:val="ListParagraph"/>
        <w:numPr>
          <w:ilvl w:val="0"/>
          <w:numId w:val="15"/>
        </w:numPr>
        <w:tabs>
          <w:tab w:val="left" w:pos="3015"/>
        </w:tabs>
        <w:spacing w:after="0" w:line="240" w:lineRule="auto"/>
        <w:jc w:val="both"/>
      </w:pPr>
      <w:r w:rsidRPr="000C011E">
        <w:t>Spaartegoedenrichtlijn</w:t>
      </w:r>
      <w:r>
        <w:t>.</w:t>
      </w:r>
    </w:p>
    <w:p w:rsidR="00A64945" w:rsidRDefault="00A64945" w:rsidP="00B6772C">
      <w:pPr>
        <w:tabs>
          <w:tab w:val="left" w:pos="3015"/>
        </w:tabs>
        <w:jc w:val="both"/>
      </w:pPr>
    </w:p>
    <w:p w:rsidR="00A64945" w:rsidRDefault="00A64945" w:rsidP="00812E51">
      <w:pPr>
        <w:tabs>
          <w:tab w:val="left" w:pos="3015"/>
        </w:tabs>
        <w:spacing w:line="360" w:lineRule="auto"/>
        <w:jc w:val="both"/>
      </w:pPr>
      <w:r>
        <w:t>In de volgende subparagrafen komen deze richtlijnen achtereenvolgend aan de orde. Ook de Richtlijn inzake uitwisseling en de Richtlijn inzake invordering van belastingen komen in laatste subparagraaf (§2.3.6.) kort aan de orde.</w:t>
      </w:r>
    </w:p>
    <w:p w:rsidR="00A64945" w:rsidRPr="002417EF" w:rsidRDefault="00A64945" w:rsidP="00B6772C">
      <w:pPr>
        <w:pStyle w:val="Heading3"/>
        <w:spacing w:before="0" w:line="360" w:lineRule="auto"/>
        <w:jc w:val="both"/>
        <w:rPr>
          <w:b w:val="0"/>
        </w:rPr>
      </w:pPr>
      <w:bookmarkStart w:id="37" w:name="_Toc287433432"/>
      <w:bookmarkStart w:id="38" w:name="_Toc299634275"/>
      <w:r>
        <w:t>§2</w:t>
      </w:r>
      <w:r w:rsidRPr="002417EF">
        <w:t>.</w:t>
      </w:r>
      <w:r>
        <w:t>3</w:t>
      </w:r>
      <w:r w:rsidRPr="002417EF">
        <w:t>.2.  Moeder- dochterrichtlijn</w:t>
      </w:r>
      <w:bookmarkEnd w:id="37"/>
      <w:bookmarkEnd w:id="38"/>
    </w:p>
    <w:p w:rsidR="00A64945" w:rsidRPr="00E46893" w:rsidRDefault="00A64945" w:rsidP="00B6772C">
      <w:pPr>
        <w:spacing w:line="360" w:lineRule="auto"/>
        <w:jc w:val="both"/>
      </w:pPr>
      <w:r>
        <w:t>De moeder- dochterrichtlijn</w:t>
      </w:r>
      <w:r>
        <w:rPr>
          <w:rStyle w:val="FootnoteReference"/>
          <w:rFonts w:cs="Arial"/>
        </w:rPr>
        <w:footnoteReference w:id="134"/>
      </w:r>
      <w:r>
        <w:t xml:space="preserve"> (hierna: MDR)  vindt toepassing bij de fiscale behandeling van uitkering van dividend tussen vennootschappen uit verschillende lidstaten. Door zowel de lidstaat van de dochtermaatschappij als de lidstaat van de moedermaatschappij maatregelen op te leggen, wordt een voorkoming van verstoringen ten aanzien van dividenden bewerkstelligd.</w:t>
      </w:r>
      <w:r>
        <w:rPr>
          <w:rStyle w:val="FootnoteReference"/>
          <w:rFonts w:cs="Arial"/>
        </w:rPr>
        <w:footnoteReference w:id="135"/>
      </w:r>
      <w:r>
        <w:t xml:space="preserve"> Bij een </w:t>
      </w:r>
      <w:r>
        <w:lastRenderedPageBreak/>
        <w:t>winstuitkering tussen een dochtermaatschappij en een moedermaatschappij die beide gevestigd zijn in de EU,</w:t>
      </w:r>
      <w:r>
        <w:rPr>
          <w:rStyle w:val="FootnoteReference"/>
          <w:rFonts w:cs="Arial"/>
        </w:rPr>
        <w:footnoteReference w:id="136"/>
      </w:r>
      <w:r>
        <w:t xml:space="preserve"> verbiedt deze richtlijn ten eerste dat de lidstaat van de dochtermaatschappij bronbelasting heft over de uitkering. Op grond van artikel 5 MDR wordt de door een dochtermaatschappij aan de moedermaatschappij uitgekeerde winst vrijgesteld van bronbelasting. Ten tweede legt de richtlijn aan de lidstaat van de moedermaatschappij de verplichting op om de ontvangen dividenden vrij te stellen van heffing van de vennootschapsbelasting, dan wel bij de heffing daarvan de verrekeningsmethode toe te passen: </w:t>
      </w:r>
      <w:r>
        <w:rPr>
          <w:rStyle w:val="FootnoteReference"/>
          <w:rFonts w:cs="Arial"/>
        </w:rPr>
        <w:footnoteReference w:id="137"/>
      </w:r>
      <w:r>
        <w:t xml:space="preserve"> </w:t>
      </w:r>
      <w:r w:rsidRPr="00635F1A">
        <w:rPr>
          <w:i/>
        </w:rPr>
        <w:t>wanneer een moedermaatschappij of haar vaste inrichting […] uitgekeerde winst ontvangt […] moeten de lidstaat van de moedermaatschappij en de lidstaat van haar vaste inrichting ofwel zich onthouden van het belasten van de winst ofwel de winst belasten, maar in dat geval de moedermaatschappij en de vaste inrichting toestaan van de verschuldigde belasting af te trekken […] tot het bedrag van de overeenstemmende verschuldigde belasting.</w:t>
      </w:r>
    </w:p>
    <w:p w:rsidR="00A64945" w:rsidRPr="002417EF" w:rsidRDefault="00A64945" w:rsidP="00B6772C">
      <w:pPr>
        <w:pStyle w:val="Heading3"/>
        <w:spacing w:before="0" w:line="360" w:lineRule="auto"/>
        <w:jc w:val="both"/>
        <w:rPr>
          <w:b w:val="0"/>
        </w:rPr>
      </w:pPr>
      <w:bookmarkStart w:id="39" w:name="_Toc287433433"/>
      <w:bookmarkStart w:id="40" w:name="_Toc299634276"/>
      <w:r>
        <w:t>§2</w:t>
      </w:r>
      <w:r w:rsidRPr="0028734D">
        <w:t>.</w:t>
      </w:r>
      <w:r>
        <w:t>3</w:t>
      </w:r>
      <w:r w:rsidRPr="0028734D">
        <w:t>.3.  Fusierichtlijn</w:t>
      </w:r>
      <w:bookmarkEnd w:id="39"/>
      <w:bookmarkEnd w:id="40"/>
    </w:p>
    <w:p w:rsidR="00A64945" w:rsidRDefault="00A64945" w:rsidP="00B6772C">
      <w:pPr>
        <w:spacing w:line="360" w:lineRule="auto"/>
        <w:jc w:val="both"/>
      </w:pPr>
      <w:r w:rsidRPr="00751858">
        <w:t xml:space="preserve">De </w:t>
      </w:r>
      <w:r>
        <w:t>fusierichtlijn</w:t>
      </w:r>
      <w:r>
        <w:rPr>
          <w:rStyle w:val="FootnoteReference"/>
          <w:rFonts w:cs="Arial"/>
        </w:rPr>
        <w:footnoteReference w:id="138"/>
      </w:r>
      <w:r>
        <w:t xml:space="preserve"> (hierna: FR) is van toepassing op fusies, (gedeeltelijke) splitsingen, inbreng van activa en aandelenruil met betrekking tot vennootschappen uit verschillende lidstaten. Doel van de richtlijn is de belasting over een uit bedrijfsreorganisatie voortvloeiend inkomen, winst en vermogenswinst uit te stellen en de heffingsbevoegdheid van de lidstaten te beschermen.</w:t>
      </w:r>
      <w:r>
        <w:rPr>
          <w:rStyle w:val="FootnoteReference"/>
          <w:rFonts w:cs="Arial"/>
        </w:rPr>
        <w:footnoteReference w:id="139"/>
      </w:r>
      <w:r>
        <w:t xml:space="preserve"> Eén van de doelstellingen hierbij is obstakels weg te nemen die de werking van de interne markt kunnen belemmeren, zoals dubbele belastingheffing. Uit de preambule bij de FR vloeit voort dat voor zover het wegnemen van obstakels met genoemde richtlijn niet ten volle is gerealiseerd, de lidstaten de nodige maatregelen moeten nemen om dit doel alsnog te bereiken.</w:t>
      </w:r>
      <w:r>
        <w:rPr>
          <w:rStyle w:val="FootnoteReference"/>
          <w:rFonts w:cs="Arial"/>
        </w:rPr>
        <w:footnoteReference w:id="140"/>
      </w:r>
      <w:r>
        <w:t xml:space="preserve"> De eindverantwoordelijkheid ligt dus bij de lidstaten. Teneinde het in de preambule omschreven doel te bereiken, is in art. 4, lid 1 </w:t>
      </w:r>
      <w:r>
        <w:lastRenderedPageBreak/>
        <w:t>FR vastgelegd dat fusies, splitsingen en gedeeltelijke splitsingen niet tot (enigerlei) belastingheffing over de vermogenswinst</w:t>
      </w:r>
      <w:r>
        <w:rPr>
          <w:rStyle w:val="FootnoteReference"/>
        </w:rPr>
        <w:footnoteReference w:id="141"/>
      </w:r>
      <w:r>
        <w:t xml:space="preserve"> dienen te leiden. Art. 11 FR, lid 1 bevat hier een uitzondering op. Indien blijkt dat het hoofddoel van de reorganisatie belastingfraude of- ontwijking is, heeft een lidstaat het recht de fusiefaciliteit te weigeren. Het ontbreken van zakelijke overwegingen zoals herstructurering en rationalisering van de bedrijfsactiviteiten van de bij de transactie betrokken vennootschappen kan hierbij grond zijn voor het veronderstellen van misbruik.</w:t>
      </w:r>
      <w:r>
        <w:rPr>
          <w:rStyle w:val="FootnoteReference"/>
          <w:rFonts w:cs="Arial"/>
        </w:rPr>
        <w:footnoteReference w:id="142"/>
      </w:r>
      <w:r>
        <w:t xml:space="preserve"> Rationalisering doelt op het efficiënter indelen van de bedrijfsprocessen. Herstructurering is het herschikken van de structuur van een onderneming of het herindelen van de bedrijfsonderdelen van een organisatie. Herstructurering kan in het verlengde liggen van rationalisering en als doel het efficiënter indelen van bedrijfsprocessen hebben, maar dat hoeft niet altijd het geval te zijn. Soms is een andere positionering van bedrijfsonderdelen voor andere doeleinden wenselijk, bijvoorbeeld in verband met de aansprakelijkheid binnen de onderneming of de risicospreiding.  </w:t>
      </w:r>
      <w:r>
        <w:rPr>
          <w:rStyle w:val="FootnoteReference"/>
          <w:rFonts w:cs="Arial"/>
        </w:rPr>
        <w:footnoteReference w:id="143"/>
      </w:r>
      <w:r>
        <w:t>Een soortgelijke  antimisbruikbepaling als die van art. 11 FR  is ook in de MDR</w:t>
      </w:r>
      <w:r>
        <w:rPr>
          <w:rStyle w:val="FootnoteReference"/>
          <w:rFonts w:cs="Arial"/>
        </w:rPr>
        <w:footnoteReference w:id="144"/>
      </w:r>
      <w:r>
        <w:t xml:space="preserve"> en de Interest- en Royaltyrichtijn (hierna: IRR)</w:t>
      </w:r>
      <w:r>
        <w:rPr>
          <w:rStyle w:val="FootnoteReference"/>
          <w:rFonts w:cs="Arial"/>
        </w:rPr>
        <w:footnoteReference w:id="145"/>
      </w:r>
      <w:r>
        <w:t xml:space="preserve"> opgenomen.</w:t>
      </w:r>
    </w:p>
    <w:p w:rsidR="00A64945" w:rsidRPr="00067AB3" w:rsidRDefault="00A64945" w:rsidP="00B6772C">
      <w:pPr>
        <w:pStyle w:val="Heading3"/>
        <w:spacing w:before="0" w:line="360" w:lineRule="auto"/>
        <w:jc w:val="both"/>
      </w:pPr>
      <w:bookmarkStart w:id="41" w:name="_Toc287433434"/>
      <w:bookmarkStart w:id="42" w:name="_Toc299634277"/>
      <w:r w:rsidRPr="00067AB3">
        <w:t>§</w:t>
      </w:r>
      <w:r>
        <w:t>2</w:t>
      </w:r>
      <w:r w:rsidRPr="00067AB3">
        <w:t>.</w:t>
      </w:r>
      <w:r>
        <w:t>3</w:t>
      </w:r>
      <w:r w:rsidRPr="00067AB3">
        <w:t>.4. Interest en Royaltyrichtlijn</w:t>
      </w:r>
      <w:bookmarkEnd w:id="41"/>
      <w:bookmarkEnd w:id="42"/>
    </w:p>
    <w:p w:rsidR="00A64945" w:rsidRDefault="00A64945" w:rsidP="00B6772C">
      <w:pPr>
        <w:spacing w:line="360" w:lineRule="auto"/>
        <w:jc w:val="both"/>
      </w:pPr>
      <w:r>
        <w:t>De IRR</w:t>
      </w:r>
      <w:r>
        <w:rPr>
          <w:rStyle w:val="FootnoteReference"/>
          <w:rFonts w:cs="Arial"/>
        </w:rPr>
        <w:footnoteReference w:id="146"/>
      </w:r>
      <w:r>
        <w:t xml:space="preserve"> ziet op voorkoming van verstoringen ten aanzien van grensoverschrijdende rente en/of royalty betalingen. Op grond van de IRR zijn uitkeringen van interest of royalty’s die ontstaan in een lidstaat vrijgesteld van alle belastingen in die bronstaat ongeacht of deze geïnd worden door inhouding aan de bron dan wel bij wege van  aanslag.</w:t>
      </w:r>
      <w:r>
        <w:rPr>
          <w:rStyle w:val="FootnoteReference"/>
          <w:rFonts w:cs="Arial"/>
        </w:rPr>
        <w:footnoteReference w:id="147"/>
      </w:r>
      <w:r>
        <w:t xml:space="preserve"> De richtlijn heeft volgens de preambule als voornaamste doeleinden:</w:t>
      </w:r>
      <w:r>
        <w:rPr>
          <w:rStyle w:val="FootnoteReference"/>
          <w:rFonts w:cs="Arial"/>
        </w:rPr>
        <w:footnoteReference w:id="148"/>
      </w:r>
      <w:r>
        <w:t xml:space="preserve"> </w:t>
      </w:r>
    </w:p>
    <w:p w:rsidR="00A64945" w:rsidRPr="00CC1868" w:rsidRDefault="00A64945" w:rsidP="00B6772C">
      <w:pPr>
        <w:pStyle w:val="ListParagraph"/>
        <w:numPr>
          <w:ilvl w:val="0"/>
          <w:numId w:val="16"/>
        </w:numPr>
        <w:spacing w:after="0" w:line="360" w:lineRule="auto"/>
        <w:jc w:val="both"/>
      </w:pPr>
      <w:r w:rsidRPr="00CC1868">
        <w:t>het wegnemen van de nog bestaande dubbele belastingheffing terzake van interest- en royaltybetalingen tussen verbonden ondernemingen binnen de EU;</w:t>
      </w:r>
      <w:r w:rsidRPr="00EE54EF">
        <w:rPr>
          <w:rStyle w:val="FootnoteReference"/>
          <w:rFonts w:cs="Arial"/>
        </w:rPr>
        <w:t xml:space="preserve"> </w:t>
      </w:r>
      <w:r>
        <w:rPr>
          <w:rStyle w:val="FootnoteReference"/>
          <w:rFonts w:cs="Arial"/>
        </w:rPr>
        <w:footnoteReference w:id="149"/>
      </w:r>
      <w:r w:rsidRPr="00CC1868">
        <w:t xml:space="preserve"> </w:t>
      </w:r>
    </w:p>
    <w:p w:rsidR="00A64945" w:rsidRDefault="00A64945" w:rsidP="00B6772C">
      <w:pPr>
        <w:pStyle w:val="ListParagraph"/>
        <w:numPr>
          <w:ilvl w:val="0"/>
          <w:numId w:val="16"/>
        </w:numPr>
        <w:spacing w:after="0" w:line="360" w:lineRule="auto"/>
        <w:jc w:val="both"/>
      </w:pPr>
      <w:r>
        <w:t>h</w:t>
      </w:r>
      <w:r w:rsidRPr="00CC1868">
        <w:t>et wegnemen van cashflownadelen d</w:t>
      </w:r>
      <w:r>
        <w:t>ie voortkomen uit het tijdsverschil dat bestaat tussen afdracht en teruggaaf van betaalde bronbelasting;</w:t>
      </w:r>
      <w:r w:rsidRPr="00E040F3">
        <w:rPr>
          <w:rStyle w:val="FootnoteReference"/>
          <w:rFonts w:cs="Arial"/>
        </w:rPr>
        <w:t xml:space="preserve"> </w:t>
      </w:r>
      <w:r>
        <w:rPr>
          <w:rStyle w:val="FootnoteReference"/>
          <w:rFonts w:cs="Arial"/>
        </w:rPr>
        <w:footnoteReference w:id="150"/>
      </w:r>
      <w:r>
        <w:t xml:space="preserve"> en </w:t>
      </w:r>
    </w:p>
    <w:p w:rsidR="00A64945" w:rsidRDefault="00A64945" w:rsidP="00B6772C">
      <w:pPr>
        <w:pStyle w:val="ListParagraph"/>
        <w:numPr>
          <w:ilvl w:val="0"/>
          <w:numId w:val="16"/>
        </w:numPr>
        <w:spacing w:after="0" w:line="360" w:lineRule="auto"/>
        <w:jc w:val="both"/>
      </w:pPr>
      <w:r>
        <w:lastRenderedPageBreak/>
        <w:t>het verminderen van de administratieve lasten die met de toepassing van de nationale belastingwetten gemoeid zijn.</w:t>
      </w:r>
      <w:r>
        <w:rPr>
          <w:rStyle w:val="FootnoteReference"/>
          <w:rFonts w:cs="Arial"/>
        </w:rPr>
        <w:footnoteReference w:id="151"/>
      </w:r>
    </w:p>
    <w:p w:rsidR="00A64945" w:rsidRDefault="00A64945" w:rsidP="00B6772C">
      <w:pPr>
        <w:pStyle w:val="Heading3"/>
        <w:spacing w:before="0" w:line="360" w:lineRule="auto"/>
        <w:jc w:val="both"/>
      </w:pPr>
      <w:bookmarkStart w:id="43" w:name="_Toc287433435"/>
    </w:p>
    <w:p w:rsidR="00A64945" w:rsidRPr="00A20F31" w:rsidRDefault="00A64945" w:rsidP="00B6772C">
      <w:pPr>
        <w:pStyle w:val="Heading3"/>
        <w:spacing w:before="0" w:line="360" w:lineRule="auto"/>
        <w:jc w:val="both"/>
      </w:pPr>
      <w:bookmarkStart w:id="44" w:name="_Toc299634278"/>
      <w:r>
        <w:t>§2</w:t>
      </w:r>
      <w:r w:rsidRPr="00A20F31">
        <w:t>.</w:t>
      </w:r>
      <w:r>
        <w:t>3</w:t>
      </w:r>
      <w:r w:rsidRPr="00A20F31">
        <w:t>.5. Spaartegoedenrichtlijn</w:t>
      </w:r>
      <w:bookmarkEnd w:id="43"/>
      <w:bookmarkEnd w:id="44"/>
    </w:p>
    <w:p w:rsidR="00A64945" w:rsidRDefault="00A64945" w:rsidP="00B6772C">
      <w:pPr>
        <w:spacing w:line="360" w:lineRule="auto"/>
        <w:jc w:val="both"/>
      </w:pPr>
      <w:r>
        <w:t>Op 1 juli 2005 is de Spaartegoedenrichtlijn</w:t>
      </w:r>
      <w:r>
        <w:rPr>
          <w:rStyle w:val="FootnoteReference"/>
          <w:rFonts w:cs="Arial"/>
        </w:rPr>
        <w:footnoteReference w:id="152"/>
      </w:r>
      <w:r>
        <w:t xml:space="preserve"> (hierna: SR) van kracht geworden. De SR tracht te bereiken dat de inkomsten uit spaartegoeden van natuurlijke personen, volgens het nationale recht van de staat waar deze personen woonachtig zijn, op een effectieve manier worden belast. Op grond van de SR dienen de lidstaten elkaar in te lichten over rente die de buitenlandse spaarders hebben genoten. Het gaat daarbij uitsluitend om grensoverschrijdende ‘rentebetalingen’. De richtlijn ziet dus op de situatie waarin de ontvanger van de rente feitelijk in een andere lidstaat woont dan waar de uitbetalende instantie is gevestigd.</w:t>
      </w:r>
      <w:r>
        <w:rPr>
          <w:rStyle w:val="FootnoteReference"/>
          <w:rFonts w:cs="Arial"/>
        </w:rPr>
        <w:footnoteReference w:id="153"/>
      </w:r>
      <w:r>
        <w:t xml:space="preserve"> </w:t>
      </w:r>
    </w:p>
    <w:p w:rsidR="00A64945" w:rsidRDefault="00A64945" w:rsidP="00B6772C">
      <w:pPr>
        <w:spacing w:line="360" w:lineRule="auto"/>
        <w:jc w:val="both"/>
      </w:pPr>
      <w:r>
        <w:t>De Europese lidstaten België, Luxemburg en Oostenrijk kennen een bankgeheim. Dit bankgeheim dient door de overige lidstaten gerespecteerd te worden. Hier is op EU- niveau een oplossing voor gevonden door voor deze EU lidstaten een bronheffing op rente in te voeren. In plaats van de verplichting inlichtingen met betrekking tot rentebetalingen te moeten uitwisselen, dienen deze lidstaten gedurende een overgangsperiode, die is ingegaan op 1 juli 2005 en eindigt als er aan een tweetal voorwaarden</w:t>
      </w:r>
      <w:r>
        <w:rPr>
          <w:rStyle w:val="FootnoteReference"/>
          <w:rFonts w:cs="Arial"/>
        </w:rPr>
        <w:footnoteReference w:id="154"/>
      </w:r>
      <w:r>
        <w:t xml:space="preserve"> is voldaan, een bronbelasting</w:t>
      </w:r>
      <w:r>
        <w:rPr>
          <w:rStyle w:val="FootnoteReference"/>
          <w:rFonts w:cs="Arial"/>
        </w:rPr>
        <w:footnoteReference w:id="155"/>
      </w:r>
      <w:r>
        <w:t xml:space="preserve"> te heffen op de rente die is uitbetaald aan de ingezetene van een andere lidstaat. Een deel</w:t>
      </w:r>
      <w:r>
        <w:rPr>
          <w:rStyle w:val="FootnoteReference"/>
          <w:rFonts w:cs="Arial"/>
        </w:rPr>
        <w:footnoteReference w:id="156"/>
      </w:r>
      <w:r>
        <w:t xml:space="preserve"> van deze bronheffing moet worden afgestaan</w:t>
      </w:r>
      <w:r w:rsidRPr="0035037E">
        <w:t xml:space="preserve"> </w:t>
      </w:r>
      <w:r>
        <w:t>aan de lidstaat waar de gerechtigde van de rente woonachtig is. De woonstaat van deze uiteindelijke gerechtigde dient er op zijn beurt door middel van een belastingverrekening voor te zorgen dat de in België, Luxemburg of Oostenrijk toegepaste bronheffing niet leidt tot dubbele belasting.</w:t>
      </w:r>
      <w:r>
        <w:rPr>
          <w:rStyle w:val="FootnoteReference"/>
          <w:rFonts w:cs="Arial"/>
        </w:rPr>
        <w:footnoteReference w:id="157"/>
      </w:r>
      <w:r w:rsidRPr="00EC5105">
        <w:rPr>
          <w:rStyle w:val="FootnoteReference"/>
          <w:rFonts w:cs="Arial"/>
        </w:rPr>
        <w:t xml:space="preserve"> </w:t>
      </w:r>
      <w:r>
        <w:rPr>
          <w:rStyle w:val="FootnoteReference"/>
          <w:rFonts w:cs="Arial"/>
        </w:rPr>
        <w:footnoteReference w:id="158"/>
      </w:r>
    </w:p>
    <w:p w:rsidR="00A64945" w:rsidRPr="00295DC6" w:rsidRDefault="00A64945" w:rsidP="00B6772C">
      <w:pPr>
        <w:pStyle w:val="Heading3"/>
        <w:spacing w:before="0" w:line="360" w:lineRule="auto"/>
        <w:jc w:val="both"/>
      </w:pPr>
      <w:bookmarkStart w:id="45" w:name="_Toc287433436"/>
      <w:bookmarkStart w:id="46" w:name="_Toc299634279"/>
      <w:r>
        <w:lastRenderedPageBreak/>
        <w:t>§2</w:t>
      </w:r>
      <w:r w:rsidRPr="00295DC6">
        <w:t>.</w:t>
      </w:r>
      <w:r>
        <w:t>3</w:t>
      </w:r>
      <w:r w:rsidRPr="00295DC6">
        <w:t>.6. Richtlijn inzake uitwisseling van inlichtingen &amp; Richtlijn inzake invordering van belastingen</w:t>
      </w:r>
      <w:bookmarkEnd w:id="45"/>
      <w:bookmarkEnd w:id="46"/>
    </w:p>
    <w:p w:rsidR="00A64945" w:rsidRDefault="00A64945" w:rsidP="007240FF">
      <w:pPr>
        <w:pStyle w:val="FootnoteText"/>
        <w:spacing w:line="360" w:lineRule="auto"/>
        <w:jc w:val="both"/>
        <w:rPr>
          <w:sz w:val="22"/>
          <w:szCs w:val="22"/>
        </w:rPr>
      </w:pPr>
      <w:r>
        <w:rPr>
          <w:sz w:val="22"/>
          <w:szCs w:val="22"/>
        </w:rPr>
        <w:t xml:space="preserve">Tenslotte zullen bij een aanname van de UPG- status </w:t>
      </w:r>
      <w:r w:rsidRPr="008C1897">
        <w:rPr>
          <w:sz w:val="22"/>
          <w:szCs w:val="22"/>
        </w:rPr>
        <w:t>de richtlijnen inzake inlichtingen</w:t>
      </w:r>
      <w:r w:rsidRPr="008C1897">
        <w:rPr>
          <w:rStyle w:val="FootnoteReference"/>
          <w:rFonts w:cs="Arial"/>
          <w:sz w:val="22"/>
          <w:szCs w:val="22"/>
        </w:rPr>
        <w:footnoteReference w:id="159"/>
      </w:r>
      <w:r w:rsidRPr="008C1897">
        <w:rPr>
          <w:sz w:val="22"/>
          <w:szCs w:val="22"/>
        </w:rPr>
        <w:t xml:space="preserve"> en invordering van belastingen</w:t>
      </w:r>
      <w:r w:rsidRPr="008C1897">
        <w:rPr>
          <w:rStyle w:val="FootnoteReference"/>
          <w:rFonts w:cs="Arial"/>
          <w:sz w:val="22"/>
          <w:szCs w:val="22"/>
        </w:rPr>
        <w:footnoteReference w:id="160"/>
      </w:r>
      <w:r w:rsidRPr="008C1897">
        <w:rPr>
          <w:sz w:val="22"/>
          <w:szCs w:val="22"/>
        </w:rPr>
        <w:t xml:space="preserve"> van toepassing worden</w:t>
      </w:r>
      <w:r>
        <w:rPr>
          <w:sz w:val="22"/>
          <w:szCs w:val="22"/>
        </w:rPr>
        <w:t xml:space="preserve"> op Curaçao</w:t>
      </w:r>
      <w:r w:rsidRPr="008C1897">
        <w:rPr>
          <w:sz w:val="22"/>
          <w:szCs w:val="22"/>
        </w:rPr>
        <w:t xml:space="preserve">. Zoals uit de titel blijkt, voorziet de Richtlijn inzake inlichtingen </w:t>
      </w:r>
      <w:r>
        <w:rPr>
          <w:sz w:val="22"/>
          <w:szCs w:val="22"/>
        </w:rPr>
        <w:t xml:space="preserve">in </w:t>
      </w:r>
      <w:r w:rsidRPr="008C1897">
        <w:rPr>
          <w:sz w:val="22"/>
          <w:szCs w:val="22"/>
        </w:rPr>
        <w:t xml:space="preserve">het verlenen van wederzijdse bijstand </w:t>
      </w:r>
      <w:r>
        <w:rPr>
          <w:sz w:val="22"/>
          <w:szCs w:val="22"/>
        </w:rPr>
        <w:t>door</w:t>
      </w:r>
      <w:r w:rsidRPr="008C1897">
        <w:rPr>
          <w:sz w:val="22"/>
          <w:szCs w:val="22"/>
        </w:rPr>
        <w:t xml:space="preserve"> de bevoegde autoriteiten van de lidstaten</w:t>
      </w:r>
      <w:r>
        <w:rPr>
          <w:sz w:val="22"/>
          <w:szCs w:val="22"/>
        </w:rPr>
        <w:t xml:space="preserve">. Deze bijstand uit zich in het verschaffen van informatie </w:t>
      </w:r>
      <w:r w:rsidRPr="008C1897">
        <w:rPr>
          <w:sz w:val="22"/>
          <w:szCs w:val="22"/>
        </w:rPr>
        <w:t>op het gebied van de directe belastingen en heffingen op verzekeringspremies</w:t>
      </w:r>
      <w:r>
        <w:rPr>
          <w:sz w:val="22"/>
          <w:szCs w:val="22"/>
        </w:rPr>
        <w:t>. D</w:t>
      </w:r>
      <w:r w:rsidRPr="008C1897">
        <w:rPr>
          <w:sz w:val="22"/>
          <w:szCs w:val="22"/>
        </w:rPr>
        <w:t xml:space="preserve">e Richtlijn inzake invordering van belastingen </w:t>
      </w:r>
      <w:r>
        <w:rPr>
          <w:sz w:val="22"/>
          <w:szCs w:val="22"/>
        </w:rPr>
        <w:t xml:space="preserve">ziet </w:t>
      </w:r>
      <w:r w:rsidRPr="008C1897">
        <w:rPr>
          <w:sz w:val="22"/>
          <w:szCs w:val="22"/>
        </w:rPr>
        <w:t xml:space="preserve">op wederzijdse </w:t>
      </w:r>
      <w:r>
        <w:rPr>
          <w:sz w:val="22"/>
          <w:szCs w:val="22"/>
        </w:rPr>
        <w:t xml:space="preserve">bijstand en samenwerking tussen lidstaten </w:t>
      </w:r>
      <w:r w:rsidRPr="008C1897">
        <w:rPr>
          <w:sz w:val="22"/>
          <w:szCs w:val="22"/>
        </w:rPr>
        <w:t xml:space="preserve">inzake de invordering van schuldvorderingen die voortvloeien uit bepaalde bijdragen, rechten en belastingen, alsmede uit andere maatregelen. </w:t>
      </w:r>
      <w:bookmarkStart w:id="47" w:name="_Toc287433437"/>
    </w:p>
    <w:p w:rsidR="00A64945" w:rsidRDefault="00A64945" w:rsidP="007240FF">
      <w:pPr>
        <w:pStyle w:val="FootnoteText"/>
        <w:spacing w:line="360" w:lineRule="auto"/>
        <w:jc w:val="both"/>
      </w:pPr>
    </w:p>
    <w:p w:rsidR="00A64945" w:rsidRDefault="00A64945" w:rsidP="00B6772C">
      <w:pPr>
        <w:pStyle w:val="Heading3"/>
        <w:spacing w:before="0" w:line="360" w:lineRule="auto"/>
        <w:jc w:val="both"/>
      </w:pPr>
      <w:bookmarkStart w:id="48" w:name="_Toc299634280"/>
      <w:r>
        <w:t>§2</w:t>
      </w:r>
      <w:r w:rsidRPr="0058085A">
        <w:t>.</w:t>
      </w:r>
      <w:r>
        <w:t>4</w:t>
      </w:r>
      <w:r w:rsidRPr="0058085A">
        <w:t>. Het Curaçaose omzetbelastingstelsel in het licht van EU wetgeving</w:t>
      </w:r>
      <w:bookmarkEnd w:id="47"/>
      <w:bookmarkEnd w:id="48"/>
    </w:p>
    <w:p w:rsidR="00A64945" w:rsidRDefault="00A64945" w:rsidP="00B6772C">
      <w:pPr>
        <w:spacing w:line="360" w:lineRule="auto"/>
        <w:jc w:val="both"/>
      </w:pPr>
      <w:r>
        <w:t xml:space="preserve">In deze paragraaf zal ik </w:t>
      </w:r>
      <w:r w:rsidRPr="00BF2217">
        <w:t xml:space="preserve">de Curaçaose omzetbelasting behandelen. </w:t>
      </w:r>
      <w:r>
        <w:t>Dit doe ik om een dieper inzicht te verschaffen in de positie waarin Curaçao zich met betrekking tot de omzetbelasting ten opzichte van het Europees recht bevindt. Ik acht het noodzakelijk om dit te behandelen, aangezien in Curaçao momenteel het cascadestelsel wordt gehanteerd.  In het licht van EU wetgeving wordt dit stelsel als verouderd en onnodig ingewikkeld gezien. Indien Curaçao een UPG wordt, zal de weg om het Curaçaose belastingstelsel in overeenstemming te brengen met het Europees beleid op dit punt langer en ingewikkelder worden dan dat het geval is bij de andere belastingterreinen. Curaçao zal immers haar gehele OB- stelsel moeten ‘omgooien’ en een nieuw stelsel moeten invoeren. Dit OB- aspect raakt echter niet alleen het  Curaçaose E- Zoneregime, maar is een hele problematiek op zich. Toch wil ik bij dit punt stilstaan, omdat ik vind dat een uiteenzetting hiervan een dieper algemeen inzicht geeft in het effect dat de aanname van een UPG- status op fiscaal terrein zal hebben in Curaçao.</w:t>
      </w:r>
      <w:r w:rsidRPr="008E6917">
        <w:t xml:space="preserve"> </w:t>
      </w:r>
    </w:p>
    <w:p w:rsidR="00A64945" w:rsidRDefault="00A64945" w:rsidP="00B6772C">
      <w:pPr>
        <w:spacing w:after="0" w:line="360" w:lineRule="auto"/>
        <w:jc w:val="both"/>
      </w:pPr>
      <w:r w:rsidRPr="00401586">
        <w:t xml:space="preserve">De </w:t>
      </w:r>
      <w:r>
        <w:t xml:space="preserve">(Nederlandse) </w:t>
      </w:r>
      <w:r w:rsidRPr="00401586">
        <w:t xml:space="preserve">wet op de omzetbelasting 1968 </w:t>
      </w:r>
      <w:r>
        <w:t>(hierna: Wet OB 1968) wordt gekarakteriseerd als</w:t>
      </w:r>
      <w:r w:rsidRPr="00401586">
        <w:t xml:space="preserve"> e</w:t>
      </w:r>
      <w:r>
        <w:t xml:space="preserve">en algemene verbruiksbelasting. Een verbruiksbelasting is een belasting die de aankoop van bepaalde consumptiegoederen of diensten belast. Met de aanduiding ‘algemeen’ wordt het verschil benadrukt tussen de omzetbelasting en de accijnzen. Accijnzen worden aangemerkt als bijzondere </w:t>
      </w:r>
      <w:r>
        <w:lastRenderedPageBreak/>
        <w:t>verbruiksbelastingen. Met bijzonder wordt gerefereerd aan het feit dat de accijnzen goederen</w:t>
      </w:r>
      <w:r>
        <w:rPr>
          <w:rStyle w:val="FootnoteReference"/>
          <w:rFonts w:cs="Arial"/>
        </w:rPr>
        <w:footnoteReference w:id="161"/>
      </w:r>
      <w:r>
        <w:t xml:space="preserve"> belasten die specifiek in de heffingswet zijn aangewezen. De Wet OB 1968 betrekt, uitzonderingen daargelaten, alle leveringen in de heffing. Voorts kan de Wet OB 1968 een </w:t>
      </w:r>
      <w:r w:rsidRPr="00522ADA">
        <w:rPr>
          <w:i/>
        </w:rPr>
        <w:t>indirecte</w:t>
      </w:r>
      <w:r>
        <w:t xml:space="preserve"> algemene verbruiksbelasting worden genoemd. De typering als indirecte belasting zegt iets over de heffingstechniek van de Wet OB 1968. De Wet OB 1968 is een belasting die niet rechtstreeks bij de consument, maar van de ondernemer wordt geheven. De bedoeling van de wetgever met betrekking tot deze belasting is dat de ondernemer de belasting in de consumentenprijs verwerkt. Door deze doorbelasting wordt het verbruik uiteindelijk toch via een indirecte weg belast. De consument is degene die uiteindelijk de ‘tax incidence’</w:t>
      </w:r>
      <w:r>
        <w:rPr>
          <w:rStyle w:val="FootnoteReference"/>
          <w:rFonts w:cs="Arial"/>
        </w:rPr>
        <w:footnoteReference w:id="162"/>
      </w:r>
      <w:r>
        <w:t xml:space="preserve"> geheel of gedeeltelijk</w:t>
      </w:r>
      <w:r>
        <w:rPr>
          <w:rStyle w:val="FootnoteReference"/>
          <w:rFonts w:cs="Arial"/>
        </w:rPr>
        <w:footnoteReference w:id="163"/>
      </w:r>
      <w:r>
        <w:t xml:space="preserve"> draagt.</w:t>
      </w:r>
    </w:p>
    <w:p w:rsidR="00A64945" w:rsidRDefault="00A64945" w:rsidP="00B6772C">
      <w:pPr>
        <w:spacing w:after="0" w:line="360" w:lineRule="auto"/>
        <w:jc w:val="both"/>
      </w:pPr>
      <w:r>
        <w:t>Een indirecte algemene verbruiksbelasting kan op diverse manieren worden geheven. De heffingssystematiek van een indirecte algemene verbruiksbelasting kan onderverdeeld worden in twee hoofdgroepen.  De ene groep wordt gevormd door de zogenaamde één- fasestelsels. De andere groep betreft de zogenaamde meer- fasenstelsels. Bij een één- fasebelastingstelsel worden de goederen slecht in één schakel van de bedrijfskolom</w:t>
      </w:r>
      <w:r w:rsidRPr="00983615">
        <w:t xml:space="preserve"> </w:t>
      </w:r>
      <w:r>
        <w:t>belast. Een voorbeeld hiervan is een groothandelsbelasting.</w:t>
      </w:r>
      <w:r>
        <w:rPr>
          <w:rStyle w:val="FootnoteReference"/>
          <w:rFonts w:cs="Arial"/>
        </w:rPr>
        <w:footnoteReference w:id="164"/>
      </w:r>
      <w:r>
        <w:t xml:space="preserve"> Bij een meer- fasenbelastingenstelsel vindt de belasting daarentegen plaats op elke afzonderlijke niveau van de bedrijfskolom. </w:t>
      </w:r>
    </w:p>
    <w:p w:rsidR="00A64945" w:rsidRDefault="00A64945" w:rsidP="00B6772C">
      <w:pPr>
        <w:spacing w:after="0" w:line="360" w:lineRule="auto"/>
        <w:jc w:val="both"/>
      </w:pPr>
      <w:r>
        <w:t>Binnen de meer- fasenbelastingstelsels kan de typering van de omzetbelasting verder gespecificeerd worden door het onderscheid tussen cumulatieve en niet- cumulatieve systemen. In een cumulatief systeem wordt geen rekening gehouden met de omzetbelasting die in de voorgaande fases is geheven. In elke fase van de bedrijfskolom wordt het product opnieuw belast, onafhankelijk van zijn voorgeschiedenis. De ondernemer</w:t>
      </w:r>
      <w:r>
        <w:rPr>
          <w:rStyle w:val="FootnoteReference"/>
          <w:rFonts w:cs="Arial"/>
        </w:rPr>
        <w:footnoteReference w:id="165"/>
      </w:r>
      <w:r>
        <w:t xml:space="preserve"> kan de voorbelasting niet terugvorderen. Men spreekt daarom ook wel van een ‘</w:t>
      </w:r>
      <w:r w:rsidRPr="003C778F">
        <w:rPr>
          <w:i/>
        </w:rPr>
        <w:t>cascadestelsel’</w:t>
      </w:r>
      <w:r>
        <w:t>. Nederland kende tussen 1 januari 1941</w:t>
      </w:r>
      <w:r>
        <w:rPr>
          <w:rStyle w:val="FootnoteReference"/>
          <w:rFonts w:cs="Arial"/>
        </w:rPr>
        <w:footnoteReference w:id="166"/>
      </w:r>
      <w:r>
        <w:t xml:space="preserve"> en 1 januari 1969 een cumulatief cascadestelsel. </w:t>
      </w:r>
    </w:p>
    <w:p w:rsidR="00A64945" w:rsidRDefault="00A64945" w:rsidP="00B6772C">
      <w:pPr>
        <w:spacing w:after="0" w:line="360" w:lineRule="auto"/>
        <w:jc w:val="both"/>
      </w:pPr>
      <w:r>
        <w:t>Bij een niet- cumulatief systeem wordt wel rekening gehouden met de belasting die in de vorige fase is voldaan. Dit kan op verschillende manieren plaatsvinden, wat tot verschillende stelselvarianten leidt.</w:t>
      </w:r>
    </w:p>
    <w:p w:rsidR="00A64945" w:rsidRDefault="00A64945" w:rsidP="00B6772C">
      <w:pPr>
        <w:spacing w:after="0" w:line="360" w:lineRule="auto"/>
        <w:jc w:val="both"/>
      </w:pPr>
    </w:p>
    <w:p w:rsidR="00A64945" w:rsidRPr="002E5923" w:rsidRDefault="00A64945" w:rsidP="00B6772C">
      <w:pPr>
        <w:pStyle w:val="Heading4"/>
        <w:spacing w:before="0" w:line="360" w:lineRule="auto"/>
        <w:jc w:val="both"/>
      </w:pPr>
      <w:bookmarkStart w:id="49" w:name="_Toc287433438"/>
      <w:bookmarkStart w:id="50" w:name="_Toc299634281"/>
      <w:r w:rsidRPr="002E5923">
        <w:lastRenderedPageBreak/>
        <w:t>§</w:t>
      </w:r>
      <w:r>
        <w:t>2</w:t>
      </w:r>
      <w:r w:rsidRPr="002E5923">
        <w:t>.</w:t>
      </w:r>
      <w:r>
        <w:t xml:space="preserve">4.1. </w:t>
      </w:r>
      <w:r w:rsidRPr="002E5923">
        <w:t xml:space="preserve"> Stelselkeuze EU</w:t>
      </w:r>
      <w:bookmarkEnd w:id="49"/>
      <w:bookmarkEnd w:id="50"/>
    </w:p>
    <w:p w:rsidR="00A64945" w:rsidRDefault="00A64945" w:rsidP="00B6772C">
      <w:pPr>
        <w:spacing w:after="0" w:line="360" w:lineRule="auto"/>
        <w:jc w:val="both"/>
      </w:pPr>
      <w:r w:rsidRPr="00B319EA">
        <w:t xml:space="preserve"> </w:t>
      </w:r>
      <w:r>
        <w:t>In het kader van de harmonisatie van de belastingen in de EU hebben de lidstaten zich verplicht met betrekking tot de omzetbelasting één gemeenschappelijk stelsel te hanteren. Dit is het niet- cumulatief systeem van de belasting over de toegevoegde waarde,</w:t>
      </w:r>
      <w:r>
        <w:rPr>
          <w:rStyle w:val="FootnoteReference"/>
          <w:rFonts w:cs="Arial"/>
        </w:rPr>
        <w:footnoteReference w:id="167"/>
      </w:r>
      <w:r>
        <w:t xml:space="preserve"> waarbij omzetbelasting volgens de methode van aftrek van voorbelasting wordt geheven. Bij dit systeem wordt in elke fase van de bedrijfskolom de belasting die over de omzet is verschuldigd, verminderd met de belasting die in de vorige </w:t>
      </w:r>
      <w:r w:rsidRPr="005D589A">
        <w:t>fasen</w:t>
      </w:r>
      <w:r>
        <w:t xml:space="preserve"> is voldaan.</w:t>
      </w:r>
      <w:r>
        <w:rPr>
          <w:rStyle w:val="FootnoteReference"/>
          <w:rFonts w:cs="Arial"/>
        </w:rPr>
        <w:footnoteReference w:id="168"/>
      </w:r>
      <w:r>
        <w:t xml:space="preserve"> Teneinde te voldoen aan het beleid van de EU is deze omzetbelastingsysteem op 1 januari 1969 in Nederland ingevoerd door het van kracht worden van de Wet op de omzetbelasting 1968.</w:t>
      </w:r>
    </w:p>
    <w:p w:rsidR="00A64945" w:rsidRDefault="00A64945" w:rsidP="00B6772C">
      <w:pPr>
        <w:spacing w:after="0" w:line="360" w:lineRule="auto"/>
        <w:jc w:val="both"/>
      </w:pPr>
    </w:p>
    <w:p w:rsidR="00A64945" w:rsidRPr="002E5923" w:rsidRDefault="00A64945" w:rsidP="00B6772C">
      <w:pPr>
        <w:pStyle w:val="Heading4"/>
        <w:spacing w:before="0" w:line="360" w:lineRule="auto"/>
        <w:jc w:val="both"/>
      </w:pPr>
      <w:bookmarkStart w:id="51" w:name="_Toc287433439"/>
      <w:bookmarkStart w:id="52" w:name="_Toc299634282"/>
      <w:r w:rsidRPr="002E5923">
        <w:t>§</w:t>
      </w:r>
      <w:r>
        <w:t>2</w:t>
      </w:r>
      <w:r w:rsidRPr="002E5923">
        <w:t>.</w:t>
      </w:r>
      <w:r>
        <w:t xml:space="preserve">4.2. </w:t>
      </w:r>
      <w:r w:rsidRPr="002E5923">
        <w:t>De Curaçaose OB</w:t>
      </w:r>
      <w:bookmarkEnd w:id="51"/>
      <w:bookmarkEnd w:id="52"/>
    </w:p>
    <w:p w:rsidR="00A64945" w:rsidRDefault="00A64945" w:rsidP="00B6772C">
      <w:pPr>
        <w:spacing w:after="0" w:line="360" w:lineRule="auto"/>
        <w:jc w:val="both"/>
      </w:pPr>
      <w:r>
        <w:t>De Curaçaose landsverordening omzetbelasting 1999 is echter nog altijd gebaseerd op het cumulatief cascadestelsel. Het grootste bezwaar tegen dit stelsel is het feit dat hoe meer schakels</w:t>
      </w:r>
      <w:r>
        <w:rPr>
          <w:rStyle w:val="FootnoteReference"/>
          <w:rFonts w:cs="Arial"/>
        </w:rPr>
        <w:footnoteReference w:id="169"/>
      </w:r>
      <w:r>
        <w:t xml:space="preserve"> er in een bedrijfskolom tussen de eerste en de laatste schakel</w:t>
      </w:r>
      <w:r>
        <w:rPr>
          <w:rStyle w:val="FootnoteReference"/>
          <w:rFonts w:cs="Arial"/>
        </w:rPr>
        <w:footnoteReference w:id="170"/>
      </w:r>
      <w:r>
        <w:t xml:space="preserve"> liggen, hoe hoger het percentage omzetbelasting ten opzichte van de oorspronkelijke kostprijs zal zijn. Dit kan een belemmerend effect hebben op de handel</w:t>
      </w:r>
      <w:r>
        <w:rPr>
          <w:rStyle w:val="FootnoteReference"/>
          <w:rFonts w:cs="Arial"/>
        </w:rPr>
        <w:footnoteReference w:id="171"/>
      </w:r>
      <w:r>
        <w:t xml:space="preserve"> doordat het zou kunnen leiden tot een integratietendens;</w:t>
      </w:r>
      <w:r>
        <w:rPr>
          <w:rStyle w:val="FootnoteReference"/>
          <w:rFonts w:cs="Arial"/>
        </w:rPr>
        <w:footnoteReference w:id="172"/>
      </w:r>
      <w:r>
        <w:t xml:space="preserve"> als reactie op het progressieve verloop van de belastingdruk, zou het Curaçaose bedrijfsleven kunnen gaan streven naar het verminderen van het aantal schakels in de bedrijfskolommen. Een dergelijke ontwikkeling kan een verstorende werking hebben op de interne</w:t>
      </w:r>
      <w:r>
        <w:rPr>
          <w:rStyle w:val="FootnoteReference"/>
          <w:rFonts w:cs="Arial"/>
        </w:rPr>
        <w:footnoteReference w:id="173"/>
      </w:r>
      <w:r>
        <w:t xml:space="preserve"> neutraliteit van het Curaçaose belastingstelsel, doordat de hoogte van de lastendruk afhankelijk wordt van de manier waarop vormgegeven is aan de productie- en distributieketen. Bij het systeem van de belasting over de toegevoegde waarde volgens de methode van aftrek van voorbelasting is de interne neutraliteit </w:t>
      </w:r>
      <w:r>
        <w:lastRenderedPageBreak/>
        <w:t>gewaarborgd, aangezien de belasting steeds evenredig is aan de prijs. Hierdoor wordt het gedrag in het bedrijfsleven niet verstoord door de manier waarop is vormgegeven aan het belastingstelsel.</w:t>
      </w:r>
      <w:r>
        <w:rPr>
          <w:rStyle w:val="FootnoteReference"/>
          <w:rFonts w:cs="Arial"/>
        </w:rPr>
        <w:footnoteReference w:id="174"/>
      </w:r>
      <w:r>
        <w:t xml:space="preserve"> </w:t>
      </w:r>
    </w:p>
    <w:p w:rsidR="00A64945" w:rsidRDefault="00A64945" w:rsidP="00B6772C">
      <w:pPr>
        <w:spacing w:after="0" w:line="360" w:lineRule="auto"/>
        <w:jc w:val="both"/>
      </w:pPr>
      <w:r>
        <w:t>Ook een externe neutraliteit</w:t>
      </w:r>
      <w:r>
        <w:rPr>
          <w:rStyle w:val="FootnoteReference"/>
          <w:rFonts w:cs="Arial"/>
        </w:rPr>
        <w:footnoteReference w:id="175"/>
      </w:r>
      <w:r>
        <w:t xml:space="preserve"> is bij een cumulatief systeem niet haalbaar, aangezien het totaal van de geheven omzetbelasting die bij export dient te worden teruggegeven, niet bekend is. Anderzijds zal bij een cumulatief systeem de belasting bij invoer op forfaitaire wijze moeten worden vastgesteld. Dit maakt een cumulatief omzetbelastingsysteem op dit punt tot een arbitrair systeem. Bij het systeem van de belasting over de toegevoegde waarde volgens de methode van aftrek van voorbelasting is een externe neutraliteit wel haalbaar. Bij dit systeem is de belasting die op een goed rust in elke schakel nauwkeurig bekend, waardoor door middel van restitutie van deze belasting kan worden bereikt dat het product geheel belastingvrij het land verlaat. Wat betreft de invoer is het mogelijk om over ingevoerde goederen precies evenveel belasting te heffen als bij vervaardiging in het binnenland geheven wordt.</w:t>
      </w:r>
    </w:p>
    <w:p w:rsidR="00A64945" w:rsidRDefault="00A64945" w:rsidP="00B6772C">
      <w:pPr>
        <w:spacing w:after="0" w:line="360" w:lineRule="auto"/>
        <w:jc w:val="both"/>
        <w:rPr>
          <w:b/>
        </w:rPr>
      </w:pPr>
    </w:p>
    <w:p w:rsidR="00A64945" w:rsidRPr="0058085A" w:rsidRDefault="00A64945" w:rsidP="00B6772C">
      <w:pPr>
        <w:pStyle w:val="Heading3"/>
        <w:spacing w:before="0" w:line="360" w:lineRule="auto"/>
        <w:jc w:val="both"/>
      </w:pPr>
      <w:bookmarkStart w:id="53" w:name="_Toc287433440"/>
      <w:bookmarkStart w:id="54" w:name="_Toc299634283"/>
      <w:r>
        <w:t>§2</w:t>
      </w:r>
      <w:r w:rsidRPr="0058085A">
        <w:t>.</w:t>
      </w:r>
      <w:r>
        <w:t>4.3.</w:t>
      </w:r>
      <w:r w:rsidRPr="0058085A">
        <w:t xml:space="preserve"> </w:t>
      </w:r>
      <w:r>
        <w:t>Tussenc</w:t>
      </w:r>
      <w:r w:rsidRPr="0058085A">
        <w:t>onclusie</w:t>
      </w:r>
      <w:bookmarkEnd w:id="53"/>
      <w:bookmarkEnd w:id="54"/>
    </w:p>
    <w:p w:rsidR="00A64945" w:rsidRPr="00CC5741" w:rsidRDefault="00A64945" w:rsidP="00B6772C">
      <w:pPr>
        <w:spacing w:after="0" w:line="360" w:lineRule="auto"/>
        <w:jc w:val="both"/>
      </w:pPr>
      <w:r w:rsidRPr="00CC5741">
        <w:t xml:space="preserve">Het Curaçaose belastingrecht </w:t>
      </w:r>
      <w:r>
        <w:t xml:space="preserve">stemt </w:t>
      </w:r>
      <w:r w:rsidRPr="00CC5741">
        <w:t xml:space="preserve">op verschillende punten niet </w:t>
      </w:r>
      <w:r>
        <w:t xml:space="preserve">overeen </w:t>
      </w:r>
      <w:r w:rsidRPr="00CC5741">
        <w:t xml:space="preserve">met het Europees recht. Bij de aanname van de UPG- status zullen de inkomsten- dividend- en winstbelasting in overeenstemming moeten worden gebracht met de desbetreffende richtlijnen. Wat de omzetbelasting betreft is deze weg </w:t>
      </w:r>
      <w:r>
        <w:t>ingrijpender</w:t>
      </w:r>
      <w:r w:rsidRPr="00CC5741">
        <w:t xml:space="preserve">. De omzetbelasting in Curaçao is volgens het cascadestelsel vorm gegeven en onder het Europees recht is geen plaats meer voor dit stelsel. </w:t>
      </w:r>
      <w:r>
        <w:t xml:space="preserve">De </w:t>
      </w:r>
      <w:r w:rsidRPr="00CC5741">
        <w:t>EU schrijft het systeem van de belasting over de toegevoegde waarde volgens de methode van aftrek van voorbelasting voor als gangbaar Europees omzetbelastingstel. Curaçao zou haar heffingssystema</w:t>
      </w:r>
      <w:r>
        <w:t xml:space="preserve">tiek integraal moeten aanpassen, </w:t>
      </w:r>
      <w:r w:rsidRPr="00CC5741">
        <w:t>wat inhoudt dat zij een totaal ander belastingstelsel moeten gaan hanteren. Dit is mijns inziens uitvoeringstechnisch geen eenvoudige opdracht. Een manier om hier aan tegemoet te komen is mijns inziens door bij de onderhandelingen die in het kader van de overgang naar de UPG-</w:t>
      </w:r>
      <w:r>
        <w:t xml:space="preserve"> </w:t>
      </w:r>
      <w:r w:rsidRPr="00CC5741">
        <w:t>status zullen plaatsvinden, te proberen om een overgangsperiode te bedingen.</w:t>
      </w:r>
    </w:p>
    <w:p w:rsidR="00A64945" w:rsidRDefault="00A64945" w:rsidP="00B6772C">
      <w:pPr>
        <w:pStyle w:val="Heading3"/>
        <w:spacing w:before="0" w:line="360" w:lineRule="auto"/>
        <w:jc w:val="both"/>
      </w:pPr>
    </w:p>
    <w:p w:rsidR="00A64945" w:rsidRPr="0058085A" w:rsidRDefault="00A64945" w:rsidP="00B6772C">
      <w:pPr>
        <w:pStyle w:val="Heading3"/>
        <w:spacing w:before="0" w:line="360" w:lineRule="auto"/>
        <w:jc w:val="both"/>
      </w:pPr>
      <w:bookmarkStart w:id="55" w:name="_Toc287433441"/>
      <w:bookmarkStart w:id="56" w:name="_Toc299634284"/>
      <w:r>
        <w:t>§2</w:t>
      </w:r>
      <w:r w:rsidRPr="0058085A">
        <w:t>.</w:t>
      </w:r>
      <w:r>
        <w:t>4.4.</w:t>
      </w:r>
      <w:r w:rsidRPr="0058085A">
        <w:t xml:space="preserve"> Visie Vereniging Bedrijfsleven Curaçao</w:t>
      </w:r>
      <w:bookmarkEnd w:id="55"/>
      <w:bookmarkEnd w:id="56"/>
    </w:p>
    <w:p w:rsidR="00A64945" w:rsidRDefault="00A64945" w:rsidP="00B6772C">
      <w:pPr>
        <w:spacing w:after="0" w:line="360" w:lineRule="auto"/>
        <w:jc w:val="both"/>
      </w:pPr>
      <w:r w:rsidRPr="00CC5741">
        <w:t>Ondanks al deze mogelijke obstakels die zich</w:t>
      </w:r>
      <w:r>
        <w:t xml:space="preserve"> op de diverse belastingterreinen</w:t>
      </w:r>
      <w:r w:rsidRPr="00CC5741">
        <w:t xml:space="preserve"> kunnen presenteren, is het volgens de Vereniging Bedrijfsleven Curaçao (hierna</w:t>
      </w:r>
      <w:r>
        <w:t>:</w:t>
      </w:r>
      <w:r w:rsidRPr="00CC5741">
        <w:t xml:space="preserve"> VBC) hoogst tijd om het Curaçaose belastingstelsel aan te passen (ongeacht of dit al dan niet naar aanleiding van een aanname van de UPG-</w:t>
      </w:r>
      <w:r>
        <w:t xml:space="preserve"> </w:t>
      </w:r>
      <w:r w:rsidRPr="00CC5741">
        <w:t>status gebeurt). Bovendien moet de Curaçaose regering</w:t>
      </w:r>
      <w:r>
        <w:t xml:space="preserve"> volgens de VBC</w:t>
      </w:r>
      <w:r w:rsidRPr="00CC5741">
        <w:t xml:space="preserve"> hier niet al te veel tijd </w:t>
      </w:r>
      <w:r w:rsidRPr="00CC5741">
        <w:lastRenderedPageBreak/>
        <w:t xml:space="preserve">overheen laten gaan. </w:t>
      </w:r>
      <w:r>
        <w:t>De VBC is</w:t>
      </w:r>
      <w:r w:rsidRPr="00CC5741">
        <w:t xml:space="preserve"> geen voorstander van een ‘geleidelijke aanpassing’ van het Curaçaose belastingstel, maar prefereren een agressievere aanpak. </w:t>
      </w:r>
      <w:r>
        <w:t>Zij zijn</w:t>
      </w:r>
      <w:r w:rsidRPr="00CC5741">
        <w:t xml:space="preserve"> van mening dat het huidige Curaçaose belastingstelsel verouderd en niet competitief is, hetgeen </w:t>
      </w:r>
      <w:r>
        <w:t xml:space="preserve">volgens hen </w:t>
      </w:r>
      <w:r w:rsidRPr="00CC5741">
        <w:t>de internationale concurrentiepositie van Curaçao niet ten goede komt. Zij pleiten dan ook, naar eigen zeggen, al decennialang voor een verschuiving van directe naar indirecte belastingen, verlaging van tarieven winst- en inkomstenbelasting, verhog</w:t>
      </w:r>
      <w:r>
        <w:t>ing</w:t>
      </w:r>
      <w:r w:rsidRPr="00CC5741">
        <w:t xml:space="preserve"> van de omzetbelasting en versimpeling van het totale Curaçaose belastingstelsel en vinden dat het hoogtijd is dat de Curaçaose regering</w:t>
      </w:r>
      <w:r>
        <w:t xml:space="preserve"> hier</w:t>
      </w:r>
      <w:r w:rsidRPr="00CC5741">
        <w:t xml:space="preserve"> vaart achter zet. De VBC is van mening dat de huidige Curaçaose regering het voorbeeld moet</w:t>
      </w:r>
      <w:r>
        <w:t xml:space="preserve"> nemen van de BES- eilanden en ‘</w:t>
      </w:r>
      <w:r w:rsidRPr="00CC5741">
        <w:t>Waarom niet in één keer het belastingsysteem veranderen zoals het geval is bij de BES-</w:t>
      </w:r>
      <w:r>
        <w:t xml:space="preserve"> eilanden ?’</w:t>
      </w:r>
      <w:r w:rsidRPr="00B94BBA">
        <w:rPr>
          <w:rStyle w:val="FootnoteReference"/>
          <w:rFonts w:cs="Arial"/>
        </w:rPr>
        <w:t xml:space="preserve"> </w:t>
      </w:r>
      <w:r w:rsidRPr="00663AF0">
        <w:rPr>
          <w:rStyle w:val="FootnoteReference"/>
          <w:rFonts w:cs="Arial"/>
        </w:rPr>
        <w:footnoteReference w:id="176"/>
      </w:r>
      <w:r w:rsidRPr="00CC5741">
        <w:t xml:space="preserve"> Dit zou volgens de VBC leiden tot duidelijkheid en vertrouwen. Een modernere en meer competitieve Curaçaose belastingstelsel zou naar mening van de vereniging door een aantal aanpassingen be</w:t>
      </w:r>
      <w:r>
        <w:t>werkstelligd kunnen worden. Door:</w:t>
      </w:r>
    </w:p>
    <w:p w:rsidR="00A64945" w:rsidRPr="00663AF0" w:rsidRDefault="00A64945" w:rsidP="00B6772C">
      <w:pPr>
        <w:pStyle w:val="ListParagraph"/>
        <w:numPr>
          <w:ilvl w:val="0"/>
          <w:numId w:val="28"/>
        </w:numPr>
        <w:spacing w:after="0" w:line="360" w:lineRule="auto"/>
        <w:jc w:val="both"/>
      </w:pPr>
      <w:r w:rsidRPr="00663AF0">
        <w:t xml:space="preserve">verlaging van de inkomstenbelasting tot maximaal 30 procent per eind 2014; </w:t>
      </w:r>
    </w:p>
    <w:p w:rsidR="00A64945" w:rsidRPr="00663AF0" w:rsidRDefault="00A64945" w:rsidP="00B6772C">
      <w:pPr>
        <w:pStyle w:val="ListParagraph"/>
        <w:numPr>
          <w:ilvl w:val="0"/>
          <w:numId w:val="28"/>
        </w:numPr>
        <w:spacing w:after="0" w:line="360" w:lineRule="auto"/>
        <w:jc w:val="both"/>
      </w:pPr>
      <w:r w:rsidRPr="00663AF0">
        <w:t>verlaging van de winstbelasting tot maximaal 12,5-</w:t>
      </w:r>
      <w:r>
        <w:t xml:space="preserve"> </w:t>
      </w:r>
      <w:r w:rsidRPr="00663AF0">
        <w:t xml:space="preserve">15 procent per eind 2014; </w:t>
      </w:r>
    </w:p>
    <w:p w:rsidR="00A64945" w:rsidRPr="00663AF0" w:rsidRDefault="00A64945" w:rsidP="00B6772C">
      <w:pPr>
        <w:pStyle w:val="ListParagraph"/>
        <w:numPr>
          <w:ilvl w:val="0"/>
          <w:numId w:val="28"/>
        </w:numPr>
        <w:spacing w:after="0" w:line="360" w:lineRule="auto"/>
        <w:jc w:val="both"/>
      </w:pPr>
      <w:r w:rsidRPr="00663AF0">
        <w:t xml:space="preserve">vervanging van het huidige OB- cascadestelsel door een niet cumulatief systeem (bijvoorbeeld BTW of </w:t>
      </w:r>
      <w:r w:rsidRPr="00A0607F">
        <w:rPr>
          <w:i/>
        </w:rPr>
        <w:t>Salestax</w:t>
      </w:r>
      <w:r w:rsidRPr="00663AF0">
        <w:t xml:space="preserve">) per 2011; en tenslotte </w:t>
      </w:r>
    </w:p>
    <w:p w:rsidR="00A64945" w:rsidRPr="00663AF0" w:rsidRDefault="00A64945" w:rsidP="00B6772C">
      <w:pPr>
        <w:pStyle w:val="ListParagraph"/>
        <w:numPr>
          <w:ilvl w:val="0"/>
          <w:numId w:val="28"/>
        </w:numPr>
        <w:spacing w:after="0" w:line="360" w:lineRule="auto"/>
        <w:jc w:val="both"/>
      </w:pPr>
      <w:r w:rsidRPr="00663AF0">
        <w:t>het incorporeren van invoerrechten in het OB- systeem,</w:t>
      </w:r>
      <w:r w:rsidRPr="00663AF0">
        <w:rPr>
          <w:rStyle w:val="FootnoteReference"/>
          <w:rFonts w:cs="Arial"/>
        </w:rPr>
        <w:footnoteReference w:id="177"/>
      </w:r>
      <w:r w:rsidRPr="00663AF0">
        <w:t xml:space="preserve"> dan wel het drastisch vereenvoudigen van het huidige invoerrechtensysteem per 2011.</w:t>
      </w:r>
    </w:p>
    <w:p w:rsidR="00A64945" w:rsidRDefault="00A64945" w:rsidP="00B6772C">
      <w:pPr>
        <w:spacing w:line="240" w:lineRule="auto"/>
        <w:jc w:val="both"/>
        <w:rPr>
          <w:b/>
        </w:rPr>
      </w:pPr>
    </w:p>
    <w:p w:rsidR="00A64945" w:rsidRPr="00042311" w:rsidRDefault="00A64945" w:rsidP="00B6772C">
      <w:pPr>
        <w:pStyle w:val="Heading2"/>
        <w:spacing w:before="0" w:line="360" w:lineRule="auto"/>
        <w:jc w:val="both"/>
        <w:rPr>
          <w:color w:val="auto"/>
        </w:rPr>
      </w:pPr>
      <w:bookmarkStart w:id="57" w:name="_Toc287433442"/>
      <w:bookmarkStart w:id="58" w:name="_Toc299634285"/>
      <w:r>
        <w:rPr>
          <w:color w:val="auto"/>
        </w:rPr>
        <w:t>§2</w:t>
      </w:r>
      <w:r w:rsidRPr="00042311">
        <w:rPr>
          <w:color w:val="auto"/>
        </w:rPr>
        <w:t>.</w:t>
      </w:r>
      <w:r>
        <w:rPr>
          <w:color w:val="auto"/>
        </w:rPr>
        <w:t>5</w:t>
      </w:r>
      <w:r w:rsidRPr="00042311">
        <w:rPr>
          <w:color w:val="auto"/>
        </w:rPr>
        <w:t xml:space="preserve"> Schadelijke belastingconcurrentie en Staatssteun</w:t>
      </w:r>
      <w:bookmarkEnd w:id="57"/>
      <w:bookmarkEnd w:id="58"/>
    </w:p>
    <w:p w:rsidR="00A64945" w:rsidRDefault="00A64945" w:rsidP="00B6772C">
      <w:pPr>
        <w:pStyle w:val="Heading3"/>
        <w:spacing w:before="0" w:line="360" w:lineRule="auto"/>
        <w:jc w:val="both"/>
      </w:pPr>
      <w:bookmarkStart w:id="59" w:name="_Toc287433443"/>
    </w:p>
    <w:p w:rsidR="00A64945" w:rsidRPr="00042311" w:rsidRDefault="00A64945" w:rsidP="00B6772C">
      <w:pPr>
        <w:pStyle w:val="Heading3"/>
        <w:spacing w:before="0" w:line="360" w:lineRule="auto"/>
        <w:jc w:val="both"/>
      </w:pPr>
      <w:bookmarkStart w:id="60" w:name="_Toc299634286"/>
      <w:r>
        <w:t>§2</w:t>
      </w:r>
      <w:r w:rsidRPr="00042311">
        <w:t>.</w:t>
      </w:r>
      <w:r>
        <w:t>5</w:t>
      </w:r>
      <w:r w:rsidRPr="00042311">
        <w:t>.1 Schadelijke belastingconcurrentie</w:t>
      </w:r>
      <w:bookmarkEnd w:id="59"/>
      <w:bookmarkEnd w:id="60"/>
    </w:p>
    <w:p w:rsidR="00A64945" w:rsidRDefault="00A64945" w:rsidP="00B6772C">
      <w:pPr>
        <w:spacing w:line="360" w:lineRule="auto"/>
        <w:jc w:val="both"/>
      </w:pPr>
      <w:r>
        <w:t>Het bevorderen van de economische ontwikkelingen binnen de EU, staat bij de EU hoog in het vaandel. Eén van de belangrijkste streefpunten om deze gewenste economische bevordering te realiseren vormt het komen tot en handhaven van één economie binnen de EU. De interne markt wordt op Europees niveau dan ook als een waardevol goed beschouwd. Op Europees niveau wordt gestreefd naar een gemeenschappelijke markt</w:t>
      </w:r>
      <w:r>
        <w:rPr>
          <w:rStyle w:val="FootnoteReference"/>
          <w:rFonts w:cs="Arial"/>
        </w:rPr>
        <w:footnoteReference w:id="178"/>
      </w:r>
      <w:r>
        <w:t xml:space="preserve"> waarbinnen iedere burger van de Unie vrij is te en niet belemmerd wordt in zijn economisch handelen. In de jaren negentig is een trend ontstaan waarbij steeds meer lidstaten van de EU</w:t>
      </w:r>
      <w:r>
        <w:rPr>
          <w:rStyle w:val="FootnoteReference"/>
          <w:rFonts w:cs="Arial"/>
        </w:rPr>
        <w:footnoteReference w:id="179"/>
      </w:r>
      <w:r>
        <w:t xml:space="preserve"> zijn overgegaan tot het creëren van fiscale faciliteiten om </w:t>
      </w:r>
      <w:r>
        <w:lastRenderedPageBreak/>
        <w:t>buitenlandse bedrijven aan te trekken.</w:t>
      </w:r>
      <w:r>
        <w:rPr>
          <w:rStyle w:val="FootnoteReference"/>
          <w:rFonts w:cs="Arial"/>
        </w:rPr>
        <w:footnoteReference w:id="180"/>
      </w:r>
      <w:r>
        <w:t xml:space="preserve"> Deze ontwikkelingen brachten met zich mee dat op EU niveau een nieuw fenomeen zijn intrede deed in de discussies over belastingheffing, namelijk die van de strijd tegen schadelijke belastingconcurrentie bekender onder de naam ‘Harmfull tax competition’. De EC achtte de ontwikkelingen die op het gebied van belastingconcurrentie tussen de lidstaten speelde, onwenselijk en in strijd met de bepalingen inzake staatssteun</w:t>
      </w:r>
      <w:r>
        <w:rPr>
          <w:rStyle w:val="FootnoteReference"/>
          <w:rFonts w:cs="Arial"/>
        </w:rPr>
        <w:footnoteReference w:id="181"/>
      </w:r>
      <w:r>
        <w:t xml:space="preserve"> en bestempelde dit als schadelijk.</w:t>
      </w:r>
      <w:r>
        <w:rPr>
          <w:rStyle w:val="FootnoteReference"/>
          <w:rFonts w:cs="Arial"/>
        </w:rPr>
        <w:footnoteReference w:id="182"/>
      </w:r>
      <w:r w:rsidRPr="003D3461">
        <w:rPr>
          <w:rStyle w:val="FootnoteReference"/>
          <w:rFonts w:cs="Arial"/>
        </w:rPr>
        <w:t xml:space="preserve"> </w:t>
      </w:r>
      <w:r>
        <w:t xml:space="preserve">Dit alles heeft ertoe geleid dat de EU de strijd is aangegaan tegen wat naar hun mening schadelijke belastingconcurrentie genoemd kan worden. In verband hiermee is op Europees niveau in </w:t>
      </w:r>
      <w:r w:rsidRPr="00691D28">
        <w:t>1999</w:t>
      </w:r>
      <w:r>
        <w:t xml:space="preserve"> de werkgroep Primarolo tot stand gekomen. De voornaamste taak van die werkgroep was het inventariseren van mogelijke schadelijke fiscale regimes. Werkgroep Primarolo bracht op 23 november 1999 verslag uit van haar bevindingen. Dit rapport is vervolgens door de EC als basis gebruikt voor verdergaand onderzoek naar de mogelijke schadelijkheid van diverse fiscale regelingen.</w:t>
      </w:r>
      <w:r>
        <w:rPr>
          <w:rStyle w:val="FootnoteReference"/>
          <w:rFonts w:cs="Arial"/>
        </w:rPr>
        <w:footnoteReference w:id="183"/>
      </w:r>
      <w:r>
        <w:t xml:space="preserve"> De EU richt zich bij haar onderzoek uitsluitend op afzonderlijke belastingmaatregelen.</w:t>
      </w:r>
      <w:r>
        <w:rPr>
          <w:rStyle w:val="FootnoteReference"/>
          <w:rFonts w:cs="Arial"/>
        </w:rPr>
        <w:footnoteReference w:id="184"/>
      </w:r>
      <w:r>
        <w:t xml:space="preserve"> In de EU staat de ‘gedragscode inzake belastingheffing voor ondernemingen’</w:t>
      </w:r>
      <w:r>
        <w:rPr>
          <w:rStyle w:val="FootnoteReference"/>
          <w:rFonts w:cs="Arial"/>
        </w:rPr>
        <w:footnoteReference w:id="185"/>
      </w:r>
      <w:r>
        <w:t xml:space="preserve"> centraal (hierna: gedragscode). In deze gedragscode verbinden de lidstaten zich tegenover elkaar om geen nieuwe schadelijke belastingregimes te introduceren en bestaande schadelijke regimes af te schaffen. De gedragscode schrijft criteria voor aan de hand waarvan kan worden beoordeeld of een maatregel schadelijk is of niet. De gedragscode is een afspraak tussen EU- lidstaten. In beginsel zijn de geassocieerde gebieden van de lidstaten, de LGO’s daar dus niet aan gebonden. De gedragscode bevat echter een bepaling</w:t>
      </w:r>
      <w:r>
        <w:rPr>
          <w:rStyle w:val="FootnoteReference"/>
          <w:rFonts w:cs="Arial"/>
        </w:rPr>
        <w:footnoteReference w:id="186"/>
      </w:r>
      <w:r>
        <w:t xml:space="preserve"> waarin de lidstaten zich verbinden de naleving in de eigen LGO’s</w:t>
      </w:r>
      <w:r>
        <w:rPr>
          <w:rStyle w:val="FootnoteReference"/>
        </w:rPr>
        <w:footnoteReference w:id="187"/>
      </w:r>
      <w:r>
        <w:t xml:space="preserve"> te bevorderen.</w:t>
      </w:r>
      <w:r>
        <w:rPr>
          <w:rStyle w:val="FootnoteReference"/>
          <w:rFonts w:cs="Arial"/>
        </w:rPr>
        <w:footnoteReference w:id="188"/>
      </w:r>
      <w:r>
        <w:t xml:space="preserve"> </w:t>
      </w:r>
    </w:p>
    <w:p w:rsidR="00A64945" w:rsidRDefault="00A64945" w:rsidP="00B6772C">
      <w:pPr>
        <w:spacing w:after="0" w:line="360" w:lineRule="auto"/>
        <w:jc w:val="both"/>
      </w:pPr>
      <w:r>
        <w:lastRenderedPageBreak/>
        <w:t xml:space="preserve">Momenteel is de gedragscode zowel in de Nederlandse Antillen als in Aruba reeds van toepassing. Het is dus onwaarschijnlijk dat deze schadelijke belastingconcurrentieproblematiek en de daaruit voortvloeiende toepassing van de gedragscode bij een statusswitch weer een ‘heet hangijzer’ zal gaan worden. Wel moet hier worden opgemerkt dat het feit dat de gedragscode van toepassing is op de Nederlandse Antillen en Aruba met zich mee brengt dat er in deze landen ook in de toekomst geen nationale bepalingen ingevoerd kunnen worden die op grond van de criteria die zijn opgenomen in deze gedragscode als ‘schadelijk’ worden aangemerkt. Deze bepalingen zouden dan moeten worden aangepast of opgeheven. </w:t>
      </w:r>
      <w:r w:rsidRPr="00860960">
        <w:t>In het geval dat bepaalde bepalingen onder druk van de EU aangepast zouden moeten worden, z</w:t>
      </w:r>
      <w:r>
        <w:t>ou</w:t>
      </w:r>
      <w:r w:rsidRPr="00860960">
        <w:t xml:space="preserve"> dat niet de eerste keer zijn dat dat zich voordoet. In het verleden zijn de N</w:t>
      </w:r>
      <w:r>
        <w:t xml:space="preserve">ederlandse </w:t>
      </w:r>
      <w:r w:rsidRPr="00860960">
        <w:t>A</w:t>
      </w:r>
      <w:r>
        <w:t>ntillen</w:t>
      </w:r>
      <w:r w:rsidRPr="00860960">
        <w:t xml:space="preserve"> en Aruba naar aanleiding van het introduceren</w:t>
      </w:r>
      <w:r>
        <w:t xml:space="preserve"> van de gedragscode</w:t>
      </w:r>
      <w:r>
        <w:rPr>
          <w:rStyle w:val="FootnoteReference"/>
          <w:rFonts w:cs="Arial"/>
        </w:rPr>
        <w:footnoteReference w:id="189"/>
      </w:r>
      <w:r>
        <w:t xml:space="preserve"> al in de positie terecht gekomen dat zij hun wetgeving moesten aanpassen.</w:t>
      </w:r>
      <w:r w:rsidRPr="00160B96">
        <w:t xml:space="preserve"> </w:t>
      </w:r>
      <w:r>
        <w:t>Een voorbeeld hiervan is het offshore- regime dat in de Nederlandse Antillen per 1 januari 2001 en in Aruba per 1 januari 2003 is afgeschaft. Hier moet echter een kanttekening bij worden geplaatst. In de gedragscode is namelijk een bepaling opgenomen die impliceert dat bij de beoordeling van belastingmaatregelen door de Raad rekening zal worden gehouden met wat, naar eigen omschrijving, de bijzondere  kenmerken en eisen van de ultraperifere gebieden en kleine eilanden zijn. In paragraaf G van de gedragscode is vastgelegd dat: ‘</w:t>
      </w:r>
      <w:r w:rsidRPr="00515587">
        <w:rPr>
          <w:i/>
        </w:rPr>
        <w:t>Voorzover de belastingmaatregelen worden gebruikt om de economische ontwikkeling van bepaalde gebieden te bevorderen, wordt nagegaan of zij in verhouding staan tot de beoogde doelstelling en of zij doelgericht zijn. In het kader van dit onderzoek wordt vooral aandacht besteed aan de bijzondere kenmerken en eisen van de ultraperifere gebieden en de kleine eilanden, zonder afbreuk te doen aan de integriteit en de samenhang van de communautaire rechtsorde, daaronder begrepen de interne markt en de gemeenschappelijke beleidssectoren</w:t>
      </w:r>
      <w:r>
        <w:rPr>
          <w:i/>
        </w:rPr>
        <w:t>’</w:t>
      </w:r>
      <w:r w:rsidRPr="00515587">
        <w:rPr>
          <w:i/>
        </w:rPr>
        <w:t>.</w:t>
      </w:r>
      <w:r>
        <w:rPr>
          <w:rStyle w:val="FootnoteReference"/>
          <w:rFonts w:cs="Arial"/>
        </w:rPr>
        <w:footnoteReference w:id="190"/>
      </w:r>
      <w:r>
        <w:t>De inhoud die aan deze bepaling kan worden ontleend is echter nogal onzeker, aangezien tot op heden geen criteria bestaan die ter beoordeling kunnen dienen of de belastingmaatregelen daadwerkelijk gebruikt worden om de economische ontwikkeling van bepaalde gebieden te bevorderen noch kunnen dienen om te bepalen in welke gevallen kan of moet worden aangenomen dat belastingmaatregelenmaatregelen in verhouding staan tot de beoogde doelstelling en doelgericht zijn.</w:t>
      </w:r>
    </w:p>
    <w:p w:rsidR="00A64945" w:rsidRDefault="00A64945" w:rsidP="00B6772C">
      <w:pPr>
        <w:pStyle w:val="Heading3"/>
        <w:spacing w:before="0" w:line="360" w:lineRule="auto"/>
        <w:jc w:val="both"/>
      </w:pPr>
      <w:bookmarkStart w:id="61" w:name="_Toc287433444"/>
    </w:p>
    <w:p w:rsidR="00A64945" w:rsidRPr="00C91E28" w:rsidRDefault="00A64945" w:rsidP="00B6772C">
      <w:pPr>
        <w:pStyle w:val="Heading3"/>
        <w:spacing w:before="0" w:line="360" w:lineRule="auto"/>
        <w:jc w:val="both"/>
      </w:pPr>
      <w:bookmarkStart w:id="62" w:name="_Toc299634287"/>
      <w:r>
        <w:t>§2</w:t>
      </w:r>
      <w:r w:rsidRPr="00C91E28">
        <w:t>.</w:t>
      </w:r>
      <w:r>
        <w:t>5</w:t>
      </w:r>
      <w:r w:rsidRPr="00C91E28">
        <w:t>.</w:t>
      </w:r>
      <w:r>
        <w:t>2</w:t>
      </w:r>
      <w:r w:rsidRPr="00C91E28">
        <w:t xml:space="preserve"> Staatssteun</w:t>
      </w:r>
      <w:bookmarkEnd w:id="61"/>
      <w:bookmarkEnd w:id="62"/>
    </w:p>
    <w:p w:rsidR="00A64945" w:rsidRDefault="00A64945" w:rsidP="00B6772C">
      <w:pPr>
        <w:spacing w:line="360" w:lineRule="auto"/>
        <w:jc w:val="both"/>
      </w:pPr>
      <w:r>
        <w:t>Een middel dat op EU niveau wordt ingezet om schadelijke belastingconcurrentie te elimineren, zijn de bepalingen inzake staatssteun.</w:t>
      </w:r>
      <w:r>
        <w:rPr>
          <w:rStyle w:val="FootnoteReference"/>
          <w:rFonts w:cs="Arial"/>
        </w:rPr>
        <w:footnoteReference w:id="191"/>
      </w:r>
      <w:r>
        <w:t xml:space="preserve"> Bij de aanname van de UPG- status worden deze bepalingen ook van toepassing op Curaçao. De kern van de staatssteunbepalingen ligt besloten in art. 107 VwEU. Dit artikel geeft aan in welke gevallen sprake is van een verboden staatssteun.</w:t>
      </w:r>
      <w:r>
        <w:rPr>
          <w:rStyle w:val="FootnoteReference"/>
          <w:rFonts w:cs="Arial"/>
        </w:rPr>
        <w:footnoteReference w:id="192"/>
      </w:r>
      <w:r>
        <w:t xml:space="preserve"> Het verlenen van staatssteun is dus in principe toegestaan,</w:t>
      </w:r>
      <w:r>
        <w:rPr>
          <w:rStyle w:val="FootnoteReference"/>
          <w:rFonts w:cs="Arial"/>
        </w:rPr>
        <w:footnoteReference w:id="193"/>
      </w:r>
      <w:r>
        <w:t xml:space="preserve"> tenzij als cumulatief aan een aantal voorwaarden wordt voldoen. Een fiscale maatregel kan worden aangemerkt als verboden staatssteun indien:</w:t>
      </w:r>
    </w:p>
    <w:p w:rsidR="00A64945" w:rsidRPr="009E0A9D" w:rsidRDefault="00A64945" w:rsidP="00B6772C">
      <w:pPr>
        <w:pStyle w:val="ListParagraph"/>
        <w:numPr>
          <w:ilvl w:val="0"/>
          <w:numId w:val="22"/>
        </w:numPr>
        <w:spacing w:after="0" w:line="360" w:lineRule="auto"/>
        <w:jc w:val="both"/>
      </w:pPr>
      <w:r w:rsidRPr="009E0A9D">
        <w:t>het een voordeel, in welke vorm dan ook, behelst</w:t>
      </w:r>
      <w:r>
        <w:t>;</w:t>
      </w:r>
    </w:p>
    <w:p w:rsidR="00A64945" w:rsidRPr="009E0A9D" w:rsidRDefault="00A64945" w:rsidP="00B6772C">
      <w:pPr>
        <w:pStyle w:val="ListParagraph"/>
        <w:numPr>
          <w:ilvl w:val="0"/>
          <w:numId w:val="22"/>
        </w:numPr>
        <w:spacing w:after="0" w:line="360" w:lineRule="auto"/>
        <w:jc w:val="both"/>
      </w:pPr>
      <w:r w:rsidRPr="009E0A9D">
        <w:t xml:space="preserve">dit voordeel door de staat is toegekend of met </w:t>
      </w:r>
      <w:r w:rsidRPr="009E0A9D">
        <w:rPr>
          <w:rFonts w:cs="TTE5FF4868t00"/>
        </w:rPr>
        <w:t>staatsmiddelen is bekostigd;</w:t>
      </w:r>
      <w:r w:rsidRPr="009E0A9D">
        <w:rPr>
          <w:rStyle w:val="FootnoteReference"/>
          <w:rFonts w:cs="TTE5FF4868t00"/>
        </w:rPr>
        <w:t xml:space="preserve"> </w:t>
      </w:r>
      <w:r w:rsidRPr="009E0A9D">
        <w:rPr>
          <w:rStyle w:val="FootnoteReference"/>
          <w:rFonts w:cs="TTE5FF4868t00"/>
        </w:rPr>
        <w:footnoteReference w:id="194"/>
      </w:r>
    </w:p>
    <w:p w:rsidR="00A64945" w:rsidRPr="00AF474B" w:rsidRDefault="00A64945" w:rsidP="00B6772C">
      <w:pPr>
        <w:pStyle w:val="ListParagraph"/>
        <w:numPr>
          <w:ilvl w:val="0"/>
          <w:numId w:val="22"/>
        </w:numPr>
        <w:autoSpaceDE w:val="0"/>
        <w:autoSpaceDN w:val="0"/>
        <w:adjustRightInd w:val="0"/>
        <w:spacing w:after="0" w:line="360" w:lineRule="auto"/>
        <w:jc w:val="both"/>
        <w:rPr>
          <w:rFonts w:cs="TTE5FF4868t00"/>
        </w:rPr>
      </w:pPr>
      <w:r w:rsidRPr="00AF474B">
        <w:rPr>
          <w:rFonts w:cs="TTE5FF4868t00"/>
        </w:rPr>
        <w:t>de maatregel de mededinging en het handelsverkeer tussen de lidstaten onderling ongunstig beïnvloedt</w:t>
      </w:r>
      <w:r w:rsidRPr="009E0A9D">
        <w:rPr>
          <w:rStyle w:val="FootnoteReference"/>
          <w:rFonts w:cs="TTE5FF4868t00"/>
        </w:rPr>
        <w:footnoteReference w:id="195"/>
      </w:r>
      <w:r>
        <w:rPr>
          <w:rFonts w:cs="TTE5FF4868t00"/>
        </w:rPr>
        <w:t xml:space="preserve"> </w:t>
      </w:r>
      <w:r w:rsidRPr="00AF474B">
        <w:rPr>
          <w:rFonts w:cs="TTE5FF4868t00"/>
        </w:rPr>
        <w:t>e</w:t>
      </w:r>
      <w:r>
        <w:rPr>
          <w:rFonts w:cs="TTE5FF4868t00"/>
        </w:rPr>
        <w:t>n</w:t>
      </w:r>
      <w:r w:rsidRPr="00AF474B">
        <w:rPr>
          <w:rFonts w:cs="TTE5FF4868t00"/>
        </w:rPr>
        <w:t>;</w:t>
      </w:r>
    </w:p>
    <w:p w:rsidR="00A64945" w:rsidRPr="00AF474B" w:rsidRDefault="00A64945" w:rsidP="00B6772C">
      <w:pPr>
        <w:pStyle w:val="ListParagraph"/>
        <w:numPr>
          <w:ilvl w:val="0"/>
          <w:numId w:val="22"/>
        </w:numPr>
        <w:autoSpaceDE w:val="0"/>
        <w:autoSpaceDN w:val="0"/>
        <w:adjustRightInd w:val="0"/>
        <w:spacing w:after="0" w:line="360" w:lineRule="auto"/>
        <w:jc w:val="both"/>
        <w:rPr>
          <w:rFonts w:cs="TTE5FF4868t00"/>
        </w:rPr>
      </w:pPr>
      <w:r w:rsidRPr="00AF474B">
        <w:rPr>
          <w:rFonts w:cs="TTE5FF4868t00"/>
        </w:rPr>
        <w:t>de maatregel specifiek of selectief is, in de zin dat zij bepaalde ondernemingen of bepaalde producties begunstigt.</w:t>
      </w:r>
      <w:r w:rsidRPr="009E0A9D">
        <w:rPr>
          <w:rStyle w:val="FootnoteReference"/>
          <w:rFonts w:cs="TTE5FF4868t00"/>
        </w:rPr>
        <w:footnoteReference w:id="196"/>
      </w:r>
    </w:p>
    <w:p w:rsidR="00A64945" w:rsidRDefault="00A64945" w:rsidP="00B6772C">
      <w:pPr>
        <w:spacing w:line="360" w:lineRule="auto"/>
        <w:jc w:val="both"/>
      </w:pPr>
    </w:p>
    <w:p w:rsidR="00A64945" w:rsidRPr="00A5788E" w:rsidRDefault="00A64945" w:rsidP="00B6772C">
      <w:pPr>
        <w:pStyle w:val="Heading4"/>
        <w:jc w:val="both"/>
      </w:pPr>
      <w:bookmarkStart w:id="63" w:name="_Toc299634288"/>
      <w:r>
        <w:t>§2</w:t>
      </w:r>
      <w:r w:rsidRPr="00B5168C">
        <w:t>.</w:t>
      </w:r>
      <w:r>
        <w:t>5</w:t>
      </w:r>
      <w:r w:rsidRPr="00B5168C">
        <w:t xml:space="preserve">.2.1. </w:t>
      </w:r>
      <w:r w:rsidRPr="00A5788E">
        <w:t>Geografische selectiviteit</w:t>
      </w:r>
      <w:bookmarkEnd w:id="63"/>
    </w:p>
    <w:p w:rsidR="00A64945" w:rsidRDefault="00A64945" w:rsidP="00B6772C">
      <w:pPr>
        <w:spacing w:after="0" w:line="360" w:lineRule="auto"/>
        <w:jc w:val="both"/>
      </w:pPr>
      <w:r>
        <w:t xml:space="preserve">Voor Curaçao is met name van belang dat staatssteun die resulteert in of bijdraagt aan geografische selectiviteit ook verboden is. Er is sprake van geografische selectiviteit in het geval dat </w:t>
      </w:r>
      <w:r w:rsidRPr="001E0FC1">
        <w:t>slechts ondernemingen die in ee</w:t>
      </w:r>
      <w:r>
        <w:t xml:space="preserve">n bepaalde regio, gebied of streek van een lidstaat gevestigd zijn </w:t>
      </w:r>
      <w:r w:rsidRPr="001E0FC1">
        <w:t>in aanmerking komen voor een voordeel.</w:t>
      </w:r>
      <w:r>
        <w:t xml:space="preserve"> Een zaak waarin het al dan niet sprake zijn van geografische </w:t>
      </w:r>
      <w:r>
        <w:lastRenderedPageBreak/>
        <w:t>selectiviteit aan de orde was, was de zaak C-88/03 betreffende een op de Azoren ingevoerde belastingmaatregel tot verlaging van het belastingtarief. In de volgende subparagraaf volgt een uiteenzetting van dit arrest.</w:t>
      </w:r>
    </w:p>
    <w:p w:rsidR="00A64945" w:rsidRDefault="00A64945" w:rsidP="00B6772C">
      <w:bookmarkStart w:id="64" w:name="_Toc287433445"/>
    </w:p>
    <w:p w:rsidR="00A64945" w:rsidRPr="00253F24" w:rsidRDefault="00A64945" w:rsidP="00B6772C">
      <w:pPr>
        <w:spacing w:after="0"/>
        <w:jc w:val="both"/>
        <w:rPr>
          <w:b/>
          <w:i/>
          <w:sz w:val="20"/>
          <w:szCs w:val="20"/>
        </w:rPr>
      </w:pPr>
      <w:r w:rsidRPr="00253F24">
        <w:rPr>
          <w:b/>
          <w:i/>
          <w:sz w:val="20"/>
          <w:szCs w:val="20"/>
        </w:rPr>
        <w:t>Portugal/Commissie (C-88/03)</w:t>
      </w:r>
      <w:bookmarkEnd w:id="64"/>
    </w:p>
    <w:p w:rsidR="00A64945" w:rsidRDefault="00A64945" w:rsidP="00B6772C">
      <w:pPr>
        <w:spacing w:after="0" w:line="360" w:lineRule="auto"/>
        <w:jc w:val="both"/>
      </w:pPr>
      <w:r>
        <w:t>De Azoren</w:t>
      </w:r>
      <w:r>
        <w:rPr>
          <w:rStyle w:val="FootnoteReference"/>
          <w:rFonts w:cs="Arial"/>
        </w:rPr>
        <w:footnoteReference w:id="197"/>
      </w:r>
      <w:r>
        <w:t xml:space="preserve"> zijn een autonome regio binnen de republiek Portugal. Binnen de EU hebben zij de status van UPG. In het arrest C-88/03</w:t>
      </w:r>
      <w:r>
        <w:rPr>
          <w:rStyle w:val="FootnoteReference"/>
          <w:rFonts w:cs="Arial"/>
        </w:rPr>
        <w:footnoteReference w:id="198"/>
      </w:r>
      <w:r>
        <w:t xml:space="preserve"> deed het HvJ EU (hierna: het Hof) uitspraak in een zaak waarin Portugal in beroep ging tegen een beschikking</w:t>
      </w:r>
      <w:r>
        <w:rPr>
          <w:rStyle w:val="FootnoteReference"/>
          <w:rFonts w:cs="Arial"/>
        </w:rPr>
        <w:footnoteReference w:id="199"/>
      </w:r>
      <w:r>
        <w:t xml:space="preserve"> die door de EC aan Portugal was gegeven. Deze beschikking was gegeven naar aanleiding van een brief waarin de Portugese autoriteiten de EC in kennis stelden van een regeling die de aanpassing van het belastingstelsel van Portugal aan de specifieke kenmerken van de Azoren impliceerde. Hiertoe was op de Azoren een verlaging van het inkomstenbelastingtarief en het vennootschapsbelastingtarief doorgevoerd. Na onderzoek van de door de Portugese autoriteiten verstrekte inlichtingen, besloot de EC om ten aanzien van het gedeelte van de regeling dat betrekking had op de verlaging van de belastingtarieven, de procedure van </w:t>
      </w:r>
      <w:r w:rsidRPr="007D370E">
        <w:t>art. 108, lid 2 VwEU</w:t>
      </w:r>
      <w:r w:rsidRPr="007D370E">
        <w:rPr>
          <w:rStyle w:val="FootnoteReference"/>
          <w:rFonts w:cs="Arial"/>
        </w:rPr>
        <w:footnoteReference w:id="200"/>
      </w:r>
      <w:r w:rsidRPr="007D370E">
        <w:t xml:space="preserve">  in te leiden. Portugal eiste dat de</w:t>
      </w:r>
      <w:r>
        <w:t>ze</w:t>
      </w:r>
      <w:r w:rsidRPr="007D370E">
        <w:t xml:space="preserve"> beschikking nietig</w:t>
      </w:r>
      <w:r>
        <w:t xml:space="preserve"> </w:t>
      </w:r>
      <w:r w:rsidRPr="007D370E">
        <w:t>werd verklaard</w:t>
      </w:r>
      <w:r>
        <w:t>.</w:t>
      </w:r>
    </w:p>
    <w:p w:rsidR="00A64945" w:rsidRDefault="00A64945" w:rsidP="00B6772C">
      <w:pPr>
        <w:spacing w:after="0" w:line="360" w:lineRule="auto"/>
        <w:jc w:val="both"/>
        <w:rPr>
          <w:b/>
          <w:i/>
          <w:sz w:val="18"/>
          <w:szCs w:val="18"/>
        </w:rPr>
      </w:pPr>
    </w:p>
    <w:p w:rsidR="00A64945" w:rsidRDefault="00A64945" w:rsidP="00B6772C">
      <w:pPr>
        <w:spacing w:after="0" w:line="360" w:lineRule="auto"/>
        <w:jc w:val="both"/>
        <w:rPr>
          <w:b/>
          <w:i/>
          <w:sz w:val="18"/>
          <w:szCs w:val="18"/>
        </w:rPr>
      </w:pPr>
      <w:r w:rsidRPr="00743F0D">
        <w:rPr>
          <w:b/>
          <w:i/>
          <w:sz w:val="18"/>
          <w:szCs w:val="18"/>
        </w:rPr>
        <w:t>Feiten</w:t>
      </w:r>
    </w:p>
    <w:p w:rsidR="00A64945" w:rsidRDefault="00A64945" w:rsidP="00B6772C">
      <w:pPr>
        <w:spacing w:after="0" w:line="360" w:lineRule="auto"/>
        <w:jc w:val="both"/>
      </w:pPr>
      <w:r>
        <w:t>Op grond van de grondwet</w:t>
      </w:r>
      <w:r>
        <w:rPr>
          <w:rStyle w:val="FootnoteReference"/>
          <w:rFonts w:cs="Arial"/>
        </w:rPr>
        <w:footnoteReference w:id="201"/>
      </w:r>
      <w:r>
        <w:t xml:space="preserve"> van de Portugese Republiek zijn de Azoren een autonome regio met een eigen politiekadministratieve  status en eigen overheidsorganen.</w:t>
      </w:r>
      <w:r>
        <w:rPr>
          <w:rStyle w:val="FootnoteReference"/>
          <w:rFonts w:cs="Arial"/>
        </w:rPr>
        <w:footnoteReference w:id="202"/>
      </w:r>
      <w:r>
        <w:t xml:space="preserve"> In de Portugese grondwet is vastgelegd dat de Azoren hun eigen belastinginkomsten hebben. Daarnaast ontvangen zij tevens een deel van de belastinginkomsten  van de staat. De Azoren zijn bevoegd om onder voorwaarden een eigen fiscale bevoegdheid uit te oefenen, alsmede om de staatsbelastingen aan de specifieke regionale omstandigheden aan te passen.</w:t>
      </w:r>
      <w:r>
        <w:rPr>
          <w:rStyle w:val="FootnoteReference"/>
          <w:rFonts w:cs="Arial"/>
        </w:rPr>
        <w:footnoteReference w:id="203"/>
      </w:r>
      <w:r>
        <w:t xml:space="preserve"> </w:t>
      </w:r>
      <w:r w:rsidRPr="00652F71">
        <w:t>Deze voorwaarden zijn wettelijk</w:t>
      </w:r>
      <w:r>
        <w:t xml:space="preserve"> </w:t>
      </w:r>
      <w:r w:rsidRPr="00652F71">
        <w:t xml:space="preserve">bepaald </w:t>
      </w:r>
      <w:r>
        <w:t>b</w:t>
      </w:r>
      <w:r w:rsidRPr="00652F71">
        <w:t>ij wet nr. 13/98 betreffende de financiën van de autonome regio’s</w:t>
      </w:r>
      <w:r>
        <w:t xml:space="preserve"> (hierna Wet 13/98)</w:t>
      </w:r>
      <w:r w:rsidRPr="00652F71">
        <w:rPr>
          <w:rStyle w:val="FootnoteReference"/>
          <w:rFonts w:cs="Arial"/>
        </w:rPr>
        <w:footnoteReference w:id="204"/>
      </w:r>
      <w:r w:rsidRPr="00652F71">
        <w:t xml:space="preserve"> </w:t>
      </w:r>
      <w:r>
        <w:t xml:space="preserve"> </w:t>
      </w:r>
      <w:r w:rsidRPr="00652F71">
        <w:t>en gestoeld op het beginsel van nationale solidariteit en de verplichting tot samenwerking tussen staat en autonome regio.</w:t>
      </w:r>
      <w:r w:rsidRPr="00652F71">
        <w:rPr>
          <w:rStyle w:val="FootnoteReference"/>
          <w:rFonts w:cs="Arial"/>
        </w:rPr>
        <w:footnoteReference w:id="205"/>
      </w:r>
      <w:r w:rsidRPr="00652F71">
        <w:t xml:space="preserve"> </w:t>
      </w:r>
      <w:r>
        <w:t xml:space="preserve">In art. 5, leden 1 en 2 van Wet 13/98 is bepaald dat de staat samen dient te werken met de </w:t>
      </w:r>
      <w:r>
        <w:lastRenderedPageBreak/>
        <w:t xml:space="preserve">autoriteiten van de autonome regio’s teneinde </w:t>
      </w:r>
      <w:r w:rsidRPr="00791477">
        <w:rPr>
          <w:i/>
        </w:rPr>
        <w:t>‘tot economische ontwikkeling te komen, ongelijkheden als gevolg van het insulaire karakter [van bepaalde regio’s] recht te zetten, en om economische en sociale convergentie met de rest van het nationale grondgebied en met de Europese Unie tot stand te brengen.’</w:t>
      </w:r>
      <w:r>
        <w:rPr>
          <w:i/>
        </w:rPr>
        <w:t xml:space="preserve"> </w:t>
      </w:r>
      <w:r>
        <w:t>Nationale solidariteit uit zich op het financiële gebied in dit kader in het bijzonder ‘</w:t>
      </w:r>
      <w:r w:rsidRPr="00AB1C22">
        <w:rPr>
          <w:i/>
        </w:rPr>
        <w:t>in de overdracht van budgettaire</w:t>
      </w:r>
      <w:r>
        <w:rPr>
          <w:i/>
        </w:rPr>
        <w:t xml:space="preserve"> middelen</w:t>
      </w:r>
      <w:r w:rsidRPr="00AB1C22">
        <w:rPr>
          <w:i/>
        </w:rPr>
        <w:t xml:space="preserve"> </w:t>
      </w:r>
      <w:r>
        <w:rPr>
          <w:i/>
        </w:rPr>
        <w:t>[…]</w:t>
      </w:r>
      <w:r w:rsidRPr="00AB1C22">
        <w:rPr>
          <w:i/>
        </w:rPr>
        <w:t>; zij moet voortdurend met het ontwikkelingspeil van de autonome regio’s mee-evolueren, en bovenal streven naar de totstandbrenging van de voorwaarden voor een betere financiële dekking door eigen inkomsten.’</w:t>
      </w:r>
      <w:r>
        <w:rPr>
          <w:rStyle w:val="FootnoteReference"/>
          <w:rFonts w:cs="Arial"/>
        </w:rPr>
        <w:footnoteReference w:id="206"/>
      </w:r>
      <w:r>
        <w:rPr>
          <w:i/>
        </w:rPr>
        <w:t xml:space="preserve"> </w:t>
      </w:r>
      <w:r>
        <w:t>In art. 37, vierde lid van de Wet 13/98 is bepaald dat de regionale bestuursorganen van de Azoren de nationale belastingtarieven voor de vennootschapsbelasting en de inkomstenbelasting, de BTW en bijzondere verbruiksbelastingen kunnen verminderen tot maximum 30%.</w:t>
      </w:r>
      <w:r>
        <w:rPr>
          <w:rStyle w:val="FootnoteReference"/>
          <w:rFonts w:cs="Arial"/>
        </w:rPr>
        <w:footnoteReference w:id="207"/>
      </w:r>
    </w:p>
    <w:p w:rsidR="00A64945" w:rsidRDefault="00A64945" w:rsidP="00B6772C">
      <w:pPr>
        <w:spacing w:line="360" w:lineRule="auto"/>
        <w:jc w:val="both"/>
      </w:pPr>
      <w:r w:rsidRPr="0060018E">
        <w:t xml:space="preserve">Het wetgevende orgaan van de Azoren </w:t>
      </w:r>
      <w:r>
        <w:t>had</w:t>
      </w:r>
      <w:r w:rsidRPr="0060018E">
        <w:t xml:space="preserve"> gebruikt gemaakt van </w:t>
      </w:r>
      <w:r>
        <w:t xml:space="preserve">deze </w:t>
      </w:r>
      <w:r w:rsidRPr="0060018E">
        <w:t xml:space="preserve">aan hen toegekende bevoegdheden en </w:t>
      </w:r>
      <w:r>
        <w:t>de inkomstenbelasting en de vennootschapsbelasting verminderd voor alle natuurlijke- respectievelijk rechtspersonen die deelnamen aan het economisch verkeer in de Azoren. De inkomstenbelasting werd met 20% verlaagd en de vennootschapsbelasting met 30%. Deze verlaging zou volgens de Portugese autoriteiten met name bedoeld zijn als compensatie voor de ondernemingen die op de Azoren gevestigd waren en mogelijk als gevolg van hun vestiging in een insulaire en ultraperifere regio  te kampen hadden met structurele handicaps.</w:t>
      </w:r>
      <w:r>
        <w:rPr>
          <w:rStyle w:val="FootnoteReference"/>
          <w:rFonts w:cs="Arial"/>
        </w:rPr>
        <w:footnoteReference w:id="208"/>
      </w:r>
    </w:p>
    <w:p w:rsidR="00A64945" w:rsidRDefault="00A64945" w:rsidP="00B6772C">
      <w:pPr>
        <w:spacing w:after="0" w:line="360" w:lineRule="auto"/>
        <w:jc w:val="both"/>
        <w:rPr>
          <w:rFonts w:cs="TTE5FF4868t00"/>
          <w:b/>
          <w:i/>
          <w:sz w:val="18"/>
          <w:szCs w:val="18"/>
        </w:rPr>
      </w:pPr>
    </w:p>
    <w:p w:rsidR="00A64945" w:rsidRDefault="00A64945" w:rsidP="00B6772C">
      <w:pPr>
        <w:spacing w:after="0" w:line="360" w:lineRule="auto"/>
        <w:jc w:val="both"/>
      </w:pPr>
      <w:r w:rsidRPr="00BB5005">
        <w:rPr>
          <w:rFonts w:cs="TTE5FF4868t00"/>
          <w:b/>
          <w:i/>
          <w:sz w:val="18"/>
          <w:szCs w:val="18"/>
        </w:rPr>
        <w:t>Standpunt EC</w:t>
      </w:r>
    </w:p>
    <w:p w:rsidR="00A64945" w:rsidRDefault="00A64945" w:rsidP="00B6772C">
      <w:pPr>
        <w:spacing w:line="360" w:lineRule="auto"/>
        <w:jc w:val="both"/>
      </w:pPr>
      <w:r w:rsidRPr="008E09C2">
        <w:t xml:space="preserve">Volgens de EC was </w:t>
      </w:r>
      <w:r>
        <w:t xml:space="preserve">er </w:t>
      </w:r>
      <w:r w:rsidRPr="008E09C2">
        <w:t xml:space="preserve">reden genoeg om aan te nemen dat </w:t>
      </w:r>
      <w:r>
        <w:t>de verlaging</w:t>
      </w:r>
      <w:r w:rsidRPr="008E09C2">
        <w:t xml:space="preserve"> van de belastingtarieven</w:t>
      </w:r>
      <w:r>
        <w:t xml:space="preserve"> in de Azoren</w:t>
      </w:r>
      <w:r w:rsidRPr="008E09C2">
        <w:t xml:space="preserve"> een verboden staatssteun </w:t>
      </w:r>
      <w:r>
        <w:t>inhield</w:t>
      </w:r>
      <w:r w:rsidRPr="008E09C2">
        <w:t xml:space="preserve">. De EC was </w:t>
      </w:r>
      <w:r>
        <w:t>er van overtuigd</w:t>
      </w:r>
      <w:r w:rsidRPr="008E09C2">
        <w:t xml:space="preserve"> dat wat </w:t>
      </w:r>
      <w:r>
        <w:t>deze maatregel</w:t>
      </w:r>
      <w:r w:rsidRPr="008E09C2">
        <w:t xml:space="preserve"> betrof, aan elke van de criteria van art. 87, lid 1 EG was voldaan.</w:t>
      </w:r>
      <w:r w:rsidRPr="008E09C2">
        <w:rPr>
          <w:rStyle w:val="FootnoteReference"/>
          <w:rFonts w:cs="Arial"/>
        </w:rPr>
        <w:footnoteReference w:id="209"/>
      </w:r>
      <w:r>
        <w:t xml:space="preserve"> Met betrekking tot het criterium van selectiviteit was de EC ervan overtuigd dat er in deze zaak sprake was van geografische selectiviteit.</w:t>
      </w:r>
    </w:p>
    <w:p w:rsidR="00A64945" w:rsidRPr="00053537" w:rsidRDefault="00A64945" w:rsidP="00B6772C">
      <w:pPr>
        <w:spacing w:line="360" w:lineRule="auto"/>
        <w:jc w:val="both"/>
      </w:pPr>
      <w:r w:rsidRPr="008E09C2">
        <w:t>Zoals al</w:t>
      </w:r>
      <w:r>
        <w:t xml:space="preserve"> eerder</w:t>
      </w:r>
      <w:r w:rsidRPr="008E09C2">
        <w:t xml:space="preserve"> aan de orde is geweest</w:t>
      </w:r>
      <w:r>
        <w:t xml:space="preserve">, is </w:t>
      </w:r>
      <w:r w:rsidRPr="008E09C2">
        <w:t xml:space="preserve">een </w:t>
      </w:r>
      <w:r>
        <w:t xml:space="preserve">van de voorwaarden van verboden staatssteun het </w:t>
      </w:r>
      <w:r>
        <w:rPr>
          <w:rFonts w:cs="TTE5FF4868t00"/>
        </w:rPr>
        <w:t xml:space="preserve">specifiek of selectief </w:t>
      </w:r>
      <w:r w:rsidRPr="008E09C2">
        <w:rPr>
          <w:rFonts w:cs="TTE5FF4868t00"/>
        </w:rPr>
        <w:t>zijn</w:t>
      </w:r>
      <w:r>
        <w:rPr>
          <w:rFonts w:cs="TTE5FF4868t00"/>
        </w:rPr>
        <w:t xml:space="preserve"> van een</w:t>
      </w:r>
      <w:r w:rsidRPr="008E09C2">
        <w:rPr>
          <w:rFonts w:cs="TTE5FF4868t00"/>
        </w:rPr>
        <w:t xml:space="preserve"> ma</w:t>
      </w:r>
      <w:r>
        <w:rPr>
          <w:rFonts w:cs="TTE5FF4868t00"/>
        </w:rPr>
        <w:t>atregel. I</w:t>
      </w:r>
      <w:r w:rsidRPr="008E09C2">
        <w:rPr>
          <w:rFonts w:cs="TTE5FF4868t00"/>
        </w:rPr>
        <w:t xml:space="preserve">n de zin dat </w:t>
      </w:r>
      <w:r>
        <w:rPr>
          <w:rFonts w:cs="TTE5FF4868t00"/>
        </w:rPr>
        <w:t>de betreffende maatregel</w:t>
      </w:r>
      <w:r w:rsidRPr="008E09C2">
        <w:rPr>
          <w:rFonts w:cs="TTE5FF4868t00"/>
        </w:rPr>
        <w:t xml:space="preserve"> bepaalde ondernemingen of bepaalde producties begunstigt.</w:t>
      </w:r>
      <w:r>
        <w:rPr>
          <w:rFonts w:cs="TTE5FF4868t00"/>
        </w:rPr>
        <w:t xml:space="preserve"> </w:t>
      </w:r>
      <w:r w:rsidRPr="00053537">
        <w:t>Aangezien de Azoren wat betreft geografische ligging niet</w:t>
      </w:r>
      <w:r>
        <w:t xml:space="preserve"> feitelijk</w:t>
      </w:r>
      <w:r w:rsidRPr="00053537">
        <w:t xml:space="preserve"> aan</w:t>
      </w:r>
      <w:r>
        <w:t xml:space="preserve"> het Portugese grondgebied</w:t>
      </w:r>
      <w:r w:rsidRPr="00053537">
        <w:t xml:space="preserve"> vast zitten, moest om te beoordelen of de in de Azoren ingevoerde maatregel selectief was</w:t>
      </w:r>
      <w:r>
        <w:t>,</w:t>
      </w:r>
      <w:r w:rsidRPr="00053537">
        <w:t xml:space="preserve"> allereerst een afbakening van het referentiekader</w:t>
      </w:r>
      <w:r>
        <w:t xml:space="preserve"> aan de hand waarvan deze beoordeling</w:t>
      </w:r>
      <w:r w:rsidRPr="00053537">
        <w:t xml:space="preserve"> </w:t>
      </w:r>
      <w:r>
        <w:t>zou kunnen plaatsvinden, vastgesteld worden</w:t>
      </w:r>
      <w:r w:rsidRPr="00053537">
        <w:t xml:space="preserve">. De hoofdvraag in deze zaak was dan ook of er sprake was van één grondgebied, de Portugese, of dat de Azoren als </w:t>
      </w:r>
      <w:r w:rsidRPr="00053537">
        <w:lastRenderedPageBreak/>
        <w:t>afzonderlijk gebied beschouwd moesten worden. Portugal en de EC hadden hier verschillende meningen over.</w:t>
      </w:r>
      <w:r w:rsidRPr="00053537">
        <w:rPr>
          <w:rFonts w:cs="TTE5FF4868t00"/>
        </w:rPr>
        <w:t xml:space="preserve"> </w:t>
      </w:r>
    </w:p>
    <w:p w:rsidR="00A64945" w:rsidRDefault="00A64945" w:rsidP="00B6772C">
      <w:pPr>
        <w:spacing w:after="0" w:line="360" w:lineRule="auto"/>
        <w:jc w:val="both"/>
      </w:pPr>
      <w:r w:rsidRPr="007C1A0C">
        <w:rPr>
          <w:rFonts w:cs="TTE5FF4868t00"/>
        </w:rPr>
        <w:t>Volgens de EC kon de in de Azoren ingevoerde belastingmaatregel wel degelijk als selectief worden aangemerkt. Hoofdreden voor dit standpunt was dat d</w:t>
      </w:r>
      <w:r w:rsidRPr="007C1A0C">
        <w:t xml:space="preserve">e EC de mening was toegedaan dat er </w:t>
      </w:r>
      <w:r>
        <w:t xml:space="preserve">voor de beoordeling van selectiviteit uitgegaan moest worden </w:t>
      </w:r>
      <w:r w:rsidRPr="007C1A0C">
        <w:t>van één Portugees grondgebied</w:t>
      </w:r>
      <w:r>
        <w:t xml:space="preserve">. </w:t>
      </w:r>
      <w:r w:rsidRPr="007C1A0C">
        <w:t>Dit brach</w:t>
      </w:r>
      <w:r>
        <w:t xml:space="preserve">t met zich </w:t>
      </w:r>
      <w:r w:rsidRPr="007C1A0C">
        <w:t>dat de EC vond dat de betrokken belastingtariefverlagingen voor ondernemingen die in de Azoren waren</w:t>
      </w:r>
      <w:r>
        <w:t xml:space="preserve"> gevestigd </w:t>
      </w:r>
      <w:r w:rsidRPr="007C1A0C">
        <w:t>een voordeel vormden waarvan ondernemingen</w:t>
      </w:r>
      <w:r>
        <w:t>,</w:t>
      </w:r>
      <w:r w:rsidRPr="007C1A0C">
        <w:t xml:space="preserve"> die in andere delen van Portugal soortgelijke economische activiteiten wouden verrichten, niet konden profiteren. Volgens de EC kon dan ook gesteld worden dat Portugal de in de regio Azoren belastingplichtige ondernemingen ten opzichte van alle andere Portugese ondernemingen begunstigde. Dit bracht de EC tot de conclusie dat de belastingvermindering die alleen van toepassing was op de Azoren een selectieve belastingmaatregel was die bedoeld was om de economische ontwikkeling van de</w:t>
      </w:r>
      <w:r>
        <w:t>ze</w:t>
      </w:r>
      <w:r w:rsidRPr="007C1A0C">
        <w:t xml:space="preserve"> regio te bevorderen en dus gekwalificeerd moest worden als een steunmaatregel onder art. 87, eerste lid EG.</w:t>
      </w:r>
      <w:r w:rsidRPr="007C1A0C">
        <w:rPr>
          <w:rStyle w:val="FootnoteReference"/>
          <w:rFonts w:cs="Arial"/>
        </w:rPr>
        <w:footnoteReference w:id="210"/>
      </w:r>
      <w:r w:rsidRPr="007C1A0C">
        <w:t xml:space="preserve"> </w:t>
      </w:r>
    </w:p>
    <w:p w:rsidR="00A64945" w:rsidRPr="00BB5005" w:rsidRDefault="00A64945" w:rsidP="00B6772C">
      <w:pPr>
        <w:spacing w:after="0" w:line="360" w:lineRule="auto"/>
        <w:jc w:val="both"/>
        <w:rPr>
          <w:b/>
          <w:i/>
          <w:sz w:val="18"/>
          <w:szCs w:val="18"/>
        </w:rPr>
      </w:pPr>
      <w:r w:rsidRPr="00BB5005">
        <w:rPr>
          <w:b/>
          <w:i/>
          <w:sz w:val="18"/>
          <w:szCs w:val="18"/>
        </w:rPr>
        <w:t>Standpunt Portugal</w:t>
      </w:r>
    </w:p>
    <w:p w:rsidR="00A64945" w:rsidRDefault="00A64945" w:rsidP="00B6772C">
      <w:pPr>
        <w:spacing w:after="0" w:line="360" w:lineRule="auto"/>
        <w:jc w:val="both"/>
      </w:pPr>
      <w:r w:rsidRPr="007C1A0C">
        <w:t xml:space="preserve">Portugal </w:t>
      </w:r>
      <w:r>
        <w:t xml:space="preserve">deelde dit standpunt uiteraard niet en </w:t>
      </w:r>
      <w:r w:rsidRPr="007C1A0C">
        <w:t>acht</w:t>
      </w:r>
      <w:r>
        <w:t xml:space="preserve">te de in de Azoren ingevoerde fiscale maatregelen </w:t>
      </w:r>
      <w:r w:rsidRPr="007C1A0C">
        <w:t xml:space="preserve">niet selectief. Volgens Portugal hanteerde de EC een </w:t>
      </w:r>
      <w:r>
        <w:t>onjuiste</w:t>
      </w:r>
      <w:r w:rsidRPr="007C1A0C">
        <w:t xml:space="preserve"> referentiekader. Portugal was van mening dat de EC voor de vraag of de maatregel selectief was, niet van één Portugees grondgebied uit moest gaan, maar de Azoren als een afzonderlijk deel van Portugal </w:t>
      </w:r>
      <w:r>
        <w:t xml:space="preserve">moest </w:t>
      </w:r>
      <w:r w:rsidRPr="007C1A0C">
        <w:t xml:space="preserve">zien. Portugal baseerde haar standpunt op het feit dat de tariefsverminderingen het resultaat waren van het zelfstandig opereren van de door Portugal bevoegd geachte bestuurorganen in de Azoren. Bovendien golden de belastingverminderingen zonder uitzondering voor alle belastingplichtige ondernemingen in de Azoren, wat </w:t>
      </w:r>
      <w:r>
        <w:t>de maatregel</w:t>
      </w:r>
      <w:r w:rsidRPr="007C1A0C">
        <w:t xml:space="preserve"> volgens Portugal tot een algemene maatregel maakte. </w:t>
      </w:r>
      <w:r w:rsidRPr="007C1A0C">
        <w:rPr>
          <w:rStyle w:val="FootnoteReference"/>
          <w:rFonts w:cs="Arial"/>
        </w:rPr>
        <w:footnoteReference w:id="211"/>
      </w:r>
    </w:p>
    <w:p w:rsidR="00A64945" w:rsidRPr="00BB5005" w:rsidRDefault="00A64945" w:rsidP="00B6772C">
      <w:pPr>
        <w:spacing w:after="0" w:line="360" w:lineRule="auto"/>
        <w:jc w:val="both"/>
        <w:rPr>
          <w:b/>
          <w:i/>
          <w:sz w:val="18"/>
          <w:szCs w:val="18"/>
        </w:rPr>
      </w:pPr>
      <w:r w:rsidRPr="00BB5005">
        <w:rPr>
          <w:b/>
          <w:i/>
          <w:sz w:val="18"/>
          <w:szCs w:val="18"/>
        </w:rPr>
        <w:t>Het Hof</w:t>
      </w:r>
    </w:p>
    <w:p w:rsidR="00A64945" w:rsidRDefault="00A64945" w:rsidP="00B6772C">
      <w:pPr>
        <w:spacing w:after="0" w:line="360" w:lineRule="auto"/>
        <w:jc w:val="both"/>
        <w:rPr>
          <w:highlight w:val="yellow"/>
        </w:rPr>
      </w:pPr>
      <w:r>
        <w:t>Het Hof overwoog</w:t>
      </w:r>
      <w:r w:rsidRPr="000B0EA7">
        <w:t xml:space="preserve"> dat </w:t>
      </w:r>
      <w:r>
        <w:rPr>
          <w:rStyle w:val="Emphasis"/>
          <w:rFonts w:cs="Arial"/>
        </w:rPr>
        <w:t xml:space="preserve">een maatregel niet per definitie selectief is alleen </w:t>
      </w:r>
      <w:r w:rsidRPr="000B0EA7">
        <w:rPr>
          <w:rStyle w:val="Emphasis"/>
          <w:rFonts w:cs="Arial"/>
        </w:rPr>
        <w:t>omdat deze enkel geldt voor een bepaalde regio van een lidstaat</w:t>
      </w:r>
      <w:r w:rsidRPr="000B0EA7">
        <w:rPr>
          <w:i/>
        </w:rPr>
        <w:t>.</w:t>
      </w:r>
      <w:r w:rsidRPr="000B0EA7">
        <w:rPr>
          <w:rStyle w:val="FootnoteReference"/>
          <w:rFonts w:cs="Arial"/>
        </w:rPr>
        <w:footnoteReference w:id="212"/>
      </w:r>
      <w:r w:rsidRPr="000B0EA7">
        <w:t xml:space="preserve">Om de al dan niet selectieve aard te beoordelen van een door een regionale entiteit vastgestelde maatregel, </w:t>
      </w:r>
      <w:r w:rsidRPr="009E66A6">
        <w:t xml:space="preserve">die </w:t>
      </w:r>
      <w:r w:rsidRPr="000B0EA7">
        <w:t xml:space="preserve">ertoe strekt voor slechts één gedeelte van het grondgebied van een lidstaat een lager belastingtarief vast te stellen,  dient volgens het Hof te worden onderzocht of een regionale </w:t>
      </w:r>
      <w:r>
        <w:t xml:space="preserve">bestuurlijke </w:t>
      </w:r>
      <w:r w:rsidRPr="00547352">
        <w:t>entiteit</w:t>
      </w:r>
      <w:r w:rsidRPr="000B0EA7">
        <w:t xml:space="preserve"> dermate autonoom is dat zij en niet het centrale bestuur van een lidstaat een fundamentele rol speelt in de vaststelling van de politieke en </w:t>
      </w:r>
      <w:r w:rsidRPr="000B0EA7">
        <w:lastRenderedPageBreak/>
        <w:t xml:space="preserve">economische omgeving waarin ondernemingen opereren. In dat geval vormt het grondgebied waarop de regionale </w:t>
      </w:r>
      <w:r>
        <w:t>bestuurlijke entiteit</w:t>
      </w:r>
      <w:r w:rsidRPr="000B0EA7">
        <w:t xml:space="preserve"> haar bevoegdheden uitoefent en niet het gehele grondgebied van een lidstaat de relevante context om te beoordelen of sprake is van selectieve maatregelen. </w:t>
      </w:r>
      <w:r w:rsidRPr="000B0EA7">
        <w:rPr>
          <w:rStyle w:val="FootnoteReference"/>
          <w:rFonts w:cs="Arial"/>
        </w:rPr>
        <w:footnoteReference w:id="213"/>
      </w:r>
      <w:r w:rsidRPr="004E7E38">
        <w:rPr>
          <w:highlight w:val="yellow"/>
        </w:rPr>
        <w:br/>
      </w:r>
    </w:p>
    <w:p w:rsidR="00A64945" w:rsidRPr="000B0EA7" w:rsidRDefault="00A64945" w:rsidP="00B6772C">
      <w:pPr>
        <w:spacing w:line="360" w:lineRule="auto"/>
        <w:jc w:val="both"/>
      </w:pPr>
      <w:r w:rsidRPr="000B0EA7">
        <w:t>Van het regionale grondgebied als relevante context kan worden uitgegaan als de maatregel door de regionale entiteit is genomen in de uitoefening van voldoende autonome bevoegdheden ten opzichte van de centrale overheid. De beslissing moet in dat geval zijn genomen:</w:t>
      </w:r>
      <w:r w:rsidRPr="000B0EA7">
        <w:rPr>
          <w:rStyle w:val="FootnoteReference"/>
          <w:rFonts w:cs="Arial"/>
        </w:rPr>
        <w:footnoteReference w:id="214"/>
      </w:r>
    </w:p>
    <w:p w:rsidR="00A64945" w:rsidRPr="000B0EA7" w:rsidRDefault="00A64945" w:rsidP="00B6772C">
      <w:pPr>
        <w:pStyle w:val="ListParagraph"/>
        <w:numPr>
          <w:ilvl w:val="0"/>
          <w:numId w:val="27"/>
        </w:numPr>
        <w:spacing w:after="0" w:line="360" w:lineRule="auto"/>
        <w:jc w:val="both"/>
      </w:pPr>
      <w:r w:rsidRPr="000B0EA7">
        <w:t>door een regionale/plaatselijke autoriteit met een eigen politieke en administratieve status die losstaat van de centrale overheid, en;</w:t>
      </w:r>
    </w:p>
    <w:p w:rsidR="00A64945" w:rsidRPr="000B0EA7" w:rsidRDefault="00A64945" w:rsidP="00B6772C">
      <w:pPr>
        <w:pStyle w:val="ListParagraph"/>
        <w:numPr>
          <w:ilvl w:val="0"/>
          <w:numId w:val="27"/>
        </w:numPr>
        <w:spacing w:after="0" w:line="360" w:lineRule="auto"/>
        <w:jc w:val="both"/>
      </w:pPr>
      <w:r w:rsidRPr="000B0EA7">
        <w:t>zonder dat de centrale overheid rechtstreeks zeggenschap heeft over de inhoud ervan, en;</w:t>
      </w:r>
    </w:p>
    <w:p w:rsidR="00A64945" w:rsidRPr="0026628A" w:rsidRDefault="00A64945" w:rsidP="00B6772C">
      <w:pPr>
        <w:pStyle w:val="ListParagraph"/>
        <w:numPr>
          <w:ilvl w:val="0"/>
          <w:numId w:val="27"/>
        </w:numPr>
        <w:spacing w:after="0" w:line="360" w:lineRule="auto"/>
        <w:jc w:val="both"/>
      </w:pPr>
      <w:r w:rsidRPr="000B0EA7">
        <w:t>zonder dat de financiële consequenties ervan worden gecompenseerd door bijdragen van andere regio’s of de centrale overheid.</w:t>
      </w:r>
      <w:r w:rsidRPr="000B0EA7">
        <w:br/>
      </w:r>
    </w:p>
    <w:p w:rsidR="00A64945" w:rsidRPr="002B0762" w:rsidRDefault="00A64945" w:rsidP="00B6772C">
      <w:pPr>
        <w:spacing w:line="360" w:lineRule="auto"/>
        <w:jc w:val="both"/>
      </w:pPr>
      <w:r>
        <w:rPr>
          <w:rFonts w:cs="TTE5FF4868t00"/>
        </w:rPr>
        <w:t xml:space="preserve">Met betrekking tot het laatste punt oordeelde het Hof dat </w:t>
      </w:r>
      <w:r w:rsidRPr="007221E6">
        <w:rPr>
          <w:rFonts w:cs="TTE5FF4868t00"/>
        </w:rPr>
        <w:t xml:space="preserve">de Azoren een beperkte autonomie </w:t>
      </w:r>
      <w:r>
        <w:rPr>
          <w:rFonts w:cs="TTE5FF4868t00"/>
        </w:rPr>
        <w:t xml:space="preserve">hadden. Dit </w:t>
      </w:r>
      <w:r w:rsidRPr="007221E6">
        <w:rPr>
          <w:rFonts w:cs="TTE5FF4868t00"/>
        </w:rPr>
        <w:t xml:space="preserve">aangezien zij </w:t>
      </w:r>
      <w:r>
        <w:rPr>
          <w:rFonts w:cs="TTE5FF4868t00"/>
        </w:rPr>
        <w:t>geen financiële autonomie kenden</w:t>
      </w:r>
      <w:r w:rsidRPr="007221E6">
        <w:rPr>
          <w:rFonts w:cs="TTE5FF4868t00"/>
        </w:rPr>
        <w:t>. De Portugese wet voorziet namelijk in een compensatieregeling door de overheid voor de gederfde belastinginkomsten.</w:t>
      </w:r>
      <w:r w:rsidRPr="007221E6">
        <w:rPr>
          <w:rStyle w:val="FootnoteReference"/>
          <w:rFonts w:cs="TTE5FF4868t00"/>
        </w:rPr>
        <w:footnoteReference w:id="215"/>
      </w:r>
      <w:r w:rsidRPr="00856319">
        <w:t xml:space="preserve"> </w:t>
      </w:r>
      <w:r>
        <w:t>Als relevant referentiekader voor de beoordeling of de betrokken belastingmaatregelen selectief zijn, kan hierdoor volgens het Hof niet uitsluitend het geografische gebied van de regio Azoren worden gekozen, maar dient uitgegaan te worden van het volledige Portugese grondgebied. In dit kader kunnen de betrokken belastingmaatregelen derhalve aangemerkt worden als selectieve maatregelen.</w:t>
      </w:r>
      <w:r w:rsidRPr="00A54AE4">
        <w:rPr>
          <w:rStyle w:val="FootnoteReference"/>
          <w:rFonts w:cs="Arial"/>
        </w:rPr>
        <w:t xml:space="preserve"> </w:t>
      </w:r>
      <w:r>
        <w:rPr>
          <w:rStyle w:val="FootnoteReference"/>
          <w:rFonts w:cs="Arial"/>
        </w:rPr>
        <w:footnoteReference w:id="216"/>
      </w:r>
      <w:r>
        <w:t xml:space="preserve"> </w:t>
      </w:r>
      <w:r>
        <w:rPr>
          <w:rStyle w:val="FootnoteReference"/>
          <w:rFonts w:cs="Arial"/>
        </w:rPr>
        <w:footnoteReference w:id="217"/>
      </w:r>
      <w:r w:rsidRPr="002B0762">
        <w:rPr>
          <w:rFonts w:cs="TTE5FF4868t00"/>
        </w:rPr>
        <w:t>Gevolg</w:t>
      </w:r>
      <w:r>
        <w:rPr>
          <w:rFonts w:cs="TTE5FF4868t00"/>
        </w:rPr>
        <w:t xml:space="preserve"> </w:t>
      </w:r>
      <w:r w:rsidRPr="002B0762">
        <w:rPr>
          <w:rFonts w:cs="TTE5FF4868t00"/>
        </w:rPr>
        <w:t xml:space="preserve">van deze conclusie </w:t>
      </w:r>
      <w:r>
        <w:rPr>
          <w:rFonts w:cs="TTE5FF4868t00"/>
        </w:rPr>
        <w:t>was</w:t>
      </w:r>
      <w:r w:rsidRPr="002B0762">
        <w:rPr>
          <w:rFonts w:cs="TTE5FF4868t00"/>
        </w:rPr>
        <w:t xml:space="preserve"> dat het Hof </w:t>
      </w:r>
      <w:r>
        <w:rPr>
          <w:rFonts w:cs="TTE5FF4868t00"/>
        </w:rPr>
        <w:t xml:space="preserve">de EC in het gelijk stelde en oordeelde </w:t>
      </w:r>
      <w:r w:rsidRPr="002B0762">
        <w:rPr>
          <w:rFonts w:cs="TTE5FF4868t00"/>
        </w:rPr>
        <w:lastRenderedPageBreak/>
        <w:t xml:space="preserve">dat </w:t>
      </w:r>
      <w:r>
        <w:rPr>
          <w:rFonts w:cs="TTE5FF4868t00"/>
        </w:rPr>
        <w:t>de betrokken</w:t>
      </w:r>
      <w:r w:rsidRPr="002B0762">
        <w:rPr>
          <w:rFonts w:cs="TTE5FF4868t00"/>
        </w:rPr>
        <w:t xml:space="preserve"> belasting</w:t>
      </w:r>
      <w:r>
        <w:rPr>
          <w:rFonts w:cs="TTE5FF4868t00"/>
        </w:rPr>
        <w:t>tarief</w:t>
      </w:r>
      <w:r w:rsidRPr="002B0762">
        <w:rPr>
          <w:rFonts w:cs="TTE5FF4868t00"/>
        </w:rPr>
        <w:t>verlaging</w:t>
      </w:r>
      <w:r>
        <w:rPr>
          <w:rFonts w:cs="TTE5FF4868t00"/>
        </w:rPr>
        <w:t>en</w:t>
      </w:r>
      <w:r w:rsidRPr="002B0762">
        <w:rPr>
          <w:rFonts w:cs="TTE5FF4868t00"/>
        </w:rPr>
        <w:t xml:space="preserve"> </w:t>
      </w:r>
      <w:r>
        <w:rPr>
          <w:rFonts w:cs="TTE5FF4868t00"/>
        </w:rPr>
        <w:t xml:space="preserve">terecht als </w:t>
      </w:r>
      <w:r w:rsidRPr="002B0762">
        <w:rPr>
          <w:rFonts w:cs="TTE5FF4868t00"/>
        </w:rPr>
        <w:t>selectieve</w:t>
      </w:r>
      <w:r>
        <w:rPr>
          <w:rFonts w:cs="TTE5FF4868t00"/>
        </w:rPr>
        <w:t xml:space="preserve"> </w:t>
      </w:r>
      <w:r w:rsidRPr="002B0762">
        <w:rPr>
          <w:rFonts w:cs="TTE5FF4868t00"/>
        </w:rPr>
        <w:t>maatregel</w:t>
      </w:r>
      <w:r>
        <w:rPr>
          <w:rFonts w:cs="TTE5FF4868t00"/>
        </w:rPr>
        <w:t>en</w:t>
      </w:r>
      <w:r w:rsidRPr="002B0762">
        <w:rPr>
          <w:rFonts w:cs="TTE5FF4868t00"/>
        </w:rPr>
        <w:t xml:space="preserve"> en </w:t>
      </w:r>
      <w:r>
        <w:rPr>
          <w:rFonts w:cs="TTE5FF4868t00"/>
        </w:rPr>
        <w:t>niet als</w:t>
      </w:r>
      <w:r w:rsidRPr="002B0762">
        <w:rPr>
          <w:rFonts w:cs="TTE5FF4868t00"/>
        </w:rPr>
        <w:t xml:space="preserve"> algemene maatregel</w:t>
      </w:r>
      <w:r>
        <w:rPr>
          <w:rFonts w:cs="TTE5FF4868t00"/>
        </w:rPr>
        <w:t>en door de EC waren aangemerkt</w:t>
      </w:r>
      <w:r w:rsidRPr="002B0762">
        <w:rPr>
          <w:rFonts w:cs="TTE5FF4868t00"/>
        </w:rPr>
        <w:t>.</w:t>
      </w:r>
      <w:r>
        <w:rPr>
          <w:rFonts w:cs="TTE5FF4868t00"/>
        </w:rPr>
        <w:t xml:space="preserve"> </w:t>
      </w:r>
    </w:p>
    <w:p w:rsidR="00A64945" w:rsidRPr="007A77D9" w:rsidRDefault="00A64945" w:rsidP="00B6772C">
      <w:pPr>
        <w:autoSpaceDE w:val="0"/>
        <w:autoSpaceDN w:val="0"/>
        <w:adjustRightInd w:val="0"/>
        <w:spacing w:after="0" w:line="360" w:lineRule="auto"/>
        <w:jc w:val="both"/>
        <w:rPr>
          <w:rFonts w:cs="TTE5FF4868t00"/>
        </w:rPr>
      </w:pPr>
      <w:r w:rsidRPr="00625222">
        <w:rPr>
          <w:rFonts w:cs="TTE5FF4868t00"/>
        </w:rPr>
        <w:t>Uit vaste rechtspraak</w:t>
      </w:r>
      <w:r w:rsidRPr="00625222">
        <w:rPr>
          <w:rStyle w:val="FootnoteReference"/>
          <w:rFonts w:cs="TTE5FF4868t00"/>
        </w:rPr>
        <w:footnoteReference w:id="218"/>
      </w:r>
      <w:r w:rsidRPr="00625222">
        <w:rPr>
          <w:rFonts w:cs="TTE5FF4868t00"/>
        </w:rPr>
        <w:t xml:space="preserve"> volgt dat de term staatssteun niet</w:t>
      </w:r>
      <w:r>
        <w:rPr>
          <w:rFonts w:cs="TTE5FF4868t00"/>
        </w:rPr>
        <w:t xml:space="preserve"> op overheidsmaatregelen ziet </w:t>
      </w:r>
      <w:r w:rsidRPr="00625222">
        <w:rPr>
          <w:rFonts w:cs="TTE5FF4868t00"/>
        </w:rPr>
        <w:t>die tussen ondernemingen differentiëren, wanneer deze differentiatie het gevolg is van  de aard of opzet van het lastenstelsel waarbinnen deze verschillen plaatsvinden.</w:t>
      </w:r>
      <w:r w:rsidRPr="00625222">
        <w:rPr>
          <w:rStyle w:val="FootnoteReference"/>
          <w:rFonts w:cs="TTE5FF4868t00"/>
        </w:rPr>
        <w:footnoteReference w:id="219"/>
      </w:r>
      <w:r w:rsidRPr="007A77D9">
        <w:rPr>
          <w:rFonts w:cs="TTE5FF4868t00"/>
        </w:rPr>
        <w:t>Volgens het Hof diende daarom o</w:t>
      </w:r>
      <w:r>
        <w:rPr>
          <w:rFonts w:cs="TTE5FF4868t00"/>
        </w:rPr>
        <w:t xml:space="preserve">ok </w:t>
      </w:r>
      <w:r w:rsidRPr="007A77D9">
        <w:rPr>
          <w:rFonts w:cs="TTE5FF4868t00"/>
        </w:rPr>
        <w:t xml:space="preserve">nog nagegaan te worden of </w:t>
      </w:r>
      <w:r w:rsidRPr="007A77D9">
        <w:t xml:space="preserve">de betrokken belastingmaatregelen door de aard of de opzet van het Portugese belastingstelsel konden worden gerechtvaardigd, waarbij de bewijslast op </w:t>
      </w:r>
      <w:r>
        <w:t>Portugal</w:t>
      </w:r>
      <w:r w:rsidRPr="007A77D9">
        <w:t xml:space="preserve"> rustte.</w:t>
      </w:r>
    </w:p>
    <w:p w:rsidR="00A64945" w:rsidRDefault="00A64945" w:rsidP="00B6772C">
      <w:pPr>
        <w:spacing w:after="0" w:line="360" w:lineRule="auto"/>
        <w:jc w:val="both"/>
        <w:rPr>
          <w:highlight w:val="yellow"/>
        </w:rPr>
      </w:pPr>
      <w:r>
        <w:t>In r.o. 81 formuleerde het Hof in welk geval aangenomen kan worden dat een maatregel die een uitzondering op de toepassing van het algemene belastingstelsel maakt, door de aard en de algemene opzet van het belastingstelsel gerechtvaardigd</w:t>
      </w:r>
      <w:r w:rsidRPr="000B0EA7">
        <w:t xml:space="preserve"> </w:t>
      </w:r>
      <w:r>
        <w:t>kan worden. Dit is het geval wanneer de betrokken lidstaat kan aantonen dat deze maatregel rechtstreeks uit de basis</w:t>
      </w:r>
      <w:r>
        <w:noBreakHyphen/>
        <w:t xml:space="preserve">  of hoofdbeginselen van zijn belastingstelsel voortvloeit.</w:t>
      </w:r>
      <w:r>
        <w:rPr>
          <w:rStyle w:val="FootnoteReference"/>
          <w:rFonts w:cs="Arial"/>
        </w:rPr>
        <w:footnoteReference w:id="220"/>
      </w:r>
    </w:p>
    <w:p w:rsidR="00A64945" w:rsidRPr="00EA76AE" w:rsidRDefault="00A64945" w:rsidP="00B6772C">
      <w:pPr>
        <w:autoSpaceDE w:val="0"/>
        <w:autoSpaceDN w:val="0"/>
        <w:adjustRightInd w:val="0"/>
        <w:spacing w:after="0" w:line="360" w:lineRule="auto"/>
        <w:jc w:val="both"/>
        <w:rPr>
          <w:rFonts w:ascii="TTE5FF4868t00" w:hAnsi="TTE5FF4868t00" w:cs="TTE5FF4868t00"/>
        </w:rPr>
      </w:pPr>
      <w:r w:rsidRPr="00EA76AE">
        <w:t xml:space="preserve">Portugal stelt met </w:t>
      </w:r>
      <w:r>
        <w:t>betrekking tot dit punt dat de ingevoerde belasting</w:t>
      </w:r>
      <w:r w:rsidRPr="00EA76AE">
        <w:t xml:space="preserve">maatregelen bijdragen </w:t>
      </w:r>
      <w:r>
        <w:t>aan</w:t>
      </w:r>
      <w:r w:rsidRPr="00EA76AE">
        <w:t xml:space="preserve"> de verwezenlijking van de structurele doelstellingen van het Portugese belastingstelsel, te weten de verdeling van de belastinglast naar draagkracht, met het oog op herverdeling.</w:t>
      </w:r>
      <w:r w:rsidRPr="00EA76AE">
        <w:rPr>
          <w:rStyle w:val="FootnoteReference"/>
          <w:rFonts w:cs="TTE5FF4868t00"/>
        </w:rPr>
        <w:t xml:space="preserve"> </w:t>
      </w:r>
      <w:r w:rsidRPr="00EA76AE">
        <w:rPr>
          <w:rStyle w:val="FootnoteReference"/>
          <w:rFonts w:cs="TTE5FF4868t00"/>
        </w:rPr>
        <w:footnoteReference w:id="221"/>
      </w:r>
    </w:p>
    <w:p w:rsidR="00A64945" w:rsidRDefault="00A64945" w:rsidP="00B6772C">
      <w:pPr>
        <w:autoSpaceDE w:val="0"/>
        <w:autoSpaceDN w:val="0"/>
        <w:adjustRightInd w:val="0"/>
        <w:spacing w:after="0" w:line="360" w:lineRule="auto"/>
        <w:jc w:val="both"/>
      </w:pPr>
      <w:r w:rsidRPr="00181C9C">
        <w:rPr>
          <w:rFonts w:cs="TTE5FF4868t00"/>
        </w:rPr>
        <w:t xml:space="preserve">Het Hof oordeelt </w:t>
      </w:r>
      <w:r>
        <w:rPr>
          <w:rFonts w:cs="TTE5FF4868t00"/>
        </w:rPr>
        <w:t xml:space="preserve">echter op dit punt </w:t>
      </w:r>
      <w:r w:rsidRPr="00181C9C">
        <w:rPr>
          <w:rFonts w:cs="TTE5FF4868t00"/>
        </w:rPr>
        <w:t>dat d</w:t>
      </w:r>
      <w:r w:rsidRPr="00181C9C">
        <w:t>e Portugese regering niet in staat was om aan te tonen dat de vaststelling van de betrokken maa</w:t>
      </w:r>
      <w:r>
        <w:t xml:space="preserve">tregelen door de autonome regio </w:t>
      </w:r>
      <w:r w:rsidRPr="00181C9C">
        <w:t xml:space="preserve">Azoren noodzakelijk was voor de werking en de doeltreffendheid van het algemene belastingstelsel. Het Hof was van mening dat Portugal zich had beperkt tot een algemene verklaring, zonder deze met nauwkeurige gegevens te staven. Aangetoond was </w:t>
      </w:r>
      <w:r>
        <w:t xml:space="preserve">volgens het Hof </w:t>
      </w:r>
      <w:r w:rsidRPr="00181C9C">
        <w:t>dus niet dat de betrokken maatregelen door de aard of de opzet van het Portugese belastingstelsel werden gerechtvaardigd.</w:t>
      </w:r>
      <w:r w:rsidRPr="00181C9C">
        <w:rPr>
          <w:rStyle w:val="FootnoteReference"/>
          <w:rFonts w:cs="Arial"/>
        </w:rPr>
        <w:footnoteReference w:id="222"/>
      </w:r>
      <w:r>
        <w:t xml:space="preserve"> Het Hof heeft het beroep van Portugal verworpen.</w:t>
      </w:r>
    </w:p>
    <w:p w:rsidR="00A64945" w:rsidRDefault="00A64945" w:rsidP="00B6772C">
      <w:pPr>
        <w:autoSpaceDE w:val="0"/>
        <w:autoSpaceDN w:val="0"/>
        <w:adjustRightInd w:val="0"/>
        <w:spacing w:after="0" w:line="360" w:lineRule="auto"/>
        <w:jc w:val="both"/>
      </w:pPr>
    </w:p>
    <w:p w:rsidR="00A64945" w:rsidRPr="00D05CFC" w:rsidRDefault="00A64945" w:rsidP="00B6772C">
      <w:pPr>
        <w:autoSpaceDE w:val="0"/>
        <w:autoSpaceDN w:val="0"/>
        <w:adjustRightInd w:val="0"/>
        <w:spacing w:after="0" w:line="360" w:lineRule="auto"/>
        <w:jc w:val="both"/>
        <w:rPr>
          <w:b/>
          <w:i/>
          <w:sz w:val="20"/>
          <w:szCs w:val="20"/>
        </w:rPr>
      </w:pPr>
      <w:r w:rsidRPr="00D05CFC">
        <w:rPr>
          <w:b/>
          <w:i/>
          <w:sz w:val="20"/>
          <w:szCs w:val="20"/>
        </w:rPr>
        <w:t>Uitzondering voor UPG’s op reguliere staatssteunbeleid</w:t>
      </w:r>
    </w:p>
    <w:p w:rsidR="00A64945" w:rsidRDefault="00A64945" w:rsidP="00B6772C">
      <w:pPr>
        <w:autoSpaceDE w:val="0"/>
        <w:autoSpaceDN w:val="0"/>
        <w:adjustRightInd w:val="0"/>
        <w:spacing w:after="0" w:line="360" w:lineRule="auto"/>
        <w:jc w:val="both"/>
      </w:pPr>
      <w:r w:rsidRPr="00543CE7">
        <w:t xml:space="preserve">Bij de aanname van de UPG- status krijgt Curaçao dus in principe </w:t>
      </w:r>
      <w:r>
        <w:t xml:space="preserve">onverkort </w:t>
      </w:r>
      <w:r w:rsidRPr="00543CE7">
        <w:t xml:space="preserve">met de </w:t>
      </w:r>
      <w:r>
        <w:t>staatssteun</w:t>
      </w:r>
      <w:r w:rsidRPr="00543CE7">
        <w:t>regels te maken. Hier dient wel een kanttekening</w:t>
      </w:r>
      <w:r>
        <w:t xml:space="preserve"> bij</w:t>
      </w:r>
      <w:r w:rsidRPr="00543CE7">
        <w:t xml:space="preserve"> te worden geplaatst. Art. 107, lid 3, onder a </w:t>
      </w:r>
      <w:r>
        <w:t xml:space="preserve">van het </w:t>
      </w:r>
      <w:r w:rsidRPr="00543CE7">
        <w:t xml:space="preserve">VwEU bevat een bepaling die er toe ziet dat de staatssteuntegels met betrekking tot UPG’s een minder strenge toepassing </w:t>
      </w:r>
      <w:r>
        <w:t>(</w:t>
      </w:r>
      <w:r w:rsidRPr="00543CE7">
        <w:t>kunnen</w:t>
      </w:r>
      <w:r>
        <w:t>)</w:t>
      </w:r>
      <w:r w:rsidRPr="00543CE7">
        <w:t xml:space="preserve"> vinden. De Raad is krachtens dit artikel bevoegd om op voorstel </w:t>
      </w:r>
      <w:r w:rsidRPr="00543CE7">
        <w:lastRenderedPageBreak/>
        <w:t xml:space="preserve">van de Commissie </w:t>
      </w:r>
      <w:r w:rsidRPr="00543CE7">
        <w:rPr>
          <w:rFonts w:cs="EUAlbertina"/>
        </w:rPr>
        <w:t>rekening te houden met de structurele, economische en sociale situatie van de in artikel 349 bedoelde regio</w:t>
      </w:r>
      <w:r>
        <w:rPr>
          <w:rFonts w:cs="EUAlbertina"/>
        </w:rPr>
        <w:t>’</w:t>
      </w:r>
      <w:r w:rsidRPr="00543CE7">
        <w:rPr>
          <w:rFonts w:cs="EUAlbertina"/>
        </w:rPr>
        <w:t>s en</w:t>
      </w:r>
      <w:r>
        <w:rPr>
          <w:rFonts w:cs="EUAlbertina"/>
        </w:rPr>
        <w:t xml:space="preserve"> kan</w:t>
      </w:r>
      <w:r w:rsidRPr="00543CE7">
        <w:rPr>
          <w:rFonts w:cs="EUAlbertina"/>
        </w:rPr>
        <w:t xml:space="preserve"> de aan deze regio’s toegewezen </w:t>
      </w:r>
      <w:r w:rsidRPr="00543CE7">
        <w:t>steunmaatregelen</w:t>
      </w:r>
      <w:r>
        <w:t xml:space="preserve"> </w:t>
      </w:r>
      <w:r w:rsidRPr="00543CE7">
        <w:t>als veren</w:t>
      </w:r>
      <w:r>
        <w:t>igbaar met de interne markt aanw</w:t>
      </w:r>
      <w:r w:rsidRPr="00543CE7">
        <w:t xml:space="preserve">ijzen. </w:t>
      </w:r>
      <w:r w:rsidRPr="00500457">
        <w:t xml:space="preserve">In hoofdstuk </w:t>
      </w:r>
      <w:r>
        <w:t xml:space="preserve">vier </w:t>
      </w:r>
      <w:r w:rsidRPr="00500457">
        <w:t>kom ik op dit onderwerp terug</w:t>
      </w:r>
      <w:r>
        <w:t>.</w:t>
      </w:r>
      <w:r w:rsidRPr="00500457">
        <w:t xml:space="preserve"> </w:t>
      </w:r>
      <w:r>
        <w:rPr>
          <w:rStyle w:val="FootnoteReference"/>
          <w:rFonts w:cs="Arial"/>
        </w:rPr>
        <w:footnoteReference w:id="223"/>
      </w:r>
      <w:r>
        <w:t xml:space="preserve"> </w:t>
      </w:r>
    </w:p>
    <w:p w:rsidR="00A64945" w:rsidRPr="00543CE7" w:rsidRDefault="00A64945" w:rsidP="00B6772C">
      <w:pPr>
        <w:autoSpaceDE w:val="0"/>
        <w:autoSpaceDN w:val="0"/>
        <w:adjustRightInd w:val="0"/>
        <w:spacing w:after="0" w:line="360" w:lineRule="auto"/>
        <w:jc w:val="both"/>
      </w:pPr>
      <w:r>
        <w:t>Een andere uitzondering op het reguliere staatssteunbeleid vormt de zogenoemde De- minimissteun. Deze vorm van staatssteun komt in de volgende subparagraaf aan de orde.</w:t>
      </w:r>
    </w:p>
    <w:p w:rsidR="00A64945" w:rsidRDefault="00A64945" w:rsidP="00B6772C">
      <w:pPr>
        <w:pStyle w:val="Heading4"/>
        <w:spacing w:before="0" w:line="360" w:lineRule="auto"/>
        <w:jc w:val="both"/>
      </w:pPr>
      <w:bookmarkStart w:id="65" w:name="_Toc287433446"/>
    </w:p>
    <w:p w:rsidR="00A64945" w:rsidRPr="00A92858" w:rsidRDefault="00A64945" w:rsidP="00B6772C">
      <w:pPr>
        <w:pStyle w:val="Heading4"/>
        <w:spacing w:before="0" w:line="360" w:lineRule="auto"/>
        <w:jc w:val="both"/>
      </w:pPr>
      <w:bookmarkStart w:id="66" w:name="_Toc299634289"/>
      <w:r>
        <w:t>§2</w:t>
      </w:r>
      <w:r w:rsidRPr="00A92858">
        <w:t>.</w:t>
      </w:r>
      <w:r>
        <w:t>5</w:t>
      </w:r>
      <w:r w:rsidRPr="00A92858">
        <w:t>.2.</w:t>
      </w:r>
      <w:r>
        <w:t>2</w:t>
      </w:r>
      <w:r w:rsidRPr="00A92858">
        <w:t>. De- Minimissteun</w:t>
      </w:r>
      <w:bookmarkEnd w:id="65"/>
      <w:bookmarkEnd w:id="66"/>
    </w:p>
    <w:p w:rsidR="00A64945" w:rsidRPr="00915D57" w:rsidRDefault="00A64945" w:rsidP="00B6772C">
      <w:pPr>
        <w:spacing w:after="0" w:line="360" w:lineRule="auto"/>
        <w:jc w:val="both"/>
      </w:pPr>
      <w:r w:rsidRPr="00A63F8E">
        <w:t>Krachtens art. 108, lid 3 VwEU  zijn lidstaten verplicht een voorgenomen invoering of wijziging van een</w:t>
      </w:r>
      <w:r>
        <w:t xml:space="preserve"> steunmaatregel te melden bij de EC zodat de verenigbaarheid van deze maatregel met de gemeenschappelijke markt op grond van de </w:t>
      </w:r>
      <w:r w:rsidRPr="00BD329A">
        <w:t>criteria van art. 107, lid 1 VwEU</w:t>
      </w:r>
      <w:r>
        <w:t xml:space="preserve"> kan worden beoordeeld</w:t>
      </w:r>
      <w:r w:rsidRPr="00BD329A">
        <w:t>. Bij Verordening (EG) nr. 994/98 is de EC echter gemachtigd om bij</w:t>
      </w:r>
      <w:r>
        <w:t xml:space="preserve"> verordening een drempel vast te stellen waaronder steunmaatregelen worden geacht niet aan alle</w:t>
      </w:r>
      <w:r>
        <w:rPr>
          <w:rStyle w:val="FootnoteReference"/>
          <w:rFonts w:cs="Arial"/>
        </w:rPr>
        <w:footnoteReference w:id="224"/>
      </w:r>
      <w:r>
        <w:t xml:space="preserve"> criteria van art. 87, lid 1 EG, thans art. 107, lid 1 VwEU, te voldoen.</w:t>
      </w:r>
      <w:r>
        <w:rPr>
          <w:rStyle w:val="FootnoteReference"/>
          <w:rFonts w:cs="Arial"/>
        </w:rPr>
        <w:footnoteReference w:id="225"/>
      </w:r>
      <w:r w:rsidRPr="00FA57B0">
        <w:t xml:space="preserve"> </w:t>
      </w:r>
      <w:r>
        <w:t>Dit heeft de EC doormiddel van de zogenoemde De- minimisverordening gedaan.</w:t>
      </w:r>
      <w:r w:rsidRPr="00FA57B0">
        <w:rPr>
          <w:rStyle w:val="FootnoteReference"/>
          <w:rFonts w:cs="Arial"/>
        </w:rPr>
        <w:t xml:space="preserve"> </w:t>
      </w:r>
      <w:r>
        <w:rPr>
          <w:rStyle w:val="FootnoteReference"/>
          <w:rFonts w:cs="Arial"/>
        </w:rPr>
        <w:footnoteReference w:id="226"/>
      </w:r>
      <w:r w:rsidRPr="00FA57B0">
        <w:t xml:space="preserve"> </w:t>
      </w:r>
      <w:r>
        <w:t>Steun waarvan het bedrag over een periode van drie jaar een plafond van 200.000 Euro niet te boven gaat, wordt op grond van deze verordening geacht het handelsverkeer tussen de lidstaten niet ongunstig te beïnvloeden en de mededinging niet te vervalsen of dreigen te vervalsen, zodat deze steun niet onder art. 107 VwEU.</w:t>
      </w:r>
      <w:r>
        <w:rPr>
          <w:rStyle w:val="FootnoteReference"/>
          <w:rFonts w:cs="Arial"/>
        </w:rPr>
        <w:footnoteReference w:id="227"/>
      </w:r>
      <w:r>
        <w:t xml:space="preserve">  </w:t>
      </w:r>
      <w:r w:rsidRPr="00915D57">
        <w:rPr>
          <w:rFonts w:cs="TTE5FF4868t00"/>
        </w:rPr>
        <w:t xml:space="preserve">Voor ondernemingen die in het wegvervoer opereren geldt een </w:t>
      </w:r>
      <w:r>
        <w:rPr>
          <w:rFonts w:cs="TTE5FF4868t00"/>
        </w:rPr>
        <w:t xml:space="preserve">plafond van </w:t>
      </w:r>
      <w:r w:rsidRPr="00915D57">
        <w:rPr>
          <w:rFonts w:cs="TTE5FF4868t00"/>
        </w:rPr>
        <w:t>100.000</w:t>
      </w:r>
      <w:r>
        <w:rPr>
          <w:rFonts w:cs="TTE5FF4868t00"/>
        </w:rPr>
        <w:t xml:space="preserve"> Euro</w:t>
      </w:r>
      <w:r w:rsidRPr="00915D57">
        <w:rPr>
          <w:rFonts w:cs="TTE5FF4868t00"/>
        </w:rPr>
        <w:t>.</w:t>
      </w:r>
      <w:r w:rsidRPr="00915D57">
        <w:rPr>
          <w:rFonts w:ascii="TTE5FF4868t00" w:hAnsi="TTE5FF4868t00" w:cs="TTE5FF4868t00"/>
          <w:sz w:val="24"/>
          <w:szCs w:val="24"/>
        </w:rPr>
        <w:t xml:space="preserve"> </w:t>
      </w:r>
      <w:r>
        <w:t xml:space="preserve">Aangezien dergelijke steunmaatregelen niet onder art. 107, lid 1 VwEU vallen, zijn deze steunmaatregelen niet onderworpen aan de </w:t>
      </w:r>
      <w:r w:rsidRPr="00A63F8E">
        <w:t>aanmeldingsprocedure van art. 108, lid 3 VwEU en behoeven</w:t>
      </w:r>
      <w:r>
        <w:t xml:space="preserve"> zij </w:t>
      </w:r>
      <w:r w:rsidRPr="00A63F8E">
        <w:t>niet aangemeld te worden</w:t>
      </w:r>
      <w:r>
        <w:t xml:space="preserve"> bij de EC</w:t>
      </w:r>
      <w:r w:rsidRPr="00A63F8E">
        <w:t>.</w:t>
      </w:r>
      <w:r>
        <w:rPr>
          <w:rStyle w:val="FootnoteReference"/>
          <w:rFonts w:cs="Arial"/>
        </w:rPr>
        <w:footnoteReference w:id="228"/>
      </w:r>
      <w:r w:rsidRPr="00A63F8E">
        <w:t xml:space="preserve"> </w:t>
      </w:r>
      <w:r w:rsidRPr="00A63F8E">
        <w:rPr>
          <w:rFonts w:cs="TTE5FF4868t00"/>
        </w:rPr>
        <w:t>De voor de</w:t>
      </w:r>
      <w:r w:rsidRPr="00915D57">
        <w:rPr>
          <w:rFonts w:cs="TTE5FF4868t00"/>
        </w:rPr>
        <w:t xml:space="preserve"> berekening van het plafond in aanmerking te nemen</w:t>
      </w:r>
      <w:r>
        <w:rPr>
          <w:rFonts w:cs="TTE5FF4868t00"/>
        </w:rPr>
        <w:t xml:space="preserve"> </w:t>
      </w:r>
      <w:r w:rsidRPr="00915D57">
        <w:rPr>
          <w:rFonts w:cs="TTE5FF4868t00"/>
        </w:rPr>
        <w:t>jaren zijn de belastingjaren die conform de nationale wetgeving van de betrokken lidstaat</w:t>
      </w:r>
      <w:r>
        <w:rPr>
          <w:rFonts w:cs="TTE5FF4868t00"/>
        </w:rPr>
        <w:t xml:space="preserve"> </w:t>
      </w:r>
      <w:r w:rsidRPr="00915D57">
        <w:rPr>
          <w:rFonts w:cs="TTE5FF4868t00"/>
        </w:rPr>
        <w:t xml:space="preserve">toepasbaar </w:t>
      </w:r>
      <w:r>
        <w:rPr>
          <w:rFonts w:cs="TTE5FF4868t00"/>
        </w:rPr>
        <w:t>zijn</w:t>
      </w:r>
      <w:r w:rsidRPr="00915D57">
        <w:rPr>
          <w:rFonts w:cs="TTE5FF4868t00"/>
        </w:rPr>
        <w:t xml:space="preserve"> op de desbetreffende onderneming.</w:t>
      </w:r>
      <w:r>
        <w:rPr>
          <w:rStyle w:val="FootnoteReference"/>
          <w:rFonts w:cs="TTE5FF4868t00"/>
        </w:rPr>
        <w:footnoteReference w:id="229"/>
      </w:r>
    </w:p>
    <w:p w:rsidR="00A64945" w:rsidRDefault="00A64945" w:rsidP="00B6772C">
      <w:pPr>
        <w:spacing w:after="0" w:line="360" w:lineRule="auto"/>
        <w:jc w:val="both"/>
      </w:pPr>
      <w:r>
        <w:t>Om misbuik te voorkomen wordt steun enkel als de- minimissteun aangemerkt als het gaat om transparante steun.</w:t>
      </w:r>
      <w:r>
        <w:rPr>
          <w:rStyle w:val="FootnoteReference"/>
          <w:rFonts w:cs="Arial"/>
        </w:rPr>
        <w:footnoteReference w:id="230"/>
      </w:r>
      <w:r>
        <w:t xml:space="preserve"> Hiervan is sprake indien de omvang van de toe te kennen steun van te voren, </w:t>
      </w:r>
      <w:r>
        <w:lastRenderedPageBreak/>
        <w:t>dus voorafgaande aan het verlenen van de steun, precies kan worden vastgesteld, zonder dat er een risicoanalyse behoeft te worden uitgevoerd. Een voorbeeld is het verlenen van  steun in de vorm van leningen, waarbij voor het berekenen van het bedrag de marktrente is gebruikt die van toepassing is op het tijdstip dat de lening is toegekend</w:t>
      </w:r>
      <w:r>
        <w:rPr>
          <w:rStyle w:val="FootnoteReference"/>
          <w:rFonts w:cs="Arial"/>
        </w:rPr>
        <w:footnoteReference w:id="231"/>
      </w:r>
      <w:r>
        <w:t>.</w:t>
      </w:r>
      <w:r>
        <w:rPr>
          <w:rStyle w:val="FootnoteReference"/>
          <w:rFonts w:cs="Arial"/>
        </w:rPr>
        <w:footnoteReference w:id="232"/>
      </w:r>
    </w:p>
    <w:p w:rsidR="00A64945" w:rsidRDefault="00A64945" w:rsidP="00B6772C">
      <w:pPr>
        <w:spacing w:after="0" w:line="360" w:lineRule="auto"/>
        <w:jc w:val="both"/>
      </w:pPr>
      <w:r>
        <w:t>Het toepassingsgebied van de de- minimissteun reikt zich uit tot ondernemingen in alle sectoren, met uitzondering van onder andere de sectoren visserij en aquacultuur</w:t>
      </w:r>
      <w:r>
        <w:rPr>
          <w:rStyle w:val="FootnoteReference"/>
          <w:rFonts w:cs="Arial"/>
        </w:rPr>
        <w:footnoteReference w:id="233"/>
      </w:r>
      <w:r>
        <w:t xml:space="preserve"> en ondernemingen die in de primaire producten van bepaalde landbouwproducten actief zijn.</w:t>
      </w:r>
      <w:r>
        <w:rPr>
          <w:rStyle w:val="FootnoteReference"/>
          <w:rFonts w:cs="Arial"/>
        </w:rPr>
        <w:footnoteReference w:id="234"/>
      </w:r>
    </w:p>
    <w:p w:rsidR="00A64945" w:rsidRDefault="00A64945" w:rsidP="009173EC">
      <w:pPr>
        <w:pStyle w:val="Heading1"/>
        <w:spacing w:before="0"/>
        <w:jc w:val="both"/>
        <w:rPr>
          <w:rFonts w:ascii="Calibri" w:hAnsi="Calibri"/>
          <w:color w:val="auto"/>
        </w:rPr>
      </w:pPr>
      <w:bookmarkStart w:id="67" w:name="_Toc286233822"/>
    </w:p>
    <w:p w:rsidR="00A64945" w:rsidRPr="00795169" w:rsidRDefault="00A64945" w:rsidP="009173EC">
      <w:pPr>
        <w:pStyle w:val="Heading1"/>
        <w:spacing w:before="0"/>
        <w:jc w:val="both"/>
        <w:rPr>
          <w:rFonts w:ascii="Calibri" w:hAnsi="Calibri"/>
          <w:color w:val="auto"/>
        </w:rPr>
      </w:pPr>
      <w:bookmarkStart w:id="68" w:name="_Toc299634290"/>
      <w:r w:rsidRPr="00795169">
        <w:rPr>
          <w:rFonts w:ascii="Calibri" w:hAnsi="Calibri"/>
          <w:color w:val="auto"/>
        </w:rPr>
        <w:t>H3. Het Curaçaose E- Zoneregime</w:t>
      </w:r>
      <w:bookmarkEnd w:id="67"/>
      <w:bookmarkEnd w:id="68"/>
    </w:p>
    <w:p w:rsidR="00A64945" w:rsidRPr="00795169" w:rsidRDefault="00A64945" w:rsidP="009173EC">
      <w:pPr>
        <w:pStyle w:val="Heading2"/>
        <w:spacing w:before="0" w:line="360" w:lineRule="auto"/>
        <w:jc w:val="both"/>
        <w:rPr>
          <w:color w:val="auto"/>
        </w:rPr>
      </w:pPr>
    </w:p>
    <w:p w:rsidR="00A64945" w:rsidRPr="00535918" w:rsidRDefault="00A64945" w:rsidP="009173EC">
      <w:pPr>
        <w:pStyle w:val="Heading2"/>
        <w:spacing w:before="0" w:line="360" w:lineRule="auto"/>
        <w:jc w:val="both"/>
        <w:rPr>
          <w:color w:val="auto"/>
        </w:rPr>
      </w:pPr>
      <w:bookmarkStart w:id="69" w:name="_Toc286233823"/>
      <w:bookmarkStart w:id="70" w:name="_Toc299634291"/>
      <w:r>
        <w:rPr>
          <w:color w:val="auto"/>
        </w:rPr>
        <w:t>§3</w:t>
      </w:r>
      <w:r w:rsidRPr="00535918">
        <w:rPr>
          <w:color w:val="auto"/>
        </w:rPr>
        <w:t>.1. Inleiding</w:t>
      </w:r>
      <w:bookmarkEnd w:id="69"/>
      <w:bookmarkEnd w:id="70"/>
    </w:p>
    <w:p w:rsidR="00A64945" w:rsidRDefault="00A64945" w:rsidP="009173EC">
      <w:pPr>
        <w:autoSpaceDE w:val="0"/>
        <w:autoSpaceDN w:val="0"/>
        <w:adjustRightInd w:val="0"/>
        <w:spacing w:after="0" w:line="360" w:lineRule="auto"/>
        <w:jc w:val="both"/>
        <w:rPr>
          <w:iCs/>
          <w:color w:val="000000"/>
        </w:rPr>
      </w:pPr>
      <w:r w:rsidRPr="00ED2E60">
        <w:rPr>
          <w:iCs/>
          <w:color w:val="000000"/>
        </w:rPr>
        <w:t xml:space="preserve">De </w:t>
      </w:r>
      <w:r>
        <w:rPr>
          <w:iCs/>
          <w:color w:val="000000"/>
        </w:rPr>
        <w:t xml:space="preserve">Curaçaose </w:t>
      </w:r>
      <w:r w:rsidRPr="00ED2E60">
        <w:rPr>
          <w:iCs/>
          <w:color w:val="000000"/>
        </w:rPr>
        <w:t>economische zone is gebaseerd op het c</w:t>
      </w:r>
      <w:r>
        <w:rPr>
          <w:iCs/>
          <w:color w:val="000000"/>
        </w:rPr>
        <w:t xml:space="preserve">oncept van de vrije zone. Dit concept is gegrond op de hoofdregel dat bij </w:t>
      </w:r>
      <w:r w:rsidRPr="00ED2E60">
        <w:rPr>
          <w:iCs/>
          <w:color w:val="000000"/>
        </w:rPr>
        <w:t>invoer van goederen uit het buitenland in de vrije zone, heffing van invoerrechten achterwege</w:t>
      </w:r>
      <w:r w:rsidRPr="00AA70B7">
        <w:rPr>
          <w:iCs/>
          <w:color w:val="000000"/>
        </w:rPr>
        <w:t xml:space="preserve"> </w:t>
      </w:r>
      <w:r w:rsidRPr="00ED2E60">
        <w:rPr>
          <w:iCs/>
          <w:color w:val="000000"/>
        </w:rPr>
        <w:t xml:space="preserve">blijft. Het doel hiervan is </w:t>
      </w:r>
      <w:r>
        <w:rPr>
          <w:iCs/>
          <w:color w:val="000000"/>
        </w:rPr>
        <w:t xml:space="preserve">om </w:t>
      </w:r>
      <w:r w:rsidRPr="00ED2E60">
        <w:rPr>
          <w:iCs/>
          <w:color w:val="000000"/>
        </w:rPr>
        <w:t xml:space="preserve">de internationale goederenhandel te stimuleren. </w:t>
      </w:r>
    </w:p>
    <w:p w:rsidR="00A64945" w:rsidRDefault="00A64945" w:rsidP="009173EC">
      <w:pPr>
        <w:autoSpaceDE w:val="0"/>
        <w:autoSpaceDN w:val="0"/>
        <w:adjustRightInd w:val="0"/>
        <w:spacing w:after="0" w:line="360" w:lineRule="auto"/>
        <w:jc w:val="both"/>
        <w:rPr>
          <w:iCs/>
          <w:color w:val="000000"/>
        </w:rPr>
      </w:pPr>
      <w:r w:rsidRPr="00ED2E60">
        <w:rPr>
          <w:iCs/>
          <w:color w:val="000000"/>
        </w:rPr>
        <w:t>In 1948 stelde Pan</w:t>
      </w:r>
      <w:r>
        <w:rPr>
          <w:iCs/>
          <w:color w:val="000000"/>
        </w:rPr>
        <w:t xml:space="preserve">ama als eerste land in Centraal- </w:t>
      </w:r>
      <w:r w:rsidRPr="00ED2E60">
        <w:rPr>
          <w:iCs/>
          <w:color w:val="000000"/>
        </w:rPr>
        <w:t>Amerika een vrije zone in. Panama</w:t>
      </w:r>
      <w:r>
        <w:rPr>
          <w:iCs/>
          <w:color w:val="000000"/>
        </w:rPr>
        <w:t xml:space="preserve"> beoogde</w:t>
      </w:r>
      <w:r w:rsidRPr="00ED2E60">
        <w:rPr>
          <w:iCs/>
          <w:color w:val="000000"/>
        </w:rPr>
        <w:t xml:space="preserve"> met deze vrije zone handelsactiviteiten rond het recent geopende Panamakanaal te stimuleren. Internationale handels- en distributieondernemingen konden in de vrije zone van Cólon</w:t>
      </w:r>
      <w:r>
        <w:rPr>
          <w:rStyle w:val="FootnoteReference"/>
          <w:rFonts w:cs="Arial"/>
          <w:iCs/>
          <w:color w:val="000000"/>
        </w:rPr>
        <w:footnoteReference w:id="235"/>
      </w:r>
      <w:r w:rsidRPr="00ED2E60">
        <w:rPr>
          <w:iCs/>
          <w:color w:val="000000"/>
        </w:rPr>
        <w:t xml:space="preserve"> profiteren van een strategische locatie onder het genot van douanefaciliteiten en lage winstbelastingtarieven. De vrije zone van Cólon</w:t>
      </w:r>
      <w:r>
        <w:rPr>
          <w:iCs/>
          <w:color w:val="000000"/>
        </w:rPr>
        <w:t xml:space="preserve">  was een groot succes en maakte van Panama een trendzetter. </w:t>
      </w:r>
      <w:r w:rsidRPr="00166713">
        <w:rPr>
          <w:iCs/>
          <w:color w:val="000000"/>
        </w:rPr>
        <w:t>Het bracht in de regio een kettingreactie te weeg. Het ene na het andere (ei)land</w:t>
      </w:r>
      <w:r w:rsidRPr="00166713">
        <w:rPr>
          <w:rStyle w:val="FootnoteReference"/>
          <w:rFonts w:cs="Arial"/>
        </w:rPr>
        <w:footnoteReference w:id="236"/>
      </w:r>
      <w:r w:rsidRPr="00166713">
        <w:rPr>
          <w:iCs/>
          <w:color w:val="000000"/>
          <w:vertAlign w:val="superscript"/>
        </w:rPr>
        <w:t xml:space="preserve"> </w:t>
      </w:r>
      <w:r w:rsidRPr="00166713">
        <w:rPr>
          <w:iCs/>
          <w:color w:val="000000"/>
        </w:rPr>
        <w:t xml:space="preserve"> trachtte de Panamese vrije zone te imiteren in de hoop zich een deel van de </w:t>
      </w:r>
      <w:r>
        <w:rPr>
          <w:iCs/>
          <w:color w:val="000000"/>
        </w:rPr>
        <w:t>internationale handels</w:t>
      </w:r>
      <w:r w:rsidRPr="00166713">
        <w:rPr>
          <w:iCs/>
          <w:color w:val="000000"/>
        </w:rPr>
        <w:t xml:space="preserve">markt eigen te kunnen maken. </w:t>
      </w:r>
    </w:p>
    <w:p w:rsidR="00A64945" w:rsidRPr="00085040" w:rsidRDefault="00A64945" w:rsidP="009173EC">
      <w:pPr>
        <w:autoSpaceDE w:val="0"/>
        <w:autoSpaceDN w:val="0"/>
        <w:adjustRightInd w:val="0"/>
        <w:spacing w:after="0" w:line="360" w:lineRule="auto"/>
        <w:jc w:val="both"/>
        <w:rPr>
          <w:iCs/>
          <w:color w:val="000000"/>
        </w:rPr>
      </w:pPr>
      <w:r>
        <w:rPr>
          <w:iCs/>
          <w:color w:val="000000"/>
        </w:rPr>
        <w:t>In 1956 deed ook de Nederlandse Antillen een poging tot het oprichten van een vrije zone. De wet die dat mogelijk maakte was de Landsverordening vrije zones 1956.</w:t>
      </w:r>
      <w:r>
        <w:rPr>
          <w:rStyle w:val="FootnoteReference"/>
          <w:rFonts w:cs="Arial"/>
          <w:iCs/>
          <w:color w:val="000000"/>
        </w:rPr>
        <w:footnoteReference w:id="237"/>
      </w:r>
      <w:r>
        <w:rPr>
          <w:iCs/>
          <w:color w:val="000000"/>
        </w:rPr>
        <w:t xml:space="preserve"> Deze landsverordening leidde </w:t>
      </w:r>
      <w:r>
        <w:rPr>
          <w:iCs/>
          <w:color w:val="000000"/>
        </w:rPr>
        <w:lastRenderedPageBreak/>
        <w:t>niet tot het verwachte succes. Dat werd veroorzaakt door een aantal (knel)punten die aan deze landsverordening ten grondslag lagen.</w:t>
      </w:r>
      <w:r>
        <w:rPr>
          <w:rStyle w:val="FootnoteReference"/>
          <w:rFonts w:cs="Arial"/>
          <w:iCs/>
          <w:color w:val="000000"/>
        </w:rPr>
        <w:footnoteReference w:id="238"/>
      </w:r>
      <w:r>
        <w:rPr>
          <w:iCs/>
          <w:color w:val="000000"/>
        </w:rPr>
        <w:t xml:space="preserve"> </w:t>
      </w:r>
      <w:r w:rsidRPr="00ED2E60">
        <w:rPr>
          <w:iCs/>
          <w:color w:val="000000"/>
        </w:rPr>
        <w:t xml:space="preserve">De vrije zone van de </w:t>
      </w:r>
      <w:r>
        <w:rPr>
          <w:iCs/>
          <w:color w:val="000000"/>
        </w:rPr>
        <w:t>Nederlandse Antillen</w:t>
      </w:r>
      <w:r w:rsidRPr="00ED2E60">
        <w:rPr>
          <w:iCs/>
          <w:color w:val="000000"/>
        </w:rPr>
        <w:t xml:space="preserve"> ging met de Landsverordening</w:t>
      </w:r>
      <w:r>
        <w:rPr>
          <w:iCs/>
          <w:color w:val="000000"/>
        </w:rPr>
        <w:t xml:space="preserve"> vrije zones</w:t>
      </w:r>
      <w:r w:rsidRPr="00ED2E60">
        <w:rPr>
          <w:iCs/>
          <w:color w:val="000000"/>
        </w:rPr>
        <w:t xml:space="preserve"> 1975</w:t>
      </w:r>
      <w:r w:rsidRPr="00150833">
        <w:rPr>
          <w:rStyle w:val="FootnoteReference"/>
          <w:rFonts w:cs="Arial"/>
        </w:rPr>
        <w:footnoteReference w:id="239"/>
      </w:r>
      <w:r w:rsidRPr="00ED2E60">
        <w:rPr>
          <w:iCs/>
          <w:color w:val="000000"/>
        </w:rPr>
        <w:t xml:space="preserve"> in de herkansing (hierna</w:t>
      </w:r>
      <w:r>
        <w:rPr>
          <w:iCs/>
          <w:color w:val="000000"/>
        </w:rPr>
        <w:t>:</w:t>
      </w:r>
      <w:r w:rsidRPr="00ED2E60">
        <w:rPr>
          <w:iCs/>
          <w:color w:val="000000"/>
        </w:rPr>
        <w:t xml:space="preserve"> LVZ 1975).</w:t>
      </w:r>
      <w:r w:rsidRPr="00EE1844">
        <w:t xml:space="preserve"> </w:t>
      </w:r>
      <w:r>
        <w:t>Begin</w:t>
      </w:r>
      <w:r w:rsidRPr="00BE5B85">
        <w:t xml:space="preserve"> 2001 is op de </w:t>
      </w:r>
      <w:r>
        <w:t>Nederlandse Antillen</w:t>
      </w:r>
      <w:r w:rsidRPr="00BE5B85">
        <w:t xml:space="preserve"> de Landsverordening economische zones 2000 van kracht geworden (hierna</w:t>
      </w:r>
      <w:r>
        <w:t>:</w:t>
      </w:r>
      <w:r w:rsidRPr="00BE5B85">
        <w:t xml:space="preserve"> LEZ 2000).</w:t>
      </w:r>
      <w:r w:rsidRPr="00BE5B85">
        <w:rPr>
          <w:rStyle w:val="FootnoteReference"/>
          <w:rFonts w:cs="Arial"/>
        </w:rPr>
        <w:footnoteReference w:id="240"/>
      </w:r>
      <w:r>
        <w:t xml:space="preserve"> De LEZ 2000 komt in de volgende paragraaf aan de orde.</w:t>
      </w:r>
    </w:p>
    <w:p w:rsidR="00A64945" w:rsidRDefault="00A64945" w:rsidP="009173EC">
      <w:pPr>
        <w:pStyle w:val="Heading2"/>
        <w:spacing w:before="0" w:line="360" w:lineRule="auto"/>
        <w:jc w:val="both"/>
        <w:rPr>
          <w:color w:val="auto"/>
        </w:rPr>
      </w:pPr>
      <w:bookmarkStart w:id="71" w:name="_Toc286233824"/>
    </w:p>
    <w:p w:rsidR="00A64945" w:rsidRDefault="00A64945">
      <w:pPr>
        <w:spacing w:after="0" w:line="240" w:lineRule="auto"/>
        <w:rPr>
          <w:rFonts w:cs="Times New Roman"/>
          <w:b/>
          <w:bCs/>
          <w:sz w:val="26"/>
          <w:szCs w:val="26"/>
        </w:rPr>
      </w:pPr>
      <w:r>
        <w:br w:type="page"/>
      </w:r>
    </w:p>
    <w:p w:rsidR="00A64945" w:rsidRDefault="00A64945" w:rsidP="009173EC">
      <w:pPr>
        <w:pStyle w:val="Heading2"/>
        <w:spacing w:before="0" w:line="360" w:lineRule="auto"/>
        <w:jc w:val="both"/>
        <w:rPr>
          <w:color w:val="auto"/>
        </w:rPr>
      </w:pPr>
      <w:bookmarkStart w:id="72" w:name="_Toc299634292"/>
      <w:r>
        <w:rPr>
          <w:color w:val="auto"/>
        </w:rPr>
        <w:t xml:space="preserve">§3.2. </w:t>
      </w:r>
      <w:r w:rsidRPr="00B709C0">
        <w:rPr>
          <w:color w:val="auto"/>
        </w:rPr>
        <w:t>Landsverordening Economische Zones 2000</w:t>
      </w:r>
      <w:bookmarkEnd w:id="71"/>
      <w:bookmarkEnd w:id="72"/>
    </w:p>
    <w:p w:rsidR="00A64945" w:rsidRPr="00E70463" w:rsidRDefault="00A64945" w:rsidP="009173EC"/>
    <w:p w:rsidR="00A64945" w:rsidRPr="00654684" w:rsidRDefault="00A64945" w:rsidP="009173EC">
      <w:pPr>
        <w:pStyle w:val="Heading3"/>
        <w:spacing w:before="0" w:line="360" w:lineRule="auto"/>
        <w:jc w:val="both"/>
      </w:pPr>
      <w:bookmarkStart w:id="73" w:name="_Toc286233825"/>
      <w:bookmarkStart w:id="74" w:name="_Toc299634293"/>
      <w:r w:rsidRPr="00654684">
        <w:t>§</w:t>
      </w:r>
      <w:r>
        <w:t>3</w:t>
      </w:r>
      <w:r w:rsidRPr="00654684">
        <w:t>.2.1. Inleiding</w:t>
      </w:r>
      <w:bookmarkEnd w:id="73"/>
      <w:bookmarkEnd w:id="74"/>
    </w:p>
    <w:p w:rsidR="00A64945" w:rsidRPr="00ED2E60" w:rsidRDefault="00A64945" w:rsidP="009173EC">
      <w:pPr>
        <w:spacing w:line="360" w:lineRule="auto"/>
        <w:jc w:val="both"/>
      </w:pPr>
      <w:r w:rsidRPr="00ED2E60">
        <w:t xml:space="preserve">In 2001 is de LVZ 1975 vervangen door de </w:t>
      </w:r>
      <w:r>
        <w:t>LEZ 2000</w:t>
      </w:r>
      <w:r w:rsidRPr="00ED2E60">
        <w:t>.</w:t>
      </w:r>
      <w:r w:rsidRPr="003F1671">
        <w:rPr>
          <w:rStyle w:val="FootnoteReference"/>
          <w:rFonts w:cs="Arial"/>
        </w:rPr>
        <w:footnoteReference w:id="241"/>
      </w:r>
      <w:r w:rsidRPr="00ED2E60">
        <w:t xml:space="preserve"> De aanleiding voor het vervangen van de LVZ 1975 waren de aanbevelingen va</w:t>
      </w:r>
      <w:r>
        <w:t xml:space="preserve">n de invloedrijke projectgroep </w:t>
      </w:r>
      <w:r w:rsidRPr="00F45198">
        <w:rPr>
          <w:i/>
        </w:rPr>
        <w:t>‘Optimizing the e- commerce</w:t>
      </w:r>
      <w:r w:rsidRPr="00F45198">
        <w:rPr>
          <w:rStyle w:val="FootnoteReference"/>
          <w:rFonts w:cs="Arial"/>
          <w:i/>
        </w:rPr>
        <w:footnoteReference w:id="242"/>
      </w:r>
      <w:r w:rsidRPr="00F45198">
        <w:rPr>
          <w:i/>
        </w:rPr>
        <w:t xml:space="preserve"> infrastructure of Curaçao’</w:t>
      </w:r>
      <w:r w:rsidRPr="00ED2E60">
        <w:t xml:space="preserve">. Teneinde niet achter te blijven met de ontwikkelingen op de </w:t>
      </w:r>
      <w:r>
        <w:t>elektronische handels</w:t>
      </w:r>
      <w:r w:rsidRPr="00ED2E60">
        <w:t>markt werd</w:t>
      </w:r>
      <w:r>
        <w:t xml:space="preserve"> door deze groep</w:t>
      </w:r>
      <w:r w:rsidRPr="00ED2E60">
        <w:t xml:space="preserve"> een aanpassing van het civiele recht aan de eisen van e- commerce aanbevolen. Voorts moest de vrije zonewetgeving zodanig worden aangepast, dat ook e- commer</w:t>
      </w:r>
      <w:r>
        <w:t xml:space="preserve">ceactiviteiten daaronder konden </w:t>
      </w:r>
      <w:r w:rsidRPr="00ED2E60">
        <w:t>classifice</w:t>
      </w:r>
      <w:r>
        <w:t>ren</w:t>
      </w:r>
      <w:r w:rsidRPr="00ED2E60">
        <w:t>.</w:t>
      </w:r>
      <w:r>
        <w:t xml:space="preserve"> De eerste stap om deze doelstellingen te bereiken, werd de invoering van de L</w:t>
      </w:r>
      <w:r w:rsidRPr="00ED2E60">
        <w:t>andsverordening overeenkomsten langs elektronische weg</w:t>
      </w:r>
      <w:r w:rsidRPr="003F1671">
        <w:rPr>
          <w:rStyle w:val="FootnoteReference"/>
          <w:rFonts w:cs="Arial"/>
        </w:rPr>
        <w:footnoteReference w:id="243"/>
      </w:r>
      <w:r>
        <w:t xml:space="preserve"> in 2000.</w:t>
      </w:r>
      <w:r>
        <w:rPr>
          <w:rStyle w:val="FootnoteReference"/>
          <w:rFonts w:cs="Arial"/>
        </w:rPr>
        <w:footnoteReference w:id="244"/>
      </w:r>
      <w:r>
        <w:t xml:space="preserve"> Deze l</w:t>
      </w:r>
      <w:r w:rsidRPr="00866019">
        <w:t xml:space="preserve">andsverordening </w:t>
      </w:r>
      <w:r>
        <w:t xml:space="preserve">verschaft, ten behoeve van e- commerce, een </w:t>
      </w:r>
      <w:r w:rsidRPr="00866019">
        <w:t>juridische infrastructuur.</w:t>
      </w:r>
      <w:r w:rsidRPr="00057F3C">
        <w:rPr>
          <w:rStyle w:val="FootnoteReference"/>
          <w:rFonts w:cs="Arial"/>
        </w:rPr>
        <w:t xml:space="preserve"> </w:t>
      </w:r>
      <w:r>
        <w:rPr>
          <w:rStyle w:val="FootnoteReference"/>
          <w:rFonts w:cs="Arial"/>
        </w:rPr>
        <w:footnoteReference w:id="245"/>
      </w:r>
      <w:r w:rsidRPr="00866019">
        <w:t xml:space="preserve"> </w:t>
      </w:r>
      <w:r w:rsidRPr="00ED2E60">
        <w:t>Wat betreft de belastingheffing was in eerste instantie nog sprake van de invoering van een afzonderlijke faciliteit voor e- commerce naast de reeds bestaande</w:t>
      </w:r>
      <w:r>
        <w:rPr>
          <w:rStyle w:val="FootnoteReference"/>
          <w:rFonts w:cs="Arial"/>
        </w:rPr>
        <w:footnoteReference w:id="246"/>
      </w:r>
      <w:r w:rsidRPr="00ED2E60">
        <w:t xml:space="preserve"> </w:t>
      </w:r>
      <w:r>
        <w:t xml:space="preserve">regeling voor de </w:t>
      </w:r>
      <w:r w:rsidRPr="00ED2E60">
        <w:t>vrije zone. Uiteindelijk is gekozen beide</w:t>
      </w:r>
      <w:r>
        <w:t xml:space="preserve"> regelingen</w:t>
      </w:r>
      <w:r w:rsidRPr="00ED2E60">
        <w:t xml:space="preserve"> onder te brengen in één wettelijke kader: de LEZ 2000.</w:t>
      </w:r>
    </w:p>
    <w:p w:rsidR="00A64945" w:rsidRPr="00AB0203" w:rsidRDefault="00A64945" w:rsidP="009173EC">
      <w:pPr>
        <w:pStyle w:val="Heading3"/>
        <w:spacing w:before="0" w:line="360" w:lineRule="auto"/>
        <w:jc w:val="both"/>
      </w:pPr>
      <w:bookmarkStart w:id="75" w:name="_Toc286233826"/>
      <w:bookmarkStart w:id="76" w:name="_Toc299634294"/>
      <w:r>
        <w:t xml:space="preserve">§3.2.2. Wijzigingen </w:t>
      </w:r>
      <w:r w:rsidRPr="00AB0203">
        <w:t>LEZ 2000</w:t>
      </w:r>
      <w:r>
        <w:t xml:space="preserve"> </w:t>
      </w:r>
      <w:r w:rsidRPr="00AB0203">
        <w:t xml:space="preserve">ten opzichte van </w:t>
      </w:r>
      <w:bookmarkEnd w:id="75"/>
      <w:r w:rsidRPr="00AB0203">
        <w:t>LVZ  1975</w:t>
      </w:r>
      <w:bookmarkEnd w:id="76"/>
    </w:p>
    <w:p w:rsidR="00A64945" w:rsidRDefault="00A64945" w:rsidP="009173EC">
      <w:pPr>
        <w:spacing w:line="360" w:lineRule="auto"/>
        <w:jc w:val="both"/>
      </w:pPr>
      <w:r w:rsidRPr="00ED2E60">
        <w:t xml:space="preserve">De LEZ 2000 is wat betreft uitgangspunten, doelstellingen en vormgeving niet wezenlijk anders dan de LVZ 1975. </w:t>
      </w:r>
      <w:r>
        <w:t>Toch zijn er vier opvallende veranderingen:</w:t>
      </w:r>
    </w:p>
    <w:p w:rsidR="00A64945" w:rsidRPr="00ED2E60" w:rsidRDefault="00A64945" w:rsidP="009173EC">
      <w:pPr>
        <w:pStyle w:val="ListParagraph"/>
        <w:numPr>
          <w:ilvl w:val="0"/>
          <w:numId w:val="10"/>
        </w:numPr>
        <w:spacing w:line="360" w:lineRule="auto"/>
        <w:jc w:val="both"/>
      </w:pPr>
      <w:r>
        <w:t>De naam ‘vrije zone’ is gewijzigd in ‘economische zone’</w:t>
      </w:r>
      <w:r w:rsidRPr="00ED2E60">
        <w:t>;</w:t>
      </w:r>
    </w:p>
    <w:p w:rsidR="00A64945" w:rsidRPr="00ED2E60" w:rsidRDefault="00A64945" w:rsidP="009173EC">
      <w:pPr>
        <w:pStyle w:val="ListParagraph"/>
        <w:numPr>
          <w:ilvl w:val="0"/>
          <w:numId w:val="10"/>
        </w:numPr>
        <w:spacing w:line="360" w:lineRule="auto"/>
        <w:jc w:val="both"/>
      </w:pPr>
      <w:r w:rsidRPr="00ED2E60">
        <w:t xml:space="preserve">Een </w:t>
      </w:r>
      <w:r>
        <w:t>versoepeling</w:t>
      </w:r>
      <w:r w:rsidRPr="00ED2E60">
        <w:t xml:space="preserve"> van de eisen </w:t>
      </w:r>
      <w:r>
        <w:t xml:space="preserve">gesteld </w:t>
      </w:r>
      <w:r w:rsidRPr="00ED2E60">
        <w:t>aan de reële economische aanwezigheid (</w:t>
      </w:r>
      <w:r w:rsidRPr="008A6042">
        <w:rPr>
          <w:i/>
        </w:rPr>
        <w:t>substance</w:t>
      </w:r>
      <w:r w:rsidRPr="00ED2E60">
        <w:t>);</w:t>
      </w:r>
    </w:p>
    <w:p w:rsidR="00A64945" w:rsidRPr="00ED2E60" w:rsidRDefault="00A64945" w:rsidP="009173EC">
      <w:pPr>
        <w:pStyle w:val="ListParagraph"/>
        <w:numPr>
          <w:ilvl w:val="0"/>
          <w:numId w:val="10"/>
        </w:numPr>
        <w:spacing w:line="360" w:lineRule="auto"/>
        <w:jc w:val="both"/>
      </w:pPr>
      <w:r w:rsidRPr="00ED2E60">
        <w:t>Het expliciet aanmerken van e- commerce als toegestane activiteit en;</w:t>
      </w:r>
    </w:p>
    <w:p w:rsidR="00A64945" w:rsidRDefault="00A64945" w:rsidP="009173EC">
      <w:pPr>
        <w:pStyle w:val="ListParagraph"/>
        <w:numPr>
          <w:ilvl w:val="0"/>
          <w:numId w:val="10"/>
        </w:numPr>
        <w:spacing w:after="0" w:line="360" w:lineRule="auto"/>
        <w:jc w:val="both"/>
      </w:pPr>
      <w:r w:rsidRPr="00ED2E60">
        <w:t>De wettelijke uitsluiting van een aantal diensten.</w:t>
      </w:r>
    </w:p>
    <w:p w:rsidR="00A64945" w:rsidRPr="007B5116" w:rsidRDefault="00A64945" w:rsidP="009173EC">
      <w:pPr>
        <w:spacing w:after="0"/>
        <w:jc w:val="both"/>
      </w:pPr>
      <w:r>
        <w:t>Elk van bovengenoemde punten worden in de hiernavolgende subparagrafen toegelicht.</w:t>
      </w:r>
    </w:p>
    <w:p w:rsidR="00A64945" w:rsidRDefault="00A64945" w:rsidP="009173EC">
      <w:pPr>
        <w:pStyle w:val="Heading4"/>
        <w:spacing w:before="0" w:line="360" w:lineRule="auto"/>
        <w:jc w:val="both"/>
      </w:pPr>
      <w:bookmarkStart w:id="77" w:name="_Toc286233827"/>
    </w:p>
    <w:p w:rsidR="00A64945" w:rsidRPr="00340B4F" w:rsidRDefault="00A64945" w:rsidP="009173EC">
      <w:pPr>
        <w:pStyle w:val="Heading4"/>
        <w:spacing w:before="0" w:line="360" w:lineRule="auto"/>
        <w:jc w:val="both"/>
      </w:pPr>
      <w:bookmarkStart w:id="78" w:name="_Toc299634295"/>
      <w:r w:rsidRPr="00340B4F">
        <w:t>§</w:t>
      </w:r>
      <w:r>
        <w:t>3</w:t>
      </w:r>
      <w:r w:rsidRPr="00340B4F">
        <w:t>.2.</w:t>
      </w:r>
      <w:r>
        <w:t>2</w:t>
      </w:r>
      <w:r w:rsidRPr="00340B4F">
        <w:t>.1. Naamswijziging: Vrije Zone wordt Economische Zone</w:t>
      </w:r>
      <w:bookmarkEnd w:id="77"/>
      <w:bookmarkEnd w:id="78"/>
    </w:p>
    <w:p w:rsidR="00A64945" w:rsidRPr="00ED2E60" w:rsidRDefault="00A64945" w:rsidP="009173EC">
      <w:pPr>
        <w:spacing w:after="0" w:line="360" w:lineRule="auto"/>
        <w:jc w:val="both"/>
      </w:pPr>
      <w:r>
        <w:t xml:space="preserve">De naam ‘vrije zone’ is gewijzigd </w:t>
      </w:r>
      <w:r w:rsidRPr="00ED2E60">
        <w:t>in ‘ economische zone</w:t>
      </w:r>
      <w:r>
        <w:t>’</w:t>
      </w:r>
      <w:r w:rsidRPr="00ED2E60">
        <w:t>.  Uit de totstandkominggeschiedenis van de LEZ 2000 blijkt dat veel over de</w:t>
      </w:r>
      <w:r>
        <w:t>ze</w:t>
      </w:r>
      <w:r w:rsidRPr="00ED2E60">
        <w:t xml:space="preserve"> naamswijziging is gediscussieerd. </w:t>
      </w:r>
      <w:r w:rsidRPr="00B577F8">
        <w:rPr>
          <w:rStyle w:val="FootnoteReference"/>
          <w:rFonts w:cs="Arial"/>
        </w:rPr>
        <w:footnoteReference w:id="247"/>
      </w:r>
      <w:r>
        <w:t xml:space="preserve"> De gangbare afkorting voor ‘economische zone’ is E- Zone. Tegenwoordig worden de namen Vrije Zone (Free Z</w:t>
      </w:r>
      <w:r w:rsidRPr="00ED2E60">
        <w:t>one) en E- Zone nog altijd door elkaar gebruikt, waarbij de</w:t>
      </w:r>
      <w:r>
        <w:t xml:space="preserve"> economische zones met goederen</w:t>
      </w:r>
      <w:r w:rsidRPr="00ED2E60">
        <w:t>stroom</w:t>
      </w:r>
      <w:r w:rsidRPr="00FA59A1">
        <w:rPr>
          <w:rStyle w:val="FootnoteReference"/>
          <w:rFonts w:cs="Arial"/>
        </w:rPr>
        <w:footnoteReference w:id="248"/>
      </w:r>
      <w:r w:rsidRPr="00ED2E60">
        <w:t xml:space="preserve"> vaak n</w:t>
      </w:r>
      <w:r>
        <w:t>og steeds aangeduid worden als Free Zone e</w:t>
      </w:r>
      <w:r w:rsidRPr="00ED2E60">
        <w:t>n de economische zones zo</w:t>
      </w:r>
      <w:r>
        <w:t xml:space="preserve">nder goederenstroom als E- Zone. </w:t>
      </w:r>
      <w:r w:rsidRPr="00ED2E60">
        <w:t xml:space="preserve">De </w:t>
      </w:r>
      <w:r>
        <w:t>aanduiding van economische zone</w:t>
      </w:r>
      <w:r w:rsidRPr="00ED2E60">
        <w:t xml:space="preserve"> zo</w:t>
      </w:r>
      <w:r>
        <w:t>nder goederenstroom als E- Zone</w:t>
      </w:r>
      <w:r w:rsidRPr="00ED2E60">
        <w:t xml:space="preserve"> kan ten onrechte de indruk wekken dat vanuit een economische zone zonder goederenstroom enkel e- commerce kan worden uitgevoerd. D</w:t>
      </w:r>
      <w:r>
        <w:t>a</w:t>
      </w:r>
      <w:r w:rsidRPr="00ED2E60">
        <w:t>t is echt</w:t>
      </w:r>
      <w:r>
        <w:t>er</w:t>
      </w:r>
      <w:r w:rsidRPr="00ED2E60">
        <w:t xml:space="preserve"> niet </w:t>
      </w:r>
      <w:r>
        <w:t>het geval</w:t>
      </w:r>
      <w:r w:rsidRPr="00ED2E60">
        <w:t>. Ook ondernemingen die bepaalde actieve diensten aanbieden kunnen zic</w:t>
      </w:r>
      <w:r>
        <w:t xml:space="preserve">h in dergelijke zones vestigen. </w:t>
      </w:r>
      <w:r w:rsidRPr="00ED2E60">
        <w:t>Te denken valt bijvoorbeeld aan reclamebedrijven, onderzoeksbureaus en callcenters.</w:t>
      </w:r>
    </w:p>
    <w:p w:rsidR="00A64945" w:rsidRDefault="00A64945" w:rsidP="009173EC">
      <w:pPr>
        <w:pStyle w:val="Heading4"/>
        <w:spacing w:before="0" w:line="360" w:lineRule="auto"/>
        <w:jc w:val="both"/>
      </w:pPr>
    </w:p>
    <w:p w:rsidR="00A64945" w:rsidRPr="006F41C5" w:rsidRDefault="00A64945" w:rsidP="009173EC">
      <w:pPr>
        <w:pStyle w:val="Heading4"/>
        <w:spacing w:before="0" w:line="360" w:lineRule="auto"/>
        <w:jc w:val="both"/>
      </w:pPr>
      <w:r w:rsidRPr="006F41C5">
        <w:t xml:space="preserve"> </w:t>
      </w:r>
      <w:bookmarkStart w:id="79" w:name="_Toc286233828"/>
      <w:bookmarkStart w:id="80" w:name="_Toc299634296"/>
      <w:r w:rsidRPr="00340B4F">
        <w:t>§</w:t>
      </w:r>
      <w:r>
        <w:t>3</w:t>
      </w:r>
      <w:r w:rsidRPr="00340B4F">
        <w:t>.2.</w:t>
      </w:r>
      <w:r>
        <w:t>2</w:t>
      </w:r>
      <w:r w:rsidRPr="00340B4F">
        <w:t>.</w:t>
      </w:r>
      <w:r>
        <w:t>2</w:t>
      </w:r>
      <w:r w:rsidRPr="00340B4F">
        <w:t>.</w:t>
      </w:r>
      <w:r>
        <w:t xml:space="preserve"> </w:t>
      </w:r>
      <w:r w:rsidRPr="006F41C5">
        <w:t>Ver</w:t>
      </w:r>
      <w:r>
        <w:t>soepeling</w:t>
      </w:r>
      <w:r w:rsidRPr="006F41C5">
        <w:t xml:space="preserve"> eisen economische aanwezigheid</w:t>
      </w:r>
      <w:bookmarkEnd w:id="79"/>
      <w:bookmarkEnd w:id="80"/>
    </w:p>
    <w:p w:rsidR="00A64945" w:rsidRDefault="00A64945" w:rsidP="00157B1D">
      <w:pPr>
        <w:spacing w:after="0" w:line="360" w:lineRule="auto"/>
        <w:jc w:val="both"/>
        <w:rPr>
          <w:rFonts w:cs="Times New Roman"/>
        </w:rPr>
      </w:pPr>
      <w:r w:rsidRPr="00ED2E60">
        <w:t xml:space="preserve">Met de LEZ 2000 zijn de </w:t>
      </w:r>
      <w:r>
        <w:t>‘</w:t>
      </w:r>
      <w:r w:rsidRPr="00ED2E60">
        <w:t>substance</w:t>
      </w:r>
      <w:r>
        <w:t xml:space="preserve">’ </w:t>
      </w:r>
      <w:r w:rsidRPr="00ED2E60">
        <w:t xml:space="preserve">vereisten </w:t>
      </w:r>
      <w:r>
        <w:t>om als onderneming in een E- Zone te kunnen opereren,</w:t>
      </w:r>
      <w:r w:rsidRPr="00ED2E60">
        <w:t xml:space="preserve"> aanzienlijk verzacht. Onder de LVZ 1975 </w:t>
      </w:r>
      <w:r>
        <w:t>werd</w:t>
      </w:r>
      <w:r w:rsidRPr="00ED2E60">
        <w:t xml:space="preserve"> van een onderneming verwacht dat zij voldoende zou bijdragen aan de bevordering van de werkgelegenheid</w:t>
      </w:r>
      <w:r>
        <w:t xml:space="preserve"> in de Nederlandse Antillen</w:t>
      </w:r>
      <w:r w:rsidRPr="00ED2E60">
        <w:t>.</w:t>
      </w:r>
      <w:r w:rsidRPr="00FA038A">
        <w:rPr>
          <w:rStyle w:val="FootnoteReference"/>
          <w:rFonts w:cs="Arial"/>
        </w:rPr>
        <w:footnoteReference w:id="249"/>
      </w:r>
      <w:r w:rsidRPr="00ED2E60">
        <w:t xml:space="preserve"> In Curaçao werd bijvoorbeeld in het oorspronkelijk</w:t>
      </w:r>
      <w:r>
        <w:t>e</w:t>
      </w:r>
      <w:r w:rsidRPr="00ED2E60">
        <w:t xml:space="preserve"> uitvoeringsbeleid g</w:t>
      </w:r>
      <w:r>
        <w:t xml:space="preserve">eëist dat elke onderneming per </w:t>
      </w:r>
      <w:r w:rsidRPr="00ED2E60">
        <w:t xml:space="preserve">1000 m² loodsruimte ten minste zes nieuwe arbeidsplaatsen moest creëren. </w:t>
      </w:r>
      <w:r w:rsidRPr="00FA038A">
        <w:rPr>
          <w:rStyle w:val="FootnoteReference"/>
          <w:rFonts w:cs="Arial"/>
        </w:rPr>
        <w:footnoteReference w:id="250"/>
      </w:r>
      <w:r>
        <w:t xml:space="preserve"> Criteria als ‘</w:t>
      </w:r>
      <w:r w:rsidRPr="00ED2E60">
        <w:t>aantal werknemers per vierkante meter loodsruimte’ zijn</w:t>
      </w:r>
      <w:r>
        <w:t xml:space="preserve"> evenwel</w:t>
      </w:r>
      <w:r w:rsidRPr="00ED2E60">
        <w:t xml:space="preserve"> niet </w:t>
      </w:r>
      <w:r>
        <w:t xml:space="preserve">goed </w:t>
      </w:r>
      <w:r w:rsidRPr="00ED2E60">
        <w:t xml:space="preserve">toepasbaar op dienstverlenende ondernemingen en e- commerce. De eis ‘bevordering van de werkgelegenheid’ is onder de LEZ 2000 </w:t>
      </w:r>
      <w:r>
        <w:t xml:space="preserve">dan ook </w:t>
      </w:r>
      <w:r w:rsidRPr="00ED2E60">
        <w:t>verzacht tot ‘directe of indirecte bevordering van de werkgelegenheid.</w:t>
      </w:r>
      <w:r w:rsidRPr="001D41E0">
        <w:rPr>
          <w:rStyle w:val="FootnoteReference"/>
          <w:rFonts w:cs="Arial"/>
        </w:rPr>
        <w:footnoteReference w:id="251"/>
      </w:r>
      <w:r w:rsidRPr="00ED2E60">
        <w:rPr>
          <w:vertAlign w:val="superscript"/>
        </w:rPr>
        <w:t xml:space="preserve"> </w:t>
      </w:r>
      <w:r w:rsidRPr="00157B1D">
        <w:t xml:space="preserve">Dit </w:t>
      </w:r>
      <w:r>
        <w:rPr>
          <w:rFonts w:cs="Times New Roman"/>
        </w:rPr>
        <w:t xml:space="preserve">bevorderingselement is een begrip dat ruim wordt opgevat en </w:t>
      </w:r>
      <w:r w:rsidRPr="0002274D">
        <w:rPr>
          <w:rFonts w:cs="Times New Roman"/>
        </w:rPr>
        <w:t xml:space="preserve">waar een E- ondernemer vrij snel en eenvoudig aan kan voldoen. </w:t>
      </w:r>
      <w:r>
        <w:rPr>
          <w:rFonts w:cs="Times New Roman"/>
        </w:rPr>
        <w:t>Niet alleen de activiteiten van (natuurlijke of rechts-)personen die een directe (financiële) relatie onderhouden met een E- Zonebedrijf kunnen als werkgelegenheidbevorderende activiteiten worden aangemerkt,</w:t>
      </w:r>
      <w:r>
        <w:rPr>
          <w:rStyle w:val="FootnoteReference"/>
        </w:rPr>
        <w:footnoteReference w:id="252"/>
      </w:r>
      <w:r>
        <w:rPr>
          <w:rFonts w:cs="Times New Roman"/>
        </w:rPr>
        <w:t xml:space="preserve"> maar dit kan ook zijn de incidentele inschakeling van (natuurlijk of rechts-)personen.</w:t>
      </w:r>
      <w:r>
        <w:rPr>
          <w:rStyle w:val="FootnoteReference"/>
        </w:rPr>
        <w:footnoteReference w:id="253"/>
      </w:r>
      <w:r>
        <w:rPr>
          <w:rFonts w:cs="Times New Roman"/>
        </w:rPr>
        <w:t xml:space="preserve"> Deze activiteiten worden in Curaçao allemaal als werkgelegenheidbevorderende activiteiten beschouwd. De E- ondernemer die deze activiteiten mogelijk maakt of teweeg brengt, voldoet automatisch aan het vereiste van ‘directe of  </w:t>
      </w:r>
      <w:r>
        <w:rPr>
          <w:rFonts w:cs="Times New Roman"/>
        </w:rPr>
        <w:lastRenderedPageBreak/>
        <w:t>indirecte bevordering van de werkgelegenheid.’ Hierbij dient wel te worden opgemerkt dat als het om een minder frequente inschakeling van (natuurlijke of rechts)personen gaat, de bewijslast echter minder eenvoudig zal zijn dan in het geval dat er een duidelijke duurzame relatie en of aanwezigheid is tussen (natuurlijk of rechts-)personen en een E- Zonebedrijf.</w:t>
      </w:r>
    </w:p>
    <w:p w:rsidR="00A64945" w:rsidRDefault="00A64945" w:rsidP="009173EC">
      <w:pPr>
        <w:pStyle w:val="Heading4"/>
        <w:spacing w:before="0" w:line="360" w:lineRule="auto"/>
        <w:jc w:val="both"/>
      </w:pPr>
      <w:bookmarkStart w:id="81" w:name="_Toc286233829"/>
    </w:p>
    <w:p w:rsidR="00A64945" w:rsidRPr="002E36DF" w:rsidRDefault="00A64945" w:rsidP="009173EC">
      <w:pPr>
        <w:pStyle w:val="Heading4"/>
        <w:spacing w:before="0" w:line="360" w:lineRule="auto"/>
        <w:jc w:val="both"/>
      </w:pPr>
      <w:bookmarkStart w:id="82" w:name="_Toc299634297"/>
      <w:r w:rsidRPr="002E36DF">
        <w:t>§</w:t>
      </w:r>
      <w:r>
        <w:t>3</w:t>
      </w:r>
      <w:r w:rsidRPr="002E36DF">
        <w:t>.2.</w:t>
      </w:r>
      <w:r>
        <w:t>2</w:t>
      </w:r>
      <w:r w:rsidRPr="002E36DF">
        <w:t>.</w:t>
      </w:r>
      <w:r>
        <w:t>3</w:t>
      </w:r>
      <w:r w:rsidRPr="002E36DF">
        <w:t>. Wettelijk aanmerken van e- commerce als toegestane activiteit</w:t>
      </w:r>
      <w:bookmarkEnd w:id="81"/>
      <w:bookmarkEnd w:id="82"/>
    </w:p>
    <w:p w:rsidR="00A64945" w:rsidRPr="00ED2E60" w:rsidRDefault="00A64945" w:rsidP="009173EC">
      <w:pPr>
        <w:spacing w:after="0" w:line="360" w:lineRule="auto"/>
        <w:jc w:val="both"/>
      </w:pPr>
      <w:r w:rsidRPr="00ED2E60">
        <w:t>Het begrip ‘diensten’ is onder de LEZ 2000 opnieuw omschreven. E- commerceactiviteiten worden expliciet beg</w:t>
      </w:r>
      <w:r>
        <w:t>repen onder de restcategorie ‘</w:t>
      </w:r>
      <w:r w:rsidRPr="00ED2E60">
        <w:t>andere vormen van op het buitenland gerichte dienstverlening</w:t>
      </w:r>
      <w:r>
        <w:t>’</w:t>
      </w:r>
      <w:r w:rsidRPr="00ED2E60">
        <w:t>. Aangezien deze restcategorie al sinds 1986 in de LVZ 1975 stond,</w:t>
      </w:r>
      <w:r w:rsidRPr="007D0798">
        <w:rPr>
          <w:rStyle w:val="FootnoteReference"/>
          <w:rFonts w:cs="Arial"/>
        </w:rPr>
        <w:footnoteReference w:id="254"/>
      </w:r>
      <w:r w:rsidRPr="00ED2E60">
        <w:rPr>
          <w:vertAlign w:val="superscript"/>
        </w:rPr>
        <w:t xml:space="preserve"> </w:t>
      </w:r>
      <w:r w:rsidRPr="00ED2E60">
        <w:t>ben ik van mening dat het expliciet noemen van e-</w:t>
      </w:r>
      <w:r>
        <w:t xml:space="preserve"> </w:t>
      </w:r>
      <w:r w:rsidRPr="00ED2E60">
        <w:t>commerceactiviteiten</w:t>
      </w:r>
      <w:r w:rsidRPr="007D0798">
        <w:rPr>
          <w:rStyle w:val="FootnoteReference"/>
          <w:rFonts w:cs="Arial"/>
        </w:rPr>
        <w:footnoteReference w:id="255"/>
      </w:r>
      <w:r>
        <w:t xml:space="preserve"> </w:t>
      </w:r>
      <w:r w:rsidRPr="00ED2E60">
        <w:t>geen materiële verandering met zich mee heeft gebracht. Feit is echter</w:t>
      </w:r>
      <w:r>
        <w:t xml:space="preserve"> wel</w:t>
      </w:r>
      <w:r w:rsidRPr="00ED2E60">
        <w:t xml:space="preserve"> dat e- commerceondernemingen zich pas sinds de LEZ 2000 daadwerkelijk in de economische zone zijn gaan vestigen. </w:t>
      </w:r>
      <w:r>
        <w:t>Dit is mijns inziens in de eerste plaats</w:t>
      </w:r>
      <w:r w:rsidRPr="004C13D2">
        <w:t xml:space="preserve"> te danken </w:t>
      </w:r>
      <w:r>
        <w:t xml:space="preserve">aan de sterke opkomst van het internet sinds het begin van deze eeuw, maar ook </w:t>
      </w:r>
      <w:r w:rsidRPr="004C13D2">
        <w:t xml:space="preserve">aan de aandacht voor e- commerce in zijn algemeenheid </w:t>
      </w:r>
      <w:r>
        <w:t xml:space="preserve">in Curaçao </w:t>
      </w:r>
      <w:r w:rsidRPr="004C13D2">
        <w:t xml:space="preserve">dat </w:t>
      </w:r>
      <w:r>
        <w:t>aangewakkerd</w:t>
      </w:r>
      <w:r w:rsidRPr="004C13D2">
        <w:t xml:space="preserve"> werd </w:t>
      </w:r>
      <w:r>
        <w:t xml:space="preserve">door de projectgroep </w:t>
      </w:r>
      <w:r w:rsidRPr="005F6BFD">
        <w:rPr>
          <w:i/>
        </w:rPr>
        <w:t>‘Optimizing the e- commerce infrastructure of Curaçao’</w:t>
      </w:r>
      <w:r w:rsidRPr="004C13D2">
        <w:t xml:space="preserve"> en de Landsverordening overeenkomsten langs elektronische weg</w:t>
      </w:r>
      <w:r w:rsidRPr="004C13D2">
        <w:rPr>
          <w:rStyle w:val="FootnoteReference"/>
          <w:rFonts w:cs="Arial"/>
        </w:rPr>
        <w:footnoteReference w:id="256"/>
      </w:r>
      <w:r w:rsidRPr="004C13D2">
        <w:rPr>
          <w:vertAlign w:val="superscript"/>
        </w:rPr>
        <w:t xml:space="preserve"> </w:t>
      </w:r>
      <w:r w:rsidRPr="004C13D2">
        <w:t>die naar aanleiding daarvan geïntroduceerd werd om  de e- commerce juridisch te ondersteunen en te faciliteren.</w:t>
      </w:r>
    </w:p>
    <w:p w:rsidR="00A64945" w:rsidRDefault="00A64945" w:rsidP="009173EC">
      <w:pPr>
        <w:pStyle w:val="Heading4"/>
        <w:spacing w:before="0" w:line="360" w:lineRule="auto"/>
        <w:jc w:val="both"/>
      </w:pPr>
    </w:p>
    <w:p w:rsidR="00A64945" w:rsidRPr="008C4B77" w:rsidRDefault="00A64945" w:rsidP="009173EC">
      <w:pPr>
        <w:pStyle w:val="Heading4"/>
        <w:spacing w:before="0" w:line="360" w:lineRule="auto"/>
        <w:jc w:val="both"/>
      </w:pPr>
      <w:bookmarkStart w:id="83" w:name="_Toc286233830"/>
      <w:bookmarkStart w:id="84" w:name="_Toc299634298"/>
      <w:r w:rsidRPr="008C4B77">
        <w:t>§</w:t>
      </w:r>
      <w:r>
        <w:t>3</w:t>
      </w:r>
      <w:r w:rsidRPr="008C4B77">
        <w:t>.2.</w:t>
      </w:r>
      <w:r>
        <w:t>2</w:t>
      </w:r>
      <w:r w:rsidRPr="008C4B77">
        <w:t>.</w:t>
      </w:r>
      <w:r>
        <w:t>4</w:t>
      </w:r>
      <w:r w:rsidRPr="008C4B77">
        <w:t xml:space="preserve">. </w:t>
      </w:r>
      <w:r>
        <w:t>De w</w:t>
      </w:r>
      <w:r w:rsidRPr="008C4B77">
        <w:t>ettelijke uitsluiting van een aantal diensten</w:t>
      </w:r>
      <w:bookmarkEnd w:id="83"/>
      <w:bookmarkEnd w:id="84"/>
    </w:p>
    <w:p w:rsidR="00A64945" w:rsidRPr="001003A4" w:rsidRDefault="00A64945" w:rsidP="009173EC">
      <w:pPr>
        <w:spacing w:line="360" w:lineRule="auto"/>
        <w:jc w:val="both"/>
        <w:rPr>
          <w:sz w:val="18"/>
          <w:szCs w:val="18"/>
        </w:rPr>
      </w:pPr>
      <w:r>
        <w:t>Naast het feit dat het begrip diensten onder de LEZ 2000 is heromschreven, zijn i</w:t>
      </w:r>
      <w:r w:rsidRPr="00ED2E60">
        <w:t xml:space="preserve">n de LEZ 2000 </w:t>
      </w:r>
      <w:r>
        <w:t xml:space="preserve">tevens </w:t>
      </w:r>
      <w:r w:rsidRPr="00ED2E60">
        <w:t>een aantal diensten wettelijk uitgesloten. Deze kunnen in twee groepen worden onderverdeeld. De eerste groep betreft de activiteiten die worden bestreken door het voormalige</w:t>
      </w:r>
      <w:r w:rsidRPr="0056525B">
        <w:rPr>
          <w:rStyle w:val="FootnoteReference"/>
          <w:rFonts w:cs="Arial"/>
        </w:rPr>
        <w:footnoteReference w:id="257"/>
      </w:r>
      <w:r>
        <w:t xml:space="preserve"> offshore- </w:t>
      </w:r>
      <w:r w:rsidRPr="00ED2E60">
        <w:t>regime.</w:t>
      </w:r>
      <w:r w:rsidRPr="002A0262">
        <w:rPr>
          <w:rStyle w:val="FootnoteReference"/>
          <w:rFonts w:cs="Arial"/>
        </w:rPr>
        <w:t xml:space="preserve"> </w:t>
      </w:r>
      <w:r w:rsidRPr="00ED2E60">
        <w:t>Het gaat om activiteiten als houdsteractiviteiten, licentieactiviteiten, financieringsactiviteiten en beleggen.</w:t>
      </w:r>
      <w:r w:rsidRPr="002A0262">
        <w:rPr>
          <w:rStyle w:val="FootnoteReference"/>
          <w:rFonts w:cs="Arial"/>
        </w:rPr>
        <w:t xml:space="preserve"> </w:t>
      </w:r>
      <w:r w:rsidRPr="00B74345">
        <w:rPr>
          <w:rStyle w:val="FootnoteReference"/>
          <w:rFonts w:cs="Arial"/>
        </w:rPr>
        <w:footnoteReference w:id="258"/>
      </w:r>
      <w:r w:rsidRPr="00ED2E60">
        <w:t xml:space="preserve"> Deze wettelijke uitsluiting was een codificatie van bestaand beleid en werd mede ingegeven door bezwaren</w:t>
      </w:r>
      <w:r>
        <w:rPr>
          <w:rStyle w:val="FootnoteReference"/>
          <w:rFonts w:cs="Arial"/>
        </w:rPr>
        <w:footnoteReference w:id="259"/>
      </w:r>
      <w:r w:rsidRPr="00ED2E60">
        <w:t xml:space="preserve"> tegen de vrije zone van de Primarolo- groep.</w:t>
      </w:r>
      <w:r>
        <w:rPr>
          <w:rStyle w:val="FootnoteReference"/>
          <w:rFonts w:cs="Arial"/>
        </w:rPr>
        <w:footnoteReference w:id="260"/>
      </w:r>
      <w:r w:rsidRPr="00ED2E60">
        <w:t xml:space="preserve"> </w:t>
      </w:r>
    </w:p>
    <w:p w:rsidR="00A64945" w:rsidRPr="00ED2E60" w:rsidRDefault="00A64945" w:rsidP="009173EC">
      <w:pPr>
        <w:spacing w:line="360" w:lineRule="auto"/>
        <w:jc w:val="both"/>
      </w:pPr>
      <w:r w:rsidRPr="00ED2E60">
        <w:lastRenderedPageBreak/>
        <w:t>De tweede groep</w:t>
      </w:r>
      <w:r>
        <w:t xml:space="preserve"> diensten die uitgesloten is,</w:t>
      </w:r>
      <w:r w:rsidRPr="00ED2E60">
        <w:t xml:space="preserve"> betrof diensten van trustbedrijven, notarissen, advocaten, accountants, belastingadviseurs en aanverwante dienstverlening. Ook dit </w:t>
      </w:r>
      <w:r>
        <w:t>betreft</w:t>
      </w:r>
      <w:r w:rsidRPr="00ED2E60">
        <w:t xml:space="preserve"> een codificatie van bestaand beleid.  In tegenstelling tot wat bij de eerste groep het geval </w:t>
      </w:r>
      <w:r>
        <w:t>is</w:t>
      </w:r>
      <w:r w:rsidRPr="00ED2E60">
        <w:t xml:space="preserve">, houdt de codificatie van de </w:t>
      </w:r>
      <w:r>
        <w:t xml:space="preserve">uitsluiting van de </w:t>
      </w:r>
      <w:r w:rsidRPr="00ED2E60">
        <w:t xml:space="preserve">diensten uit deze groep geen verband met de EU- gedragscode. De activiteiten van deze tweede groep </w:t>
      </w:r>
      <w:r>
        <w:t>zijn</w:t>
      </w:r>
      <w:r w:rsidRPr="00ED2E60">
        <w:t xml:space="preserve"> uitgesloten op basis van het feit dat dergelijke activiteiten voor Curaçao niet nieuw zijn en derhalve niet gestimuleerd </w:t>
      </w:r>
      <w:r>
        <w:t>hoeven</w:t>
      </w:r>
      <w:r w:rsidRPr="00ED2E60">
        <w:t xml:space="preserve"> te worden. De internationale financiële sector is van oudsher immers al een belangrijke pijler van de Curaçaose economie. Een verplaatsing van deze sector naar de economische zone zou </w:t>
      </w:r>
      <w:r>
        <w:t xml:space="preserve">zeer waarschijnlijk </w:t>
      </w:r>
      <w:r w:rsidRPr="00ED2E60">
        <w:t>enkel leiden tot een verlies aan belastinggrondslag.</w:t>
      </w:r>
    </w:p>
    <w:p w:rsidR="00A64945" w:rsidRPr="0076091B" w:rsidRDefault="00A64945" w:rsidP="009173EC">
      <w:pPr>
        <w:pStyle w:val="Heading3"/>
        <w:spacing w:before="0" w:line="360" w:lineRule="auto"/>
        <w:jc w:val="both"/>
      </w:pPr>
      <w:bookmarkStart w:id="85" w:name="_Toc286233831"/>
      <w:bookmarkStart w:id="86" w:name="_Toc299634299"/>
      <w:r w:rsidRPr="0076091B">
        <w:t>§</w:t>
      </w:r>
      <w:r>
        <w:t>3.2.3</w:t>
      </w:r>
      <w:r w:rsidRPr="0076091B">
        <w:t xml:space="preserve">. </w:t>
      </w:r>
      <w:r>
        <w:t>Wettelijke d</w:t>
      </w:r>
      <w:r w:rsidRPr="0076091B">
        <w:t>efinitie Economische Zone</w:t>
      </w:r>
      <w:bookmarkEnd w:id="85"/>
      <w:bookmarkEnd w:id="86"/>
    </w:p>
    <w:p w:rsidR="00A64945" w:rsidRPr="00BE5B85" w:rsidRDefault="00A64945" w:rsidP="009173EC">
      <w:pPr>
        <w:spacing w:line="360" w:lineRule="auto"/>
        <w:jc w:val="both"/>
      </w:pPr>
      <w:r w:rsidRPr="00BE5B85">
        <w:t>Een economische zone (hierna</w:t>
      </w:r>
      <w:r>
        <w:t>:</w:t>
      </w:r>
      <w:r w:rsidRPr="00BE5B85">
        <w:t xml:space="preserve"> E- Z</w:t>
      </w:r>
      <w:r>
        <w:t xml:space="preserve">one) wordt in de wet omschreven als </w:t>
      </w:r>
      <w:r w:rsidRPr="00BE5B85">
        <w:t>een als zodanig aangewezen terrein of terreinen, waar goederen kunnen worden opgeslagen, verwerkt, bewerkt, gemonteerd, verpakt, tentoongesteld en uitgeslagen, dan wel andere behandelingen kunnen ondergaan, en waar vanuit diensten kunnen worden verleend.</w:t>
      </w:r>
      <w:r w:rsidRPr="00BE5B85">
        <w:rPr>
          <w:rStyle w:val="FootnoteReference"/>
          <w:rFonts w:cs="Arial"/>
        </w:rPr>
        <w:footnoteReference w:id="261"/>
      </w:r>
      <w:r w:rsidRPr="00BE5B85">
        <w:t xml:space="preserve"> </w:t>
      </w:r>
      <w:r>
        <w:t>In Curaçao bevinden zich in totaal tien E- Zones. De in Curaçao aanwezige E- Zones kunnen worden onderverdeeld in E- Zones met goederenstromen en E- Zones zonder goederenstromen. Twee van de tien Curaçaose E- Zones zijn uitgerust voor fysieke goederenstromen.</w:t>
      </w:r>
      <w:r w:rsidRPr="003E1D39">
        <w:rPr>
          <w:rStyle w:val="FootnoteReference"/>
          <w:rFonts w:cs="Arial"/>
        </w:rPr>
        <w:t xml:space="preserve"> </w:t>
      </w:r>
      <w:r>
        <w:rPr>
          <w:rStyle w:val="FootnoteReference"/>
          <w:rFonts w:cs="Arial"/>
        </w:rPr>
        <w:footnoteReference w:id="262"/>
      </w:r>
      <w:r>
        <w:t xml:space="preserve"> Wat betreft het douanerecht zijn deze zones vergelijkbaar met een douane- entrepot. Deze zones zijn te herkennen als een fysiek afgesloten bedrijventerrein met permanente douanebewaking. In de overige acht zones mogen geen fysieke goederenstroom voorkomen. Van daaruit worden derhalve alleen diensten verricht. Het is echter wel mogelijk dat elders in de wereld een fysieke goederenstroom bestaat.</w:t>
      </w:r>
    </w:p>
    <w:p w:rsidR="00A64945" w:rsidRPr="00781153" w:rsidRDefault="00A64945" w:rsidP="009173EC">
      <w:pPr>
        <w:pStyle w:val="Heading3"/>
        <w:spacing w:before="0" w:line="360" w:lineRule="auto"/>
        <w:jc w:val="both"/>
      </w:pPr>
      <w:bookmarkStart w:id="87" w:name="_Toc286233832"/>
      <w:bookmarkStart w:id="88" w:name="_Toc299634300"/>
      <w:r w:rsidRPr="00781153">
        <w:t>§</w:t>
      </w:r>
      <w:r>
        <w:t>3</w:t>
      </w:r>
      <w:r w:rsidRPr="00781153">
        <w:t>.2.</w:t>
      </w:r>
      <w:r>
        <w:t>4</w:t>
      </w:r>
      <w:r w:rsidRPr="00781153">
        <w:t>. E- Zone activiteiten</w:t>
      </w:r>
      <w:bookmarkEnd w:id="87"/>
      <w:bookmarkEnd w:id="88"/>
      <w:r w:rsidRPr="00781153">
        <w:t xml:space="preserve"> </w:t>
      </w:r>
    </w:p>
    <w:p w:rsidR="00A64945" w:rsidRPr="00BE5B85" w:rsidRDefault="00A64945" w:rsidP="006A5E06">
      <w:pPr>
        <w:spacing w:after="0" w:line="360" w:lineRule="auto"/>
        <w:jc w:val="both"/>
      </w:pPr>
      <w:r w:rsidRPr="00BE5B85">
        <w:t xml:space="preserve">De E- Zone heeft als doel: </w:t>
      </w:r>
      <w:r>
        <w:t>‘</w:t>
      </w:r>
      <w:r w:rsidRPr="00D602DB">
        <w:rPr>
          <w:i/>
        </w:rPr>
        <w:t>(…) de stimulering in het belang  van de economische ontwikkeling van de N</w:t>
      </w:r>
      <w:r>
        <w:rPr>
          <w:i/>
        </w:rPr>
        <w:t xml:space="preserve">ederlandse </w:t>
      </w:r>
      <w:r w:rsidRPr="00D602DB">
        <w:rPr>
          <w:i/>
        </w:rPr>
        <w:t>A</w:t>
      </w:r>
      <w:r>
        <w:rPr>
          <w:i/>
        </w:rPr>
        <w:t>ntillen</w:t>
      </w:r>
      <w:r w:rsidRPr="00D602DB">
        <w:rPr>
          <w:i/>
        </w:rPr>
        <w:t>, van de vestiging van bedrijven die activiteiten ontwikkelen op het gebied van de internationale distributie van goeden, dan wel zich bezighouden met op het buitenland gerichte industriële activiteiten of internationale dienstverlening</w:t>
      </w:r>
      <w:r>
        <w:rPr>
          <w:i/>
        </w:rPr>
        <w:t>’</w:t>
      </w:r>
      <w:r w:rsidRPr="00D602DB">
        <w:rPr>
          <w:i/>
        </w:rPr>
        <w:t>.</w:t>
      </w:r>
      <w:r w:rsidRPr="00BE5B85">
        <w:rPr>
          <w:rStyle w:val="FootnoteReference"/>
          <w:rFonts w:cs="Arial"/>
        </w:rPr>
        <w:footnoteReference w:id="263"/>
      </w:r>
    </w:p>
    <w:p w:rsidR="00A64945" w:rsidRPr="00BE5B85" w:rsidRDefault="00A64945" w:rsidP="006A5E06">
      <w:pPr>
        <w:spacing w:after="0" w:line="360" w:lineRule="auto"/>
        <w:jc w:val="both"/>
      </w:pPr>
      <w:r>
        <w:t xml:space="preserve">De E- Zonewetgeving betreft dus </w:t>
      </w:r>
      <w:r w:rsidRPr="00BE5B85">
        <w:t>op het buitenland gerichte</w:t>
      </w:r>
      <w:r>
        <w:t xml:space="preserve"> </w:t>
      </w:r>
      <w:r w:rsidRPr="00BE5B85">
        <w:t>handelsactiviteiten en dienstverlening. Wat in dit verband onder goederen</w:t>
      </w:r>
      <w:r>
        <w:rPr>
          <w:rStyle w:val="FootnoteReference"/>
        </w:rPr>
        <w:footnoteReference w:id="264"/>
      </w:r>
      <w:r w:rsidRPr="00BE5B85">
        <w:t xml:space="preserve"> moet worden verstaan, is vastgelegd in art. 1, onderdeel b LEZ 2000</w:t>
      </w:r>
      <w:r>
        <w:t xml:space="preserve"> goederen </w:t>
      </w:r>
      <w:r w:rsidRPr="00BE5B85">
        <w:t>zijn roerende lichamelijke zaken. Met dienstverlening wordt bedoeld:</w:t>
      </w:r>
      <w:r w:rsidRPr="00BE5B85">
        <w:rPr>
          <w:rStyle w:val="FootnoteReference"/>
          <w:rFonts w:cs="Arial"/>
        </w:rPr>
        <w:footnoteReference w:id="265"/>
      </w:r>
    </w:p>
    <w:p w:rsidR="00A64945" w:rsidRPr="00BE5B85" w:rsidRDefault="00A64945" w:rsidP="009173EC">
      <w:pPr>
        <w:pStyle w:val="ListParagraph"/>
        <w:numPr>
          <w:ilvl w:val="0"/>
          <w:numId w:val="9"/>
        </w:numPr>
        <w:spacing w:line="360" w:lineRule="auto"/>
        <w:jc w:val="both"/>
      </w:pPr>
      <w:r w:rsidRPr="00BE5B85">
        <w:lastRenderedPageBreak/>
        <w:t xml:space="preserve">het verrichten van onderhoud en reparatie in de economische zone aan goederen van buiten de </w:t>
      </w:r>
      <w:r>
        <w:t xml:space="preserve">Nederlandse Antillen </w:t>
      </w:r>
      <w:r w:rsidRPr="00BE5B85">
        <w:t>hun bedrijf uitoefen</w:t>
      </w:r>
      <w:r>
        <w:t>en</w:t>
      </w:r>
      <w:r w:rsidRPr="00BE5B85">
        <w:t>de onderneming;</w:t>
      </w:r>
      <w:r w:rsidRPr="00312BE2">
        <w:rPr>
          <w:rStyle w:val="FootnoteReference"/>
          <w:rFonts w:cs="Arial"/>
        </w:rPr>
        <w:t xml:space="preserve"> </w:t>
      </w:r>
      <w:r>
        <w:rPr>
          <w:rStyle w:val="FootnoteReference"/>
          <w:rFonts w:cs="Arial"/>
        </w:rPr>
        <w:footnoteReference w:id="266"/>
      </w:r>
    </w:p>
    <w:p w:rsidR="00A64945" w:rsidRPr="00BE5B85" w:rsidRDefault="00A64945" w:rsidP="009173EC">
      <w:pPr>
        <w:pStyle w:val="ListParagraph"/>
        <w:numPr>
          <w:ilvl w:val="0"/>
          <w:numId w:val="9"/>
        </w:numPr>
        <w:spacing w:line="360" w:lineRule="auto"/>
        <w:jc w:val="both"/>
      </w:pPr>
      <w:r w:rsidRPr="00BE5B85">
        <w:t xml:space="preserve">het verrichten van onderhoud en reparatie aan zich in </w:t>
      </w:r>
      <w:r w:rsidRPr="009307DE">
        <w:t>het buitenland bevindende</w:t>
      </w:r>
      <w:r w:rsidRPr="00BE5B85">
        <w:t xml:space="preserve"> machines en ander materieel met in de economische zone opgeslagen goederen;</w:t>
      </w:r>
    </w:p>
    <w:p w:rsidR="00A64945" w:rsidRDefault="00A64945" w:rsidP="009173EC">
      <w:pPr>
        <w:pStyle w:val="ListParagraph"/>
        <w:numPr>
          <w:ilvl w:val="0"/>
          <w:numId w:val="9"/>
        </w:numPr>
        <w:spacing w:line="360" w:lineRule="auto"/>
        <w:jc w:val="both"/>
      </w:pPr>
      <w:r w:rsidRPr="00BE5B85">
        <w:t>andere vormen van op het buitenland gerichte dienstverlening, daaronder begrepen het veembedrijf,</w:t>
      </w:r>
      <w:r>
        <w:rPr>
          <w:rStyle w:val="FootnoteReference"/>
          <w:rFonts w:cs="Arial"/>
        </w:rPr>
        <w:footnoteReference w:id="267"/>
      </w:r>
      <w:r w:rsidRPr="00BE5B85">
        <w:t xml:space="preserve"> en nieuwe in de internationale sfeer te plaatsen handels- en handelsondersteunende en andere dienstverlenende activiteiten die met of ten behoeve van elektronische communicatie- en informatiemogelijkheden kunnen worden verricht</w:t>
      </w:r>
      <w:r>
        <w:t>.</w:t>
      </w:r>
    </w:p>
    <w:p w:rsidR="00A64945" w:rsidRPr="00CB06D3" w:rsidRDefault="00A64945" w:rsidP="009173EC">
      <w:pPr>
        <w:spacing w:after="0" w:line="360" w:lineRule="auto"/>
        <w:jc w:val="both"/>
      </w:pPr>
      <w:r w:rsidRPr="00CB06D3">
        <w:t>Notarissen, advocaten, openbare accountants, fiscale adviseurs en aanverwante dienstverlening, kunnen zich</w:t>
      </w:r>
      <w:r>
        <w:t xml:space="preserve">, zoals gezegd, </w:t>
      </w:r>
      <w:r w:rsidRPr="00CB06D3">
        <w:t>niet in de E- Zone vestigen.</w:t>
      </w:r>
      <w:r w:rsidRPr="00EC27BB">
        <w:rPr>
          <w:rStyle w:val="FootnoteReference"/>
          <w:rFonts w:cs="Arial"/>
        </w:rPr>
        <w:footnoteReference w:id="268"/>
      </w:r>
      <w:r w:rsidRPr="00CB06D3">
        <w:t xml:space="preserve"> Hetzelfde geldt voor trust- en managementservicebedrijven.</w:t>
      </w:r>
      <w:r w:rsidRPr="00EC27BB">
        <w:rPr>
          <w:rStyle w:val="FootnoteReference"/>
          <w:rFonts w:cs="Arial"/>
        </w:rPr>
        <w:footnoteReference w:id="269"/>
      </w:r>
      <w:r>
        <w:t xml:space="preserve"> Ook financiële dienstverlening, </w:t>
      </w:r>
      <w:r w:rsidRPr="00CB06D3">
        <w:t>verzekerings- en herverzekeringsactiviteiten en royaltybetalingen worden niet als diensten in de zin van art. 1, eerste lid, onderdeel d, onder 3° aangemerkt.</w:t>
      </w:r>
      <w:r>
        <w:rPr>
          <w:rStyle w:val="FootnoteReference"/>
          <w:rFonts w:cs="Arial"/>
        </w:rPr>
        <w:footnoteReference w:id="270"/>
      </w:r>
    </w:p>
    <w:p w:rsidR="00A64945" w:rsidRPr="00BE5B85" w:rsidRDefault="00A64945" w:rsidP="009173EC">
      <w:pPr>
        <w:spacing w:after="0" w:line="360" w:lineRule="auto"/>
        <w:jc w:val="both"/>
      </w:pPr>
      <w:r w:rsidRPr="00BE5B85">
        <w:t xml:space="preserve">Zoals eerder aan de orde is gekomen, zijn de E- Zonefaciliteiten principieel bedoeld voor op het buitenland gerichte activiteiten. Het is voor E- vennootschappen echter tevens mogelijk een vergunning aan te vragen op grond waarvan ook de lokale markt kan worden bediend. </w:t>
      </w:r>
      <w:r>
        <w:t>In dat geval mag de omzet die wordt gegeneerd door het handelen met of verlenen van diensten aan ingezetenen van de Nederlandse Antillen niet 25%</w:t>
      </w:r>
      <w:r>
        <w:rPr>
          <w:rStyle w:val="FootnoteReference"/>
          <w:rFonts w:cs="Arial"/>
        </w:rPr>
        <w:footnoteReference w:id="271"/>
      </w:r>
      <w:r>
        <w:t xml:space="preserve"> van de omzet van desbetreffende E- vennootschap overtreffen. </w:t>
      </w:r>
      <w:r w:rsidRPr="00BE5B85">
        <w:t>Ook locale bedrijv</w:t>
      </w:r>
      <w:r>
        <w:t>en kunnen een vennootschap in een</w:t>
      </w:r>
      <w:r w:rsidRPr="00BE5B85">
        <w:t xml:space="preserve"> E- Zone opzetten. Voor deze vennootschappen gelden dezelfde voorwaarden.</w:t>
      </w:r>
    </w:p>
    <w:p w:rsidR="00A64945" w:rsidRDefault="00A64945" w:rsidP="009173EC">
      <w:pPr>
        <w:pStyle w:val="Heading3"/>
        <w:spacing w:before="0" w:line="360" w:lineRule="auto"/>
        <w:jc w:val="both"/>
      </w:pPr>
      <w:bookmarkStart w:id="89" w:name="_Toc286233833"/>
    </w:p>
    <w:p w:rsidR="00A64945" w:rsidRPr="00512E51" w:rsidRDefault="00A64945" w:rsidP="009173EC">
      <w:pPr>
        <w:pStyle w:val="Heading3"/>
        <w:spacing w:before="0" w:line="360" w:lineRule="auto"/>
        <w:jc w:val="both"/>
      </w:pPr>
      <w:bookmarkStart w:id="90" w:name="_Toc299634301"/>
      <w:r w:rsidRPr="00512E51">
        <w:t>§</w:t>
      </w:r>
      <w:r>
        <w:t>3.2.5</w:t>
      </w:r>
      <w:r w:rsidRPr="00512E51">
        <w:t>. Voorwaarden toelating E- Zone</w:t>
      </w:r>
      <w:bookmarkEnd w:id="89"/>
      <w:bookmarkEnd w:id="90"/>
    </w:p>
    <w:p w:rsidR="00A64945" w:rsidRDefault="00A64945" w:rsidP="009173EC">
      <w:pPr>
        <w:spacing w:line="360" w:lineRule="auto"/>
        <w:jc w:val="both"/>
      </w:pPr>
      <w:r w:rsidRPr="00BE5B85">
        <w:t>Paragraaf drie van de LEZ</w:t>
      </w:r>
      <w:r>
        <w:t xml:space="preserve"> 2000</w:t>
      </w:r>
      <w:r w:rsidRPr="00BE5B85">
        <w:t xml:space="preserve"> omvat de regels omtrent de toelating tot een E- Zone. Slechts rechtspersonen</w:t>
      </w:r>
      <w:r>
        <w:rPr>
          <w:rStyle w:val="FootnoteReference"/>
          <w:rFonts w:cs="Arial"/>
        </w:rPr>
        <w:footnoteReference w:id="272"/>
      </w:r>
      <w:r w:rsidRPr="00BE5B85">
        <w:t xml:space="preserve"> met een in aandelen verdeeld kapitaal mogen activiteiten ontplooien in een E- </w:t>
      </w:r>
      <w:r w:rsidRPr="00BE5B85">
        <w:lastRenderedPageBreak/>
        <w:t>Zone</w:t>
      </w:r>
      <w:r w:rsidRPr="00BE5B85">
        <w:rPr>
          <w:rStyle w:val="FootnoteReference"/>
          <w:rFonts w:cs="Arial"/>
        </w:rPr>
        <w:footnoteReference w:id="273"/>
      </w:r>
      <w:r w:rsidRPr="00BE5B85">
        <w:t>.</w:t>
      </w:r>
      <w:r>
        <w:rPr>
          <w:rStyle w:val="FootnoteReference"/>
          <w:rFonts w:cs="Arial"/>
        </w:rPr>
        <w:footnoteReference w:id="274"/>
      </w:r>
      <w:r w:rsidRPr="00BE5B85">
        <w:t xml:space="preserve"> Niet noodzakelijk is dat het hierbij om een Antilliaanse rechtspersoon gaat, noch hoeft de rechtspersoon in de N</w:t>
      </w:r>
      <w:r>
        <w:t xml:space="preserve">ederlandse </w:t>
      </w:r>
      <w:r w:rsidRPr="00BE5B85">
        <w:t>A</w:t>
      </w:r>
      <w:r>
        <w:t>ntillen</w:t>
      </w:r>
      <w:r w:rsidRPr="00BE5B85">
        <w:t xml:space="preserve"> te zijn gevestigd</w:t>
      </w:r>
      <w:r>
        <w:rPr>
          <w:rStyle w:val="FootnoteReference"/>
          <w:rFonts w:cs="Arial"/>
        </w:rPr>
        <w:footnoteReference w:id="275"/>
      </w:r>
      <w:r w:rsidRPr="00BE5B85">
        <w:t>.</w:t>
      </w:r>
      <w:r w:rsidRPr="00BE5B85">
        <w:rPr>
          <w:rStyle w:val="FootnoteReference"/>
          <w:rFonts w:cs="Arial"/>
        </w:rPr>
        <w:footnoteReference w:id="276"/>
      </w:r>
      <w:r w:rsidRPr="00BE5B85">
        <w:t xml:space="preserve"> </w:t>
      </w:r>
      <w:r>
        <w:t xml:space="preserve">Een buitenlandse rechtspersoon met een in een aandelen verdeeld kapitaal kan door middel van een vaste inrichting activiteiten ontplooien in een Curaçaose E- Zone.  </w:t>
      </w:r>
      <w:r w:rsidRPr="00BE5B85">
        <w:t xml:space="preserve">Voorts </w:t>
      </w:r>
      <w:r>
        <w:t xml:space="preserve">bepaalt </w:t>
      </w:r>
      <w:r w:rsidRPr="00BE5B85">
        <w:t xml:space="preserve">art. 3, eerste lid LEZ </w:t>
      </w:r>
      <w:r>
        <w:t xml:space="preserve">2000 dat </w:t>
      </w:r>
      <w:r w:rsidRPr="00BE5B85">
        <w:t xml:space="preserve">de rechtspersoon enkel een bedrijf </w:t>
      </w:r>
      <w:r>
        <w:t xml:space="preserve">mag </w:t>
      </w:r>
      <w:r w:rsidRPr="00BE5B85">
        <w:t xml:space="preserve">uitoefenen in de E- Zone. Hier wordt mijns inziens mee bedoeld dat een E- vennootschap niet tevens buiten de E- Zone </w:t>
      </w:r>
      <w:r>
        <w:t>in</w:t>
      </w:r>
      <w:r w:rsidRPr="00BE5B85">
        <w:t xml:space="preserve"> de N</w:t>
      </w:r>
      <w:r>
        <w:t xml:space="preserve">ederlandse </w:t>
      </w:r>
      <w:r w:rsidRPr="00BE5B85">
        <w:t>A</w:t>
      </w:r>
      <w:r>
        <w:t>ntillen</w:t>
      </w:r>
      <w:r w:rsidRPr="00BE5B85">
        <w:t xml:space="preserve"> bedrijfsactiviteiten mag initiëren. </w:t>
      </w:r>
      <w:r>
        <w:t>De</w:t>
      </w:r>
      <w:r w:rsidRPr="00BE5B85">
        <w:t xml:space="preserve"> in het buitenland gevestigde rechtspersoon met een vaste inrichting in een E- Zone</w:t>
      </w:r>
      <w:r>
        <w:t xml:space="preserve"> die naast de activiteiten die door middel van de vaste inrichting in de Nederlandse Antillen worden uitgevoerd, in eigen land zelf ook ondernemingsactiviteiten uitoefent, wordt mijns inziens niet door deze bepaling geraakt.</w:t>
      </w:r>
      <w:r>
        <w:rPr>
          <w:rStyle w:val="FootnoteReference"/>
          <w:rFonts w:cs="Arial"/>
        </w:rPr>
        <w:footnoteReference w:id="277"/>
      </w:r>
      <w:r>
        <w:t xml:space="preserve"> </w:t>
      </w:r>
    </w:p>
    <w:p w:rsidR="00A64945" w:rsidRPr="00376A92" w:rsidRDefault="00A64945" w:rsidP="009173EC">
      <w:pPr>
        <w:spacing w:line="360" w:lineRule="auto"/>
        <w:jc w:val="both"/>
      </w:pPr>
      <w:r w:rsidRPr="00376A92">
        <w:t xml:space="preserve">Slechts rechtspersonen met een in aandelen verdeeld kapitaal, komen ingevolge het eerste lid van artikel 3 LEZ 2000 dus voor toelating tot een E- Zone in aanmerking. Door dit vereiste  kunnen ondernemingen </w:t>
      </w:r>
      <w:r>
        <w:t xml:space="preserve">die voor een andere rechtsvorm, </w:t>
      </w:r>
      <w:r w:rsidRPr="00376A92">
        <w:t>dan een rechtsvorm met een</w:t>
      </w:r>
      <w:r>
        <w:t xml:space="preserve"> </w:t>
      </w:r>
      <w:r w:rsidRPr="00274B21">
        <w:rPr>
          <w:i/>
        </w:rPr>
        <w:t>rechtspersoon</w:t>
      </w:r>
      <w:r>
        <w:t xml:space="preserve"> met een in aandelen verdeeld kapitaal, </w:t>
      </w:r>
      <w:r w:rsidRPr="00376A92">
        <w:t>hebben gekozen, niet toegelaten worden tot de E- Zone.</w:t>
      </w:r>
      <w:r>
        <w:t xml:space="preserve"> Ten einde</w:t>
      </w:r>
      <w:r w:rsidRPr="00376A92">
        <w:t xml:space="preserve"> hier aan tegemoet te komen, is de reikwijdte van artik</w:t>
      </w:r>
      <w:r>
        <w:t xml:space="preserve">el 3, eerste lid LEZ 2000 </w:t>
      </w:r>
      <w:r w:rsidRPr="00376A92">
        <w:t>sinds 2008 uitgebreid. Fiscaal transparante samenwerkingsverbanden</w:t>
      </w:r>
      <w:r>
        <w:rPr>
          <w:rStyle w:val="FootnoteReference"/>
          <w:rFonts w:cs="Arial"/>
        </w:rPr>
        <w:footnoteReference w:id="278"/>
      </w:r>
      <w:r w:rsidRPr="00376A92">
        <w:t xml:space="preserve"> die direct of indirect zijn aangegaan </w:t>
      </w:r>
      <w:r w:rsidRPr="00376A92">
        <w:lastRenderedPageBreak/>
        <w:t xml:space="preserve">door in de </w:t>
      </w:r>
      <w:r>
        <w:t>Nederlandse Antillen</w:t>
      </w:r>
      <w:r w:rsidRPr="00376A92">
        <w:t xml:space="preserve">, Nederland of een verdragsland gevestigde rechtspersonen met een in aandelen verdeeld kapitaal kunnen </w:t>
      </w:r>
      <w:r>
        <w:t xml:space="preserve">in navolging hiervan </w:t>
      </w:r>
      <w:r w:rsidRPr="00376A92">
        <w:t>ook tot een E- Zone worden toegelaten.</w:t>
      </w:r>
      <w:r w:rsidRPr="00376A92">
        <w:rPr>
          <w:rStyle w:val="FootnoteReference"/>
          <w:rFonts w:cs="Arial"/>
        </w:rPr>
        <w:footnoteReference w:id="279"/>
      </w:r>
    </w:p>
    <w:p w:rsidR="00A64945" w:rsidRPr="00BE5B85" w:rsidRDefault="00A64945" w:rsidP="009173EC">
      <w:pPr>
        <w:spacing w:line="360" w:lineRule="auto"/>
        <w:jc w:val="both"/>
      </w:pPr>
      <w:r w:rsidRPr="00BE5B85">
        <w:t>De toelating van een vennootschap tot een E- Zone wordt verleend indien het zich bezig za</w:t>
      </w:r>
      <w:r>
        <w:t xml:space="preserve">l houden met de in §3.2.4 </w:t>
      </w:r>
      <w:r w:rsidRPr="00BE5B85">
        <w:t>genoemde activiteiten en verwacht kan worden dat de onderneming door de uitbouw van de Antillen als internationaal distributie centrum dan wel als internationaal centrum van dienstverlening zal bijdragen aan de economische ontwikkeling van de N</w:t>
      </w:r>
      <w:r>
        <w:t xml:space="preserve">ederlandse </w:t>
      </w:r>
      <w:r w:rsidRPr="00BE5B85">
        <w:t>A</w:t>
      </w:r>
      <w:r>
        <w:t>ntillen</w:t>
      </w:r>
      <w:r w:rsidRPr="00BE5B85">
        <w:t>, terwijl daardoor deviezen de N</w:t>
      </w:r>
      <w:r>
        <w:t xml:space="preserve">ederlandse </w:t>
      </w:r>
      <w:r w:rsidRPr="00BE5B85">
        <w:t>A</w:t>
      </w:r>
      <w:r>
        <w:t>ntillen</w:t>
      </w:r>
      <w:r w:rsidRPr="00BE5B85">
        <w:t xml:space="preserve"> binnenkomen en/of direct of indirect de werkgelegenheid kan worden bevorderd.</w:t>
      </w:r>
      <w:r w:rsidRPr="00BE5B85">
        <w:rPr>
          <w:rStyle w:val="FootnoteReference"/>
          <w:rFonts w:cs="Arial"/>
        </w:rPr>
        <w:footnoteReference w:id="280"/>
      </w:r>
      <w:r w:rsidRPr="00BE5B85">
        <w:t xml:space="preserve"> </w:t>
      </w:r>
    </w:p>
    <w:p w:rsidR="00A64945" w:rsidRDefault="00A64945" w:rsidP="00A214A5">
      <w:pPr>
        <w:spacing w:after="0" w:line="360" w:lineRule="auto"/>
        <w:jc w:val="both"/>
      </w:pPr>
      <w:r w:rsidRPr="00BE5B85">
        <w:t>Ten</w:t>
      </w:r>
      <w:r>
        <w:t xml:space="preserve"> </w:t>
      </w:r>
      <w:r w:rsidRPr="00BE5B85">
        <w:t xml:space="preserve">einde toegelaten te kunnen worden tot een E- Zone, dient de desbetreffende vennootschap een verzoek in te dienen bij de beheerder van een E- Zone. </w:t>
      </w:r>
      <w:r>
        <w:t>In principe is het</w:t>
      </w:r>
      <w:r w:rsidRPr="00BE5B85">
        <w:t xml:space="preserve"> bestuurscollege</w:t>
      </w:r>
      <w:r>
        <w:rPr>
          <w:rStyle w:val="FootnoteReference"/>
          <w:rFonts w:cs="Arial"/>
        </w:rPr>
        <w:footnoteReference w:id="281"/>
      </w:r>
      <w:r w:rsidRPr="00BE5B85">
        <w:t xml:space="preserve"> belast met het beheer en de exploitatie van economische zones. </w:t>
      </w:r>
      <w:r>
        <w:t>Dit</w:t>
      </w:r>
      <w:r w:rsidRPr="00BE5B85">
        <w:t xml:space="preserve"> bestuurscollege kan echter ook ertoe besluiten om </w:t>
      </w:r>
      <w:r>
        <w:t>het</w:t>
      </w:r>
      <w:r w:rsidRPr="00BE5B85">
        <w:t xml:space="preserve"> beheer en deze exploitatie te doen geschieden door een publiekrechtelijke instelling dan wel door een naamloze vennootschap</w:t>
      </w:r>
      <w:r w:rsidRPr="00BE5B85">
        <w:rPr>
          <w:rStyle w:val="FootnoteReference"/>
          <w:rFonts w:cs="Arial"/>
        </w:rPr>
        <w:footnoteReference w:id="282"/>
      </w:r>
      <w:r w:rsidRPr="00BE5B85">
        <w:t>.</w:t>
      </w:r>
      <w:r>
        <w:rPr>
          <w:rStyle w:val="FootnoteReference"/>
          <w:rFonts w:cs="Arial"/>
        </w:rPr>
        <w:footnoteReference w:id="283"/>
      </w:r>
      <w:r w:rsidRPr="00BE5B85">
        <w:rPr>
          <w:rStyle w:val="FootnoteReference"/>
          <w:rFonts w:cs="Arial"/>
        </w:rPr>
        <w:t xml:space="preserve"> </w:t>
      </w:r>
    </w:p>
    <w:p w:rsidR="00A64945" w:rsidRPr="00BE5B85" w:rsidRDefault="00A64945" w:rsidP="00A214A5">
      <w:pPr>
        <w:spacing w:after="0" w:line="360" w:lineRule="auto"/>
        <w:jc w:val="both"/>
      </w:pPr>
      <w:r w:rsidRPr="00BE5B85">
        <w:t xml:space="preserve">De </w:t>
      </w:r>
      <w:r>
        <w:t xml:space="preserve">desbetreffende </w:t>
      </w:r>
      <w:r w:rsidRPr="00BE5B85">
        <w:t>beheerder speelt het verzoek door aan de Dienst Economische Zaken van het eilandgebied. Het in te dienen verzoek moet ondersteund worden door een aantal verplichte gegevens. Bij het verzoek</w:t>
      </w:r>
      <w:r>
        <w:rPr>
          <w:rStyle w:val="FootnoteReference"/>
        </w:rPr>
        <w:footnoteReference w:id="284"/>
      </w:r>
      <w:r w:rsidRPr="00BE5B85">
        <w:t xml:space="preserve"> dienen onder meer de volgende gegevens te worden overlegd:</w:t>
      </w:r>
    </w:p>
    <w:p w:rsidR="00A64945" w:rsidRPr="00BE5B85" w:rsidRDefault="00A64945" w:rsidP="009173EC">
      <w:pPr>
        <w:pStyle w:val="ListParagraph"/>
        <w:numPr>
          <w:ilvl w:val="0"/>
          <w:numId w:val="11"/>
        </w:numPr>
        <w:spacing w:after="0" w:line="360" w:lineRule="auto"/>
        <w:jc w:val="both"/>
      </w:pPr>
      <w:r w:rsidRPr="00BE5B85">
        <w:t>de statuten van de vennootschap;</w:t>
      </w:r>
    </w:p>
    <w:p w:rsidR="00A64945" w:rsidRPr="00BE5B85" w:rsidRDefault="00A64945" w:rsidP="009173EC">
      <w:pPr>
        <w:pStyle w:val="ListParagraph"/>
        <w:numPr>
          <w:ilvl w:val="0"/>
          <w:numId w:val="11"/>
        </w:numPr>
        <w:spacing w:after="0" w:line="360" w:lineRule="auto"/>
        <w:jc w:val="both"/>
      </w:pPr>
      <w:r w:rsidRPr="00BE5B85">
        <w:t>het bewijs van inschrijving bij de Kamer van Koophandel in de Antillen;</w:t>
      </w:r>
    </w:p>
    <w:p w:rsidR="00A64945" w:rsidRDefault="00A64945" w:rsidP="009173EC">
      <w:pPr>
        <w:pStyle w:val="ListParagraph"/>
        <w:numPr>
          <w:ilvl w:val="0"/>
          <w:numId w:val="11"/>
        </w:numPr>
        <w:spacing w:after="0" w:line="360" w:lineRule="auto"/>
        <w:jc w:val="both"/>
      </w:pPr>
      <w:r w:rsidRPr="00BE5B85">
        <w:t>een</w:t>
      </w:r>
      <w:r>
        <w:t xml:space="preserve"> uitreksel uit het aandeelhoudersregister van de vennootschap dat informatie met betrekking tot de uiteindelijke gerechtigden van een vennootschap bevat;</w:t>
      </w:r>
      <w:r>
        <w:rPr>
          <w:rStyle w:val="FootnoteReference"/>
          <w:rFonts w:cs="Arial"/>
        </w:rPr>
        <w:footnoteReference w:id="285"/>
      </w:r>
    </w:p>
    <w:p w:rsidR="00A64945" w:rsidRPr="00BE5B85" w:rsidRDefault="00A64945" w:rsidP="009173EC">
      <w:pPr>
        <w:pStyle w:val="ListParagraph"/>
        <w:numPr>
          <w:ilvl w:val="0"/>
          <w:numId w:val="11"/>
        </w:numPr>
        <w:spacing w:after="0" w:line="360" w:lineRule="auto"/>
        <w:jc w:val="both"/>
      </w:pPr>
      <w:r w:rsidRPr="00BE5B85">
        <w:t xml:space="preserve"> een beknopte ondernemingsplan;</w:t>
      </w:r>
    </w:p>
    <w:p w:rsidR="00A64945" w:rsidRPr="00BE5B85" w:rsidRDefault="00A64945" w:rsidP="009173EC">
      <w:pPr>
        <w:pStyle w:val="ListParagraph"/>
        <w:numPr>
          <w:ilvl w:val="0"/>
          <w:numId w:val="11"/>
        </w:numPr>
        <w:spacing w:after="0" w:line="360" w:lineRule="auto"/>
        <w:jc w:val="both"/>
      </w:pPr>
      <w:r w:rsidRPr="00BE5B85">
        <w:t>een bewijs dat er lokaal (bij een Antilliaanse bank) een bankrekening wordt aangehouden</w:t>
      </w:r>
      <w:r>
        <w:t xml:space="preserve"> en;</w:t>
      </w:r>
    </w:p>
    <w:p w:rsidR="00A64945" w:rsidRPr="0014589B" w:rsidRDefault="00A64945" w:rsidP="009173EC">
      <w:pPr>
        <w:pStyle w:val="Default"/>
        <w:numPr>
          <w:ilvl w:val="0"/>
          <w:numId w:val="11"/>
        </w:numPr>
        <w:spacing w:line="360" w:lineRule="auto"/>
        <w:jc w:val="both"/>
        <w:rPr>
          <w:rFonts w:ascii="Calibri" w:hAnsi="Calibri"/>
          <w:sz w:val="22"/>
          <w:szCs w:val="22"/>
          <w:lang w:val="nl-NL"/>
        </w:rPr>
      </w:pPr>
      <w:r>
        <w:rPr>
          <w:rFonts w:ascii="Calibri" w:hAnsi="Calibri"/>
          <w:sz w:val="22"/>
          <w:szCs w:val="22"/>
          <w:lang w:val="nl-NL"/>
        </w:rPr>
        <w:lastRenderedPageBreak/>
        <w:t xml:space="preserve">een verklaring, afgegeven door de Inspectie der Invoerrechten, waarin staat aangegeven </w:t>
      </w:r>
      <w:r w:rsidRPr="0014589B">
        <w:rPr>
          <w:rFonts w:ascii="Calibri" w:hAnsi="Calibri"/>
          <w:sz w:val="22"/>
          <w:szCs w:val="22"/>
          <w:lang w:val="nl-NL"/>
        </w:rPr>
        <w:t xml:space="preserve">dat de </w:t>
      </w:r>
      <w:r>
        <w:rPr>
          <w:rFonts w:ascii="Calibri" w:hAnsi="Calibri"/>
          <w:sz w:val="22"/>
          <w:szCs w:val="22"/>
          <w:lang w:val="nl-NL"/>
        </w:rPr>
        <w:t xml:space="preserve">(vertegenwoordiger van de) </w:t>
      </w:r>
      <w:r w:rsidRPr="0014589B">
        <w:rPr>
          <w:rFonts w:ascii="Calibri" w:hAnsi="Calibri"/>
          <w:sz w:val="22"/>
          <w:szCs w:val="22"/>
          <w:lang w:val="nl-NL"/>
        </w:rPr>
        <w:t xml:space="preserve">vennootschap </w:t>
      </w:r>
      <w:r>
        <w:rPr>
          <w:rFonts w:ascii="Calibri" w:hAnsi="Calibri"/>
          <w:sz w:val="22"/>
          <w:szCs w:val="22"/>
          <w:lang w:val="nl-NL"/>
        </w:rPr>
        <w:t xml:space="preserve">heeft verklaard </w:t>
      </w:r>
      <w:r w:rsidRPr="0014589B">
        <w:rPr>
          <w:rFonts w:ascii="Calibri" w:hAnsi="Calibri"/>
          <w:sz w:val="22"/>
          <w:szCs w:val="22"/>
          <w:lang w:val="nl-NL"/>
        </w:rPr>
        <w:t xml:space="preserve">zich </w:t>
      </w:r>
      <w:r>
        <w:rPr>
          <w:rFonts w:ascii="Calibri" w:hAnsi="Calibri"/>
          <w:sz w:val="22"/>
          <w:szCs w:val="22"/>
          <w:lang w:val="nl-NL"/>
        </w:rPr>
        <w:t xml:space="preserve">te </w:t>
      </w:r>
      <w:r w:rsidRPr="0014589B">
        <w:rPr>
          <w:rFonts w:ascii="Calibri" w:hAnsi="Calibri"/>
          <w:sz w:val="22"/>
          <w:szCs w:val="22"/>
          <w:lang w:val="nl-NL"/>
        </w:rPr>
        <w:t xml:space="preserve">houden aan de regels </w:t>
      </w:r>
      <w:r>
        <w:rPr>
          <w:rFonts w:ascii="Calibri" w:hAnsi="Calibri"/>
          <w:sz w:val="22"/>
          <w:szCs w:val="22"/>
          <w:lang w:val="nl-NL"/>
        </w:rPr>
        <w:t>en voorschriften van de douane (douaneverklaring).</w:t>
      </w:r>
    </w:p>
    <w:p w:rsidR="00A64945" w:rsidRPr="00BE5B85" w:rsidRDefault="00A64945" w:rsidP="009173EC">
      <w:pPr>
        <w:spacing w:after="0" w:line="360" w:lineRule="auto"/>
        <w:jc w:val="both"/>
      </w:pPr>
      <w:r w:rsidRPr="00BE5B85">
        <w:t xml:space="preserve">Het besluit tot instelling dan wel opheffing van een </w:t>
      </w:r>
      <w:r>
        <w:t>economische zone</w:t>
      </w:r>
      <w:r w:rsidRPr="00BE5B85">
        <w:t xml:space="preserve"> wordt door het bestuurscollege afgegeven.</w:t>
      </w:r>
      <w:r w:rsidRPr="00BE5B85">
        <w:rPr>
          <w:rStyle w:val="FootnoteReference"/>
          <w:rFonts w:cs="Arial"/>
        </w:rPr>
        <w:footnoteReference w:id="286"/>
      </w:r>
      <w:r w:rsidRPr="00BE5B85">
        <w:t xml:space="preserve"> Onder bepaalde voorwaarden</w:t>
      </w:r>
      <w:r w:rsidRPr="00BE5B85">
        <w:rPr>
          <w:rStyle w:val="FootnoteReference"/>
          <w:rFonts w:cs="Arial"/>
        </w:rPr>
        <w:footnoteReference w:id="287"/>
      </w:r>
      <w:r w:rsidRPr="00BE5B85">
        <w:t xml:space="preserve"> heeft het bestuurscollege de bevoegdheid een afgevaardigd besluit tot toelating</w:t>
      </w:r>
      <w:r>
        <w:t xml:space="preserve"> tot een economische zone</w:t>
      </w:r>
      <w:r w:rsidRPr="00BE5B85">
        <w:t xml:space="preserve"> in te trekken.</w:t>
      </w:r>
      <w:r>
        <w:rPr>
          <w:rStyle w:val="FootnoteReference"/>
          <w:rFonts w:cs="Arial"/>
        </w:rPr>
        <w:footnoteReference w:id="288"/>
      </w:r>
      <w:r w:rsidRPr="00BE5B85">
        <w:t xml:space="preserve"> Tevens geeft de LEZ </w:t>
      </w:r>
      <w:r>
        <w:t xml:space="preserve">2000 </w:t>
      </w:r>
      <w:r w:rsidRPr="00BE5B85">
        <w:t>het bestuurscollege de vrijheid nadere voorschriften en beperkingen aan de toelating te verbinden. De beslissing op de toelatingsaanvraag</w:t>
      </w:r>
      <w:r>
        <w:rPr>
          <w:rStyle w:val="FootnoteReference"/>
          <w:rFonts w:cs="Arial"/>
        </w:rPr>
        <w:footnoteReference w:id="289"/>
      </w:r>
      <w:r w:rsidRPr="00BE5B85">
        <w:t xml:space="preserve"> is een beschikking in de zin van de Landsverordening Administratieve Rechtspraak.</w:t>
      </w:r>
      <w:r w:rsidRPr="00CC40F7">
        <w:rPr>
          <w:rStyle w:val="FootnoteReference"/>
          <w:rFonts w:cs="Arial"/>
        </w:rPr>
        <w:t xml:space="preserve"> </w:t>
      </w:r>
      <w:r w:rsidRPr="00BE5B85">
        <w:rPr>
          <w:rStyle w:val="FootnoteReference"/>
          <w:rFonts w:cs="Arial"/>
        </w:rPr>
        <w:footnoteReference w:id="290"/>
      </w:r>
      <w:r>
        <w:t xml:space="preserve"> </w:t>
      </w:r>
      <w:r w:rsidRPr="00BE5B85">
        <w:t xml:space="preserve">Dientengevolge kan </w:t>
      </w:r>
      <w:r>
        <w:t>een belanghebbende</w:t>
      </w:r>
      <w:r w:rsidRPr="00BE5B85">
        <w:t xml:space="preserve"> indien </w:t>
      </w:r>
      <w:r>
        <w:t>hij</w:t>
      </w:r>
      <w:r w:rsidRPr="00BE5B85">
        <w:t xml:space="preserve"> het oneens is met deze beschikking, bezwaar aantekenen en hiertegen in be</w:t>
      </w:r>
      <w:r>
        <w:t>roep gaan bij het Gerecht in Eerste Aanleg</w:t>
      </w:r>
      <w:r w:rsidRPr="00BE5B85">
        <w:t>.</w:t>
      </w:r>
    </w:p>
    <w:p w:rsidR="00A64945" w:rsidRDefault="00A64945" w:rsidP="009173EC">
      <w:pPr>
        <w:pStyle w:val="Heading2"/>
        <w:spacing w:before="0" w:line="360" w:lineRule="auto"/>
        <w:jc w:val="both"/>
        <w:rPr>
          <w:color w:val="auto"/>
        </w:rPr>
      </w:pPr>
    </w:p>
    <w:p w:rsidR="00A64945" w:rsidRPr="00F86C02" w:rsidRDefault="00A64945" w:rsidP="009173EC">
      <w:pPr>
        <w:pStyle w:val="Heading2"/>
        <w:spacing w:before="0" w:line="360" w:lineRule="auto"/>
        <w:jc w:val="both"/>
        <w:rPr>
          <w:color w:val="auto"/>
        </w:rPr>
      </w:pPr>
      <w:bookmarkStart w:id="91" w:name="_Toc286233834"/>
      <w:bookmarkStart w:id="92" w:name="_Toc299634302"/>
      <w:r w:rsidRPr="00F86C02">
        <w:rPr>
          <w:color w:val="auto"/>
        </w:rPr>
        <w:t>§</w:t>
      </w:r>
      <w:r>
        <w:rPr>
          <w:color w:val="auto"/>
        </w:rPr>
        <w:t>3</w:t>
      </w:r>
      <w:r w:rsidRPr="00F86C02">
        <w:rPr>
          <w:color w:val="auto"/>
        </w:rPr>
        <w:t>.3. Fiscale faciliteiten verbonden aan de E- Zone</w:t>
      </w:r>
      <w:bookmarkEnd w:id="91"/>
      <w:bookmarkEnd w:id="92"/>
    </w:p>
    <w:p w:rsidR="00A64945" w:rsidRDefault="00A64945" w:rsidP="009173EC">
      <w:pPr>
        <w:spacing w:after="0" w:line="360" w:lineRule="auto"/>
        <w:jc w:val="both"/>
      </w:pPr>
      <w:r>
        <w:t>De wetgeving omtrent de E- Zone is in 2001 tot stand gekomen om de economie van Curaçao te stimuleren door een gunstige investeringsklimaat te creëren. Dat is gedaan door voor (internationale) ondernemers verscheidene fiscale faciliteiten te verbinden aan het gevestigd zijn in een Curaçaose E- Zone. In de volgende paragrafen komen deze faciliteiten per belastingsoort aan de orde. Achtereenvolgend worden de faciliteiten in de winstbelasting, de omzetbelasting, de invoerrechten en accijnzen, loonbelasting en tenslotte de grondbelasting en de verbruiksbelasting (overige belastingen) behandeld.</w:t>
      </w:r>
    </w:p>
    <w:p w:rsidR="00A64945" w:rsidRDefault="00A64945" w:rsidP="009173EC">
      <w:pPr>
        <w:pStyle w:val="Heading3"/>
        <w:spacing w:before="0" w:line="360" w:lineRule="auto"/>
        <w:jc w:val="both"/>
      </w:pPr>
      <w:bookmarkStart w:id="93" w:name="_Toc286233835"/>
    </w:p>
    <w:p w:rsidR="00A64945" w:rsidRPr="00F66AA9" w:rsidRDefault="00A64945" w:rsidP="009173EC">
      <w:pPr>
        <w:pStyle w:val="Heading3"/>
        <w:spacing w:before="0" w:line="360" w:lineRule="auto"/>
        <w:jc w:val="both"/>
      </w:pPr>
      <w:bookmarkStart w:id="94" w:name="_Toc299634303"/>
      <w:r w:rsidRPr="00F66AA9">
        <w:t>§</w:t>
      </w:r>
      <w:r>
        <w:t>3</w:t>
      </w:r>
      <w:r w:rsidRPr="00F66AA9">
        <w:t>.3.1. W</w:t>
      </w:r>
      <w:r>
        <w:t>instbelasting</w:t>
      </w:r>
      <w:bookmarkEnd w:id="93"/>
      <w:bookmarkEnd w:id="94"/>
    </w:p>
    <w:p w:rsidR="00A64945" w:rsidRPr="00BE5B85" w:rsidRDefault="00A64945" w:rsidP="009173EC">
      <w:pPr>
        <w:spacing w:line="360" w:lineRule="auto"/>
        <w:jc w:val="both"/>
      </w:pPr>
      <w:r w:rsidRPr="00BE5B85">
        <w:t xml:space="preserve">De </w:t>
      </w:r>
      <w:r>
        <w:t xml:space="preserve">gerealiseerde </w:t>
      </w:r>
      <w:r w:rsidRPr="00BE5B85">
        <w:t>winst van E- vennootschappen wordt belast tegen 2%.</w:t>
      </w:r>
      <w:r>
        <w:rPr>
          <w:rStyle w:val="FootnoteReference"/>
          <w:rFonts w:cs="Arial"/>
        </w:rPr>
        <w:footnoteReference w:id="291"/>
      </w:r>
      <w:r w:rsidRPr="00BE5B85">
        <w:t xml:space="preserve"> De winstbepaling van E- vennootschappen vindt zijn grondslag in de Landsverordening op de winstbelasting 1940 (hierna</w:t>
      </w:r>
      <w:r>
        <w:t>:</w:t>
      </w:r>
      <w:r w:rsidRPr="00BE5B85">
        <w:t xml:space="preserve"> Lwb 1940).</w:t>
      </w:r>
      <w:r w:rsidRPr="00BE5B85">
        <w:rPr>
          <w:rStyle w:val="FootnoteReference"/>
          <w:rFonts w:cs="Arial"/>
        </w:rPr>
        <w:footnoteReference w:id="292"/>
      </w:r>
      <w:r w:rsidRPr="00BE5B85">
        <w:t xml:space="preserve"> Met uitzondering van art. 15, inzake het tarief, is de Lwb 1940 volledig van toepassing op de E- vennootschap. De winstbepaling van E- vennootschappen volgt</w:t>
      </w:r>
      <w:r>
        <w:t xml:space="preserve"> dus</w:t>
      </w:r>
      <w:r w:rsidRPr="00BE5B85">
        <w:t xml:space="preserve"> de</w:t>
      </w:r>
      <w:r>
        <w:t xml:space="preserve"> reguliere</w:t>
      </w:r>
      <w:r w:rsidRPr="00BE5B85">
        <w:t xml:space="preserve"> regels van de Lwb 1940. Hier zijn een aantal relevante consequenties aan verbonden. De jaarwinst van een E- </w:t>
      </w:r>
      <w:r w:rsidRPr="00BE5B85">
        <w:lastRenderedPageBreak/>
        <w:t>vennootschap wordt bijvoorbeeld bepaald door goedkoopmansgebruik.</w:t>
      </w:r>
      <w:r>
        <w:rPr>
          <w:rStyle w:val="FootnoteReference"/>
          <w:rFonts w:cs="Arial"/>
        </w:rPr>
        <w:footnoteReference w:id="293"/>
      </w:r>
      <w:r w:rsidRPr="00BE5B85">
        <w:t xml:space="preserve"> </w:t>
      </w:r>
      <w:r>
        <w:t>Voorts kan een</w:t>
      </w:r>
      <w:r w:rsidRPr="00BE5B85">
        <w:t xml:space="preserve"> E- vennootschap beroep doen op de mogelijkheid van tien jaar voorwaartse verliesverrekening.</w:t>
      </w:r>
      <w:r>
        <w:rPr>
          <w:rStyle w:val="FootnoteReference"/>
          <w:rFonts w:cs="Arial"/>
        </w:rPr>
        <w:footnoteReference w:id="294"/>
      </w:r>
      <w:r w:rsidRPr="00BE5B85">
        <w:t xml:space="preserve"> Belastingverliezen van een E- vennootschap kunnen worden verrekend</w:t>
      </w:r>
      <w:r>
        <w:t xml:space="preserve"> </w:t>
      </w:r>
      <w:r w:rsidRPr="00BE5B85">
        <w:t>met belastingwinsten van de komende</w:t>
      </w:r>
      <w:r>
        <w:rPr>
          <w:rStyle w:val="FootnoteReference"/>
          <w:rFonts w:cs="Arial"/>
        </w:rPr>
        <w:footnoteReference w:id="295"/>
      </w:r>
      <w:r w:rsidRPr="00BE5B85">
        <w:t xml:space="preserve">  tien jaren.</w:t>
      </w:r>
      <w:r w:rsidRPr="00BE5B85">
        <w:rPr>
          <w:rStyle w:val="FootnoteReference"/>
          <w:rFonts w:cs="Arial"/>
        </w:rPr>
        <w:footnoteReference w:id="296"/>
      </w:r>
      <w:r w:rsidRPr="00BE5B85">
        <w:t xml:space="preserve"> </w:t>
      </w:r>
      <w:r w:rsidRPr="00DE622E">
        <w:t>De toepassing van de investeringsaftrek door E- vennootschappen is echter expliciet uitgesloten.</w:t>
      </w:r>
      <w:r w:rsidRPr="00DE622E">
        <w:rPr>
          <w:rStyle w:val="FootnoteReference"/>
          <w:rFonts w:cs="Arial"/>
        </w:rPr>
        <w:footnoteReference w:id="297"/>
      </w:r>
    </w:p>
    <w:p w:rsidR="00A64945" w:rsidRPr="00D129DC" w:rsidRDefault="00A64945" w:rsidP="00D129DC">
      <w:pPr>
        <w:spacing w:after="0" w:line="360" w:lineRule="auto"/>
        <w:jc w:val="both"/>
        <w:rPr>
          <w:color w:val="FF0000"/>
        </w:rPr>
      </w:pPr>
      <w:r w:rsidRPr="00BE5B85">
        <w:t>Wat betreft activiteiten die vanuit een E- Zone aan binnen de N</w:t>
      </w:r>
      <w:r>
        <w:t xml:space="preserve">ederlandse </w:t>
      </w:r>
      <w:r w:rsidRPr="00BE5B85">
        <w:t>A</w:t>
      </w:r>
      <w:r>
        <w:t>ntillen</w:t>
      </w:r>
      <w:r w:rsidRPr="00BE5B85">
        <w:t xml:space="preserve"> gevestigde</w:t>
      </w:r>
      <w:r>
        <w:t xml:space="preserve"> bedrijven en/of personen (eindgebruikers)</w:t>
      </w:r>
      <w:r w:rsidRPr="00BE5B85">
        <w:t xml:space="preserve"> worden verricht, geldt op grond van art. 11, tweede lid LEZ 2000 het reguliere tarief. Het reguliere tarief van de N</w:t>
      </w:r>
      <w:r>
        <w:t xml:space="preserve">ederlandse </w:t>
      </w:r>
      <w:r w:rsidRPr="00BE5B85">
        <w:t>A</w:t>
      </w:r>
      <w:r>
        <w:t>ntillen</w:t>
      </w:r>
      <w:r w:rsidRPr="00BE5B85">
        <w:t xml:space="preserve"> is 30%. De eilandgebieden zijn bevoegd om opcenten</w:t>
      </w:r>
      <w:r>
        <w:rPr>
          <w:rStyle w:val="FootnoteReference"/>
          <w:rFonts w:cs="Arial"/>
        </w:rPr>
        <w:footnoteReference w:id="298"/>
      </w:r>
      <w:r w:rsidRPr="00BE5B85">
        <w:t xml:space="preserve"> te heffen. Inclusief opcenten bedraagt het reguliere </w:t>
      </w:r>
      <w:r>
        <w:t>winstbelasting</w:t>
      </w:r>
      <w:r w:rsidRPr="00BE5B85">
        <w:t>tarief 34.5% in Curaçao. Winsten die gegenereerd zijn door de verkoop van goederen of diensten aan bedrijven of personen die inwoners zijn van de N</w:t>
      </w:r>
      <w:r>
        <w:t xml:space="preserve">ederlandse </w:t>
      </w:r>
      <w:r w:rsidRPr="00BE5B85">
        <w:t>A</w:t>
      </w:r>
      <w:r>
        <w:t>ntillen</w:t>
      </w:r>
      <w:r w:rsidRPr="00BE5B85">
        <w:t xml:space="preserve"> worden in Curaçao dus belast tegen het gangbare belastingtarief van 34.5%. </w:t>
      </w:r>
      <w:r>
        <w:t>Voorwaarde hierbij is dat de winst behaald door transacties met afnemers die binnen de Nederlandse Antillen zijn gevestigd, niet meer bedraagt dan 25% van de totale winst van de E- vennootschap.</w:t>
      </w:r>
      <w:r>
        <w:rPr>
          <w:rStyle w:val="FootnoteReference"/>
          <w:rFonts w:cs="Arial"/>
        </w:rPr>
        <w:footnoteReference w:id="299"/>
      </w:r>
    </w:p>
    <w:p w:rsidR="00A64945" w:rsidRPr="00622F9D" w:rsidRDefault="00A64945" w:rsidP="00622F9D">
      <w:pPr>
        <w:autoSpaceDE w:val="0"/>
        <w:autoSpaceDN w:val="0"/>
        <w:adjustRightInd w:val="0"/>
        <w:spacing w:after="0" w:line="360" w:lineRule="auto"/>
        <w:jc w:val="both"/>
      </w:pPr>
      <w:r w:rsidRPr="000E2C21">
        <w:lastRenderedPageBreak/>
        <w:t xml:space="preserve">Indien </w:t>
      </w:r>
      <w:r>
        <w:t>een E- Zonevennootschap</w:t>
      </w:r>
      <w:r w:rsidRPr="000E2C21">
        <w:t xml:space="preserve"> zaken wenst te doen met afnemers</w:t>
      </w:r>
      <w:r>
        <w:rPr>
          <w:rStyle w:val="FootnoteReference"/>
          <w:rFonts w:cs="Arial"/>
        </w:rPr>
        <w:footnoteReference w:id="300"/>
      </w:r>
      <w:r w:rsidRPr="000E2C21">
        <w:t xml:space="preserve"> in de Nederlandse Antillen, dan zal </w:t>
      </w:r>
      <w:r>
        <w:t>de vennootschap</w:t>
      </w:r>
      <w:r w:rsidRPr="000E2C21">
        <w:t xml:space="preserve"> hiervoor toestemming moeten vragen aan het Departement van Economische Zaken. </w:t>
      </w:r>
      <w:r>
        <w:t>Art. 7, lid 2 LEZ 2000 bepaalt dat ‘</w:t>
      </w:r>
      <w:r>
        <w:rPr>
          <w:rFonts w:cs="Times New Roman"/>
          <w:i/>
        </w:rPr>
        <w:t>l</w:t>
      </w:r>
      <w:r w:rsidRPr="000E2C21">
        <w:rPr>
          <w:rFonts w:cs="Times New Roman"/>
          <w:i/>
        </w:rPr>
        <w:t>evering aan het binnenland van goederen aanwezig in een economische zone</w:t>
      </w:r>
      <w:r>
        <w:rPr>
          <w:rFonts w:cs="Times New Roman"/>
          <w:i/>
        </w:rPr>
        <w:t xml:space="preserve"> door een rechtspersoon</w:t>
      </w:r>
      <w:r w:rsidRPr="000E2C21">
        <w:rPr>
          <w:rFonts w:cs="Times New Roman"/>
          <w:i/>
        </w:rPr>
        <w:t xml:space="preserve"> </w:t>
      </w:r>
      <w:r>
        <w:rPr>
          <w:rFonts w:cs="Times New Roman"/>
          <w:i/>
        </w:rPr>
        <w:t xml:space="preserve">(...) </w:t>
      </w:r>
      <w:r w:rsidRPr="000E2C21">
        <w:rPr>
          <w:rFonts w:cs="Times New Roman"/>
          <w:i/>
        </w:rPr>
        <w:t>slechts mogelijk is op grond van een door</w:t>
      </w:r>
      <w:r>
        <w:rPr>
          <w:rFonts w:cs="Times New Roman"/>
          <w:i/>
        </w:rPr>
        <w:t xml:space="preserve"> </w:t>
      </w:r>
      <w:r w:rsidRPr="000E2C21">
        <w:rPr>
          <w:rFonts w:cs="Times New Roman"/>
          <w:i/>
        </w:rPr>
        <w:t>het bestuurscollege in overeenstemming met de Minister van Financiën verleende</w:t>
      </w:r>
      <w:r>
        <w:rPr>
          <w:rFonts w:cs="Times New Roman"/>
          <w:i/>
        </w:rPr>
        <w:t xml:space="preserve"> </w:t>
      </w:r>
      <w:r w:rsidRPr="000E2C21">
        <w:rPr>
          <w:rFonts w:cs="Times New Roman"/>
          <w:i/>
        </w:rPr>
        <w:t>vergunning.</w:t>
      </w:r>
      <w:r>
        <w:rPr>
          <w:rFonts w:cs="Times New Roman"/>
          <w:i/>
        </w:rPr>
        <w:t xml:space="preserve">’ </w:t>
      </w:r>
      <w:r>
        <w:rPr>
          <w:rFonts w:cs="Times New Roman"/>
        </w:rPr>
        <w:t xml:space="preserve">En dat </w:t>
      </w:r>
      <w:r w:rsidRPr="001B1481">
        <w:rPr>
          <w:rFonts w:cs="Times New Roman"/>
          <w:i/>
        </w:rPr>
        <w:t>‘de vergunning wordt voor een bepaalde termijn verleend en kan telkens door het bestuurscollege worden verlengd.’</w:t>
      </w:r>
      <w:r>
        <w:rPr>
          <w:rFonts w:cs="Times New Roman"/>
          <w:i/>
        </w:rPr>
        <w:t xml:space="preserve"> </w:t>
      </w:r>
      <w:r w:rsidRPr="000E2C21">
        <w:t>Toestemming</w:t>
      </w:r>
      <w:r>
        <w:t xml:space="preserve"> om de binnenlandse markt te bedienen</w:t>
      </w:r>
      <w:r w:rsidRPr="000E2C21">
        <w:t xml:space="preserve"> zal onder nader te stellen voorwaarden worden verleend. Deze voorwaarden kunnen betr</w:t>
      </w:r>
      <w:r>
        <w:t xml:space="preserve">ekking hebben op prijsbepaling, </w:t>
      </w:r>
      <w:r w:rsidRPr="000E2C21">
        <w:t>kwaliteit van de goederen en diensten en de aflevering van goederen.</w:t>
      </w:r>
      <w:r>
        <w:rPr>
          <w:rStyle w:val="FootnoteReference"/>
          <w:rFonts w:cs="Arial"/>
        </w:rPr>
        <w:footnoteReference w:id="301"/>
      </w:r>
      <w:r w:rsidRPr="000E2C21">
        <w:t xml:space="preserve"> </w:t>
      </w:r>
      <w:r w:rsidRPr="00622F9D">
        <w:rPr>
          <w:rFonts w:cs="Times New Roman"/>
        </w:rPr>
        <w:t>De vergunning kan door het bestuurscollege worden ingetrokken indien de aan de vergunning verbonden voorschriften niet of niet volledig in acht zijn genomen.</w:t>
      </w:r>
      <w:r>
        <w:rPr>
          <w:rStyle w:val="FootnoteReference"/>
        </w:rPr>
        <w:footnoteReference w:id="302"/>
      </w:r>
      <w:r w:rsidRPr="00470675">
        <w:t xml:space="preserve"> </w:t>
      </w:r>
    </w:p>
    <w:p w:rsidR="00A64945" w:rsidRDefault="00A64945" w:rsidP="009173EC">
      <w:pPr>
        <w:spacing w:line="360" w:lineRule="auto"/>
        <w:jc w:val="both"/>
      </w:pPr>
      <w:r w:rsidRPr="00BE5B85">
        <w:t>Belastingplichtigen in de E- Zone met binnenlandse omzet dienen hun winst te splitsen in een regulier belast (34.5%) en een laagbelast (2%) deel.</w:t>
      </w:r>
      <w:r w:rsidRPr="000F181D">
        <w:rPr>
          <w:rStyle w:val="FootnoteReference"/>
          <w:rFonts w:cs="Arial"/>
        </w:rPr>
        <w:t xml:space="preserve"> </w:t>
      </w:r>
      <w:r w:rsidRPr="00BE5B85">
        <w:rPr>
          <w:rStyle w:val="FootnoteReference"/>
          <w:rFonts w:cs="Arial"/>
        </w:rPr>
        <w:footnoteReference w:id="303"/>
      </w:r>
      <w:r w:rsidRPr="00BE5B85">
        <w:t xml:space="preserve"> Voor winst behaald met transacties tussen Antilliaanse E- vennootschappen onderling geldt ook het 2%-tarief. Het 2%- tarief is tevens van toepassing op: </w:t>
      </w:r>
    </w:p>
    <w:p w:rsidR="00A64945" w:rsidRPr="00BE5B85" w:rsidRDefault="00A64945" w:rsidP="009173EC">
      <w:pPr>
        <w:pStyle w:val="ListParagraph"/>
        <w:numPr>
          <w:ilvl w:val="0"/>
          <w:numId w:val="12"/>
        </w:numPr>
        <w:spacing w:line="360" w:lineRule="auto"/>
        <w:jc w:val="both"/>
      </w:pPr>
      <w:r w:rsidRPr="00BE5B85">
        <w:t>de winst van beheerder- exploitanten en;</w:t>
      </w:r>
      <w:r w:rsidRPr="00BE5B85">
        <w:rPr>
          <w:rStyle w:val="FootnoteReference"/>
          <w:rFonts w:cs="Arial"/>
        </w:rPr>
        <w:footnoteReference w:id="304"/>
      </w:r>
    </w:p>
    <w:p w:rsidR="00A64945" w:rsidRPr="00BE5B85" w:rsidRDefault="00A64945" w:rsidP="009173EC">
      <w:pPr>
        <w:pStyle w:val="ListParagraph"/>
        <w:numPr>
          <w:ilvl w:val="0"/>
          <w:numId w:val="12"/>
        </w:numPr>
        <w:tabs>
          <w:tab w:val="left" w:pos="3150"/>
        </w:tabs>
        <w:spacing w:after="0" w:line="360" w:lineRule="auto"/>
        <w:jc w:val="both"/>
      </w:pPr>
      <w:r w:rsidRPr="00BE5B85">
        <w:t xml:space="preserve">De winst van belastingplichtigen met een projectontwikkelaarvergunning, voor zover deze winst is behaald met de ontwikkeling van infrastructurele voorzieningen in de economische zone , inclusief de exploitatie en vervreemding daarvan. </w:t>
      </w:r>
      <w:r w:rsidRPr="00BE5B85">
        <w:rPr>
          <w:rStyle w:val="FootnoteReference"/>
          <w:rFonts w:cs="Arial"/>
        </w:rPr>
        <w:footnoteReference w:id="305"/>
      </w:r>
      <w:r w:rsidRPr="00BE5B85">
        <w:t xml:space="preserve"> </w:t>
      </w:r>
    </w:p>
    <w:p w:rsidR="00A64945" w:rsidRDefault="00A64945" w:rsidP="009173EC">
      <w:pPr>
        <w:spacing w:line="360" w:lineRule="auto"/>
        <w:jc w:val="both"/>
      </w:pPr>
      <w:r w:rsidRPr="00BE5B85">
        <w:t>Het 2%- tarief is in elk geval tot 1 januari 2026 van kracht.</w:t>
      </w:r>
      <w:r w:rsidRPr="00BE5B85">
        <w:rPr>
          <w:rStyle w:val="FootnoteReference"/>
          <w:rFonts w:cs="Arial"/>
        </w:rPr>
        <w:footnoteReference w:id="306"/>
      </w:r>
      <w:r>
        <w:t xml:space="preserve"> Wat er daarna zal gebeuren is nog onbekend. </w:t>
      </w:r>
    </w:p>
    <w:p w:rsidR="00A64945" w:rsidRPr="00954A34" w:rsidRDefault="00A64945" w:rsidP="009173EC">
      <w:pPr>
        <w:pStyle w:val="Heading4"/>
        <w:spacing w:before="0" w:line="360" w:lineRule="auto"/>
        <w:jc w:val="both"/>
      </w:pPr>
      <w:bookmarkStart w:id="95" w:name="_Toc286233836"/>
      <w:bookmarkStart w:id="96" w:name="_Toc299634304"/>
      <w:r w:rsidRPr="00954A34">
        <w:t>§</w:t>
      </w:r>
      <w:r>
        <w:t>3</w:t>
      </w:r>
      <w:r w:rsidRPr="00954A34">
        <w:t>.3.1.1. Deelnemingsvrijstelling</w:t>
      </w:r>
      <w:bookmarkEnd w:id="95"/>
      <w:bookmarkEnd w:id="96"/>
    </w:p>
    <w:p w:rsidR="00A64945" w:rsidRDefault="00A64945" w:rsidP="004B70BB">
      <w:pPr>
        <w:pStyle w:val="Default"/>
        <w:jc w:val="both"/>
        <w:rPr>
          <w:rFonts w:ascii="Calibri" w:hAnsi="Calibri"/>
          <w:b/>
          <w:sz w:val="18"/>
          <w:szCs w:val="18"/>
          <w:lang w:val="nl-NL"/>
        </w:rPr>
      </w:pPr>
    </w:p>
    <w:p w:rsidR="00A64945" w:rsidRPr="004B70BB" w:rsidRDefault="00A64945" w:rsidP="004B70BB">
      <w:pPr>
        <w:pStyle w:val="Default"/>
        <w:jc w:val="both"/>
        <w:rPr>
          <w:rFonts w:ascii="Calibri" w:hAnsi="Calibri"/>
          <w:b/>
          <w:i/>
          <w:sz w:val="18"/>
          <w:szCs w:val="18"/>
          <w:lang w:val="nl-NL"/>
        </w:rPr>
      </w:pPr>
      <w:r w:rsidRPr="004B70BB">
        <w:rPr>
          <w:rFonts w:ascii="Calibri" w:hAnsi="Calibri"/>
          <w:b/>
          <w:i/>
          <w:sz w:val="18"/>
          <w:szCs w:val="18"/>
          <w:lang w:val="nl-NL"/>
        </w:rPr>
        <w:t>Nederlands- Antilliaanse deelnemingsvrijstelling</w:t>
      </w:r>
    </w:p>
    <w:p w:rsidR="00A64945" w:rsidRPr="002B71A2" w:rsidRDefault="00A64945" w:rsidP="004B70BB">
      <w:pPr>
        <w:pStyle w:val="Default"/>
        <w:spacing w:line="360" w:lineRule="auto"/>
        <w:jc w:val="both"/>
        <w:rPr>
          <w:rFonts w:ascii="Calibri" w:hAnsi="Calibri"/>
          <w:sz w:val="22"/>
          <w:szCs w:val="22"/>
          <w:lang w:val="nl-NL"/>
        </w:rPr>
      </w:pPr>
      <w:r w:rsidRPr="002B71A2">
        <w:rPr>
          <w:rFonts w:ascii="Calibri" w:hAnsi="Calibri"/>
          <w:sz w:val="22"/>
          <w:szCs w:val="22"/>
          <w:lang w:val="nl-NL"/>
        </w:rPr>
        <w:t xml:space="preserve">De E- vennootschap kwalificeert voor de Nederlands- Antilliaanse deelnemingsvrijstelling, op basis waarvan zowel de winst bij vervreemding als dividenduitkeringen vrijgesteld zijn van winstbelasting. </w:t>
      </w:r>
    </w:p>
    <w:p w:rsidR="00A64945" w:rsidRDefault="00A64945" w:rsidP="004B70BB">
      <w:pPr>
        <w:pStyle w:val="NormalWeb"/>
        <w:spacing w:before="0" w:beforeAutospacing="0" w:after="0" w:afterAutospacing="0" w:line="360" w:lineRule="auto"/>
        <w:jc w:val="both"/>
        <w:rPr>
          <w:rFonts w:ascii="Calibri" w:hAnsi="Calibri"/>
          <w:sz w:val="22"/>
          <w:szCs w:val="22"/>
        </w:rPr>
      </w:pPr>
      <w:r w:rsidRPr="002B71A2">
        <w:rPr>
          <w:rFonts w:ascii="Calibri" w:hAnsi="Calibri"/>
          <w:sz w:val="22"/>
          <w:szCs w:val="22"/>
        </w:rPr>
        <w:lastRenderedPageBreak/>
        <w:t xml:space="preserve">Van een </w:t>
      </w:r>
      <w:r>
        <w:rPr>
          <w:rFonts w:ascii="Calibri" w:hAnsi="Calibri"/>
          <w:sz w:val="22"/>
          <w:szCs w:val="22"/>
        </w:rPr>
        <w:t xml:space="preserve">Curaçaose </w:t>
      </w:r>
      <w:r w:rsidRPr="002B71A2">
        <w:rPr>
          <w:rFonts w:ascii="Calibri" w:hAnsi="Calibri"/>
          <w:sz w:val="22"/>
          <w:szCs w:val="22"/>
        </w:rPr>
        <w:t>deelneming is sprake indien een aandeelhouder ten minste 5% houdt van de aandelen, winstrechten dan wel stemrechten in de E- vennootschap.</w:t>
      </w:r>
      <w:r w:rsidRPr="002B71A2">
        <w:rPr>
          <w:rStyle w:val="FootnoteReference"/>
          <w:rFonts w:ascii="Calibri" w:hAnsi="Calibri"/>
          <w:sz w:val="22"/>
          <w:szCs w:val="22"/>
        </w:rPr>
        <w:footnoteReference w:id="307"/>
      </w:r>
      <w:r w:rsidRPr="002B71A2">
        <w:rPr>
          <w:rFonts w:ascii="Calibri" w:hAnsi="Calibri"/>
          <w:sz w:val="22"/>
          <w:szCs w:val="22"/>
        </w:rPr>
        <w:t xml:space="preserve"> Ingeval van een belang kleiner dan 5% is ook sprake van een deelneming ingeval de kostprijs van het verworven aandelenbezit tezamen met de kostprijs van de reeds in het bezit van de belastingplichtige zijnde aandelen, ten minste NAF. 890.000 bedraagt.</w:t>
      </w:r>
      <w:r w:rsidRPr="002B71A2">
        <w:rPr>
          <w:rStyle w:val="FootnoteReference"/>
          <w:rFonts w:ascii="Calibri" w:hAnsi="Calibri"/>
          <w:sz w:val="22"/>
          <w:szCs w:val="22"/>
        </w:rPr>
        <w:footnoteReference w:id="308"/>
      </w:r>
      <w:r w:rsidRPr="002B71A2">
        <w:rPr>
          <w:rFonts w:ascii="Calibri" w:hAnsi="Calibri"/>
          <w:sz w:val="22"/>
          <w:szCs w:val="22"/>
        </w:rPr>
        <w:t xml:space="preserve"> </w:t>
      </w:r>
    </w:p>
    <w:p w:rsidR="00A64945" w:rsidRPr="004B70BB" w:rsidRDefault="00A64945" w:rsidP="009173EC">
      <w:pPr>
        <w:pStyle w:val="NormalWeb"/>
        <w:spacing w:before="0" w:beforeAutospacing="0" w:after="0" w:afterAutospacing="0" w:line="360" w:lineRule="auto"/>
        <w:jc w:val="both"/>
        <w:rPr>
          <w:rFonts w:ascii="Calibri" w:hAnsi="Calibri"/>
          <w:b/>
          <w:i/>
          <w:sz w:val="18"/>
          <w:szCs w:val="18"/>
        </w:rPr>
      </w:pPr>
      <w:r w:rsidRPr="004B70BB">
        <w:rPr>
          <w:rFonts w:ascii="Calibri" w:hAnsi="Calibri"/>
          <w:b/>
          <w:i/>
          <w:sz w:val="18"/>
          <w:szCs w:val="18"/>
        </w:rPr>
        <w:t>Nederlandse deelnemingsvrijstelling</w:t>
      </w:r>
    </w:p>
    <w:p w:rsidR="00A64945" w:rsidRDefault="00A64945" w:rsidP="009173EC">
      <w:pPr>
        <w:pStyle w:val="NormalWeb"/>
        <w:spacing w:before="0" w:beforeAutospacing="0" w:after="0" w:afterAutospacing="0" w:line="360" w:lineRule="auto"/>
        <w:jc w:val="both"/>
        <w:rPr>
          <w:rFonts w:ascii="Calibri" w:hAnsi="Calibri"/>
          <w:sz w:val="22"/>
          <w:szCs w:val="22"/>
        </w:rPr>
      </w:pPr>
      <w:r w:rsidRPr="002B71A2">
        <w:rPr>
          <w:rFonts w:ascii="Calibri" w:hAnsi="Calibri"/>
          <w:sz w:val="22"/>
          <w:szCs w:val="22"/>
        </w:rPr>
        <w:t>De E- vennootschap kwalificeert tevens voor de Nederlandse deelnemingsvrijstelling. E- vennootschappen zijn onderworpen aan een belasting die naar de winst wordt geheven.</w:t>
      </w:r>
      <w:r w:rsidRPr="002B71A2">
        <w:rPr>
          <w:rStyle w:val="FootnoteReference"/>
          <w:rFonts w:ascii="Calibri" w:hAnsi="Calibri"/>
          <w:sz w:val="22"/>
          <w:szCs w:val="22"/>
        </w:rPr>
        <w:footnoteReference w:id="309"/>
      </w:r>
      <w:r w:rsidRPr="002B71A2">
        <w:rPr>
          <w:rFonts w:ascii="Calibri" w:hAnsi="Calibri"/>
          <w:sz w:val="22"/>
          <w:szCs w:val="22"/>
        </w:rPr>
        <w:t xml:space="preserve"> Het lage tarief waar E- vennootschappen aan onderhevig zijn, staat de toepassing van de Nederlandse deelnemingsvrijstelling niet in de weg.</w:t>
      </w:r>
      <w:r w:rsidRPr="00230588">
        <w:rPr>
          <w:rStyle w:val="FootnoteReference"/>
          <w:rFonts w:ascii="Calibri" w:hAnsi="Calibri"/>
          <w:sz w:val="22"/>
          <w:szCs w:val="22"/>
        </w:rPr>
        <w:t xml:space="preserve"> </w:t>
      </w:r>
      <w:r>
        <w:rPr>
          <w:rStyle w:val="FootnoteReference"/>
          <w:rFonts w:ascii="Calibri" w:hAnsi="Calibri"/>
          <w:sz w:val="22"/>
          <w:szCs w:val="22"/>
        </w:rPr>
        <w:footnoteReference w:id="310"/>
      </w:r>
      <w:r w:rsidRPr="002B71A2">
        <w:rPr>
          <w:rFonts w:ascii="Calibri" w:hAnsi="Calibri"/>
          <w:sz w:val="22"/>
          <w:szCs w:val="22"/>
        </w:rPr>
        <w:t>Indien de E- vennootschap dividend uitkeert aan een</w:t>
      </w:r>
      <w:r w:rsidRPr="00954A34">
        <w:rPr>
          <w:rFonts w:ascii="Calibri" w:hAnsi="Calibri"/>
          <w:sz w:val="22"/>
          <w:szCs w:val="22"/>
        </w:rPr>
        <w:t xml:space="preserve"> Nederlandse moedermaatschappij dan wordt dit dividend niet meegenomen in de belastbare winst van de moedermaatschappij. </w:t>
      </w:r>
    </w:p>
    <w:p w:rsidR="00A64945" w:rsidRDefault="00A64945" w:rsidP="009173EC">
      <w:pPr>
        <w:pStyle w:val="Heading3"/>
        <w:spacing w:before="0" w:line="360" w:lineRule="auto"/>
        <w:jc w:val="both"/>
      </w:pPr>
      <w:bookmarkStart w:id="97" w:name="_Toc286233837"/>
    </w:p>
    <w:p w:rsidR="00A64945" w:rsidRPr="001F4FB0" w:rsidRDefault="00A64945" w:rsidP="009173EC">
      <w:pPr>
        <w:pStyle w:val="Heading3"/>
        <w:spacing w:before="0" w:line="360" w:lineRule="auto"/>
        <w:jc w:val="both"/>
      </w:pPr>
      <w:bookmarkStart w:id="98" w:name="_Toc299634305"/>
      <w:r w:rsidRPr="001F4FB0">
        <w:t>§</w:t>
      </w:r>
      <w:r>
        <w:t>3</w:t>
      </w:r>
      <w:r w:rsidRPr="001F4FB0">
        <w:t>.3.</w:t>
      </w:r>
      <w:r>
        <w:t>2</w:t>
      </w:r>
      <w:r w:rsidRPr="001F4FB0">
        <w:t>. O</w:t>
      </w:r>
      <w:r>
        <w:t>mzetbelasting</w:t>
      </w:r>
      <w:bookmarkEnd w:id="97"/>
      <w:bookmarkEnd w:id="98"/>
    </w:p>
    <w:p w:rsidR="00A64945" w:rsidRDefault="00A64945" w:rsidP="00C22C27">
      <w:pPr>
        <w:spacing w:after="0" w:line="360" w:lineRule="auto"/>
        <w:jc w:val="both"/>
        <w:rPr>
          <w:b/>
          <w:noProof/>
          <w:u w:val="single"/>
        </w:rPr>
      </w:pPr>
      <w:r>
        <w:t>Aan de hand van onderstaand figuur behandel ik de belastbare feiten ‘levering van goederen’ en ‘verrichten van diensten’ van en naar een E- Zone.</w:t>
      </w:r>
      <w:r w:rsidRPr="00C22C27">
        <w:rPr>
          <w:b/>
          <w:noProof/>
          <w:u w:val="single"/>
        </w:rPr>
        <w:t xml:space="preserve"> </w:t>
      </w:r>
    </w:p>
    <w:p w:rsidR="00A64945" w:rsidRDefault="00DA44D0" w:rsidP="00C22C27">
      <w:pPr>
        <w:spacing w:after="0" w:line="360" w:lineRule="auto"/>
        <w:jc w:val="both"/>
      </w:pPr>
      <w:r>
        <w:rPr>
          <w:b/>
          <w:noProof/>
          <w:u w:val="single"/>
          <w:lang w:val="en-US"/>
        </w:rPr>
        <w:lastRenderedPageBreak/>
        <w:drawing>
          <wp:inline distT="0" distB="0" distL="0" distR="0">
            <wp:extent cx="2950210" cy="2675890"/>
            <wp:effectExtent l="19050" t="0" r="2540" b="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2950210" cy="2675890"/>
                    </a:xfrm>
                    <a:prstGeom prst="rect">
                      <a:avLst/>
                    </a:prstGeom>
                    <a:noFill/>
                    <a:ln w="9525">
                      <a:noFill/>
                      <a:miter lim="800000"/>
                      <a:headEnd/>
                      <a:tailEnd/>
                    </a:ln>
                  </pic:spPr>
                </pic:pic>
              </a:graphicData>
            </a:graphic>
          </wp:inline>
        </w:drawing>
      </w:r>
    </w:p>
    <w:p w:rsidR="00A64945" w:rsidRPr="00ED0C0B" w:rsidRDefault="00A64945" w:rsidP="00C22C27">
      <w:pPr>
        <w:spacing w:after="0" w:line="360" w:lineRule="auto"/>
        <w:jc w:val="both"/>
        <w:rPr>
          <w:sz w:val="20"/>
          <w:szCs w:val="20"/>
        </w:rPr>
      </w:pPr>
      <w:r w:rsidRPr="00ED0C0B">
        <w:rPr>
          <w:sz w:val="20"/>
          <w:szCs w:val="20"/>
        </w:rPr>
        <w:t>Figuur 3.1: Belastbare feiten in de omzetbelasting</w:t>
      </w:r>
    </w:p>
    <w:p w:rsidR="00A64945" w:rsidRDefault="00A64945" w:rsidP="009173EC">
      <w:pPr>
        <w:spacing w:after="0" w:line="360" w:lineRule="auto"/>
        <w:jc w:val="both"/>
      </w:pPr>
    </w:p>
    <w:p w:rsidR="00A64945" w:rsidRDefault="00A64945" w:rsidP="009173EC">
      <w:pPr>
        <w:spacing w:after="0" w:line="360" w:lineRule="auto"/>
        <w:jc w:val="both"/>
      </w:pPr>
      <w:r w:rsidRPr="00BE5B85">
        <w:t>Het omzetbelastingtarief</w:t>
      </w:r>
      <w:r>
        <w:rPr>
          <w:rStyle w:val="FootnoteReference"/>
          <w:rFonts w:cs="Arial"/>
        </w:rPr>
        <w:footnoteReference w:id="311"/>
      </w:r>
      <w:r w:rsidRPr="00BE5B85">
        <w:t xml:space="preserve"> in Curaçao bedraagt 5%.</w:t>
      </w:r>
      <w:r w:rsidRPr="00BE5B85">
        <w:rPr>
          <w:rStyle w:val="FootnoteReference"/>
          <w:rFonts w:cs="Arial"/>
        </w:rPr>
        <w:footnoteReference w:id="312"/>
      </w:r>
      <w:r w:rsidRPr="00BE5B85">
        <w:t xml:space="preserve"> </w:t>
      </w:r>
    </w:p>
    <w:p w:rsidR="00A64945" w:rsidRDefault="00A64945" w:rsidP="0060272D">
      <w:pPr>
        <w:spacing w:after="0" w:line="360" w:lineRule="auto"/>
        <w:ind w:left="708" w:hanging="705"/>
        <w:jc w:val="both"/>
      </w:pPr>
      <w:r>
        <w:t xml:space="preserve">1→2 </w:t>
      </w:r>
      <w:r>
        <w:tab/>
      </w:r>
      <w:r w:rsidRPr="000C50C5">
        <w:rPr>
          <w:b/>
          <w:u w:val="single"/>
        </w:rPr>
        <w:t>Goederen:</w:t>
      </w:r>
      <w:r>
        <w:t xml:space="preserve"> De levering van onroerende zaken die zich in een E- Zone bevinden is </w:t>
      </w:r>
    </w:p>
    <w:p w:rsidR="00A64945" w:rsidRDefault="00A64945" w:rsidP="0060272D">
      <w:pPr>
        <w:spacing w:after="0" w:line="360" w:lineRule="auto"/>
        <w:ind w:left="708"/>
        <w:jc w:val="both"/>
      </w:pPr>
      <w:r>
        <w:t xml:space="preserve">vrijgesteld van omzetbelasting. Wat de levering </w:t>
      </w:r>
      <w:r w:rsidRPr="00BE5B85">
        <w:t>van onroerende zaken die zich in de E- Zone bevinden</w:t>
      </w:r>
      <w:r>
        <w:t xml:space="preserve"> betreft, is de vrijstelling </w:t>
      </w:r>
      <w:r w:rsidRPr="00BE5B85">
        <w:t xml:space="preserve">van omzetbelasting </w:t>
      </w:r>
      <w:r>
        <w:t xml:space="preserve">alleen van toepassing in het geval dat bij de voorafgaande levering </w:t>
      </w:r>
      <w:r w:rsidRPr="00BE5B85">
        <w:t>overdrachtsbelasting is betaald</w:t>
      </w:r>
      <w:r>
        <w:t>.</w:t>
      </w:r>
      <w:r w:rsidRPr="009B1254">
        <w:rPr>
          <w:rStyle w:val="FootnoteReference"/>
          <w:rFonts w:cs="Arial"/>
        </w:rPr>
        <w:t xml:space="preserve"> </w:t>
      </w:r>
      <w:r w:rsidRPr="00BE5B85">
        <w:rPr>
          <w:rStyle w:val="FootnoteReference"/>
          <w:rFonts w:cs="Arial"/>
        </w:rPr>
        <w:footnoteReference w:id="313"/>
      </w:r>
    </w:p>
    <w:p w:rsidR="00A64945" w:rsidRDefault="00A64945" w:rsidP="0060272D">
      <w:pPr>
        <w:spacing w:after="0" w:line="360" w:lineRule="auto"/>
        <w:ind w:left="708"/>
        <w:jc w:val="both"/>
      </w:pPr>
      <w:r w:rsidRPr="000C50C5">
        <w:rPr>
          <w:b/>
          <w:u w:val="single"/>
        </w:rPr>
        <w:t>Diensten:</w:t>
      </w:r>
      <w:r>
        <w:t xml:space="preserve"> Ook de verhuur van onroerende zaken die zich in een E- Zone bevinden, is vrijgesteld van omzetbelasting.</w:t>
      </w:r>
      <w:r>
        <w:rPr>
          <w:rStyle w:val="FootnoteReference"/>
          <w:rFonts w:cs="Arial"/>
        </w:rPr>
        <w:footnoteReference w:id="314"/>
      </w:r>
      <w:r>
        <w:t xml:space="preserve"> </w:t>
      </w:r>
    </w:p>
    <w:p w:rsidR="00A64945" w:rsidRDefault="00A64945" w:rsidP="0060272D">
      <w:pPr>
        <w:spacing w:after="0" w:line="360" w:lineRule="auto"/>
        <w:ind w:left="705" w:hanging="705"/>
        <w:jc w:val="both"/>
      </w:pPr>
      <w:r w:rsidRPr="0060272D">
        <w:t>1</w:t>
      </w:r>
      <w:r>
        <w:t>→3</w:t>
      </w:r>
      <w:r>
        <w:tab/>
      </w:r>
      <w:r w:rsidRPr="000C50C5">
        <w:rPr>
          <w:b/>
          <w:u w:val="single"/>
        </w:rPr>
        <w:t>Goederen:</w:t>
      </w:r>
      <w:r>
        <w:t xml:space="preserve"> Bij levering van goederen uit een E- Zone aan afnemers in Curaçao is 5% omzetbelasting verschuldigd.</w:t>
      </w:r>
    </w:p>
    <w:p w:rsidR="00A64945" w:rsidRPr="0060272D" w:rsidRDefault="00A64945" w:rsidP="0060272D">
      <w:pPr>
        <w:spacing w:after="0" w:line="360" w:lineRule="auto"/>
        <w:ind w:left="705"/>
        <w:jc w:val="both"/>
      </w:pPr>
      <w:r w:rsidRPr="000C50C5">
        <w:rPr>
          <w:b/>
          <w:u w:val="single"/>
        </w:rPr>
        <w:t>Diensten:</w:t>
      </w:r>
      <w:r>
        <w:t xml:space="preserve"> Het verrichten van diensten aan afnemers buiten de E- Zone is tevens belast met 5% omzetbelasting.</w:t>
      </w:r>
    </w:p>
    <w:p w:rsidR="00A64945" w:rsidRDefault="00A64945" w:rsidP="00C07AD9">
      <w:pPr>
        <w:spacing w:after="0" w:line="360" w:lineRule="auto"/>
        <w:jc w:val="both"/>
      </w:pPr>
      <w:r>
        <w:t xml:space="preserve">3→1 </w:t>
      </w:r>
      <w:r>
        <w:tab/>
      </w:r>
      <w:r w:rsidRPr="000C50C5">
        <w:rPr>
          <w:b/>
          <w:u w:val="single"/>
        </w:rPr>
        <w:t>Diensten:</w:t>
      </w:r>
      <w:r>
        <w:t xml:space="preserve"> </w:t>
      </w:r>
      <w:r w:rsidRPr="00BE5B85">
        <w:t>Diensten die verricht worden door een binnen Curaçao gevestigde ondernemer aan een E- vennootschap zijn vrijgesteld van belasting.</w:t>
      </w:r>
      <w:r w:rsidRPr="00BE5B85">
        <w:rPr>
          <w:rStyle w:val="FootnoteReference"/>
          <w:rFonts w:cs="Arial"/>
        </w:rPr>
        <w:footnoteReference w:id="315"/>
      </w:r>
      <w:r w:rsidRPr="00BE5B85">
        <w:t xml:space="preserve"> </w:t>
      </w:r>
      <w:r>
        <w:t xml:space="preserve">Ook bij de verhuur van specifiek in de wet aangeduide roerende zaken geldt een vrijstelling van omzetbelasting: het verhuren van </w:t>
      </w:r>
      <w:r w:rsidRPr="00BE5B85">
        <w:t xml:space="preserve">digitale </w:t>
      </w:r>
      <w:r w:rsidRPr="00BE5B85">
        <w:lastRenderedPageBreak/>
        <w:t xml:space="preserve">informatie- en communicatieapparatuur </w:t>
      </w:r>
      <w:r>
        <w:t>door</w:t>
      </w:r>
      <w:r w:rsidRPr="00BE5B85">
        <w:t xml:space="preserve"> binnen de N</w:t>
      </w:r>
      <w:r>
        <w:t xml:space="preserve">ederlandse </w:t>
      </w:r>
      <w:r w:rsidRPr="00BE5B85">
        <w:t>A</w:t>
      </w:r>
      <w:r>
        <w:t>ntillen</w:t>
      </w:r>
      <w:r w:rsidRPr="00BE5B85">
        <w:t xml:space="preserve"> </w:t>
      </w:r>
      <w:r>
        <w:t xml:space="preserve">gevestigde ondernemers </w:t>
      </w:r>
      <w:r w:rsidRPr="00BE5B85">
        <w:t xml:space="preserve">aan E- </w:t>
      </w:r>
      <w:r w:rsidRPr="009C770B">
        <w:t>vennootschappen</w:t>
      </w:r>
      <w:r>
        <w:t xml:space="preserve"> is vrijgesteld van omzetbelasting</w:t>
      </w:r>
      <w:r w:rsidRPr="00BE5B85">
        <w:t>.</w:t>
      </w:r>
      <w:r>
        <w:rPr>
          <w:rStyle w:val="FootnoteReference"/>
          <w:rFonts w:cs="Arial"/>
        </w:rPr>
        <w:footnoteReference w:id="316"/>
      </w:r>
    </w:p>
    <w:p w:rsidR="00A64945" w:rsidRDefault="00A64945" w:rsidP="00D45C83">
      <w:pPr>
        <w:spacing w:after="0" w:line="360" w:lineRule="auto"/>
        <w:ind w:left="705" w:firstLine="3"/>
        <w:jc w:val="both"/>
      </w:pPr>
      <w:r w:rsidRPr="000C50C5">
        <w:rPr>
          <w:b/>
          <w:u w:val="single"/>
        </w:rPr>
        <w:t>Goederen:</w:t>
      </w:r>
      <w:r>
        <w:t xml:space="preserve"> Dit geldt ook ten aanzien van goederen: bij </w:t>
      </w:r>
      <w:r w:rsidRPr="00BE5B85">
        <w:t>de invoer van goederen in een E- Zone door een lokale ondernemer is tevens geen omzetbelasting verschuldigd.</w:t>
      </w:r>
      <w:r w:rsidRPr="00BE5B85">
        <w:rPr>
          <w:rStyle w:val="FootnoteReference"/>
          <w:rFonts w:cs="Arial"/>
        </w:rPr>
        <w:footnoteReference w:id="317"/>
      </w:r>
      <w:r w:rsidRPr="00BE5B85">
        <w:t xml:space="preserve"> </w:t>
      </w:r>
    </w:p>
    <w:p w:rsidR="00A64945" w:rsidRDefault="00A64945" w:rsidP="00EB530E">
      <w:pPr>
        <w:spacing w:after="0" w:line="360" w:lineRule="auto"/>
        <w:ind w:left="705" w:hanging="705"/>
        <w:jc w:val="both"/>
      </w:pPr>
      <w:r>
        <w:t>1→4</w:t>
      </w:r>
      <w:r>
        <w:tab/>
      </w:r>
      <w:r w:rsidRPr="000C50C5">
        <w:rPr>
          <w:b/>
          <w:u w:val="single"/>
        </w:rPr>
        <w:t>Goederen:</w:t>
      </w:r>
      <w:r>
        <w:t xml:space="preserve"> De levering van goederen van uit een E- Zone aan een afnemer buiten Curaçao (aangeduid als heffingsgebied), is vrijgesteld van omzetbelasting.</w:t>
      </w:r>
      <w:r>
        <w:rPr>
          <w:rStyle w:val="FootnoteReference"/>
          <w:rFonts w:cs="Arial"/>
        </w:rPr>
        <w:footnoteReference w:id="318"/>
      </w:r>
      <w:r>
        <w:t xml:space="preserve"> </w:t>
      </w:r>
    </w:p>
    <w:p w:rsidR="00A64945" w:rsidRPr="00BE5B85" w:rsidRDefault="00A64945" w:rsidP="008D0645">
      <w:pPr>
        <w:spacing w:after="0" w:line="360" w:lineRule="auto"/>
        <w:ind w:left="705"/>
        <w:jc w:val="both"/>
      </w:pPr>
      <w:r w:rsidRPr="00AD315C">
        <w:rPr>
          <w:b/>
          <w:u w:val="single"/>
        </w:rPr>
        <w:t>Diensten:</w:t>
      </w:r>
      <w:r>
        <w:rPr>
          <w:b/>
        </w:rPr>
        <w:t xml:space="preserve"> </w:t>
      </w:r>
      <w:r>
        <w:t>Tenslotte bepaald a</w:t>
      </w:r>
      <w:r w:rsidRPr="00BE5B85">
        <w:t xml:space="preserve">rt. 4, eerste lid Landsverordening Omzetbelasting 1999 (hierna: LOB 1999) dat de plaats van </w:t>
      </w:r>
      <w:r>
        <w:t>dienstverlening</w:t>
      </w:r>
      <w:r w:rsidRPr="00BE5B85">
        <w:t xml:space="preserve"> in beginsel de plaats is waar de presterende ondernemer is gevestigd. Voor E- vennootschappen is bepaald dat de </w:t>
      </w:r>
      <w:r>
        <w:t xml:space="preserve">dienst op de </w:t>
      </w:r>
      <w:r w:rsidRPr="00BE5B85">
        <w:t>plaats</w:t>
      </w:r>
      <w:r>
        <w:t xml:space="preserve"> waar de </w:t>
      </w:r>
      <w:r w:rsidRPr="00BE5B85">
        <w:t xml:space="preserve">afnemer </w:t>
      </w:r>
      <w:r>
        <w:t xml:space="preserve">is (gevestigd) </w:t>
      </w:r>
      <w:r w:rsidRPr="00BE5B85">
        <w:t xml:space="preserve">wordt </w:t>
      </w:r>
      <w:r>
        <w:t>verricht</w:t>
      </w:r>
      <w:r w:rsidRPr="00BE5B85">
        <w:t xml:space="preserve">. Dit brengt met zich dat in het geval de afnemer buiten </w:t>
      </w:r>
      <w:r>
        <w:t>Curaçao</w:t>
      </w:r>
      <w:r w:rsidRPr="00BE5B85">
        <w:t xml:space="preserve"> is gevestigd, geen omzetbelasting is verschuldigd.</w:t>
      </w:r>
      <w:r w:rsidRPr="00BE5B85">
        <w:rPr>
          <w:rStyle w:val="FootnoteReference"/>
          <w:rFonts w:cs="Arial"/>
        </w:rPr>
        <w:footnoteReference w:id="319"/>
      </w:r>
    </w:p>
    <w:p w:rsidR="00A64945" w:rsidRDefault="00A64945" w:rsidP="009173EC">
      <w:pPr>
        <w:pStyle w:val="Heading3"/>
        <w:spacing w:before="0" w:line="360" w:lineRule="auto"/>
        <w:jc w:val="both"/>
      </w:pPr>
      <w:bookmarkStart w:id="99" w:name="_Toc286233838"/>
    </w:p>
    <w:p w:rsidR="00A64945" w:rsidRPr="001F4FB0" w:rsidRDefault="00A64945" w:rsidP="009173EC">
      <w:pPr>
        <w:pStyle w:val="Heading3"/>
        <w:spacing w:before="0" w:line="360" w:lineRule="auto"/>
        <w:jc w:val="both"/>
      </w:pPr>
      <w:bookmarkStart w:id="100" w:name="_Toc299634306"/>
      <w:r w:rsidRPr="001F4FB0">
        <w:t>§</w:t>
      </w:r>
      <w:r>
        <w:t>3</w:t>
      </w:r>
      <w:r w:rsidRPr="001F4FB0">
        <w:t>.3.3. I</w:t>
      </w:r>
      <w:r>
        <w:t>nvoerrechten en Accijnzen</w:t>
      </w:r>
      <w:bookmarkEnd w:id="99"/>
      <w:bookmarkEnd w:id="100"/>
    </w:p>
    <w:p w:rsidR="00A64945" w:rsidRPr="00BE5B85" w:rsidRDefault="00A64945" w:rsidP="009173EC">
      <w:pPr>
        <w:spacing w:line="360" w:lineRule="auto"/>
        <w:jc w:val="both"/>
      </w:pPr>
      <w:r w:rsidRPr="00BE5B85">
        <w:t xml:space="preserve">Artikel 6 LEZ </w:t>
      </w:r>
      <w:r>
        <w:t xml:space="preserve">2000 </w:t>
      </w:r>
      <w:r w:rsidRPr="00BE5B85">
        <w:t>bepaald dat bij Landsbesluit</w:t>
      </w:r>
      <w:r w:rsidRPr="00BE5B85">
        <w:rPr>
          <w:rStyle w:val="FootnoteReference"/>
          <w:rFonts w:cs="Arial"/>
        </w:rPr>
        <w:footnoteReference w:id="320"/>
      </w:r>
      <w:r w:rsidRPr="00BE5B85">
        <w:t xml:space="preserve"> de goederen aangewezen worden die niet</w:t>
      </w:r>
      <w:r>
        <w:t>,</w:t>
      </w:r>
      <w:r w:rsidRPr="00BE5B85">
        <w:t xml:space="preserve"> dan wel slechts onder de in dat landsbesluit opgenomen voorwaarden</w:t>
      </w:r>
      <w:r>
        <w:t>,</w:t>
      </w:r>
      <w:r w:rsidRPr="00BE5B85">
        <w:t xml:space="preserve"> in een economische zone aanwezig mogen zijn. Voor goederen die in de E- Zone mogen worden ingevoerd geldt een vrijstelling van invoerrechten. Geen invoerrechten en omzetbelasting </w:t>
      </w:r>
      <w:r>
        <w:t>zijn</w:t>
      </w:r>
      <w:r w:rsidRPr="00BE5B85">
        <w:t xml:space="preserve"> verschuldigd in geval van inslag van goederen die bestemd zijn voor een economische zone.</w:t>
      </w:r>
      <w:r w:rsidRPr="00BE5B85">
        <w:rPr>
          <w:rStyle w:val="FootnoteReference"/>
          <w:rFonts w:cs="Arial"/>
        </w:rPr>
        <w:footnoteReference w:id="321"/>
      </w:r>
      <w:r w:rsidRPr="00BE5B85">
        <w:t xml:space="preserve"> Dit geldt ook bij uitslag uit een economische zone van goederen die bestemd zijn voor een entrepot of een andere economische zone.</w:t>
      </w:r>
      <w:r w:rsidRPr="00BE5B85">
        <w:rPr>
          <w:rStyle w:val="FootnoteReference"/>
          <w:rFonts w:cs="Arial"/>
        </w:rPr>
        <w:footnoteReference w:id="322"/>
      </w:r>
      <w:r w:rsidRPr="00BE5B85">
        <w:t xml:space="preserve"> Hetzelfde geldt voor aan accijns onderworpen goederen. Bij inslag van deze goederen in een economische zone en uitslag van deze goederen uit een economische zone, is geen accijns over deze goederen verschuldigd.</w:t>
      </w:r>
      <w:r w:rsidRPr="00BE5B85">
        <w:rPr>
          <w:rStyle w:val="FootnoteReference"/>
          <w:rFonts w:cs="Arial"/>
        </w:rPr>
        <w:footnoteReference w:id="323"/>
      </w:r>
      <w:r w:rsidRPr="00BE5B85">
        <w:t xml:space="preserve"> </w:t>
      </w:r>
    </w:p>
    <w:p w:rsidR="00A64945" w:rsidRPr="001F4FB0" w:rsidRDefault="00A64945" w:rsidP="009173EC">
      <w:pPr>
        <w:pStyle w:val="Heading3"/>
        <w:spacing w:before="0" w:line="360" w:lineRule="auto"/>
        <w:jc w:val="both"/>
      </w:pPr>
      <w:bookmarkStart w:id="101" w:name="_Toc286233839"/>
      <w:bookmarkStart w:id="102" w:name="_Toc299634307"/>
      <w:r w:rsidRPr="001F4FB0">
        <w:t>§</w:t>
      </w:r>
      <w:r>
        <w:t>3</w:t>
      </w:r>
      <w:r w:rsidRPr="001F4FB0">
        <w:t>.3.4. L</w:t>
      </w:r>
      <w:r>
        <w:t>oonbelasting</w:t>
      </w:r>
      <w:bookmarkEnd w:id="101"/>
      <w:bookmarkEnd w:id="102"/>
    </w:p>
    <w:p w:rsidR="00A64945" w:rsidRPr="00CA7454" w:rsidRDefault="00A64945" w:rsidP="00CA7454">
      <w:pPr>
        <w:pStyle w:val="FootnoteText"/>
        <w:spacing w:line="360" w:lineRule="auto"/>
        <w:jc w:val="both"/>
        <w:rPr>
          <w:rFonts w:cs="Times New Roman"/>
          <w:sz w:val="22"/>
          <w:szCs w:val="22"/>
        </w:rPr>
      </w:pPr>
      <w:r w:rsidRPr="00CA7454">
        <w:rPr>
          <w:sz w:val="22"/>
          <w:szCs w:val="22"/>
        </w:rPr>
        <w:t>Werkgevers die gevestigd zijn in de E- Zone kunnen onder bepaalde voorwaarden gebruikmaken</w:t>
      </w:r>
      <w:r>
        <w:rPr>
          <w:rStyle w:val="FootnoteReference"/>
          <w:sz w:val="22"/>
          <w:szCs w:val="22"/>
        </w:rPr>
        <w:footnoteReference w:id="324"/>
      </w:r>
      <w:r w:rsidRPr="00CA7454">
        <w:rPr>
          <w:sz w:val="22"/>
          <w:szCs w:val="22"/>
        </w:rPr>
        <w:t xml:space="preserve"> van de (generieke)</w:t>
      </w:r>
      <w:r w:rsidRPr="00232C33">
        <w:rPr>
          <w:rStyle w:val="FootnoteReference"/>
          <w:rFonts w:cs="Arial"/>
          <w:sz w:val="22"/>
          <w:szCs w:val="22"/>
        </w:rPr>
        <w:t xml:space="preserve"> </w:t>
      </w:r>
      <w:r w:rsidRPr="00CA7454">
        <w:rPr>
          <w:rStyle w:val="FootnoteReference"/>
          <w:rFonts w:cs="Arial"/>
          <w:sz w:val="22"/>
          <w:szCs w:val="22"/>
        </w:rPr>
        <w:footnoteReference w:id="325"/>
      </w:r>
      <w:r w:rsidRPr="00CA7454">
        <w:rPr>
          <w:sz w:val="22"/>
          <w:szCs w:val="22"/>
        </w:rPr>
        <w:t xml:space="preserve"> Beschikking ex- patriates 1998 ten aanzien van uit het buitenland aangetrokken werknemers. Art. 6</w:t>
      </w:r>
      <w:r>
        <w:rPr>
          <w:sz w:val="22"/>
          <w:szCs w:val="22"/>
        </w:rPr>
        <w:t>,</w:t>
      </w:r>
      <w:r w:rsidRPr="00CA7454">
        <w:rPr>
          <w:sz w:val="22"/>
          <w:szCs w:val="22"/>
        </w:rPr>
        <w:t xml:space="preserve"> eerste lid Beschikking ex- patriates 1998 bepaalt in deze dat op schriftelijk </w:t>
      </w:r>
      <w:r w:rsidRPr="00CA7454">
        <w:rPr>
          <w:sz w:val="22"/>
          <w:szCs w:val="22"/>
        </w:rPr>
        <w:lastRenderedPageBreak/>
        <w:t>verzoek van de werkgever de werknemer voor een periode van 5 jaar</w:t>
      </w:r>
      <w:r>
        <w:rPr>
          <w:rStyle w:val="FootnoteReference"/>
          <w:sz w:val="22"/>
          <w:szCs w:val="22"/>
        </w:rPr>
        <w:footnoteReference w:id="326"/>
      </w:r>
      <w:r w:rsidRPr="00CA7454">
        <w:rPr>
          <w:sz w:val="22"/>
          <w:szCs w:val="22"/>
        </w:rPr>
        <w:t xml:space="preserve"> als ex- patriate </w:t>
      </w:r>
      <w:r>
        <w:rPr>
          <w:sz w:val="22"/>
          <w:szCs w:val="22"/>
        </w:rPr>
        <w:t>kan worden</w:t>
      </w:r>
      <w:r w:rsidRPr="00CA7454">
        <w:rPr>
          <w:sz w:val="22"/>
          <w:szCs w:val="22"/>
        </w:rPr>
        <w:t xml:space="preserve"> aangemerkt. Dit verzoek </w:t>
      </w:r>
      <w:r>
        <w:rPr>
          <w:sz w:val="22"/>
          <w:szCs w:val="22"/>
        </w:rPr>
        <w:t>dient</w:t>
      </w:r>
      <w:r w:rsidRPr="00CA7454">
        <w:rPr>
          <w:sz w:val="22"/>
          <w:szCs w:val="22"/>
        </w:rPr>
        <w:t xml:space="preserve"> mede door de werknemer</w:t>
      </w:r>
      <w:r w:rsidRPr="00011011">
        <w:rPr>
          <w:sz w:val="22"/>
          <w:szCs w:val="22"/>
        </w:rPr>
        <w:t xml:space="preserve"> </w:t>
      </w:r>
      <w:r w:rsidRPr="00CA7454">
        <w:rPr>
          <w:sz w:val="22"/>
          <w:szCs w:val="22"/>
        </w:rPr>
        <w:t>ondertekend</w:t>
      </w:r>
      <w:r>
        <w:rPr>
          <w:sz w:val="22"/>
          <w:szCs w:val="22"/>
        </w:rPr>
        <w:t xml:space="preserve"> te worden</w:t>
      </w:r>
      <w:r w:rsidRPr="00CA7454">
        <w:rPr>
          <w:sz w:val="22"/>
          <w:szCs w:val="22"/>
        </w:rPr>
        <w:t>. Een ex- patriatewerknemer is de werknemer die direct voorafgaand aan zijn tewerkstelling in de Nederlandse Antillen gedurende een aaneengesloten periode van tenminste vijf jaar in het buitenland heeft gewoond.</w:t>
      </w:r>
      <w:r w:rsidRPr="00CA7454">
        <w:rPr>
          <w:rStyle w:val="FootnoteReference"/>
          <w:rFonts w:cs="Arial"/>
          <w:sz w:val="22"/>
          <w:szCs w:val="22"/>
        </w:rPr>
        <w:footnoteReference w:id="327"/>
      </w:r>
      <w:r w:rsidRPr="00CA7454">
        <w:rPr>
          <w:sz w:val="22"/>
          <w:szCs w:val="22"/>
        </w:rPr>
        <w:t xml:space="preserve"> De voorwaarden om als ex- patriate in aanmerking te komen voor de regeling, worden in het eerste lid van het tweede artikel in de onderdelen a tot en met </w:t>
      </w:r>
      <w:r>
        <w:rPr>
          <w:sz w:val="22"/>
          <w:szCs w:val="22"/>
        </w:rPr>
        <w:t>c</w:t>
      </w:r>
      <w:r w:rsidRPr="00CA7454">
        <w:rPr>
          <w:sz w:val="22"/>
          <w:szCs w:val="22"/>
        </w:rPr>
        <w:t xml:space="preserve"> opgesomd. Het moet bijvoorbeeld gaan om persoon wiens specifieke deskundigheid afwezig of schaars is op de Antilliaanse arbeidsmarkt.</w:t>
      </w:r>
      <w:r w:rsidRPr="00CA7454">
        <w:rPr>
          <w:rStyle w:val="FootnoteReference"/>
          <w:rFonts w:cs="Arial"/>
          <w:sz w:val="22"/>
          <w:szCs w:val="22"/>
        </w:rPr>
        <w:footnoteReference w:id="328"/>
      </w:r>
      <w:r w:rsidRPr="00CA7454">
        <w:rPr>
          <w:sz w:val="22"/>
          <w:szCs w:val="22"/>
        </w:rPr>
        <w:t xml:space="preserve"> De ex- patriateregeling is enigszins vergelijkbaar met art. 15a, eerste lid, onderdeel j, Wet LB 1964 en hoofdstuk drie van het uitvoeringsbesluit loonbelasting 1965. Beide bepalingen zien op u</w:t>
      </w:r>
      <w:r w:rsidRPr="00CA7454">
        <w:rPr>
          <w:rFonts w:cs="Times New Roman"/>
          <w:sz w:val="22"/>
          <w:szCs w:val="22"/>
        </w:rPr>
        <w:t>it het buitenland aangetrokken werknemers die over een specifieke deskundigheid beschikken. Het toepassingsbereik van art. 15a</w:t>
      </w:r>
      <w:r w:rsidRPr="00CA7454">
        <w:rPr>
          <w:sz w:val="22"/>
          <w:szCs w:val="22"/>
        </w:rPr>
        <w:t>, eerste lid, onderdeel j, Wet LB 1964 is echter wel breder dan dat van de ex- patriateregeling, aangezien dat artikel naast in Nederland ingekomen werknemers tevens ziet op werknemers die vanuit Nederland naar het buitenland gezonden worden.</w:t>
      </w:r>
      <w:r w:rsidRPr="00CA7454">
        <w:rPr>
          <w:rStyle w:val="FootnoteReference"/>
          <w:rFonts w:cs="Arial"/>
          <w:sz w:val="22"/>
          <w:szCs w:val="22"/>
        </w:rPr>
        <w:footnoteReference w:id="329"/>
      </w:r>
    </w:p>
    <w:p w:rsidR="00A64945" w:rsidRPr="00BE5B85" w:rsidRDefault="00A64945" w:rsidP="00CA7454">
      <w:pPr>
        <w:spacing w:after="0" w:line="360" w:lineRule="auto"/>
        <w:jc w:val="both"/>
      </w:pPr>
      <w:r w:rsidRPr="00CA7454">
        <w:t>De Antilliaanse ex- patriateregeling heeft in beginsel een duur van een jaar.</w:t>
      </w:r>
      <w:r w:rsidRPr="00CA7454">
        <w:rPr>
          <w:rStyle w:val="FootnoteReference"/>
          <w:rFonts w:cs="Arial"/>
        </w:rPr>
        <w:footnoteReference w:id="330"/>
      </w:r>
      <w:r w:rsidRPr="00CA7454">
        <w:t xml:space="preserve"> Met ingang van de</w:t>
      </w:r>
      <w:r w:rsidRPr="00BE5B85">
        <w:t xml:space="preserve"> eerste dag van tewerkstelling. De periode van een jaar wordt verlengd tot en met vijf jaar indien voor het verstrijken van het jaar </w:t>
      </w:r>
      <w:r>
        <w:t>de werk- en verblijfvergunning aan de Inspecteur wordt overlegd</w:t>
      </w:r>
      <w:r w:rsidRPr="00BE5B85">
        <w:t>.</w:t>
      </w:r>
      <w:r w:rsidRPr="00BE5B85">
        <w:rPr>
          <w:rStyle w:val="FootnoteReference"/>
          <w:rFonts w:cs="Arial"/>
        </w:rPr>
        <w:footnoteReference w:id="331"/>
      </w:r>
    </w:p>
    <w:p w:rsidR="00A64945" w:rsidRPr="00BE5B85" w:rsidRDefault="00A64945" w:rsidP="009173EC">
      <w:pPr>
        <w:spacing w:line="360" w:lineRule="auto"/>
        <w:jc w:val="both"/>
      </w:pPr>
      <w:r w:rsidRPr="00BE5B85">
        <w:t xml:space="preserve">De kern van de regeling </w:t>
      </w:r>
      <w:r>
        <w:t>is</w:t>
      </w:r>
      <w:r w:rsidRPr="00BE5B85">
        <w:t xml:space="preserve"> dat indien werkgever en werknemer een nettoloonafspraak</w:t>
      </w:r>
      <w:r>
        <w:rPr>
          <w:rStyle w:val="FootnoteReference"/>
        </w:rPr>
        <w:footnoteReference w:id="332"/>
      </w:r>
      <w:r w:rsidRPr="00BE5B85">
        <w:t xml:space="preserve"> overeenkomen, er </w:t>
      </w:r>
      <w:r>
        <w:t xml:space="preserve">ter bepaling van het belastbare loon, </w:t>
      </w:r>
      <w:r w:rsidRPr="00BE5B85">
        <w:t>niet gebruteerd hoeft te worden.</w:t>
      </w:r>
      <w:r w:rsidRPr="00BE5B85">
        <w:rPr>
          <w:rStyle w:val="FootnoteReference"/>
          <w:rFonts w:cs="Arial"/>
        </w:rPr>
        <w:footnoteReference w:id="333"/>
      </w:r>
      <w:r w:rsidRPr="00BE5B85">
        <w:t xml:space="preserve"> </w:t>
      </w:r>
      <w:r>
        <w:t xml:space="preserve">De Beschikking voorziet dus in feite in een verlichting in de loonheffing van buitenlandse werknemers. </w:t>
      </w:r>
      <w:r w:rsidRPr="00BE5B85">
        <w:t>Bovendien mag de werkgever een aantal belastingvrije voordelen verschaffen aan zijn werknemer.</w:t>
      </w:r>
      <w:r w:rsidRPr="00BE5B85">
        <w:rPr>
          <w:rStyle w:val="FootnoteReference"/>
          <w:rFonts w:cs="Arial"/>
        </w:rPr>
        <w:footnoteReference w:id="334"/>
      </w:r>
      <w:r w:rsidRPr="00BE5B85">
        <w:t xml:space="preserve"> De werkgever kan de werknemer bijvoorbeeld per kalenderjaar belast</w:t>
      </w:r>
      <w:r>
        <w:t>ingvrij een bedrag van NAF. 15.</w:t>
      </w:r>
      <w:r w:rsidRPr="00BE5B85">
        <w:t>000,-- aan vergoedingen verstrekken.</w:t>
      </w:r>
      <w:r w:rsidRPr="00BE5B85">
        <w:rPr>
          <w:rStyle w:val="FootnoteReference"/>
          <w:rFonts w:cs="Arial"/>
        </w:rPr>
        <w:footnoteReference w:id="335"/>
      </w:r>
      <w:r w:rsidRPr="00BE5B85">
        <w:t xml:space="preserve"> Daarnaast kan per kalenderjaar belastingvrij een v</w:t>
      </w:r>
      <w:r>
        <w:t>ergoeding van maximaal NAF. 25.</w:t>
      </w:r>
      <w:r w:rsidRPr="00BE5B85">
        <w:t xml:space="preserve">000,-- per kind </w:t>
      </w:r>
      <w:r>
        <w:t xml:space="preserve">van de ex- patriatewerknemer </w:t>
      </w:r>
      <w:r w:rsidRPr="00BE5B85">
        <w:t xml:space="preserve">worden verschaft </w:t>
      </w:r>
      <w:r w:rsidRPr="00BE5B85">
        <w:lastRenderedPageBreak/>
        <w:t xml:space="preserve">voor de kosten ten behoeve van het bezoeken van scholen op de </w:t>
      </w:r>
      <w:r>
        <w:t>Nederlandse Antillen</w:t>
      </w:r>
      <w:r w:rsidRPr="00BE5B85">
        <w:t xml:space="preserve"> of gelijk</w:t>
      </w:r>
      <w:r>
        <w:t xml:space="preserve"> </w:t>
      </w:r>
      <w:r w:rsidRPr="00BE5B85">
        <w:t>waardige onderwijsinstellingen buiten de N</w:t>
      </w:r>
      <w:r>
        <w:t xml:space="preserve">ederlandse </w:t>
      </w:r>
      <w:r w:rsidRPr="00BE5B85">
        <w:t>A</w:t>
      </w:r>
      <w:r>
        <w:t>ntillen</w:t>
      </w:r>
      <w:r w:rsidRPr="00BE5B85">
        <w:t>.</w:t>
      </w:r>
      <w:r>
        <w:rPr>
          <w:rStyle w:val="FootnoteReference"/>
          <w:rFonts w:cs="Arial"/>
        </w:rPr>
        <w:footnoteReference w:id="336"/>
      </w:r>
    </w:p>
    <w:p w:rsidR="00A64945" w:rsidRPr="00B26526" w:rsidRDefault="00A64945" w:rsidP="009173EC">
      <w:pPr>
        <w:pStyle w:val="Heading3"/>
        <w:spacing w:before="0" w:line="360" w:lineRule="auto"/>
        <w:jc w:val="both"/>
      </w:pPr>
      <w:bookmarkStart w:id="103" w:name="_Toc286233840"/>
      <w:bookmarkStart w:id="104" w:name="_Toc299634308"/>
      <w:r w:rsidRPr="00B26526">
        <w:t>§</w:t>
      </w:r>
      <w:r>
        <w:t>3.3.5</w:t>
      </w:r>
      <w:r w:rsidRPr="00B26526">
        <w:t>. O</w:t>
      </w:r>
      <w:r>
        <w:t>verige belastingen</w:t>
      </w:r>
      <w:bookmarkEnd w:id="103"/>
      <w:bookmarkEnd w:id="104"/>
    </w:p>
    <w:p w:rsidR="00A64945" w:rsidRDefault="00A64945" w:rsidP="009173EC">
      <w:pPr>
        <w:pStyle w:val="Heading4"/>
        <w:spacing w:before="0" w:line="360" w:lineRule="auto"/>
        <w:jc w:val="both"/>
      </w:pPr>
      <w:bookmarkStart w:id="105" w:name="_Toc286233841"/>
    </w:p>
    <w:p w:rsidR="00A64945" w:rsidRPr="00B26526" w:rsidRDefault="00A64945" w:rsidP="009173EC">
      <w:pPr>
        <w:pStyle w:val="Heading4"/>
        <w:spacing w:before="0" w:line="360" w:lineRule="auto"/>
        <w:jc w:val="both"/>
      </w:pPr>
      <w:bookmarkStart w:id="106" w:name="_Toc299634309"/>
      <w:r w:rsidRPr="00B26526">
        <w:t>§</w:t>
      </w:r>
      <w:r>
        <w:t>3</w:t>
      </w:r>
      <w:r w:rsidRPr="00B26526">
        <w:t>.3.4.1. Grondbelasting</w:t>
      </w:r>
      <w:bookmarkEnd w:id="105"/>
      <w:bookmarkEnd w:id="106"/>
    </w:p>
    <w:p w:rsidR="00A64945" w:rsidRDefault="00A64945" w:rsidP="00843C22">
      <w:pPr>
        <w:autoSpaceDE w:val="0"/>
        <w:autoSpaceDN w:val="0"/>
        <w:adjustRightInd w:val="0"/>
        <w:spacing w:after="0" w:line="360" w:lineRule="auto"/>
        <w:jc w:val="both"/>
        <w:rPr>
          <w:rFonts w:cs="Times New Roman"/>
        </w:rPr>
      </w:pPr>
      <w:r w:rsidRPr="00843C22">
        <w:t>In Curaçao wordt een grondbelasting van 3 promille geheven.</w:t>
      </w:r>
      <w:r w:rsidRPr="00843C22">
        <w:rPr>
          <w:rStyle w:val="FootnoteReference"/>
          <w:rFonts w:cs="Arial"/>
        </w:rPr>
        <w:footnoteReference w:id="337"/>
      </w:r>
      <w:r w:rsidRPr="00843C22">
        <w:t xml:space="preserve"> De grondslag van heffing is de waarde van de onroerende zaken met al wat daaraan aard of</w:t>
      </w:r>
      <w:r>
        <w:t xml:space="preserve"> </w:t>
      </w:r>
      <w:r w:rsidRPr="00843C22">
        <w:t>nagelvast is</w:t>
      </w:r>
      <w:r>
        <w:t>.</w:t>
      </w:r>
      <w:r>
        <w:rPr>
          <w:rStyle w:val="FootnoteReference"/>
          <w:rFonts w:cs="Arial"/>
        </w:rPr>
        <w:footnoteReference w:id="338"/>
      </w:r>
      <w:r w:rsidRPr="00843C22">
        <w:t xml:space="preserve"> Voor de grondbelasting geldt een vrijstelling voor onroerende goederen die eigendom zijn van hetzij</w:t>
      </w:r>
      <w:r>
        <w:t xml:space="preserve"> </w:t>
      </w:r>
      <w:r w:rsidRPr="00BE5B85">
        <w:t>een E- vennootschap, de beheerder van een E- Zone of een projectontwikkelaar die in de E- zone actief is</w:t>
      </w:r>
      <w:r>
        <w:t>, mits de onroerende goederen in de desbetreffende economische zone zijn gelegen</w:t>
      </w:r>
      <w:r w:rsidRPr="00BE5B85">
        <w:t xml:space="preserve">. </w:t>
      </w:r>
      <w:r w:rsidRPr="00BE5B85">
        <w:rPr>
          <w:rStyle w:val="FootnoteReference"/>
          <w:rFonts w:cs="Arial"/>
        </w:rPr>
        <w:footnoteReference w:id="339"/>
      </w:r>
    </w:p>
    <w:p w:rsidR="00A64945" w:rsidRDefault="00A64945" w:rsidP="009173EC">
      <w:pPr>
        <w:pStyle w:val="Heading4"/>
        <w:spacing w:before="0" w:line="360" w:lineRule="auto"/>
        <w:jc w:val="both"/>
      </w:pPr>
      <w:bookmarkStart w:id="107" w:name="_Toc286233842"/>
    </w:p>
    <w:p w:rsidR="00A64945" w:rsidRPr="00B26526" w:rsidRDefault="00A64945" w:rsidP="009173EC">
      <w:pPr>
        <w:pStyle w:val="Heading4"/>
        <w:spacing w:before="0" w:line="360" w:lineRule="auto"/>
        <w:jc w:val="both"/>
      </w:pPr>
      <w:bookmarkStart w:id="108" w:name="_Toc299634310"/>
      <w:r w:rsidRPr="00B26526">
        <w:t>§</w:t>
      </w:r>
      <w:r>
        <w:t>3</w:t>
      </w:r>
      <w:r w:rsidRPr="00B26526">
        <w:t>.3.4.2. Gebruiksbelasting</w:t>
      </w:r>
      <w:bookmarkEnd w:id="107"/>
      <w:bookmarkEnd w:id="108"/>
    </w:p>
    <w:p w:rsidR="00A64945" w:rsidRPr="00461555" w:rsidRDefault="00A64945" w:rsidP="009173EC">
      <w:pPr>
        <w:spacing w:after="0" w:line="360" w:lineRule="auto"/>
        <w:jc w:val="both"/>
        <w:rPr>
          <w:rFonts w:cs="Times New Roman"/>
        </w:rPr>
      </w:pPr>
      <w:r w:rsidRPr="00461555">
        <w:rPr>
          <w:rFonts w:cs="Times New Roman"/>
        </w:rPr>
        <w:t xml:space="preserve">Een met de grondbelasting vergelijkbare uitzondering is opgenomen in de Gebruiksbelastingverordening 1908. Deze belasting wordt </w:t>
      </w:r>
      <w:r>
        <w:rPr>
          <w:rFonts w:cs="Times New Roman"/>
        </w:rPr>
        <w:t>sinds</w:t>
      </w:r>
      <w:r w:rsidRPr="00461555">
        <w:rPr>
          <w:rFonts w:cs="Times New Roman"/>
        </w:rPr>
        <w:t xml:space="preserve"> 2001 feitelijk niet meer geheven.</w:t>
      </w:r>
    </w:p>
    <w:p w:rsidR="00A64945" w:rsidRDefault="00A64945" w:rsidP="00B21536">
      <w:pPr>
        <w:pStyle w:val="Heading2"/>
        <w:spacing w:before="0" w:line="360" w:lineRule="auto"/>
        <w:jc w:val="both"/>
        <w:rPr>
          <w:color w:val="auto"/>
        </w:rPr>
      </w:pPr>
    </w:p>
    <w:p w:rsidR="00A64945" w:rsidRDefault="00A64945" w:rsidP="00B21536">
      <w:pPr>
        <w:pStyle w:val="Heading2"/>
        <w:spacing w:before="0" w:line="360" w:lineRule="auto"/>
        <w:jc w:val="both"/>
        <w:rPr>
          <w:color w:val="auto"/>
        </w:rPr>
      </w:pPr>
      <w:bookmarkStart w:id="109" w:name="_Toc299634311"/>
      <w:r w:rsidRPr="00AB3D55">
        <w:rPr>
          <w:color w:val="auto"/>
        </w:rPr>
        <w:t>§3.4. Samenvatting</w:t>
      </w:r>
      <w:bookmarkEnd w:id="109"/>
      <w:r w:rsidRPr="00AB3D55">
        <w:rPr>
          <w:color w:val="auto"/>
        </w:rPr>
        <w:t xml:space="preserve"> </w:t>
      </w:r>
    </w:p>
    <w:p w:rsidR="00A64945" w:rsidRDefault="00A64945" w:rsidP="0080799B">
      <w:pPr>
        <w:spacing w:after="0" w:line="360" w:lineRule="auto"/>
      </w:pPr>
      <w:r>
        <w:t>Zoals uit voorgaande paragraaf is op te maken, maken een</w:t>
      </w:r>
      <w:r w:rsidRPr="00E95C92">
        <w:t xml:space="preserve"> aantal fiscale faciliteiten</w:t>
      </w:r>
      <w:r>
        <w:t xml:space="preserve"> die</w:t>
      </w:r>
      <w:r w:rsidRPr="00E95C92">
        <w:t xml:space="preserve"> verbonden </w:t>
      </w:r>
      <w:r>
        <w:t xml:space="preserve">zijn </w:t>
      </w:r>
      <w:r w:rsidRPr="00E95C92">
        <w:t xml:space="preserve">aan het gevestigd zijn in een </w:t>
      </w:r>
      <w:r>
        <w:t xml:space="preserve"> Curaçaose </w:t>
      </w:r>
      <w:r w:rsidRPr="00E95C92">
        <w:t xml:space="preserve"> E- Zone,</w:t>
      </w:r>
      <w:r>
        <w:t xml:space="preserve"> </w:t>
      </w:r>
      <w:r w:rsidRPr="00E95C92">
        <w:t xml:space="preserve"> de E- Zone aantrekkelijk voor </w:t>
      </w:r>
      <w:r>
        <w:t xml:space="preserve">(buitenlandse) </w:t>
      </w:r>
      <w:r w:rsidRPr="00E95C92">
        <w:t xml:space="preserve">ondernemers. </w:t>
      </w:r>
      <w:r>
        <w:t>De aard van deze tegemoetkomingen kan in drie groepen worden gekarakteriseerd. Het gevestigd zijn in een E- Zone, impliceert voor de E- Zoneondernemer :</w:t>
      </w:r>
    </w:p>
    <w:p w:rsidR="00A64945" w:rsidRDefault="00A64945" w:rsidP="00A77339">
      <w:pPr>
        <w:pStyle w:val="ListParagraph"/>
        <w:numPr>
          <w:ilvl w:val="0"/>
          <w:numId w:val="30"/>
        </w:numPr>
        <w:spacing w:after="0" w:line="360" w:lineRule="auto"/>
      </w:pPr>
      <w:r>
        <w:t>Een tariefsfaciliteit in de winstbelasting;</w:t>
      </w:r>
    </w:p>
    <w:p w:rsidR="00A64945" w:rsidRDefault="00A64945" w:rsidP="00A77339">
      <w:pPr>
        <w:pStyle w:val="ListParagraph"/>
        <w:numPr>
          <w:ilvl w:val="0"/>
          <w:numId w:val="30"/>
        </w:numPr>
        <w:spacing w:after="0" w:line="360" w:lineRule="auto"/>
      </w:pPr>
      <w:r>
        <w:t>Vrijstellingen in de omzetbelastingen en voor wat betreft invoerrechten en accijnzen; en een</w:t>
      </w:r>
    </w:p>
    <w:p w:rsidR="00A64945" w:rsidRDefault="00A64945" w:rsidP="00A77339">
      <w:pPr>
        <w:pStyle w:val="ListParagraph"/>
        <w:numPr>
          <w:ilvl w:val="0"/>
          <w:numId w:val="30"/>
        </w:numPr>
        <w:spacing w:after="0" w:line="360" w:lineRule="auto"/>
      </w:pPr>
      <w:r>
        <w:t xml:space="preserve">Tegemoetkoming voor wat betreft het aantrekken van buitenlands personeel (beloningsfaciliteit). </w:t>
      </w:r>
    </w:p>
    <w:p w:rsidR="00A64945" w:rsidRDefault="00A64945" w:rsidP="00A77339">
      <w:pPr>
        <w:spacing w:after="0" w:line="360" w:lineRule="auto"/>
      </w:pPr>
      <w:r>
        <w:t xml:space="preserve">Bovenstaande punten worden in onderstaand schema samengevat weergegeven. </w:t>
      </w:r>
    </w:p>
    <w:p w:rsidR="00A64945" w:rsidRDefault="00A64945" w:rsidP="0080799B">
      <w:pPr>
        <w:spacing w:after="0" w:line="360" w:lineRule="auto"/>
      </w:pPr>
    </w:p>
    <w:p w:rsidR="00A64945" w:rsidRDefault="00A64945" w:rsidP="0080799B">
      <w:pPr>
        <w:spacing w:after="0" w:line="360" w:lineRule="auto"/>
      </w:pPr>
    </w:p>
    <w:p w:rsidR="00A64945" w:rsidRDefault="00A64945" w:rsidP="0080799B">
      <w:pPr>
        <w:spacing w:after="0" w:line="360" w:lineRule="auto"/>
      </w:pPr>
    </w:p>
    <w:p w:rsidR="00A64945" w:rsidRDefault="00A64945">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88"/>
        <w:gridCol w:w="6600"/>
      </w:tblGrid>
      <w:tr w:rsidR="00A64945" w:rsidRPr="00370243" w:rsidTr="00370243">
        <w:tc>
          <w:tcPr>
            <w:tcW w:w="0" w:type="auto"/>
            <w:gridSpan w:val="2"/>
          </w:tcPr>
          <w:p w:rsidR="00A64945" w:rsidRPr="00370243" w:rsidRDefault="00A64945" w:rsidP="00370243">
            <w:pPr>
              <w:spacing w:after="0" w:line="360" w:lineRule="auto"/>
              <w:jc w:val="center"/>
              <w:rPr>
                <w:b/>
                <w:sz w:val="24"/>
                <w:szCs w:val="24"/>
              </w:rPr>
            </w:pPr>
            <w:r w:rsidRPr="00370243">
              <w:rPr>
                <w:b/>
                <w:sz w:val="24"/>
                <w:szCs w:val="24"/>
              </w:rPr>
              <w:t>Fiscale tegemoetkomingen voor de E- Zoneondernemer</w:t>
            </w:r>
          </w:p>
        </w:tc>
      </w:tr>
      <w:tr w:rsidR="00A64945" w:rsidRPr="00370243" w:rsidTr="00370243">
        <w:tc>
          <w:tcPr>
            <w:tcW w:w="0" w:type="auto"/>
          </w:tcPr>
          <w:p w:rsidR="00A64945" w:rsidRPr="00370243" w:rsidRDefault="00A64945" w:rsidP="00370243">
            <w:pPr>
              <w:spacing w:after="0" w:line="360" w:lineRule="auto"/>
              <w:rPr>
                <w:b/>
                <w:sz w:val="20"/>
                <w:szCs w:val="20"/>
              </w:rPr>
            </w:pPr>
            <w:r w:rsidRPr="00370243">
              <w:rPr>
                <w:b/>
                <w:sz w:val="20"/>
                <w:szCs w:val="20"/>
              </w:rPr>
              <w:t>1. Tariefsfaciliteit</w:t>
            </w:r>
            <w:r w:rsidRPr="00370243">
              <w:rPr>
                <w:b/>
                <w:sz w:val="20"/>
                <w:szCs w:val="20"/>
                <w:lang w:val="en-US"/>
              </w:rPr>
              <w:t xml:space="preserve"> in de winstbelasting</w:t>
            </w:r>
          </w:p>
        </w:tc>
        <w:tc>
          <w:tcPr>
            <w:tcW w:w="0" w:type="auto"/>
          </w:tcPr>
          <w:p w:rsidR="00A64945" w:rsidRPr="00370243" w:rsidRDefault="00A64945" w:rsidP="00370243">
            <w:pPr>
              <w:spacing w:after="0" w:line="360" w:lineRule="auto"/>
              <w:jc w:val="both"/>
              <w:rPr>
                <w:b/>
                <w:i/>
                <w:sz w:val="18"/>
                <w:szCs w:val="18"/>
              </w:rPr>
            </w:pPr>
            <w:r w:rsidRPr="00370243">
              <w:rPr>
                <w:sz w:val="18"/>
                <w:szCs w:val="18"/>
              </w:rPr>
              <w:t>-Gerealiseerde winst van E- Zonevennootschappen</w:t>
            </w:r>
            <w:r w:rsidRPr="00370243">
              <w:rPr>
                <w:sz w:val="20"/>
                <w:szCs w:val="20"/>
              </w:rPr>
              <w:t xml:space="preserve">* </w:t>
            </w:r>
            <w:r w:rsidRPr="00370243">
              <w:rPr>
                <w:sz w:val="18"/>
                <w:szCs w:val="18"/>
              </w:rPr>
              <w:t xml:space="preserve">wordt tegen 2% belast. Dit tarief is gegarandeerd tot 2026→ </w:t>
            </w:r>
            <w:r w:rsidRPr="00370243">
              <w:rPr>
                <w:b/>
                <w:i/>
                <w:sz w:val="18"/>
                <w:szCs w:val="18"/>
              </w:rPr>
              <w:t xml:space="preserve">(art. 11, lid 1, onderdeel a LEZ 2000). </w:t>
            </w:r>
          </w:p>
          <w:p w:rsidR="00A64945" w:rsidRPr="00370243" w:rsidRDefault="00A64945" w:rsidP="00370243">
            <w:pPr>
              <w:spacing w:after="0" w:line="360" w:lineRule="auto"/>
              <w:jc w:val="both"/>
              <w:rPr>
                <w:b/>
                <w:i/>
                <w:sz w:val="18"/>
                <w:szCs w:val="18"/>
              </w:rPr>
            </w:pPr>
            <w:r w:rsidRPr="00370243">
              <w:rPr>
                <w:sz w:val="18"/>
                <w:szCs w:val="18"/>
              </w:rPr>
              <w:t xml:space="preserve">-Winsten die gegenereerd zijn door de verkoop van goederen of diensten aan vennootschappen of personen die ingezetenen zijn van de Nederlandse Antillen worden tegen het reguliere belastingtarief van 34.5% belast→ </w:t>
            </w:r>
            <w:r w:rsidRPr="00370243">
              <w:rPr>
                <w:b/>
                <w:i/>
                <w:sz w:val="18"/>
                <w:szCs w:val="18"/>
              </w:rPr>
              <w:t xml:space="preserve">(art. 11, lid 2 LEZ 2000). </w:t>
            </w:r>
          </w:p>
          <w:p w:rsidR="00A64945" w:rsidRPr="00370243" w:rsidRDefault="00A64945" w:rsidP="00370243">
            <w:pPr>
              <w:spacing w:after="0" w:line="360" w:lineRule="auto"/>
              <w:jc w:val="both"/>
              <w:rPr>
                <w:sz w:val="18"/>
                <w:szCs w:val="18"/>
              </w:rPr>
            </w:pPr>
            <w:r w:rsidRPr="00370243">
              <w:rPr>
                <w:sz w:val="18"/>
                <w:szCs w:val="18"/>
              </w:rPr>
              <w:t>-De omzet gegenereerd door het handelen met of het verlenen van diensten aan ingezetenen van de Nederlandse Antillen mag de norm van 25% van de totale omzet van goederen en diensten van een E- Zonebedrijf niet overtreffen →</w:t>
            </w:r>
            <w:r w:rsidRPr="00370243">
              <w:rPr>
                <w:b/>
                <w:i/>
                <w:sz w:val="18"/>
                <w:szCs w:val="18"/>
              </w:rPr>
              <w:t xml:space="preserve"> (Statenstukken 2000/01, 2406, nr. 3, pg. 8).</w:t>
            </w:r>
            <w:r w:rsidRPr="00370243">
              <w:rPr>
                <w:sz w:val="18"/>
                <w:szCs w:val="18"/>
              </w:rPr>
              <w:t xml:space="preserve"> </w:t>
            </w:r>
          </w:p>
          <w:p w:rsidR="00A64945" w:rsidRPr="00370243" w:rsidRDefault="00A64945" w:rsidP="00370243">
            <w:pPr>
              <w:spacing w:after="0" w:line="360" w:lineRule="auto"/>
              <w:jc w:val="both"/>
              <w:rPr>
                <w:b/>
                <w:sz w:val="18"/>
                <w:szCs w:val="18"/>
              </w:rPr>
            </w:pPr>
            <w:r w:rsidRPr="00370243">
              <w:rPr>
                <w:sz w:val="20"/>
                <w:szCs w:val="20"/>
              </w:rPr>
              <w:t>*</w:t>
            </w:r>
            <w:r w:rsidRPr="00370243">
              <w:rPr>
                <w:sz w:val="18"/>
                <w:szCs w:val="18"/>
              </w:rPr>
              <w:t xml:space="preserve">Dit geldt overigens ook voor de winst van beheerder- exploitanten en projectontwikkelaars → </w:t>
            </w:r>
            <w:r w:rsidRPr="00370243">
              <w:rPr>
                <w:b/>
                <w:sz w:val="18"/>
                <w:szCs w:val="18"/>
              </w:rPr>
              <w:t>(art. 11 lid 1, onderdeel b en c LEZ 2000).</w:t>
            </w:r>
          </w:p>
          <w:p w:rsidR="00A64945" w:rsidRPr="00370243" w:rsidRDefault="00A64945" w:rsidP="00370243">
            <w:pPr>
              <w:spacing w:after="0" w:line="360" w:lineRule="auto"/>
              <w:jc w:val="both"/>
              <w:rPr>
                <w:sz w:val="18"/>
                <w:szCs w:val="18"/>
              </w:rPr>
            </w:pPr>
          </w:p>
        </w:tc>
      </w:tr>
      <w:tr w:rsidR="00A64945" w:rsidRPr="00370243" w:rsidTr="00370243">
        <w:tc>
          <w:tcPr>
            <w:tcW w:w="0" w:type="auto"/>
          </w:tcPr>
          <w:p w:rsidR="00A64945" w:rsidRPr="00370243" w:rsidRDefault="00A64945" w:rsidP="00370243">
            <w:pPr>
              <w:spacing w:after="0" w:line="360" w:lineRule="auto"/>
              <w:rPr>
                <w:b/>
                <w:sz w:val="20"/>
                <w:szCs w:val="20"/>
              </w:rPr>
            </w:pPr>
            <w:r w:rsidRPr="00370243">
              <w:rPr>
                <w:b/>
                <w:sz w:val="20"/>
                <w:szCs w:val="20"/>
              </w:rPr>
              <w:t>2. Vrijstellingen in de Omzetbelasting en voor wat betreft Invoerrechten en Accijnzen</w:t>
            </w:r>
          </w:p>
        </w:tc>
        <w:tc>
          <w:tcPr>
            <w:tcW w:w="0" w:type="auto"/>
          </w:tcPr>
          <w:p w:rsidR="00A64945" w:rsidRPr="00370243" w:rsidRDefault="00A64945" w:rsidP="00370243">
            <w:pPr>
              <w:spacing w:after="0" w:line="360" w:lineRule="auto"/>
              <w:jc w:val="both"/>
              <w:rPr>
                <w:b/>
                <w:i/>
                <w:sz w:val="18"/>
                <w:szCs w:val="18"/>
              </w:rPr>
            </w:pPr>
            <w:r w:rsidRPr="00370243">
              <w:rPr>
                <w:sz w:val="18"/>
                <w:szCs w:val="18"/>
              </w:rPr>
              <w:t>-Op goederen die de E- Zone in worden geïmporteerd zijn geen invoerrechten en ook geen omzetbelasting verschuldigd →</w:t>
            </w:r>
            <w:r w:rsidRPr="00370243">
              <w:rPr>
                <w:b/>
                <w:i/>
                <w:sz w:val="18"/>
                <w:szCs w:val="18"/>
              </w:rPr>
              <w:t xml:space="preserve"> (Art. 9, lid 1, onderdeel a LEZ 2000). </w:t>
            </w:r>
          </w:p>
          <w:p w:rsidR="00A64945" w:rsidRPr="00370243" w:rsidRDefault="00A64945" w:rsidP="00370243">
            <w:pPr>
              <w:spacing w:after="0" w:line="360" w:lineRule="auto"/>
              <w:jc w:val="both"/>
              <w:rPr>
                <w:b/>
                <w:i/>
                <w:sz w:val="18"/>
                <w:szCs w:val="18"/>
              </w:rPr>
            </w:pPr>
            <w:r w:rsidRPr="00370243">
              <w:rPr>
                <w:sz w:val="18"/>
                <w:szCs w:val="18"/>
              </w:rPr>
              <w:t>-Dit geldt ook bij het overbrengen van goederen vanuit de E- Zone naar een douane- entrepot of een andere E- Zone →</w:t>
            </w:r>
            <w:r w:rsidRPr="00370243">
              <w:rPr>
                <w:b/>
                <w:i/>
                <w:sz w:val="18"/>
                <w:szCs w:val="18"/>
              </w:rPr>
              <w:t xml:space="preserve"> (Art. 9, lid 1, onderdeel b, LEZ 2000).</w:t>
            </w:r>
          </w:p>
          <w:p w:rsidR="00A64945" w:rsidRPr="00370243" w:rsidRDefault="00A64945" w:rsidP="00370243">
            <w:pPr>
              <w:spacing w:after="0" w:line="360" w:lineRule="auto"/>
              <w:jc w:val="both"/>
              <w:rPr>
                <w:sz w:val="18"/>
                <w:szCs w:val="18"/>
              </w:rPr>
            </w:pPr>
            <w:r w:rsidRPr="00370243">
              <w:rPr>
                <w:sz w:val="18"/>
                <w:szCs w:val="18"/>
              </w:rPr>
              <w:t xml:space="preserve">-Hetzelfde geldt voor aan accijns onderworpen goederen→ </w:t>
            </w:r>
            <w:r w:rsidRPr="00370243">
              <w:rPr>
                <w:b/>
                <w:i/>
                <w:sz w:val="18"/>
                <w:szCs w:val="18"/>
              </w:rPr>
              <w:t>(Art. 9, lid 2 LEZ 2000).</w:t>
            </w:r>
            <w:r w:rsidRPr="00370243">
              <w:rPr>
                <w:sz w:val="18"/>
                <w:szCs w:val="18"/>
              </w:rPr>
              <w:t xml:space="preserve"> </w:t>
            </w:r>
          </w:p>
          <w:p w:rsidR="00A64945" w:rsidRPr="00370243" w:rsidRDefault="00A64945" w:rsidP="00370243">
            <w:pPr>
              <w:spacing w:after="0" w:line="360" w:lineRule="auto"/>
              <w:jc w:val="both"/>
              <w:rPr>
                <w:sz w:val="18"/>
                <w:szCs w:val="18"/>
              </w:rPr>
            </w:pPr>
            <w:r w:rsidRPr="00370243">
              <w:rPr>
                <w:sz w:val="18"/>
                <w:szCs w:val="18"/>
              </w:rPr>
              <w:t>-Bij inslag van deze goederen in de E- Zone is geen accijns over deze goederen verschuldigd →</w:t>
            </w:r>
            <w:r w:rsidRPr="00370243">
              <w:rPr>
                <w:b/>
                <w:i/>
                <w:sz w:val="18"/>
                <w:szCs w:val="18"/>
              </w:rPr>
              <w:t xml:space="preserve"> (Art. 9, lid 3 LEZ 2000).</w:t>
            </w:r>
          </w:p>
        </w:tc>
      </w:tr>
      <w:tr w:rsidR="00A64945" w:rsidRPr="00370243" w:rsidTr="00370243">
        <w:tc>
          <w:tcPr>
            <w:tcW w:w="0" w:type="auto"/>
          </w:tcPr>
          <w:p w:rsidR="00A64945" w:rsidRPr="00370243" w:rsidRDefault="00A64945" w:rsidP="00370243">
            <w:pPr>
              <w:spacing w:after="0" w:line="360" w:lineRule="auto"/>
              <w:rPr>
                <w:b/>
                <w:sz w:val="20"/>
                <w:szCs w:val="20"/>
              </w:rPr>
            </w:pPr>
            <w:r w:rsidRPr="00370243">
              <w:rPr>
                <w:b/>
                <w:sz w:val="20"/>
                <w:szCs w:val="20"/>
              </w:rPr>
              <w:t>3. Beloningsfaciliteit uit het buitenland aangetrokken personeel</w:t>
            </w:r>
          </w:p>
        </w:tc>
        <w:tc>
          <w:tcPr>
            <w:tcW w:w="0" w:type="auto"/>
          </w:tcPr>
          <w:p w:rsidR="00A64945" w:rsidRPr="00370243" w:rsidRDefault="00A64945" w:rsidP="00370243">
            <w:pPr>
              <w:spacing w:after="0" w:line="360" w:lineRule="auto"/>
              <w:jc w:val="both"/>
              <w:rPr>
                <w:sz w:val="18"/>
                <w:szCs w:val="18"/>
              </w:rPr>
            </w:pPr>
            <w:r w:rsidRPr="00370243">
              <w:rPr>
                <w:sz w:val="18"/>
                <w:szCs w:val="18"/>
              </w:rPr>
              <w:t>-Werknemers die, alvorens zij bij een E- zonebedrijf in dienst traden, meer dan vijf jaar buiten de Nederlandse Antillen woonden en over een specifieke deskundigheid beschikken die afwezig of schaars is op de Antilliaanse arbeidsmarkt, kunnen onder bepaalde voorwaarden, kwalificeren voor de zogenoemde Ex- patriatestatus  →</w:t>
            </w:r>
            <w:r w:rsidRPr="00370243">
              <w:rPr>
                <w:b/>
                <w:i/>
                <w:sz w:val="18"/>
                <w:szCs w:val="18"/>
              </w:rPr>
              <w:t xml:space="preserve"> (Art. 1, onderdeel a Beschikking ex- patriate 1998).</w:t>
            </w:r>
          </w:p>
          <w:p w:rsidR="00A64945" w:rsidRPr="00370243" w:rsidRDefault="00A64945" w:rsidP="00370243">
            <w:pPr>
              <w:spacing w:after="0" w:line="360" w:lineRule="auto"/>
              <w:jc w:val="both"/>
              <w:rPr>
                <w:sz w:val="18"/>
                <w:szCs w:val="18"/>
              </w:rPr>
            </w:pPr>
            <w:r w:rsidRPr="00370243">
              <w:rPr>
                <w:sz w:val="18"/>
                <w:szCs w:val="18"/>
              </w:rPr>
              <w:t>-Werkgever is toegestaan de loonbelasting van een ex- patriatewerknemer te berekenen over het nettoloon in plaats van over het brutoloon van de werkgever →</w:t>
            </w:r>
            <w:r w:rsidRPr="00370243">
              <w:rPr>
                <w:b/>
                <w:i/>
                <w:sz w:val="18"/>
                <w:szCs w:val="18"/>
              </w:rPr>
              <w:t xml:space="preserve"> (Art. 5, onderdeel a Beschikking ex- patriate 1998).</w:t>
            </w:r>
            <w:r w:rsidRPr="00370243">
              <w:rPr>
                <w:sz w:val="18"/>
                <w:szCs w:val="18"/>
              </w:rPr>
              <w:t xml:space="preserve"> </w:t>
            </w:r>
          </w:p>
          <w:p w:rsidR="00A64945" w:rsidRPr="00370243" w:rsidRDefault="00A64945" w:rsidP="00370243">
            <w:pPr>
              <w:spacing w:after="0" w:line="360" w:lineRule="auto"/>
              <w:jc w:val="both"/>
              <w:rPr>
                <w:sz w:val="18"/>
                <w:szCs w:val="18"/>
              </w:rPr>
            </w:pPr>
            <w:r w:rsidRPr="00370243">
              <w:rPr>
                <w:sz w:val="18"/>
                <w:szCs w:val="18"/>
              </w:rPr>
              <w:t>-Werkgever mag een aantal belastingvrije voordelen verschaffen aan zijn werknemer →</w:t>
            </w:r>
            <w:r w:rsidRPr="00370243">
              <w:rPr>
                <w:b/>
                <w:i/>
                <w:sz w:val="18"/>
                <w:szCs w:val="18"/>
              </w:rPr>
              <w:t xml:space="preserve"> (Art. 4, onderdeel a en b Beschikking ex- patriate 1998).</w:t>
            </w:r>
          </w:p>
        </w:tc>
      </w:tr>
    </w:tbl>
    <w:p w:rsidR="00A64945" w:rsidRPr="00C153AE" w:rsidRDefault="00A64945" w:rsidP="00B261D5">
      <w:pPr>
        <w:pStyle w:val="Heading2"/>
        <w:spacing w:before="0"/>
        <w:rPr>
          <w:b w:val="0"/>
          <w:sz w:val="20"/>
          <w:szCs w:val="20"/>
          <w:lang w:val="it-IT"/>
        </w:rPr>
      </w:pPr>
      <w:bookmarkStart w:id="110" w:name="_Toc299634312"/>
      <w:r w:rsidRPr="00C153AE">
        <w:rPr>
          <w:b w:val="0"/>
          <w:sz w:val="20"/>
          <w:szCs w:val="20"/>
          <w:lang w:val="it-IT"/>
        </w:rPr>
        <w:t>Figuur 3.2: Fiscale faciliteiten Curaçaose E- Zoneregime</w:t>
      </w:r>
      <w:r>
        <w:rPr>
          <w:b w:val="0"/>
          <w:sz w:val="20"/>
          <w:szCs w:val="20"/>
          <w:lang w:val="it-IT"/>
        </w:rPr>
        <w:t xml:space="preserve"> samengevat</w:t>
      </w:r>
      <w:bookmarkEnd w:id="110"/>
    </w:p>
    <w:p w:rsidR="00A64945" w:rsidRDefault="00A64945">
      <w:pPr>
        <w:rPr>
          <w:rFonts w:cs="Times New Roman"/>
          <w:b/>
          <w:bCs/>
          <w:color w:val="000000"/>
          <w:sz w:val="26"/>
          <w:szCs w:val="26"/>
          <w:lang w:val="it-IT"/>
        </w:rPr>
      </w:pPr>
      <w:r>
        <w:rPr>
          <w:lang w:val="it-IT"/>
        </w:rPr>
        <w:br w:type="page"/>
      </w:r>
    </w:p>
    <w:p w:rsidR="00A64945" w:rsidRPr="00824043" w:rsidRDefault="00A64945" w:rsidP="0019000F">
      <w:pPr>
        <w:pStyle w:val="Heading1"/>
        <w:spacing w:before="0"/>
        <w:jc w:val="both"/>
        <w:rPr>
          <w:rFonts w:ascii="Calibri" w:hAnsi="Calibri"/>
          <w:color w:val="auto"/>
        </w:rPr>
      </w:pPr>
      <w:bookmarkStart w:id="111" w:name="_Toc299634313"/>
      <w:r w:rsidRPr="00824043">
        <w:rPr>
          <w:rFonts w:ascii="Calibri" w:hAnsi="Calibri"/>
          <w:color w:val="auto"/>
        </w:rPr>
        <w:t xml:space="preserve">H4. </w:t>
      </w:r>
      <w:r>
        <w:rPr>
          <w:rFonts w:ascii="Calibri" w:hAnsi="Calibri"/>
          <w:color w:val="auto"/>
        </w:rPr>
        <w:t>Toetsing h</w:t>
      </w:r>
      <w:r w:rsidRPr="00824043">
        <w:rPr>
          <w:rFonts w:ascii="Calibri" w:hAnsi="Calibri"/>
          <w:color w:val="auto"/>
        </w:rPr>
        <w:t>oudbaarheid fiscaliteit Curaçaose E- zoneregime binnen fiscale EU- wetgeving.</w:t>
      </w:r>
      <w:bookmarkEnd w:id="111"/>
    </w:p>
    <w:p w:rsidR="00A64945" w:rsidRDefault="00A64945" w:rsidP="0019000F">
      <w:pPr>
        <w:spacing w:after="0" w:line="360" w:lineRule="auto"/>
        <w:jc w:val="both"/>
      </w:pPr>
    </w:p>
    <w:p w:rsidR="00A64945" w:rsidRPr="0011373B" w:rsidRDefault="00A64945" w:rsidP="0019000F">
      <w:pPr>
        <w:pStyle w:val="Heading2"/>
        <w:spacing w:before="0"/>
        <w:jc w:val="both"/>
        <w:rPr>
          <w:color w:val="auto"/>
        </w:rPr>
      </w:pPr>
      <w:bookmarkStart w:id="112" w:name="_Toc299634314"/>
      <w:r w:rsidRPr="0011373B">
        <w:rPr>
          <w:color w:val="auto"/>
        </w:rPr>
        <w:t>§4.1 Inleiding</w:t>
      </w:r>
      <w:bookmarkEnd w:id="112"/>
    </w:p>
    <w:p w:rsidR="00A64945" w:rsidRDefault="00A64945" w:rsidP="0019000F">
      <w:pPr>
        <w:spacing w:after="0" w:line="360" w:lineRule="auto"/>
        <w:jc w:val="both"/>
      </w:pPr>
    </w:p>
    <w:p w:rsidR="00A64945" w:rsidRPr="00B35111" w:rsidRDefault="00A64945" w:rsidP="0019000F">
      <w:pPr>
        <w:spacing w:after="0" w:line="360" w:lineRule="auto"/>
        <w:jc w:val="both"/>
      </w:pPr>
      <w:r>
        <w:t>In dit hoofdstuk wordt de houdbaarheid binnen de fiscale EU- wetgeving van de fiscaliteit die aan het huidige Curaçaose E- Zoneregime kleeft, getoetst. De kernvraag die in deze scriptie centraal staat, luidt als volgt:</w:t>
      </w:r>
    </w:p>
    <w:p w:rsidR="00A64945" w:rsidRPr="00F21B3D" w:rsidRDefault="00A64945" w:rsidP="0019000F">
      <w:pPr>
        <w:spacing w:after="0" w:line="360" w:lineRule="auto"/>
        <w:jc w:val="both"/>
      </w:pPr>
    </w:p>
    <w:p w:rsidR="00A64945" w:rsidRDefault="00A64945" w:rsidP="0019000F">
      <w:pPr>
        <w:spacing w:after="0" w:line="360" w:lineRule="auto"/>
        <w:jc w:val="both"/>
        <w:rPr>
          <w:i/>
        </w:rPr>
      </w:pPr>
      <w:r w:rsidRPr="00B35111">
        <w:rPr>
          <w:i/>
        </w:rPr>
        <w:t>‘ In hoeverre is de op de landsverordening economische zon</w:t>
      </w:r>
      <w:r>
        <w:rPr>
          <w:i/>
        </w:rPr>
        <w:t>es</w:t>
      </w:r>
      <w:r w:rsidRPr="00B35111">
        <w:rPr>
          <w:i/>
        </w:rPr>
        <w:t xml:space="preserve"> 2000 gebaseerde huidige Curaçaose economische zone, gegeven het feit dat Curaçao de UPG- status aanvaart en uitsluitend</w:t>
      </w:r>
      <w:r>
        <w:rPr>
          <w:i/>
        </w:rPr>
        <w:t xml:space="preserve"> gezien vanuit een fiscaal perspectief, Europees rechtelijk bestendig?’</w:t>
      </w:r>
      <w:r w:rsidRPr="00B35111">
        <w:rPr>
          <w:i/>
        </w:rPr>
        <w:t xml:space="preserve"> </w:t>
      </w:r>
    </w:p>
    <w:p w:rsidR="00A64945" w:rsidRDefault="00A64945" w:rsidP="0019000F">
      <w:pPr>
        <w:spacing w:after="0" w:line="360" w:lineRule="auto"/>
        <w:jc w:val="both"/>
        <w:rPr>
          <w:b/>
          <w:i/>
          <w:sz w:val="18"/>
          <w:szCs w:val="18"/>
        </w:rPr>
      </w:pPr>
    </w:p>
    <w:p w:rsidR="00A64945" w:rsidRPr="00914F05" w:rsidRDefault="00A64945" w:rsidP="0019000F">
      <w:pPr>
        <w:spacing w:after="0" w:line="360" w:lineRule="auto"/>
        <w:jc w:val="both"/>
        <w:rPr>
          <w:b/>
          <w:i/>
          <w:sz w:val="20"/>
          <w:szCs w:val="20"/>
        </w:rPr>
      </w:pPr>
      <w:r w:rsidRPr="00914F05">
        <w:rPr>
          <w:b/>
          <w:i/>
          <w:sz w:val="20"/>
          <w:szCs w:val="20"/>
        </w:rPr>
        <w:t>Object van de analyse</w:t>
      </w:r>
    </w:p>
    <w:p w:rsidR="00A64945" w:rsidRDefault="00A64945" w:rsidP="0019000F">
      <w:pPr>
        <w:spacing w:after="0" w:line="360" w:lineRule="auto"/>
        <w:jc w:val="both"/>
      </w:pPr>
      <w:r>
        <w:t xml:space="preserve">Ter beantwoording van bovenstaande vraag worden in dit hoofdstuk de fiscale faciliteiten die ten grondslag liggen aan het Curaçaose E- Zoneregime getoetst aan het EU- recht. Zoals uit §3.4. blijkt, zijn wat het fiscale karakter van het Curaçaose E- Zoneregime betreft, drie groepen te onderscheiden. Op fiscaal gebied omvat het Curaçaose E- Zoneregime voor de Curaçaose E- Zoneondernemer: </w:t>
      </w:r>
    </w:p>
    <w:p w:rsidR="00A64945" w:rsidRDefault="00A64945" w:rsidP="00D06410">
      <w:pPr>
        <w:pStyle w:val="ListParagraph"/>
        <w:numPr>
          <w:ilvl w:val="0"/>
          <w:numId w:val="41"/>
        </w:numPr>
        <w:spacing w:after="0" w:line="360" w:lineRule="auto"/>
        <w:jc w:val="both"/>
      </w:pPr>
      <w:r>
        <w:t>Een tariefsfaciliteit in de winstbelasting;</w:t>
      </w:r>
    </w:p>
    <w:p w:rsidR="00A64945" w:rsidRDefault="00A64945" w:rsidP="00D06410">
      <w:pPr>
        <w:pStyle w:val="ListParagraph"/>
        <w:numPr>
          <w:ilvl w:val="0"/>
          <w:numId w:val="41"/>
        </w:numPr>
        <w:spacing w:after="0" w:line="360" w:lineRule="auto"/>
        <w:jc w:val="both"/>
      </w:pPr>
      <w:r>
        <w:t>Vrijstellingen in de omzetbelasting en voor wat betreft de heffing van invoerrechten en accijnzen en;</w:t>
      </w:r>
    </w:p>
    <w:p w:rsidR="00A64945" w:rsidRDefault="00A64945" w:rsidP="00D06410">
      <w:pPr>
        <w:pStyle w:val="ListParagraph"/>
        <w:numPr>
          <w:ilvl w:val="0"/>
          <w:numId w:val="41"/>
        </w:numPr>
        <w:spacing w:after="0" w:line="360" w:lineRule="auto"/>
        <w:jc w:val="both"/>
      </w:pPr>
      <w:r>
        <w:t xml:space="preserve">Een beloningsfaciliteit voor uit het buitenland aangetrokken personeel. </w:t>
      </w:r>
    </w:p>
    <w:p w:rsidR="00A64945" w:rsidRDefault="00A64945" w:rsidP="00D06410">
      <w:pPr>
        <w:spacing w:after="0" w:line="360" w:lineRule="auto"/>
        <w:jc w:val="both"/>
      </w:pPr>
      <w:r>
        <w:t>Deze regelingen vormen het object van de in dit hoofdstuk uit te voeren analyse.</w:t>
      </w:r>
    </w:p>
    <w:p w:rsidR="00A64945" w:rsidRDefault="00A64945" w:rsidP="0019000F">
      <w:pPr>
        <w:spacing w:after="0" w:line="360" w:lineRule="auto"/>
        <w:jc w:val="both"/>
        <w:rPr>
          <w:b/>
          <w:i/>
          <w:sz w:val="20"/>
          <w:szCs w:val="20"/>
        </w:rPr>
      </w:pPr>
    </w:p>
    <w:p w:rsidR="00A64945" w:rsidRPr="00914F05" w:rsidRDefault="00A64945" w:rsidP="0019000F">
      <w:pPr>
        <w:spacing w:after="0" w:line="360" w:lineRule="auto"/>
        <w:jc w:val="both"/>
        <w:rPr>
          <w:b/>
          <w:i/>
          <w:sz w:val="20"/>
          <w:szCs w:val="20"/>
        </w:rPr>
      </w:pPr>
      <w:r w:rsidRPr="00914F05">
        <w:rPr>
          <w:b/>
          <w:i/>
          <w:sz w:val="20"/>
          <w:szCs w:val="20"/>
        </w:rPr>
        <w:t>Toetsingskader analyse</w:t>
      </w:r>
    </w:p>
    <w:p w:rsidR="00A64945" w:rsidRDefault="00A64945" w:rsidP="0019000F">
      <w:pPr>
        <w:spacing w:after="0" w:line="360" w:lineRule="auto"/>
        <w:jc w:val="both"/>
      </w:pPr>
      <w:r>
        <w:t xml:space="preserve">Het toetsingskader van de in dit hoofdstuk uit te voeren analyse is het EU- recht. De fiscaliteit die kleeft aan het Curaçaose E- Zoneregime zal in dit hoofdstuk langs de Europese meetlat worden gelegd. Het EU- recht is veelomvattend (zie bijvoorbeeld §1.1.5). Om die reden betrek ik in deze analyse niet alle terreinen waar het EU- recht invloed op (kan) uitoefen(en)t, maar beperk ik me tot de Europese regelingen waarbij de fiscaliteit een rol speelt. Deze onderdelen van het </w:t>
      </w:r>
      <w:r w:rsidRPr="00BF0A0A">
        <w:rPr>
          <w:i/>
        </w:rPr>
        <w:t>Acquis Communitaire</w:t>
      </w:r>
      <w:r>
        <w:rPr>
          <w:i/>
        </w:rPr>
        <w:t xml:space="preserve"> </w:t>
      </w:r>
      <w:r w:rsidRPr="009B40C6">
        <w:t>zijn in hoofdstuk twee naar voren gekomen. Het betreft de EU- verdragsvrijheden, de directe belastingrichtlijnen en de bepalingen met betrekking tot mededinging</w:t>
      </w:r>
      <w:r>
        <w:t xml:space="preserve"> (schadelijke belastingconcurrentie) en staatssteun. In dit hoofdstuk vindt een toetsing plaats om te kunnen </w:t>
      </w:r>
      <w:r>
        <w:lastRenderedPageBreak/>
        <w:t>bepalen in hoeverre de fiscale tegemoetkomingen die in de Curaçaose winstbelasting, omzetbelasting en voor wat betreft de heffing van invoerrechten en accijnzen en de beloningsfaciliteit voor aangetrokken buitenlands personeel</w:t>
      </w:r>
      <w:r>
        <w:rPr>
          <w:rStyle w:val="FootnoteReference"/>
          <w:rFonts w:cs="Arial"/>
        </w:rPr>
        <w:footnoteReference w:id="340"/>
      </w:r>
      <w:r>
        <w:t xml:space="preserve"> voor de Curaçaose E- Zoneondernemer gelden, in overeenstemming zijn met het fiscale EU- recht. Onder fiscale EU- recht versta ik in deze de in hoofdstuk twee uiteengezette Europese regelingen. </w:t>
      </w:r>
    </w:p>
    <w:p w:rsidR="00A64945" w:rsidRDefault="00A64945" w:rsidP="0019000F">
      <w:pPr>
        <w:spacing w:after="0" w:line="360" w:lineRule="auto"/>
        <w:jc w:val="both"/>
        <w:rPr>
          <w:b/>
          <w:i/>
          <w:sz w:val="18"/>
          <w:szCs w:val="18"/>
        </w:rPr>
      </w:pPr>
    </w:p>
    <w:p w:rsidR="00A64945" w:rsidRPr="00914F05" w:rsidRDefault="00A64945" w:rsidP="0019000F">
      <w:pPr>
        <w:spacing w:after="0" w:line="360" w:lineRule="auto"/>
        <w:jc w:val="both"/>
        <w:rPr>
          <w:b/>
          <w:i/>
          <w:sz w:val="20"/>
          <w:szCs w:val="20"/>
        </w:rPr>
      </w:pPr>
      <w:r w:rsidRPr="00914F05">
        <w:rPr>
          <w:b/>
          <w:i/>
          <w:sz w:val="20"/>
          <w:szCs w:val="20"/>
        </w:rPr>
        <w:t>Doel analyse</w:t>
      </w:r>
    </w:p>
    <w:p w:rsidR="00A64945" w:rsidRDefault="00A64945" w:rsidP="0019000F">
      <w:pPr>
        <w:spacing w:after="0" w:line="360" w:lineRule="auto"/>
        <w:jc w:val="both"/>
      </w:pPr>
      <w:r>
        <w:t>Het doel van deze analyse is een oordeel te kunnen vormen over de mate van Europees rechtelijke bestendigheid van  het Curaçaose E- Zoneregime. Op welke punten conflicteert dat regime met het fiscale EU- recht? De uitgangssituatie voor mijn analyse is dat Curaçao de status van ultraperifeer gebied heeft aanvaard. De vraag of dit al dan niet wenselijk is, speelt in deze analyse dus geen rol.</w:t>
      </w:r>
    </w:p>
    <w:p w:rsidR="00A64945" w:rsidRDefault="00A64945" w:rsidP="002D725F">
      <w:pPr>
        <w:pStyle w:val="Heading2"/>
      </w:pPr>
      <w:bookmarkStart w:id="113" w:name="_Toc299634315"/>
      <w:r>
        <w:t>§4.1.  Toetsing strijdigheid met EU- Verdragsvrijheden (§2.2.)</w:t>
      </w:r>
      <w:bookmarkEnd w:id="113"/>
    </w:p>
    <w:p w:rsidR="00A64945" w:rsidRPr="00017EC8" w:rsidRDefault="00A64945" w:rsidP="002D725F">
      <w:pPr>
        <w:spacing w:after="0" w:line="360" w:lineRule="auto"/>
        <w:jc w:val="both"/>
        <w:rPr>
          <w:sz w:val="20"/>
          <w:szCs w:val="20"/>
        </w:rPr>
      </w:pPr>
    </w:p>
    <w:p w:rsidR="00A64945" w:rsidRDefault="00A64945" w:rsidP="00DF7198">
      <w:pPr>
        <w:pStyle w:val="Heading3"/>
        <w:spacing w:before="0" w:line="360" w:lineRule="auto"/>
        <w:jc w:val="both"/>
      </w:pPr>
      <w:bookmarkStart w:id="114" w:name="_Toc299634316"/>
      <w:r>
        <w:t xml:space="preserve">§4.1.1. </w:t>
      </w:r>
      <w:r w:rsidRPr="00380D06">
        <w:t>Algemeen</w:t>
      </w:r>
      <w:bookmarkEnd w:id="114"/>
    </w:p>
    <w:p w:rsidR="00A64945" w:rsidRDefault="00A64945" w:rsidP="00DF7198">
      <w:pPr>
        <w:spacing w:after="0" w:line="360" w:lineRule="auto"/>
        <w:jc w:val="both"/>
      </w:pPr>
    </w:p>
    <w:p w:rsidR="00A64945" w:rsidRDefault="00A64945" w:rsidP="00DF7198">
      <w:pPr>
        <w:spacing w:after="0" w:line="360" w:lineRule="auto"/>
        <w:jc w:val="both"/>
      </w:pPr>
      <w:r>
        <w:t>Het toetsen van de strijdigheid van een nationale bepaling aan de vrije verkeersbepalingen kan stapsgewijs volgens een vast stramien plaatsvinden. De eerste stap om te bepalen of een aan het EU- recht getoetste nationale bepaling in strijd is met het EU- recht is het bepalen of de onderhavige situatie</w:t>
      </w:r>
      <w:r>
        <w:rPr>
          <w:rStyle w:val="FootnoteReference"/>
        </w:rPr>
        <w:footnoteReference w:id="341"/>
      </w:r>
      <w:r>
        <w:t xml:space="preserve"> toegang heeft tot het EU- recht. Zie in dit kader §2.2.2 over verdragsgerechtigheid. Gerechtigd tot de Verdragen is een ieder die burger van de Unie is. Burger van de Unie is een ieder die de nationaliteit van een lidstaat bezit. Dit kunnen natuurlijke personen zijn of rechtspersonen. </w:t>
      </w:r>
    </w:p>
    <w:p w:rsidR="00A64945" w:rsidRDefault="00A64945" w:rsidP="002D725F">
      <w:pPr>
        <w:spacing w:after="0" w:line="360" w:lineRule="auto"/>
        <w:jc w:val="both"/>
      </w:pPr>
      <w:r>
        <w:t>Zoals in §2.2.2. reeds aan de orde is geweest, is d</w:t>
      </w:r>
      <w:r w:rsidRPr="00183CB4">
        <w:t>iscriminatie naar nationaliteit en het belemmeren van het vrije verkeer verboden.</w:t>
      </w:r>
      <w:r w:rsidRPr="002A29FF">
        <w:t xml:space="preserve"> Onderdanen van de lidstaten dienen ongestoord gebruik te kunnen maken van het vrije verkeer. Ongestoord wil zeggen zonder</w:t>
      </w:r>
      <w:r>
        <w:t xml:space="preserve"> hierbij</w:t>
      </w:r>
      <w:r w:rsidRPr="002A29FF">
        <w:t xml:space="preserve"> belemmeringen</w:t>
      </w:r>
      <w:r>
        <w:t xml:space="preserve"> te ondergaan</w:t>
      </w:r>
      <w:r w:rsidRPr="002A29FF">
        <w:t xml:space="preserve"> en/of zonder gediscrimineerd te worden.</w:t>
      </w:r>
      <w:r>
        <w:t xml:space="preserve"> Dit heeft als gevolg dat b</w:t>
      </w:r>
      <w:r w:rsidRPr="00823B68">
        <w:t>urgers van de Unie zich</w:t>
      </w:r>
      <w:r>
        <w:t>,</w:t>
      </w:r>
      <w:r w:rsidRPr="00823B68">
        <w:t xml:space="preserve"> in een situatie</w:t>
      </w:r>
      <w:r>
        <w:t xml:space="preserve"> waarin zij gebruik maken van het vrije verkeer in de EU</w:t>
      </w:r>
      <w:r>
        <w:rPr>
          <w:rStyle w:val="FootnoteReference"/>
        </w:rPr>
        <w:footnoteReference w:id="342"/>
      </w:r>
      <w:r>
        <w:t xml:space="preserve"> en hierbij belemmering(en) ondervinden en/of gediscrimineerd worden, kunnen beroepen op de vrije verkeersbepalingen die uit het EU- verdrag</w:t>
      </w:r>
      <w:r w:rsidRPr="002B30BF">
        <w:t xml:space="preserve"> </w:t>
      </w:r>
      <w:r>
        <w:t xml:space="preserve">voortvloeien. </w:t>
      </w:r>
    </w:p>
    <w:p w:rsidR="00A64945" w:rsidRDefault="00A64945" w:rsidP="002D725F">
      <w:pPr>
        <w:spacing w:after="0" w:line="360" w:lineRule="auto"/>
        <w:jc w:val="both"/>
      </w:pPr>
      <w:r>
        <w:lastRenderedPageBreak/>
        <w:t>Indien geen toegang bestaat tot het EU- recht, dan is toetsing aan het EU- recht niet mogelijk. Indien wel toegang bestaat tot het EU-recht is de tweede stap het bepalen met welke verkeersvrijheden</w:t>
      </w:r>
      <w:r>
        <w:rPr>
          <w:rStyle w:val="FootnoteReference"/>
        </w:rPr>
        <w:footnoteReference w:id="343"/>
      </w:r>
      <w:r>
        <w:t xml:space="preserve"> strijdigheid bestaat. </w:t>
      </w:r>
    </w:p>
    <w:p w:rsidR="00A64945" w:rsidRDefault="00A64945" w:rsidP="002D725F">
      <w:pPr>
        <w:spacing w:after="0" w:line="360" w:lineRule="auto"/>
        <w:jc w:val="both"/>
      </w:pPr>
      <w:r>
        <w:t>Bij de derde stap dient allereerst bepaald te worden welke rechtvaardigingsgronden</w:t>
      </w:r>
      <w:r>
        <w:rPr>
          <w:rStyle w:val="FootnoteReference"/>
        </w:rPr>
        <w:footnoteReference w:id="344"/>
      </w:r>
      <w:r>
        <w:t xml:space="preserve"> aangevoerd kunnen worden, om vervolgens  te beoordelen of deze rechtvaardigingsgronden de strijdigheid van de betreffende nationale bepaling met het EU- recht rechtvaardigen.</w:t>
      </w:r>
      <w:r>
        <w:rPr>
          <w:rStyle w:val="FootnoteReference"/>
        </w:rPr>
        <w:footnoteReference w:id="345"/>
      </w:r>
      <w:r>
        <w:t xml:space="preserve"> Een belemmering is namelijk niet per definitie een verboden belemmering. Wellicht bestaat er een rechtvaardiging voor desbetreffende belemmering waardoor de conclusie van het Hof kan zijn dat er geen sprake is van een verboden belemmering. </w:t>
      </w:r>
    </w:p>
    <w:p w:rsidR="00A64945" w:rsidRDefault="00A64945" w:rsidP="002D725F">
      <w:pPr>
        <w:spacing w:after="0" w:line="360" w:lineRule="auto"/>
        <w:jc w:val="both"/>
      </w:pPr>
      <w:r>
        <w:t xml:space="preserve">Indien de strijdigheid niet gerechtvaardigd kan worden, is de aan het EU- recht getoetste nationale bepaling in strijd met het EU- recht. </w:t>
      </w:r>
    </w:p>
    <w:p w:rsidR="00A64945" w:rsidRDefault="00A64945" w:rsidP="002D725F">
      <w:pPr>
        <w:spacing w:after="0" w:line="360" w:lineRule="auto"/>
        <w:jc w:val="both"/>
      </w:pPr>
      <w:r>
        <w:t>Kan de strijdigheid wel gerechtvaardigd worden dan is de laatste stap het beoordelen of de nationale bepaling voldoet aan het proportionaliteitsvereiste (zie ook §2.2.2 onder het kopje ‘rechtvaardigingsgronden voor belemmeringen’, het 3</w:t>
      </w:r>
      <w:r>
        <w:rPr>
          <w:vertAlign w:val="superscript"/>
        </w:rPr>
        <w:t>de</w:t>
      </w:r>
      <w:r>
        <w:t xml:space="preserve"> en 4</w:t>
      </w:r>
      <w:r w:rsidRPr="000923F4">
        <w:rPr>
          <w:vertAlign w:val="superscript"/>
        </w:rPr>
        <w:t>de</w:t>
      </w:r>
      <w:r>
        <w:t xml:space="preserve"> punt).</w:t>
      </w:r>
      <w:r>
        <w:rPr>
          <w:rStyle w:val="FootnoteReference"/>
        </w:rPr>
        <w:footnoteReference w:id="346"/>
      </w:r>
      <w:r>
        <w:t xml:space="preserve"> Voldoet de nationale bepaling aan dit vereiste dan kan geconcludeerd worden dat de aan het EU- recht getoetste nationale bepaling niet in strijd is met het EU-recht. </w:t>
      </w:r>
    </w:p>
    <w:p w:rsidR="00A64945" w:rsidRPr="00407F86" w:rsidRDefault="00A64945" w:rsidP="002D725F">
      <w:pPr>
        <w:spacing w:after="0" w:line="360" w:lineRule="auto"/>
        <w:jc w:val="both"/>
      </w:pPr>
      <w:r>
        <w:t xml:space="preserve">Is er van proportionaliteit geen sprake dan is de conclusie dat de aan het EU- recht getoetste nationale bepaling wel in strijd is met het EU- recht. </w:t>
      </w:r>
      <w:r w:rsidRPr="00407F86">
        <w:t xml:space="preserve">Bovenstaande wordt in </w:t>
      </w:r>
      <w:r>
        <w:t>de onderstaande</w:t>
      </w:r>
      <w:r w:rsidRPr="00407F86">
        <w:t xml:space="preserve"> figuur schematisch samengevat. </w:t>
      </w:r>
    </w:p>
    <w:p w:rsidR="00A64945" w:rsidRDefault="00DA44D0" w:rsidP="002D725F">
      <w:pPr>
        <w:spacing w:after="0" w:line="360" w:lineRule="auto"/>
        <w:jc w:val="both"/>
      </w:pPr>
      <w:r>
        <w:rPr>
          <w:noProof/>
          <w:lang w:val="en-US"/>
        </w:rPr>
        <w:lastRenderedPageBreak/>
        <w:drawing>
          <wp:inline distT="0" distB="0" distL="0" distR="0">
            <wp:extent cx="4809490" cy="593153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4809490" cy="5931535"/>
                    </a:xfrm>
                    <a:prstGeom prst="rect">
                      <a:avLst/>
                    </a:prstGeom>
                    <a:noFill/>
                    <a:ln w="9525">
                      <a:noFill/>
                      <a:miter lim="800000"/>
                      <a:headEnd/>
                      <a:tailEnd/>
                    </a:ln>
                  </pic:spPr>
                </pic:pic>
              </a:graphicData>
            </a:graphic>
          </wp:inline>
        </w:drawing>
      </w:r>
    </w:p>
    <w:p w:rsidR="00A64945" w:rsidRDefault="00A64945" w:rsidP="009B7DA3">
      <w:pPr>
        <w:pStyle w:val="Heading3"/>
        <w:spacing w:before="0" w:line="360" w:lineRule="auto"/>
      </w:pPr>
      <w:bookmarkStart w:id="115" w:name="_Toc299634317"/>
      <w:r w:rsidRPr="00585303">
        <w:rPr>
          <w:b w:val="0"/>
          <w:sz w:val="20"/>
          <w:szCs w:val="20"/>
        </w:rPr>
        <w:t>Figuur 4.1: Beoordelingsschema te beoordeling strijdigheid nationale bepaling met EU- recht</w:t>
      </w:r>
      <w:bookmarkEnd w:id="115"/>
      <w:r w:rsidRPr="00585303">
        <w:rPr>
          <w:b w:val="0"/>
          <w:sz w:val="20"/>
          <w:szCs w:val="20"/>
        </w:rPr>
        <w:t xml:space="preserve"> </w:t>
      </w:r>
    </w:p>
    <w:p w:rsidR="00A64945" w:rsidRDefault="00A64945" w:rsidP="00DF7198">
      <w:pPr>
        <w:pStyle w:val="Heading3"/>
        <w:spacing w:before="0" w:line="360" w:lineRule="auto"/>
        <w:jc w:val="both"/>
      </w:pPr>
    </w:p>
    <w:p w:rsidR="00A64945" w:rsidRDefault="00A64945" w:rsidP="00DF7198">
      <w:pPr>
        <w:pStyle w:val="Heading3"/>
        <w:spacing w:before="0" w:line="360" w:lineRule="auto"/>
        <w:jc w:val="both"/>
      </w:pPr>
      <w:bookmarkStart w:id="116" w:name="_Toc299634318"/>
      <w:r>
        <w:t xml:space="preserve">§ 4.1.2. </w:t>
      </w:r>
      <w:r w:rsidRPr="005D36D1">
        <w:t xml:space="preserve">Strijdigheid </w:t>
      </w:r>
      <w:r>
        <w:t xml:space="preserve">fiscaliteit </w:t>
      </w:r>
      <w:r w:rsidRPr="005D36D1">
        <w:t>Curaçaose E- Zoneregime met vrij verkeersbepalingen</w:t>
      </w:r>
      <w:bookmarkEnd w:id="116"/>
    </w:p>
    <w:p w:rsidR="00A64945" w:rsidRDefault="00A64945" w:rsidP="00DF7198">
      <w:pPr>
        <w:spacing w:after="0" w:line="360" w:lineRule="auto"/>
        <w:jc w:val="both"/>
      </w:pPr>
    </w:p>
    <w:p w:rsidR="00A64945" w:rsidRDefault="00A64945" w:rsidP="00DF7198">
      <w:pPr>
        <w:spacing w:after="0" w:line="360" w:lineRule="auto"/>
        <w:jc w:val="both"/>
      </w:pPr>
      <w:r>
        <w:t>De vraag die in deze paragraaf beantwoord dient te worden is: ‘Discrimineert de belastingfaciliteit die uit het Curaçaose E- Zoneregime voortvloeit naar nationaliteit?’ Of  ‘Wordt door het bestaan of de toepassing van deze nationale belastingwetgeving de uitoefening van het vrije verkeer belemmerd?’</w:t>
      </w:r>
    </w:p>
    <w:p w:rsidR="00A64945" w:rsidRDefault="00A64945" w:rsidP="002D725F">
      <w:pPr>
        <w:spacing w:line="360" w:lineRule="auto"/>
        <w:jc w:val="both"/>
      </w:pPr>
      <w:r>
        <w:t>Om deze vraag te beantwoorden, worden de voorwaarden die aan dat regime ten grondslag liggen, onder de loep genomen. Kunnen hier bijvoorbeeld belemmerende voorwaarden tussen onderscheiden worden? Mijn bevindingen zullen in het hiernavolgende uiteen worden gezet.</w:t>
      </w:r>
    </w:p>
    <w:p w:rsidR="00A64945" w:rsidRPr="008A1080" w:rsidRDefault="00A64945" w:rsidP="002D725F">
      <w:pPr>
        <w:spacing w:after="0" w:line="360" w:lineRule="auto"/>
        <w:jc w:val="both"/>
        <w:rPr>
          <w:b/>
          <w:i/>
          <w:sz w:val="20"/>
          <w:szCs w:val="20"/>
        </w:rPr>
      </w:pPr>
      <w:r w:rsidRPr="008A1080">
        <w:rPr>
          <w:b/>
          <w:i/>
          <w:sz w:val="20"/>
          <w:szCs w:val="20"/>
        </w:rPr>
        <w:lastRenderedPageBreak/>
        <w:t>Toelatingsvoorwaarden E- Zone</w:t>
      </w:r>
    </w:p>
    <w:p w:rsidR="00A64945" w:rsidRDefault="00A64945" w:rsidP="002D725F">
      <w:pPr>
        <w:spacing w:after="0" w:line="360" w:lineRule="auto"/>
        <w:jc w:val="both"/>
      </w:pPr>
      <w:r>
        <w:t>Met betrekking tot de toelating tot het Curaçaose E- Zoneregime discrimineert de LEZ 2000 niet naar nationaliteit. Dit blijkt uit de voorwaarden die gelden voor de toelating tot een E- Zone zoals deze in §3.2.5. zijn behandeld. Wat betreft de toelating wordt geen onderscheid</w:t>
      </w:r>
      <w:r>
        <w:rPr>
          <w:rStyle w:val="FootnoteReference"/>
        </w:rPr>
        <w:footnoteReference w:id="347"/>
      </w:r>
      <w:r>
        <w:t xml:space="preserve"> gemaakt tussen binnenlandse en buitenlandse ondernemingen. Noch wat de rechtsvorm betreft noch wat de vestiging betreft. Toegang tot een E- Zone wordt verleend aan de rechtspersoon met een in aandelen verdeeld kapitaal of aan fiscaal transparante samenwerkingsverbanden. Wat betreft de rechtspersoon is het n</w:t>
      </w:r>
      <w:r w:rsidRPr="00BE5B85">
        <w:t>iet noodzakelijk dat het om een Antilliaanse rechtspersoon gaat, noch hoeft de rechtspersoon in de N</w:t>
      </w:r>
      <w:r>
        <w:t xml:space="preserve">ederlandse </w:t>
      </w:r>
      <w:r w:rsidRPr="00BE5B85">
        <w:t>A</w:t>
      </w:r>
      <w:r>
        <w:t>ntillen</w:t>
      </w:r>
      <w:r w:rsidRPr="00BE5B85">
        <w:t xml:space="preserve"> te zijn gevestigd</w:t>
      </w:r>
      <w:r>
        <w:t>. L</w:t>
      </w:r>
      <w:r w:rsidRPr="00BE5B85">
        <w:t>ocale bedrijv</w:t>
      </w:r>
      <w:r>
        <w:t>en zijn vrij om een vennootschap in een</w:t>
      </w:r>
      <w:r w:rsidRPr="00BE5B85">
        <w:t xml:space="preserve"> E- Zone op</w:t>
      </w:r>
      <w:r>
        <w:t xml:space="preserve"> te </w:t>
      </w:r>
      <w:r w:rsidRPr="00BE5B85">
        <w:t xml:space="preserve">zetten. </w:t>
      </w:r>
      <w:r>
        <w:t>Als zij zich maar aan de geldende voorwaarden houden. In dit opzicht is er dus geen verschil in behandeling tussen binnenlanders en buitenlanders.</w:t>
      </w:r>
      <w:r>
        <w:rPr>
          <w:rStyle w:val="FootnoteReference"/>
        </w:rPr>
        <w:footnoteReference w:id="348"/>
      </w:r>
      <w:r>
        <w:t xml:space="preserve"> Dat geldt ook voor de fiscaal t</w:t>
      </w:r>
      <w:r w:rsidRPr="00376A92">
        <w:t>ransparante samenwerkingsverbanden</w:t>
      </w:r>
      <w:r>
        <w:t xml:space="preserve">. Zowel samenwerkingsverbanden </w:t>
      </w:r>
      <w:r w:rsidRPr="00376A92">
        <w:t xml:space="preserve">die direct of indirect zijn aangegaan door in de </w:t>
      </w:r>
      <w:r>
        <w:t>Nederlandse Antillen</w:t>
      </w:r>
      <w:r w:rsidRPr="004F06DB">
        <w:t xml:space="preserve"> </w:t>
      </w:r>
      <w:r w:rsidRPr="00376A92">
        <w:t>gevestigde rechtspersonen met ee</w:t>
      </w:r>
      <w:r>
        <w:t>n in aandelen verdeeld kapitaal</w:t>
      </w:r>
      <w:r w:rsidRPr="00376A92">
        <w:t xml:space="preserve">, </w:t>
      </w:r>
      <w:r>
        <w:t xml:space="preserve">als ook in </w:t>
      </w:r>
      <w:r w:rsidRPr="00376A92">
        <w:t>Nederland of een verdragsland</w:t>
      </w:r>
      <w:r w:rsidRPr="004F06DB">
        <w:t xml:space="preserve"> </w:t>
      </w:r>
      <w:r w:rsidRPr="00376A92">
        <w:t>gevestigde rechtspersonen met ee</w:t>
      </w:r>
      <w:r>
        <w:t xml:space="preserve">n in aandelen verdeeld kapitaal komen voor de regeling in aanmerking. </w:t>
      </w:r>
    </w:p>
    <w:p w:rsidR="00A64945" w:rsidRDefault="00A64945" w:rsidP="002D725F">
      <w:pPr>
        <w:spacing w:after="0" w:line="360" w:lineRule="auto"/>
        <w:jc w:val="both"/>
        <w:rPr>
          <w:b/>
          <w:i/>
          <w:sz w:val="20"/>
          <w:szCs w:val="20"/>
        </w:rPr>
      </w:pPr>
    </w:p>
    <w:p w:rsidR="00A64945" w:rsidRPr="00BC71A7" w:rsidRDefault="00A64945" w:rsidP="002D725F">
      <w:pPr>
        <w:spacing w:after="0" w:line="360" w:lineRule="auto"/>
        <w:jc w:val="both"/>
        <w:rPr>
          <w:b/>
          <w:i/>
          <w:sz w:val="20"/>
          <w:szCs w:val="20"/>
        </w:rPr>
      </w:pPr>
      <w:r w:rsidRPr="00BC71A7">
        <w:rPr>
          <w:b/>
          <w:i/>
          <w:sz w:val="20"/>
          <w:szCs w:val="20"/>
        </w:rPr>
        <w:t>Het recht van vestiging</w:t>
      </w:r>
    </w:p>
    <w:p w:rsidR="00A64945" w:rsidRDefault="00A64945" w:rsidP="00E559CB">
      <w:pPr>
        <w:spacing w:after="0" w:line="360" w:lineRule="auto"/>
        <w:jc w:val="both"/>
      </w:pPr>
      <w:r w:rsidRPr="00524E67">
        <w:t xml:space="preserve">Art. 3, eerste lid LEZ 2000 bepaalt dat de bedrijfsactiviteiten van een E- Zonevennootschap enkel binnen de aangewezen zone of het aangewezen </w:t>
      </w:r>
      <w:r w:rsidRPr="00524E67">
        <w:br/>
        <w:t>bedrijfspand dienen te worden uitgeoefend. Voorwaarde om van de E- Zonereg</w:t>
      </w:r>
      <w:r>
        <w:t>e</w:t>
      </w:r>
      <w:r w:rsidRPr="00524E67">
        <w:t xml:space="preserve">ling gebruik te kunnen (blijven) maken is dus dat de onderneming feitelijk gevestigd is in </w:t>
      </w:r>
      <w:r>
        <w:t>een</w:t>
      </w:r>
      <w:r w:rsidRPr="00524E67">
        <w:t xml:space="preserve"> E- Zone (al dan niet</w:t>
      </w:r>
      <w:r>
        <w:t xml:space="preserve"> door middel van een vaste inrichting). Elders in Curaçao met behulp van bijvoorbeeld een filiaal activiteiten ontplooien is dus niet toegestaan.  Dit vereiste impliceert mijns inziens een vestigingsplaatsbelemmering. De rechtspersoon of het samenwerkingsverband is niet ‘vrij’</w:t>
      </w:r>
      <w:r>
        <w:rPr>
          <w:rStyle w:val="FootnoteReference"/>
        </w:rPr>
        <w:footnoteReference w:id="349"/>
      </w:r>
      <w:r>
        <w:t xml:space="preserve"> om zich elders</w:t>
      </w:r>
      <w:r>
        <w:rPr>
          <w:rStyle w:val="FootnoteReference"/>
        </w:rPr>
        <w:footnoteReference w:id="350"/>
      </w:r>
      <w:r>
        <w:t xml:space="preserve"> dan in een E- Zone te vestigen. </w:t>
      </w:r>
    </w:p>
    <w:p w:rsidR="00A64945" w:rsidRPr="00684781" w:rsidRDefault="00A64945" w:rsidP="00E559CB">
      <w:pPr>
        <w:autoSpaceDE w:val="0"/>
        <w:autoSpaceDN w:val="0"/>
        <w:adjustRightInd w:val="0"/>
        <w:spacing w:after="0" w:line="360" w:lineRule="auto"/>
        <w:jc w:val="both"/>
        <w:rPr>
          <w:rFonts w:cs="EUAlbertina"/>
          <w:b/>
          <w:i/>
        </w:rPr>
      </w:pPr>
      <w:r w:rsidRPr="0034672D">
        <w:lastRenderedPageBreak/>
        <w:t>Ingevolge de eerste alinea van  artikel 49 VwEU, zijn  ‘</w:t>
      </w:r>
      <w:r w:rsidRPr="002D0A5C">
        <w:rPr>
          <w:rFonts w:cs="EUAlbertina"/>
          <w:i/>
        </w:rPr>
        <w:t xml:space="preserve">beperkingen van de vrijheid van vestiging voor onderdanen van een lidstaat op het grondgebied van een andere lidstaat verboden. Dit verbod heeft eveneens betrekking op </w:t>
      </w:r>
      <w:r w:rsidRPr="00684781">
        <w:rPr>
          <w:rFonts w:cs="EUAlbertina"/>
          <w:b/>
          <w:i/>
        </w:rPr>
        <w:t xml:space="preserve">beperkingen betreffende de </w:t>
      </w:r>
      <w:r w:rsidRPr="006402C6">
        <w:rPr>
          <w:rFonts w:cs="EUAlbertina"/>
          <w:b/>
          <w:i/>
          <w:u w:val="single"/>
        </w:rPr>
        <w:t>oprichting</w:t>
      </w:r>
      <w:r w:rsidRPr="00684781">
        <w:rPr>
          <w:rFonts w:cs="EUAlbertina"/>
          <w:b/>
          <w:i/>
        </w:rPr>
        <w:t xml:space="preserve"> van agentschappen, filialen of</w:t>
      </w:r>
    </w:p>
    <w:p w:rsidR="00A64945" w:rsidRPr="0034672D" w:rsidRDefault="00A64945" w:rsidP="002D725F">
      <w:pPr>
        <w:autoSpaceDE w:val="0"/>
        <w:autoSpaceDN w:val="0"/>
        <w:adjustRightInd w:val="0"/>
        <w:spacing w:after="0" w:line="360" w:lineRule="auto"/>
        <w:jc w:val="both"/>
      </w:pPr>
      <w:r w:rsidRPr="00684781">
        <w:rPr>
          <w:rFonts w:cs="EUAlbertina"/>
          <w:b/>
          <w:i/>
        </w:rPr>
        <w:t>dochterondernemingen</w:t>
      </w:r>
      <w:r w:rsidRPr="002D0A5C">
        <w:rPr>
          <w:rFonts w:cs="EUAlbertina"/>
          <w:i/>
        </w:rPr>
        <w:t xml:space="preserve"> door de onderdanen van een lidstaat die op het grondgebied van een lidstaat zijn gevestigd’</w:t>
      </w:r>
      <w:r w:rsidRPr="0034672D">
        <w:rPr>
          <w:rFonts w:cs="EUAlbertina"/>
        </w:rPr>
        <w:t>.</w:t>
      </w:r>
    </w:p>
    <w:p w:rsidR="00A64945" w:rsidRDefault="00A64945" w:rsidP="009258E4">
      <w:pPr>
        <w:spacing w:after="0" w:line="360" w:lineRule="auto"/>
        <w:jc w:val="both"/>
        <w:rPr>
          <w:color w:val="000000"/>
        </w:rPr>
      </w:pPr>
      <w:r>
        <w:t xml:space="preserve">Bovenstaande brengt mij tot de conclusie dat het bepaalde in  art. 3, eerste lid LEZ 2000 mogelijk in strijd is met het vrije verkeer van vestiging. </w:t>
      </w:r>
      <w:r w:rsidRPr="008172AA">
        <w:rPr>
          <w:color w:val="000000"/>
        </w:rPr>
        <w:t>Een belasting</w:t>
      </w:r>
      <w:r>
        <w:rPr>
          <w:color w:val="000000"/>
        </w:rPr>
        <w:t xml:space="preserve">regeling die </w:t>
      </w:r>
      <w:r w:rsidRPr="008172AA">
        <w:rPr>
          <w:color w:val="000000"/>
        </w:rPr>
        <w:t>zo</w:t>
      </w:r>
      <w:r>
        <w:rPr>
          <w:color w:val="000000"/>
        </w:rPr>
        <w:t>danig</w:t>
      </w:r>
      <w:r w:rsidRPr="008172AA">
        <w:rPr>
          <w:color w:val="000000"/>
        </w:rPr>
        <w:t xml:space="preserve"> is ingericht dat er fiscaal onderscheid wordt gemaakt naar geografische vestigingsplaats binnen Curaçao is mijns inziens niet optimaal. Het </w:t>
      </w:r>
      <w:r>
        <w:rPr>
          <w:color w:val="000000"/>
        </w:rPr>
        <w:t>zal</w:t>
      </w:r>
      <w:r w:rsidRPr="008172AA">
        <w:rPr>
          <w:color w:val="000000"/>
        </w:rPr>
        <w:t xml:space="preserve"> namelijk best </w:t>
      </w:r>
      <w:r>
        <w:rPr>
          <w:color w:val="000000"/>
        </w:rPr>
        <w:t xml:space="preserve">wel </w:t>
      </w:r>
      <w:r w:rsidRPr="008172AA">
        <w:rPr>
          <w:color w:val="000000"/>
        </w:rPr>
        <w:t xml:space="preserve">voorkomen dat </w:t>
      </w:r>
      <w:r>
        <w:rPr>
          <w:color w:val="000000"/>
        </w:rPr>
        <w:t>de meest lucratieve</w:t>
      </w:r>
      <w:r w:rsidRPr="008172AA">
        <w:rPr>
          <w:color w:val="000000"/>
        </w:rPr>
        <w:t xml:space="preserve"> locatie voor een specifieke onderneming niet </w:t>
      </w:r>
      <w:r>
        <w:rPr>
          <w:color w:val="000000"/>
        </w:rPr>
        <w:t>binnen</w:t>
      </w:r>
      <w:r w:rsidRPr="008172AA">
        <w:rPr>
          <w:color w:val="000000"/>
        </w:rPr>
        <w:t xml:space="preserve"> één van de E- Zones ligt. Met de verplichting dat een E- Zonebedrijf ook feitelijk in een E- Zone moet zijn gevestigd, wordt een vestigingsplaatsproblematiek gecreëerd op een eiland dat nog geen 450 km</w:t>
      </w:r>
      <w:r w:rsidRPr="008172AA">
        <w:rPr>
          <w:color w:val="000000"/>
          <w:position w:val="8"/>
          <w:vertAlign w:val="superscript"/>
        </w:rPr>
        <w:t xml:space="preserve">2 </w:t>
      </w:r>
      <w:r w:rsidRPr="008172AA">
        <w:rPr>
          <w:color w:val="000000"/>
        </w:rPr>
        <w:t xml:space="preserve">groot is. </w:t>
      </w:r>
    </w:p>
    <w:p w:rsidR="00A64945" w:rsidRDefault="00A64945" w:rsidP="009258E4">
      <w:pPr>
        <w:spacing w:after="0" w:line="360" w:lineRule="auto"/>
        <w:jc w:val="both"/>
        <w:rPr>
          <w:b/>
          <w:i/>
          <w:sz w:val="20"/>
          <w:szCs w:val="20"/>
        </w:rPr>
      </w:pPr>
    </w:p>
    <w:p w:rsidR="00A64945" w:rsidRPr="0058275E" w:rsidRDefault="00A64945" w:rsidP="009258E4">
      <w:pPr>
        <w:spacing w:after="0" w:line="360" w:lineRule="auto"/>
        <w:jc w:val="both"/>
        <w:rPr>
          <w:b/>
          <w:i/>
          <w:sz w:val="20"/>
          <w:szCs w:val="20"/>
        </w:rPr>
      </w:pPr>
      <w:r w:rsidRPr="0058275E">
        <w:rPr>
          <w:b/>
          <w:i/>
          <w:sz w:val="20"/>
          <w:szCs w:val="20"/>
        </w:rPr>
        <w:t>Lokale afnemers</w:t>
      </w:r>
    </w:p>
    <w:p w:rsidR="00A64945" w:rsidRPr="0058275E" w:rsidRDefault="00A64945" w:rsidP="0058275E">
      <w:pPr>
        <w:spacing w:after="0" w:line="360" w:lineRule="auto"/>
        <w:jc w:val="both"/>
      </w:pPr>
      <w:r w:rsidRPr="0058275E">
        <w:t xml:space="preserve">Zoals </w:t>
      </w:r>
      <w:r>
        <w:t>eerder aan de orde is geweest,</w:t>
      </w:r>
      <w:r w:rsidRPr="0058275E">
        <w:t xml:space="preserve"> mag de omzet </w:t>
      </w:r>
      <w:r>
        <w:t xml:space="preserve">van een E- Zonevennootschap </w:t>
      </w:r>
      <w:r w:rsidRPr="0058275E">
        <w:t>welke wordt behaald met lokale handel en diensten niet meer dan 25% van de totale omzet</w:t>
      </w:r>
      <w:r w:rsidRPr="00152F0E">
        <w:t xml:space="preserve"> </w:t>
      </w:r>
      <w:r>
        <w:t>bedragen</w:t>
      </w:r>
      <w:r w:rsidRPr="0058275E">
        <w:t xml:space="preserve">. </w:t>
      </w:r>
      <w:r>
        <w:t>Bovendien wordt d</w:t>
      </w:r>
      <w:r w:rsidRPr="0058275E">
        <w:t xml:space="preserve">eze omzet tegen het </w:t>
      </w:r>
      <w:r>
        <w:t>reguliere</w:t>
      </w:r>
      <w:r w:rsidRPr="0058275E">
        <w:t xml:space="preserve"> winstbelastingtari</w:t>
      </w:r>
      <w:r>
        <w:t xml:space="preserve">ef van 34,5% </w:t>
      </w:r>
      <w:r w:rsidRPr="0058275E">
        <w:t>belast</w:t>
      </w:r>
      <w:r>
        <w:t>.</w:t>
      </w:r>
    </w:p>
    <w:p w:rsidR="00A64945" w:rsidRPr="0058275E" w:rsidRDefault="00A64945" w:rsidP="0058275E">
      <w:pPr>
        <w:autoSpaceDE w:val="0"/>
        <w:autoSpaceDN w:val="0"/>
        <w:adjustRightInd w:val="0"/>
        <w:spacing w:after="0" w:line="360" w:lineRule="auto"/>
        <w:jc w:val="both"/>
        <w:rPr>
          <w:color w:val="000000"/>
        </w:rPr>
      </w:pPr>
      <w:r>
        <w:rPr>
          <w:color w:val="000000"/>
        </w:rPr>
        <w:t>Het</w:t>
      </w:r>
      <w:r w:rsidRPr="0058275E">
        <w:rPr>
          <w:color w:val="000000"/>
        </w:rPr>
        <w:t xml:space="preserve"> </w:t>
      </w:r>
      <w:r>
        <w:rPr>
          <w:color w:val="000000"/>
        </w:rPr>
        <w:t xml:space="preserve">voor winstbelastingdoeleinden </w:t>
      </w:r>
      <w:r w:rsidRPr="0058275E">
        <w:rPr>
          <w:color w:val="000000"/>
        </w:rPr>
        <w:t>onderscheid</w:t>
      </w:r>
      <w:r>
        <w:rPr>
          <w:color w:val="000000"/>
        </w:rPr>
        <w:t xml:space="preserve"> in behandeling</w:t>
      </w:r>
      <w:r w:rsidRPr="0058275E">
        <w:rPr>
          <w:color w:val="000000"/>
        </w:rPr>
        <w:t xml:space="preserve"> tussen buitenlandse en binnenlandse omzet is eigenlijk niet te rechtvaardigen. Naar alle waarschijnlijkheid spelen overheidsfinanciën hier</w:t>
      </w:r>
      <w:r>
        <w:rPr>
          <w:color w:val="000000"/>
        </w:rPr>
        <w:t xml:space="preserve"> </w:t>
      </w:r>
      <w:r w:rsidRPr="0058275E">
        <w:rPr>
          <w:color w:val="000000"/>
        </w:rPr>
        <w:t xml:space="preserve">een rol bij, </w:t>
      </w:r>
      <w:r>
        <w:rPr>
          <w:color w:val="000000"/>
        </w:rPr>
        <w:t>maar ook al zou dat het geval zijn, dan is da</w:t>
      </w:r>
      <w:r w:rsidRPr="0058275E">
        <w:rPr>
          <w:color w:val="000000"/>
        </w:rPr>
        <w:t>t geen principiële rechtvaardiging</w:t>
      </w:r>
      <w:r>
        <w:rPr>
          <w:color w:val="000000"/>
        </w:rPr>
        <w:t xml:space="preserve">. </w:t>
      </w:r>
      <w:r w:rsidRPr="0058275E">
        <w:rPr>
          <w:color w:val="000000"/>
        </w:rPr>
        <w:t xml:space="preserve">Wel kan gezegd worden dat de LEZ 2000 door dit onderscheid tussen lokale activiteiten en exportactiviteiten </w:t>
      </w:r>
      <w:r>
        <w:rPr>
          <w:color w:val="000000"/>
        </w:rPr>
        <w:t>oneerlijke belastingconcurrentie</w:t>
      </w:r>
      <w:r w:rsidRPr="0058275E">
        <w:rPr>
          <w:color w:val="000000"/>
        </w:rPr>
        <w:t xml:space="preserve"> op de binnenlandse markt voorkomt</w:t>
      </w:r>
      <w:r>
        <w:rPr>
          <w:color w:val="000000"/>
        </w:rPr>
        <w:t>.</w:t>
      </w:r>
      <w:r w:rsidRPr="0058275E">
        <w:rPr>
          <w:color w:val="000000"/>
        </w:rPr>
        <w:t xml:space="preserve"> </w:t>
      </w:r>
      <w:r>
        <w:rPr>
          <w:color w:val="000000"/>
        </w:rPr>
        <w:t>Oneerlijke belastingconcurrentie</w:t>
      </w:r>
      <w:r w:rsidRPr="0058275E">
        <w:rPr>
          <w:color w:val="000000"/>
        </w:rPr>
        <w:t xml:space="preserve"> wordt onmogelijk gemaakt doordat op </w:t>
      </w:r>
      <w:r>
        <w:rPr>
          <w:color w:val="000000"/>
        </w:rPr>
        <w:t xml:space="preserve">de </w:t>
      </w:r>
      <w:r w:rsidRPr="0058275E">
        <w:rPr>
          <w:color w:val="000000"/>
        </w:rPr>
        <w:t xml:space="preserve">binnenlandse </w:t>
      </w:r>
      <w:r>
        <w:rPr>
          <w:color w:val="000000"/>
        </w:rPr>
        <w:t>markt</w:t>
      </w:r>
      <w:r w:rsidRPr="0058275E">
        <w:rPr>
          <w:color w:val="000000"/>
        </w:rPr>
        <w:t xml:space="preserve"> het reguliere winstbelastingtarief van toepassing is en </w:t>
      </w:r>
      <w:r>
        <w:rPr>
          <w:color w:val="000000"/>
        </w:rPr>
        <w:t xml:space="preserve">op binnenlandse leveringen </w:t>
      </w:r>
      <w:r w:rsidRPr="0058275E">
        <w:rPr>
          <w:color w:val="000000"/>
        </w:rPr>
        <w:t xml:space="preserve">reguliere invoerheffingen en omzetbelasting zijn verschuldigd. </w:t>
      </w:r>
      <w:r>
        <w:rPr>
          <w:color w:val="000000"/>
        </w:rPr>
        <w:t>Bovendien dient de E- Zoneondernemer alvorens hij de binnenlandse markt wenst te bedienen, hiertoe een vergunning aan te vragen. Of de E- Zoneondernemer daadwerkelijk t</w:t>
      </w:r>
      <w:r w:rsidRPr="000E2C21">
        <w:t>oestemming</w:t>
      </w:r>
      <w:r>
        <w:t xml:space="preserve"> krijgt om de binnenlandse markt te bedienen, wordt afhankelijk gesteld van een aantal voorwaarden</w:t>
      </w:r>
      <w:r w:rsidRPr="000E2C21">
        <w:t>. Deze voorwaarden kunnen</w:t>
      </w:r>
      <w:r>
        <w:t xml:space="preserve"> (zie § 3.3.1.)</w:t>
      </w:r>
      <w:r w:rsidRPr="000E2C21">
        <w:t xml:space="preserve"> betr</w:t>
      </w:r>
      <w:r>
        <w:t xml:space="preserve">ekking hebben op de prijsbepaling, </w:t>
      </w:r>
      <w:r w:rsidRPr="000E2C21">
        <w:t>kwaliteit van de goederen en diensten en de aflevering van goederen.</w:t>
      </w:r>
      <w:r w:rsidRPr="004D3E8A">
        <w:rPr>
          <w:color w:val="000000"/>
        </w:rPr>
        <w:t xml:space="preserve"> </w:t>
      </w:r>
      <w:r>
        <w:rPr>
          <w:color w:val="000000"/>
        </w:rPr>
        <w:t xml:space="preserve">De voorwaarden die aan het afgeven van de </w:t>
      </w:r>
      <w:r w:rsidRPr="0058275E">
        <w:rPr>
          <w:color w:val="000000"/>
        </w:rPr>
        <w:t>vergunning voor het</w:t>
      </w:r>
      <w:r>
        <w:rPr>
          <w:color w:val="000000"/>
        </w:rPr>
        <w:t xml:space="preserve"> bedienen van de binnenlandse markt ten grondslag liggen, hebben als </w:t>
      </w:r>
      <w:r w:rsidRPr="0058275E">
        <w:rPr>
          <w:color w:val="000000"/>
        </w:rPr>
        <w:t>doel de concurrentievervalsing</w:t>
      </w:r>
      <w:r>
        <w:rPr>
          <w:color w:val="000000"/>
        </w:rPr>
        <w:t xml:space="preserve"> op de lokale markt</w:t>
      </w:r>
      <w:r w:rsidRPr="0058275E">
        <w:rPr>
          <w:color w:val="000000"/>
        </w:rPr>
        <w:t xml:space="preserve"> te beheersen.</w:t>
      </w:r>
    </w:p>
    <w:p w:rsidR="00A64945" w:rsidRDefault="00A64945" w:rsidP="009C71FF">
      <w:pPr>
        <w:autoSpaceDE w:val="0"/>
        <w:autoSpaceDN w:val="0"/>
        <w:adjustRightInd w:val="0"/>
        <w:spacing w:after="0" w:line="240" w:lineRule="auto"/>
        <w:jc w:val="both"/>
        <w:rPr>
          <w:rFonts w:ascii="Arial" w:hAnsi="Arial"/>
          <w:color w:val="000000"/>
          <w:sz w:val="20"/>
          <w:szCs w:val="20"/>
          <w:highlight w:val="yellow"/>
        </w:rPr>
      </w:pPr>
    </w:p>
    <w:p w:rsidR="00A64945" w:rsidRPr="007F4FDE" w:rsidRDefault="00A64945" w:rsidP="002D725F">
      <w:pPr>
        <w:spacing w:after="0" w:line="360" w:lineRule="auto"/>
        <w:jc w:val="both"/>
        <w:rPr>
          <w:b/>
          <w:i/>
          <w:sz w:val="20"/>
          <w:szCs w:val="20"/>
        </w:rPr>
      </w:pPr>
      <w:r w:rsidRPr="007F4FDE">
        <w:rPr>
          <w:b/>
          <w:i/>
          <w:sz w:val="20"/>
          <w:szCs w:val="20"/>
        </w:rPr>
        <w:t>Het vrije verkeer van goederen</w:t>
      </w:r>
    </w:p>
    <w:p w:rsidR="00A64945" w:rsidRPr="00731254" w:rsidRDefault="00A64945" w:rsidP="00B71E3A">
      <w:pPr>
        <w:spacing w:line="360" w:lineRule="auto"/>
        <w:jc w:val="both"/>
        <w:rPr>
          <w:rFonts w:cs="EUAlbertina"/>
          <w:color w:val="FF0000"/>
        </w:rPr>
      </w:pPr>
      <w:r w:rsidRPr="00731254">
        <w:lastRenderedPageBreak/>
        <w:t xml:space="preserve">De vrijstellingen in de omzetbelasting en voor wat betreft de invoerrechten en accijnzen zijn alleen van kracht voorzover het goederen betreft die in een E- Zone aanwezig mogen zijn (zie §3.3.3.). Het departement van Economische Zaken in Curaçao is belast met de taak te bepalen welke goederen niet zijn toegestaan in de E -Zone of welke een specifieke controle nodig hebben. Deze regel impliceert mijns inziens een strijdigheid met het vrije verkeer van goederen. Krachtens artikel 28, eerste lid VwEu zijn  </w:t>
      </w:r>
      <w:r w:rsidRPr="00731254">
        <w:rPr>
          <w:rFonts w:cs="EUAlbertina"/>
        </w:rPr>
        <w:t xml:space="preserve">in- </w:t>
      </w:r>
      <w:r>
        <w:rPr>
          <w:rFonts w:cs="EUAlbertina"/>
        </w:rPr>
        <w:t xml:space="preserve"> </w:t>
      </w:r>
      <w:r w:rsidRPr="00731254">
        <w:rPr>
          <w:rFonts w:cs="EUAlbertina"/>
        </w:rPr>
        <w:t>en uitvoerrechten en alle heffingen van gelijke werking in het verkeer tussen de lidstaten</w:t>
      </w:r>
      <w:r>
        <w:rPr>
          <w:rStyle w:val="FootnoteReference"/>
        </w:rPr>
        <w:footnoteReference w:id="351"/>
      </w:r>
      <w:r w:rsidRPr="00731254">
        <w:rPr>
          <w:rFonts w:cs="EUAlbertina"/>
        </w:rPr>
        <w:t xml:space="preserve"> onderling verboden. Dit geldt ook voor de invoering van een gemeenschappelijk douanetarief voor de</w:t>
      </w:r>
      <w:r>
        <w:rPr>
          <w:rFonts w:cs="EUAlbertina"/>
        </w:rPr>
        <w:t xml:space="preserve"> </w:t>
      </w:r>
      <w:r w:rsidRPr="00731254">
        <w:rPr>
          <w:rFonts w:cs="EUAlbertina"/>
        </w:rPr>
        <w:t xml:space="preserve">betrekkingen van de lidstaten met derde landen. Artikel 30 VwEU voegt hier aan toe dat in- en uitvoerrechten of heffingen van gelijke werking tussen de lidstaten verboden zijn. Dat geldt eveneens voor douanerechten van fiscale aard. </w:t>
      </w:r>
    </w:p>
    <w:p w:rsidR="00A64945" w:rsidRDefault="00A64945" w:rsidP="002D725F">
      <w:pPr>
        <w:spacing w:line="360" w:lineRule="auto"/>
        <w:jc w:val="both"/>
        <w:rPr>
          <w:rFonts w:cs="EUAlbertina"/>
        </w:rPr>
      </w:pPr>
      <w:r>
        <w:t xml:space="preserve">Er kan strijdigheid met het vrije verkeer van goederen optreden op het moment dat een uit een lidstaat van de EU geëxporteerd goed niet geaccepteerd wordt als een goed dat in de E- Zone aanwezig mag zijn.  Het gevolg hiervan is dat het goed of helemaal niet in de E- Zone ingevoerd wordt of dat de invoer van het goed in de E- Zone niet vrij van invoerrechten en/of accijnzen kan plaatsvinden, terwijl het EU- recht </w:t>
      </w:r>
      <w:r w:rsidRPr="004F395F">
        <w:rPr>
          <w:rFonts w:cs="EUAlbertina"/>
        </w:rPr>
        <w:t xml:space="preserve">in- en uitvoerrechten en alle heffingen van gelijke werking in het verkeer tussen de lidstaten onderling </w:t>
      </w:r>
      <w:r>
        <w:rPr>
          <w:rFonts w:cs="EUAlbertina"/>
        </w:rPr>
        <w:t>verbiedt. Door de invoer van bepaalde goederen in de E- Zone niet belastingvrij toe te staan of helemaal niet toe te staan, wordt het vrije verkeer van goederen belemmerd. Een rechtvaardigingsgrond voor het niet toestaan van de invoer van bepaalde goederen in de E- Zone, kan mijns inziens het algemeen belang zijn (zie §2.2.2. onder het kopje ‘rechtsvaardigingsgronden voor belemmeringen’, punt 2). Te denken valt aan goederen waarvan aangetoond kan worden dat zij schadelijk zijn voor de gezondheid of gevaarlijke stoffen bevatten.</w:t>
      </w:r>
    </w:p>
    <w:p w:rsidR="00A64945" w:rsidRDefault="00A64945" w:rsidP="003E38FA">
      <w:pPr>
        <w:pStyle w:val="Heading2"/>
        <w:jc w:val="both"/>
      </w:pPr>
      <w:bookmarkStart w:id="117" w:name="_Toc299634319"/>
      <w:r>
        <w:t>§4.2.  Toetsing strijdigheid met directe belastingrichtlijnen (§2.3.)</w:t>
      </w:r>
      <w:bookmarkEnd w:id="117"/>
    </w:p>
    <w:p w:rsidR="00A64945" w:rsidRDefault="00A64945" w:rsidP="00DC5982"/>
    <w:p w:rsidR="00A64945" w:rsidRDefault="00A64945" w:rsidP="009015D6">
      <w:pPr>
        <w:spacing w:after="0" w:line="360" w:lineRule="auto"/>
        <w:jc w:val="both"/>
      </w:pPr>
      <w:r>
        <w:t xml:space="preserve">In §2.3 zijn zes richtlijnen aan de orde geweest. Dat waren de: </w:t>
      </w:r>
    </w:p>
    <w:p w:rsidR="00A64945" w:rsidRPr="000C011E" w:rsidRDefault="00A64945" w:rsidP="009015D6">
      <w:pPr>
        <w:pStyle w:val="ListParagraph"/>
        <w:numPr>
          <w:ilvl w:val="0"/>
          <w:numId w:val="47"/>
        </w:numPr>
        <w:tabs>
          <w:tab w:val="left" w:pos="3015"/>
        </w:tabs>
        <w:spacing w:after="0" w:line="360" w:lineRule="auto"/>
        <w:jc w:val="both"/>
      </w:pPr>
      <w:r w:rsidRPr="000C011E">
        <w:t>Moeder- dochterrichtlijn</w:t>
      </w:r>
      <w:r>
        <w:t>;</w:t>
      </w:r>
    </w:p>
    <w:p w:rsidR="00A64945" w:rsidRPr="000C011E" w:rsidRDefault="00A64945" w:rsidP="009015D6">
      <w:pPr>
        <w:pStyle w:val="ListParagraph"/>
        <w:numPr>
          <w:ilvl w:val="0"/>
          <w:numId w:val="47"/>
        </w:numPr>
        <w:tabs>
          <w:tab w:val="left" w:pos="3015"/>
        </w:tabs>
        <w:spacing w:after="0" w:line="360" w:lineRule="auto"/>
        <w:jc w:val="both"/>
      </w:pPr>
      <w:r w:rsidRPr="000C011E">
        <w:t>Fusierichtlijn</w:t>
      </w:r>
      <w:r>
        <w:t>;</w:t>
      </w:r>
    </w:p>
    <w:p w:rsidR="00A64945" w:rsidRPr="000C011E" w:rsidRDefault="00A64945" w:rsidP="009015D6">
      <w:pPr>
        <w:pStyle w:val="ListParagraph"/>
        <w:numPr>
          <w:ilvl w:val="0"/>
          <w:numId w:val="47"/>
        </w:numPr>
        <w:tabs>
          <w:tab w:val="left" w:pos="3015"/>
        </w:tabs>
        <w:spacing w:after="0" w:line="360" w:lineRule="auto"/>
        <w:jc w:val="both"/>
      </w:pPr>
      <w:r w:rsidRPr="000C011E">
        <w:t>Rente- en royaltyrichtlijn</w:t>
      </w:r>
      <w:r>
        <w:t>;</w:t>
      </w:r>
    </w:p>
    <w:p w:rsidR="00A64945" w:rsidRDefault="00A64945" w:rsidP="009015D6">
      <w:pPr>
        <w:pStyle w:val="ListParagraph"/>
        <w:numPr>
          <w:ilvl w:val="0"/>
          <w:numId w:val="47"/>
        </w:numPr>
        <w:tabs>
          <w:tab w:val="left" w:pos="3015"/>
        </w:tabs>
        <w:spacing w:after="0" w:line="360" w:lineRule="auto"/>
        <w:jc w:val="both"/>
      </w:pPr>
      <w:r w:rsidRPr="000C011E">
        <w:t>Spaartegoedenrichtlijn</w:t>
      </w:r>
      <w:r>
        <w:t>;</w:t>
      </w:r>
    </w:p>
    <w:p w:rsidR="00A64945" w:rsidRDefault="00A64945" w:rsidP="009015D6">
      <w:pPr>
        <w:pStyle w:val="ListParagraph"/>
        <w:numPr>
          <w:ilvl w:val="0"/>
          <w:numId w:val="47"/>
        </w:numPr>
        <w:tabs>
          <w:tab w:val="left" w:pos="3015"/>
        </w:tabs>
        <w:spacing w:after="0" w:line="360" w:lineRule="auto"/>
        <w:jc w:val="both"/>
      </w:pPr>
      <w:r>
        <w:t>Richtlijn inzake uitwisseling van inlichtingen en de</w:t>
      </w:r>
    </w:p>
    <w:p w:rsidR="00A64945" w:rsidRPr="000C011E" w:rsidRDefault="00A64945" w:rsidP="009015D6">
      <w:pPr>
        <w:pStyle w:val="ListParagraph"/>
        <w:numPr>
          <w:ilvl w:val="0"/>
          <w:numId w:val="47"/>
        </w:numPr>
        <w:tabs>
          <w:tab w:val="left" w:pos="3015"/>
        </w:tabs>
        <w:spacing w:after="0" w:line="360" w:lineRule="auto"/>
        <w:jc w:val="both"/>
      </w:pPr>
      <w:r>
        <w:t>Richtlijn inzake invordering van belastingen.</w:t>
      </w:r>
    </w:p>
    <w:p w:rsidR="00A64945" w:rsidRDefault="00A64945" w:rsidP="009015D6">
      <w:pPr>
        <w:spacing w:after="0"/>
      </w:pPr>
    </w:p>
    <w:p w:rsidR="00A64945" w:rsidRPr="00DC5982" w:rsidRDefault="00A64945" w:rsidP="005B4151">
      <w:pPr>
        <w:spacing w:after="0" w:line="360" w:lineRule="auto"/>
        <w:jc w:val="both"/>
      </w:pPr>
      <w:r>
        <w:lastRenderedPageBreak/>
        <w:t>In de volgende subparagrafen zal voor elk van deze richtlijnen nagegaan worden wat de consequenties zijn in het geval dat Curaçao een UPG wordt en  op welk(e) punt(en) er mogelijk strijdigheid kan optreden. In tegenstelling tot de toetsing aan de EU- verdragsvrijheden die in de vorige paragraaf heeft plaatsgevonden en de toetsing aan de bepalingen met betrekking tot s</w:t>
      </w:r>
      <w:r w:rsidRPr="00046F7F">
        <w:t xml:space="preserve">chadelijke belastingconcurrentie en </w:t>
      </w:r>
      <w:r>
        <w:t>s</w:t>
      </w:r>
      <w:r w:rsidRPr="00046F7F">
        <w:t>taatssteun</w:t>
      </w:r>
      <w:r>
        <w:t xml:space="preserve"> die in de volgende paragraaf zal plaatsvinden, zijn de bevindingen van de in deze paragraaf uitgevoerde analyse algemeen van karakter.</w:t>
      </w:r>
      <w:r>
        <w:rPr>
          <w:rStyle w:val="FootnoteReference"/>
        </w:rPr>
        <w:footnoteReference w:id="352"/>
      </w:r>
    </w:p>
    <w:p w:rsidR="00A64945" w:rsidRDefault="00A64945" w:rsidP="00AC6E03">
      <w:pPr>
        <w:pStyle w:val="Heading3"/>
        <w:spacing w:before="0" w:line="360" w:lineRule="auto"/>
        <w:jc w:val="both"/>
      </w:pPr>
    </w:p>
    <w:p w:rsidR="00A64945" w:rsidRDefault="00A64945" w:rsidP="00AC6E03">
      <w:pPr>
        <w:pStyle w:val="Heading3"/>
        <w:spacing w:before="0" w:line="360" w:lineRule="auto"/>
        <w:jc w:val="both"/>
      </w:pPr>
      <w:bookmarkStart w:id="118" w:name="_Toc299634320"/>
      <w:r>
        <w:t xml:space="preserve">§4.2.1. </w:t>
      </w:r>
      <w:r w:rsidRPr="00B24E74">
        <w:t>M</w:t>
      </w:r>
      <w:r>
        <w:t>oeder- dochterrichtlijn</w:t>
      </w:r>
      <w:r w:rsidRPr="00B24E74">
        <w:t xml:space="preserve"> (§ 2.3.2.)</w:t>
      </w:r>
      <w:bookmarkEnd w:id="118"/>
    </w:p>
    <w:p w:rsidR="00A64945" w:rsidRDefault="00A64945" w:rsidP="00AC6E03">
      <w:pPr>
        <w:pStyle w:val="NormalWeb"/>
        <w:spacing w:before="0" w:beforeAutospacing="0" w:after="0" w:afterAutospacing="0" w:line="360" w:lineRule="auto"/>
        <w:jc w:val="both"/>
        <w:rPr>
          <w:rFonts w:ascii="Calibri" w:hAnsi="Calibri"/>
          <w:sz w:val="22"/>
          <w:szCs w:val="22"/>
        </w:rPr>
      </w:pPr>
      <w:r>
        <w:rPr>
          <w:rFonts w:ascii="Calibri" w:hAnsi="Calibri"/>
          <w:sz w:val="22"/>
          <w:szCs w:val="22"/>
        </w:rPr>
        <w:t>In geval de MDR toepassing gaat vinden in de Nederlandse Antillen, zal zij zich op twee situaties richten.  Aan de ene kant zal de MDR zich richten op de situatie dat de dochtermaatschappij zich in de Nederlandse Antillen bevindt: in dit geval verbiedt de MDR dat de Nederlandse Antillen bronheffing heft op de dividenduitkering. Aan de andere kant zal de MDR op de tegenovergestelde situatie betrekking hebben; het geval dat de moedermaatschappij of haar vaste inrichting zich in de Nederlandse Antillen bevindt. In dat geval legt de MDR de Nederlandse Antillen de verplichting op om de ontvangen dividenden vrij te stellen van de heffing van de winstbelasting of wel bij de heffing de verrekeningsmethode toe te passen.</w:t>
      </w:r>
    </w:p>
    <w:p w:rsidR="00A64945" w:rsidRDefault="00A64945" w:rsidP="00B24E74">
      <w:pPr>
        <w:pStyle w:val="NormalWeb"/>
        <w:spacing w:line="360" w:lineRule="auto"/>
        <w:jc w:val="both"/>
        <w:rPr>
          <w:rFonts w:ascii="Calibri" w:hAnsi="Calibri"/>
          <w:sz w:val="22"/>
          <w:szCs w:val="22"/>
        </w:rPr>
      </w:pPr>
      <w:r>
        <w:rPr>
          <w:rFonts w:ascii="Calibri" w:hAnsi="Calibri"/>
          <w:sz w:val="22"/>
          <w:szCs w:val="22"/>
        </w:rPr>
        <w:t>Wat betreft de situatie waarbij de dochtermaatschappij zich in de Nederlandse Antillen bevindt kan gezegd worden dat momenteel</w:t>
      </w:r>
      <w:r w:rsidRPr="00D500CC">
        <w:rPr>
          <w:rFonts w:ascii="Calibri" w:hAnsi="Calibri"/>
          <w:sz w:val="22"/>
          <w:szCs w:val="22"/>
        </w:rPr>
        <w:t xml:space="preserve"> automatisch is voldaan aan art. 5 MDR</w:t>
      </w:r>
      <w:r>
        <w:rPr>
          <w:rFonts w:ascii="Calibri" w:hAnsi="Calibri"/>
          <w:sz w:val="22"/>
          <w:szCs w:val="22"/>
        </w:rPr>
        <w:t>.</w:t>
      </w:r>
      <w:r w:rsidRPr="00D500CC">
        <w:rPr>
          <w:rFonts w:ascii="Calibri" w:hAnsi="Calibri"/>
          <w:sz w:val="22"/>
          <w:szCs w:val="22"/>
        </w:rPr>
        <w:t xml:space="preserve"> De Nederlandse Antillen kent </w:t>
      </w:r>
      <w:r>
        <w:rPr>
          <w:rFonts w:ascii="Calibri" w:hAnsi="Calibri"/>
          <w:sz w:val="22"/>
          <w:szCs w:val="22"/>
        </w:rPr>
        <w:t xml:space="preserve">namelijk </w:t>
      </w:r>
      <w:r w:rsidRPr="00D500CC">
        <w:rPr>
          <w:rFonts w:ascii="Calibri" w:hAnsi="Calibri"/>
          <w:sz w:val="22"/>
          <w:szCs w:val="22"/>
        </w:rPr>
        <w:t>geen bronheffing</w:t>
      </w:r>
      <w:r>
        <w:rPr>
          <w:rFonts w:ascii="Calibri" w:hAnsi="Calibri"/>
          <w:sz w:val="22"/>
          <w:szCs w:val="22"/>
        </w:rPr>
        <w:t xml:space="preserve"> </w:t>
      </w:r>
      <w:r w:rsidRPr="00D500CC">
        <w:rPr>
          <w:rFonts w:ascii="Calibri" w:hAnsi="Calibri"/>
          <w:sz w:val="22"/>
          <w:szCs w:val="22"/>
        </w:rPr>
        <w:t xml:space="preserve"> op dividend.</w:t>
      </w:r>
      <w:r w:rsidRPr="00D500CC">
        <w:rPr>
          <w:rStyle w:val="FootnoteReference"/>
          <w:rFonts w:ascii="Calibri" w:hAnsi="Calibri"/>
          <w:sz w:val="22"/>
          <w:szCs w:val="22"/>
        </w:rPr>
        <w:footnoteReference w:id="353"/>
      </w:r>
      <w:r>
        <w:rPr>
          <w:rFonts w:ascii="Calibri" w:hAnsi="Calibri"/>
          <w:sz w:val="22"/>
          <w:szCs w:val="22"/>
        </w:rPr>
        <w:t xml:space="preserve"> Met betrekking tot de tweede situatie, de moedermaatschappij bevindt zich in de Nederlandse Antillen, kan het volgende gezegd worden. </w:t>
      </w:r>
      <w:r>
        <w:rPr>
          <w:rFonts w:ascii="Calibri" w:hAnsi="Calibri" w:cs="Arial"/>
          <w:sz w:val="22"/>
          <w:szCs w:val="22"/>
        </w:rPr>
        <w:t>Eind</w:t>
      </w:r>
      <w:r w:rsidRPr="00573506">
        <w:rPr>
          <w:rFonts w:ascii="Calibri" w:hAnsi="Calibri" w:cs="Arial"/>
          <w:sz w:val="22"/>
          <w:szCs w:val="22"/>
        </w:rPr>
        <w:t xml:space="preserve"> 2009 </w:t>
      </w:r>
      <w:r>
        <w:rPr>
          <w:rFonts w:ascii="Calibri" w:hAnsi="Calibri" w:cs="Arial"/>
          <w:sz w:val="22"/>
          <w:szCs w:val="22"/>
        </w:rPr>
        <w:t>is de LWB 1940 op een aantal punten aangepast.</w:t>
      </w:r>
      <w:r>
        <w:rPr>
          <w:rStyle w:val="FootnoteReference"/>
          <w:rFonts w:ascii="Calibri" w:hAnsi="Calibri" w:cs="Arial"/>
          <w:sz w:val="22"/>
          <w:szCs w:val="22"/>
        </w:rPr>
        <w:footnoteReference w:id="354"/>
      </w:r>
      <w:r>
        <w:rPr>
          <w:rFonts w:ascii="Calibri" w:hAnsi="Calibri" w:cs="Arial"/>
          <w:sz w:val="22"/>
          <w:szCs w:val="22"/>
        </w:rPr>
        <w:t xml:space="preserve"> </w:t>
      </w:r>
      <w:r w:rsidRPr="00573506">
        <w:rPr>
          <w:rFonts w:ascii="Calibri" w:hAnsi="Calibri"/>
          <w:sz w:val="22"/>
          <w:szCs w:val="22"/>
        </w:rPr>
        <w:t xml:space="preserve">Onder </w:t>
      </w:r>
      <w:r>
        <w:rPr>
          <w:rFonts w:ascii="Calibri" w:hAnsi="Calibri"/>
          <w:sz w:val="22"/>
          <w:szCs w:val="22"/>
        </w:rPr>
        <w:t>de</w:t>
      </w:r>
      <w:r w:rsidRPr="00573506">
        <w:rPr>
          <w:rFonts w:ascii="Calibri" w:hAnsi="Calibri"/>
          <w:sz w:val="22"/>
          <w:szCs w:val="22"/>
        </w:rPr>
        <w:t xml:space="preserve"> ‘oude’ L</w:t>
      </w:r>
      <w:r>
        <w:rPr>
          <w:rFonts w:ascii="Calibri" w:hAnsi="Calibri"/>
          <w:sz w:val="22"/>
          <w:szCs w:val="22"/>
        </w:rPr>
        <w:t>wb</w:t>
      </w:r>
      <w:r w:rsidRPr="00573506">
        <w:rPr>
          <w:rFonts w:ascii="Calibri" w:hAnsi="Calibri"/>
          <w:sz w:val="22"/>
          <w:szCs w:val="22"/>
        </w:rPr>
        <w:t xml:space="preserve"> 1940 werd onderscheid gemaakt tussen binnenlandse en buitenlandse deelnemingen. </w:t>
      </w:r>
      <w:r w:rsidRPr="00D500CC">
        <w:rPr>
          <w:rFonts w:ascii="Calibri" w:hAnsi="Calibri"/>
          <w:sz w:val="22"/>
          <w:szCs w:val="22"/>
        </w:rPr>
        <w:t>Bij een deelneming in een dochter gevestigd in de Nederlandse Antillen werden onder het oude regime alle voordelen (</w:t>
      </w:r>
      <w:r>
        <w:rPr>
          <w:rFonts w:ascii="Calibri" w:hAnsi="Calibri"/>
          <w:sz w:val="22"/>
          <w:szCs w:val="22"/>
        </w:rPr>
        <w:t xml:space="preserve">zowel </w:t>
      </w:r>
      <w:r w:rsidRPr="00D500CC">
        <w:rPr>
          <w:rFonts w:ascii="Calibri" w:hAnsi="Calibri"/>
          <w:sz w:val="22"/>
          <w:szCs w:val="22"/>
        </w:rPr>
        <w:t xml:space="preserve">dividenden </w:t>
      </w:r>
      <w:r>
        <w:rPr>
          <w:rFonts w:ascii="Calibri" w:hAnsi="Calibri"/>
          <w:sz w:val="22"/>
          <w:szCs w:val="22"/>
        </w:rPr>
        <w:t>als</w:t>
      </w:r>
      <w:r w:rsidRPr="00D500CC">
        <w:rPr>
          <w:rFonts w:ascii="Calibri" w:hAnsi="Calibri"/>
          <w:sz w:val="22"/>
          <w:szCs w:val="22"/>
        </w:rPr>
        <w:t xml:space="preserve"> vervreemdingswinsten) uit hoofde</w:t>
      </w:r>
      <w:r>
        <w:rPr>
          <w:rFonts w:ascii="Calibri" w:hAnsi="Calibri"/>
          <w:sz w:val="22"/>
          <w:szCs w:val="22"/>
        </w:rPr>
        <w:t xml:space="preserve"> van die deelneming voor 100% vrijgesteld van de winstbelasting. Dit gold ook voor Nederlandse deelnemingen. Dus voor een Nederlands- Antilliaanse moedermaatschappij met een deelneming in Nederland. D</w:t>
      </w:r>
      <w:r w:rsidRPr="00D500CC">
        <w:rPr>
          <w:rFonts w:ascii="Calibri" w:hAnsi="Calibri"/>
          <w:sz w:val="22"/>
          <w:szCs w:val="22"/>
        </w:rPr>
        <w:t xml:space="preserve">e voordelen uit hoofde van een </w:t>
      </w:r>
      <w:r w:rsidRPr="00D500CC">
        <w:rPr>
          <w:rFonts w:ascii="Calibri" w:hAnsi="Calibri"/>
          <w:sz w:val="22"/>
          <w:szCs w:val="22"/>
        </w:rPr>
        <w:lastRenderedPageBreak/>
        <w:t>buitenlandse deelneming</w:t>
      </w:r>
      <w:r>
        <w:rPr>
          <w:rFonts w:ascii="Calibri" w:hAnsi="Calibri"/>
          <w:sz w:val="22"/>
          <w:szCs w:val="22"/>
        </w:rPr>
        <w:t xml:space="preserve"> werden in de Nederlandse Antillen echter maar voor 95% </w:t>
      </w:r>
      <w:r w:rsidRPr="00D500CC">
        <w:rPr>
          <w:rFonts w:ascii="Calibri" w:hAnsi="Calibri"/>
          <w:sz w:val="22"/>
          <w:szCs w:val="22"/>
        </w:rPr>
        <w:t>vrijgesteld. Binnen de EU wordt</w:t>
      </w:r>
      <w:r>
        <w:rPr>
          <w:rFonts w:ascii="Calibri" w:hAnsi="Calibri"/>
          <w:sz w:val="22"/>
          <w:szCs w:val="22"/>
        </w:rPr>
        <w:t xml:space="preserve"> een dergelijk onderscheid</w:t>
      </w:r>
      <w:r w:rsidRPr="00D500CC">
        <w:rPr>
          <w:rFonts w:ascii="Calibri" w:hAnsi="Calibri"/>
          <w:sz w:val="22"/>
          <w:szCs w:val="22"/>
        </w:rPr>
        <w:t xml:space="preserve"> bestempeld als een indirecte discriminatie naar nationaliteit</w:t>
      </w:r>
      <w:r>
        <w:rPr>
          <w:rFonts w:ascii="Calibri" w:hAnsi="Calibri"/>
          <w:sz w:val="22"/>
          <w:szCs w:val="22"/>
        </w:rPr>
        <w:t xml:space="preserve"> en </w:t>
      </w:r>
      <w:r w:rsidRPr="00D500CC">
        <w:rPr>
          <w:rFonts w:ascii="Calibri" w:hAnsi="Calibri"/>
          <w:sz w:val="22"/>
          <w:szCs w:val="22"/>
        </w:rPr>
        <w:t xml:space="preserve">dus in strijd </w:t>
      </w:r>
      <w:r>
        <w:rPr>
          <w:rFonts w:ascii="Calibri" w:hAnsi="Calibri"/>
          <w:sz w:val="22"/>
          <w:szCs w:val="22"/>
        </w:rPr>
        <w:t>geacht</w:t>
      </w:r>
      <w:r>
        <w:rPr>
          <w:rStyle w:val="FootnoteReference"/>
          <w:rFonts w:ascii="Calibri" w:hAnsi="Calibri"/>
          <w:sz w:val="22"/>
          <w:szCs w:val="22"/>
        </w:rPr>
        <w:footnoteReference w:id="355"/>
      </w:r>
      <w:r w:rsidRPr="00D500CC">
        <w:rPr>
          <w:rFonts w:ascii="Calibri" w:hAnsi="Calibri"/>
          <w:sz w:val="22"/>
          <w:szCs w:val="22"/>
        </w:rPr>
        <w:t>met het EU- recht. Het onderscheid tussen binnenlandse en buitenlandse deelnemingen voor de toepassing van de deelnemingsvrijstelling is</w:t>
      </w:r>
      <w:r>
        <w:rPr>
          <w:rFonts w:ascii="Calibri" w:hAnsi="Calibri"/>
          <w:sz w:val="22"/>
          <w:szCs w:val="22"/>
        </w:rPr>
        <w:t xml:space="preserve"> met de nieuwe Lwb </w:t>
      </w:r>
      <w:r w:rsidRPr="00D500CC">
        <w:rPr>
          <w:rFonts w:ascii="Calibri" w:hAnsi="Calibri"/>
          <w:sz w:val="22"/>
          <w:szCs w:val="22"/>
        </w:rPr>
        <w:t xml:space="preserve">komen te vervallen. Voor alle deelnemingen geldt nu een vrijstelling van 100%. </w:t>
      </w:r>
      <w:r>
        <w:rPr>
          <w:rFonts w:ascii="Calibri" w:hAnsi="Calibri"/>
          <w:sz w:val="22"/>
          <w:szCs w:val="22"/>
        </w:rPr>
        <w:t>Hiermee is aan dit mogelijk knelpunt tegemoetgekomen en van strijdigheid met het EU- Recht op dit punt geen sprake meer.</w:t>
      </w:r>
    </w:p>
    <w:p w:rsidR="00A64945" w:rsidRDefault="00A64945" w:rsidP="002B3737">
      <w:pPr>
        <w:pStyle w:val="Heading3"/>
        <w:spacing w:before="0" w:line="360" w:lineRule="auto"/>
        <w:jc w:val="both"/>
      </w:pPr>
      <w:bookmarkStart w:id="119" w:name="_Toc299634321"/>
      <w:r>
        <w:t xml:space="preserve">§4.2.2. </w:t>
      </w:r>
      <w:r w:rsidRPr="003E035A">
        <w:t>F</w:t>
      </w:r>
      <w:r>
        <w:t>usierichtlijn</w:t>
      </w:r>
      <w:r w:rsidRPr="003E035A">
        <w:t xml:space="preserve"> (§ 2.3.</w:t>
      </w:r>
      <w:r>
        <w:t>3</w:t>
      </w:r>
      <w:r w:rsidRPr="003E035A">
        <w:t>.)</w:t>
      </w:r>
      <w:bookmarkEnd w:id="119"/>
    </w:p>
    <w:p w:rsidR="00A64945" w:rsidRDefault="00A64945" w:rsidP="002B3737">
      <w:pPr>
        <w:spacing w:after="0" w:line="360" w:lineRule="auto"/>
        <w:jc w:val="both"/>
      </w:pPr>
      <w:r w:rsidRPr="00900AB9">
        <w:t>In art. 13 LWB 1940 is een bedrijfsfusieregeling opgenomen. Indien Curaçao</w:t>
      </w:r>
      <w:r>
        <w:t>,</w:t>
      </w:r>
      <w:r w:rsidRPr="00900AB9">
        <w:t xml:space="preserve"> </w:t>
      </w:r>
      <w:r>
        <w:t>zoals ik dat in deze scriptie veronderstel,</w:t>
      </w:r>
      <w:r w:rsidRPr="00900AB9">
        <w:t xml:space="preserve"> een UPG wordt, zal nagegaan moeten worden in hoeverre deze regeling in overeenstemming is met de </w:t>
      </w:r>
      <w:r>
        <w:t>FR</w:t>
      </w:r>
      <w:r w:rsidRPr="00900AB9">
        <w:t>.</w:t>
      </w:r>
    </w:p>
    <w:p w:rsidR="00A64945" w:rsidRDefault="00A64945" w:rsidP="00797F71">
      <w:pPr>
        <w:pStyle w:val="NormalWeb"/>
        <w:spacing w:before="0" w:beforeAutospacing="0" w:after="0" w:afterAutospacing="0" w:line="360" w:lineRule="auto"/>
        <w:jc w:val="both"/>
        <w:rPr>
          <w:rFonts w:ascii="Calibri" w:hAnsi="Calibri"/>
          <w:b/>
          <w:i/>
          <w:sz w:val="20"/>
          <w:szCs w:val="20"/>
        </w:rPr>
      </w:pPr>
    </w:p>
    <w:p w:rsidR="00A64945" w:rsidRDefault="00A64945" w:rsidP="002B3737">
      <w:pPr>
        <w:pStyle w:val="Heading3"/>
        <w:spacing w:before="0" w:line="360" w:lineRule="auto"/>
        <w:jc w:val="both"/>
      </w:pPr>
      <w:r>
        <w:t xml:space="preserve"> </w:t>
      </w:r>
      <w:bookmarkStart w:id="120" w:name="_Toc299634322"/>
      <w:r>
        <w:t>§4.2.3. Interest- en royaltyrichtlijn</w:t>
      </w:r>
      <w:r w:rsidRPr="004A6218">
        <w:t xml:space="preserve"> (§ 2.3.</w:t>
      </w:r>
      <w:r>
        <w:t>4</w:t>
      </w:r>
      <w:r w:rsidRPr="004A6218">
        <w:t>.)</w:t>
      </w:r>
      <w:bookmarkEnd w:id="120"/>
    </w:p>
    <w:p w:rsidR="00A64945" w:rsidRDefault="00A64945" w:rsidP="002B3737">
      <w:pPr>
        <w:spacing w:after="0" w:line="360" w:lineRule="auto"/>
        <w:jc w:val="both"/>
      </w:pPr>
      <w:r>
        <w:t>De Nederlandse Antillen kent geen bronbelasting op interest en royalty’s. In zoverre is de IRR dus niet van belang.</w:t>
      </w:r>
    </w:p>
    <w:p w:rsidR="00A64945" w:rsidRDefault="00A64945" w:rsidP="00797F71">
      <w:pPr>
        <w:spacing w:after="0" w:line="360" w:lineRule="auto"/>
        <w:jc w:val="both"/>
      </w:pPr>
      <w:r>
        <w:t>Vermeldenswaardig is in dit verband de uitspraak van het Hof in de zaak Scheuten Solar Technology</w:t>
      </w:r>
      <w:r w:rsidRPr="00E61D1C">
        <w:t>.</w:t>
      </w:r>
      <w:r>
        <w:rPr>
          <w:rStyle w:val="FootnoteReference"/>
          <w:rFonts w:cs="Arial"/>
        </w:rPr>
        <w:footnoteReference w:id="356"/>
      </w:r>
      <w:r>
        <w:t xml:space="preserve"> In onderhavige zaak betaalde een Duitse dochtermaatschappij (Scheuten Solar Technology GmbH) rente over een lening die zij was verschuldigd aan haar in Nederland gevestigde moedermaatschappij. Voor wat de toepassing van de bedrijfsbelasting (</w:t>
      </w:r>
      <w:r w:rsidRPr="008D19AE">
        <w:rPr>
          <w:i/>
        </w:rPr>
        <w:t>Gewerbesteuer</w:t>
      </w:r>
      <w:r>
        <w:t>) betrof, telde de Duitse belastingdienst op grond van Duitse wetgeving de helft van dit rentebedrag op bij de grondslag.</w:t>
      </w:r>
      <w:r>
        <w:rPr>
          <w:rStyle w:val="FootnoteReference"/>
          <w:rFonts w:cs="Arial"/>
        </w:rPr>
        <w:footnoteReference w:id="357"/>
      </w:r>
      <w:r w:rsidRPr="00825C80">
        <w:t xml:space="preserve"> </w:t>
      </w:r>
      <w:r>
        <w:t xml:space="preserve">Effectief leidde dit tot een aftrekbeperking. Het </w:t>
      </w:r>
      <w:r w:rsidRPr="00750AA1">
        <w:rPr>
          <w:i/>
        </w:rPr>
        <w:t>Bundesfinanzhof</w:t>
      </w:r>
      <w:r>
        <w:rPr>
          <w:i/>
        </w:rPr>
        <w:t xml:space="preserve">, </w:t>
      </w:r>
      <w:r>
        <w:t>de hoogste Duitse belastingrechter,</w:t>
      </w:r>
      <w:r>
        <w:rPr>
          <w:i/>
        </w:rPr>
        <w:t xml:space="preserve"> </w:t>
      </w:r>
      <w:r>
        <w:t>zag hierin potentieel strijd met het EU recht, namelijk met de IRR en stelde om die reden op 14 oktober 2009 prejudiciële vragen aan het HvJ EU.</w:t>
      </w:r>
      <w:r w:rsidRPr="008D19AE">
        <w:t xml:space="preserve"> </w:t>
      </w:r>
      <w:r>
        <w:t>De prejudiciële vragen</w:t>
      </w:r>
      <w:r>
        <w:rPr>
          <w:rStyle w:val="FootnoteReference"/>
          <w:rFonts w:cs="Arial"/>
        </w:rPr>
        <w:footnoteReference w:id="358"/>
      </w:r>
      <w:r>
        <w:t xml:space="preserve"> luidden als volgt: </w:t>
      </w:r>
    </w:p>
    <w:p w:rsidR="00A64945" w:rsidRPr="001B6ADB" w:rsidRDefault="00A64945" w:rsidP="000D6102">
      <w:pPr>
        <w:spacing w:line="360" w:lineRule="auto"/>
        <w:jc w:val="both"/>
        <w:rPr>
          <w:i/>
        </w:rPr>
      </w:pPr>
      <w:r w:rsidRPr="001B6ADB">
        <w:rPr>
          <w:i/>
        </w:rPr>
        <w:t xml:space="preserve">a) Staat artikel 1, lid 1, van richtlijn 2003/49/EG van de Raad van 3 juni 2003 betreffende een gemeenschappelijke belastingregeling inzake uitkeringen van interest en royalty’s tussen verbonden ondernemingen van verschillende lidstaten (PB L 157, blz 49) in de weg aan een regeling op grond waarvan de door een onderneming van een lidstaat aan een verbonden onderneming van een andere lidstaat betaalde rente op leningen bij de eerstgenoemde onderneming wordt opgeteld bij de grondslag voor de bedrijfsbelasting? </w:t>
      </w:r>
      <w:r w:rsidRPr="001B6ADB">
        <w:rPr>
          <w:i/>
        </w:rPr>
        <w:br/>
      </w:r>
      <w:r w:rsidRPr="001B6ADB">
        <w:rPr>
          <w:i/>
        </w:rPr>
        <w:lastRenderedPageBreak/>
        <w:t>b) Ingeval de eerste vraag bevestigend wordt beantwoord: moet artikel 1, lid 10, van richtlijn 2003/49 aldus worden uitgelegd dat een lidstaat ook de mogelijkheid heeft om de richtlijn niet toe te passen indien de in artikel 3, sub b, daarvan genoemde voorwaarden voor het bestaan van een verbonden onderneming ten tijde van de betaling van de rente nog niet vervuld waren gedurende een ononderbroken periode  van ten minste twee jaar? Kunnen de lidstaten zich in dat geval tegenover de betalende onderneming rechtstreeks beroepen op artikel 1, lid 10 van richtlijn 2003/49?</w:t>
      </w:r>
    </w:p>
    <w:p w:rsidR="00A64945" w:rsidRDefault="00A64945" w:rsidP="00797F71">
      <w:pPr>
        <w:spacing w:line="360" w:lineRule="auto"/>
        <w:jc w:val="both"/>
      </w:pPr>
      <w:r>
        <w:t>Ook i</w:t>
      </w:r>
      <w:r w:rsidRPr="00771061">
        <w:t>n de literatuur is de stelling verdedigd</w:t>
      </w:r>
      <w:r w:rsidRPr="00771061">
        <w:rPr>
          <w:rStyle w:val="FootnoteReference"/>
          <w:rFonts w:cs="Arial"/>
        </w:rPr>
        <w:footnoteReference w:id="359"/>
      </w:r>
      <w:r w:rsidRPr="00771061">
        <w:t xml:space="preserve"> dat de IRR niet alleen bronheffingen</w:t>
      </w:r>
      <w:r>
        <w:t xml:space="preserve"> over rente en/of royalty’s</w:t>
      </w:r>
      <w:r w:rsidRPr="00771061">
        <w:t xml:space="preserve"> verbiedt, maar ook ziet op</w:t>
      </w:r>
      <w:r>
        <w:t xml:space="preserve"> bepalingen met betrekking tot renteaftrekbeperkingen. Indien rente namelijk niet in aftrek wordt gelaten, heeft dit automatisch tot gevolg dat per saldo over deze rente vennootschapsbelasting wordt geheven. Is dit toegestaan? De IRR verbiedt de heffing van ‘alle belastingen’.</w:t>
      </w:r>
      <w:r>
        <w:rPr>
          <w:rStyle w:val="FootnoteReference"/>
          <w:rFonts w:cs="Arial"/>
        </w:rPr>
        <w:footnoteReference w:id="360"/>
      </w:r>
      <w:r>
        <w:t xml:space="preserve"> De vraag is dan ook welke interpretatie gegeven moet worden aan ‘alle belastingen’. Het belang voor Curaçao lag het hem in deze dat in het geval dat vast</w:t>
      </w:r>
      <w:r w:rsidRPr="000F58D1">
        <w:t xml:space="preserve"> </w:t>
      </w:r>
      <w:r>
        <w:t xml:space="preserve">was komen te </w:t>
      </w:r>
      <w:r w:rsidRPr="000F58D1">
        <w:t xml:space="preserve">staan dat ook renteaftrekbeperkingen onder de </w:t>
      </w:r>
      <w:r>
        <w:t>IRR</w:t>
      </w:r>
      <w:r w:rsidRPr="000F58D1">
        <w:t xml:space="preserve"> vallen, </w:t>
      </w:r>
      <w:r>
        <w:t xml:space="preserve">dat voor Curaçao </w:t>
      </w:r>
      <w:r w:rsidRPr="000F58D1">
        <w:t xml:space="preserve">consequenties </w:t>
      </w:r>
      <w:r>
        <w:t xml:space="preserve">zou kunnen </w:t>
      </w:r>
      <w:r w:rsidRPr="000F58D1">
        <w:t xml:space="preserve">hebben </w:t>
      </w:r>
      <w:r>
        <w:t xml:space="preserve">gehad </w:t>
      </w:r>
      <w:r w:rsidRPr="000F58D1">
        <w:t xml:space="preserve">voor de renteaftrekbeperking betreffende winstdrainage. </w:t>
      </w:r>
      <w:r w:rsidRPr="000F58D1">
        <w:rPr>
          <w:rStyle w:val="FootnoteReference"/>
          <w:rFonts w:cs="Arial"/>
        </w:rPr>
        <w:footnoteReference w:id="361"/>
      </w:r>
    </w:p>
    <w:p w:rsidR="00A64945" w:rsidRPr="00A0306E" w:rsidRDefault="00A64945" w:rsidP="00A0306E">
      <w:pPr>
        <w:spacing w:after="0" w:line="240" w:lineRule="auto"/>
        <w:jc w:val="both"/>
        <w:rPr>
          <w:b/>
          <w:i/>
          <w:sz w:val="20"/>
          <w:szCs w:val="20"/>
        </w:rPr>
      </w:pPr>
      <w:r w:rsidRPr="00A0306E">
        <w:rPr>
          <w:b/>
          <w:i/>
          <w:sz w:val="20"/>
          <w:szCs w:val="20"/>
        </w:rPr>
        <w:t>Beslissing HvJ</w:t>
      </w:r>
      <w:r>
        <w:rPr>
          <w:b/>
          <w:i/>
          <w:sz w:val="20"/>
          <w:szCs w:val="20"/>
        </w:rPr>
        <w:t xml:space="preserve"> EU</w:t>
      </w:r>
    </w:p>
    <w:p w:rsidR="00A64945" w:rsidRPr="002D3031" w:rsidRDefault="00A64945" w:rsidP="005652ED">
      <w:pPr>
        <w:spacing w:after="0" w:line="360" w:lineRule="auto"/>
        <w:jc w:val="both"/>
        <w:rPr>
          <w:rFonts w:cs="Times New Roman"/>
        </w:rPr>
      </w:pPr>
      <w:r>
        <w:t>Op 21 juli 2011 heeft het Hof uitspraak gedaan. Het Hof is van oordeel dat van strijdigheid</w:t>
      </w:r>
      <w:r>
        <w:rPr>
          <w:rStyle w:val="FootnoteReference"/>
          <w:i/>
        </w:rPr>
        <w:footnoteReference w:id="362"/>
      </w:r>
      <w:r>
        <w:t xml:space="preserve"> van de renteaftrekbeperking met de IRR geen sprake is. Onderhavige renteaftrekbeperking valt volgens het Hof namelijk buiten het bereik van de IRR.</w:t>
      </w:r>
      <w:r w:rsidRPr="00E61D1C">
        <w:rPr>
          <w:rStyle w:val="FootnoteReference"/>
          <w:i/>
        </w:rPr>
        <w:t xml:space="preserve"> </w:t>
      </w:r>
      <w:r>
        <w:rPr>
          <w:rStyle w:val="FootnoteReference"/>
          <w:i/>
        </w:rPr>
        <w:footnoteReference w:id="363"/>
      </w:r>
      <w:r>
        <w:t xml:space="preserve"> D</w:t>
      </w:r>
      <w:r w:rsidRPr="002D3031">
        <w:t xml:space="preserve">e betrokken heffing </w:t>
      </w:r>
      <w:r>
        <w:t xml:space="preserve"> wordt volgens het Hof in de eerste plaats </w:t>
      </w:r>
      <w:r w:rsidRPr="002D3031">
        <w:t>niet opgeroepen door de betaling van interest</w:t>
      </w:r>
      <w:r>
        <w:t>,</w:t>
      </w:r>
      <w:r w:rsidRPr="002D3031">
        <w:t xml:space="preserve"> maar door een correctie op het totaalbedrag van de jaarwinst. De Nederlandse moedermaatschappij ontvangt het volle bedrag van de betaalde interest, zonder enige Duitse heffing daarover. Daarnaast bevat de </w:t>
      </w:r>
      <w:r>
        <w:t>IRR</w:t>
      </w:r>
      <w:r w:rsidRPr="002D3031">
        <w:t xml:space="preserve"> geen regels voor vaststelling van de winst bij de schuldenaar, aftrekbeperkingen daaronder begrepen. </w:t>
      </w:r>
      <w:r>
        <w:t xml:space="preserve">Het Hof verwijst naar het doel van de IRR en wijst er op dat </w:t>
      </w:r>
      <w:r w:rsidRPr="002D3031">
        <w:t xml:space="preserve">de </w:t>
      </w:r>
      <w:r>
        <w:t xml:space="preserve">IRR </w:t>
      </w:r>
      <w:r w:rsidRPr="002D3031">
        <w:t>alleen is bedoeld om juridisch dubbele heffin</w:t>
      </w:r>
      <w:r>
        <w:t xml:space="preserve">g weg te nemen. Dat wil zeggen om </w:t>
      </w:r>
      <w:r w:rsidRPr="002D3031">
        <w:t>te voorkomen dat hetzelfde inkomen tweemaal bij de schuldeiser van de interest of royalty wordt belast, bijvoorbeeld eenmaal door middel van bronheffing in de bronstaat en nogmaals door heffing van winstbelasting in de woon</w:t>
      </w:r>
      <w:r>
        <w:t xml:space="preserve">staat. Wat Scheuten Solar </w:t>
      </w:r>
      <w:r>
        <w:lastRenderedPageBreak/>
        <w:t>Technology GmbH beoogde</w:t>
      </w:r>
      <w:r w:rsidRPr="002D3031">
        <w:t xml:space="preserve">, </w:t>
      </w:r>
      <w:r>
        <w:t>zag</w:t>
      </w:r>
      <w:r w:rsidRPr="002D3031">
        <w:t xml:space="preserve"> op winstvast</w:t>
      </w:r>
      <w:r>
        <w:t>st</w:t>
      </w:r>
      <w:r w:rsidRPr="002D3031">
        <w:t xml:space="preserve">elling bij de schuldenaar en </w:t>
      </w:r>
      <w:r>
        <w:t>dat</w:t>
      </w:r>
      <w:r w:rsidRPr="002D3031">
        <w:t xml:space="preserve"> wordt volgens het </w:t>
      </w:r>
      <w:r>
        <w:t>Hof</w:t>
      </w:r>
      <w:r w:rsidRPr="002D3031">
        <w:t xml:space="preserve"> niet door de </w:t>
      </w:r>
      <w:r>
        <w:t>IRR</w:t>
      </w:r>
      <w:r w:rsidRPr="002D3031">
        <w:t xml:space="preserve"> bestreken.</w:t>
      </w:r>
    </w:p>
    <w:p w:rsidR="00A64945" w:rsidRPr="002B3737" w:rsidRDefault="00A64945" w:rsidP="003E38FA">
      <w:pPr>
        <w:pStyle w:val="Heading3"/>
        <w:jc w:val="both"/>
      </w:pPr>
      <w:bookmarkStart w:id="122" w:name="_Toc299634323"/>
      <w:r>
        <w:t>§4.2.4.  Spaartegoedenrichtlijn</w:t>
      </w:r>
      <w:r w:rsidRPr="004A6218">
        <w:t xml:space="preserve"> (§ 2.3.</w:t>
      </w:r>
      <w:r>
        <w:t>5</w:t>
      </w:r>
      <w:r w:rsidRPr="004A6218">
        <w:t>.)</w:t>
      </w:r>
      <w:bookmarkEnd w:id="122"/>
    </w:p>
    <w:p w:rsidR="00A64945" w:rsidRDefault="00A64945" w:rsidP="002B3737">
      <w:pPr>
        <w:spacing w:after="0" w:line="360" w:lineRule="auto"/>
        <w:jc w:val="both"/>
      </w:pPr>
      <w:r>
        <w:t>Nederland heeft met de Nederlandse Antillen,  Aruba en een aantal staten per 1 juli 2005 zogeheten spaartegoedenverdragen afgesloten. Deze verdragen voorzien in hetzij gegevensuitwisseling, hetzij bronheffing op rentebetalingen door deze gebieden.</w:t>
      </w:r>
      <w:r w:rsidRPr="00EC5105">
        <w:rPr>
          <w:rStyle w:val="FootnoteReference"/>
          <w:rFonts w:cs="Arial"/>
        </w:rPr>
        <w:t xml:space="preserve"> </w:t>
      </w:r>
      <w:r>
        <w:t>Voor inlichtingenuitwisseling is gekozen door Anguilla, Aruba,</w:t>
      </w:r>
      <w:r>
        <w:rPr>
          <w:rStyle w:val="FootnoteReference"/>
          <w:rFonts w:cs="Arial"/>
        </w:rPr>
        <w:footnoteReference w:id="364"/>
      </w:r>
      <w:r>
        <w:t xml:space="preserve"> Kaaimaneilanden en Monserrat. De Nederlandse Antillen,</w:t>
      </w:r>
      <w:r>
        <w:rPr>
          <w:rStyle w:val="FootnoteReference"/>
          <w:rFonts w:cs="Arial"/>
        </w:rPr>
        <w:footnoteReference w:id="365"/>
      </w:r>
      <w:r>
        <w:t xml:space="preserve"> de Britse Maagdeneilanden, het eiland Man, Guernsey, Jersey en de Turks en Caicos eilanden hebben gekozen voor de inhouding van een bronbelasting gedurende de overgangsperiode.</w:t>
      </w:r>
      <w:r w:rsidRPr="00BF51D3">
        <w:rPr>
          <w:rStyle w:val="FootnoteReference"/>
          <w:rFonts w:cs="Arial"/>
        </w:rPr>
        <w:t xml:space="preserve"> </w:t>
      </w:r>
      <w:r>
        <w:rPr>
          <w:rStyle w:val="FootnoteReference"/>
          <w:rFonts w:cs="Arial"/>
        </w:rPr>
        <w:footnoteReference w:id="366"/>
      </w:r>
      <w:r>
        <w:t xml:space="preserve"> De staatssecretaris van Financiën schrijft hierover:</w:t>
      </w:r>
      <w:r>
        <w:rPr>
          <w:rStyle w:val="FootnoteReference"/>
          <w:rFonts w:cs="Arial"/>
        </w:rPr>
        <w:footnoteReference w:id="367"/>
      </w:r>
      <w:r>
        <w:t xml:space="preserve"> </w:t>
      </w:r>
    </w:p>
    <w:p w:rsidR="00A64945" w:rsidRPr="001C2FA2" w:rsidRDefault="00A64945" w:rsidP="007D7278">
      <w:pPr>
        <w:spacing w:after="0" w:line="360" w:lineRule="auto"/>
        <w:jc w:val="both"/>
      </w:pPr>
      <w:r>
        <w:t>‘</w:t>
      </w:r>
      <w:r w:rsidRPr="00415651">
        <w:rPr>
          <w:i/>
        </w:rPr>
        <w:t>De spaartegoedenverdragen zorgen ervoor dat er in de relatie tussen Nederland en de Engelse afhankelijke gebieden en tussen de Nederlandse Antillen/Aruba en de Europese lidstaten regels worden overeengekomen die vergelijkbaar zijn met de spaartegoedenrichtlijn. Daarmee wordt voldaan aan de vereisten van art. 17. Lid 2, onderdeel ii van de spaartegoedenrichtlijn, aan welke vereisten moet zijn voldaan, wil de spaartegoedenrichtlijn van toepassing worden verklaard.’</w:t>
      </w:r>
    </w:p>
    <w:p w:rsidR="00A64945" w:rsidRPr="00D87832" w:rsidRDefault="00A64945" w:rsidP="007D7278">
      <w:pPr>
        <w:spacing w:after="0" w:line="360" w:lineRule="auto"/>
        <w:jc w:val="both"/>
      </w:pPr>
      <w:r>
        <w:t>Concreet houdt dat in dat de Nederlandse Antillen, sinds 1 juli 2005, een bronheffing inhouden op rentebetalingen op spaartegoeden van inwoners van Nederland.</w:t>
      </w:r>
      <w:r>
        <w:rPr>
          <w:rStyle w:val="FootnoteReference"/>
          <w:rFonts w:cs="Arial"/>
        </w:rPr>
        <w:footnoteReference w:id="368"/>
      </w:r>
      <w:r>
        <w:t xml:space="preserve"> Deze bedroeg aanvankelijk 15%, is na drie jaar verhoogd tot 20% en is uiteindelijk nu per 1 januari 2011 35% komen te bedragen.</w:t>
      </w:r>
      <w:r>
        <w:rPr>
          <w:rStyle w:val="FootnoteReference"/>
          <w:rFonts w:cs="Arial"/>
        </w:rPr>
        <w:footnoteReference w:id="369"/>
      </w:r>
      <w:r>
        <w:t xml:space="preserve"> Driederde deel van de opbrengst (75%) daarvan wordt aan Nederland overgemaakt.</w:t>
      </w:r>
      <w:r>
        <w:rPr>
          <w:rStyle w:val="FootnoteReference"/>
          <w:rFonts w:cs="Arial"/>
        </w:rPr>
        <w:footnoteReference w:id="370"/>
      </w:r>
      <w:r>
        <w:t xml:space="preserve"> Nederland dient er zorg voor te dragen dat het heffen van deze bronbelasting niet leidt tot dubbele belasting door een belastingverrekening toe te kennen.</w:t>
      </w:r>
      <w:r>
        <w:rPr>
          <w:rStyle w:val="FootnoteReference"/>
          <w:rFonts w:cs="Arial"/>
        </w:rPr>
        <w:footnoteReference w:id="371"/>
      </w:r>
      <w:r>
        <w:t xml:space="preserve"> Aruba heft geen bronheffing, maar voorziet Nederland sinds 1 juli 2005 van informatie over aan inwoners van Nederland betaalde rente op spaartegoeden.</w:t>
      </w:r>
      <w:r>
        <w:rPr>
          <w:rStyle w:val="FootnoteReference"/>
          <w:rFonts w:cs="Arial"/>
        </w:rPr>
        <w:footnoteReference w:id="372"/>
      </w:r>
    </w:p>
    <w:p w:rsidR="00A64945" w:rsidRDefault="00A64945" w:rsidP="007D7278">
      <w:pPr>
        <w:spacing w:line="360" w:lineRule="auto"/>
        <w:jc w:val="both"/>
      </w:pPr>
      <w:r>
        <w:lastRenderedPageBreak/>
        <w:t>Met het oog op het vermijden van een kapitaalvlucht naar deze landen, zijn tevens verschillende overeenkomsten met betrekking tot rente op spaartegoeden gesloten tussen de EU en San Marino, Andorra, Liechtenstein, Monaco en Zwitserland.</w:t>
      </w:r>
      <w:r>
        <w:rPr>
          <w:rStyle w:val="FootnoteReference"/>
          <w:rFonts w:cs="Arial"/>
        </w:rPr>
        <w:footnoteReference w:id="373"/>
      </w:r>
    </w:p>
    <w:p w:rsidR="00A64945" w:rsidRPr="002B3737" w:rsidRDefault="00A64945" w:rsidP="001F7D63">
      <w:pPr>
        <w:pStyle w:val="Heading3"/>
        <w:jc w:val="both"/>
      </w:pPr>
      <w:bookmarkStart w:id="123" w:name="_Toc299634324"/>
      <w:r>
        <w:t>§4.2.5.  Richtlijn inzake uitwisseling van inlichtingen en - invordering van belastingen</w:t>
      </w:r>
      <w:r w:rsidRPr="004A6218">
        <w:t xml:space="preserve"> (§ 2.3.</w:t>
      </w:r>
      <w:r>
        <w:t>6</w:t>
      </w:r>
      <w:r w:rsidRPr="004A6218">
        <w:t>.)</w:t>
      </w:r>
      <w:bookmarkEnd w:id="123"/>
    </w:p>
    <w:p w:rsidR="00A64945" w:rsidRDefault="00A64945" w:rsidP="00F36BC0">
      <w:pPr>
        <w:pStyle w:val="FootnoteText"/>
        <w:spacing w:line="360" w:lineRule="auto"/>
        <w:jc w:val="both"/>
        <w:rPr>
          <w:sz w:val="22"/>
          <w:szCs w:val="22"/>
        </w:rPr>
      </w:pPr>
      <w:r w:rsidRPr="00F36BC0">
        <w:rPr>
          <w:sz w:val="22"/>
          <w:szCs w:val="22"/>
        </w:rPr>
        <w:t>Wat deze richtlijnen betreft, zal Curaçao haar wetgeving</w:t>
      </w:r>
      <w:r>
        <w:rPr>
          <w:rStyle w:val="FootnoteReference"/>
          <w:sz w:val="22"/>
          <w:szCs w:val="22"/>
        </w:rPr>
        <w:footnoteReference w:id="374"/>
      </w:r>
      <w:r w:rsidRPr="00F36BC0">
        <w:rPr>
          <w:sz w:val="22"/>
          <w:szCs w:val="22"/>
        </w:rPr>
        <w:t xml:space="preserve"> bij strijdigheid of in het geval dat het momenteel niet (voldoende) geregeld is aan deze richtlijnen moeten aanpassen en haar wetgeving zodanig moeten inrichten dat het verstrekken van informatie dan wel de invordering van belastingen op grond van deze richtlijnen mogelijk is en niet wordt verhinderd.</w:t>
      </w:r>
      <w:r>
        <w:rPr>
          <w:sz w:val="22"/>
          <w:szCs w:val="22"/>
        </w:rPr>
        <w:t xml:space="preserve"> </w:t>
      </w:r>
      <w:r>
        <w:rPr>
          <w:rStyle w:val="FootnoteReference"/>
          <w:sz w:val="22"/>
          <w:szCs w:val="22"/>
        </w:rPr>
        <w:footnoteReference w:id="375"/>
      </w:r>
    </w:p>
    <w:p w:rsidR="00A64945" w:rsidRDefault="00A64945" w:rsidP="0000003A">
      <w:pPr>
        <w:autoSpaceDE w:val="0"/>
        <w:autoSpaceDN w:val="0"/>
        <w:adjustRightInd w:val="0"/>
        <w:spacing w:after="0" w:line="240" w:lineRule="auto"/>
      </w:pPr>
    </w:p>
    <w:p w:rsidR="00A64945" w:rsidRDefault="00A64945" w:rsidP="0065436C">
      <w:pPr>
        <w:pStyle w:val="Heading2"/>
        <w:tabs>
          <w:tab w:val="left" w:pos="360"/>
        </w:tabs>
        <w:spacing w:before="0" w:line="360" w:lineRule="auto"/>
        <w:jc w:val="both"/>
        <w:rPr>
          <w:color w:val="auto"/>
        </w:rPr>
      </w:pPr>
    </w:p>
    <w:p w:rsidR="00A64945" w:rsidRPr="00046F7F" w:rsidRDefault="00A64945" w:rsidP="0065436C">
      <w:pPr>
        <w:pStyle w:val="Heading2"/>
        <w:tabs>
          <w:tab w:val="left" w:pos="360"/>
        </w:tabs>
        <w:spacing w:before="0" w:line="360" w:lineRule="auto"/>
        <w:jc w:val="both"/>
        <w:rPr>
          <w:color w:val="auto"/>
        </w:rPr>
      </w:pPr>
      <w:bookmarkStart w:id="124" w:name="_Toc299634325"/>
      <w:r>
        <w:rPr>
          <w:color w:val="auto"/>
        </w:rPr>
        <w:t>§4.3</w:t>
      </w:r>
      <w:r w:rsidRPr="00046F7F">
        <w:rPr>
          <w:color w:val="auto"/>
        </w:rPr>
        <w:t xml:space="preserve">. </w:t>
      </w:r>
      <w:r>
        <w:rPr>
          <w:color w:val="auto"/>
        </w:rPr>
        <w:t>Toetsing strijdigheid met bepalingen s</w:t>
      </w:r>
      <w:r w:rsidRPr="00046F7F">
        <w:rPr>
          <w:color w:val="auto"/>
        </w:rPr>
        <w:t xml:space="preserve">chadelijke belastingconcurrentie en </w:t>
      </w:r>
      <w:r>
        <w:rPr>
          <w:color w:val="auto"/>
        </w:rPr>
        <w:t>s</w:t>
      </w:r>
      <w:r w:rsidRPr="00046F7F">
        <w:rPr>
          <w:color w:val="auto"/>
        </w:rPr>
        <w:t>taatssteun (§2.5.)</w:t>
      </w:r>
      <w:bookmarkEnd w:id="124"/>
    </w:p>
    <w:p w:rsidR="00A64945" w:rsidRDefault="00A64945" w:rsidP="005B28D4">
      <w:pPr>
        <w:pStyle w:val="Heading3"/>
        <w:spacing w:before="0" w:line="360" w:lineRule="auto"/>
        <w:jc w:val="both"/>
      </w:pPr>
    </w:p>
    <w:p w:rsidR="00A64945" w:rsidRDefault="00A64945" w:rsidP="005B28D4">
      <w:pPr>
        <w:pStyle w:val="Heading3"/>
        <w:spacing w:before="0" w:line="360" w:lineRule="auto"/>
        <w:jc w:val="both"/>
      </w:pPr>
      <w:bookmarkStart w:id="125" w:name="_Toc299634326"/>
      <w:r>
        <w:t xml:space="preserve">§4.3.1 </w:t>
      </w:r>
      <w:r w:rsidRPr="00CE450D">
        <w:t>De vrije zone van Madeira</w:t>
      </w:r>
      <w:bookmarkEnd w:id="125"/>
    </w:p>
    <w:p w:rsidR="00A64945" w:rsidRDefault="00A64945" w:rsidP="005B28D4">
      <w:pPr>
        <w:autoSpaceDE w:val="0"/>
        <w:autoSpaceDN w:val="0"/>
        <w:adjustRightInd w:val="0"/>
        <w:spacing w:after="0" w:line="360" w:lineRule="auto"/>
        <w:jc w:val="both"/>
      </w:pPr>
      <w:r w:rsidRPr="00F44E1E">
        <w:t>Madeira is een aan Portugal</w:t>
      </w:r>
      <w:r>
        <w:rPr>
          <w:rStyle w:val="FootnoteReference"/>
          <w:rFonts w:cs="Arial"/>
        </w:rPr>
        <w:footnoteReference w:id="376"/>
      </w:r>
      <w:r w:rsidRPr="00F44E1E">
        <w:t xml:space="preserve"> gelieerde UPG.</w:t>
      </w:r>
      <w:r w:rsidRPr="00F44E1E">
        <w:rPr>
          <w:rStyle w:val="FootnoteReference"/>
          <w:rFonts w:cs="Arial"/>
        </w:rPr>
        <w:footnoteReference w:id="377"/>
      </w:r>
      <w:r w:rsidRPr="00F44E1E">
        <w:t xml:space="preserve"> Madeira heeft een vrije zone. </w:t>
      </w:r>
      <w:r>
        <w:t>Om een oordeel te kunnen vormen over de verenigbaarheid van het Curaçaose E- Zoneregime met het fiscale EU- recht en de mogelijke consequenties van de UPG- status voor de Curaçaose E- Zone, ligt het voor de hand</w:t>
      </w:r>
      <w:r>
        <w:rPr>
          <w:rStyle w:val="FootnoteReference"/>
          <w:rFonts w:cs="Arial"/>
        </w:rPr>
        <w:footnoteReference w:id="378"/>
      </w:r>
      <w:r>
        <w:t xml:space="preserve"> om stil te staan bij de ervaringen van Madeira als UPG binnen de EU met betrekking tot haar </w:t>
      </w:r>
      <w:r>
        <w:lastRenderedPageBreak/>
        <w:t>vrije zone. Om die reden volgt in het hiernavolgende een uiteenzetting van de ontwikkelingen met betrekking tot de Madeirese vrije zone die in het UPG Madeira hebben plaatsgevonden.</w:t>
      </w:r>
    </w:p>
    <w:p w:rsidR="00A64945" w:rsidRDefault="00A64945" w:rsidP="005B28D4">
      <w:pPr>
        <w:autoSpaceDE w:val="0"/>
        <w:autoSpaceDN w:val="0"/>
        <w:adjustRightInd w:val="0"/>
        <w:spacing w:after="0" w:line="360" w:lineRule="auto"/>
        <w:jc w:val="both"/>
      </w:pPr>
    </w:p>
    <w:p w:rsidR="00A64945" w:rsidRDefault="00A64945" w:rsidP="005B28D4">
      <w:pPr>
        <w:autoSpaceDE w:val="0"/>
        <w:autoSpaceDN w:val="0"/>
        <w:adjustRightInd w:val="0"/>
        <w:spacing w:after="0" w:line="360" w:lineRule="auto"/>
        <w:jc w:val="both"/>
        <w:rPr>
          <w:rFonts w:cs="EUAlbertina"/>
        </w:rPr>
      </w:pPr>
      <w:r>
        <w:t xml:space="preserve"> </w:t>
      </w:r>
      <w:r w:rsidRPr="00F44E1E">
        <w:rPr>
          <w:color w:val="000000"/>
        </w:rPr>
        <w:t>Aanvankelijk</w:t>
      </w:r>
      <w:r>
        <w:rPr>
          <w:rStyle w:val="FootnoteReference"/>
          <w:rFonts w:cs="Arial"/>
          <w:color w:val="000000"/>
        </w:rPr>
        <w:footnoteReference w:id="379"/>
      </w:r>
      <w:r w:rsidRPr="00F44E1E">
        <w:rPr>
          <w:color w:val="000000"/>
        </w:rPr>
        <w:t xml:space="preserve"> had de </w:t>
      </w:r>
      <w:r>
        <w:rPr>
          <w:color w:val="000000"/>
        </w:rPr>
        <w:t>EC</w:t>
      </w:r>
      <w:r w:rsidRPr="00F44E1E">
        <w:rPr>
          <w:color w:val="000000"/>
        </w:rPr>
        <w:t xml:space="preserve"> geen bezwaar tegen de </w:t>
      </w:r>
      <w:r>
        <w:rPr>
          <w:color w:val="000000"/>
        </w:rPr>
        <w:t xml:space="preserve">vrije zone van Madeira. De rechtvaardiging voor het bestaansrecht van een vrije zone in Madeira </w:t>
      </w:r>
      <w:r w:rsidRPr="00F44E1E">
        <w:rPr>
          <w:color w:val="000000"/>
        </w:rPr>
        <w:t>werd gevonden in</w:t>
      </w:r>
      <w:r>
        <w:rPr>
          <w:color w:val="000000"/>
        </w:rPr>
        <w:t xml:space="preserve"> oud artikel 87, derde lid, letter a van het EG- Verdrag, thans </w:t>
      </w:r>
      <w:r w:rsidRPr="00F44E1E">
        <w:rPr>
          <w:color w:val="000000"/>
        </w:rPr>
        <w:t>artikel 107, derde lid, letter a van het VwEU</w:t>
      </w:r>
      <w:r>
        <w:rPr>
          <w:color w:val="000000"/>
        </w:rPr>
        <w:t>.</w:t>
      </w:r>
      <w:r w:rsidRPr="0023200E">
        <w:rPr>
          <w:rStyle w:val="FootnoteReference"/>
          <w:rFonts w:cs="EUAlbertina"/>
        </w:rPr>
        <w:t xml:space="preserve"> </w:t>
      </w:r>
      <w:r>
        <w:rPr>
          <w:rStyle w:val="FootnoteReference"/>
          <w:rFonts w:cs="EUAlbertina"/>
        </w:rPr>
        <w:footnoteReference w:id="380"/>
      </w:r>
      <w:r>
        <w:rPr>
          <w:color w:val="000000"/>
        </w:rPr>
        <w:t xml:space="preserve"> Dat artikel verklaart</w:t>
      </w:r>
      <w:r w:rsidRPr="00F44E1E">
        <w:rPr>
          <w:color w:val="000000"/>
        </w:rPr>
        <w:t xml:space="preserve"> </w:t>
      </w:r>
      <w:r>
        <w:rPr>
          <w:rFonts w:cs="EUAlbertina"/>
        </w:rPr>
        <w:t>als verenigbaar met de interne markt:</w:t>
      </w:r>
      <w:r w:rsidRPr="00F017C8">
        <w:rPr>
          <w:i/>
          <w:color w:val="000000"/>
        </w:rPr>
        <w:t xml:space="preserve"> ‘</w:t>
      </w:r>
      <w:r w:rsidRPr="00F017C8">
        <w:rPr>
          <w:rFonts w:cs="EUAlbertina"/>
          <w:i/>
        </w:rPr>
        <w:t>steunmaatregelen ter bevordering van de economische ontwikkeling van streken waarin de levensstandaard abnormaal laag is of waar een ernstig gebrek aan werkgelegenheid heerst en van de in artikel 349 bedoelde regio's, rekening houdend met hun structurele, economische en sociale situatie’</w:t>
      </w:r>
      <w:r w:rsidRPr="00F44E1E">
        <w:rPr>
          <w:rFonts w:cs="EUAlbertina"/>
        </w:rPr>
        <w:t>.</w:t>
      </w:r>
    </w:p>
    <w:p w:rsidR="00A64945" w:rsidRDefault="00A64945" w:rsidP="005B28D4">
      <w:pPr>
        <w:spacing w:after="0" w:line="360" w:lineRule="auto"/>
        <w:jc w:val="both"/>
        <w:rPr>
          <w:rFonts w:cs="EUAlbertina"/>
        </w:rPr>
      </w:pPr>
      <w:r w:rsidRPr="00161D71">
        <w:rPr>
          <w:rFonts w:cs="EUAlbertina"/>
        </w:rPr>
        <w:t>Ondernemingen die in de Madeirese Vrije Zone</w:t>
      </w:r>
      <w:r>
        <w:rPr>
          <w:rFonts w:cs="EUAlbertina"/>
        </w:rPr>
        <w:t xml:space="preserve"> (hierna: MVZ)</w:t>
      </w:r>
      <w:r w:rsidRPr="00161D71">
        <w:rPr>
          <w:rFonts w:cs="EUAlbertina"/>
        </w:rPr>
        <w:t xml:space="preserve"> opereerden, </w:t>
      </w:r>
      <w:r>
        <w:rPr>
          <w:rFonts w:cs="EUAlbertina"/>
        </w:rPr>
        <w:t>waren volledig vrijgesteld van winstbelasting (</w:t>
      </w:r>
      <w:r w:rsidRPr="00C71639">
        <w:rPr>
          <w:rFonts w:cs="EUAlbertina"/>
          <w:i/>
        </w:rPr>
        <w:t>Corporate Income Tax</w:t>
      </w:r>
      <w:r>
        <w:rPr>
          <w:rFonts w:cs="EUAlbertina"/>
        </w:rPr>
        <w:t>).</w:t>
      </w:r>
      <w:r>
        <w:rPr>
          <w:rStyle w:val="FootnoteReference"/>
          <w:rFonts w:cs="EUAlbertina"/>
        </w:rPr>
        <w:footnoteReference w:id="381"/>
      </w:r>
      <w:r w:rsidRPr="00161D71">
        <w:rPr>
          <w:rFonts w:cs="EUAlbertina"/>
        </w:rPr>
        <w:t xml:space="preserve"> </w:t>
      </w:r>
      <w:r w:rsidRPr="0062181D">
        <w:rPr>
          <w:rFonts w:cs="EUAlbertina"/>
        </w:rPr>
        <w:t>Dit gold niet voor transacties die uitgevoerd werden op het Portugese vasteland of met inwoners van Portugal.</w:t>
      </w:r>
      <w:r w:rsidRPr="0062181D">
        <w:rPr>
          <w:rStyle w:val="FootnoteReference"/>
          <w:rFonts w:cs="EUAlbertina"/>
        </w:rPr>
        <w:footnoteReference w:id="382"/>
      </w:r>
      <w:r>
        <w:rPr>
          <w:rFonts w:cs="EUAlbertina"/>
        </w:rPr>
        <w:t xml:space="preserve"> Bij dergelijke transacties gold het reguliere Portugese winstbelastingtarief.</w:t>
      </w:r>
      <w:r w:rsidRPr="00161D71">
        <w:rPr>
          <w:rFonts w:cs="EUAlbertina"/>
        </w:rPr>
        <w:t xml:space="preserve"> Bij toetreding van Portugal tot de EU</w:t>
      </w:r>
      <w:r>
        <w:rPr>
          <w:rFonts w:cs="EUAlbertina"/>
        </w:rPr>
        <w:t xml:space="preserve"> in 1986</w:t>
      </w:r>
      <w:r w:rsidRPr="00161D71">
        <w:rPr>
          <w:rFonts w:cs="EUAlbertina"/>
        </w:rPr>
        <w:t xml:space="preserve">, stond de EC Portugal toe de </w:t>
      </w:r>
      <w:r>
        <w:rPr>
          <w:rFonts w:cs="EUAlbertina"/>
        </w:rPr>
        <w:t>MVZ</w:t>
      </w:r>
      <w:r w:rsidRPr="00161D71">
        <w:rPr>
          <w:rFonts w:cs="EUAlbertina"/>
        </w:rPr>
        <w:t xml:space="preserve">, </w:t>
      </w:r>
      <w:r>
        <w:rPr>
          <w:rFonts w:cs="EUAlbertina"/>
        </w:rPr>
        <w:t xml:space="preserve">zoals het toen vormgegeven was, </w:t>
      </w:r>
      <w:r w:rsidRPr="00161D71">
        <w:rPr>
          <w:rFonts w:cs="EUAlbertina"/>
        </w:rPr>
        <w:t xml:space="preserve">te handhaven.  </w:t>
      </w:r>
      <w:r w:rsidRPr="00EE5473">
        <w:rPr>
          <w:rFonts w:cs="EUAlbertina"/>
        </w:rPr>
        <w:t xml:space="preserve">Deze beslissing </w:t>
      </w:r>
      <w:r>
        <w:rPr>
          <w:rFonts w:cs="EUAlbertina"/>
        </w:rPr>
        <w:t>werd</w:t>
      </w:r>
      <w:r w:rsidRPr="00EE5473">
        <w:rPr>
          <w:rFonts w:cs="EUAlbertina"/>
        </w:rPr>
        <w:t xml:space="preserve"> </w:t>
      </w:r>
      <w:r>
        <w:rPr>
          <w:rFonts w:cs="EUAlbertina"/>
        </w:rPr>
        <w:t xml:space="preserve">door de EC </w:t>
      </w:r>
      <w:r w:rsidRPr="00EE5473">
        <w:rPr>
          <w:rFonts w:cs="EUAlbertina"/>
        </w:rPr>
        <w:t>in 1987</w:t>
      </w:r>
      <w:r w:rsidRPr="009C54FB">
        <w:rPr>
          <w:rFonts w:cs="EUAlbertina"/>
        </w:rPr>
        <w:t xml:space="preserve"> </w:t>
      </w:r>
      <w:r w:rsidRPr="00EE5473">
        <w:rPr>
          <w:rFonts w:cs="EUAlbertina"/>
        </w:rPr>
        <w:t xml:space="preserve">genomen, </w:t>
      </w:r>
      <w:r>
        <w:rPr>
          <w:rFonts w:cs="EUAlbertina"/>
        </w:rPr>
        <w:t>oorspronkelijk</w:t>
      </w:r>
      <w:r w:rsidRPr="00EE5473">
        <w:rPr>
          <w:rFonts w:cs="EUAlbertina"/>
        </w:rPr>
        <w:t xml:space="preserve"> voor de periode van vijf jaar</w:t>
      </w:r>
      <w:r>
        <w:rPr>
          <w:rFonts w:cs="EUAlbertina"/>
        </w:rPr>
        <w:t>. De EC herzag haar beslissing t</w:t>
      </w:r>
      <w:r w:rsidRPr="00EE5473">
        <w:rPr>
          <w:rFonts w:cs="EUAlbertina"/>
        </w:rPr>
        <w:t>ot twee maal toe in 1992 en 1995 voor de periode van drie, respectievelijk vijf j</w:t>
      </w:r>
      <w:r>
        <w:rPr>
          <w:rFonts w:cs="EUAlbertina"/>
        </w:rPr>
        <w:t>aar</w:t>
      </w:r>
      <w:r w:rsidRPr="00EE5473">
        <w:rPr>
          <w:rFonts w:cs="EUAlbertina"/>
        </w:rPr>
        <w:t xml:space="preserve">. </w:t>
      </w:r>
      <w:r>
        <w:rPr>
          <w:rFonts w:cs="EUAlbertina"/>
        </w:rPr>
        <w:t>Daardoor was het voor ondernemingen uiteindelijk tot het einde van jaar 2000 mogelijk om zich onder het ‘oude regime’ in de vrije zone van Madeira te vestigingen. Het regime zoals het toentertijd was vormgegeven, maakte het voor entiteiten</w:t>
      </w:r>
      <w:r>
        <w:rPr>
          <w:rStyle w:val="FootnoteReference"/>
          <w:rFonts w:cs="EUAlbertina"/>
        </w:rPr>
        <w:footnoteReference w:id="383"/>
      </w:r>
      <w:r>
        <w:rPr>
          <w:rFonts w:cs="EUAlbertina"/>
        </w:rPr>
        <w:t xml:space="preserve">mogelijk om te </w:t>
      </w:r>
      <w:r w:rsidRPr="00161D71">
        <w:rPr>
          <w:rFonts w:cs="EUAlbertina"/>
        </w:rPr>
        <w:t xml:space="preserve"> profiteren van een </w:t>
      </w:r>
      <w:r>
        <w:rPr>
          <w:rFonts w:cs="EUAlbertina"/>
        </w:rPr>
        <w:t xml:space="preserve">volledige </w:t>
      </w:r>
      <w:r w:rsidRPr="00161D71">
        <w:rPr>
          <w:rFonts w:cs="EUAlbertina"/>
        </w:rPr>
        <w:t xml:space="preserve">vrijstelling in de </w:t>
      </w:r>
      <w:r>
        <w:rPr>
          <w:rFonts w:cs="EUAlbertina"/>
        </w:rPr>
        <w:t>winst</w:t>
      </w:r>
      <w:r w:rsidRPr="00161D71">
        <w:rPr>
          <w:rFonts w:cs="EUAlbertina"/>
        </w:rPr>
        <w:t xml:space="preserve">belasting tot het einde van 2011. </w:t>
      </w:r>
    </w:p>
    <w:p w:rsidR="00A64945" w:rsidRDefault="00A64945" w:rsidP="005B28D4">
      <w:pPr>
        <w:spacing w:after="0" w:line="360" w:lineRule="auto"/>
        <w:jc w:val="both"/>
        <w:rPr>
          <w:rFonts w:cs="EUAlbertina"/>
        </w:rPr>
      </w:pPr>
      <w:r>
        <w:rPr>
          <w:rFonts w:cs="EUAlbertina"/>
        </w:rPr>
        <w:t xml:space="preserve">Eind jaren negentig van de vorige eeuw opende de EC het offensief tegen wat door hen aangeduid werd als ‘schadelijke belastingconcurrentie’. Naar aanleiding daarvan werd de benadering met betrekking tot de verenigbaarheid van staatssteunmaatregelen met de interne markt door de EC strenger. </w:t>
      </w:r>
    </w:p>
    <w:p w:rsidR="00A64945" w:rsidRDefault="00A64945" w:rsidP="005B28D4">
      <w:pPr>
        <w:spacing w:after="0" w:line="360" w:lineRule="auto"/>
        <w:jc w:val="both"/>
      </w:pPr>
      <w:r>
        <w:t xml:space="preserve">In 1999 werd een groep samengesteld die belast was met het beoordelen van alle in de EU en in de LGO’s potentieel schadelijk geachte belastingmaatregelen: de Primarolo- groep. In februari 2000 werden de bevindingen van de Primarolo- groep openbaar gemaakt in een rapport (hierna: Primarolo </w:t>
      </w:r>
      <w:r>
        <w:lastRenderedPageBreak/>
        <w:t xml:space="preserve">1999). In dit rapport zijn 66 belastingmaatregelen door de Primarolo- groep als schadelijk aangekaart. </w:t>
      </w:r>
      <w:r w:rsidRPr="00CE59F0">
        <w:t xml:space="preserve">In Primarolo 1999 is </w:t>
      </w:r>
      <w:r>
        <w:t xml:space="preserve">ook </w:t>
      </w:r>
      <w:r w:rsidRPr="00CE59F0">
        <w:t xml:space="preserve">de </w:t>
      </w:r>
      <w:r>
        <w:t>MVZ</w:t>
      </w:r>
      <w:r w:rsidRPr="00CE59F0">
        <w:t xml:space="preserve"> schadelijk bevonden. De vrije zone van Madeira</w:t>
      </w:r>
      <w:r>
        <w:rPr>
          <w:rStyle w:val="FootnoteReference"/>
          <w:rFonts w:cs="Arial"/>
        </w:rPr>
        <w:footnoteReference w:id="384"/>
      </w:r>
      <w:r w:rsidRPr="00CE59F0">
        <w:t xml:space="preserve"> wordt </w:t>
      </w:r>
      <w:r>
        <w:t xml:space="preserve">in Primarolo 1999 aangeduid als </w:t>
      </w:r>
      <w:r w:rsidRPr="00CE59F0">
        <w:t xml:space="preserve">maatregel B006. Naar aanleiding hiervan </w:t>
      </w:r>
      <w:r>
        <w:t>moesten</w:t>
      </w:r>
      <w:r w:rsidRPr="00CE59F0">
        <w:t xml:space="preserve"> de toegestane</w:t>
      </w:r>
      <w:r>
        <w:t xml:space="preserve"> te ontplooien </w:t>
      </w:r>
      <w:r w:rsidRPr="00CE59F0">
        <w:t>activiteiten</w:t>
      </w:r>
      <w:r>
        <w:t xml:space="preserve"> in de MVZ</w:t>
      </w:r>
      <w:r w:rsidRPr="00CE59F0">
        <w:t xml:space="preserve"> worden ingeperkt. </w:t>
      </w:r>
      <w:r w:rsidRPr="00CC72DA">
        <w:rPr>
          <w:lang w:val="en-US"/>
        </w:rPr>
        <w:t>‘Activities of financial intermediation, insurance and reinsurance, as well as ‘intra- group services’, namely coordination, treasury and distribution centres’</w:t>
      </w:r>
      <w:r w:rsidRPr="00CE59F0">
        <w:rPr>
          <w:rStyle w:val="FootnoteReference"/>
          <w:rFonts w:cs="Arial"/>
        </w:rPr>
        <w:footnoteReference w:id="385"/>
      </w:r>
      <w:r w:rsidRPr="00CC72DA">
        <w:rPr>
          <w:lang w:val="en-US"/>
        </w:rPr>
        <w:t xml:space="preserve">, werden uitgesloten.  </w:t>
      </w:r>
      <w:r w:rsidRPr="00CE59F0">
        <w:t>Onderstaand figuur illustreert de uitgesloten activiteiten van de economische zone van de Nederlandse Antillen</w:t>
      </w:r>
      <w:r w:rsidRPr="00CE59F0">
        <w:rPr>
          <w:rStyle w:val="FootnoteReference"/>
          <w:rFonts w:cs="Arial"/>
        </w:rPr>
        <w:footnoteReference w:id="386"/>
      </w:r>
      <w:r w:rsidRPr="00CE59F0">
        <w:t xml:space="preserve"> enerzijds en de vrije zone van Madeira anderzijds.</w:t>
      </w:r>
    </w:p>
    <w:p w:rsidR="00A64945" w:rsidRDefault="00A64945" w:rsidP="005B28D4">
      <w:pPr>
        <w:spacing w:after="0" w:line="360"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73"/>
        <w:gridCol w:w="4615"/>
      </w:tblGrid>
      <w:tr w:rsidR="00A64945" w:rsidRPr="00370243" w:rsidTr="001932AC">
        <w:trPr>
          <w:trHeight w:val="514"/>
        </w:trPr>
        <w:tc>
          <w:tcPr>
            <w:tcW w:w="9576" w:type="dxa"/>
            <w:gridSpan w:val="2"/>
          </w:tcPr>
          <w:p w:rsidR="00A64945" w:rsidRPr="00370243" w:rsidRDefault="00A64945" w:rsidP="001932AC">
            <w:pPr>
              <w:spacing w:after="0" w:line="360" w:lineRule="auto"/>
              <w:ind w:left="108"/>
              <w:jc w:val="both"/>
            </w:pPr>
            <w:r w:rsidRPr="00370243">
              <w:rPr>
                <w:b/>
              </w:rPr>
              <w:t>Nederlands Antilliaanse uitgesloten economische zoneactiviteiten (o.b.v. art. 1, lid 2 LEZ 2000) zijn:</w:t>
            </w:r>
            <w:r w:rsidRPr="00370243">
              <w:t xml:space="preserve"> </w:t>
            </w:r>
            <w:r w:rsidRPr="00370243">
              <w:rPr>
                <w:i/>
              </w:rPr>
              <w:t>‘(…) financiële dienstverlening, royalty- betalingen, verzekerings- en herverzekerings- activiteiten, daaronder  mede begrepen diensten ten zake van het optreden van als directie van vennootschappen, wier statutaire zetel of feitelijke leiding in de Nederlandse Antillen gevestigd is en andere dienstverlening terzake van het trustbedrijf, alsmede dienstverlening van notarissen, advocaten, openbare accountants, fiscale adviseurs en aanverwante dienstverlening’</w:t>
            </w:r>
            <w:r w:rsidRPr="00370243">
              <w:t>.</w:t>
            </w:r>
          </w:p>
        </w:tc>
      </w:tr>
      <w:tr w:rsidR="00A64945" w:rsidRPr="00EB6055" w:rsidTr="001932AC">
        <w:trPr>
          <w:trHeight w:val="477"/>
        </w:trPr>
        <w:tc>
          <w:tcPr>
            <w:tcW w:w="9576" w:type="dxa"/>
            <w:gridSpan w:val="2"/>
          </w:tcPr>
          <w:p w:rsidR="00A64945" w:rsidRDefault="00A64945" w:rsidP="001932AC">
            <w:pPr>
              <w:spacing w:after="0" w:line="360" w:lineRule="auto"/>
              <w:ind w:left="108"/>
              <w:jc w:val="both"/>
              <w:rPr>
                <w:lang w:val="en-US"/>
              </w:rPr>
            </w:pPr>
            <w:r w:rsidRPr="00370243">
              <w:rPr>
                <w:b/>
                <w:lang w:val="en-US"/>
              </w:rPr>
              <w:t xml:space="preserve">Madeirese uitgesloten vrije zoneactiviteiten (o.b.v. art. 34, lid 8 </w:t>
            </w:r>
            <w:r w:rsidRPr="00370243">
              <w:rPr>
                <w:b/>
                <w:i/>
                <w:lang w:val="en-US"/>
              </w:rPr>
              <w:t>‘Tax Incentives Statute’</w:t>
            </w:r>
            <w:r w:rsidRPr="00370243">
              <w:rPr>
                <w:b/>
                <w:lang w:val="en-US"/>
              </w:rPr>
              <w:t>) zijn:</w:t>
            </w:r>
            <w:r w:rsidRPr="00370243">
              <w:rPr>
                <w:lang w:val="en-US"/>
              </w:rPr>
              <w:t xml:space="preserve"> </w:t>
            </w:r>
            <w:r w:rsidRPr="00370243">
              <w:rPr>
                <w:i/>
                <w:lang w:val="en-US"/>
              </w:rPr>
              <w:t>‘activities of financial mediation, insurance and reinsurance, as well as intra- group services, namely coordination, treasury and distribution centres’</w:t>
            </w:r>
            <w:r w:rsidRPr="00370243">
              <w:rPr>
                <w:lang w:val="en-US"/>
              </w:rPr>
              <w:t>.</w:t>
            </w:r>
          </w:p>
          <w:p w:rsidR="00A64945" w:rsidRPr="00370243" w:rsidRDefault="00A64945" w:rsidP="001932AC">
            <w:pPr>
              <w:spacing w:after="0" w:line="360" w:lineRule="auto"/>
              <w:ind w:left="108"/>
              <w:jc w:val="both"/>
              <w:rPr>
                <w:lang w:val="en-US"/>
              </w:rPr>
            </w:pPr>
          </w:p>
        </w:tc>
      </w:tr>
      <w:tr w:rsidR="00A64945" w:rsidRPr="00370243" w:rsidTr="001932AC">
        <w:tblPrEx>
          <w:tblLook w:val="00A0"/>
        </w:tblPrEx>
        <w:tc>
          <w:tcPr>
            <w:tcW w:w="4788" w:type="dxa"/>
          </w:tcPr>
          <w:p w:rsidR="00A64945" w:rsidRPr="00370243" w:rsidRDefault="00A64945" w:rsidP="001932AC">
            <w:pPr>
              <w:spacing w:after="0" w:line="360" w:lineRule="auto"/>
              <w:jc w:val="both"/>
              <w:rPr>
                <w:b/>
                <w:lang w:val="en-US"/>
              </w:rPr>
            </w:pPr>
            <w:r w:rsidRPr="00370243">
              <w:rPr>
                <w:b/>
                <w:lang w:val="en-US"/>
              </w:rPr>
              <w:t>Nederlandse Antillen</w:t>
            </w:r>
          </w:p>
        </w:tc>
        <w:tc>
          <w:tcPr>
            <w:tcW w:w="4788" w:type="dxa"/>
          </w:tcPr>
          <w:p w:rsidR="00A64945" w:rsidRPr="00370243" w:rsidRDefault="00A64945" w:rsidP="001932AC">
            <w:pPr>
              <w:spacing w:after="0" w:line="360" w:lineRule="auto"/>
              <w:jc w:val="both"/>
              <w:rPr>
                <w:b/>
                <w:lang w:val="en-US"/>
              </w:rPr>
            </w:pPr>
            <w:r w:rsidRPr="00370243">
              <w:rPr>
                <w:b/>
                <w:lang w:val="en-US"/>
              </w:rPr>
              <w:t>Madeira</w:t>
            </w:r>
          </w:p>
        </w:tc>
      </w:tr>
      <w:tr w:rsidR="00A64945" w:rsidRPr="00EB6055" w:rsidTr="001932AC">
        <w:tblPrEx>
          <w:tblLook w:val="00A0"/>
        </w:tblPrEx>
        <w:tc>
          <w:tcPr>
            <w:tcW w:w="4788" w:type="dxa"/>
          </w:tcPr>
          <w:p w:rsidR="00A64945" w:rsidRPr="00370243" w:rsidRDefault="00A64945" w:rsidP="001932AC">
            <w:pPr>
              <w:spacing w:after="0" w:line="360" w:lineRule="auto"/>
              <w:jc w:val="both"/>
              <w:rPr>
                <w:lang w:val="en-US"/>
              </w:rPr>
            </w:pPr>
            <w:r w:rsidRPr="00370243">
              <w:rPr>
                <w:lang w:val="en-US"/>
              </w:rPr>
              <w:t>-Financiële dienstverlening</w:t>
            </w:r>
          </w:p>
        </w:tc>
        <w:tc>
          <w:tcPr>
            <w:tcW w:w="4788" w:type="dxa"/>
          </w:tcPr>
          <w:p w:rsidR="00A64945" w:rsidRPr="00370243" w:rsidRDefault="00A64945" w:rsidP="001932AC">
            <w:pPr>
              <w:spacing w:after="0" w:line="360" w:lineRule="auto"/>
              <w:jc w:val="both"/>
              <w:rPr>
                <w:lang w:val="en-US"/>
              </w:rPr>
            </w:pPr>
            <w:r w:rsidRPr="00370243">
              <w:rPr>
                <w:lang w:val="en-US"/>
              </w:rPr>
              <w:t>-Activities of financial intermediation</w:t>
            </w:r>
          </w:p>
          <w:p w:rsidR="00A64945" w:rsidRPr="00370243" w:rsidRDefault="00A64945" w:rsidP="001932AC">
            <w:pPr>
              <w:spacing w:after="0" w:line="360" w:lineRule="auto"/>
              <w:jc w:val="both"/>
              <w:rPr>
                <w:lang w:val="en-US"/>
              </w:rPr>
            </w:pPr>
            <w:r w:rsidRPr="00370243">
              <w:rPr>
                <w:lang w:val="en-US"/>
              </w:rPr>
              <w:t>-Intra- group services, namely treasury centres</w:t>
            </w:r>
          </w:p>
        </w:tc>
      </w:tr>
      <w:tr w:rsidR="00A64945" w:rsidRPr="00370243" w:rsidTr="001932AC">
        <w:tblPrEx>
          <w:tblLook w:val="00A0"/>
        </w:tblPrEx>
        <w:tc>
          <w:tcPr>
            <w:tcW w:w="4788" w:type="dxa"/>
          </w:tcPr>
          <w:p w:rsidR="00A64945" w:rsidRPr="00370243" w:rsidRDefault="00A64945" w:rsidP="001932AC">
            <w:pPr>
              <w:spacing w:after="0" w:line="360" w:lineRule="auto"/>
              <w:jc w:val="both"/>
              <w:rPr>
                <w:lang w:val="en-US"/>
              </w:rPr>
            </w:pPr>
            <w:r w:rsidRPr="00370243">
              <w:rPr>
                <w:lang w:val="en-US"/>
              </w:rPr>
              <w:t>-Royaltybetalingen</w:t>
            </w:r>
          </w:p>
        </w:tc>
        <w:tc>
          <w:tcPr>
            <w:tcW w:w="4788" w:type="dxa"/>
          </w:tcPr>
          <w:p w:rsidR="00A64945" w:rsidRPr="00370243" w:rsidRDefault="00A64945" w:rsidP="001932AC">
            <w:pPr>
              <w:spacing w:after="0" w:line="360" w:lineRule="auto"/>
              <w:jc w:val="both"/>
              <w:rPr>
                <w:lang w:val="en-US"/>
              </w:rPr>
            </w:pPr>
            <w:r w:rsidRPr="00370243">
              <w:rPr>
                <w:lang w:val="en-US"/>
              </w:rPr>
              <w:t>-Niet gespecificeerd</w:t>
            </w:r>
          </w:p>
        </w:tc>
      </w:tr>
      <w:tr w:rsidR="00A64945" w:rsidRPr="00EB6055" w:rsidTr="001932AC">
        <w:tblPrEx>
          <w:tblLook w:val="00A0"/>
        </w:tblPrEx>
        <w:tc>
          <w:tcPr>
            <w:tcW w:w="4788" w:type="dxa"/>
          </w:tcPr>
          <w:p w:rsidR="00A64945" w:rsidRPr="00370243" w:rsidRDefault="00A64945" w:rsidP="001932AC">
            <w:pPr>
              <w:spacing w:after="0" w:line="360" w:lineRule="auto"/>
              <w:jc w:val="both"/>
              <w:rPr>
                <w:lang w:val="en-US"/>
              </w:rPr>
            </w:pPr>
            <w:r w:rsidRPr="00370243">
              <w:rPr>
                <w:lang w:val="en-US"/>
              </w:rPr>
              <w:t>-Verzekerings- en herverzekeringsactiviteiten</w:t>
            </w:r>
          </w:p>
        </w:tc>
        <w:tc>
          <w:tcPr>
            <w:tcW w:w="4788" w:type="dxa"/>
          </w:tcPr>
          <w:p w:rsidR="00A64945" w:rsidRPr="00370243" w:rsidRDefault="00A64945" w:rsidP="001932AC">
            <w:pPr>
              <w:spacing w:after="0" w:line="360" w:lineRule="auto"/>
              <w:jc w:val="both"/>
              <w:rPr>
                <w:lang w:val="en-US"/>
              </w:rPr>
            </w:pPr>
            <w:r w:rsidRPr="00370243">
              <w:rPr>
                <w:lang w:val="en-US"/>
              </w:rPr>
              <w:t>-Activities of insurance and reinsurance</w:t>
            </w:r>
          </w:p>
        </w:tc>
      </w:tr>
      <w:tr w:rsidR="00A64945" w:rsidRPr="00370243" w:rsidTr="001932AC">
        <w:tblPrEx>
          <w:tblLook w:val="00A0"/>
        </w:tblPrEx>
        <w:tc>
          <w:tcPr>
            <w:tcW w:w="4788" w:type="dxa"/>
          </w:tcPr>
          <w:p w:rsidR="00A64945" w:rsidRPr="00370243" w:rsidRDefault="00A64945" w:rsidP="001932AC">
            <w:pPr>
              <w:spacing w:after="0" w:line="360" w:lineRule="auto"/>
              <w:jc w:val="both"/>
            </w:pPr>
            <w:r w:rsidRPr="00370243">
              <w:t>-Dienstverlening van notarissen, advocaten, openbare accountants, fiscale adviseurs en aanverwante dienstverlening.</w:t>
            </w:r>
          </w:p>
        </w:tc>
        <w:tc>
          <w:tcPr>
            <w:tcW w:w="4788" w:type="dxa"/>
          </w:tcPr>
          <w:p w:rsidR="00A64945" w:rsidRPr="00370243" w:rsidRDefault="00A64945" w:rsidP="001932AC">
            <w:pPr>
              <w:spacing w:after="0" w:line="360" w:lineRule="auto"/>
              <w:jc w:val="both"/>
              <w:rPr>
                <w:lang w:val="en-US"/>
              </w:rPr>
            </w:pPr>
            <w:r w:rsidRPr="00370243">
              <w:rPr>
                <w:lang w:val="en-US"/>
              </w:rPr>
              <w:t>-Niet uitgesloten. ‘Coordination and distribution centres’ wel.</w:t>
            </w:r>
          </w:p>
        </w:tc>
      </w:tr>
    </w:tbl>
    <w:p w:rsidR="00A64945" w:rsidRPr="00EE1865" w:rsidRDefault="00A64945" w:rsidP="005B28D4">
      <w:pPr>
        <w:spacing w:after="0" w:line="360" w:lineRule="auto"/>
        <w:rPr>
          <w:sz w:val="20"/>
          <w:szCs w:val="20"/>
        </w:rPr>
      </w:pPr>
      <w:r w:rsidRPr="00C153AE">
        <w:rPr>
          <w:sz w:val="20"/>
          <w:szCs w:val="20"/>
        </w:rPr>
        <w:t xml:space="preserve">Figuur  3.3: Uitgesloten activiteiten economische/vrije zones </w:t>
      </w:r>
      <w:r>
        <w:rPr>
          <w:sz w:val="20"/>
          <w:szCs w:val="20"/>
        </w:rPr>
        <w:t>Nederlandse Antillen en Madeira</w:t>
      </w:r>
    </w:p>
    <w:p w:rsidR="00A64945" w:rsidRDefault="00A64945" w:rsidP="005B28D4">
      <w:pPr>
        <w:spacing w:after="0" w:line="360" w:lineRule="auto"/>
        <w:jc w:val="both"/>
        <w:rPr>
          <w:rFonts w:cs="EUAlbertina"/>
        </w:rPr>
      </w:pPr>
    </w:p>
    <w:p w:rsidR="00A64945" w:rsidRPr="00386BB3" w:rsidRDefault="00A64945" w:rsidP="005B28D4">
      <w:pPr>
        <w:spacing w:after="0" w:line="360" w:lineRule="auto"/>
        <w:jc w:val="both"/>
      </w:pPr>
      <w:r>
        <w:rPr>
          <w:rFonts w:cs="EUAlbertina"/>
        </w:rPr>
        <w:t>Door deze ontwikkelingen in de EU werden nieuwe afspraken gemaakt met Portugal. Dit resulteerde in de</w:t>
      </w:r>
      <w:r w:rsidRPr="00161D71">
        <w:rPr>
          <w:rFonts w:cs="EUAlbertina"/>
        </w:rPr>
        <w:t xml:space="preserve"> </w:t>
      </w:r>
      <w:r w:rsidRPr="00161D71">
        <w:rPr>
          <w:rFonts w:cs="EUAlbertina"/>
          <w:i/>
        </w:rPr>
        <w:t>‘Tax Reform Act of 2000’</w:t>
      </w:r>
      <w:r>
        <w:rPr>
          <w:rFonts w:cs="EUAlbertina"/>
        </w:rPr>
        <w:t>. De</w:t>
      </w:r>
      <w:r w:rsidRPr="00161D71">
        <w:rPr>
          <w:rFonts w:cs="EUAlbertina"/>
        </w:rPr>
        <w:t xml:space="preserve"> </w:t>
      </w:r>
      <w:r w:rsidRPr="00161D71">
        <w:rPr>
          <w:rFonts w:cs="EUAlbertina"/>
          <w:i/>
        </w:rPr>
        <w:t>‘Tax Reform Act of 2000’</w:t>
      </w:r>
      <w:r>
        <w:rPr>
          <w:rFonts w:cs="EUAlbertina"/>
          <w:i/>
        </w:rPr>
        <w:t xml:space="preserve"> </w:t>
      </w:r>
      <w:r w:rsidRPr="00161D71">
        <w:rPr>
          <w:rFonts w:cs="EUAlbertina"/>
        </w:rPr>
        <w:t>die door de EC aan het einde van 2002 werd goedgekeurd</w:t>
      </w:r>
      <w:r>
        <w:rPr>
          <w:rFonts w:cs="EUAlbertina"/>
        </w:rPr>
        <w:t>,</w:t>
      </w:r>
      <w:r w:rsidRPr="00161D71">
        <w:rPr>
          <w:rFonts w:cs="EUAlbertina"/>
        </w:rPr>
        <w:t xml:space="preserve"> maakte het voor ondernemingen die zich na 2000 in de Madeirese </w:t>
      </w:r>
      <w:r>
        <w:rPr>
          <w:rFonts w:cs="EUAlbertina"/>
        </w:rPr>
        <w:t>v</w:t>
      </w:r>
      <w:r w:rsidRPr="00161D71">
        <w:rPr>
          <w:rFonts w:cs="EUAlbertina"/>
        </w:rPr>
        <w:t xml:space="preserve">rije </w:t>
      </w:r>
      <w:r>
        <w:rPr>
          <w:rFonts w:cs="EUAlbertina"/>
        </w:rPr>
        <w:t>z</w:t>
      </w:r>
      <w:r w:rsidRPr="00161D71">
        <w:rPr>
          <w:rFonts w:cs="EUAlbertina"/>
        </w:rPr>
        <w:t xml:space="preserve">one </w:t>
      </w:r>
      <w:r w:rsidRPr="00161D71">
        <w:rPr>
          <w:rFonts w:cs="EUAlbertina"/>
        </w:rPr>
        <w:lastRenderedPageBreak/>
        <w:t>vestigden</w:t>
      </w:r>
      <w:r>
        <w:rPr>
          <w:rFonts w:cs="EUAlbertina"/>
        </w:rPr>
        <w:t xml:space="preserve"> mogelijk om onder fiscaal aantrekkelijke voorwaarden activiteiten te ontplooien in de MVZ</w:t>
      </w:r>
      <w:r w:rsidRPr="00386BB3">
        <w:rPr>
          <w:rFonts w:cs="EUAlbertina"/>
        </w:rPr>
        <w:t xml:space="preserve">. </w:t>
      </w:r>
      <w:r>
        <w:rPr>
          <w:rFonts w:cs="EUAlbertina"/>
        </w:rPr>
        <w:t>Van volledige vrijstelling in de winstbelasting voor ondernemingen die vanuit de MVZ opereerden,  was dus geen sprake meer, maar o</w:t>
      </w:r>
      <w:r w:rsidRPr="00386BB3">
        <w:rPr>
          <w:rFonts w:cs="EUAlbertina"/>
        </w:rPr>
        <w:t xml:space="preserve">ndernemingen die zich onder het nieuwe regime in de </w:t>
      </w:r>
      <w:r>
        <w:rPr>
          <w:rFonts w:cs="EUAlbertina"/>
        </w:rPr>
        <w:t>MVZ</w:t>
      </w:r>
      <w:r w:rsidRPr="00386BB3">
        <w:rPr>
          <w:rFonts w:cs="EUAlbertina"/>
        </w:rPr>
        <w:t xml:space="preserve"> vestigden, genoten van een verlaag</w:t>
      </w:r>
      <w:r>
        <w:rPr>
          <w:rFonts w:cs="EUAlbertina"/>
        </w:rPr>
        <w:t>d</w:t>
      </w:r>
      <w:r w:rsidRPr="00386BB3">
        <w:rPr>
          <w:rFonts w:cs="EUAlbertina"/>
        </w:rPr>
        <w:t xml:space="preserve"> </w:t>
      </w:r>
      <w:r>
        <w:rPr>
          <w:rFonts w:cs="EUAlbertina"/>
        </w:rPr>
        <w:t>winst</w:t>
      </w:r>
      <w:r w:rsidRPr="00386BB3">
        <w:rPr>
          <w:rFonts w:cs="EUAlbertina"/>
        </w:rPr>
        <w:t>belastingtarief van 1</w:t>
      </w:r>
      <w:r>
        <w:t>% in 2003 en 2004, 2% in 2005 en 2</w:t>
      </w:r>
      <w:r w:rsidRPr="00386BB3">
        <w:t xml:space="preserve">006 </w:t>
      </w:r>
      <w:r>
        <w:t>en</w:t>
      </w:r>
      <w:r w:rsidRPr="00386BB3">
        <w:t xml:space="preserve"> 3% in </w:t>
      </w:r>
      <w:r>
        <w:t xml:space="preserve">de periode van 2007 tot en met </w:t>
      </w:r>
      <w:r w:rsidRPr="00386BB3">
        <w:t xml:space="preserve">2011 in plaats van het </w:t>
      </w:r>
      <w:r>
        <w:t>reguliere</w:t>
      </w:r>
      <w:r w:rsidRPr="00386BB3">
        <w:t xml:space="preserve"> </w:t>
      </w:r>
      <w:r>
        <w:t>Portugese winstbelasting</w:t>
      </w:r>
      <w:r w:rsidRPr="00386BB3">
        <w:t>tarief.</w:t>
      </w:r>
    </w:p>
    <w:p w:rsidR="00A64945" w:rsidRPr="00386BB3" w:rsidRDefault="00A64945" w:rsidP="005B28D4">
      <w:pPr>
        <w:pStyle w:val="5normal"/>
        <w:spacing w:before="0" w:beforeAutospacing="0" w:after="0" w:afterAutospacing="0" w:line="360" w:lineRule="auto"/>
        <w:jc w:val="both"/>
        <w:rPr>
          <w:rFonts w:ascii="Calibri" w:hAnsi="Calibri"/>
          <w:sz w:val="22"/>
          <w:szCs w:val="22"/>
          <w:lang w:val="nl-NL"/>
        </w:rPr>
      </w:pPr>
      <w:r w:rsidRPr="00981A4D">
        <w:rPr>
          <w:rFonts w:ascii="Calibri" w:hAnsi="Calibri" w:cs="Arial"/>
          <w:sz w:val="22"/>
          <w:szCs w:val="22"/>
          <w:lang w:val="nl-NL"/>
        </w:rPr>
        <w:t xml:space="preserve">Hanteerde de EC aan het einde van de vorige eeuw </w:t>
      </w:r>
      <w:r>
        <w:rPr>
          <w:rFonts w:ascii="Calibri" w:hAnsi="Calibri" w:cs="Arial"/>
          <w:sz w:val="22"/>
          <w:szCs w:val="22"/>
          <w:lang w:val="nl-NL"/>
        </w:rPr>
        <w:t>naar aanleiding van de strijd tegen schadelijke belastingconcurrentie nog een strenge</w:t>
      </w:r>
      <w:r w:rsidRPr="00981A4D">
        <w:rPr>
          <w:rFonts w:ascii="Calibri" w:hAnsi="Calibri" w:cs="Arial"/>
          <w:sz w:val="22"/>
          <w:szCs w:val="22"/>
          <w:lang w:val="nl-NL"/>
        </w:rPr>
        <w:t xml:space="preserve"> benadering ten aanzien van de verenigbaarheid van staatssteunma</w:t>
      </w:r>
      <w:r>
        <w:rPr>
          <w:rFonts w:ascii="Calibri" w:hAnsi="Calibri" w:cs="Arial"/>
          <w:sz w:val="22"/>
          <w:szCs w:val="22"/>
          <w:lang w:val="nl-NL"/>
        </w:rPr>
        <w:t xml:space="preserve">atregelen met de interne markt, in 2007 kan enigszins een keerpunt in deze benadering geconstateerd worden. In dat jaar </w:t>
      </w:r>
      <w:r w:rsidRPr="00981A4D">
        <w:rPr>
          <w:rFonts w:ascii="Calibri" w:hAnsi="Calibri" w:cs="Arial"/>
          <w:sz w:val="22"/>
          <w:szCs w:val="22"/>
          <w:lang w:val="nl-NL"/>
        </w:rPr>
        <w:t xml:space="preserve">keurde de EC </w:t>
      </w:r>
      <w:r w:rsidRPr="00981A4D">
        <w:rPr>
          <w:rFonts w:ascii="Calibri" w:hAnsi="Calibri"/>
          <w:sz w:val="22"/>
          <w:szCs w:val="22"/>
          <w:lang w:val="nl-NL"/>
        </w:rPr>
        <w:t>een regeling goed die voorziet in belastingsverminderingen ter grootte van</w:t>
      </w:r>
      <w:r>
        <w:rPr>
          <w:rFonts w:ascii="Calibri" w:hAnsi="Calibri"/>
          <w:sz w:val="22"/>
          <w:szCs w:val="22"/>
          <w:lang w:val="nl-NL"/>
        </w:rPr>
        <w:t xml:space="preserve"> in totaal</w:t>
      </w:r>
      <w:r w:rsidRPr="00981A4D">
        <w:rPr>
          <w:rFonts w:ascii="Calibri" w:hAnsi="Calibri"/>
          <w:sz w:val="22"/>
          <w:szCs w:val="22"/>
          <w:lang w:val="nl-NL"/>
        </w:rPr>
        <w:t xml:space="preserve"> € 300 miljoen</w:t>
      </w:r>
      <w:r>
        <w:rPr>
          <w:rStyle w:val="FootnoteReference"/>
          <w:rFonts w:ascii="Calibri" w:hAnsi="Calibri"/>
          <w:sz w:val="22"/>
          <w:szCs w:val="22"/>
          <w:lang w:val="nl-NL"/>
        </w:rPr>
        <w:footnoteReference w:id="387"/>
      </w:r>
      <w:r w:rsidRPr="00981A4D">
        <w:rPr>
          <w:rFonts w:ascii="Calibri" w:hAnsi="Calibri"/>
          <w:sz w:val="22"/>
          <w:szCs w:val="22"/>
          <w:lang w:val="nl-NL"/>
        </w:rPr>
        <w:t xml:space="preserve"> tot 2020 voor bedrijven die zich tussen 2007 en 2013 vestig</w:t>
      </w:r>
      <w:r>
        <w:rPr>
          <w:rFonts w:ascii="Calibri" w:hAnsi="Calibri"/>
          <w:sz w:val="22"/>
          <w:szCs w:val="22"/>
          <w:lang w:val="nl-NL"/>
        </w:rPr>
        <w:t>(d)</w:t>
      </w:r>
      <w:r w:rsidRPr="00981A4D">
        <w:rPr>
          <w:rFonts w:ascii="Calibri" w:hAnsi="Calibri"/>
          <w:sz w:val="22"/>
          <w:szCs w:val="22"/>
          <w:lang w:val="nl-NL"/>
        </w:rPr>
        <w:t xml:space="preserve">en in de vrije zone van Madeira. </w:t>
      </w:r>
      <w:r>
        <w:rPr>
          <w:rFonts w:ascii="Calibri" w:hAnsi="Calibri"/>
          <w:sz w:val="22"/>
          <w:szCs w:val="22"/>
          <w:lang w:val="nl-NL"/>
        </w:rPr>
        <w:t xml:space="preserve">De aanleiding hiertoe bevond zich </w:t>
      </w:r>
      <w:r w:rsidRPr="00981A4D">
        <w:rPr>
          <w:rFonts w:ascii="Calibri" w:hAnsi="Calibri" w:cs="Arial"/>
          <w:sz w:val="22"/>
          <w:szCs w:val="22"/>
          <w:lang w:val="nl-NL"/>
        </w:rPr>
        <w:t>wederom</w:t>
      </w:r>
      <w:r>
        <w:rPr>
          <w:rFonts w:ascii="Calibri" w:hAnsi="Calibri" w:cs="Arial"/>
          <w:sz w:val="22"/>
          <w:szCs w:val="22"/>
          <w:lang w:val="nl-NL"/>
        </w:rPr>
        <w:t>,</w:t>
      </w:r>
      <w:r>
        <w:rPr>
          <w:rFonts w:ascii="Calibri" w:hAnsi="Calibri"/>
          <w:sz w:val="22"/>
          <w:szCs w:val="22"/>
          <w:lang w:val="nl-NL"/>
        </w:rPr>
        <w:t xml:space="preserve"> zoals dat ook in principe toen de EC bij toetreding van Portugal tot de EU het vrije zoneregime van Madeira gedoogde het geval was, in de </w:t>
      </w:r>
      <w:r w:rsidRPr="00981A4D">
        <w:rPr>
          <w:rFonts w:ascii="Calibri" w:hAnsi="Calibri"/>
          <w:sz w:val="22"/>
          <w:szCs w:val="22"/>
          <w:lang w:val="nl-NL"/>
        </w:rPr>
        <w:t>staatssteunregels die voortvloeien uit het VwEU</w:t>
      </w:r>
      <w:r>
        <w:rPr>
          <w:rFonts w:ascii="Calibri" w:hAnsi="Calibri"/>
          <w:sz w:val="22"/>
          <w:szCs w:val="22"/>
          <w:lang w:val="nl-NL"/>
        </w:rPr>
        <w:t>.</w:t>
      </w:r>
      <w:r w:rsidRPr="00981A4D">
        <w:rPr>
          <w:rFonts w:ascii="Calibri" w:hAnsi="Calibri"/>
          <w:sz w:val="22"/>
          <w:szCs w:val="22"/>
          <w:lang w:val="nl-NL"/>
        </w:rPr>
        <w:t xml:space="preserve"> </w:t>
      </w:r>
    </w:p>
    <w:p w:rsidR="00A64945" w:rsidRDefault="00A64945" w:rsidP="005B28D4">
      <w:pPr>
        <w:spacing w:after="0" w:line="360" w:lineRule="auto"/>
        <w:jc w:val="both"/>
      </w:pPr>
    </w:p>
    <w:p w:rsidR="00A64945" w:rsidRPr="00386BB3" w:rsidRDefault="00A64945" w:rsidP="005B28D4">
      <w:pPr>
        <w:spacing w:after="0" w:line="360" w:lineRule="auto"/>
        <w:jc w:val="both"/>
      </w:pPr>
      <w:r w:rsidRPr="00386BB3">
        <w:t xml:space="preserve">De in 2007 toegekende steun is bedoeld om de regionale ontwikkeling in </w:t>
      </w:r>
      <w:bookmarkStart w:id="126" w:name="cchit6"/>
      <w:bookmarkEnd w:id="126"/>
      <w:r w:rsidRPr="00386BB3">
        <w:t>M</w:t>
      </w:r>
      <w:r w:rsidRPr="00386BB3">
        <w:rPr>
          <w:rStyle w:val="cchit"/>
          <w:rFonts w:cs="Arial"/>
        </w:rPr>
        <w:t>adeira</w:t>
      </w:r>
      <w:r w:rsidRPr="00386BB3">
        <w:t xml:space="preserve"> te bevorderen door in dit ultraperifere gebied gevestigde bedrijven in staat te stellen hun structurele belemmeringen te overwinnen.</w:t>
      </w:r>
      <w:r w:rsidRPr="00386BB3">
        <w:rPr>
          <w:rStyle w:val="FootnoteReference"/>
          <w:rFonts w:cs="Arial"/>
        </w:rPr>
        <w:footnoteReference w:id="388"/>
      </w:r>
    </w:p>
    <w:p w:rsidR="00A64945" w:rsidRPr="00D03C90" w:rsidRDefault="00A64945" w:rsidP="005B28D4">
      <w:pPr>
        <w:pStyle w:val="5normal"/>
        <w:spacing w:before="0" w:beforeAutospacing="0" w:after="0" w:afterAutospacing="0" w:line="360" w:lineRule="auto"/>
        <w:jc w:val="both"/>
        <w:rPr>
          <w:rFonts w:ascii="Calibri" w:hAnsi="Calibri"/>
          <w:sz w:val="22"/>
          <w:szCs w:val="22"/>
          <w:lang w:val="nl-NL"/>
        </w:rPr>
      </w:pPr>
      <w:r>
        <w:rPr>
          <w:rFonts w:ascii="Calibri" w:hAnsi="Calibri"/>
          <w:sz w:val="22"/>
          <w:szCs w:val="22"/>
          <w:lang w:val="nl-NL"/>
        </w:rPr>
        <w:t xml:space="preserve">Volgens </w:t>
      </w:r>
      <w:r w:rsidRPr="00D03C90">
        <w:rPr>
          <w:rFonts w:ascii="Calibri" w:hAnsi="Calibri"/>
          <w:sz w:val="22"/>
          <w:szCs w:val="22"/>
          <w:lang w:val="nl-NL"/>
        </w:rPr>
        <w:t xml:space="preserve">EU- Commissaris Neelie Kroes </w:t>
      </w:r>
      <w:r>
        <w:rPr>
          <w:rFonts w:ascii="Calibri" w:hAnsi="Calibri"/>
          <w:sz w:val="22"/>
          <w:szCs w:val="22"/>
          <w:lang w:val="nl-NL"/>
        </w:rPr>
        <w:t>zal</w:t>
      </w:r>
      <w:r w:rsidRPr="00D03C90">
        <w:rPr>
          <w:rFonts w:ascii="Calibri" w:hAnsi="Calibri"/>
          <w:sz w:val="22"/>
          <w:szCs w:val="22"/>
          <w:lang w:val="nl-NL"/>
        </w:rPr>
        <w:t xml:space="preserve">: </w:t>
      </w:r>
      <w:r w:rsidRPr="00D24936">
        <w:rPr>
          <w:rFonts w:ascii="Calibri" w:hAnsi="Calibri"/>
          <w:i/>
          <w:sz w:val="22"/>
          <w:szCs w:val="22"/>
          <w:lang w:val="nl-NL"/>
        </w:rPr>
        <w:t>‘ de aan Madeira toegekende steun bijdragen aan het aantrekken van investeringen en economische activiteiten naar Madeira, de cohesie binnen de EU ondersteunende en ook de regionale ontwikkeling in deze UPG’</w:t>
      </w:r>
      <w:r w:rsidRPr="00D03C90">
        <w:rPr>
          <w:rFonts w:ascii="Calibri" w:hAnsi="Calibri"/>
          <w:sz w:val="22"/>
          <w:szCs w:val="22"/>
          <w:lang w:val="nl-NL"/>
        </w:rPr>
        <w:t xml:space="preserve">. </w:t>
      </w:r>
    </w:p>
    <w:p w:rsidR="00A64945" w:rsidRPr="00E13615" w:rsidRDefault="00A64945" w:rsidP="005B28D4">
      <w:pPr>
        <w:pStyle w:val="5normal"/>
        <w:spacing w:before="0" w:beforeAutospacing="0" w:after="0" w:afterAutospacing="0" w:line="360" w:lineRule="auto"/>
        <w:jc w:val="both"/>
        <w:rPr>
          <w:rFonts w:ascii="Calibri" w:hAnsi="Calibri"/>
          <w:sz w:val="22"/>
          <w:szCs w:val="22"/>
          <w:lang w:val="nl-NL"/>
        </w:rPr>
      </w:pPr>
      <w:r>
        <w:rPr>
          <w:rFonts w:ascii="Calibri" w:hAnsi="Calibri"/>
          <w:sz w:val="22"/>
          <w:szCs w:val="22"/>
          <w:lang w:val="nl-NL"/>
        </w:rPr>
        <w:t>De</w:t>
      </w:r>
      <w:r w:rsidRPr="00D03C90">
        <w:rPr>
          <w:rFonts w:ascii="Calibri" w:hAnsi="Calibri"/>
          <w:sz w:val="22"/>
          <w:szCs w:val="22"/>
          <w:lang w:val="nl-NL"/>
        </w:rPr>
        <w:t xml:space="preserve"> ondernemingen die tussen 1 januari 2007 en 31 december 2013 een vergunning </w:t>
      </w:r>
      <w:r>
        <w:rPr>
          <w:rFonts w:ascii="Calibri" w:hAnsi="Calibri"/>
          <w:sz w:val="22"/>
          <w:szCs w:val="22"/>
          <w:lang w:val="nl-NL"/>
        </w:rPr>
        <w:t>verkregen/verkrijgen</w:t>
      </w:r>
      <w:r w:rsidRPr="00D03C90">
        <w:rPr>
          <w:rFonts w:ascii="Calibri" w:hAnsi="Calibri"/>
          <w:sz w:val="22"/>
          <w:szCs w:val="22"/>
          <w:lang w:val="nl-NL"/>
        </w:rPr>
        <w:t xml:space="preserve"> om activiteiten in de </w:t>
      </w:r>
      <w:r>
        <w:rPr>
          <w:rFonts w:ascii="Calibri" w:hAnsi="Calibri"/>
          <w:sz w:val="22"/>
          <w:szCs w:val="22"/>
          <w:lang w:val="nl-NL"/>
        </w:rPr>
        <w:t>MVZ</w:t>
      </w:r>
      <w:r w:rsidRPr="00D03C90">
        <w:rPr>
          <w:rFonts w:ascii="Calibri" w:hAnsi="Calibri"/>
          <w:sz w:val="22"/>
          <w:szCs w:val="22"/>
          <w:lang w:val="nl-NL"/>
        </w:rPr>
        <w:t xml:space="preserve"> te ontplooien</w:t>
      </w:r>
      <w:r>
        <w:rPr>
          <w:rFonts w:ascii="Calibri" w:hAnsi="Calibri"/>
          <w:sz w:val="22"/>
          <w:szCs w:val="22"/>
          <w:lang w:val="nl-NL"/>
        </w:rPr>
        <w:t>,</w:t>
      </w:r>
      <w:r w:rsidRPr="00D03C90">
        <w:rPr>
          <w:rFonts w:ascii="Calibri" w:hAnsi="Calibri"/>
          <w:sz w:val="22"/>
          <w:szCs w:val="22"/>
          <w:lang w:val="nl-NL"/>
        </w:rPr>
        <w:t xml:space="preserve"> </w:t>
      </w:r>
      <w:r>
        <w:rPr>
          <w:rFonts w:ascii="Calibri" w:hAnsi="Calibri"/>
          <w:sz w:val="22"/>
          <w:szCs w:val="22"/>
          <w:lang w:val="nl-NL"/>
        </w:rPr>
        <w:t>(</w:t>
      </w:r>
      <w:r w:rsidRPr="00D03C90">
        <w:rPr>
          <w:rFonts w:ascii="Calibri" w:hAnsi="Calibri"/>
          <w:sz w:val="22"/>
          <w:szCs w:val="22"/>
          <w:lang w:val="nl-NL"/>
        </w:rPr>
        <w:t>zullen</w:t>
      </w:r>
      <w:r>
        <w:rPr>
          <w:rFonts w:ascii="Calibri" w:hAnsi="Calibri"/>
          <w:sz w:val="22"/>
          <w:szCs w:val="22"/>
          <w:lang w:val="nl-NL"/>
        </w:rPr>
        <w:t>)</w:t>
      </w:r>
      <w:r w:rsidRPr="00D03C90">
        <w:rPr>
          <w:rFonts w:ascii="Calibri" w:hAnsi="Calibri"/>
          <w:sz w:val="22"/>
          <w:szCs w:val="22"/>
          <w:lang w:val="nl-NL"/>
        </w:rPr>
        <w:t xml:space="preserve"> profite</w:t>
      </w:r>
      <w:r>
        <w:rPr>
          <w:rFonts w:ascii="Calibri" w:hAnsi="Calibri"/>
          <w:sz w:val="22"/>
          <w:szCs w:val="22"/>
          <w:lang w:val="nl-NL"/>
        </w:rPr>
        <w:t>(e)</w:t>
      </w:r>
      <w:r w:rsidRPr="00D03C90">
        <w:rPr>
          <w:rFonts w:ascii="Calibri" w:hAnsi="Calibri"/>
          <w:sz w:val="22"/>
          <w:szCs w:val="22"/>
          <w:lang w:val="nl-NL"/>
        </w:rPr>
        <w:t>r</w:t>
      </w:r>
      <w:r>
        <w:rPr>
          <w:rFonts w:ascii="Calibri" w:hAnsi="Calibri"/>
          <w:sz w:val="22"/>
          <w:szCs w:val="22"/>
          <w:lang w:val="nl-NL"/>
        </w:rPr>
        <w:t>(d)</w:t>
      </w:r>
      <w:r w:rsidRPr="00D03C90">
        <w:rPr>
          <w:rFonts w:ascii="Calibri" w:hAnsi="Calibri"/>
          <w:sz w:val="22"/>
          <w:szCs w:val="22"/>
          <w:lang w:val="nl-NL"/>
        </w:rPr>
        <w:t xml:space="preserve">en van een verlaagd </w:t>
      </w:r>
      <w:r>
        <w:rPr>
          <w:rFonts w:ascii="Calibri" w:hAnsi="Calibri"/>
          <w:sz w:val="22"/>
          <w:szCs w:val="22"/>
          <w:lang w:val="nl-NL"/>
        </w:rPr>
        <w:t>winst</w:t>
      </w:r>
      <w:r w:rsidRPr="00D03C90">
        <w:rPr>
          <w:rFonts w:ascii="Calibri" w:hAnsi="Calibri"/>
          <w:sz w:val="22"/>
          <w:szCs w:val="22"/>
          <w:lang w:val="nl-NL"/>
        </w:rPr>
        <w:t xml:space="preserve">belastingtarief van 3% in </w:t>
      </w:r>
      <w:r>
        <w:rPr>
          <w:rFonts w:ascii="Calibri" w:hAnsi="Calibri"/>
          <w:sz w:val="22"/>
          <w:szCs w:val="22"/>
          <w:lang w:val="nl-NL"/>
        </w:rPr>
        <w:t xml:space="preserve">de periode 2007 t/m </w:t>
      </w:r>
      <w:r w:rsidRPr="00D03C90">
        <w:rPr>
          <w:rFonts w:ascii="Calibri" w:hAnsi="Calibri"/>
          <w:sz w:val="22"/>
          <w:szCs w:val="22"/>
          <w:lang w:val="nl-NL"/>
        </w:rPr>
        <w:t xml:space="preserve">2009, 4% in </w:t>
      </w:r>
      <w:r>
        <w:rPr>
          <w:rFonts w:ascii="Calibri" w:hAnsi="Calibri"/>
          <w:sz w:val="22"/>
          <w:szCs w:val="22"/>
          <w:lang w:val="nl-NL"/>
        </w:rPr>
        <w:t>de periode 2010 t/m</w:t>
      </w:r>
      <w:r w:rsidRPr="00D03C90">
        <w:rPr>
          <w:rFonts w:ascii="Calibri" w:hAnsi="Calibri"/>
          <w:sz w:val="22"/>
          <w:szCs w:val="22"/>
          <w:lang w:val="nl-NL"/>
        </w:rPr>
        <w:t xml:space="preserve"> 2012 </w:t>
      </w:r>
      <w:r>
        <w:rPr>
          <w:rFonts w:ascii="Calibri" w:hAnsi="Calibri"/>
          <w:sz w:val="22"/>
          <w:szCs w:val="22"/>
          <w:lang w:val="nl-NL"/>
        </w:rPr>
        <w:t>en</w:t>
      </w:r>
      <w:r w:rsidRPr="00D03C90">
        <w:rPr>
          <w:rFonts w:ascii="Calibri" w:hAnsi="Calibri"/>
          <w:sz w:val="22"/>
          <w:szCs w:val="22"/>
          <w:lang w:val="nl-NL"/>
        </w:rPr>
        <w:t xml:space="preserve"> 5% in </w:t>
      </w:r>
      <w:r>
        <w:rPr>
          <w:rFonts w:ascii="Calibri" w:hAnsi="Calibri"/>
          <w:sz w:val="22"/>
          <w:szCs w:val="22"/>
          <w:lang w:val="nl-NL"/>
        </w:rPr>
        <w:t xml:space="preserve">de periode </w:t>
      </w:r>
      <w:r w:rsidRPr="00D03C90">
        <w:rPr>
          <w:rFonts w:ascii="Calibri" w:hAnsi="Calibri"/>
          <w:sz w:val="22"/>
          <w:szCs w:val="22"/>
          <w:lang w:val="nl-NL"/>
        </w:rPr>
        <w:t>201</w:t>
      </w:r>
      <w:r>
        <w:rPr>
          <w:rFonts w:ascii="Calibri" w:hAnsi="Calibri"/>
          <w:sz w:val="22"/>
          <w:szCs w:val="22"/>
          <w:lang w:val="nl-NL"/>
        </w:rPr>
        <w:t xml:space="preserve">3 t/m </w:t>
      </w:r>
      <w:r w:rsidRPr="00D03C90">
        <w:rPr>
          <w:rFonts w:ascii="Calibri" w:hAnsi="Calibri"/>
          <w:sz w:val="22"/>
          <w:szCs w:val="22"/>
          <w:lang w:val="nl-NL"/>
        </w:rPr>
        <w:t>2020.</w:t>
      </w:r>
      <w:r>
        <w:rPr>
          <w:rFonts w:ascii="Calibri" w:hAnsi="Calibri"/>
          <w:sz w:val="22"/>
          <w:szCs w:val="22"/>
          <w:lang w:val="nl-NL"/>
        </w:rPr>
        <w:t xml:space="preserve"> Voor de ondernemingen die vóór 1 januari 2007 toe waren getreden tot de MVZ, blijft het regime zoals dat onder de </w:t>
      </w:r>
      <w:r w:rsidRPr="00E13615">
        <w:rPr>
          <w:rFonts w:cs="EUAlbertina"/>
          <w:i/>
          <w:lang w:val="nl-NL"/>
        </w:rPr>
        <w:t>‘</w:t>
      </w:r>
      <w:r w:rsidRPr="00E13615">
        <w:rPr>
          <w:rFonts w:ascii="Calibri" w:hAnsi="Calibri" w:cs="EUAlbertina"/>
          <w:i/>
          <w:sz w:val="22"/>
          <w:szCs w:val="22"/>
          <w:lang w:val="nl-NL"/>
        </w:rPr>
        <w:t>Tax Reform Act of 2000’</w:t>
      </w:r>
      <w:r>
        <w:rPr>
          <w:rFonts w:ascii="Calibri" w:hAnsi="Calibri" w:cs="EUAlbertina"/>
          <w:i/>
          <w:sz w:val="22"/>
          <w:szCs w:val="22"/>
          <w:lang w:val="nl-NL"/>
        </w:rPr>
        <w:t xml:space="preserve"> </w:t>
      </w:r>
      <w:r>
        <w:rPr>
          <w:rFonts w:ascii="Calibri" w:hAnsi="Calibri" w:cs="EUAlbertina"/>
          <w:sz w:val="22"/>
          <w:szCs w:val="22"/>
          <w:lang w:val="nl-NL"/>
        </w:rPr>
        <w:t>tot stand was gekomen van toepassing, dat wil zeggen dat voor deze ondernemingen die hiervoor genoemde winstbelastingpercentages van toepassing blijven. Dat regime is van toepassing tot en met eind 2011.</w:t>
      </w:r>
    </w:p>
    <w:p w:rsidR="00A64945" w:rsidRDefault="00A64945" w:rsidP="005B28D4">
      <w:pPr>
        <w:pStyle w:val="5normal"/>
        <w:spacing w:before="0" w:beforeAutospacing="0" w:after="0" w:afterAutospacing="0" w:line="360" w:lineRule="auto"/>
        <w:jc w:val="both"/>
        <w:rPr>
          <w:rFonts w:ascii="Calibri" w:hAnsi="Calibri"/>
          <w:sz w:val="22"/>
          <w:szCs w:val="22"/>
          <w:lang w:val="nl-NL"/>
        </w:rPr>
      </w:pPr>
    </w:p>
    <w:p w:rsidR="00A64945" w:rsidRDefault="00A64945" w:rsidP="005B28D4">
      <w:pPr>
        <w:pStyle w:val="5normal"/>
        <w:spacing w:before="0" w:beforeAutospacing="0" w:after="0" w:afterAutospacing="0" w:line="360" w:lineRule="auto"/>
        <w:jc w:val="both"/>
        <w:rPr>
          <w:rFonts w:ascii="Calibri" w:hAnsi="Calibri"/>
          <w:sz w:val="22"/>
          <w:szCs w:val="22"/>
          <w:lang w:val="nl-NL"/>
        </w:rPr>
      </w:pPr>
      <w:r w:rsidRPr="00705DDA">
        <w:rPr>
          <w:rFonts w:ascii="Calibri" w:hAnsi="Calibri"/>
          <w:sz w:val="22"/>
          <w:szCs w:val="22"/>
          <w:lang w:val="nl-NL"/>
        </w:rPr>
        <w:lastRenderedPageBreak/>
        <w:t xml:space="preserve">Toegang tot </w:t>
      </w:r>
      <w:r>
        <w:rPr>
          <w:rFonts w:ascii="Calibri" w:hAnsi="Calibri"/>
          <w:sz w:val="22"/>
          <w:szCs w:val="22"/>
          <w:lang w:val="nl-NL"/>
        </w:rPr>
        <w:t xml:space="preserve">de regeling zoals dat in 2007 tot stand is gekomen, </w:t>
      </w:r>
      <w:r w:rsidRPr="00705DDA">
        <w:rPr>
          <w:rFonts w:ascii="Calibri" w:hAnsi="Calibri"/>
          <w:sz w:val="22"/>
          <w:szCs w:val="22"/>
          <w:lang w:val="nl-NL"/>
        </w:rPr>
        <w:t xml:space="preserve">zal enkel worden verschaft aan ondernemingen die voldoen aan </w:t>
      </w:r>
      <w:r>
        <w:rPr>
          <w:rFonts w:ascii="Calibri" w:hAnsi="Calibri"/>
          <w:sz w:val="22"/>
          <w:szCs w:val="22"/>
          <w:lang w:val="nl-NL"/>
        </w:rPr>
        <w:t>specifieke</w:t>
      </w:r>
      <w:r w:rsidRPr="00705DDA">
        <w:rPr>
          <w:rFonts w:ascii="Calibri" w:hAnsi="Calibri"/>
          <w:sz w:val="22"/>
          <w:szCs w:val="22"/>
          <w:lang w:val="nl-NL"/>
        </w:rPr>
        <w:t xml:space="preserve"> voorwaarden</w:t>
      </w:r>
      <w:r>
        <w:rPr>
          <w:rFonts w:ascii="Calibri" w:hAnsi="Calibri"/>
          <w:sz w:val="22"/>
          <w:szCs w:val="22"/>
          <w:lang w:val="nl-NL"/>
        </w:rPr>
        <w:t>. De omvang van de steun waar een vrije zoneonderneming onder dit regime voor in aanmerking komt, wordt afhankelijk gesteld van de hoeveelheid werkplaatsen dat dergelijke vrije zoneonderneming door toetreding tot de MVZ kan creëren.</w:t>
      </w:r>
      <w:r w:rsidRPr="00705DDA">
        <w:rPr>
          <w:rFonts w:ascii="Calibri" w:hAnsi="Calibri"/>
          <w:sz w:val="22"/>
          <w:szCs w:val="22"/>
          <w:lang w:val="nl-NL"/>
        </w:rPr>
        <w:t xml:space="preserve"> De </w:t>
      </w:r>
      <w:r>
        <w:rPr>
          <w:rFonts w:ascii="Calibri" w:hAnsi="Calibri"/>
          <w:sz w:val="22"/>
          <w:szCs w:val="22"/>
          <w:lang w:val="nl-NL"/>
        </w:rPr>
        <w:t xml:space="preserve">omvang van de </w:t>
      </w:r>
      <w:r w:rsidRPr="00705DDA">
        <w:rPr>
          <w:rFonts w:ascii="Calibri" w:hAnsi="Calibri"/>
          <w:sz w:val="22"/>
          <w:szCs w:val="22"/>
          <w:lang w:val="nl-NL"/>
        </w:rPr>
        <w:t>fisca</w:t>
      </w:r>
      <w:r>
        <w:rPr>
          <w:rFonts w:ascii="Calibri" w:hAnsi="Calibri"/>
          <w:sz w:val="22"/>
          <w:szCs w:val="22"/>
          <w:lang w:val="nl-NL"/>
        </w:rPr>
        <w:t>a</w:t>
      </w:r>
      <w:r w:rsidRPr="00705DDA">
        <w:rPr>
          <w:rFonts w:ascii="Calibri" w:hAnsi="Calibri"/>
          <w:sz w:val="22"/>
          <w:szCs w:val="22"/>
          <w:lang w:val="nl-NL"/>
        </w:rPr>
        <w:t>l</w:t>
      </w:r>
      <w:r>
        <w:rPr>
          <w:rFonts w:ascii="Calibri" w:hAnsi="Calibri"/>
          <w:sz w:val="22"/>
          <w:szCs w:val="22"/>
          <w:lang w:val="nl-NL"/>
        </w:rPr>
        <w:t xml:space="preserve"> te genieten</w:t>
      </w:r>
      <w:r w:rsidRPr="00705DDA">
        <w:rPr>
          <w:rFonts w:ascii="Calibri" w:hAnsi="Calibri"/>
          <w:sz w:val="22"/>
          <w:szCs w:val="22"/>
          <w:lang w:val="nl-NL"/>
        </w:rPr>
        <w:t xml:space="preserve"> voordelen </w:t>
      </w:r>
      <w:r>
        <w:rPr>
          <w:rFonts w:ascii="Calibri" w:hAnsi="Calibri"/>
          <w:sz w:val="22"/>
          <w:szCs w:val="22"/>
          <w:lang w:val="nl-NL"/>
        </w:rPr>
        <w:t>wordt</w:t>
      </w:r>
      <w:r w:rsidRPr="00705DDA">
        <w:rPr>
          <w:rFonts w:ascii="Calibri" w:hAnsi="Calibri"/>
          <w:sz w:val="22"/>
          <w:szCs w:val="22"/>
          <w:lang w:val="nl-NL"/>
        </w:rPr>
        <w:t xml:space="preserve"> </w:t>
      </w:r>
      <w:r>
        <w:rPr>
          <w:rFonts w:ascii="Calibri" w:hAnsi="Calibri"/>
          <w:sz w:val="22"/>
          <w:szCs w:val="22"/>
          <w:lang w:val="nl-NL"/>
        </w:rPr>
        <w:t>beperkt</w:t>
      </w:r>
      <w:r w:rsidRPr="00705DDA">
        <w:rPr>
          <w:rFonts w:ascii="Calibri" w:hAnsi="Calibri"/>
          <w:sz w:val="22"/>
          <w:szCs w:val="22"/>
          <w:lang w:val="nl-NL"/>
        </w:rPr>
        <w:t xml:space="preserve"> door een fiscaal plafond </w:t>
      </w:r>
      <w:r>
        <w:rPr>
          <w:rFonts w:ascii="Calibri" w:hAnsi="Calibri"/>
          <w:sz w:val="22"/>
          <w:szCs w:val="22"/>
          <w:lang w:val="nl-NL"/>
        </w:rPr>
        <w:t xml:space="preserve">te verbinden aan de belastbare grondslag van een onderneming </w:t>
      </w:r>
      <w:r w:rsidRPr="00705DDA">
        <w:rPr>
          <w:rFonts w:ascii="Calibri" w:hAnsi="Calibri"/>
          <w:sz w:val="22"/>
          <w:szCs w:val="22"/>
          <w:lang w:val="nl-NL"/>
        </w:rPr>
        <w:t>variërende van 2 miljoen euro</w:t>
      </w:r>
      <w:r>
        <w:rPr>
          <w:rStyle w:val="FootnoteReference"/>
          <w:rFonts w:ascii="Calibri" w:hAnsi="Calibri"/>
          <w:sz w:val="22"/>
          <w:szCs w:val="22"/>
          <w:lang w:val="nl-NL"/>
        </w:rPr>
        <w:footnoteReference w:id="389"/>
      </w:r>
      <w:r w:rsidRPr="00705DDA">
        <w:rPr>
          <w:rFonts w:ascii="Calibri" w:hAnsi="Calibri"/>
          <w:sz w:val="22"/>
          <w:szCs w:val="22"/>
          <w:lang w:val="nl-NL"/>
        </w:rPr>
        <w:t xml:space="preserve"> </w:t>
      </w:r>
      <w:r>
        <w:rPr>
          <w:rFonts w:ascii="Calibri" w:hAnsi="Calibri"/>
          <w:sz w:val="22"/>
          <w:szCs w:val="22"/>
          <w:lang w:val="nl-NL"/>
        </w:rPr>
        <w:t>tot 150 miljoen.</w:t>
      </w:r>
      <w:r>
        <w:rPr>
          <w:rStyle w:val="FootnoteReference"/>
          <w:rFonts w:ascii="Calibri" w:hAnsi="Calibri"/>
          <w:sz w:val="22"/>
          <w:szCs w:val="22"/>
          <w:lang w:val="nl-NL"/>
        </w:rPr>
        <w:footnoteReference w:id="390"/>
      </w:r>
      <w:r>
        <w:rPr>
          <w:rFonts w:ascii="Calibri" w:hAnsi="Calibri"/>
          <w:sz w:val="22"/>
          <w:szCs w:val="22"/>
          <w:lang w:val="nl-NL"/>
        </w:rPr>
        <w:t xml:space="preserve"> </w:t>
      </w:r>
      <w:r w:rsidRPr="00705DDA">
        <w:rPr>
          <w:rFonts w:ascii="Calibri" w:hAnsi="Calibri"/>
          <w:sz w:val="22"/>
          <w:szCs w:val="22"/>
          <w:lang w:val="nl-NL"/>
        </w:rPr>
        <w:t xml:space="preserve">Toegang tot de </w:t>
      </w:r>
      <w:r>
        <w:rPr>
          <w:rFonts w:ascii="Calibri" w:hAnsi="Calibri"/>
          <w:sz w:val="22"/>
          <w:szCs w:val="22"/>
          <w:lang w:val="nl-NL"/>
        </w:rPr>
        <w:t>MVZ</w:t>
      </w:r>
      <w:r w:rsidRPr="00705DDA">
        <w:rPr>
          <w:rFonts w:ascii="Calibri" w:hAnsi="Calibri"/>
          <w:sz w:val="22"/>
          <w:szCs w:val="22"/>
          <w:lang w:val="nl-NL"/>
        </w:rPr>
        <w:t xml:space="preserve"> is beperkt tot bepaalde activiteiten</w:t>
      </w:r>
      <w:r>
        <w:rPr>
          <w:rFonts w:ascii="Calibri" w:hAnsi="Calibri"/>
          <w:sz w:val="22"/>
          <w:szCs w:val="22"/>
          <w:lang w:val="nl-NL"/>
        </w:rPr>
        <w:t xml:space="preserve">. Om welke activiteiten het gaat, is bepaald door de Portugese autoriteiten en gebaseerd op de zogenoemde ‘statistische classificatie van economische activiteiten’ in de EU. </w:t>
      </w:r>
      <w:r w:rsidRPr="00386BB3">
        <w:rPr>
          <w:rFonts w:ascii="Calibri" w:hAnsi="Calibri"/>
          <w:sz w:val="22"/>
          <w:szCs w:val="22"/>
          <w:lang w:val="nl-NL"/>
        </w:rPr>
        <w:t>In navolging van het voormalige regime</w:t>
      </w:r>
      <w:r>
        <w:rPr>
          <w:rStyle w:val="FootnoteReference"/>
          <w:rFonts w:ascii="Calibri" w:hAnsi="Calibri"/>
          <w:sz w:val="22"/>
          <w:szCs w:val="22"/>
          <w:lang w:val="nl-NL"/>
        </w:rPr>
        <w:footnoteReference w:id="391"/>
      </w:r>
      <w:r w:rsidRPr="00386BB3">
        <w:rPr>
          <w:rFonts w:ascii="Calibri" w:hAnsi="Calibri"/>
          <w:sz w:val="22"/>
          <w:szCs w:val="22"/>
          <w:lang w:val="nl-NL"/>
        </w:rPr>
        <w:t xml:space="preserve"> zijn ‘financial and insurance intermediary activities’, ‘financial and insurance auxiliary activities’ en ‘intra-group services’</w:t>
      </w:r>
      <w:r>
        <w:rPr>
          <w:rFonts w:ascii="Calibri" w:hAnsi="Calibri"/>
          <w:sz w:val="22"/>
          <w:szCs w:val="22"/>
          <w:lang w:val="nl-NL"/>
        </w:rPr>
        <w:t xml:space="preserve"> (</w:t>
      </w:r>
      <w:r w:rsidRPr="00386BB3">
        <w:rPr>
          <w:rFonts w:ascii="Calibri" w:hAnsi="Calibri"/>
          <w:sz w:val="22"/>
          <w:szCs w:val="22"/>
          <w:lang w:val="nl-NL"/>
        </w:rPr>
        <w:t>daaronder valt te versta</w:t>
      </w:r>
      <w:r>
        <w:rPr>
          <w:rFonts w:ascii="Calibri" w:hAnsi="Calibri"/>
          <w:sz w:val="22"/>
          <w:szCs w:val="22"/>
          <w:lang w:val="nl-NL"/>
        </w:rPr>
        <w:t>an ‘</w:t>
      </w:r>
      <w:r w:rsidRPr="00386BB3">
        <w:rPr>
          <w:rFonts w:ascii="Calibri" w:hAnsi="Calibri"/>
          <w:sz w:val="22"/>
          <w:szCs w:val="22"/>
          <w:lang w:val="nl-NL"/>
        </w:rPr>
        <w:t>coordination, accounting and distribution centres</w:t>
      </w:r>
      <w:r>
        <w:rPr>
          <w:rFonts w:ascii="Calibri" w:hAnsi="Calibri"/>
          <w:sz w:val="22"/>
          <w:szCs w:val="22"/>
          <w:lang w:val="nl-NL"/>
        </w:rPr>
        <w:t>’</w:t>
      </w:r>
      <w:r w:rsidRPr="00386BB3">
        <w:rPr>
          <w:rFonts w:ascii="Calibri" w:hAnsi="Calibri"/>
          <w:sz w:val="22"/>
          <w:szCs w:val="22"/>
          <w:lang w:val="nl-NL"/>
        </w:rPr>
        <w:t xml:space="preserve">) </w:t>
      </w:r>
      <w:r>
        <w:rPr>
          <w:rFonts w:ascii="Calibri" w:hAnsi="Calibri"/>
          <w:sz w:val="22"/>
          <w:szCs w:val="22"/>
          <w:lang w:val="nl-NL"/>
        </w:rPr>
        <w:t xml:space="preserve">ook onder de in 2007 toegekende steun </w:t>
      </w:r>
      <w:r w:rsidRPr="00386BB3">
        <w:rPr>
          <w:rFonts w:ascii="Calibri" w:hAnsi="Calibri"/>
          <w:sz w:val="22"/>
          <w:szCs w:val="22"/>
          <w:lang w:val="nl-NL"/>
        </w:rPr>
        <w:t xml:space="preserve">expliciet uitgesloten. </w:t>
      </w:r>
    </w:p>
    <w:p w:rsidR="00A64945" w:rsidRPr="0072320A" w:rsidRDefault="00A64945" w:rsidP="005B28D4">
      <w:pPr>
        <w:pStyle w:val="5normal"/>
        <w:spacing w:before="0" w:beforeAutospacing="0" w:after="0" w:afterAutospacing="0" w:line="360" w:lineRule="auto"/>
        <w:jc w:val="both"/>
        <w:rPr>
          <w:lang w:val="nl-NL"/>
        </w:rPr>
      </w:pPr>
      <w:r>
        <w:rPr>
          <w:rFonts w:ascii="Calibri" w:hAnsi="Calibri"/>
          <w:sz w:val="22"/>
          <w:szCs w:val="22"/>
          <w:lang w:val="nl-NL"/>
        </w:rPr>
        <w:t>De ontwikkelingen in Madeira als UPG met betrekking tot haar vrije zone die over de jaren sinds de toetreding van Portugal tot de EU hebben plaatsgevonden, worden in het hiernavolgende figuur met behulp van een tijdlijn samenvattend uiteengezet.</w:t>
      </w:r>
    </w:p>
    <w:p w:rsidR="00A64945" w:rsidRDefault="00A64945" w:rsidP="005B28D4"/>
    <w:p w:rsidR="00A64945" w:rsidRPr="003C53EF" w:rsidRDefault="00DA44D0" w:rsidP="005B28D4">
      <w:r>
        <w:rPr>
          <w:noProof/>
          <w:lang w:val="en-US"/>
        </w:rPr>
        <w:lastRenderedPageBreak/>
        <w:drawing>
          <wp:inline distT="0" distB="0" distL="0" distR="0">
            <wp:extent cx="5760720" cy="6565265"/>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srcRect/>
                    <a:stretch>
                      <a:fillRect/>
                    </a:stretch>
                  </pic:blipFill>
                  <pic:spPr bwMode="auto">
                    <a:xfrm>
                      <a:off x="0" y="0"/>
                      <a:ext cx="5760720" cy="6565265"/>
                    </a:xfrm>
                    <a:prstGeom prst="rect">
                      <a:avLst/>
                    </a:prstGeom>
                    <a:noFill/>
                    <a:ln w="9525">
                      <a:noFill/>
                      <a:miter lim="800000"/>
                      <a:headEnd/>
                      <a:tailEnd/>
                    </a:ln>
                  </pic:spPr>
                </pic:pic>
              </a:graphicData>
            </a:graphic>
          </wp:inline>
        </w:drawing>
      </w:r>
    </w:p>
    <w:p w:rsidR="00A64945" w:rsidRDefault="00A64945" w:rsidP="005B28D4">
      <w:pPr>
        <w:rPr>
          <w:sz w:val="20"/>
          <w:szCs w:val="20"/>
        </w:rPr>
      </w:pPr>
      <w:r w:rsidRPr="0092140C">
        <w:rPr>
          <w:sz w:val="20"/>
          <w:szCs w:val="20"/>
        </w:rPr>
        <w:t>Figuur</w:t>
      </w:r>
      <w:r>
        <w:rPr>
          <w:sz w:val="20"/>
          <w:szCs w:val="20"/>
        </w:rPr>
        <w:t xml:space="preserve"> 3.4:</w:t>
      </w:r>
      <w:r w:rsidRPr="0092140C">
        <w:rPr>
          <w:sz w:val="20"/>
          <w:szCs w:val="20"/>
        </w:rPr>
        <w:t xml:space="preserve"> Tijdlijn ontwikkelingen vrije zone van het UPG Madeira binnen de EU in de periode 1986 tot 2020</w:t>
      </w:r>
    </w:p>
    <w:p w:rsidR="00A64945" w:rsidRDefault="00A64945" w:rsidP="005B28D4">
      <w:pPr>
        <w:pStyle w:val="Heading3"/>
        <w:spacing w:before="0" w:line="360" w:lineRule="auto"/>
        <w:jc w:val="both"/>
      </w:pPr>
    </w:p>
    <w:p w:rsidR="00A64945" w:rsidRDefault="00A64945" w:rsidP="005B28D4">
      <w:pPr>
        <w:pStyle w:val="Heading3"/>
        <w:spacing w:before="0" w:line="360" w:lineRule="auto"/>
        <w:jc w:val="both"/>
      </w:pPr>
      <w:bookmarkStart w:id="127" w:name="_Toc299634327"/>
      <w:r>
        <w:t>§4.3.2. Toetsing fiscale faciliteiten E- Zone aan de voorwaarden van verboden staatssteun</w:t>
      </w:r>
      <w:bookmarkEnd w:id="127"/>
    </w:p>
    <w:p w:rsidR="00A64945" w:rsidRPr="00D53556" w:rsidRDefault="00A64945" w:rsidP="0019000F">
      <w:pPr>
        <w:spacing w:after="0" w:line="360" w:lineRule="auto"/>
        <w:jc w:val="both"/>
      </w:pPr>
      <w:r>
        <w:t xml:space="preserve">Om te bepalen of de fiscale faciliteiten die ten grondslag liggen aan de Curaçaose E- Zoneregime in overeenstemming zijn met de staatssteunregels, dient er een toetsing plaats te vinden van deze fiscale faciliteiten </w:t>
      </w:r>
      <w:r w:rsidRPr="00D53556">
        <w:t>aan de in §2.5</w:t>
      </w:r>
      <w:r>
        <w:t xml:space="preserve">.2. </w:t>
      </w:r>
      <w:r w:rsidRPr="00D53556">
        <w:t xml:space="preserve">genoemde </w:t>
      </w:r>
      <w:r>
        <w:t xml:space="preserve">cumulatieve </w:t>
      </w:r>
      <w:r w:rsidRPr="00D53556">
        <w:t>voorw</w:t>
      </w:r>
      <w:r>
        <w:t xml:space="preserve">aarden van verboden staatssteun </w:t>
      </w:r>
      <w:r w:rsidRPr="00D53556">
        <w:t>(art. 107, eerste lid VwEU)</w:t>
      </w:r>
      <w:r>
        <w:t xml:space="preserve">. Indien dit gedaan wordt, kan mijns inziens geconcludeerd worden dat de </w:t>
      </w:r>
      <w:r>
        <w:lastRenderedPageBreak/>
        <w:t xml:space="preserve">mogelijkheid dat de </w:t>
      </w:r>
      <w:r w:rsidRPr="00D53556">
        <w:t>Curaçaose E- Zone door de EC als een verboden</w:t>
      </w:r>
      <w:r>
        <w:rPr>
          <w:rStyle w:val="FootnoteReference"/>
          <w:rFonts w:cs="Arial"/>
        </w:rPr>
        <w:footnoteReference w:id="392"/>
      </w:r>
      <w:r w:rsidRPr="00D53556">
        <w:t xml:space="preserve"> staatssteunmaatregel zou kunnen worden aangemerkt</w:t>
      </w:r>
      <w:r>
        <w:t>, niet uitgesloten dient te worden</w:t>
      </w:r>
      <w:r w:rsidRPr="00D53556">
        <w:t xml:space="preserve">. Het </w:t>
      </w:r>
      <w:r>
        <w:t>Curaçaose E- Zoneregime behelst mijns inziens namelijk:</w:t>
      </w:r>
    </w:p>
    <w:p w:rsidR="00A64945" w:rsidRPr="00001067" w:rsidRDefault="00A64945" w:rsidP="0019000F">
      <w:pPr>
        <w:pStyle w:val="ListParagraph"/>
        <w:numPr>
          <w:ilvl w:val="0"/>
          <w:numId w:val="31"/>
        </w:numPr>
        <w:spacing w:after="0" w:line="360" w:lineRule="auto"/>
        <w:jc w:val="both"/>
      </w:pPr>
      <w:r w:rsidRPr="00001067">
        <w:t xml:space="preserve">een voordeel dat; </w:t>
      </w:r>
    </w:p>
    <w:p w:rsidR="00A64945" w:rsidRPr="00001067" w:rsidRDefault="00A64945" w:rsidP="0019000F">
      <w:pPr>
        <w:pStyle w:val="ListParagraph"/>
        <w:numPr>
          <w:ilvl w:val="0"/>
          <w:numId w:val="31"/>
        </w:numPr>
        <w:spacing w:after="0" w:line="360" w:lineRule="auto"/>
        <w:jc w:val="both"/>
      </w:pPr>
      <w:r w:rsidRPr="00001067">
        <w:t xml:space="preserve">met Curaçaose staatsmiddelen is bekostigd; </w:t>
      </w:r>
    </w:p>
    <w:p w:rsidR="00A64945" w:rsidRPr="00001067" w:rsidRDefault="00A64945" w:rsidP="0019000F">
      <w:pPr>
        <w:pStyle w:val="ListParagraph"/>
        <w:numPr>
          <w:ilvl w:val="0"/>
          <w:numId w:val="31"/>
        </w:numPr>
        <w:spacing w:after="0" w:line="360" w:lineRule="auto"/>
        <w:jc w:val="both"/>
      </w:pPr>
      <w:r w:rsidRPr="00001067">
        <w:t>de maatregel is specifiek</w:t>
      </w:r>
      <w:r>
        <w:t>;</w:t>
      </w:r>
      <w:r w:rsidRPr="00001067">
        <w:t xml:space="preserve"> </w:t>
      </w:r>
    </w:p>
    <w:p w:rsidR="00A64945" w:rsidRDefault="00A64945" w:rsidP="0019000F">
      <w:pPr>
        <w:pStyle w:val="ListParagraph"/>
        <w:numPr>
          <w:ilvl w:val="0"/>
          <w:numId w:val="31"/>
        </w:numPr>
        <w:spacing w:after="0" w:line="360" w:lineRule="auto"/>
        <w:jc w:val="both"/>
      </w:pPr>
      <w:r>
        <w:t>t</w:t>
      </w:r>
      <w:r w:rsidRPr="00001067">
        <w:t xml:space="preserve">enslotte </w:t>
      </w:r>
      <w:r>
        <w:t xml:space="preserve">kan ook het standpunt </w:t>
      </w:r>
      <w:r w:rsidRPr="00001067">
        <w:t xml:space="preserve">worden verdedigd dat de Curaçaose E- Zone de mededinging en het handelsverkeer in de EU ongunstig beïnvloedt. </w:t>
      </w:r>
    </w:p>
    <w:p w:rsidR="00A64945" w:rsidRPr="006D125C" w:rsidRDefault="00A64945" w:rsidP="0019000F">
      <w:pPr>
        <w:spacing w:after="0" w:line="360" w:lineRule="auto"/>
        <w:jc w:val="both"/>
        <w:rPr>
          <w:b/>
        </w:rPr>
      </w:pPr>
      <w:r>
        <w:t>De punten a. tot en met d. worden in de volgende subparagrafen toegelicht.</w:t>
      </w:r>
    </w:p>
    <w:p w:rsidR="00A64945" w:rsidRDefault="00A64945" w:rsidP="00484C31">
      <w:pPr>
        <w:pStyle w:val="Heading3"/>
        <w:spacing w:before="0" w:line="360" w:lineRule="auto"/>
        <w:jc w:val="both"/>
      </w:pPr>
    </w:p>
    <w:p w:rsidR="00A64945" w:rsidRDefault="00A64945" w:rsidP="003E64BD">
      <w:pPr>
        <w:pStyle w:val="Heading4"/>
      </w:pPr>
      <w:bookmarkStart w:id="128" w:name="_Toc299634328"/>
      <w:r>
        <w:t>§4.3.2.1. Een met Curaçaose staatsmiddelen bekostigd voordeel</w:t>
      </w:r>
      <w:bookmarkEnd w:id="128"/>
    </w:p>
    <w:p w:rsidR="00A64945" w:rsidRDefault="00A64945" w:rsidP="0019000F">
      <w:pPr>
        <w:spacing w:after="0" w:line="360" w:lineRule="auto"/>
        <w:jc w:val="both"/>
        <w:rPr>
          <w:b/>
        </w:rPr>
      </w:pPr>
    </w:p>
    <w:p w:rsidR="00A64945" w:rsidRDefault="00A64945" w:rsidP="0019000F">
      <w:pPr>
        <w:spacing w:after="0" w:line="360" w:lineRule="auto"/>
        <w:jc w:val="both"/>
      </w:pPr>
      <w:r>
        <w:rPr>
          <w:b/>
        </w:rPr>
        <w:t xml:space="preserve">Ad </w:t>
      </w:r>
      <w:r w:rsidRPr="006D125C">
        <w:rPr>
          <w:b/>
        </w:rPr>
        <w:t>a/b</w:t>
      </w:r>
      <w:r>
        <w:rPr>
          <w:b/>
        </w:rPr>
        <w:t>.</w:t>
      </w:r>
      <w:r w:rsidRPr="006D125C">
        <w:rPr>
          <w:b/>
        </w:rPr>
        <w:t xml:space="preserve"> →</w:t>
      </w:r>
      <w:r w:rsidRPr="00D53556">
        <w:tab/>
        <w:t xml:space="preserve">Doordat het Curaçaose E- Zoneregime op diverse belastingterreinen (in de omzetbelasting en wat betreft de invoerrechten en accijnzen bijvoorbeeld) vrijstellingen impliceert en het geldende winstbelastingtarief 2% in plaats van het reguliere </w:t>
      </w:r>
      <w:r>
        <w:t>34.5</w:t>
      </w:r>
      <w:r w:rsidRPr="00D53556">
        <w:t>% bedraagt, nemen de totale belastingopbrengsten voor Curaçao af.</w:t>
      </w:r>
      <w:r>
        <w:t xml:space="preserve"> De belastingplichtigen ondervinden voordeel van deze belastingmaatregel. Dat voordeel is indirect bekostigd met staatsmiddelen. Alhoewel de overheid feitelijk geen cent uitgeeft, voelt zij het wel in haar ‘portemonnee’. De opbrengsten van de schatkist zijn, door de door de overheid gedoogde belastingmaatregel, minder dan in het geval dat het </w:t>
      </w:r>
      <w:r>
        <w:lastRenderedPageBreak/>
        <w:t xml:space="preserve">reguliere winstbelastingtarief zou gelden, er geen vrijstellingen in o.a. de invoerrechten en accijnzen zouden gelden en er geen tegemoetkoming zou bestaan voor uit het buitenland aangetrokken ‘speciaal’ personeel. </w:t>
      </w:r>
    </w:p>
    <w:p w:rsidR="00A64945" w:rsidRDefault="00A64945" w:rsidP="00DE16C0">
      <w:pPr>
        <w:pStyle w:val="Heading4"/>
      </w:pPr>
      <w:bookmarkStart w:id="129" w:name="_Toc299634329"/>
      <w:r>
        <w:t>§4.3.2.2. Een specifieke belastingmaatregel</w:t>
      </w:r>
      <w:bookmarkEnd w:id="129"/>
    </w:p>
    <w:p w:rsidR="00A64945" w:rsidRDefault="00A64945" w:rsidP="00A52C9F">
      <w:pPr>
        <w:spacing w:after="0" w:line="360" w:lineRule="auto"/>
        <w:jc w:val="both"/>
        <w:rPr>
          <w:b/>
        </w:rPr>
      </w:pPr>
    </w:p>
    <w:p w:rsidR="00A64945" w:rsidRDefault="00A64945" w:rsidP="00D56406">
      <w:pPr>
        <w:spacing w:after="0" w:line="360" w:lineRule="auto"/>
        <w:jc w:val="both"/>
      </w:pPr>
      <w:r>
        <w:rPr>
          <w:b/>
        </w:rPr>
        <w:t xml:space="preserve">Ad </w:t>
      </w:r>
      <w:r w:rsidRPr="006D125C">
        <w:rPr>
          <w:b/>
        </w:rPr>
        <w:t>c</w:t>
      </w:r>
      <w:r>
        <w:rPr>
          <w:b/>
        </w:rPr>
        <w:t>.</w:t>
      </w:r>
      <w:r w:rsidRPr="006D125C">
        <w:rPr>
          <w:b/>
        </w:rPr>
        <w:t xml:space="preserve"> →</w:t>
      </w:r>
      <w:r>
        <w:t xml:space="preserve"> </w:t>
      </w:r>
      <w:r>
        <w:tab/>
        <w:t xml:space="preserve">Om toegelaten te worden tot een E- Zone, moet er aan een aantal specifieke voorwaarden zijn voldaan. In </w:t>
      </w:r>
      <w:r w:rsidRPr="00001067">
        <w:t xml:space="preserve">§3.2.5. </w:t>
      </w:r>
      <w:r>
        <w:t>zijn</w:t>
      </w:r>
      <w:r w:rsidRPr="00001067">
        <w:t xml:space="preserve"> de voorwaarden die gelden om toegelate</w:t>
      </w:r>
      <w:r>
        <w:t>n te worden tot een E- Zone ter sprake gekomen.</w:t>
      </w:r>
      <w:r w:rsidRPr="00D53556">
        <w:t xml:space="preserve"> </w:t>
      </w:r>
      <w:r>
        <w:t xml:space="preserve">De maatregel is dus selectief in de zin dat alleen ondernemingen die aan bepaalde voorwaarden voldoen, toegang hebben tot de E- Zone. </w:t>
      </w:r>
    </w:p>
    <w:p w:rsidR="00A64945" w:rsidRDefault="00A64945" w:rsidP="00D56406">
      <w:pPr>
        <w:spacing w:line="360" w:lineRule="auto"/>
        <w:jc w:val="both"/>
      </w:pPr>
      <w:r>
        <w:t>Bovendien is er wat betreft het E- Zoneregime in Curaçao wellicht sprake van zogenoemde ‘geografische selectiviteit’. Ook deze</w:t>
      </w:r>
      <w:r w:rsidRPr="00D53556">
        <w:t xml:space="preserve"> vorm van selectiviteit </w:t>
      </w:r>
      <w:r>
        <w:t>wordt</w:t>
      </w:r>
      <w:r w:rsidRPr="00D53556">
        <w:t xml:space="preserve"> als onverenigbaar met d</w:t>
      </w:r>
      <w:r>
        <w:t xml:space="preserve">e interne markt beschouwd met als gevolg dat zoals eerder in §2.5.2.1. aan de orde kwam, </w:t>
      </w:r>
      <w:r w:rsidRPr="00D53556">
        <w:t xml:space="preserve"> </w:t>
      </w:r>
      <w:r>
        <w:t xml:space="preserve">de </w:t>
      </w:r>
      <w:r w:rsidRPr="00D53556">
        <w:t>staatssteun dat resulteert in of bedraagt aan geografische selectiviteit ook verboden</w:t>
      </w:r>
      <w:r>
        <w:t xml:space="preserve"> is</w:t>
      </w:r>
      <w:r w:rsidRPr="00D53556">
        <w:t xml:space="preserve">. Het Curaçaose E- Zoneregime zou mijns inziens door de EC en/of  het HvJ EU als geografisch selectief kunnen worden aangemerkt (zie in dit kader ook § 2.5.2.1. inzake het arrest Portugal/Commissie (C-88/03)).  </w:t>
      </w:r>
      <w:r>
        <w:t xml:space="preserve">Zie in dit kader ook het in §4.3.3. uiteengezette. Aangezien er in Curaçao met betrekking tot de E- Zones naast selectiviteit naar type ondernemingen, ook nog mogelijk sprake is van geografische selectiviteit (selectiviteit naar regio), kan het staatssteunaspect dus op twee punten struikelen. Namelijk op het karakterlogische onderscheid (naar soort onderneming) als ook het onderscheid naar regio (geografische selectiviteit). </w:t>
      </w:r>
    </w:p>
    <w:p w:rsidR="00A64945" w:rsidRDefault="00A64945" w:rsidP="00484C31">
      <w:pPr>
        <w:pStyle w:val="Heading4"/>
      </w:pPr>
      <w:bookmarkStart w:id="130" w:name="_Toc299634330"/>
      <w:r>
        <w:t>§4.3.2.3. Het ongunstig beïnvloeden van</w:t>
      </w:r>
      <w:r w:rsidRPr="00001067">
        <w:t xml:space="preserve"> de mededinging en het handelsverkeer in de EU</w:t>
      </w:r>
      <w:bookmarkEnd w:id="130"/>
      <w:r w:rsidRPr="00001067">
        <w:t xml:space="preserve"> </w:t>
      </w:r>
    </w:p>
    <w:p w:rsidR="00A64945" w:rsidRDefault="00A64945" w:rsidP="00A52C9F">
      <w:pPr>
        <w:pStyle w:val="Heading3"/>
        <w:spacing w:before="0" w:line="360" w:lineRule="auto"/>
        <w:jc w:val="both"/>
      </w:pPr>
    </w:p>
    <w:p w:rsidR="00A64945" w:rsidRDefault="00A64945" w:rsidP="0019000F">
      <w:pPr>
        <w:spacing w:after="0" w:line="360" w:lineRule="auto"/>
        <w:jc w:val="both"/>
      </w:pPr>
      <w:r>
        <w:rPr>
          <w:b/>
        </w:rPr>
        <w:t>Ad</w:t>
      </w:r>
      <w:r w:rsidRPr="00001067">
        <w:rPr>
          <w:b/>
        </w:rPr>
        <w:t xml:space="preserve"> d</w:t>
      </w:r>
      <w:r>
        <w:rPr>
          <w:b/>
        </w:rPr>
        <w:t>.</w:t>
      </w:r>
      <w:r w:rsidRPr="00001067">
        <w:rPr>
          <w:b/>
        </w:rPr>
        <w:t xml:space="preserve"> →</w:t>
      </w:r>
      <w:r>
        <w:rPr>
          <w:b/>
        </w:rPr>
        <w:tab/>
      </w:r>
      <w:r w:rsidRPr="003767A4">
        <w:t>Een winstbelastingtarief van 2% tegenover het reguliere vennootschapsbelastingtarief</w:t>
      </w:r>
      <w:r>
        <w:t xml:space="preserve"> van bijvoorbeeld 25.5% in Nederland</w:t>
      </w:r>
      <w:r w:rsidRPr="003767A4">
        <w:t xml:space="preserve"> bewerkstelligd </w:t>
      </w:r>
      <w:r>
        <w:t xml:space="preserve">dat de vestigingsplaatskeuze voor investerende ondernemers al snel gemaakt kan zijn. De kern van de Curaçaose E- Zoneregeling is het feit dat de winst van E- Zonevennootschappen ‘slechts’ tegen 2% wordt belast. Met name dit relatief lage winstbelastingtarief is zeer aantrekkelijk voor buitenlandse ondernemers, maar ook de geldende vrijstellingen in de omzetbelasting en voor wat betreft de invoerrechten en accijnzen  maken van de Curaçaose E- Zone een lucratieve vestigingsplaats voor buitenlandse ondernemers. Dat kan binnen de EU als oneerlijke belastingconcurrentie worden ervaren. En het ongunstig beïnvloeden van de mededinging en het handelsverkeer binnen de EU is verboden. In het UPG Madeira geldt  met betrekking tot de MVZ momenteel een winstbelastingtarief van 3% voor ondernemingen die zich onder de zogenoemde ‘Tax Reform Act of 2000’  in de MVZ vestigden en een winstbelastingtarief van 4% voor de ondernemingen die vanaf 1 januari 2007 een </w:t>
      </w:r>
      <w:r>
        <w:lastRenderedPageBreak/>
        <w:t xml:space="preserve">vergunning verkregen om activiteiten in de MVZ te ontplooien (zie § 3.5.). Tot 2000 was dit winstbelastingtarief gelijk aan nihil. Na 2000 is het vrije zoneregime van het UPG Madeira tot twee maal herzien, waarbij de EC steunmaatregelen goedkeurde die een relatief laag winstbelastingtarief impliceerde. Dit deed de EC voor de eerste keer in 2002 en vervolgens in 2007. De EC hield, naar art. 107, derde lid , letter a VwEU voorschrijft, rekening met </w:t>
      </w:r>
      <w:r w:rsidRPr="00626A53">
        <w:t xml:space="preserve">de </w:t>
      </w:r>
      <w:r w:rsidRPr="00FD13FC">
        <w:rPr>
          <w:i/>
        </w:rPr>
        <w:t>structurele, economische en sociale situatie</w:t>
      </w:r>
      <w:r>
        <w:t xml:space="preserve"> van het UPG Madeira.  Dit is voor mij reden om aan te nemen dat de EC geen bezwaar zal hebben tegen het met betrekking tot de Curaçaose E- Zone geldende winstbelastingtarief van 2%. </w:t>
      </w:r>
    </w:p>
    <w:p w:rsidR="00A64945" w:rsidRDefault="00A64945" w:rsidP="0019000F">
      <w:pPr>
        <w:spacing w:after="0" w:line="360" w:lineRule="auto"/>
        <w:jc w:val="both"/>
      </w:pPr>
      <w:r>
        <w:t xml:space="preserve">Of de EC in het geval van het geldende winstbelastingtarief van 2% voor Curaçaose E- Zonebedrijven echter op overeenkomstige manier zal oordelen, kan niet met alle zekerheid gesteld worden. De EC is mijns inziens namelijk niet consistent in het van belang achtten van de aan art. 107, derde lid , letter a VwEU ten grondslag liggende beginselen; </w:t>
      </w:r>
      <w:r w:rsidRPr="00626A53">
        <w:t>de structurele, economische en sociale situatie</w:t>
      </w:r>
      <w:r>
        <w:t xml:space="preserve"> van UPG’s. Waar dit standpunt op gebaseerd is, licht ik in het hiernavolgende toe.</w:t>
      </w:r>
    </w:p>
    <w:p w:rsidR="00A64945" w:rsidRDefault="00A64945" w:rsidP="0019000F">
      <w:pPr>
        <w:spacing w:after="0" w:line="360" w:lineRule="auto"/>
        <w:jc w:val="both"/>
        <w:rPr>
          <w:b/>
          <w:i/>
          <w:sz w:val="20"/>
          <w:szCs w:val="20"/>
        </w:rPr>
      </w:pPr>
    </w:p>
    <w:p w:rsidR="00A64945" w:rsidRPr="00010A4C" w:rsidRDefault="00A64945" w:rsidP="0019000F">
      <w:pPr>
        <w:spacing w:after="0" w:line="360" w:lineRule="auto"/>
        <w:jc w:val="both"/>
        <w:rPr>
          <w:b/>
          <w:i/>
          <w:sz w:val="20"/>
          <w:szCs w:val="20"/>
        </w:rPr>
      </w:pPr>
      <w:r w:rsidRPr="00010A4C">
        <w:rPr>
          <w:b/>
          <w:i/>
          <w:sz w:val="20"/>
          <w:szCs w:val="20"/>
        </w:rPr>
        <w:t>Het belang van de sociale, economische en sociale positie van UPG’s</w:t>
      </w:r>
    </w:p>
    <w:p w:rsidR="00A64945" w:rsidRDefault="00A64945" w:rsidP="0019000F">
      <w:pPr>
        <w:spacing w:after="0" w:line="360" w:lineRule="auto"/>
        <w:jc w:val="both"/>
      </w:pPr>
      <w:r>
        <w:t xml:space="preserve">In het arrest Portugal/Commissie  </w:t>
      </w:r>
      <w:r w:rsidRPr="00D53556">
        <w:t>(C-88/03)</w:t>
      </w:r>
      <w:r>
        <w:rPr>
          <w:rStyle w:val="FootnoteReference"/>
        </w:rPr>
        <w:footnoteReference w:id="393"/>
      </w:r>
      <w:r>
        <w:t xml:space="preserve"> van september 2006 ging de EC bijvoorbeeld juist niet akkoord met de doorvoering van een verlaging van het inkomstenbelastingtarief (met 20%) en het vennootschapsbelastingtarief (met 30%) in de Azoren. De aanleiding voor het doorvoeren van deze tariefverlagingen was het aanpassen van het Portugese belastingstelsel aan de </w:t>
      </w:r>
      <w:r w:rsidRPr="004D21A8">
        <w:rPr>
          <w:i/>
        </w:rPr>
        <w:t>specifieke</w:t>
      </w:r>
      <w:r>
        <w:t xml:space="preserve"> kenmerken van de Azoren. De aard van deze belastingmaatregel was mijns inziens dan ook een steunmaatregel. Een steunmaatregel is, zoals eerder aan de orde kwam, niet per definitie verboden. Art. 107, derde lid, letter a VwEU zou mijns inziens in onderhavig geval dan ook wederom als rechtvaardiging voor het toestaan van een dergelijke belastingmaatregel door de EC gediend kunnen hebben. De belastingverlagingen zouden volgens de Portugese autoriteiten namelijk in het bijzonder bedoeld zijn als compensatie voor de ondernemingen die op de Azoren gevestigd waren en mogelijk als gevolg van hun vestiging in een insulaire en ultraperifere regio te kampen hadden met structurele handicaps. Daar waar de EC in dezelfde periode, in 2007, een regeling goedkeurde die verlaagde  winstbelastingtarieven voor ondernemingen die hun activiteiten in de Madeirese vrije zone ontplooien toestond, was de EC van oordeel dat </w:t>
      </w:r>
      <w:r w:rsidRPr="00584235">
        <w:t>de structurele, economische en sociale situatie van</w:t>
      </w:r>
      <w:r>
        <w:t xml:space="preserve"> de UPG de Azoren geen valide argument vormde om die tariefverlagingen in de inkomstenbelasting en de vennootschapsbelasting te rechtvaardigen. </w:t>
      </w:r>
    </w:p>
    <w:p w:rsidR="00A64945" w:rsidRDefault="00A64945" w:rsidP="0019000F">
      <w:pPr>
        <w:spacing w:after="0" w:line="360" w:lineRule="auto"/>
        <w:jc w:val="both"/>
      </w:pPr>
      <w:r>
        <w:t xml:space="preserve">Het standpunt van de EC was ingegeven door het feit dat de EC van mening was dat de Azoren samen met Portugal één Portugees grondgebied vormde. Vanuit deze uitgangssituatie beoordeelde de EC dat Portugal de in de regio de Azoren belastingplichtige ondernemingen ten opzichte van alle andere </w:t>
      </w:r>
      <w:r>
        <w:lastRenderedPageBreak/>
        <w:t xml:space="preserve">Portugese ondernemingen begunstigde. De belastingverminderingen waren volgens de EC een selectieve steunmaatregel in de zin van art. 87, eerste lid EG. </w:t>
      </w:r>
      <w:r w:rsidRPr="00B0038A">
        <w:t>Thans art. 107, eerste lid VwEU</w:t>
      </w:r>
      <w:r>
        <w:t xml:space="preserve">. Volgens Portugal was van selectiviteit geen sprake. Portugal baseerde dat op de veronderstelling dat de Azoren als een afzonderlijk deel van Portugal moest worden gezien. De tariefsverminderingen in de Azoren waren volgens Portugal het resultaat van </w:t>
      </w:r>
      <w:r w:rsidRPr="003E79D6">
        <w:rPr>
          <w:i/>
        </w:rPr>
        <w:t>het zelfstandig opereren</w:t>
      </w:r>
      <w:r>
        <w:t xml:space="preserve">  van door Portugal in de Azoren bevoegd geachte bestuursorganen. Bovendien golden de belastingverminderingen zonder uitzondering voor </w:t>
      </w:r>
      <w:r w:rsidRPr="006953F3">
        <w:rPr>
          <w:i/>
        </w:rPr>
        <w:t>alle belastingplichtige ondernemingen</w:t>
      </w:r>
      <w:r>
        <w:t xml:space="preserve"> in de Azoren. Portugal was dan ook van mening dat het een </w:t>
      </w:r>
      <w:r w:rsidRPr="00FF7F30">
        <w:rPr>
          <w:i/>
        </w:rPr>
        <w:t>algemene</w:t>
      </w:r>
      <w:r>
        <w:t xml:space="preserve"> in plaats van een </w:t>
      </w:r>
      <w:r w:rsidRPr="00FF7F30">
        <w:rPr>
          <w:i/>
        </w:rPr>
        <w:t>selectieve</w:t>
      </w:r>
      <w:r>
        <w:t xml:space="preserve"> maatregel betrof. Het hof stelde de EC echter  in het gelijke. Zij baseerde haar oordeel op het feit dat de Azoren een beperkte autonomie hadden. De Azoren waren namelijk financieel afhankelijk van Portugal. Dit bracht het Hof tot het oordeel dat bij de beoordeling of de betrokken maatregelen selectief waren, uitgegaan diende te worden van één Portugese grondgebied. De betrokken belastingtariefverminderingen in de Azoren konden volgens het Hof dus wel degelijk aangemerkt worden als selectieve maatregelen en niet als algemene maatregelen. De structurele, economische en sociale situatie van de UPG de Azoren achtte het Hof geen valide rechtvaardigingsgronden voor de ingevoerde steunmaatregel. Deze aan een UPG inherente eigenschappen konden in onderhavig geval niet bewerkstelligen dat het Hof het noodzakelijk achtte om de Azoren uit te zonderen en de ingevoerde belastingmaatregel toe te staan.</w:t>
      </w:r>
    </w:p>
    <w:p w:rsidR="00A64945" w:rsidRDefault="00A64945" w:rsidP="0019000F">
      <w:pPr>
        <w:spacing w:after="0" w:line="360" w:lineRule="auto"/>
        <w:jc w:val="both"/>
      </w:pPr>
    </w:p>
    <w:p w:rsidR="00A64945" w:rsidRDefault="00A64945" w:rsidP="0019000F">
      <w:pPr>
        <w:spacing w:after="0" w:line="360" w:lineRule="auto"/>
        <w:jc w:val="both"/>
      </w:pPr>
      <w:r>
        <w:t xml:space="preserve">De Azoren en Madeira hebben ten opzichte van Portugal dezelfde status. Het zijn beide </w:t>
      </w:r>
      <w:r w:rsidRPr="00C2079C">
        <w:rPr>
          <w:i/>
        </w:rPr>
        <w:t>autonome</w:t>
      </w:r>
      <w:r>
        <w:t xml:space="preserve"> regio’s binnen de republiek Portugal, met eigen wetgevende en uitvoerende bevoegdheden. In 2007 ging de EC akkoord met een steunmaatregel voor de MVZ die verlagingen van het winstbelastingtarief over een traject van 2007 tot en met 2020 impliceert. De in de Azoren in 2006 doorgevoerde tariefverlagingen in de inkomstenbelastingen en in de vennootschapsbelasting, accepteerde de EC niet. Het verschil tussen deze twee regio’s is dat de Azoren belastingtariefverminderingen over geheel de Azoren wilde invoeren, terwijl het bij Madeira enkel ging om een verlaagd winstbelastingtarief dat van toepassing zou zijn met betrekking tot de MVZ. Juist door dit gegeven vind ik het opmerkelijk dat de EC wel akkoord ging met de in 2007 aan Madeira toegekende steunmaatregel, maar de door de Azoren doorgevoerde belastingtariefverminderingen afkeurde. Het verlaagde winstbelastingtarief in Madeira geldt alleen met betrekking tot ondernemingen die activiteiten in de MVZ ontplooien, terwijl de verlaagde belastingtarieven in de Azoren voor alle Azoreense ondernemingen golden. In dit opzicht heeft de Madeirese steunmaatregel meer weg van een selectieve maatregel dan de belastingtariefverminderingen in de Azoren. Enerzijds wat betreft de geografische ligging van </w:t>
      </w:r>
      <w:r>
        <w:lastRenderedPageBreak/>
        <w:t xml:space="preserve">Madeira ten opzichte van Portugal (geografische selectiviteit) en anderzijds wat betreft het type ondernemingen dat in Madeira voor de regeling in aanmerking komen. </w:t>
      </w:r>
    </w:p>
    <w:p w:rsidR="00A64945" w:rsidRDefault="00A64945" w:rsidP="0019000F">
      <w:pPr>
        <w:spacing w:after="0" w:line="360" w:lineRule="auto"/>
        <w:jc w:val="both"/>
        <w:rPr>
          <w:rFonts w:cs="TTE5FF4868t00"/>
        </w:rPr>
      </w:pPr>
      <w:r>
        <w:t xml:space="preserve">De kernvraag in het arrest </w:t>
      </w:r>
      <w:r w:rsidRPr="00D53556">
        <w:t>Portugal/Commissie (C-88/03)</w:t>
      </w:r>
      <w:r>
        <w:t xml:space="preserve"> was of de Azoren geografisch als een integraal onderdeel van Portugal moesten worden gezien of als een geheel op zichzelf staande regio. Het antwoord op deze vraag werd afhankelijk gesteld van het gegeven of de Azoren al dan niet volledige financiële autonomie bezat. Het Hof hanteerde bij haar oordeel een aantal criteria  om de autonomie van het UPG de Azoren te toetsen. Van volledige autonomie van een regio is volgens het Hof sprake in het geval dat een maatregel </w:t>
      </w:r>
      <w:r w:rsidRPr="000B0EA7">
        <w:t>door een regionale/plaatselijke autoriteit met een eigen politieke en administratieve status die losstaat van de centrale overheid</w:t>
      </w:r>
      <w:r>
        <w:t xml:space="preserve"> wordt genomen. Z</w:t>
      </w:r>
      <w:r w:rsidRPr="000B0EA7">
        <w:t>onder dat de centrale overheid rechtstreeks zeggenschap</w:t>
      </w:r>
      <w:r>
        <w:t xml:space="preserve"> heeft over de inhoud ervan en </w:t>
      </w:r>
      <w:r w:rsidRPr="000B0EA7">
        <w:t>zonder dat de financiële consequenties ervan worden gecompenseerd door bijdragen van andere regio’s of de centrale overheid.</w:t>
      </w:r>
      <w:r>
        <w:t xml:space="preserve"> Op het moment dat een UPG kan rekenen op financiële bijstand van het ‘moederland’  is het dus einde oefening. Aangezien </w:t>
      </w:r>
      <w:r>
        <w:rPr>
          <w:rFonts w:cs="TTE5FF4868t00"/>
        </w:rPr>
        <w:t>d</w:t>
      </w:r>
      <w:r w:rsidRPr="007221E6">
        <w:rPr>
          <w:rFonts w:cs="TTE5FF4868t00"/>
        </w:rPr>
        <w:t>e Portugese wet voorziet in een compensatieregeling door de overheid voor</w:t>
      </w:r>
      <w:r>
        <w:rPr>
          <w:rFonts w:cs="TTE5FF4868t00"/>
        </w:rPr>
        <w:t xml:space="preserve"> de gederfde belastinginkomsten, oordeelde het Hof in onderhavig arrest dat van financiële onafhankelijkheid van de Azoren ten opzichte van Portugal geen sprake was en er dus niet gesproken kon worden van volledige autonomie. De Azoren werden ondanks hun staatkundige status, die van Autonome Regio, voor de staatssteuntoets als een integraal onderdeel van Portugal beschouwd. </w:t>
      </w:r>
    </w:p>
    <w:p w:rsidR="00A64945" w:rsidRDefault="00A64945" w:rsidP="0019000F">
      <w:pPr>
        <w:spacing w:after="0" w:line="360" w:lineRule="auto"/>
        <w:jc w:val="both"/>
        <w:rPr>
          <w:rFonts w:cs="TTE5FF4868t00"/>
          <w:b/>
          <w:i/>
          <w:sz w:val="20"/>
          <w:szCs w:val="20"/>
        </w:rPr>
      </w:pPr>
    </w:p>
    <w:p w:rsidR="00A64945" w:rsidRPr="00F12618" w:rsidRDefault="00A64945" w:rsidP="0019000F">
      <w:pPr>
        <w:spacing w:after="0" w:line="360" w:lineRule="auto"/>
        <w:jc w:val="both"/>
        <w:rPr>
          <w:rFonts w:cs="TTE5FF4868t00"/>
          <w:b/>
          <w:i/>
          <w:sz w:val="20"/>
          <w:szCs w:val="20"/>
        </w:rPr>
      </w:pPr>
      <w:r>
        <w:rPr>
          <w:rFonts w:cs="TTE5FF4868t00"/>
          <w:b/>
          <w:i/>
          <w:sz w:val="20"/>
          <w:szCs w:val="20"/>
        </w:rPr>
        <w:t xml:space="preserve">Positie </w:t>
      </w:r>
      <w:r w:rsidRPr="00F12618">
        <w:rPr>
          <w:rFonts w:cs="TTE5FF4868t00"/>
          <w:b/>
          <w:i/>
          <w:sz w:val="20"/>
          <w:szCs w:val="20"/>
        </w:rPr>
        <w:t>Curaçao</w:t>
      </w:r>
    </w:p>
    <w:p w:rsidR="00A64945" w:rsidRDefault="00A64945" w:rsidP="00E60126">
      <w:pPr>
        <w:spacing w:after="0" w:line="360" w:lineRule="auto"/>
        <w:jc w:val="both"/>
      </w:pPr>
      <w:r>
        <w:rPr>
          <w:rFonts w:cs="TTE5FF4868t00"/>
        </w:rPr>
        <w:t xml:space="preserve">Curaçao heeft binnen het Koninkrijk der Nederlanden de Status Aparte. Staatkundig gezien is deze positie die Curaçao binnen het Koninkrijk heeft, vergelijkbaar met de autonomiteit die de Azoren ten opzichte van Portugal bezitten. Ook het land Curaçao is echter, net zoals dat in de Azoren het geval is, financieel niet volledig onafhankelijk van Nederland. Bij de onderhandelingen over de staatkundige hervormingen is besloten dat </w:t>
      </w:r>
      <w:r>
        <w:t xml:space="preserve">Nederland een groot deel van de schuldenlast, ongeveer 1,8 miljard euro, overneemt van het eiland in ruil voor </w:t>
      </w:r>
      <w:r w:rsidRPr="004E7B5D">
        <w:rPr>
          <w:b/>
        </w:rPr>
        <w:t>meer</w:t>
      </w:r>
      <w:r>
        <w:t xml:space="preserve"> financieel toezicht. Bovendien zijn ook op justitieel gebied afspraken gemaakt over onder meer de bestrijding van corruptie, grensoverschrijdende criminaliteit en een goede rechtsorde.</w:t>
      </w:r>
      <w:r>
        <w:rPr>
          <w:rStyle w:val="FootnoteReference"/>
          <w:rFonts w:cs="Arial"/>
        </w:rPr>
        <w:footnoteReference w:id="394"/>
      </w:r>
      <w:r>
        <w:t xml:space="preserve"> Van volledige autonomie van Curaçao ten opzichte van Nederland is ook na de staatkundige hervormingen van 10 oktober 2010 (vooralsnog) dus geen sprake.</w:t>
      </w:r>
      <w:r>
        <w:rPr>
          <w:rStyle w:val="FootnoteReference"/>
          <w:rFonts w:cs="Arial"/>
        </w:rPr>
        <w:footnoteReference w:id="395"/>
      </w:r>
      <w:r>
        <w:t xml:space="preserve">Om die reden is het mijns inziens niet ondenkbaar dat de EC Curaçao als onderdeel van Nederland zal beschouwen en dan zal oordelen dat er sprake is van geografische selectiviteit. Geografische selectiviteit speelt alleen in het geval het Hof voor wat betreft de </w:t>
      </w:r>
      <w:r>
        <w:lastRenderedPageBreak/>
        <w:t xml:space="preserve">staatssteuntoets Curaçao deel laat uitmaken van een groter geheel: Nederland. Kan Curaçao wat de staatssteunregels van </w:t>
      </w:r>
      <w:r w:rsidRPr="00D53556">
        <w:t>art. 107 VwEU</w:t>
      </w:r>
      <w:r>
        <w:t xml:space="preserve"> betreft, als een integraal onderdeel van Nederland worden gezien? Wordt gekeken naar hoe het Hof in het arrest </w:t>
      </w:r>
      <w:r w:rsidRPr="00D53556">
        <w:t>Portugal/Commissie (C-88/03</w:t>
      </w:r>
      <w:r>
        <w:t xml:space="preserve"> </w:t>
      </w:r>
      <w:r w:rsidRPr="00D53556">
        <w:t>)</w:t>
      </w:r>
      <w:r>
        <w:t xml:space="preserve"> oordeelde, dan dient het antwoord op deze vraag bevestigend te luiden. Indien het grondgebied van Curaçao voor de toepassing van staatssteunregels van artikel  </w:t>
      </w:r>
      <w:r w:rsidRPr="00D53556">
        <w:t>107</w:t>
      </w:r>
      <w:r>
        <w:t xml:space="preserve"> VwEU niet als een afzonderlijk deel van Nederland aangemerkt wordt, maar het toetsingskader op één Nederlands grondgebied gesteld wordt, bestaat er een grote kans dat het Hof zal oordelen dat er sprake is van een in de zin van  art. </w:t>
      </w:r>
      <w:r w:rsidRPr="00D53556">
        <w:t>107</w:t>
      </w:r>
      <w:r>
        <w:t xml:space="preserve">, eerste lid </w:t>
      </w:r>
      <w:r w:rsidRPr="00D53556">
        <w:t>VwEU</w:t>
      </w:r>
      <w:r>
        <w:t xml:space="preserve"> verboden regionale staatssteunmaatregel. De fiscale belastingfaciliteiten die uit het Curaçaose E- Zoneregime voortvloeien zouden aangemerkt worden als geografisch selectief. Alleen ondernemingen die in de E- Zone van de ‘regio’ Curaçao zijn gevestigd en van daaruit activiteiten ontplooien komen voor de regeling in aanmerking.  Deze ondernemingen worden ten opzichte van alle andere Europese ondernemingen begunstigd. Dat is in strijd met het bepaalde in artikel art. </w:t>
      </w:r>
      <w:r w:rsidRPr="00D53556">
        <w:t>107</w:t>
      </w:r>
      <w:r>
        <w:t xml:space="preserve">, eerste lid </w:t>
      </w:r>
      <w:r w:rsidRPr="00D53556">
        <w:t>VwEU</w:t>
      </w:r>
      <w:r>
        <w:t xml:space="preserve"> en dus verboden.</w:t>
      </w:r>
    </w:p>
    <w:p w:rsidR="00A64945" w:rsidRDefault="00A64945" w:rsidP="00E60126">
      <w:pPr>
        <w:spacing w:after="0" w:line="360" w:lineRule="auto"/>
        <w:jc w:val="both"/>
      </w:pPr>
      <w:r>
        <w:t xml:space="preserve">Het verschil tussen de Azoren en Curaçao is dat het bij de Azoren een alles of niks discussie betrof. Het selectiviteitsvraagstuk zag bij de Azoren alleen op het spanningsveld ‘hoort de Azoren bij Portugal of niet’. Het was puur een regionale kwestie. Binnen de Azoren zelf werd immers geen onderscheid gemaakt naar soort personen (natuurlijk of rechts) die voor de belastingmaatregel in aanmerking konden komen waardoor de ingevoerde belastingmaatregel alleen als onderscheidend kon worden bestempeld indien de Azoren binnen een groter geheel geplaatst werd, aangezien  de Azoren in een dergelijk geval als een regio van een groter geheel aangemerkt zou worden en er dan sprake van ‘regionale selectiviteit’ zou kunnen zijn.   </w:t>
      </w:r>
      <w:r w:rsidRPr="007150D9">
        <w:t xml:space="preserve">Bij Curaçao is dat </w:t>
      </w:r>
      <w:r>
        <w:t>anders. Zoals in § 4.3.2. al aan de orde kwam, zijn de aan de Curaçaose E- Zoneregime verbonden belastingmaatregelen in de eerste plaats selectief in de zin dat alleen ondernemingen die aan bepaalde voorwaarden voldoen, toegang hebben tot de E- Zone. Daarnaast is er mogelijk ook sprake van regionale selectiviteit. Bij Curaçao ontstaat er dus een afgeleide discussie, want al zou het Hof bij Curaçao tot de conclusie komen dat  Curaçao een zelfstandig geheel is en regionale selectiviteit dus niet aan de orde is,</w:t>
      </w:r>
      <w:r>
        <w:rPr>
          <w:rStyle w:val="FootnoteReference"/>
        </w:rPr>
        <w:footnoteReference w:id="396"/>
      </w:r>
      <w:r>
        <w:t xml:space="preserve"> dan zou het oordeel van het Hof nog steeds kunnen luiden dat er binnen dat zelfstandig geheel sprake is van selectiviteit.</w:t>
      </w:r>
    </w:p>
    <w:p w:rsidR="00A64945" w:rsidRDefault="00A64945" w:rsidP="0019000F">
      <w:pPr>
        <w:spacing w:after="0" w:line="360" w:lineRule="auto"/>
        <w:jc w:val="both"/>
      </w:pPr>
      <w:r>
        <w:t xml:space="preserve">In het geval van de Curaçaose E- Zones zou geografische selectiviteit mijns inziens naast specifieke selectiviteit (onderscheid naar type onderneming) dan ook een </w:t>
      </w:r>
      <w:r w:rsidRPr="004870ED">
        <w:rPr>
          <w:b/>
        </w:rPr>
        <w:t>aanvullend</w:t>
      </w:r>
      <w:r>
        <w:t xml:space="preserve"> argument kunnen vormen om tot het oordeel te komen dat er sprake is van verboden staatssteun. Het argument van geografische (regionale) selectiviteit is mijns inziens van aanvullende waarde. Het Curaçaose E- </w:t>
      </w:r>
      <w:r>
        <w:lastRenderedPageBreak/>
        <w:t xml:space="preserve">Zoneregime zal naar alle waarschijnlijkheid in de eerste plaats namelijk als specifiek worden aangemerkt: alleen specifieke ondernemingen verkrijgen toegang tot dit regime. Indien het oordeel van het Hof op overeenkomstige wijze luidt, is verboden staatssteun al een feit. Of de maatregel daarnaast al dan niet ook nog eens als geografisch selectief kan worden bestempeld, heeft mijns inziens in principe geen toegevoegde waarde. Men kan namelijk niet twee maal onderuit gaan voor verboden staatssteun. </w:t>
      </w:r>
    </w:p>
    <w:p w:rsidR="00A64945" w:rsidRDefault="00A64945">
      <w:pPr>
        <w:spacing w:after="0" w:line="240" w:lineRule="auto"/>
        <w:rPr>
          <w:rFonts w:cs="Times New Roman"/>
          <w:b/>
          <w:bCs/>
          <w:sz w:val="28"/>
          <w:szCs w:val="28"/>
        </w:rPr>
      </w:pPr>
      <w:r>
        <w:br w:type="page"/>
      </w:r>
    </w:p>
    <w:p w:rsidR="00A64945" w:rsidRDefault="00A64945" w:rsidP="007D6718">
      <w:pPr>
        <w:pStyle w:val="Heading1"/>
        <w:jc w:val="both"/>
        <w:rPr>
          <w:rFonts w:ascii="Calibri" w:hAnsi="Calibri"/>
          <w:color w:val="auto"/>
        </w:rPr>
      </w:pPr>
      <w:bookmarkStart w:id="131" w:name="_Toc299634331"/>
      <w:r w:rsidRPr="007D6718">
        <w:rPr>
          <w:rFonts w:ascii="Calibri" w:hAnsi="Calibri"/>
          <w:color w:val="auto"/>
        </w:rPr>
        <w:t>H5. Conclusie</w:t>
      </w:r>
      <w:bookmarkEnd w:id="131"/>
    </w:p>
    <w:p w:rsidR="00A64945" w:rsidRDefault="00A64945" w:rsidP="00354462">
      <w:pPr>
        <w:spacing w:after="0" w:line="360" w:lineRule="auto"/>
        <w:jc w:val="both"/>
      </w:pPr>
    </w:p>
    <w:p w:rsidR="00A64945" w:rsidRPr="002B6757" w:rsidRDefault="00A64945" w:rsidP="002B6757">
      <w:pPr>
        <w:spacing w:after="0" w:line="360" w:lineRule="auto"/>
        <w:jc w:val="both"/>
      </w:pPr>
      <w:r w:rsidRPr="002B6757">
        <w:t xml:space="preserve">Ik heb in deze scriptie onderzocht in hoeverre de op de landsverordening economische zones 2000 gebaseerde huidige Curaçaose economische zone, gegeven het feit dat Curaçao de UPG- status aanvaart en uitsluitend gezien vanuit een fiscaal perspectief, Europees rechtelijk bestendig is. </w:t>
      </w:r>
    </w:p>
    <w:p w:rsidR="00A64945" w:rsidRDefault="00A64945" w:rsidP="00354462">
      <w:pPr>
        <w:spacing w:after="0" w:line="360" w:lineRule="auto"/>
        <w:jc w:val="both"/>
      </w:pPr>
    </w:p>
    <w:p w:rsidR="00A64945" w:rsidRPr="00097EEF" w:rsidRDefault="00A64945" w:rsidP="00354462">
      <w:pPr>
        <w:spacing w:after="0" w:line="360" w:lineRule="auto"/>
        <w:jc w:val="both"/>
      </w:pPr>
      <w:r>
        <w:t xml:space="preserve">De conclusie van het door mij verrichte onderzoek is </w:t>
      </w:r>
      <w:r w:rsidRPr="00097EEF">
        <w:t>dat de fiscaliteit die voortvloeit uit de op landsverordening economische zones 2000 gebaseerde huidige Curaçaose economische zone</w:t>
      </w:r>
      <w:r>
        <w:t xml:space="preserve"> er van uit gaande dat </w:t>
      </w:r>
      <w:r w:rsidRPr="00097EEF">
        <w:t>Curaçao de UPG- status aanvaart en uitsluitend gezien vanuit een fiscaal perspectief, op een aantal punten als strijdig met het fiscale EU- recht kan worden bestempeld.</w:t>
      </w:r>
      <w:r>
        <w:t xml:space="preserve"> Ik zal deze conclusie in het hiernavolgende toelichten.</w:t>
      </w:r>
      <w:r w:rsidRPr="00F029BA">
        <w:t xml:space="preserve"> </w:t>
      </w:r>
      <w:r>
        <w:t xml:space="preserve">Dat doe ik in onderdelen. Elk behandeld onderdeel van het (fiscale) EU- recht wordt van een conclusie voorzien. Allereerst komt mijn conclusie met betrekking tot de EU- Verdragsvrijheden aan bod. Daarna mijn conclusie met betrekking tot de directe belastingrichtlijnen en tot slot mijn conclusie met betrekking </w:t>
      </w:r>
      <w:r w:rsidRPr="00F029BA">
        <w:t xml:space="preserve">tot </w:t>
      </w:r>
      <w:r>
        <w:t>S</w:t>
      </w:r>
      <w:r w:rsidRPr="00F029BA">
        <w:t>chadelijke belastingconcurrentie en Staatssteun</w:t>
      </w:r>
      <w:r>
        <w:t>.</w:t>
      </w:r>
    </w:p>
    <w:p w:rsidR="00A64945" w:rsidRPr="00097EEF" w:rsidRDefault="00A64945" w:rsidP="00354462">
      <w:pPr>
        <w:spacing w:after="0" w:line="360" w:lineRule="auto"/>
        <w:jc w:val="both"/>
        <w:rPr>
          <w:sz w:val="20"/>
          <w:szCs w:val="20"/>
        </w:rPr>
      </w:pPr>
    </w:p>
    <w:p w:rsidR="00A64945" w:rsidRPr="00354462" w:rsidRDefault="00A64945" w:rsidP="00354462">
      <w:pPr>
        <w:spacing w:after="0" w:line="360" w:lineRule="auto"/>
        <w:jc w:val="both"/>
        <w:rPr>
          <w:b/>
          <w:i/>
          <w:sz w:val="20"/>
          <w:szCs w:val="20"/>
        </w:rPr>
      </w:pPr>
      <w:r w:rsidRPr="00354462">
        <w:rPr>
          <w:b/>
          <w:i/>
          <w:sz w:val="20"/>
          <w:szCs w:val="20"/>
        </w:rPr>
        <w:t>EU-</w:t>
      </w:r>
      <w:r>
        <w:rPr>
          <w:b/>
          <w:i/>
          <w:sz w:val="20"/>
          <w:szCs w:val="20"/>
        </w:rPr>
        <w:t xml:space="preserve"> </w:t>
      </w:r>
      <w:r w:rsidRPr="00354462">
        <w:rPr>
          <w:b/>
          <w:i/>
          <w:sz w:val="20"/>
          <w:szCs w:val="20"/>
        </w:rPr>
        <w:t>Verdragsvrijheden</w:t>
      </w:r>
    </w:p>
    <w:p w:rsidR="00A64945" w:rsidRPr="00DB5080" w:rsidRDefault="00A64945" w:rsidP="00DB5080">
      <w:pPr>
        <w:autoSpaceDE w:val="0"/>
        <w:autoSpaceDN w:val="0"/>
        <w:adjustRightInd w:val="0"/>
        <w:spacing w:after="0" w:line="360" w:lineRule="auto"/>
        <w:jc w:val="both"/>
      </w:pPr>
      <w:r w:rsidRPr="00097EEF">
        <w:t>Toetsing van de in §4.1 genoemde fiscale faciliteiten</w:t>
      </w:r>
      <w:r>
        <w:t xml:space="preserve"> (object van de analyse) </w:t>
      </w:r>
      <w:r w:rsidRPr="00097EEF">
        <w:t xml:space="preserve">die aan het Curaçaose E- Zoneregime ten grondslag liggen aan het fiscale EU- recht wijst uit dat wat de Europees rechtelijke bestendigheid betreft er een aantal knelpunten bestaan. Ondanks het feit dat de </w:t>
      </w:r>
      <w:r>
        <w:t>Curaçaose E- Zone</w:t>
      </w:r>
      <w:r w:rsidRPr="00097EEF">
        <w:t>regeling niet discrimineert naar nationaliteit van de rechtspersoon</w:t>
      </w:r>
      <w:r>
        <w:t xml:space="preserve"> (of het samenwerkingverband)</w:t>
      </w:r>
      <w:r w:rsidRPr="00097EEF">
        <w:t xml:space="preserve"> die gebruik kan maken van de regeling, heeft de </w:t>
      </w:r>
      <w:r>
        <w:t>wijze</w:t>
      </w:r>
      <w:r w:rsidRPr="00097EEF">
        <w:t xml:space="preserve"> waarop de regeling is vormgegeven voor wat betreft </w:t>
      </w:r>
      <w:r>
        <w:t>de</w:t>
      </w:r>
      <w:r w:rsidRPr="00097EEF">
        <w:t xml:space="preserve"> EU- verdragsvrijheden mogelijk wel een belemmerende uitwerking. </w:t>
      </w:r>
      <w:r>
        <w:t xml:space="preserve">Het betreft mijns inziens </w:t>
      </w:r>
      <w:r w:rsidRPr="00097EEF">
        <w:t xml:space="preserve">het recht van vestiging en het vrije verkeer van goederen. </w:t>
      </w:r>
      <w:r>
        <w:t xml:space="preserve">De verplichting dat </w:t>
      </w:r>
      <w:r w:rsidRPr="00097EEF">
        <w:t xml:space="preserve">E- Zonebedrijven </w:t>
      </w:r>
      <w:r>
        <w:t>om van de regeling gebruik te kunnen maken</w:t>
      </w:r>
      <w:r w:rsidRPr="00097EEF">
        <w:t xml:space="preserve"> in een E- Zone</w:t>
      </w:r>
      <w:r>
        <w:t xml:space="preserve"> </w:t>
      </w:r>
      <w:r w:rsidRPr="00097EEF">
        <w:t xml:space="preserve">moeten </w:t>
      </w:r>
      <w:r>
        <w:t xml:space="preserve">zijn gevestigd, maakt dat E- Zonebedrijven niet </w:t>
      </w:r>
      <w:r w:rsidRPr="00097EEF">
        <w:t xml:space="preserve">vrij </w:t>
      </w:r>
      <w:r>
        <w:t xml:space="preserve">zijn </w:t>
      </w:r>
      <w:r w:rsidRPr="00097EEF">
        <w:t xml:space="preserve">om zich elders in Curaçao te vestigen. Dat is mogelijk in strijd met het vrije verkeer van vestiging. </w:t>
      </w:r>
      <w:r>
        <w:t>Alhoewel</w:t>
      </w:r>
      <w:r w:rsidRPr="00DB5080">
        <w:t xml:space="preserve"> het vrije verkeer van vestiging alleen toepassing vindt in grensoverschrijdende situaties, heeft het vestigings</w:t>
      </w:r>
      <w:r w:rsidRPr="00DB5080">
        <w:rPr>
          <w:rFonts w:cs="EUAlbertina"/>
        </w:rPr>
        <w:t xml:space="preserve">verbod </w:t>
      </w:r>
      <w:r>
        <w:rPr>
          <w:rFonts w:cs="EUAlbertina"/>
        </w:rPr>
        <w:t xml:space="preserve">namelijk </w:t>
      </w:r>
      <w:r w:rsidRPr="00DB5080">
        <w:rPr>
          <w:rFonts w:cs="EUAlbertina"/>
        </w:rPr>
        <w:t>eveneens betrekking op beperkingen betreffende de oprichting van agentschappen, filialen of</w:t>
      </w:r>
      <w:r>
        <w:rPr>
          <w:rFonts w:cs="EUAlbertina"/>
        </w:rPr>
        <w:t xml:space="preserve"> </w:t>
      </w:r>
      <w:r w:rsidRPr="00DB5080">
        <w:rPr>
          <w:rFonts w:cs="EUAlbertina"/>
        </w:rPr>
        <w:t>dochterondernemingen door</w:t>
      </w:r>
      <w:r>
        <w:rPr>
          <w:rFonts w:cs="EUAlbertina"/>
        </w:rPr>
        <w:t xml:space="preserve"> de onderdanen van een lidstaat (lees UPG) </w:t>
      </w:r>
      <w:r w:rsidRPr="00DB5080">
        <w:rPr>
          <w:rFonts w:cs="EUAlbertina"/>
        </w:rPr>
        <w:t xml:space="preserve">die op het grondgebied </w:t>
      </w:r>
      <w:r>
        <w:rPr>
          <w:rFonts w:cs="EUAlbertina"/>
        </w:rPr>
        <w:t>van een lidstaat (lees UPG) zijn gevestigd</w:t>
      </w:r>
      <w:r w:rsidRPr="00DB5080">
        <w:rPr>
          <w:rFonts w:cs="EUAlbertina"/>
        </w:rPr>
        <w:t>.</w:t>
      </w:r>
      <w:r>
        <w:rPr>
          <w:rFonts w:cs="EUAlbertina"/>
        </w:rPr>
        <w:t xml:space="preserve"> Voorwaarde is dus wel dat de persoon die een agentschap, filiaal of dochteronderneming elders dan in een E- Zone wil oprichten, onderdaan van Curaçao dient te zijn.</w:t>
      </w:r>
    </w:p>
    <w:p w:rsidR="00A64945" w:rsidRPr="00097EEF" w:rsidRDefault="00A64945" w:rsidP="00354462">
      <w:pPr>
        <w:spacing w:after="0" w:line="360" w:lineRule="auto"/>
        <w:jc w:val="both"/>
      </w:pPr>
      <w:r>
        <w:lastRenderedPageBreak/>
        <w:t>Enkel</w:t>
      </w:r>
      <w:r w:rsidRPr="00097EEF">
        <w:t xml:space="preserve"> die goederen waarvan is bepaald dat ze in een E- Zone aanwezig mogen zijn, komen in aanmerking voor de vrijstellingen in de omzetbelasting en invoerrechten en accijnzen. Indien een bepaald goed niet ingevoerd kan worden in een E- Zone of bij invoer geen vrijstelling geldt voor wat betreft de omzet en invoerrechten en accijnzen, kunnen </w:t>
      </w:r>
      <w:r>
        <w:t xml:space="preserve">exporterende </w:t>
      </w:r>
      <w:r w:rsidRPr="00097EEF">
        <w:t xml:space="preserve">lidstaten dit als belemmerd ervaren. Hier kan dus mogelijk een strijdigheid met het vrije verkeer van goederen optreden. </w:t>
      </w:r>
      <w:r w:rsidRPr="00E34D09">
        <w:t xml:space="preserve">De binnenlandse omzet van een </w:t>
      </w:r>
      <w:r>
        <w:t xml:space="preserve">Curaçaose </w:t>
      </w:r>
      <w:r w:rsidRPr="00E34D09">
        <w:t>E- Zonebedrijf wordt zwaarder belast dan de buitenlandse omzet,</w:t>
      </w:r>
      <w:r>
        <w:t xml:space="preserve"> dit betreft een binnenlandse aangelegenheid en raakt de EU- verdragsvrijheden dus niet. Wel dient mijns inziens hier vermeld te worden dat dit onderscheid tussen de binnenlandse en de buitenlandse omzet in principe niet te rechtvaardigen is en uit internationaal oogpunt moeilijk te verdedigen is. Het onderscheid bewerkstelligd wel dat oneerlijke belastingconcurrentie op de binnenlandse markt de kiem in wordt gesmoord. Bovendien wordt door de bevoegdheid om de binnenlandse markt te bedienen aan een vergunning te verbinden, getracht om concurrentievervalsing in toom te houden.</w:t>
      </w:r>
    </w:p>
    <w:p w:rsidR="00A64945" w:rsidRDefault="00A64945" w:rsidP="00354462">
      <w:pPr>
        <w:spacing w:after="0" w:line="360" w:lineRule="auto"/>
        <w:jc w:val="both"/>
        <w:rPr>
          <w:b/>
          <w:i/>
          <w:sz w:val="20"/>
          <w:szCs w:val="20"/>
        </w:rPr>
      </w:pPr>
    </w:p>
    <w:p w:rsidR="00A64945" w:rsidRPr="00354462" w:rsidRDefault="00A64945" w:rsidP="00354462">
      <w:pPr>
        <w:spacing w:after="0" w:line="360" w:lineRule="auto"/>
        <w:jc w:val="both"/>
        <w:rPr>
          <w:b/>
          <w:i/>
          <w:sz w:val="20"/>
          <w:szCs w:val="20"/>
        </w:rPr>
      </w:pPr>
      <w:r w:rsidRPr="00354462">
        <w:rPr>
          <w:b/>
          <w:i/>
          <w:sz w:val="20"/>
          <w:szCs w:val="20"/>
        </w:rPr>
        <w:t>Directe belastingrichtlijnen</w:t>
      </w:r>
    </w:p>
    <w:p w:rsidR="00A64945" w:rsidRPr="00C06241" w:rsidRDefault="00A64945" w:rsidP="00A478A6">
      <w:pPr>
        <w:spacing w:after="0" w:line="360" w:lineRule="auto"/>
        <w:jc w:val="both"/>
      </w:pPr>
      <w:r w:rsidRPr="00097EEF">
        <w:t xml:space="preserve">Wat betreft de directe belastingrichtlijnen </w:t>
      </w:r>
      <w:r>
        <w:t>is er mijns inziens één aandachtspunt die een rol gaat spelen op het moment dat Curaçao een UPG wordt</w:t>
      </w:r>
      <w:r w:rsidRPr="00097EEF">
        <w:t xml:space="preserve">. Dit met betrekking tot de </w:t>
      </w:r>
      <w:r>
        <w:t xml:space="preserve">Fusierichtlijn. </w:t>
      </w:r>
      <w:r w:rsidRPr="00097EEF">
        <w:t xml:space="preserve">Het betreft </w:t>
      </w:r>
      <w:r>
        <w:t xml:space="preserve">een </w:t>
      </w:r>
      <w:r w:rsidRPr="00097EEF">
        <w:t>algemeen</w:t>
      </w:r>
      <w:r>
        <w:t xml:space="preserve"> aandachtspunt</w:t>
      </w:r>
      <w:r w:rsidRPr="00097EEF">
        <w:t xml:space="preserve"> d</w:t>
      </w:r>
      <w:r>
        <w:t>at</w:t>
      </w:r>
      <w:r w:rsidRPr="00097EEF">
        <w:t xml:space="preserve"> dus niet alleen</w:t>
      </w:r>
      <w:r>
        <w:t xml:space="preserve"> van i</w:t>
      </w:r>
      <w:r w:rsidRPr="00097EEF">
        <w:t xml:space="preserve">nvloed op het E- Zoneregime </w:t>
      </w:r>
      <w:r>
        <w:t>is, maar ook landelijke gevolgen heeft. Voor wat betreft de F</w:t>
      </w:r>
      <w:r w:rsidRPr="00097EEF">
        <w:t>usierichtlijn zal mijns inziens nagegaan moeten worden in hoeverre de in art. 13 LWB 1940 opgenomen regeling in overeenstemming is met deze richtlijn.</w:t>
      </w:r>
      <w:r>
        <w:t xml:space="preserve"> </w:t>
      </w:r>
      <w:r w:rsidRPr="00097EEF">
        <w:t xml:space="preserve">Met betrekking tot de </w:t>
      </w:r>
      <w:r>
        <w:t xml:space="preserve">Interest- en royaltyrichtlijn is het </w:t>
      </w:r>
      <w:r w:rsidRPr="00097EEF">
        <w:t xml:space="preserve">mijns inziens </w:t>
      </w:r>
      <w:r>
        <w:t xml:space="preserve">vermeldenswaardig dat van de vermeende strijdigheid van </w:t>
      </w:r>
      <w:r w:rsidRPr="00097EEF">
        <w:t>bepalingen die de aftrek van rente beperken of verbieden met het EU-</w:t>
      </w:r>
      <w:r>
        <w:t xml:space="preserve"> </w:t>
      </w:r>
      <w:r w:rsidRPr="00097EEF">
        <w:t>recht</w:t>
      </w:r>
      <w:r>
        <w:t xml:space="preserve"> geen sprake is</w:t>
      </w:r>
      <w:r w:rsidRPr="00097EEF">
        <w:t xml:space="preserve">. De </w:t>
      </w:r>
      <w:r>
        <w:t xml:space="preserve">recente </w:t>
      </w:r>
      <w:r w:rsidRPr="00097EEF">
        <w:t>zaak ‘Scheuten Solar Technolog</w:t>
      </w:r>
      <w:r>
        <w:t>y</w:t>
      </w:r>
      <w:r w:rsidRPr="00097EEF">
        <w:t xml:space="preserve">’ </w:t>
      </w:r>
      <w:r>
        <w:t xml:space="preserve">heeft uitgewezen </w:t>
      </w:r>
      <w:r w:rsidRPr="00097EEF">
        <w:t xml:space="preserve">hoe het Hof hierover oordeelt. </w:t>
      </w:r>
      <w:r>
        <w:t xml:space="preserve">Het Hof is van oordeel dat </w:t>
      </w:r>
      <w:r w:rsidRPr="00097EEF">
        <w:t xml:space="preserve">renteaftrekbeperkingen </w:t>
      </w:r>
      <w:r>
        <w:t xml:space="preserve">niet </w:t>
      </w:r>
      <w:r w:rsidRPr="00097EEF">
        <w:t xml:space="preserve">onder de </w:t>
      </w:r>
      <w:r>
        <w:t>Interest</w:t>
      </w:r>
      <w:r w:rsidRPr="00097EEF">
        <w:t>- en royaltyrichtlijn vallen</w:t>
      </w:r>
      <w:r>
        <w:t xml:space="preserve">. Volgens het Hof is het namelijk niet toegestaan dat </w:t>
      </w:r>
      <w:r w:rsidRPr="00C06241">
        <w:t>de werkingssfeer van artikel 1, lid 1, van de Interest- en royalty</w:t>
      </w:r>
      <w:r>
        <w:t xml:space="preserve">richtlijn ruimer </w:t>
      </w:r>
      <w:r w:rsidRPr="00C06241">
        <w:t>wordt toegepast dan de daarin voorziene vrijstelling.</w:t>
      </w:r>
    </w:p>
    <w:p w:rsidR="00A64945" w:rsidRDefault="00A64945" w:rsidP="00A478A6">
      <w:pPr>
        <w:spacing w:after="0" w:line="360" w:lineRule="auto"/>
        <w:jc w:val="both"/>
        <w:rPr>
          <w:sz w:val="18"/>
          <w:szCs w:val="18"/>
        </w:rPr>
      </w:pPr>
      <w:r w:rsidRPr="00097EEF">
        <w:t xml:space="preserve">De </w:t>
      </w:r>
      <w:r>
        <w:t>Moeder- dochterrichtlijn en de Spaartegoedenrichtlijn</w:t>
      </w:r>
      <w:r w:rsidRPr="00097EEF">
        <w:t xml:space="preserve"> zullen </w:t>
      </w:r>
      <w:r>
        <w:t xml:space="preserve">mijns inziens </w:t>
      </w:r>
      <w:r w:rsidRPr="00097EEF">
        <w:t xml:space="preserve">naar verwachting geen </w:t>
      </w:r>
      <w:r>
        <w:t>‘problemen’ creëren. Voor de Moeder- dochterrichtlijn</w:t>
      </w:r>
      <w:r w:rsidRPr="00097EEF">
        <w:t xml:space="preserve"> geldt dat wat betreft de situatie waarbij de dochtermaatschappij zich in de Nederlandse Antillen bevindt, momenteel automatisch aan art. 5 MDR</w:t>
      </w:r>
      <w:r w:rsidRPr="0082214D">
        <w:t xml:space="preserve"> </w:t>
      </w:r>
      <w:r w:rsidRPr="00097EEF">
        <w:t>wordt</w:t>
      </w:r>
      <w:r w:rsidRPr="0082214D">
        <w:t xml:space="preserve"> </w:t>
      </w:r>
      <w:r w:rsidRPr="00097EEF">
        <w:t xml:space="preserve">voldaan. Bovendien is het onderscheid tussen binnenlandse en buitenlandse deelnemingen voor de toepassing van de deelnemingsvrijstelling met de nieuwe Lwb komen te vervallen. </w:t>
      </w:r>
      <w:r>
        <w:t xml:space="preserve">Voor zowel binnenlandse- als buitenlandse deelnemingen </w:t>
      </w:r>
      <w:r w:rsidRPr="00097EEF">
        <w:t xml:space="preserve">geldt nu een vrijstelling van 100%. Hiermee is aan een mogelijk knelpunt tegemoetgekomen en van strijdigheid met het EU- </w:t>
      </w:r>
      <w:r>
        <w:t>r</w:t>
      </w:r>
      <w:r w:rsidRPr="00097EEF">
        <w:t>echt op dit punt geen sprake meer. Met betrekking tot de S</w:t>
      </w:r>
      <w:r>
        <w:t xml:space="preserve">paartegoedenrichtlijn </w:t>
      </w:r>
      <w:r w:rsidRPr="00097EEF">
        <w:t xml:space="preserve">is het zo dat Nederland </w:t>
      </w:r>
      <w:r>
        <w:lastRenderedPageBreak/>
        <w:t xml:space="preserve">met de Nederlandse Antillen en </w:t>
      </w:r>
      <w:r w:rsidRPr="00097EEF">
        <w:t xml:space="preserve">Aruba reeds sinds 2005 spaartegoedenverdragen heeft afgesloten. Er zijn op dit gebied dus concrete afspraken gemaakt, wat de kans op strijdigheid verkleint. Tenslotte dient omwille van de volledigheid omgemerkt te worden dat Curaçao om te kunnen voldoen aan de </w:t>
      </w:r>
      <w:r>
        <w:t>r</w:t>
      </w:r>
      <w:r w:rsidRPr="00097EEF">
        <w:t>ichtlijnen inzake uitwisseling van inlichtingen en invordering van belastingen haar wetgeving bij strijdigheid of in het geval dat het momenteel niet (voldoende) geregeld is aan deze richtlijnen zal moeten aanpassen en haar wetgeving zodanig moeten inrichten dat het verstrekken van informatie dan wel de invordering van belastingen op grond van deze richtlijnen mogelijk is en niet wordt verhinderd.</w:t>
      </w:r>
      <w:r>
        <w:t xml:space="preserve"> </w:t>
      </w:r>
      <w:r w:rsidRPr="00AF7764">
        <w:t>Gelet op het feit dat de Belasting Regeling voor het Koninkrijk (BRK) een vergaande samenwerking binnen het Koninkrijk bewerkstelligd, worden ook op dit front niet veel problemen verwacht.</w:t>
      </w:r>
    </w:p>
    <w:p w:rsidR="00A64945" w:rsidRPr="00097EEF" w:rsidRDefault="00A64945" w:rsidP="00A478A6">
      <w:pPr>
        <w:spacing w:after="0" w:line="360" w:lineRule="auto"/>
        <w:jc w:val="both"/>
      </w:pPr>
    </w:p>
    <w:p w:rsidR="00A64945" w:rsidRPr="00354462" w:rsidRDefault="00A64945" w:rsidP="00354462">
      <w:pPr>
        <w:spacing w:after="0" w:line="360" w:lineRule="auto"/>
        <w:jc w:val="both"/>
        <w:rPr>
          <w:b/>
          <w:i/>
          <w:sz w:val="20"/>
          <w:szCs w:val="20"/>
        </w:rPr>
      </w:pPr>
      <w:r w:rsidRPr="00354462">
        <w:rPr>
          <w:b/>
          <w:i/>
          <w:sz w:val="20"/>
          <w:szCs w:val="20"/>
        </w:rPr>
        <w:t>Schadelijke belastingconcurrentie en Staatssteun</w:t>
      </w:r>
    </w:p>
    <w:p w:rsidR="00A64945" w:rsidRDefault="00A64945" w:rsidP="001144ED">
      <w:pPr>
        <w:spacing w:after="0" w:line="360" w:lineRule="auto"/>
        <w:jc w:val="both"/>
        <w:rPr>
          <w:rFonts w:cs="Times New Roman"/>
          <w:b/>
          <w:bCs/>
          <w:sz w:val="28"/>
          <w:szCs w:val="28"/>
        </w:rPr>
      </w:pPr>
      <w:r w:rsidRPr="00097EEF">
        <w:t xml:space="preserve">De toetsing  van de fiscaliteit van het Curaçaose E- Zoneregime aan de bepalingen omtrent schadelijke belastingconcurrentie  en staatssteun wijst uit dat de fiscale regeling die ten grondslag ligt aan het E- Zoneregime, mogelijk een verboden staatssteun is en dus in strijd is met het EU- recht. De regeling voldoet in principe aan de cumulatieve voorwaarden voor verboden staatssteun. Het behelst een specifieke maatregel in de vorm van een voordeel dat met Curaçaose staatsmiddelen is bekostigd en dat de mededinging en het handelsverkeer in de EU ongunstig neigt te beïnvloeden. Wat betreft de selectiviteit is er bovendien mogelijk ook sprake van </w:t>
      </w:r>
      <w:r>
        <w:t>regionale (</w:t>
      </w:r>
      <w:r w:rsidRPr="00097EEF">
        <w:t>geografische</w:t>
      </w:r>
      <w:r>
        <w:t>)</w:t>
      </w:r>
      <w:r w:rsidRPr="00097EEF">
        <w:t xml:space="preserve"> selectiviteit</w:t>
      </w:r>
      <w:r>
        <w:t xml:space="preserve">. Geografisch gezien is de regeling dus mogelijk ook selectief, </w:t>
      </w:r>
      <w:r w:rsidRPr="00097EEF">
        <w:t xml:space="preserve">wat een aanvullend argument zou kunnen vormen bij de beoordeling of de belastingregeling een verboden staatsteunmaatregel is. </w:t>
      </w:r>
      <w:r>
        <w:br w:type="page"/>
      </w:r>
    </w:p>
    <w:p w:rsidR="00A64945" w:rsidRPr="00B101C4" w:rsidRDefault="00A64945" w:rsidP="00BE4113">
      <w:pPr>
        <w:pStyle w:val="Heading1"/>
        <w:jc w:val="both"/>
        <w:rPr>
          <w:rFonts w:ascii="Calibri" w:hAnsi="Calibri"/>
          <w:color w:val="auto"/>
        </w:rPr>
      </w:pPr>
      <w:bookmarkStart w:id="132" w:name="_Toc299634332"/>
      <w:r w:rsidRPr="00B101C4">
        <w:rPr>
          <w:rFonts w:ascii="Calibri" w:hAnsi="Calibri"/>
          <w:color w:val="auto"/>
        </w:rPr>
        <w:t>Literatuurlijst</w:t>
      </w:r>
      <w:bookmarkEnd w:id="132"/>
    </w:p>
    <w:p w:rsidR="00A64945" w:rsidRDefault="00A64945" w:rsidP="00BE4113">
      <w:pPr>
        <w:rPr>
          <w:b/>
          <w:sz w:val="24"/>
          <w:szCs w:val="24"/>
        </w:rPr>
      </w:pPr>
    </w:p>
    <w:p w:rsidR="00A64945" w:rsidRPr="00787414" w:rsidRDefault="00A64945" w:rsidP="00BE4113">
      <w:pPr>
        <w:rPr>
          <w:b/>
          <w:sz w:val="24"/>
          <w:szCs w:val="24"/>
          <w:u w:val="single"/>
        </w:rPr>
      </w:pPr>
      <w:r w:rsidRPr="00787414">
        <w:rPr>
          <w:b/>
          <w:sz w:val="24"/>
          <w:szCs w:val="24"/>
          <w:u w:val="single"/>
        </w:rPr>
        <w:t>Boeken</w:t>
      </w:r>
    </w:p>
    <w:p w:rsidR="00A64945" w:rsidRPr="008D03E6" w:rsidRDefault="00A64945" w:rsidP="008D03E6">
      <w:pPr>
        <w:pStyle w:val="ListParagraph"/>
        <w:numPr>
          <w:ilvl w:val="0"/>
          <w:numId w:val="33"/>
        </w:numPr>
        <w:spacing w:after="0"/>
        <w:jc w:val="both"/>
      </w:pPr>
      <w:r w:rsidRPr="00E2466C">
        <w:t>Maatschappelijk heffen</w:t>
      </w:r>
      <w:r w:rsidRPr="008D03E6">
        <w:rPr>
          <w:i/>
        </w:rPr>
        <w:t>, De wetenschap,</w:t>
      </w:r>
      <w:r w:rsidRPr="008D03E6">
        <w:t xml:space="preserve"> D.A. Albregtse en P. Kavelaars </w:t>
      </w:r>
      <w:r>
        <w:t xml:space="preserve">(red.) </w:t>
      </w:r>
      <w:r w:rsidRPr="008D03E6">
        <w:t>Kluwer, Deventer, 2006.</w:t>
      </w:r>
    </w:p>
    <w:p w:rsidR="00A64945" w:rsidRPr="008D03E6" w:rsidRDefault="00A64945" w:rsidP="008D03E6">
      <w:pPr>
        <w:pStyle w:val="ListParagraph"/>
        <w:numPr>
          <w:ilvl w:val="0"/>
          <w:numId w:val="33"/>
        </w:numPr>
        <w:spacing w:after="0"/>
        <w:jc w:val="both"/>
      </w:pPr>
      <w:r w:rsidRPr="008D03E6">
        <w:t xml:space="preserve">R. Barents, L.J. Brinkhorst, </w:t>
      </w:r>
      <w:r w:rsidRPr="008D03E6">
        <w:rPr>
          <w:i/>
        </w:rPr>
        <w:t>Grondlijnen van Europees recht</w:t>
      </w:r>
      <w:r w:rsidRPr="008D03E6">
        <w:t>, pg. 53, Kluwer, Deventer, 2006.</w:t>
      </w:r>
    </w:p>
    <w:p w:rsidR="00A64945" w:rsidRPr="008D03E6" w:rsidRDefault="00A64945" w:rsidP="008D03E6">
      <w:pPr>
        <w:pStyle w:val="ListParagraph"/>
        <w:numPr>
          <w:ilvl w:val="0"/>
          <w:numId w:val="33"/>
        </w:numPr>
        <w:jc w:val="both"/>
      </w:pPr>
      <w:r w:rsidRPr="008D03E6">
        <w:t xml:space="preserve">R.P.C.W.M. Brandsma e.a., </w:t>
      </w:r>
      <w:r w:rsidRPr="008D03E6">
        <w:rPr>
          <w:i/>
        </w:rPr>
        <w:t>Cursus Belastingrecht -Europees Belastingrecht-</w:t>
      </w:r>
      <w:r w:rsidRPr="008D03E6">
        <w:t xml:space="preserve"> studenteneditie 2007-2008, kluwer, Deventer, 2008.</w:t>
      </w:r>
    </w:p>
    <w:p w:rsidR="00A64945" w:rsidRPr="008D03E6" w:rsidRDefault="00A64945" w:rsidP="008D03E6">
      <w:pPr>
        <w:pStyle w:val="ListParagraph"/>
        <w:numPr>
          <w:ilvl w:val="0"/>
          <w:numId w:val="33"/>
        </w:numPr>
        <w:spacing w:after="0"/>
        <w:jc w:val="both"/>
      </w:pPr>
      <w:r w:rsidRPr="008D03E6">
        <w:t>P. Kavelaars, A.C.G.A.C. de Graaf en A.J.A. Stevens, Internationaal Belastingrecht, fed fiscale studieserie, Kluwer, Deventer, 2007.</w:t>
      </w:r>
    </w:p>
    <w:p w:rsidR="00A64945" w:rsidRPr="008D03E6" w:rsidRDefault="00A64945" w:rsidP="008D03E6">
      <w:pPr>
        <w:pStyle w:val="ListParagraph"/>
        <w:numPr>
          <w:ilvl w:val="0"/>
          <w:numId w:val="33"/>
        </w:numPr>
        <w:jc w:val="both"/>
      </w:pPr>
      <w:r w:rsidRPr="008D03E6">
        <w:t>F. Metry,</w:t>
      </w:r>
      <w:r w:rsidRPr="008D03E6">
        <w:rPr>
          <w:i/>
        </w:rPr>
        <w:t xml:space="preserve"> Tax- holiday en vrije zone- faciliteiten</w:t>
      </w:r>
      <w:r w:rsidRPr="008D03E6">
        <w:t>, pg. 85, Curaçao: Scherpenheuvel  1978</w:t>
      </w:r>
    </w:p>
    <w:p w:rsidR="00A64945" w:rsidRPr="008D03E6" w:rsidRDefault="00A64945" w:rsidP="008D03E6">
      <w:pPr>
        <w:pStyle w:val="ListParagraph"/>
        <w:numPr>
          <w:ilvl w:val="0"/>
          <w:numId w:val="34"/>
        </w:numPr>
        <w:spacing w:after="0"/>
        <w:jc w:val="both"/>
      </w:pPr>
      <w:r w:rsidRPr="008D03E6">
        <w:t xml:space="preserve">G.H. Sjobbema, </w:t>
      </w:r>
      <w:r w:rsidRPr="008D03E6">
        <w:rPr>
          <w:i/>
        </w:rPr>
        <w:t xml:space="preserve">Informatieverplichtingen van banken ten dienste van belastingheffing; de informatieverplichtingen van banken ten behoeve van de belastingheffing van derden in Nederland, Duitsland en België, </w:t>
      </w:r>
      <w:r w:rsidRPr="008D03E6">
        <w:t>Maklu, Antwerpen- Apeldoorn, 2007.</w:t>
      </w:r>
    </w:p>
    <w:p w:rsidR="00A64945" w:rsidRPr="00B337A2" w:rsidRDefault="00A64945" w:rsidP="002C7FEC">
      <w:pPr>
        <w:pStyle w:val="ListParagraph"/>
        <w:numPr>
          <w:ilvl w:val="0"/>
          <w:numId w:val="34"/>
        </w:numPr>
        <w:spacing w:after="0" w:line="240" w:lineRule="auto"/>
        <w:jc w:val="both"/>
        <w:rPr>
          <w:lang w:val="en-US"/>
        </w:rPr>
      </w:pPr>
      <w:r w:rsidRPr="00B337A2">
        <w:rPr>
          <w:lang w:val="en-US"/>
        </w:rPr>
        <w:t xml:space="preserve">D. Smith, B. Kiekebeld, </w:t>
      </w:r>
      <w:r w:rsidRPr="00B337A2">
        <w:rPr>
          <w:i/>
          <w:lang w:val="en-US"/>
        </w:rPr>
        <w:t>EC free movement of capital, income taxation and third countries; four selected issues</w:t>
      </w:r>
      <w:r>
        <w:rPr>
          <w:lang w:val="en-US"/>
        </w:rPr>
        <w:t xml:space="preserve">, </w:t>
      </w:r>
      <w:r w:rsidRPr="00B337A2">
        <w:rPr>
          <w:lang w:val="en-US"/>
        </w:rPr>
        <w:t>Kluwer, Deventer, 2008.</w:t>
      </w:r>
    </w:p>
    <w:p w:rsidR="00A64945" w:rsidRPr="008D03E6" w:rsidRDefault="00A64945" w:rsidP="008D03E6">
      <w:pPr>
        <w:pStyle w:val="ListParagraph"/>
        <w:numPr>
          <w:ilvl w:val="0"/>
          <w:numId w:val="34"/>
        </w:numPr>
        <w:spacing w:after="0"/>
        <w:jc w:val="both"/>
      </w:pPr>
      <w:r w:rsidRPr="008D03E6">
        <w:t xml:space="preserve">L.G.M. Stevens, </w:t>
      </w:r>
      <w:r w:rsidRPr="008D03E6">
        <w:rPr>
          <w:i/>
        </w:rPr>
        <w:t>Elementair Belastingrecht voor economen en bedrijfsjuristen 2009/2010</w:t>
      </w:r>
      <w:r w:rsidRPr="008D03E6">
        <w:t xml:space="preserve">,  Kluwer, Deventer, 2009. </w:t>
      </w:r>
    </w:p>
    <w:p w:rsidR="00A64945" w:rsidRPr="008D03E6" w:rsidRDefault="00A64945" w:rsidP="008D03E6">
      <w:pPr>
        <w:pStyle w:val="ListParagraph"/>
        <w:numPr>
          <w:ilvl w:val="0"/>
          <w:numId w:val="34"/>
        </w:numPr>
        <w:jc w:val="both"/>
      </w:pPr>
      <w:r w:rsidRPr="008D03E6">
        <w:t xml:space="preserve">S. R. Vanenburg en A. Kattouw, Het Nieuw Fiscaal Raamwerk op de Nederlandse Antillen; </w:t>
      </w:r>
      <w:r w:rsidRPr="008D03E6">
        <w:rPr>
          <w:i/>
        </w:rPr>
        <w:t>De Antillen als ‘nieuwe’ vestigingsplaats voor de interne financiële dienstensector</w:t>
      </w:r>
      <w:r w:rsidRPr="008D03E6">
        <w:t>, Kluwer, Deventer, 2002.</w:t>
      </w:r>
    </w:p>
    <w:p w:rsidR="00A64945" w:rsidRPr="008D03E6" w:rsidRDefault="00A64945" w:rsidP="008D03E6">
      <w:pPr>
        <w:pStyle w:val="ListParagraph"/>
        <w:numPr>
          <w:ilvl w:val="0"/>
          <w:numId w:val="34"/>
        </w:numPr>
        <w:spacing w:after="0"/>
        <w:jc w:val="both"/>
      </w:pPr>
      <w:r w:rsidRPr="008D03E6">
        <w:t xml:space="preserve">A.W. Van der Woude, </w:t>
      </w:r>
      <w:r w:rsidRPr="008D03E6">
        <w:rPr>
          <w:i/>
        </w:rPr>
        <w:t>Belastingen begrensd; de doorwerking van het discriminatieverbod en de richtlijnen van de EG op nationale belastingen</w:t>
      </w:r>
      <w:r w:rsidRPr="008D03E6">
        <w:t>, Eburon, Delft, 2000.</w:t>
      </w:r>
    </w:p>
    <w:p w:rsidR="00A64945" w:rsidRDefault="00A64945" w:rsidP="00B92D91">
      <w:pPr>
        <w:spacing w:after="0"/>
        <w:rPr>
          <w:b/>
          <w:sz w:val="24"/>
          <w:szCs w:val="24"/>
        </w:rPr>
      </w:pPr>
    </w:p>
    <w:p w:rsidR="00A64945" w:rsidRPr="00787414" w:rsidRDefault="00A64945" w:rsidP="00B92D91">
      <w:pPr>
        <w:spacing w:after="0"/>
        <w:rPr>
          <w:u w:val="single"/>
        </w:rPr>
      </w:pPr>
      <w:r w:rsidRPr="00787414">
        <w:rPr>
          <w:b/>
          <w:sz w:val="24"/>
          <w:szCs w:val="24"/>
          <w:u w:val="single"/>
        </w:rPr>
        <w:t>Onderzoekrapporten</w:t>
      </w:r>
    </w:p>
    <w:p w:rsidR="00A64945" w:rsidRDefault="00A64945" w:rsidP="00865629">
      <w:pPr>
        <w:spacing w:after="0" w:line="240" w:lineRule="auto"/>
        <w:jc w:val="both"/>
        <w:rPr>
          <w:sz w:val="18"/>
          <w:szCs w:val="18"/>
        </w:rPr>
      </w:pPr>
    </w:p>
    <w:p w:rsidR="00A64945" w:rsidRPr="00B057FE" w:rsidRDefault="00A64945" w:rsidP="009573B5">
      <w:pPr>
        <w:pStyle w:val="ListParagraph"/>
        <w:numPr>
          <w:ilvl w:val="0"/>
          <w:numId w:val="34"/>
        </w:numPr>
        <w:jc w:val="both"/>
      </w:pPr>
      <w:r>
        <w:t xml:space="preserve">Banden met Brussel, </w:t>
      </w:r>
      <w:r w:rsidRPr="00B057FE">
        <w:rPr>
          <w:i/>
        </w:rPr>
        <w:t>De betrekkingen van de Nederlandse Antillen en Aruba met de Europese Unie,</w:t>
      </w:r>
      <w:r w:rsidRPr="00B057FE">
        <w:t xml:space="preserve"> Rapport van de commissie ter bestudering van mogelijke toekomstige relaties van de Nederlandse Antillen en Aruba met de Europese Unie, 1 juli 2004.</w:t>
      </w:r>
    </w:p>
    <w:p w:rsidR="00A64945" w:rsidRPr="00B057FE" w:rsidRDefault="00A64945" w:rsidP="009573B5">
      <w:pPr>
        <w:pStyle w:val="ListParagraph"/>
        <w:numPr>
          <w:ilvl w:val="0"/>
          <w:numId w:val="34"/>
        </w:numPr>
        <w:spacing w:after="0"/>
        <w:jc w:val="both"/>
      </w:pPr>
      <w:r w:rsidRPr="00B057FE">
        <w:t xml:space="preserve">Bekkers, Boot en Van der Windt, </w:t>
      </w:r>
      <w:r w:rsidRPr="00B057FE">
        <w:rPr>
          <w:i/>
        </w:rPr>
        <w:t>Nederlandse Antillen: LGO of UPG?</w:t>
      </w:r>
      <w:r w:rsidRPr="00B057FE">
        <w:t>, Opdrachtgever: De Centrale bank van de Nederlandse Antillen, SEOR Erasmus Universiteit Rotterdam, 2004.</w:t>
      </w:r>
    </w:p>
    <w:p w:rsidR="00A64945" w:rsidRPr="00B057FE" w:rsidRDefault="00A64945" w:rsidP="00C27316">
      <w:pPr>
        <w:pStyle w:val="ListParagraph"/>
        <w:numPr>
          <w:ilvl w:val="0"/>
          <w:numId w:val="34"/>
        </w:numPr>
        <w:spacing w:after="0"/>
        <w:jc w:val="both"/>
      </w:pPr>
      <w:r w:rsidRPr="00B057FE">
        <w:t xml:space="preserve">Rapport </w:t>
      </w:r>
      <w:r w:rsidRPr="00B057FE">
        <w:rPr>
          <w:i/>
        </w:rPr>
        <w:t>‘Economische gevolgen van de status van ultraperifeer gebied voor de Nederlandse Antillen en Aruba’</w:t>
      </w:r>
      <w:r w:rsidRPr="00B057FE">
        <w:t xml:space="preserve"> in opdracht van het Ministerie van Binnenlandse Zaken en Koninkrijksrelaties, d.d. 2 juni 2008.</w:t>
      </w:r>
    </w:p>
    <w:p w:rsidR="00A64945" w:rsidRPr="00B057FE" w:rsidRDefault="00A64945" w:rsidP="00C27316">
      <w:pPr>
        <w:pStyle w:val="ListParagraph"/>
        <w:numPr>
          <w:ilvl w:val="0"/>
          <w:numId w:val="34"/>
        </w:numPr>
        <w:spacing w:after="0"/>
        <w:jc w:val="both"/>
      </w:pPr>
      <w:r w:rsidRPr="00B057FE">
        <w:t xml:space="preserve">Rapport </w:t>
      </w:r>
      <w:r w:rsidRPr="00B057FE">
        <w:rPr>
          <w:i/>
        </w:rPr>
        <w:t>‘Over de juridische implicaties van de UPG status voor de eilandgebieden van de Nederlandse Antillen en Aruba’</w:t>
      </w:r>
      <w:r w:rsidRPr="00B057FE">
        <w:t xml:space="preserve"> in opdracht van het Ministerie van Binnenlandse Zaken en Koninkrijksrelaties, d.d. 2 juni 2008.</w:t>
      </w:r>
    </w:p>
    <w:p w:rsidR="00A64945" w:rsidRDefault="00A64945" w:rsidP="00BE4113">
      <w:pPr>
        <w:rPr>
          <w:b/>
          <w:sz w:val="24"/>
          <w:szCs w:val="24"/>
          <w:u w:val="single"/>
        </w:rPr>
      </w:pPr>
    </w:p>
    <w:p w:rsidR="00A64945" w:rsidRDefault="00A64945" w:rsidP="00BE4113">
      <w:pPr>
        <w:rPr>
          <w:b/>
          <w:sz w:val="24"/>
          <w:szCs w:val="24"/>
          <w:u w:val="single"/>
        </w:rPr>
      </w:pPr>
    </w:p>
    <w:p w:rsidR="00A64945" w:rsidRDefault="00A64945" w:rsidP="00BE4113">
      <w:pPr>
        <w:rPr>
          <w:b/>
          <w:sz w:val="24"/>
          <w:szCs w:val="24"/>
          <w:u w:val="single"/>
        </w:rPr>
      </w:pPr>
    </w:p>
    <w:p w:rsidR="00A64945" w:rsidRPr="00787414" w:rsidRDefault="00A64945" w:rsidP="00BE4113">
      <w:pPr>
        <w:rPr>
          <w:b/>
          <w:sz w:val="24"/>
          <w:szCs w:val="24"/>
          <w:u w:val="single"/>
        </w:rPr>
      </w:pPr>
      <w:r w:rsidRPr="00787414">
        <w:rPr>
          <w:b/>
          <w:sz w:val="24"/>
          <w:szCs w:val="24"/>
          <w:u w:val="single"/>
        </w:rPr>
        <w:t>Artikelen</w:t>
      </w:r>
    </w:p>
    <w:p w:rsidR="00A64945" w:rsidRPr="00C27316" w:rsidRDefault="00A64945" w:rsidP="00564A06">
      <w:pPr>
        <w:pStyle w:val="ListParagraph"/>
        <w:numPr>
          <w:ilvl w:val="0"/>
          <w:numId w:val="33"/>
        </w:numPr>
        <w:spacing w:after="0"/>
        <w:jc w:val="both"/>
      </w:pPr>
      <w:r w:rsidRPr="00C27316">
        <w:t xml:space="preserve">J. Adeler en P. Kavelaars, </w:t>
      </w:r>
      <w:r w:rsidRPr="00C27316">
        <w:rPr>
          <w:i/>
        </w:rPr>
        <w:t>De fiscale toekomst van de Nederlandse Antillen</w:t>
      </w:r>
      <w:r w:rsidRPr="00C27316">
        <w:t>, WFR 2009/192.</w:t>
      </w:r>
    </w:p>
    <w:p w:rsidR="00A64945" w:rsidRPr="00C27316" w:rsidRDefault="00A64945" w:rsidP="00564A06">
      <w:pPr>
        <w:pStyle w:val="ListParagraph"/>
        <w:numPr>
          <w:ilvl w:val="0"/>
          <w:numId w:val="33"/>
        </w:numPr>
        <w:spacing w:after="0"/>
        <w:jc w:val="both"/>
      </w:pPr>
      <w:r w:rsidRPr="00C27316">
        <w:t>Amigoe,  Nederland neemt restantschuld Curaçao bijna geheel op zich’, 16 oktober 2010, jaargang 126, nr. 223</w:t>
      </w:r>
      <w:r>
        <w:t>.</w:t>
      </w:r>
    </w:p>
    <w:p w:rsidR="00A64945" w:rsidRPr="00C27316" w:rsidRDefault="00A64945" w:rsidP="00564A06">
      <w:pPr>
        <w:pStyle w:val="ListParagraph"/>
        <w:numPr>
          <w:ilvl w:val="0"/>
          <w:numId w:val="33"/>
        </w:numPr>
        <w:spacing w:after="0"/>
        <w:jc w:val="both"/>
      </w:pPr>
      <w:r w:rsidRPr="00C27316">
        <w:t>Amigoe, VBC in verweer tegen geleidelijke aanpassing belastingstelsel, 29 december 2010</w:t>
      </w:r>
      <w:r>
        <w:t>.</w:t>
      </w:r>
    </w:p>
    <w:p w:rsidR="00A64945" w:rsidRPr="00C27316" w:rsidRDefault="00A64945" w:rsidP="00564A06">
      <w:pPr>
        <w:pStyle w:val="ListParagraph"/>
        <w:numPr>
          <w:ilvl w:val="0"/>
          <w:numId w:val="33"/>
        </w:numPr>
        <w:spacing w:after="0"/>
        <w:jc w:val="both"/>
        <w:rPr>
          <w:rFonts w:cs="Times New Roman"/>
        </w:rPr>
      </w:pPr>
      <w:r w:rsidRPr="00C27316">
        <w:rPr>
          <w:rFonts w:cs="Times New Roman"/>
        </w:rPr>
        <w:t xml:space="preserve">Prya Bisambhar, </w:t>
      </w:r>
      <w:r w:rsidRPr="00C27316">
        <w:rPr>
          <w:i/>
        </w:rPr>
        <w:t xml:space="preserve">Het referendum van 15 mei 2009: </w:t>
      </w:r>
      <w:r w:rsidRPr="00C27316">
        <w:rPr>
          <w:rFonts w:cs="Times New Roman"/>
          <w:bCs/>
          <w:i/>
        </w:rPr>
        <w:t>Waar gaat het over?</w:t>
      </w:r>
      <w:r w:rsidRPr="00C27316">
        <w:rPr>
          <w:rFonts w:cs="Times New Roman"/>
          <w:bCs/>
        </w:rPr>
        <w:t xml:space="preserve">, Radio Nederland Wereldomroep van </w:t>
      </w:r>
      <w:r w:rsidRPr="00C27316">
        <w:rPr>
          <w:rFonts w:cs="Times New Roman"/>
        </w:rPr>
        <w:t xml:space="preserve">06-04-2009. </w:t>
      </w:r>
    </w:p>
    <w:p w:rsidR="00A64945" w:rsidRPr="00C27316" w:rsidRDefault="00A64945" w:rsidP="00564A06">
      <w:pPr>
        <w:pStyle w:val="ListParagraph"/>
        <w:numPr>
          <w:ilvl w:val="0"/>
          <w:numId w:val="33"/>
        </w:numPr>
        <w:spacing w:after="0"/>
        <w:jc w:val="both"/>
      </w:pPr>
      <w:r w:rsidRPr="00C27316">
        <w:t xml:space="preserve">H.E. Bröring e.a., De Caribische Koninkrijksgebieden en de Europese Unie, </w:t>
      </w:r>
      <w:r w:rsidRPr="00C27316">
        <w:rPr>
          <w:i/>
        </w:rPr>
        <w:t xml:space="preserve">Over de moeizame verhoudingen tussen Europees en Staatsrecht in Koninkrijksrelaties, </w:t>
      </w:r>
      <w:r w:rsidRPr="00C27316">
        <w:t>Rijksuniversiteit Groningen.</w:t>
      </w:r>
    </w:p>
    <w:p w:rsidR="00A64945" w:rsidRPr="00C27316" w:rsidRDefault="00A64945" w:rsidP="00564A06">
      <w:pPr>
        <w:pStyle w:val="ListParagraph"/>
        <w:numPr>
          <w:ilvl w:val="0"/>
          <w:numId w:val="33"/>
        </w:numPr>
        <w:spacing w:after="0"/>
        <w:jc w:val="both"/>
        <w:rPr>
          <w:lang w:val="en-US"/>
        </w:rPr>
      </w:pPr>
      <w:r w:rsidRPr="00C27316">
        <w:rPr>
          <w:lang w:val="en-US"/>
        </w:rPr>
        <w:t xml:space="preserve">F. Brás, P. Dewerbe, R. Borges, </w:t>
      </w:r>
      <w:r w:rsidRPr="00C27316">
        <w:rPr>
          <w:i/>
          <w:lang w:val="en-US"/>
        </w:rPr>
        <w:t>The Madeira Free Zone and its standpoint within the European Union</w:t>
      </w:r>
      <w:r w:rsidRPr="00C27316">
        <w:rPr>
          <w:lang w:val="en-US"/>
        </w:rPr>
        <w:t>, EC TAX REVIEW 2004/3.</w:t>
      </w:r>
    </w:p>
    <w:p w:rsidR="00A64945" w:rsidRPr="00B337A2" w:rsidRDefault="00A64945" w:rsidP="00564A06">
      <w:pPr>
        <w:pStyle w:val="BodyText"/>
        <w:numPr>
          <w:ilvl w:val="0"/>
          <w:numId w:val="33"/>
        </w:numPr>
        <w:spacing w:line="276" w:lineRule="auto"/>
        <w:jc w:val="both"/>
        <w:rPr>
          <w:rFonts w:ascii="Calibri" w:hAnsi="Calibri"/>
          <w:b w:val="0"/>
          <w:i/>
          <w:sz w:val="22"/>
          <w:szCs w:val="22"/>
        </w:rPr>
      </w:pPr>
      <w:r w:rsidRPr="00B337A2">
        <w:rPr>
          <w:rFonts w:ascii="Calibri" w:hAnsi="Calibri"/>
          <w:b w:val="0"/>
          <w:sz w:val="22"/>
          <w:szCs w:val="22"/>
        </w:rPr>
        <w:t>N. van Grieken</w:t>
      </w:r>
      <w:r w:rsidRPr="00B337A2">
        <w:rPr>
          <w:rFonts w:ascii="Calibri" w:hAnsi="Calibri"/>
          <w:b w:val="0"/>
          <w:i/>
          <w:sz w:val="22"/>
          <w:szCs w:val="22"/>
        </w:rPr>
        <w:t xml:space="preserve">, Brussel wil meer ultraperifeer gelegen gebieden in Europa laten integreren; Wat de Europese Unie met de Azoren en Frans Guyana kan, kan ook </w:t>
      </w:r>
    </w:p>
    <w:p w:rsidR="00A64945" w:rsidRPr="00B337A2" w:rsidRDefault="00A64945" w:rsidP="00564A06">
      <w:pPr>
        <w:spacing w:after="0"/>
        <w:ind w:left="708"/>
        <w:jc w:val="both"/>
        <w:rPr>
          <w:color w:val="000000"/>
          <w:lang w:eastAsia="nl-NL"/>
        </w:rPr>
      </w:pPr>
      <w:r w:rsidRPr="00B337A2">
        <w:rPr>
          <w:bCs/>
          <w:i/>
        </w:rPr>
        <w:t xml:space="preserve">met Nederlandse Antillen en Aruba; </w:t>
      </w:r>
      <w:r w:rsidRPr="00B337A2">
        <w:rPr>
          <w:i/>
        </w:rPr>
        <w:t xml:space="preserve">Wat kan de Europese Unie voor de landen van het Koninkrijk betekenen? </w:t>
      </w:r>
      <w:r w:rsidRPr="00B337A2">
        <w:t xml:space="preserve">Gedenkboek 50 jaar Statuut – Een Koninkrijksbundel, ISBN </w:t>
      </w:r>
      <w:r w:rsidRPr="00B337A2">
        <w:rPr>
          <w:color w:val="000000"/>
          <w:lang w:eastAsia="nl-NL"/>
        </w:rPr>
        <w:t>978.90.5730.417.0.</w:t>
      </w:r>
    </w:p>
    <w:p w:rsidR="00A64945" w:rsidRPr="00B97A55" w:rsidRDefault="00A64945" w:rsidP="00564A06">
      <w:pPr>
        <w:pStyle w:val="ListParagraph"/>
        <w:numPr>
          <w:ilvl w:val="0"/>
          <w:numId w:val="33"/>
        </w:numPr>
        <w:spacing w:after="0"/>
        <w:jc w:val="both"/>
      </w:pPr>
      <w:r w:rsidRPr="00C27316">
        <w:rPr>
          <w:rFonts w:cs="Times New Roman"/>
        </w:rPr>
        <w:t xml:space="preserve">Arne Hankel, </w:t>
      </w:r>
      <w:r w:rsidRPr="00C27316">
        <w:rPr>
          <w:rFonts w:cs="Times New Roman"/>
          <w:i/>
        </w:rPr>
        <w:t>Nederland start miljardenschuld Curaçao,</w:t>
      </w:r>
      <w:r w:rsidRPr="00C27316">
        <w:rPr>
          <w:rFonts w:cs="Times New Roman"/>
        </w:rPr>
        <w:t xml:space="preserve"> Elsevier van 20 april 2009</w:t>
      </w:r>
      <w:r>
        <w:rPr>
          <w:rFonts w:cs="Times New Roman"/>
        </w:rPr>
        <w:t>.</w:t>
      </w:r>
    </w:p>
    <w:p w:rsidR="00A64945" w:rsidRPr="00C27316" w:rsidRDefault="00A64945" w:rsidP="00564A06">
      <w:pPr>
        <w:pStyle w:val="ListParagraph"/>
        <w:numPr>
          <w:ilvl w:val="0"/>
          <w:numId w:val="33"/>
        </w:numPr>
        <w:spacing w:after="0"/>
        <w:jc w:val="both"/>
      </w:pPr>
      <w:r w:rsidRPr="00C27316">
        <w:t xml:space="preserve">M.J.A. van den Honert, </w:t>
      </w:r>
      <w:r w:rsidRPr="00C27316">
        <w:rPr>
          <w:i/>
        </w:rPr>
        <w:t>De zaak Scheuten Solar Technology, een analyse en mogelijke strijdigheid van renteaftrekbeperkingen met de EU interest- en royaltyrichtlijn</w:t>
      </w:r>
      <w:r w:rsidRPr="00C27316">
        <w:t>, WFR 2010/998</w:t>
      </w:r>
      <w:r>
        <w:t>.</w:t>
      </w:r>
    </w:p>
    <w:p w:rsidR="00A64945" w:rsidRDefault="00A64945" w:rsidP="00564A06">
      <w:pPr>
        <w:pStyle w:val="ListParagraph"/>
        <w:numPr>
          <w:ilvl w:val="0"/>
          <w:numId w:val="33"/>
        </w:numPr>
        <w:spacing w:after="0"/>
        <w:jc w:val="both"/>
      </w:pPr>
      <w:r w:rsidRPr="00C27316">
        <w:t xml:space="preserve">P. Kavelaars, </w:t>
      </w:r>
      <w:r w:rsidRPr="00C27316">
        <w:rPr>
          <w:i/>
        </w:rPr>
        <w:t>De Antillen, Aruba en EU</w:t>
      </w:r>
      <w:r w:rsidRPr="00C27316">
        <w:t>, WFR 2004/1775</w:t>
      </w:r>
      <w:r>
        <w:t>.</w:t>
      </w:r>
    </w:p>
    <w:p w:rsidR="00A64945" w:rsidRDefault="00A64945" w:rsidP="00564A06">
      <w:pPr>
        <w:pStyle w:val="ListParagraph"/>
        <w:numPr>
          <w:ilvl w:val="0"/>
          <w:numId w:val="33"/>
        </w:numPr>
        <w:spacing w:after="0"/>
        <w:jc w:val="both"/>
      </w:pPr>
      <w:r w:rsidRPr="00191FF0">
        <w:t xml:space="preserve">P. Kavelaars, </w:t>
      </w:r>
      <w:r w:rsidRPr="00191FF0">
        <w:rPr>
          <w:i/>
        </w:rPr>
        <w:t>Fiscaliteit in Caribisch Nederland</w:t>
      </w:r>
      <w:r w:rsidRPr="00191FF0">
        <w:t>,  WFR 2011/300.</w:t>
      </w:r>
    </w:p>
    <w:p w:rsidR="00A64945" w:rsidRDefault="00A64945" w:rsidP="00564A06">
      <w:pPr>
        <w:pStyle w:val="ListParagraph"/>
        <w:numPr>
          <w:ilvl w:val="0"/>
          <w:numId w:val="33"/>
        </w:numPr>
        <w:spacing w:after="0"/>
        <w:jc w:val="both"/>
      </w:pPr>
      <w:r w:rsidRPr="00D37FF4">
        <w:t xml:space="preserve">P. Kavelaars, </w:t>
      </w:r>
      <w:r w:rsidRPr="00D37FF4">
        <w:rPr>
          <w:i/>
        </w:rPr>
        <w:t>Het buitenland van de Europese Unie</w:t>
      </w:r>
      <w:r w:rsidRPr="00D37FF4">
        <w:t>, WFR 2007/919.</w:t>
      </w:r>
    </w:p>
    <w:p w:rsidR="00A64945" w:rsidRPr="00326744" w:rsidRDefault="00A64945" w:rsidP="00564A06">
      <w:pPr>
        <w:pStyle w:val="ListParagraph"/>
        <w:numPr>
          <w:ilvl w:val="0"/>
          <w:numId w:val="33"/>
        </w:numPr>
        <w:spacing w:after="0"/>
        <w:jc w:val="both"/>
        <w:rPr>
          <w:i/>
        </w:rPr>
      </w:pPr>
      <w:r w:rsidRPr="00326744">
        <w:t xml:space="preserve">J.J. Klaver, </w:t>
      </w:r>
      <w:r w:rsidRPr="00326744">
        <w:rPr>
          <w:i/>
        </w:rPr>
        <w:t xml:space="preserve">De  E- Zone op de Nederlandse Antillen; Voorwaarden, mogelijkheden en gevolgen, </w:t>
      </w:r>
      <w:r w:rsidRPr="00326744">
        <w:t>WFR 2004/1570.</w:t>
      </w:r>
    </w:p>
    <w:p w:rsidR="00A64945" w:rsidRPr="00C27316" w:rsidRDefault="00A64945" w:rsidP="00564A06">
      <w:pPr>
        <w:pStyle w:val="FootnoteText"/>
        <w:numPr>
          <w:ilvl w:val="0"/>
          <w:numId w:val="33"/>
        </w:numPr>
        <w:spacing w:line="276" w:lineRule="auto"/>
        <w:jc w:val="both"/>
        <w:rPr>
          <w:sz w:val="22"/>
          <w:szCs w:val="22"/>
        </w:rPr>
      </w:pPr>
      <w:r w:rsidRPr="00C27316">
        <w:rPr>
          <w:sz w:val="22"/>
          <w:szCs w:val="22"/>
        </w:rPr>
        <w:t xml:space="preserve">R.W. van der Linde en A.W.G. Lamers, </w:t>
      </w:r>
      <w:r w:rsidRPr="00C27316">
        <w:rPr>
          <w:i/>
          <w:sz w:val="22"/>
          <w:szCs w:val="22"/>
        </w:rPr>
        <w:t>De interest en royaltyrichtlijn</w:t>
      </w:r>
      <w:r w:rsidRPr="00C27316">
        <w:rPr>
          <w:sz w:val="22"/>
          <w:szCs w:val="22"/>
        </w:rPr>
        <w:t>, WFR 2004/6567.</w:t>
      </w:r>
    </w:p>
    <w:p w:rsidR="00A64945" w:rsidRDefault="00A64945" w:rsidP="00564A06">
      <w:pPr>
        <w:pStyle w:val="ListParagraph"/>
        <w:numPr>
          <w:ilvl w:val="0"/>
          <w:numId w:val="33"/>
        </w:numPr>
        <w:spacing w:after="0"/>
        <w:jc w:val="both"/>
      </w:pPr>
      <w:r w:rsidRPr="00B337A2">
        <w:rPr>
          <w:bCs/>
          <w:lang w:eastAsia="nl-NL"/>
        </w:rPr>
        <w:t>R. de Smit, K. Theunissen</w:t>
      </w:r>
      <w:bookmarkStart w:id="133" w:name="NOOT_676273_10107_"/>
      <w:bookmarkEnd w:id="133"/>
      <w:r w:rsidRPr="00B337A2">
        <w:rPr>
          <w:bCs/>
          <w:lang w:eastAsia="nl-NL"/>
        </w:rPr>
        <w:t xml:space="preserve">, </w:t>
      </w:r>
      <w:r w:rsidRPr="00B337A2">
        <w:rPr>
          <w:bCs/>
          <w:i/>
          <w:lang w:eastAsia="nl-NL"/>
        </w:rPr>
        <w:t>Verslag van de ronde</w:t>
      </w:r>
      <w:r>
        <w:rPr>
          <w:bCs/>
          <w:i/>
          <w:lang w:eastAsia="nl-NL"/>
        </w:rPr>
        <w:t xml:space="preserve"> </w:t>
      </w:r>
      <w:r w:rsidRPr="00B337A2">
        <w:rPr>
          <w:bCs/>
          <w:i/>
          <w:lang w:eastAsia="nl-NL"/>
        </w:rPr>
        <w:t>tafel</w:t>
      </w:r>
      <w:r>
        <w:rPr>
          <w:bCs/>
          <w:i/>
          <w:lang w:eastAsia="nl-NL"/>
        </w:rPr>
        <w:t xml:space="preserve"> </w:t>
      </w:r>
      <w:r w:rsidRPr="00B337A2">
        <w:rPr>
          <w:bCs/>
          <w:i/>
          <w:lang w:eastAsia="nl-NL"/>
        </w:rPr>
        <w:t>bijeenkomst "Het fiscale concern binnen</w:t>
      </w:r>
      <w:r>
        <w:rPr>
          <w:bCs/>
          <w:i/>
          <w:lang w:eastAsia="nl-NL"/>
        </w:rPr>
        <w:t xml:space="preserve"> </w:t>
      </w:r>
      <w:r w:rsidRPr="00B337A2">
        <w:rPr>
          <w:bCs/>
          <w:i/>
          <w:lang w:eastAsia="nl-NL"/>
        </w:rPr>
        <w:t>het EG-recht"</w:t>
      </w:r>
      <w:r>
        <w:rPr>
          <w:bCs/>
          <w:i/>
          <w:lang w:eastAsia="nl-NL"/>
        </w:rPr>
        <w:t xml:space="preserve">, </w:t>
      </w:r>
      <w:r w:rsidRPr="00B337A2">
        <w:rPr>
          <w:bCs/>
          <w:i/>
          <w:lang w:eastAsia="nl-NL"/>
        </w:rPr>
        <w:t xml:space="preserve"> </w:t>
      </w:r>
      <w:r w:rsidRPr="00B337A2">
        <w:rPr>
          <w:bCs/>
          <w:lang w:eastAsia="nl-NL"/>
        </w:rPr>
        <w:t>WFR 2008/1287</w:t>
      </w:r>
      <w:r>
        <w:rPr>
          <w:bCs/>
          <w:lang w:eastAsia="nl-NL"/>
        </w:rPr>
        <w:t>.</w:t>
      </w:r>
    </w:p>
    <w:p w:rsidR="00A64945" w:rsidRDefault="00A64945" w:rsidP="00564A06">
      <w:pPr>
        <w:pStyle w:val="ListParagraph"/>
        <w:numPr>
          <w:ilvl w:val="0"/>
          <w:numId w:val="33"/>
        </w:numPr>
        <w:spacing w:after="0"/>
        <w:jc w:val="both"/>
      </w:pPr>
      <w:r w:rsidRPr="00C27316">
        <w:t xml:space="preserve">Trouw, </w:t>
      </w:r>
      <w:r w:rsidRPr="00C27316">
        <w:rPr>
          <w:i/>
        </w:rPr>
        <w:t>Antillen kunnen Europees recht beter selectief gebruiken</w:t>
      </w:r>
      <w:r w:rsidRPr="00C27316">
        <w:t>,  05-07-2008</w:t>
      </w:r>
      <w:r>
        <w:t>.</w:t>
      </w:r>
    </w:p>
    <w:p w:rsidR="00A64945" w:rsidRPr="00C27316" w:rsidRDefault="00A64945" w:rsidP="00564A06">
      <w:pPr>
        <w:pStyle w:val="ListParagraph"/>
        <w:numPr>
          <w:ilvl w:val="0"/>
          <w:numId w:val="33"/>
        </w:numPr>
        <w:spacing w:after="0"/>
        <w:jc w:val="both"/>
      </w:pPr>
      <w:r w:rsidRPr="00B337A2">
        <w:t xml:space="preserve">D.M. Weber, </w:t>
      </w:r>
      <w:r w:rsidRPr="00B337A2">
        <w:rPr>
          <w:i/>
        </w:rPr>
        <w:t>De Nederlandse Antillen en Aruba als Ultraperifeer gebied van de EG en directe belastingen</w:t>
      </w:r>
      <w:r w:rsidRPr="00B337A2">
        <w:t xml:space="preserve">, </w:t>
      </w:r>
      <w:r>
        <w:t>Alle wegen leiden naar Brussel; 50 jaar Europese jurisprudentie en wetgeving, NOB, Amsterdam, 2004, pg. 143 t/m 157.</w:t>
      </w:r>
    </w:p>
    <w:p w:rsidR="00A64945" w:rsidRDefault="00A64945" w:rsidP="00C27316">
      <w:pPr>
        <w:spacing w:after="0"/>
        <w:rPr>
          <w:sz w:val="18"/>
          <w:szCs w:val="18"/>
        </w:rPr>
      </w:pPr>
    </w:p>
    <w:p w:rsidR="00A64945" w:rsidRPr="00787414" w:rsidRDefault="00A64945" w:rsidP="00BE4113">
      <w:pPr>
        <w:rPr>
          <w:b/>
          <w:sz w:val="24"/>
          <w:szCs w:val="24"/>
          <w:u w:val="single"/>
        </w:rPr>
      </w:pPr>
      <w:r>
        <w:rPr>
          <w:b/>
          <w:sz w:val="24"/>
          <w:szCs w:val="24"/>
          <w:u w:val="single"/>
        </w:rPr>
        <w:t>Jurisprudentieregister</w:t>
      </w:r>
    </w:p>
    <w:p w:rsidR="00A64945" w:rsidRPr="00AB335E" w:rsidRDefault="00A64945" w:rsidP="006B6763">
      <w:pPr>
        <w:pStyle w:val="FootnoteText"/>
        <w:numPr>
          <w:ilvl w:val="0"/>
          <w:numId w:val="36"/>
        </w:numPr>
        <w:spacing w:line="276" w:lineRule="auto"/>
        <w:jc w:val="both"/>
        <w:rPr>
          <w:sz w:val="22"/>
          <w:szCs w:val="22"/>
          <w:lang w:val="fr-FR"/>
        </w:rPr>
      </w:pPr>
      <w:r w:rsidRPr="00AB335E">
        <w:rPr>
          <w:sz w:val="22"/>
          <w:szCs w:val="22"/>
          <w:lang w:val="fr-FR"/>
        </w:rPr>
        <w:t>C- 204/90</w:t>
      </w:r>
      <w:r>
        <w:rPr>
          <w:sz w:val="22"/>
          <w:szCs w:val="22"/>
          <w:lang w:val="fr-FR"/>
        </w:rPr>
        <w:t>, 28 januari 1992</w:t>
      </w:r>
      <w:r w:rsidRPr="00AB335E">
        <w:rPr>
          <w:sz w:val="22"/>
          <w:szCs w:val="22"/>
          <w:lang w:val="fr-FR"/>
        </w:rPr>
        <w:t xml:space="preserve"> </w:t>
      </w:r>
      <w:r>
        <w:rPr>
          <w:sz w:val="22"/>
          <w:szCs w:val="22"/>
          <w:lang w:val="fr-FR"/>
        </w:rPr>
        <w:t>(</w:t>
      </w:r>
      <w:r w:rsidRPr="00AB335E">
        <w:rPr>
          <w:sz w:val="22"/>
          <w:szCs w:val="22"/>
          <w:lang w:val="fr-FR"/>
        </w:rPr>
        <w:t>Bachmann</w:t>
      </w:r>
      <w:r>
        <w:rPr>
          <w:sz w:val="22"/>
          <w:szCs w:val="22"/>
          <w:lang w:val="fr-FR"/>
        </w:rPr>
        <w:t>).</w:t>
      </w:r>
    </w:p>
    <w:p w:rsidR="00A64945" w:rsidRPr="00AB335E" w:rsidRDefault="00A64945" w:rsidP="006B6763">
      <w:pPr>
        <w:pStyle w:val="FootnoteText"/>
        <w:numPr>
          <w:ilvl w:val="0"/>
          <w:numId w:val="36"/>
        </w:numPr>
        <w:spacing w:line="276" w:lineRule="auto"/>
        <w:jc w:val="both"/>
        <w:rPr>
          <w:sz w:val="22"/>
          <w:szCs w:val="22"/>
        </w:rPr>
      </w:pPr>
      <w:r w:rsidRPr="00AB335E">
        <w:rPr>
          <w:sz w:val="22"/>
          <w:szCs w:val="22"/>
        </w:rPr>
        <w:t>HvJ EG 3 juni 1964 zaak 6/64 (Costa/ENEL)</w:t>
      </w:r>
      <w:r>
        <w:rPr>
          <w:sz w:val="22"/>
          <w:szCs w:val="22"/>
        </w:rPr>
        <w:t>.</w:t>
      </w:r>
    </w:p>
    <w:p w:rsidR="00A64945" w:rsidRPr="00C864E9" w:rsidRDefault="00A64945" w:rsidP="00AB335E">
      <w:pPr>
        <w:pStyle w:val="ListParagraph"/>
        <w:numPr>
          <w:ilvl w:val="0"/>
          <w:numId w:val="36"/>
        </w:numPr>
        <w:spacing w:after="0"/>
        <w:jc w:val="both"/>
        <w:rPr>
          <w:b/>
        </w:rPr>
      </w:pPr>
      <w:r w:rsidRPr="00AB335E">
        <w:rPr>
          <w:rFonts w:cs="Times New Roman"/>
          <w:lang w:eastAsia="nl-NL"/>
        </w:rPr>
        <w:t>C</w:t>
      </w:r>
      <w:r w:rsidRPr="00AB335E">
        <w:rPr>
          <w:rFonts w:cs="Times New Roman"/>
          <w:lang w:eastAsia="nl-NL"/>
        </w:rPr>
        <w:noBreakHyphen/>
        <w:t xml:space="preserve">300/04, </w:t>
      </w:r>
      <w:r>
        <w:rPr>
          <w:rFonts w:cs="Times New Roman"/>
          <w:lang w:eastAsia="nl-NL"/>
        </w:rPr>
        <w:t xml:space="preserve">12 september 2006 </w:t>
      </w:r>
      <w:r w:rsidRPr="00AB335E">
        <w:rPr>
          <w:rFonts w:cs="Times New Roman"/>
          <w:lang w:eastAsia="nl-NL"/>
        </w:rPr>
        <w:t>(Eman/Sevinger)</w:t>
      </w:r>
      <w:r>
        <w:rPr>
          <w:rFonts w:cs="Times New Roman"/>
          <w:lang w:eastAsia="nl-NL"/>
        </w:rPr>
        <w:t>.</w:t>
      </w:r>
    </w:p>
    <w:p w:rsidR="00A64945" w:rsidRPr="00C864E9" w:rsidRDefault="00A64945" w:rsidP="00AB335E">
      <w:pPr>
        <w:pStyle w:val="ListParagraph"/>
        <w:numPr>
          <w:ilvl w:val="0"/>
          <w:numId w:val="36"/>
        </w:numPr>
        <w:spacing w:after="0"/>
        <w:jc w:val="both"/>
        <w:rPr>
          <w:b/>
        </w:rPr>
      </w:pPr>
      <w:r w:rsidRPr="00C864E9">
        <w:t>C-17/98,  8 februari 2000, zaak (Emesa Sugar).</w:t>
      </w:r>
    </w:p>
    <w:p w:rsidR="00A64945" w:rsidRPr="00AB335E" w:rsidRDefault="00A64945" w:rsidP="006B6763">
      <w:pPr>
        <w:pStyle w:val="FootnoteText"/>
        <w:numPr>
          <w:ilvl w:val="0"/>
          <w:numId w:val="36"/>
        </w:numPr>
        <w:spacing w:line="276" w:lineRule="auto"/>
        <w:jc w:val="both"/>
        <w:rPr>
          <w:sz w:val="22"/>
          <w:szCs w:val="22"/>
          <w:lang w:val="fr-FR"/>
        </w:rPr>
      </w:pPr>
      <w:r w:rsidRPr="00AB335E">
        <w:rPr>
          <w:sz w:val="22"/>
          <w:szCs w:val="22"/>
          <w:lang w:val="fr-FR"/>
        </w:rPr>
        <w:t>C-250/95</w:t>
      </w:r>
      <w:r>
        <w:rPr>
          <w:sz w:val="22"/>
          <w:szCs w:val="22"/>
          <w:lang w:val="fr-FR"/>
        </w:rPr>
        <w:t>, 15 mei 1997</w:t>
      </w:r>
      <w:r w:rsidRPr="00AB335E">
        <w:rPr>
          <w:sz w:val="22"/>
          <w:szCs w:val="22"/>
          <w:lang w:val="fr-FR"/>
        </w:rPr>
        <w:t xml:space="preserve"> </w:t>
      </w:r>
      <w:r>
        <w:rPr>
          <w:sz w:val="22"/>
          <w:szCs w:val="22"/>
          <w:lang w:val="fr-FR"/>
        </w:rPr>
        <w:t>(</w:t>
      </w:r>
      <w:r w:rsidRPr="00AB335E">
        <w:rPr>
          <w:sz w:val="22"/>
          <w:szCs w:val="22"/>
          <w:lang w:val="fr-FR"/>
        </w:rPr>
        <w:t>Futura participation</w:t>
      </w:r>
      <w:r>
        <w:rPr>
          <w:sz w:val="22"/>
          <w:szCs w:val="22"/>
          <w:lang w:val="fr-FR"/>
        </w:rPr>
        <w:t>).</w:t>
      </w:r>
    </w:p>
    <w:p w:rsidR="00A64945" w:rsidRPr="00AB335E" w:rsidRDefault="00A64945" w:rsidP="006B6763">
      <w:pPr>
        <w:pStyle w:val="FootnoteText"/>
        <w:numPr>
          <w:ilvl w:val="0"/>
          <w:numId w:val="36"/>
        </w:numPr>
        <w:spacing w:line="276" w:lineRule="auto"/>
        <w:jc w:val="both"/>
        <w:rPr>
          <w:sz w:val="22"/>
          <w:szCs w:val="22"/>
          <w:lang w:val="fr-FR"/>
        </w:rPr>
      </w:pPr>
      <w:r w:rsidRPr="00AB335E">
        <w:rPr>
          <w:sz w:val="22"/>
          <w:szCs w:val="22"/>
          <w:lang w:val="fr-FR"/>
        </w:rPr>
        <w:t>C-55/94</w:t>
      </w:r>
      <w:r>
        <w:rPr>
          <w:sz w:val="22"/>
          <w:szCs w:val="22"/>
          <w:lang w:val="fr-FR"/>
        </w:rPr>
        <w:t>, 30 november 1995 (</w:t>
      </w:r>
      <w:r w:rsidRPr="00AB335E">
        <w:rPr>
          <w:sz w:val="22"/>
          <w:szCs w:val="22"/>
          <w:lang w:val="fr-FR"/>
        </w:rPr>
        <w:t>Gebhard</w:t>
      </w:r>
      <w:r>
        <w:rPr>
          <w:sz w:val="22"/>
          <w:szCs w:val="22"/>
          <w:lang w:val="fr-FR"/>
        </w:rPr>
        <w:t>).</w:t>
      </w:r>
    </w:p>
    <w:p w:rsidR="00A64945" w:rsidRPr="00AB335E" w:rsidRDefault="00A64945" w:rsidP="00AB335E">
      <w:pPr>
        <w:pStyle w:val="FootnoteText"/>
        <w:numPr>
          <w:ilvl w:val="0"/>
          <w:numId w:val="36"/>
        </w:numPr>
        <w:spacing w:line="276" w:lineRule="auto"/>
        <w:jc w:val="both"/>
        <w:rPr>
          <w:sz w:val="22"/>
          <w:szCs w:val="22"/>
        </w:rPr>
      </w:pPr>
      <w:r w:rsidRPr="00AB335E">
        <w:rPr>
          <w:sz w:val="22"/>
          <w:szCs w:val="22"/>
        </w:rPr>
        <w:lastRenderedPageBreak/>
        <w:t>HvJ EG 5 februari 1963 zaak 26/62 (Van Gend &amp; Loos)</w:t>
      </w:r>
      <w:r>
        <w:rPr>
          <w:sz w:val="22"/>
          <w:szCs w:val="22"/>
        </w:rPr>
        <w:t>.</w:t>
      </w:r>
    </w:p>
    <w:p w:rsidR="00A64945" w:rsidRPr="00AB335E" w:rsidRDefault="00A64945" w:rsidP="00AB335E">
      <w:pPr>
        <w:pStyle w:val="FootnoteText"/>
        <w:numPr>
          <w:ilvl w:val="0"/>
          <w:numId w:val="36"/>
        </w:numPr>
        <w:spacing w:line="276" w:lineRule="auto"/>
        <w:jc w:val="both"/>
        <w:rPr>
          <w:sz w:val="22"/>
          <w:szCs w:val="22"/>
          <w:lang w:val="fr-FR"/>
        </w:rPr>
      </w:pPr>
      <w:r w:rsidRPr="00AB335E">
        <w:rPr>
          <w:sz w:val="22"/>
          <w:szCs w:val="22"/>
          <w:lang w:val="fr-FR"/>
        </w:rPr>
        <w:t>C-9/02</w:t>
      </w:r>
      <w:r>
        <w:rPr>
          <w:sz w:val="22"/>
          <w:szCs w:val="22"/>
          <w:lang w:val="fr-FR"/>
        </w:rPr>
        <w:t>, 11 maart 2004</w:t>
      </w:r>
      <w:r w:rsidRPr="00AB335E">
        <w:rPr>
          <w:sz w:val="22"/>
          <w:szCs w:val="22"/>
          <w:lang w:val="fr-FR"/>
        </w:rPr>
        <w:t xml:space="preserve"> (De Lasteyrie du Saillant)</w:t>
      </w:r>
      <w:r>
        <w:rPr>
          <w:sz w:val="22"/>
          <w:szCs w:val="22"/>
          <w:lang w:val="fr-FR"/>
        </w:rPr>
        <w:t>.</w:t>
      </w:r>
    </w:p>
    <w:p w:rsidR="00A64945" w:rsidRPr="00AB335E" w:rsidRDefault="00A64945" w:rsidP="006B6763">
      <w:pPr>
        <w:pStyle w:val="FootnoteText"/>
        <w:numPr>
          <w:ilvl w:val="0"/>
          <w:numId w:val="36"/>
        </w:numPr>
        <w:spacing w:line="276" w:lineRule="auto"/>
        <w:jc w:val="both"/>
        <w:rPr>
          <w:sz w:val="22"/>
          <w:szCs w:val="22"/>
          <w:lang w:val="en-US"/>
        </w:rPr>
      </w:pPr>
      <w:r w:rsidRPr="00AB335E">
        <w:rPr>
          <w:sz w:val="22"/>
          <w:szCs w:val="22"/>
          <w:lang w:val="en-US"/>
        </w:rPr>
        <w:t>C- 28/95</w:t>
      </w:r>
      <w:r>
        <w:rPr>
          <w:sz w:val="22"/>
          <w:szCs w:val="22"/>
          <w:lang w:val="en-US"/>
        </w:rPr>
        <w:t>, 17 juli 1997 (</w:t>
      </w:r>
      <w:r w:rsidRPr="00AB335E">
        <w:rPr>
          <w:sz w:val="22"/>
          <w:szCs w:val="22"/>
          <w:lang w:val="en-US"/>
        </w:rPr>
        <w:t>Leur</w:t>
      </w:r>
      <w:r>
        <w:rPr>
          <w:sz w:val="22"/>
          <w:szCs w:val="22"/>
          <w:lang w:val="en-US"/>
        </w:rPr>
        <w:t>-</w:t>
      </w:r>
      <w:r w:rsidRPr="00AB335E">
        <w:rPr>
          <w:sz w:val="22"/>
          <w:szCs w:val="22"/>
          <w:lang w:val="en-US"/>
        </w:rPr>
        <w:t xml:space="preserve"> Bloem</w:t>
      </w:r>
      <w:r>
        <w:rPr>
          <w:sz w:val="22"/>
          <w:szCs w:val="22"/>
          <w:lang w:val="en-US"/>
        </w:rPr>
        <w:t>).</w:t>
      </w:r>
    </w:p>
    <w:p w:rsidR="00A64945" w:rsidRPr="00AB335E" w:rsidRDefault="00A64945" w:rsidP="00AB335E">
      <w:pPr>
        <w:pStyle w:val="FootnoteText"/>
        <w:numPr>
          <w:ilvl w:val="0"/>
          <w:numId w:val="36"/>
        </w:numPr>
        <w:spacing w:line="276" w:lineRule="auto"/>
        <w:jc w:val="both"/>
        <w:rPr>
          <w:sz w:val="22"/>
          <w:szCs w:val="22"/>
          <w:lang w:val="fr-FR"/>
        </w:rPr>
      </w:pPr>
      <w:r w:rsidRPr="00AB335E">
        <w:rPr>
          <w:sz w:val="22"/>
          <w:szCs w:val="22"/>
          <w:lang w:val="fr-FR"/>
        </w:rPr>
        <w:t>C-470/04</w:t>
      </w:r>
      <w:r>
        <w:rPr>
          <w:sz w:val="22"/>
          <w:szCs w:val="22"/>
          <w:lang w:val="fr-FR"/>
        </w:rPr>
        <w:t>, 7 september 2006</w:t>
      </w:r>
      <w:r w:rsidRPr="00AB335E">
        <w:rPr>
          <w:sz w:val="22"/>
          <w:szCs w:val="22"/>
          <w:lang w:val="fr-FR"/>
        </w:rPr>
        <w:t xml:space="preserve"> (N- Zaak)</w:t>
      </w:r>
      <w:r>
        <w:rPr>
          <w:sz w:val="22"/>
          <w:szCs w:val="22"/>
          <w:lang w:val="fr-FR"/>
        </w:rPr>
        <w:t>.</w:t>
      </w:r>
    </w:p>
    <w:p w:rsidR="00A64945" w:rsidRPr="00AB335E" w:rsidRDefault="00A64945" w:rsidP="006B6763">
      <w:pPr>
        <w:pStyle w:val="FootnoteText"/>
        <w:numPr>
          <w:ilvl w:val="0"/>
          <w:numId w:val="36"/>
        </w:numPr>
        <w:spacing w:line="276" w:lineRule="auto"/>
        <w:jc w:val="both"/>
        <w:rPr>
          <w:sz w:val="22"/>
          <w:szCs w:val="22"/>
          <w:lang w:val="en-US"/>
        </w:rPr>
      </w:pPr>
      <w:r w:rsidRPr="00AB335E">
        <w:rPr>
          <w:sz w:val="22"/>
          <w:szCs w:val="22"/>
          <w:lang w:val="en-US"/>
        </w:rPr>
        <w:t>C-88/03</w:t>
      </w:r>
      <w:r>
        <w:rPr>
          <w:sz w:val="22"/>
          <w:szCs w:val="22"/>
          <w:lang w:val="en-US"/>
        </w:rPr>
        <w:t>, 6 september 2006 (</w:t>
      </w:r>
      <w:r w:rsidRPr="00AB335E">
        <w:rPr>
          <w:sz w:val="22"/>
          <w:szCs w:val="22"/>
          <w:lang w:val="en-US"/>
        </w:rPr>
        <w:t xml:space="preserve"> Portugal/Commissie</w:t>
      </w:r>
      <w:r>
        <w:rPr>
          <w:sz w:val="22"/>
          <w:szCs w:val="22"/>
          <w:lang w:val="en-US"/>
        </w:rPr>
        <w:t>).</w:t>
      </w:r>
    </w:p>
    <w:p w:rsidR="00A64945" w:rsidRPr="00AB335E" w:rsidRDefault="00A64945" w:rsidP="006B6763">
      <w:pPr>
        <w:pStyle w:val="FootnoteText"/>
        <w:numPr>
          <w:ilvl w:val="0"/>
          <w:numId w:val="36"/>
        </w:numPr>
        <w:spacing w:line="276" w:lineRule="auto"/>
        <w:jc w:val="both"/>
        <w:rPr>
          <w:sz w:val="22"/>
          <w:szCs w:val="22"/>
          <w:lang w:val="en-US"/>
        </w:rPr>
      </w:pPr>
      <w:r w:rsidRPr="00AB335E">
        <w:rPr>
          <w:sz w:val="22"/>
          <w:szCs w:val="22"/>
          <w:lang w:val="en-US"/>
        </w:rPr>
        <w:t>C-311/97</w:t>
      </w:r>
      <w:r>
        <w:rPr>
          <w:sz w:val="22"/>
          <w:szCs w:val="22"/>
          <w:lang w:val="en-US"/>
        </w:rPr>
        <w:t>,</w:t>
      </w:r>
      <w:r w:rsidRPr="00AB335E">
        <w:rPr>
          <w:sz w:val="22"/>
          <w:szCs w:val="22"/>
          <w:lang w:val="en-US"/>
        </w:rPr>
        <w:t xml:space="preserve"> </w:t>
      </w:r>
      <w:r>
        <w:rPr>
          <w:sz w:val="22"/>
          <w:szCs w:val="22"/>
          <w:lang w:val="en-US"/>
        </w:rPr>
        <w:t>29 april 1999 (</w:t>
      </w:r>
      <w:r w:rsidRPr="00AB335E">
        <w:rPr>
          <w:sz w:val="22"/>
          <w:szCs w:val="22"/>
          <w:lang w:val="en-US"/>
        </w:rPr>
        <w:t>Royal Bank of Scotland</w:t>
      </w:r>
      <w:r>
        <w:rPr>
          <w:sz w:val="22"/>
          <w:szCs w:val="22"/>
          <w:lang w:val="en-US"/>
        </w:rPr>
        <w:t>).</w:t>
      </w:r>
    </w:p>
    <w:p w:rsidR="00A64945" w:rsidRPr="007F5804" w:rsidRDefault="00A64945" w:rsidP="006B6763">
      <w:pPr>
        <w:pStyle w:val="FootnoteText"/>
        <w:numPr>
          <w:ilvl w:val="0"/>
          <w:numId w:val="36"/>
        </w:numPr>
        <w:spacing w:line="276" w:lineRule="auto"/>
        <w:jc w:val="both"/>
        <w:rPr>
          <w:sz w:val="22"/>
          <w:szCs w:val="22"/>
          <w:lang w:val="de-DE"/>
        </w:rPr>
      </w:pPr>
      <w:r w:rsidRPr="007F5804">
        <w:rPr>
          <w:sz w:val="22"/>
          <w:szCs w:val="22"/>
          <w:lang w:val="de-DE"/>
        </w:rPr>
        <w:t>C- 397/09, 21 juli 2011</w:t>
      </w:r>
      <w:r>
        <w:rPr>
          <w:sz w:val="22"/>
          <w:szCs w:val="22"/>
          <w:lang w:val="de-DE"/>
        </w:rPr>
        <w:t xml:space="preserve"> (Scheuten Solar Technology</w:t>
      </w:r>
      <w:r w:rsidRPr="007F5804">
        <w:rPr>
          <w:sz w:val="22"/>
          <w:szCs w:val="22"/>
          <w:lang w:val="de-DE"/>
        </w:rPr>
        <w:t>).</w:t>
      </w:r>
    </w:p>
    <w:p w:rsidR="00A64945" w:rsidRPr="00AB335E" w:rsidRDefault="00A64945" w:rsidP="00AB335E">
      <w:pPr>
        <w:pStyle w:val="FootnoteText"/>
        <w:numPr>
          <w:ilvl w:val="0"/>
          <w:numId w:val="36"/>
        </w:numPr>
        <w:spacing w:line="276" w:lineRule="auto"/>
        <w:jc w:val="both"/>
        <w:rPr>
          <w:sz w:val="22"/>
          <w:szCs w:val="22"/>
          <w:lang w:val="fr-FR"/>
        </w:rPr>
      </w:pPr>
      <w:r w:rsidRPr="00AB335E">
        <w:rPr>
          <w:sz w:val="22"/>
          <w:szCs w:val="22"/>
          <w:lang w:val="fr-FR"/>
        </w:rPr>
        <w:t>C-79/93</w:t>
      </w:r>
      <w:r>
        <w:rPr>
          <w:sz w:val="22"/>
          <w:szCs w:val="22"/>
          <w:lang w:val="fr-FR"/>
        </w:rPr>
        <w:t>,</w:t>
      </w:r>
      <w:r w:rsidRPr="00AB335E">
        <w:rPr>
          <w:sz w:val="22"/>
          <w:szCs w:val="22"/>
          <w:lang w:val="fr-FR"/>
        </w:rPr>
        <w:t xml:space="preserve"> </w:t>
      </w:r>
      <w:r>
        <w:rPr>
          <w:sz w:val="22"/>
          <w:szCs w:val="22"/>
          <w:lang w:val="fr-FR"/>
        </w:rPr>
        <w:t>14 februari 1995 (</w:t>
      </w:r>
      <w:r w:rsidRPr="00AB335E">
        <w:rPr>
          <w:sz w:val="22"/>
          <w:szCs w:val="22"/>
          <w:lang w:val="fr-FR"/>
        </w:rPr>
        <w:t>Schumacker</w:t>
      </w:r>
      <w:r>
        <w:rPr>
          <w:sz w:val="22"/>
          <w:szCs w:val="22"/>
          <w:lang w:val="fr-FR"/>
        </w:rPr>
        <w:t>).</w:t>
      </w:r>
    </w:p>
    <w:p w:rsidR="00A64945" w:rsidRPr="00AB335E" w:rsidRDefault="00A64945" w:rsidP="00AB335E">
      <w:pPr>
        <w:pStyle w:val="FootnoteText"/>
        <w:numPr>
          <w:ilvl w:val="0"/>
          <w:numId w:val="36"/>
        </w:numPr>
        <w:spacing w:line="276" w:lineRule="auto"/>
        <w:jc w:val="both"/>
        <w:rPr>
          <w:sz w:val="22"/>
          <w:szCs w:val="22"/>
          <w:lang w:val="en-US"/>
        </w:rPr>
      </w:pPr>
      <w:r w:rsidRPr="00AB335E">
        <w:rPr>
          <w:sz w:val="22"/>
          <w:szCs w:val="22"/>
          <w:lang w:val="en-US"/>
        </w:rPr>
        <w:t>C- 501/00</w:t>
      </w:r>
      <w:r>
        <w:rPr>
          <w:sz w:val="22"/>
          <w:szCs w:val="22"/>
          <w:lang w:val="en-US"/>
        </w:rPr>
        <w:t>, 15 juli 2004</w:t>
      </w:r>
      <w:r w:rsidRPr="00AB335E">
        <w:rPr>
          <w:sz w:val="22"/>
          <w:szCs w:val="22"/>
          <w:lang w:val="en-US"/>
        </w:rPr>
        <w:t xml:space="preserve"> </w:t>
      </w:r>
      <w:r>
        <w:rPr>
          <w:sz w:val="22"/>
          <w:szCs w:val="22"/>
          <w:lang w:val="en-US"/>
        </w:rPr>
        <w:t>(</w:t>
      </w:r>
      <w:r w:rsidRPr="00AB335E">
        <w:rPr>
          <w:sz w:val="22"/>
          <w:szCs w:val="22"/>
          <w:lang w:val="en-US"/>
        </w:rPr>
        <w:t>Spanje/Commissie</w:t>
      </w:r>
      <w:r>
        <w:rPr>
          <w:sz w:val="22"/>
          <w:szCs w:val="22"/>
          <w:lang w:val="en-US"/>
        </w:rPr>
        <w:t>).</w:t>
      </w:r>
    </w:p>
    <w:p w:rsidR="00A64945" w:rsidRPr="00AB335E" w:rsidRDefault="00A64945" w:rsidP="006B6763">
      <w:pPr>
        <w:pStyle w:val="FootnoteText"/>
        <w:numPr>
          <w:ilvl w:val="0"/>
          <w:numId w:val="36"/>
        </w:numPr>
        <w:spacing w:line="276" w:lineRule="auto"/>
        <w:jc w:val="both"/>
        <w:rPr>
          <w:sz w:val="22"/>
          <w:szCs w:val="22"/>
          <w:lang w:val="en-US"/>
        </w:rPr>
      </w:pPr>
      <w:r w:rsidRPr="00AB335E">
        <w:rPr>
          <w:sz w:val="22"/>
          <w:szCs w:val="22"/>
          <w:lang w:val="en-US"/>
        </w:rPr>
        <w:t>C-35/98</w:t>
      </w:r>
      <w:r>
        <w:rPr>
          <w:sz w:val="22"/>
          <w:szCs w:val="22"/>
          <w:lang w:val="en-US"/>
        </w:rPr>
        <w:t>, 6 juni 2000</w:t>
      </w:r>
      <w:r w:rsidRPr="00AB335E">
        <w:rPr>
          <w:sz w:val="22"/>
          <w:szCs w:val="22"/>
          <w:lang w:val="en-US"/>
        </w:rPr>
        <w:t xml:space="preserve"> </w:t>
      </w:r>
      <w:r>
        <w:rPr>
          <w:sz w:val="22"/>
          <w:szCs w:val="22"/>
          <w:lang w:val="en-US"/>
        </w:rPr>
        <w:t>(</w:t>
      </w:r>
      <w:r w:rsidRPr="00AB335E">
        <w:rPr>
          <w:sz w:val="22"/>
          <w:szCs w:val="22"/>
          <w:lang w:val="en-US"/>
        </w:rPr>
        <w:t>Verkooijen</w:t>
      </w:r>
      <w:r>
        <w:rPr>
          <w:sz w:val="22"/>
          <w:szCs w:val="22"/>
          <w:lang w:val="en-US"/>
        </w:rPr>
        <w:t>).</w:t>
      </w:r>
    </w:p>
    <w:p w:rsidR="00A64945" w:rsidRPr="00AB335E" w:rsidRDefault="00A64945" w:rsidP="006B6763">
      <w:pPr>
        <w:pStyle w:val="FootnoteText"/>
        <w:numPr>
          <w:ilvl w:val="0"/>
          <w:numId w:val="36"/>
        </w:numPr>
        <w:spacing w:line="276" w:lineRule="auto"/>
        <w:jc w:val="both"/>
        <w:rPr>
          <w:sz w:val="22"/>
          <w:szCs w:val="22"/>
          <w:lang w:val="fr-FR"/>
        </w:rPr>
      </w:pPr>
      <w:r w:rsidRPr="00AB335E">
        <w:rPr>
          <w:sz w:val="22"/>
          <w:szCs w:val="22"/>
          <w:lang w:val="fr-FR"/>
        </w:rPr>
        <w:t>C-112/91</w:t>
      </w:r>
      <w:r>
        <w:rPr>
          <w:sz w:val="22"/>
          <w:szCs w:val="22"/>
          <w:lang w:val="fr-FR"/>
        </w:rPr>
        <w:t>,</w:t>
      </w:r>
      <w:r w:rsidRPr="00AB335E">
        <w:rPr>
          <w:sz w:val="22"/>
          <w:szCs w:val="22"/>
          <w:lang w:val="fr-FR"/>
        </w:rPr>
        <w:t xml:space="preserve"> </w:t>
      </w:r>
      <w:r>
        <w:rPr>
          <w:sz w:val="22"/>
          <w:szCs w:val="22"/>
          <w:lang w:val="fr-FR"/>
        </w:rPr>
        <w:t xml:space="preserve">26 januari 1993 </w:t>
      </w:r>
      <w:r w:rsidRPr="00AB335E">
        <w:rPr>
          <w:sz w:val="22"/>
          <w:szCs w:val="22"/>
          <w:lang w:val="fr-FR"/>
        </w:rPr>
        <w:t>(Werner)</w:t>
      </w:r>
      <w:r>
        <w:rPr>
          <w:sz w:val="22"/>
          <w:szCs w:val="22"/>
          <w:lang w:val="fr-FR"/>
        </w:rPr>
        <w:t>.</w:t>
      </w:r>
    </w:p>
    <w:p w:rsidR="00A64945" w:rsidRPr="00096227" w:rsidRDefault="00A64945" w:rsidP="00AB335E">
      <w:pPr>
        <w:spacing w:after="0"/>
        <w:rPr>
          <w:b/>
          <w:sz w:val="24"/>
          <w:szCs w:val="24"/>
          <w:lang w:val="en-US"/>
        </w:rPr>
      </w:pPr>
    </w:p>
    <w:p w:rsidR="00A64945" w:rsidRDefault="00A64945" w:rsidP="00BE4113">
      <w:pPr>
        <w:rPr>
          <w:b/>
          <w:sz w:val="24"/>
          <w:szCs w:val="24"/>
        </w:rPr>
      </w:pPr>
      <w:r>
        <w:rPr>
          <w:b/>
          <w:sz w:val="24"/>
          <w:szCs w:val="24"/>
        </w:rPr>
        <w:t>Internetbronnen</w:t>
      </w:r>
    </w:p>
    <w:p w:rsidR="00A64945" w:rsidRPr="005803CD" w:rsidRDefault="00A64945" w:rsidP="00C27316">
      <w:pPr>
        <w:pStyle w:val="ListParagraph"/>
        <w:numPr>
          <w:ilvl w:val="0"/>
          <w:numId w:val="35"/>
        </w:numPr>
        <w:spacing w:after="0"/>
        <w:jc w:val="both"/>
      </w:pPr>
      <w:r w:rsidRPr="005803CD">
        <w:t>www.europa-nu.nl</w:t>
      </w:r>
    </w:p>
    <w:p w:rsidR="00A64945" w:rsidRPr="005803CD" w:rsidRDefault="00A64945" w:rsidP="00FC35BC">
      <w:pPr>
        <w:pStyle w:val="ListParagraph"/>
        <w:numPr>
          <w:ilvl w:val="0"/>
          <w:numId w:val="35"/>
        </w:numPr>
        <w:spacing w:after="0"/>
        <w:jc w:val="both"/>
      </w:pPr>
      <w:r w:rsidRPr="005803CD">
        <w:t xml:space="preserve">www. rijksoverheid.nl </w:t>
      </w:r>
    </w:p>
    <w:p w:rsidR="00A64945" w:rsidRPr="005803CD" w:rsidRDefault="00A64945" w:rsidP="00FC35BC">
      <w:pPr>
        <w:pStyle w:val="ListParagraph"/>
        <w:numPr>
          <w:ilvl w:val="0"/>
          <w:numId w:val="35"/>
        </w:numPr>
        <w:spacing w:after="0"/>
        <w:jc w:val="both"/>
      </w:pPr>
      <w:r w:rsidRPr="005803CD">
        <w:t>www.rechtspraak.nl</w:t>
      </w:r>
    </w:p>
    <w:p w:rsidR="00A64945" w:rsidRDefault="00A64945" w:rsidP="00FC35BC">
      <w:pPr>
        <w:pStyle w:val="ListParagraph"/>
        <w:numPr>
          <w:ilvl w:val="0"/>
          <w:numId w:val="35"/>
        </w:numPr>
        <w:spacing w:after="0"/>
        <w:jc w:val="both"/>
      </w:pPr>
      <w:r w:rsidRPr="005803CD">
        <w:t>www.minbuza.nl</w:t>
      </w:r>
    </w:p>
    <w:p w:rsidR="00A64945" w:rsidRDefault="00A64945" w:rsidP="00FC35BC">
      <w:pPr>
        <w:pStyle w:val="ListParagraph"/>
        <w:numPr>
          <w:ilvl w:val="0"/>
          <w:numId w:val="35"/>
        </w:numPr>
        <w:spacing w:after="0"/>
        <w:jc w:val="both"/>
      </w:pPr>
      <w:r w:rsidRPr="00C5393D">
        <w:t>www.vertegenwoordigingcuracao.nl</w:t>
      </w:r>
    </w:p>
    <w:p w:rsidR="00A64945" w:rsidRPr="005803CD" w:rsidRDefault="00A64945" w:rsidP="00FC35BC">
      <w:pPr>
        <w:pStyle w:val="ListParagraph"/>
        <w:numPr>
          <w:ilvl w:val="0"/>
          <w:numId w:val="35"/>
        </w:numPr>
        <w:spacing w:after="0"/>
        <w:jc w:val="both"/>
      </w:pPr>
      <w:r>
        <w:t>www. overheid.nl</w:t>
      </w:r>
    </w:p>
    <w:p w:rsidR="00A64945" w:rsidRDefault="00A64945">
      <w:pPr>
        <w:rPr>
          <w:rFonts w:ascii="Cambria" w:hAnsi="Cambria" w:cs="Times New Roman"/>
          <w:b/>
          <w:bCs/>
          <w:sz w:val="28"/>
          <w:szCs w:val="28"/>
        </w:rPr>
      </w:pPr>
      <w:r>
        <w:br w:type="page"/>
      </w:r>
    </w:p>
    <w:p w:rsidR="00A64945" w:rsidRPr="00D22534" w:rsidRDefault="00A64945" w:rsidP="00BE4113">
      <w:pPr>
        <w:pStyle w:val="Heading1"/>
        <w:jc w:val="both"/>
        <w:rPr>
          <w:rFonts w:ascii="Calibri" w:hAnsi="Calibri"/>
          <w:color w:val="auto"/>
        </w:rPr>
      </w:pPr>
      <w:bookmarkStart w:id="134" w:name="_Toc299634333"/>
      <w:r w:rsidRPr="00D22534">
        <w:rPr>
          <w:rFonts w:ascii="Calibri" w:hAnsi="Calibri"/>
          <w:color w:val="auto"/>
        </w:rPr>
        <w:t>Bijlage 1: Voorbeeld E- Zonevergunning</w:t>
      </w:r>
      <w:bookmarkEnd w:id="134"/>
    </w:p>
    <w:p w:rsidR="00A64945" w:rsidRDefault="00DA44D0" w:rsidP="00027B01">
      <w:pPr>
        <w:rPr>
          <w:sz w:val="20"/>
          <w:szCs w:val="20"/>
        </w:rPr>
      </w:pPr>
      <w:r>
        <w:rPr>
          <w:noProof/>
          <w:sz w:val="20"/>
          <w:szCs w:val="20"/>
          <w:lang w:val="en-US"/>
        </w:rPr>
        <w:drawing>
          <wp:inline distT="0" distB="0" distL="0" distR="0">
            <wp:extent cx="5693410" cy="7839710"/>
            <wp:effectExtent l="1905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srcRect/>
                    <a:stretch>
                      <a:fillRect/>
                    </a:stretch>
                  </pic:blipFill>
                  <pic:spPr bwMode="auto">
                    <a:xfrm>
                      <a:off x="0" y="0"/>
                      <a:ext cx="5693410" cy="7839710"/>
                    </a:xfrm>
                    <a:prstGeom prst="rect">
                      <a:avLst/>
                    </a:prstGeom>
                    <a:noFill/>
                    <a:ln w="9525">
                      <a:noFill/>
                      <a:miter lim="800000"/>
                      <a:headEnd/>
                      <a:tailEnd/>
                    </a:ln>
                  </pic:spPr>
                </pic:pic>
              </a:graphicData>
            </a:graphic>
          </wp:inline>
        </w:drawing>
      </w:r>
    </w:p>
    <w:p w:rsidR="00A64945" w:rsidRDefault="00DA44D0" w:rsidP="00027B01">
      <w:pPr>
        <w:rPr>
          <w:sz w:val="20"/>
          <w:szCs w:val="20"/>
        </w:rPr>
      </w:pPr>
      <w:r>
        <w:rPr>
          <w:noProof/>
          <w:sz w:val="20"/>
          <w:szCs w:val="20"/>
          <w:lang w:val="en-US"/>
        </w:rPr>
        <w:lastRenderedPageBreak/>
        <w:drawing>
          <wp:inline distT="0" distB="0" distL="0" distR="0">
            <wp:extent cx="5687695" cy="7912735"/>
            <wp:effectExtent l="19050" t="0" r="825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srcRect/>
                    <a:stretch>
                      <a:fillRect/>
                    </a:stretch>
                  </pic:blipFill>
                  <pic:spPr bwMode="auto">
                    <a:xfrm>
                      <a:off x="0" y="0"/>
                      <a:ext cx="5687695" cy="7912735"/>
                    </a:xfrm>
                    <a:prstGeom prst="rect">
                      <a:avLst/>
                    </a:prstGeom>
                    <a:noFill/>
                    <a:ln w="9525">
                      <a:noFill/>
                      <a:miter lim="800000"/>
                      <a:headEnd/>
                      <a:tailEnd/>
                    </a:ln>
                  </pic:spPr>
                </pic:pic>
              </a:graphicData>
            </a:graphic>
          </wp:inline>
        </w:drawing>
      </w:r>
    </w:p>
    <w:p w:rsidR="00A64945" w:rsidRDefault="00DA44D0" w:rsidP="00027B01">
      <w:pPr>
        <w:rPr>
          <w:sz w:val="20"/>
          <w:szCs w:val="20"/>
        </w:rPr>
      </w:pPr>
      <w:r>
        <w:rPr>
          <w:noProof/>
          <w:sz w:val="20"/>
          <w:szCs w:val="20"/>
          <w:lang w:val="en-US"/>
        </w:rPr>
        <w:lastRenderedPageBreak/>
        <w:drawing>
          <wp:inline distT="0" distB="0" distL="0" distR="0">
            <wp:extent cx="5760720" cy="7931150"/>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srcRect/>
                    <a:stretch>
                      <a:fillRect/>
                    </a:stretch>
                  </pic:blipFill>
                  <pic:spPr bwMode="auto">
                    <a:xfrm>
                      <a:off x="0" y="0"/>
                      <a:ext cx="5760720" cy="7931150"/>
                    </a:xfrm>
                    <a:prstGeom prst="rect">
                      <a:avLst/>
                    </a:prstGeom>
                    <a:noFill/>
                    <a:ln w="9525">
                      <a:noFill/>
                      <a:miter lim="800000"/>
                      <a:headEnd/>
                      <a:tailEnd/>
                    </a:ln>
                  </pic:spPr>
                </pic:pic>
              </a:graphicData>
            </a:graphic>
          </wp:inline>
        </w:drawing>
      </w:r>
    </w:p>
    <w:sectPr w:rsidR="00A64945" w:rsidSect="001B63BD">
      <w:headerReference w:type="default" r:id="rId20"/>
      <w:footerReference w:type="default" r:id="rId21"/>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945" w:rsidRDefault="00A64945" w:rsidP="007D13EC">
      <w:pPr>
        <w:spacing w:after="0" w:line="240" w:lineRule="auto"/>
      </w:pPr>
      <w:r>
        <w:separator/>
      </w:r>
    </w:p>
  </w:endnote>
  <w:endnote w:type="continuationSeparator" w:id="0">
    <w:p w:rsidR="00A64945" w:rsidRDefault="00A64945" w:rsidP="007D13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EUAlbertina">
    <w:panose1 w:val="00000000000000000000"/>
    <w:charset w:val="00"/>
    <w:family w:val="auto"/>
    <w:notTrueType/>
    <w:pitch w:val="default"/>
    <w:sig w:usb0="00000003" w:usb1="00000000" w:usb2="00000000" w:usb3="00000000" w:csb0="00000001" w:csb1="00000000"/>
  </w:font>
  <w:font w:name="TTE5FF4868t00">
    <w:panose1 w:val="00000000000000000000"/>
    <w:charset w:val="00"/>
    <w:family w:val="auto"/>
    <w:notTrueType/>
    <w:pitch w:val="default"/>
    <w:sig w:usb0="00000003" w:usb1="00000000" w:usb2="00000000" w:usb3="00000000" w:csb0="00000001" w:csb1="00000000"/>
  </w:font>
  <w:font w:name="Minion">
    <w:panose1 w:val="00000000000000000000"/>
    <w:charset w:val="00"/>
    <w:family w:val="swiss"/>
    <w:notTrueType/>
    <w:pitch w:val="default"/>
    <w:sig w:usb0="00000003" w:usb1="00000000" w:usb2="00000000" w:usb3="00000000" w:csb0="00000001" w:csb1="00000000"/>
  </w:font>
  <w:font w:name="Minion,Italic">
    <w:panose1 w:val="00000000000000000000"/>
    <w:charset w:val="00"/>
    <w:family w:val="swiss"/>
    <w:notTrueType/>
    <w:pitch w:val="default"/>
    <w:sig w:usb0="00000003" w:usb1="00000000" w:usb2="00000000" w:usb3="00000000" w:csb0="00000001" w:csb1="00000000"/>
  </w:font>
  <w:font w:name="ArialUnicodeMS">
    <w:altName w:val="Arial Unicode MS"/>
    <w:panose1 w:val="00000000000000000000"/>
    <w:charset w:val="81"/>
    <w:family w:val="auto"/>
    <w:notTrueType/>
    <w:pitch w:val="default"/>
    <w:sig w:usb0="00000001" w:usb1="09060000" w:usb2="00000010" w:usb3="00000000" w:csb0="00080000" w:csb1="00000000"/>
  </w:font>
  <w:font w:name="ECHOIC+Garamond">
    <w:altName w:val="Garamond"/>
    <w:panose1 w:val="00000000000000000000"/>
    <w:charset w:val="00"/>
    <w:family w:val="roman"/>
    <w:notTrueType/>
    <w:pitch w:val="default"/>
    <w:sig w:usb0="00000003" w:usb1="00000000" w:usb2="00000000" w:usb3="00000000" w:csb0="00000001" w:csb1="00000000"/>
  </w:font>
  <w:font w:name="ECIBNL+Garamond">
    <w:altName w:val="Garamond"/>
    <w:panose1 w:val="00000000000000000000"/>
    <w:charset w:val="00"/>
    <w:family w:val="roman"/>
    <w:notTrueType/>
    <w:pitch w:val="default"/>
    <w:sig w:usb0="00000003" w:usb1="00000000" w:usb2="00000000" w:usb3="00000000" w:csb0="00000001"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945" w:rsidRDefault="00CB17CC">
    <w:pPr>
      <w:pStyle w:val="Footer"/>
      <w:jc w:val="right"/>
    </w:pPr>
    <w:fldSimple w:instr=" PAGE   \* MERGEFORMAT ">
      <w:r w:rsidR="00DA44D0">
        <w:rPr>
          <w:noProof/>
        </w:rPr>
        <w:t>11</w:t>
      </w:r>
    </w:fldSimple>
  </w:p>
  <w:p w:rsidR="00A64945" w:rsidRDefault="00A649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945" w:rsidRDefault="00A64945" w:rsidP="007D13EC">
      <w:pPr>
        <w:spacing w:after="0" w:line="240" w:lineRule="auto"/>
      </w:pPr>
      <w:r>
        <w:separator/>
      </w:r>
    </w:p>
  </w:footnote>
  <w:footnote w:type="continuationSeparator" w:id="0">
    <w:p w:rsidR="00A64945" w:rsidRDefault="00A64945" w:rsidP="007D13EC">
      <w:pPr>
        <w:spacing w:after="0" w:line="240" w:lineRule="auto"/>
      </w:pPr>
      <w:r>
        <w:continuationSeparator/>
      </w:r>
    </w:p>
  </w:footnote>
  <w:footnote w:id="1">
    <w:p w:rsidR="00A64945" w:rsidRDefault="00A64945" w:rsidP="00E624F9">
      <w:pPr>
        <w:pStyle w:val="FootnoteText"/>
        <w:jc w:val="both"/>
      </w:pPr>
      <w:r w:rsidRPr="00AC04B8">
        <w:rPr>
          <w:rStyle w:val="FootnoteReference"/>
          <w:rFonts w:cs="Arial"/>
          <w:sz w:val="18"/>
          <w:szCs w:val="18"/>
        </w:rPr>
        <w:footnoteRef/>
      </w:r>
      <w:r w:rsidRPr="00AC04B8">
        <w:rPr>
          <w:sz w:val="18"/>
          <w:szCs w:val="18"/>
        </w:rPr>
        <w:t xml:space="preserve"> In het tweede ho</w:t>
      </w:r>
      <w:r>
        <w:rPr>
          <w:sz w:val="18"/>
          <w:szCs w:val="18"/>
        </w:rPr>
        <w:t xml:space="preserve">ofdstuk van deze scriptie zal </w:t>
      </w:r>
      <w:r w:rsidRPr="00AC04B8">
        <w:rPr>
          <w:sz w:val="18"/>
          <w:szCs w:val="18"/>
        </w:rPr>
        <w:t xml:space="preserve">dieper in worden gegaan op </w:t>
      </w:r>
      <w:r>
        <w:rPr>
          <w:sz w:val="18"/>
          <w:szCs w:val="18"/>
        </w:rPr>
        <w:t>dit onderwerp</w:t>
      </w:r>
      <w:r w:rsidRPr="00AC04B8">
        <w:rPr>
          <w:sz w:val="18"/>
          <w:szCs w:val="18"/>
        </w:rPr>
        <w:t>.</w:t>
      </w:r>
    </w:p>
  </w:footnote>
  <w:footnote w:id="2">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Het Koninkrijk der Nederlanden </w:t>
      </w:r>
      <w:r>
        <w:rPr>
          <w:sz w:val="18"/>
          <w:szCs w:val="18"/>
        </w:rPr>
        <w:t>bestond op dat moment uit drie landen. Da</w:t>
      </w:r>
      <w:r w:rsidRPr="006C617A">
        <w:rPr>
          <w:sz w:val="18"/>
          <w:szCs w:val="18"/>
        </w:rPr>
        <w:t xml:space="preserve">t </w:t>
      </w:r>
      <w:r>
        <w:rPr>
          <w:sz w:val="18"/>
          <w:szCs w:val="18"/>
        </w:rPr>
        <w:t>waren</w:t>
      </w:r>
      <w:r w:rsidRPr="006C617A">
        <w:rPr>
          <w:sz w:val="18"/>
          <w:szCs w:val="18"/>
        </w:rPr>
        <w:t xml:space="preserve"> de Nederlandse Antillen, Aruba en Nederland. De Nederlan</w:t>
      </w:r>
      <w:r>
        <w:rPr>
          <w:sz w:val="18"/>
          <w:szCs w:val="18"/>
        </w:rPr>
        <w:t>dse Antillen bestond</w:t>
      </w:r>
      <w:r w:rsidRPr="006C617A">
        <w:rPr>
          <w:sz w:val="18"/>
          <w:szCs w:val="18"/>
        </w:rPr>
        <w:t xml:space="preserve"> uit de </w:t>
      </w:r>
      <w:r>
        <w:rPr>
          <w:sz w:val="18"/>
          <w:szCs w:val="18"/>
        </w:rPr>
        <w:t>b</w:t>
      </w:r>
      <w:r w:rsidRPr="006C617A">
        <w:rPr>
          <w:sz w:val="18"/>
          <w:szCs w:val="18"/>
        </w:rPr>
        <w:t xml:space="preserve">enedenwindse eilanden Curaçao en Bonaire en de </w:t>
      </w:r>
      <w:r>
        <w:rPr>
          <w:sz w:val="18"/>
          <w:szCs w:val="18"/>
        </w:rPr>
        <w:t>b</w:t>
      </w:r>
      <w:r w:rsidRPr="006C617A">
        <w:rPr>
          <w:sz w:val="18"/>
          <w:szCs w:val="18"/>
        </w:rPr>
        <w:t xml:space="preserve">ovenwindse eilanden Saba, Sint Eustatius en Sint Maarten. </w:t>
      </w:r>
    </w:p>
  </w:footnote>
  <w:footnote w:id="3">
    <w:p w:rsidR="00A64945" w:rsidRDefault="00A64945" w:rsidP="00AE333F">
      <w:pPr>
        <w:pStyle w:val="FootnoteText"/>
        <w:jc w:val="both"/>
      </w:pPr>
      <w:r w:rsidRPr="005351D2">
        <w:rPr>
          <w:rStyle w:val="FootnoteReference"/>
          <w:rFonts w:cs="Arial"/>
          <w:sz w:val="18"/>
          <w:szCs w:val="18"/>
        </w:rPr>
        <w:footnoteRef/>
      </w:r>
      <w:r w:rsidRPr="005351D2">
        <w:rPr>
          <w:sz w:val="18"/>
          <w:szCs w:val="18"/>
        </w:rPr>
        <w:t xml:space="preserve"> Aruba verkreeg haar Status Aparte</w:t>
      </w:r>
      <w:r w:rsidRPr="0072632F">
        <w:rPr>
          <w:sz w:val="18"/>
          <w:szCs w:val="18"/>
        </w:rPr>
        <w:t xml:space="preserve"> </w:t>
      </w:r>
      <w:r w:rsidRPr="005351D2">
        <w:rPr>
          <w:sz w:val="18"/>
          <w:szCs w:val="18"/>
        </w:rPr>
        <w:t>in 1986.</w:t>
      </w:r>
    </w:p>
  </w:footnote>
  <w:footnote w:id="4">
    <w:p w:rsidR="00A64945" w:rsidRDefault="00A64945" w:rsidP="00AE333F">
      <w:pPr>
        <w:pStyle w:val="FootnoteText"/>
        <w:jc w:val="both"/>
      </w:pPr>
      <w:r w:rsidRPr="005351D2">
        <w:rPr>
          <w:rStyle w:val="FootnoteReference"/>
          <w:rFonts w:cs="Arial"/>
          <w:sz w:val="18"/>
          <w:szCs w:val="18"/>
        </w:rPr>
        <w:footnoteRef/>
      </w:r>
      <w:r w:rsidRPr="005351D2">
        <w:rPr>
          <w:sz w:val="18"/>
          <w:szCs w:val="18"/>
        </w:rPr>
        <w:t xml:space="preserve"> Zie www. rijksoverheid.nl.</w:t>
      </w:r>
    </w:p>
  </w:footnote>
  <w:footnote w:id="5">
    <w:p w:rsidR="00A64945" w:rsidRDefault="00A64945" w:rsidP="00AE333F">
      <w:pPr>
        <w:pStyle w:val="FootnoteText"/>
        <w:jc w:val="both"/>
      </w:pPr>
      <w:r w:rsidRPr="005351D2">
        <w:rPr>
          <w:rStyle w:val="FootnoteReference"/>
          <w:rFonts w:cs="Arial"/>
          <w:sz w:val="18"/>
          <w:szCs w:val="18"/>
        </w:rPr>
        <w:footnoteRef/>
      </w:r>
      <w:r w:rsidRPr="005351D2">
        <w:rPr>
          <w:sz w:val="18"/>
          <w:szCs w:val="18"/>
        </w:rPr>
        <w:t xml:space="preserve"> </w:t>
      </w:r>
      <w:r>
        <w:rPr>
          <w:sz w:val="18"/>
          <w:szCs w:val="18"/>
        </w:rPr>
        <w:t xml:space="preserve">NB: </w:t>
      </w:r>
      <w:r w:rsidRPr="005351D2">
        <w:rPr>
          <w:sz w:val="18"/>
          <w:szCs w:val="18"/>
        </w:rPr>
        <w:t>Ik ben begonnen met het schrijven van deze scriptie toen de staatkundige hervormingen binnen het Koninkrijk der Nederlanden nog gaande waren. Alhoewel de Nederlandse Antillen inmiddels niet meer bestaat</w:t>
      </w:r>
      <w:r>
        <w:rPr>
          <w:sz w:val="18"/>
          <w:szCs w:val="18"/>
        </w:rPr>
        <w:t xml:space="preserve"> en staatkundig dus niet langer gesproken kan worden</w:t>
      </w:r>
      <w:r w:rsidRPr="004E4D26">
        <w:rPr>
          <w:sz w:val="18"/>
          <w:szCs w:val="18"/>
        </w:rPr>
        <w:t xml:space="preserve"> </w:t>
      </w:r>
      <w:r>
        <w:rPr>
          <w:sz w:val="18"/>
          <w:szCs w:val="18"/>
        </w:rPr>
        <w:t>over de ‘Nederlandse Antillen’</w:t>
      </w:r>
      <w:r w:rsidRPr="005351D2">
        <w:rPr>
          <w:sz w:val="18"/>
          <w:szCs w:val="18"/>
        </w:rPr>
        <w:t xml:space="preserve">, </w:t>
      </w:r>
      <w:r>
        <w:rPr>
          <w:sz w:val="18"/>
          <w:szCs w:val="18"/>
        </w:rPr>
        <w:t xml:space="preserve">handhaaf ik in bepaalde gevallen de oude terminologie. In de volksmond zal deze naam voorlopig immers nog gebruikt worden. Het </w:t>
      </w:r>
      <w:r w:rsidRPr="005351D2">
        <w:rPr>
          <w:sz w:val="18"/>
          <w:szCs w:val="18"/>
        </w:rPr>
        <w:t>kan</w:t>
      </w:r>
      <w:r>
        <w:rPr>
          <w:sz w:val="18"/>
          <w:szCs w:val="18"/>
        </w:rPr>
        <w:t xml:space="preserve"> in deze scriptie dan ook</w:t>
      </w:r>
      <w:r w:rsidRPr="005351D2">
        <w:rPr>
          <w:sz w:val="18"/>
          <w:szCs w:val="18"/>
        </w:rPr>
        <w:t xml:space="preserve"> voorkomen dat ik</w:t>
      </w:r>
      <w:r>
        <w:rPr>
          <w:sz w:val="18"/>
          <w:szCs w:val="18"/>
        </w:rPr>
        <w:t xml:space="preserve"> het</w:t>
      </w:r>
      <w:r w:rsidRPr="005351D2">
        <w:rPr>
          <w:sz w:val="18"/>
          <w:szCs w:val="18"/>
        </w:rPr>
        <w:t xml:space="preserve"> in bepaalde gevallen</w:t>
      </w:r>
      <w:r>
        <w:rPr>
          <w:sz w:val="18"/>
          <w:szCs w:val="18"/>
        </w:rPr>
        <w:t xml:space="preserve"> gemakshalve</w:t>
      </w:r>
      <w:r w:rsidRPr="005351D2">
        <w:rPr>
          <w:sz w:val="18"/>
          <w:szCs w:val="18"/>
        </w:rPr>
        <w:t xml:space="preserve"> toch nog </w:t>
      </w:r>
      <w:r>
        <w:rPr>
          <w:sz w:val="18"/>
          <w:szCs w:val="18"/>
        </w:rPr>
        <w:t>over</w:t>
      </w:r>
      <w:r w:rsidRPr="005351D2">
        <w:rPr>
          <w:sz w:val="18"/>
          <w:szCs w:val="18"/>
        </w:rPr>
        <w:t xml:space="preserve"> de ‘Nederlandse Antillen</w:t>
      </w:r>
      <w:r>
        <w:rPr>
          <w:sz w:val="18"/>
          <w:szCs w:val="18"/>
        </w:rPr>
        <w:t>’ zal hebben</w:t>
      </w:r>
      <w:r w:rsidRPr="005351D2">
        <w:rPr>
          <w:sz w:val="18"/>
          <w:szCs w:val="18"/>
        </w:rPr>
        <w:t xml:space="preserve">. Dat zal echter alleen het geval zijn als </w:t>
      </w:r>
      <w:r>
        <w:rPr>
          <w:sz w:val="18"/>
          <w:szCs w:val="18"/>
        </w:rPr>
        <w:t>het</w:t>
      </w:r>
      <w:r w:rsidRPr="005351D2">
        <w:rPr>
          <w:sz w:val="18"/>
          <w:szCs w:val="18"/>
        </w:rPr>
        <w:t xml:space="preserve"> verder geen inbreuk doet aan de inhoud.</w:t>
      </w:r>
      <w:r>
        <w:rPr>
          <w:sz w:val="18"/>
          <w:szCs w:val="18"/>
        </w:rPr>
        <w:t xml:space="preserve"> Bovendien is in dit kader vermeldenswaardig dat de staatkundige hervormingen volgens </w:t>
      </w:r>
      <w:r w:rsidRPr="004C55F6">
        <w:rPr>
          <w:i/>
          <w:sz w:val="18"/>
          <w:szCs w:val="18"/>
        </w:rPr>
        <w:t>Kavelaars</w:t>
      </w:r>
      <w:r>
        <w:rPr>
          <w:sz w:val="18"/>
          <w:szCs w:val="18"/>
        </w:rPr>
        <w:t xml:space="preserve"> voor wat betreft Curaçao en Sint Maarten niet onmiddellijk wetgevingstechnische gevolgen hebben gehad. Curaçao heeft besloten om vooralsnog de Antilliaanse regelgeving te continueren en Sint Maarten zou zich daarbij hebben aangesloten. Dat geldt ook voor de fiscale regelgeving: Curaçao was aanvankelijk voornemens om per 1 januari 2011 nieuwe fiscale regelgeving in te voeren waarvoor ook een concept bestond, maar dit is uiteindelijk niet gebeurd. Volgens </w:t>
      </w:r>
      <w:r w:rsidRPr="004C55F6">
        <w:rPr>
          <w:i/>
          <w:sz w:val="18"/>
          <w:szCs w:val="18"/>
        </w:rPr>
        <w:t xml:space="preserve">Kavelaars </w:t>
      </w:r>
      <w:r>
        <w:rPr>
          <w:sz w:val="18"/>
          <w:szCs w:val="18"/>
        </w:rPr>
        <w:t xml:space="preserve">wordt er naar gestreefd om per 1 januari 2012 wel met een nieuwe fiscale regelgeving te komen, maar </w:t>
      </w:r>
      <w:r w:rsidRPr="004C55F6">
        <w:rPr>
          <w:i/>
          <w:sz w:val="18"/>
          <w:szCs w:val="18"/>
        </w:rPr>
        <w:t>Kavelaars</w:t>
      </w:r>
      <w:r>
        <w:rPr>
          <w:sz w:val="18"/>
          <w:szCs w:val="18"/>
        </w:rPr>
        <w:t xml:space="preserve"> betwijfelt of het haalbaar is per die datum een forse belastingherziening in te kunnen voeren. Bron: P. Kavelaars, </w:t>
      </w:r>
      <w:r w:rsidRPr="004C55F6">
        <w:rPr>
          <w:i/>
          <w:sz w:val="18"/>
          <w:szCs w:val="18"/>
        </w:rPr>
        <w:t>Fiscaliteit in Caribisch Nederland</w:t>
      </w:r>
      <w:r>
        <w:rPr>
          <w:sz w:val="18"/>
          <w:szCs w:val="18"/>
        </w:rPr>
        <w:t>, §1: Inleiding, WFR 2011/300.</w:t>
      </w:r>
    </w:p>
  </w:footnote>
  <w:footnote w:id="6">
    <w:p w:rsidR="00A64945" w:rsidRDefault="00A64945" w:rsidP="00DD7C19">
      <w:pPr>
        <w:pStyle w:val="FootnoteText"/>
        <w:jc w:val="both"/>
      </w:pPr>
      <w:r w:rsidRPr="00DC09F0">
        <w:rPr>
          <w:rStyle w:val="FootnoteReference"/>
          <w:rFonts w:cs="Arial"/>
          <w:sz w:val="18"/>
          <w:szCs w:val="18"/>
        </w:rPr>
        <w:footnoteRef/>
      </w:r>
      <w:r w:rsidRPr="00DC09F0">
        <w:rPr>
          <w:sz w:val="18"/>
          <w:szCs w:val="18"/>
        </w:rPr>
        <w:t xml:space="preserve"> Er bestaat geen wettelijke definitie van wat een land en gebied overzee is. In </w:t>
      </w:r>
      <w:r>
        <w:rPr>
          <w:sz w:val="18"/>
          <w:szCs w:val="18"/>
        </w:rPr>
        <w:t>het EU- verdrag</w:t>
      </w:r>
      <w:r w:rsidRPr="00DC09F0">
        <w:rPr>
          <w:sz w:val="18"/>
          <w:szCs w:val="18"/>
        </w:rPr>
        <w:t xml:space="preserve"> wordt enkel aangegeven welke (ei)landen LGO’s zijn en wat de consequentie daarvan is. Dat geldt ook voor de ultraperifere gebieden die in § 1.1.3. aan de orde komen.</w:t>
      </w:r>
    </w:p>
  </w:footnote>
  <w:footnote w:id="7">
    <w:p w:rsidR="00A64945" w:rsidRDefault="00A64945" w:rsidP="00DD7C19">
      <w:pPr>
        <w:pStyle w:val="FootnoteText"/>
        <w:jc w:val="both"/>
      </w:pPr>
      <w:r w:rsidRPr="006C617A">
        <w:rPr>
          <w:rStyle w:val="FootnoteReference"/>
          <w:rFonts w:cs="Arial"/>
          <w:sz w:val="18"/>
          <w:szCs w:val="18"/>
        </w:rPr>
        <w:footnoteRef/>
      </w:r>
      <w:r w:rsidRPr="006C617A">
        <w:rPr>
          <w:sz w:val="18"/>
          <w:szCs w:val="18"/>
        </w:rPr>
        <w:t xml:space="preserve"> Ook wel aangeduid als het verdrag tot oprichting van de Europese Gemeenschap. Art. 1 EG- Verdrag luidt namelijk als volgt: </w:t>
      </w:r>
      <w:r w:rsidRPr="00C51482">
        <w:rPr>
          <w:i/>
          <w:sz w:val="18"/>
          <w:szCs w:val="18"/>
        </w:rPr>
        <w:t>‘Bij dit verdrag richten de HOGE VERDRAGSLUITENDE PARTIJEN tezamen een EUROPESE GEMEENSCHAP op’</w:t>
      </w:r>
      <w:r w:rsidRPr="006C617A">
        <w:rPr>
          <w:sz w:val="18"/>
          <w:szCs w:val="18"/>
        </w:rPr>
        <w:t>.</w:t>
      </w:r>
    </w:p>
  </w:footnote>
  <w:footnote w:id="8">
    <w:p w:rsidR="00A64945" w:rsidRDefault="00A64945" w:rsidP="00DD7C19">
      <w:pPr>
        <w:pStyle w:val="FootnoteText"/>
        <w:jc w:val="both"/>
      </w:pPr>
      <w:r w:rsidRPr="006C617A">
        <w:rPr>
          <w:rStyle w:val="FootnoteReference"/>
          <w:rFonts w:cs="Arial"/>
          <w:sz w:val="18"/>
          <w:szCs w:val="18"/>
        </w:rPr>
        <w:footnoteRef/>
      </w:r>
      <w:r w:rsidRPr="006C617A">
        <w:rPr>
          <w:sz w:val="18"/>
          <w:szCs w:val="18"/>
        </w:rPr>
        <w:t xml:space="preserve"> </w:t>
      </w:r>
      <w:r>
        <w:rPr>
          <w:sz w:val="18"/>
          <w:szCs w:val="18"/>
        </w:rPr>
        <w:t xml:space="preserve">Zie </w:t>
      </w:r>
      <w:r w:rsidRPr="006C617A">
        <w:rPr>
          <w:sz w:val="18"/>
          <w:szCs w:val="18"/>
        </w:rPr>
        <w:t>www.europa-nu.nl.</w:t>
      </w:r>
    </w:p>
  </w:footnote>
  <w:footnote w:id="9">
    <w:p w:rsidR="00A64945" w:rsidRDefault="00A64945" w:rsidP="00DD7C19">
      <w:pPr>
        <w:pStyle w:val="FootnoteText"/>
      </w:pPr>
      <w:r w:rsidRPr="006C617A">
        <w:rPr>
          <w:rStyle w:val="FootnoteReference"/>
          <w:rFonts w:cs="Arial"/>
          <w:sz w:val="18"/>
          <w:szCs w:val="18"/>
        </w:rPr>
        <w:footnoteRef/>
      </w:r>
      <w:r w:rsidRPr="006C617A">
        <w:rPr>
          <w:sz w:val="18"/>
          <w:szCs w:val="18"/>
        </w:rPr>
        <w:t xml:space="preserve"> Art. 52 lid 1 VEU jo Art. 355 lid 1 VwEU.</w:t>
      </w:r>
    </w:p>
  </w:footnote>
  <w:footnote w:id="10">
    <w:p w:rsidR="00A64945" w:rsidRDefault="00A64945" w:rsidP="00DD7C19">
      <w:pPr>
        <w:pStyle w:val="FootnoteText"/>
        <w:jc w:val="both"/>
      </w:pPr>
      <w:r w:rsidRPr="006C617A">
        <w:rPr>
          <w:rStyle w:val="FootnoteReference"/>
          <w:rFonts w:cs="Arial"/>
          <w:sz w:val="18"/>
          <w:szCs w:val="18"/>
        </w:rPr>
        <w:footnoteRef/>
      </w:r>
      <w:r w:rsidRPr="006C617A">
        <w:rPr>
          <w:sz w:val="18"/>
          <w:szCs w:val="18"/>
        </w:rPr>
        <w:t xml:space="preserve"> Artikel 198 VwEU.</w:t>
      </w:r>
    </w:p>
  </w:footnote>
  <w:footnote w:id="11">
    <w:p w:rsidR="00A64945" w:rsidRDefault="00A64945" w:rsidP="00AD0091">
      <w:pPr>
        <w:pStyle w:val="FootnoteText"/>
        <w:jc w:val="both"/>
      </w:pPr>
      <w:r w:rsidRPr="00A65075">
        <w:rPr>
          <w:rStyle w:val="FootnoteReference"/>
          <w:rFonts w:cs="Arial"/>
          <w:sz w:val="18"/>
          <w:szCs w:val="18"/>
        </w:rPr>
        <w:footnoteRef/>
      </w:r>
      <w:r w:rsidRPr="00A65075">
        <w:rPr>
          <w:sz w:val="18"/>
          <w:szCs w:val="18"/>
        </w:rPr>
        <w:t xml:space="preserve"> R.P.C.W.M. Brandsma e.a., </w:t>
      </w:r>
      <w:r w:rsidRPr="00A65075">
        <w:rPr>
          <w:i/>
          <w:sz w:val="18"/>
          <w:szCs w:val="18"/>
        </w:rPr>
        <w:t>Cursus Belastingrecht -Europees Belastingrecht-</w:t>
      </w:r>
      <w:r w:rsidRPr="00A65075">
        <w:rPr>
          <w:sz w:val="18"/>
          <w:szCs w:val="18"/>
        </w:rPr>
        <w:t xml:space="preserve"> studenteneditie 2007-2008, kluwer, Deventer, 2008, pg. 25, §2.0.4.B. d. Landen en gebieden overzee (LGO).</w:t>
      </w:r>
      <w:r>
        <w:rPr>
          <w:sz w:val="18"/>
          <w:szCs w:val="18"/>
        </w:rPr>
        <w:t xml:space="preserve"> </w:t>
      </w:r>
    </w:p>
  </w:footnote>
  <w:footnote w:id="12">
    <w:p w:rsidR="00A64945" w:rsidRDefault="00A64945" w:rsidP="00AD0091">
      <w:pPr>
        <w:pStyle w:val="FootnoteText"/>
        <w:jc w:val="both"/>
      </w:pPr>
      <w:r w:rsidRPr="00A65075">
        <w:rPr>
          <w:rStyle w:val="FootnoteReference"/>
          <w:rFonts w:cs="Arial"/>
          <w:sz w:val="18"/>
          <w:szCs w:val="18"/>
        </w:rPr>
        <w:footnoteRef/>
      </w:r>
      <w:r w:rsidRPr="00A65075">
        <w:rPr>
          <w:sz w:val="18"/>
          <w:szCs w:val="18"/>
        </w:rPr>
        <w:t xml:space="preserve"> Om precies te zijn van 2 december 2001 tot en met 31 december 2011; </w:t>
      </w:r>
      <w:r>
        <w:rPr>
          <w:sz w:val="18"/>
          <w:szCs w:val="18"/>
        </w:rPr>
        <w:t xml:space="preserve">het betreft het </w:t>
      </w:r>
      <w:r w:rsidRPr="00A65075">
        <w:rPr>
          <w:sz w:val="18"/>
          <w:szCs w:val="18"/>
        </w:rPr>
        <w:t>Besluit van 27 november 2001 betreffende de associatie van de LGO met de Europese Gemeenschap nr. 2001/822/EG, PbEG 2001 L 314/1, art. 63.</w:t>
      </w:r>
      <w:r>
        <w:rPr>
          <w:sz w:val="18"/>
          <w:szCs w:val="18"/>
        </w:rPr>
        <w:t xml:space="preserve"> </w:t>
      </w:r>
    </w:p>
  </w:footnote>
  <w:footnote w:id="13">
    <w:p w:rsidR="00A64945" w:rsidRDefault="00A64945" w:rsidP="00AD0091">
      <w:pPr>
        <w:pStyle w:val="FootnoteText"/>
        <w:jc w:val="both"/>
      </w:pPr>
      <w:r w:rsidRPr="00263FB1">
        <w:rPr>
          <w:rStyle w:val="FootnoteReference"/>
          <w:rFonts w:cs="Arial"/>
          <w:sz w:val="18"/>
          <w:szCs w:val="18"/>
        </w:rPr>
        <w:footnoteRef/>
      </w:r>
      <w:r w:rsidRPr="00263FB1">
        <w:rPr>
          <w:sz w:val="18"/>
          <w:szCs w:val="18"/>
        </w:rPr>
        <w:t xml:space="preserve"> Het onderscheid tussen directe en indirect belastingen is gebaseerd op de Stelselwet 1821, ontworpen door Alexander Gogel (1765-1821). </w:t>
      </w:r>
      <w:r>
        <w:rPr>
          <w:sz w:val="18"/>
          <w:szCs w:val="18"/>
        </w:rPr>
        <w:t>In economische zin is e</w:t>
      </w:r>
      <w:r w:rsidRPr="00263FB1">
        <w:rPr>
          <w:sz w:val="18"/>
          <w:szCs w:val="18"/>
        </w:rPr>
        <w:t>en directe belasting een belasting waarbij de belastingplichtige en de belastingdestina</w:t>
      </w:r>
      <w:r>
        <w:rPr>
          <w:sz w:val="18"/>
          <w:szCs w:val="18"/>
        </w:rPr>
        <w:t>ta</w:t>
      </w:r>
      <w:r w:rsidRPr="00263FB1">
        <w:rPr>
          <w:sz w:val="18"/>
          <w:szCs w:val="18"/>
        </w:rPr>
        <w:t>ris (</w:t>
      </w:r>
      <w:r>
        <w:rPr>
          <w:sz w:val="18"/>
          <w:szCs w:val="18"/>
        </w:rPr>
        <w:t>met belastingdestinataris wordt</w:t>
      </w:r>
      <w:r w:rsidRPr="00263FB1">
        <w:rPr>
          <w:sz w:val="18"/>
          <w:szCs w:val="18"/>
        </w:rPr>
        <w:t xml:space="preserve"> degene </w:t>
      </w:r>
      <w:r>
        <w:rPr>
          <w:sz w:val="18"/>
          <w:szCs w:val="18"/>
        </w:rPr>
        <w:t xml:space="preserve">bedoeld </w:t>
      </w:r>
      <w:r w:rsidRPr="00263FB1">
        <w:rPr>
          <w:sz w:val="18"/>
          <w:szCs w:val="18"/>
        </w:rPr>
        <w:t xml:space="preserve">voor wie de druk bestemd is) samenvallen. Indirecte belastingen zijn belastingen die zoals uit de gehele opzet van de wettelijke regeling blijkt, bestemd zijn om gedragen te worden door anderen dan de belastingplichtige. Bron: L.G.M. Stevens, </w:t>
      </w:r>
      <w:r w:rsidRPr="00263FB1">
        <w:rPr>
          <w:i/>
          <w:sz w:val="18"/>
          <w:szCs w:val="18"/>
        </w:rPr>
        <w:t>Elementair Belastingrecht voor economen en bedrijfsjuristen 2009/2010</w:t>
      </w:r>
      <w:r w:rsidRPr="00263FB1">
        <w:rPr>
          <w:sz w:val="18"/>
          <w:szCs w:val="18"/>
        </w:rPr>
        <w:t>, 2009, Kluwer, Deventer, pg. 26. § 1.7: Directe en indirecte belastingen.</w:t>
      </w:r>
      <w:r>
        <w:rPr>
          <w:sz w:val="18"/>
          <w:szCs w:val="18"/>
        </w:rPr>
        <w:t xml:space="preserve"> Voorbeelden van directe belastingen zijn de inkomstenbelasting en de vennootschapsbelasting (Hier dient echter een kanttekening bij te worden geplaatst. De vennootschapsbelasting drukt in feite niet op het lichaam dat belastingplichtige is, aangezien dit lichaam geen natuurlijk persoon is. De ‘tax- incidence’ wordt gedragen door de ‘stakeholders’ van het lichaam. Dit kunnen zijn de werknemers, de aandeelhouders en zelfs de afnemers). Voorbeelden van indirecte belastingen zijn de omzetbelasting en de successiebelasting.</w:t>
      </w:r>
    </w:p>
  </w:footnote>
  <w:footnote w:id="14">
    <w:p w:rsidR="00A64945" w:rsidRDefault="00A64945" w:rsidP="00AD0091">
      <w:pPr>
        <w:pStyle w:val="FootnoteText"/>
        <w:jc w:val="both"/>
      </w:pPr>
      <w:r w:rsidRPr="00590111">
        <w:rPr>
          <w:rStyle w:val="FootnoteReference"/>
          <w:rFonts w:cs="Arial"/>
          <w:sz w:val="18"/>
          <w:szCs w:val="18"/>
        </w:rPr>
        <w:footnoteRef/>
      </w:r>
      <w:r w:rsidRPr="00590111">
        <w:rPr>
          <w:sz w:val="18"/>
          <w:szCs w:val="18"/>
        </w:rPr>
        <w:t xml:space="preserve"> Ik kom hier verder in deze scriptie nog een aantal keren op terug. Zie bijvoorbeeld § 2.3.1.</w:t>
      </w:r>
    </w:p>
  </w:footnote>
  <w:footnote w:id="15">
    <w:p w:rsidR="00A64945" w:rsidRDefault="00A64945" w:rsidP="00AD0091">
      <w:pPr>
        <w:pStyle w:val="FootnoteText"/>
        <w:jc w:val="both"/>
      </w:pPr>
      <w:r w:rsidRPr="003D24F9">
        <w:rPr>
          <w:rStyle w:val="FootnoteReference"/>
          <w:rFonts w:cs="Arial"/>
          <w:sz w:val="18"/>
          <w:szCs w:val="18"/>
        </w:rPr>
        <w:footnoteRef/>
      </w:r>
      <w:r>
        <w:rPr>
          <w:sz w:val="18"/>
          <w:szCs w:val="18"/>
        </w:rPr>
        <w:t xml:space="preserve"> </w:t>
      </w:r>
      <w:r w:rsidRPr="003D24F9">
        <w:rPr>
          <w:sz w:val="18"/>
          <w:szCs w:val="18"/>
        </w:rPr>
        <w:t>Bij toetreding tot de EU compromitteert een lidstaat zich namelijk ten opzichte van de EU om een optimale bijdrage te leveren  aan een ‘goede’ werking van de Europese interne markt. Daarbij is het onvermijdbaar dat een lidstaat op bepaalde terreinen haar soevereiniteit (deels) moet opgeven.</w:t>
      </w:r>
    </w:p>
  </w:footnote>
  <w:footnote w:id="16">
    <w:p w:rsidR="00A64945" w:rsidRDefault="00A64945" w:rsidP="00AD0091">
      <w:pPr>
        <w:pStyle w:val="FootnoteText"/>
        <w:jc w:val="both"/>
      </w:pPr>
      <w:r w:rsidRPr="003D24F9">
        <w:rPr>
          <w:rStyle w:val="FootnoteReference"/>
          <w:rFonts w:cs="Arial"/>
          <w:sz w:val="18"/>
          <w:szCs w:val="18"/>
        </w:rPr>
        <w:footnoteRef/>
      </w:r>
      <w:r w:rsidRPr="003D24F9">
        <w:rPr>
          <w:sz w:val="18"/>
          <w:szCs w:val="18"/>
        </w:rPr>
        <w:t xml:space="preserve"> Directe belastingen worden door de lidstaten als een nagenoeg geheel binnenlandse aangelegenheid beschouwd.</w:t>
      </w:r>
    </w:p>
  </w:footnote>
  <w:footnote w:id="17">
    <w:p w:rsidR="00A64945" w:rsidRDefault="00A64945" w:rsidP="00AD0091">
      <w:pPr>
        <w:pStyle w:val="FootnoteText"/>
        <w:jc w:val="both"/>
      </w:pPr>
      <w:r w:rsidRPr="003D24F9">
        <w:rPr>
          <w:rStyle w:val="FootnoteReference"/>
          <w:rFonts w:cs="Arial"/>
          <w:sz w:val="18"/>
          <w:szCs w:val="18"/>
        </w:rPr>
        <w:footnoteRef/>
      </w:r>
      <w:r w:rsidRPr="003D24F9">
        <w:rPr>
          <w:sz w:val="18"/>
          <w:szCs w:val="18"/>
        </w:rPr>
        <w:t xml:space="preserve"> Art. 200 lid 1 VwEu.</w:t>
      </w:r>
    </w:p>
  </w:footnote>
  <w:footnote w:id="18">
    <w:p w:rsidR="00A64945" w:rsidRDefault="00A64945" w:rsidP="00AD0091">
      <w:pPr>
        <w:pStyle w:val="FootnoteText"/>
        <w:jc w:val="both"/>
      </w:pPr>
      <w:r w:rsidRPr="003D24F9">
        <w:rPr>
          <w:rStyle w:val="FootnoteReference"/>
          <w:rFonts w:cs="Arial"/>
          <w:sz w:val="18"/>
          <w:szCs w:val="18"/>
        </w:rPr>
        <w:footnoteRef/>
      </w:r>
      <w:r w:rsidRPr="003D24F9">
        <w:rPr>
          <w:sz w:val="18"/>
          <w:szCs w:val="18"/>
        </w:rPr>
        <w:t xml:space="preserve"> Idem.</w:t>
      </w:r>
      <w:r>
        <w:rPr>
          <w:sz w:val="18"/>
          <w:szCs w:val="18"/>
        </w:rPr>
        <w:t xml:space="preserve"> </w:t>
      </w:r>
    </w:p>
  </w:footnote>
  <w:footnote w:id="19">
    <w:p w:rsidR="00A64945" w:rsidRDefault="00A64945" w:rsidP="00AD0091">
      <w:pPr>
        <w:pStyle w:val="FootnoteText"/>
        <w:jc w:val="both"/>
      </w:pPr>
      <w:r w:rsidRPr="00B110F0">
        <w:rPr>
          <w:rStyle w:val="FootnoteReference"/>
          <w:rFonts w:cs="Arial"/>
          <w:sz w:val="18"/>
          <w:szCs w:val="18"/>
        </w:rPr>
        <w:footnoteRef/>
      </w:r>
      <w:r w:rsidRPr="00B110F0">
        <w:rPr>
          <w:sz w:val="18"/>
          <w:szCs w:val="18"/>
        </w:rPr>
        <w:t xml:space="preserve"> Art. 200 lid 2 VwEU.</w:t>
      </w:r>
    </w:p>
  </w:footnote>
  <w:footnote w:id="20">
    <w:p w:rsidR="00A64945" w:rsidRDefault="00A64945" w:rsidP="00E3438A">
      <w:pPr>
        <w:pStyle w:val="FootnoteText"/>
        <w:jc w:val="both"/>
      </w:pPr>
      <w:r w:rsidRPr="00E3438A">
        <w:rPr>
          <w:rStyle w:val="FootnoteReference"/>
          <w:rFonts w:cs="Arial"/>
          <w:sz w:val="18"/>
          <w:szCs w:val="18"/>
        </w:rPr>
        <w:footnoteRef/>
      </w:r>
      <w:r w:rsidRPr="00E3438A">
        <w:rPr>
          <w:sz w:val="18"/>
          <w:szCs w:val="18"/>
        </w:rPr>
        <w:t xml:space="preserve"> H.E. Bröring e.a., De Caribische Koninkrijksgebieden en de Europese Unie, </w:t>
      </w:r>
      <w:r w:rsidRPr="00E3438A">
        <w:rPr>
          <w:i/>
          <w:sz w:val="18"/>
          <w:szCs w:val="18"/>
        </w:rPr>
        <w:t xml:space="preserve">Over de moeizame verhoudingen tussen Europees en Staatsrecht in Koninkrijksrelaties, </w:t>
      </w:r>
      <w:r w:rsidRPr="00E3438A">
        <w:rPr>
          <w:sz w:val="18"/>
          <w:szCs w:val="18"/>
        </w:rPr>
        <w:t>pg. 11.</w:t>
      </w:r>
    </w:p>
  </w:footnote>
  <w:footnote w:id="21">
    <w:p w:rsidR="00A64945" w:rsidRDefault="00A64945" w:rsidP="00AD0091">
      <w:pPr>
        <w:pStyle w:val="FootnoteText"/>
        <w:jc w:val="both"/>
      </w:pPr>
      <w:r w:rsidRPr="00B110F0">
        <w:rPr>
          <w:rStyle w:val="FootnoteReference"/>
          <w:rFonts w:cs="Arial"/>
          <w:sz w:val="18"/>
          <w:szCs w:val="18"/>
        </w:rPr>
        <w:footnoteRef/>
      </w:r>
      <w:r w:rsidRPr="00B110F0">
        <w:rPr>
          <w:sz w:val="18"/>
          <w:szCs w:val="18"/>
        </w:rPr>
        <w:t xml:space="preserve"> Art. 200 lid 3 tweede alinea VwEU.</w:t>
      </w:r>
    </w:p>
  </w:footnote>
  <w:footnote w:id="22">
    <w:p w:rsidR="00A64945" w:rsidRDefault="00A64945" w:rsidP="00A87DCF">
      <w:pPr>
        <w:pStyle w:val="FootnoteText"/>
        <w:jc w:val="both"/>
      </w:pPr>
      <w:r w:rsidRPr="00B64B90">
        <w:rPr>
          <w:rStyle w:val="FootnoteReference"/>
          <w:rFonts w:cs="Arial"/>
          <w:sz w:val="18"/>
          <w:szCs w:val="18"/>
        </w:rPr>
        <w:footnoteRef/>
      </w:r>
      <w:r w:rsidRPr="00B64B90">
        <w:rPr>
          <w:sz w:val="18"/>
          <w:szCs w:val="18"/>
        </w:rPr>
        <w:t xml:space="preserve"> Binnen de EU bestaan er verschillende vormen van samenwerking. </w:t>
      </w:r>
      <w:r>
        <w:rPr>
          <w:sz w:val="18"/>
          <w:szCs w:val="18"/>
        </w:rPr>
        <w:t>Hier kom ik in §2.1. op terug</w:t>
      </w:r>
      <w:r w:rsidRPr="00B64B90">
        <w:rPr>
          <w:sz w:val="18"/>
          <w:szCs w:val="18"/>
        </w:rPr>
        <w:t>.</w:t>
      </w:r>
    </w:p>
  </w:footnote>
  <w:footnote w:id="23">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Dit zijn de Franse overzeese departementen.</w:t>
      </w:r>
    </w:p>
  </w:footnote>
  <w:footnote w:id="24">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De Azoren en Madeira horen bij Portugal.</w:t>
      </w:r>
    </w:p>
  </w:footnote>
  <w:footnote w:id="25">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De Canarische eilanden horen bij Spanje.</w:t>
      </w:r>
    </w:p>
  </w:footnote>
  <w:footnote w:id="26">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De Raad EU heeft drie hoofdtaken. Dit zijn </w:t>
      </w:r>
      <w:r>
        <w:rPr>
          <w:sz w:val="18"/>
          <w:szCs w:val="18"/>
        </w:rPr>
        <w:t xml:space="preserve">1: </w:t>
      </w:r>
      <w:r w:rsidRPr="006C617A">
        <w:rPr>
          <w:sz w:val="18"/>
          <w:szCs w:val="18"/>
        </w:rPr>
        <w:t>de beslissingsbevoegdheid uitvoeren (deze beslissingsbevoegdheid ziet ertoe dat de doelstellingen die in de verdragen zijn vastgesteld ten uitvoer worden gelegd overeenkomstig de voorwaarden die daarin zijn voorzien),</w:t>
      </w:r>
      <w:r>
        <w:rPr>
          <w:sz w:val="18"/>
          <w:szCs w:val="18"/>
        </w:rPr>
        <w:t xml:space="preserve"> 2: </w:t>
      </w:r>
      <w:r w:rsidRPr="006C617A">
        <w:rPr>
          <w:sz w:val="18"/>
          <w:szCs w:val="18"/>
        </w:rPr>
        <w:t>zorg dragen voor de politieke en economische samenwerking tussen de lidstaten en</w:t>
      </w:r>
      <w:r>
        <w:rPr>
          <w:sz w:val="18"/>
          <w:szCs w:val="18"/>
        </w:rPr>
        <w:t xml:space="preserve"> 3: </w:t>
      </w:r>
      <w:r w:rsidRPr="006C617A">
        <w:rPr>
          <w:sz w:val="18"/>
          <w:szCs w:val="18"/>
        </w:rPr>
        <w:t>de begrotingstaak van de EU uitvoeren. Het laatste doet de Raad in samenwerking met het Europees Parlement (art. 15 lid 1 e.v. VEU).</w:t>
      </w:r>
    </w:p>
  </w:footnote>
  <w:footnote w:id="27">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Het geheel van het EU- recht wordt ook wel aangeduid met </w:t>
      </w:r>
      <w:r w:rsidRPr="006C617A">
        <w:rPr>
          <w:i/>
          <w:sz w:val="18"/>
          <w:szCs w:val="18"/>
        </w:rPr>
        <w:t>Acquis Communitaire.</w:t>
      </w:r>
      <w:r w:rsidRPr="006C617A">
        <w:rPr>
          <w:sz w:val="18"/>
          <w:szCs w:val="18"/>
        </w:rPr>
        <w:t xml:space="preserve"> Acquis Communitaire is het geheel van </w:t>
      </w:r>
      <w:r>
        <w:rPr>
          <w:sz w:val="18"/>
          <w:szCs w:val="18"/>
        </w:rPr>
        <w:t>EU- verdragen, richtlijnen, verordeningen, inclusief de jurisprudentie van het Hof van Justitie van de Europese Unie.</w:t>
      </w:r>
    </w:p>
  </w:footnote>
  <w:footnote w:id="28">
    <w:p w:rsidR="00A64945" w:rsidRDefault="00A64945" w:rsidP="00521062">
      <w:pPr>
        <w:pStyle w:val="FootnoteText"/>
        <w:jc w:val="both"/>
      </w:pPr>
      <w:r w:rsidRPr="00881D3B">
        <w:rPr>
          <w:rStyle w:val="FootnoteReference"/>
          <w:rFonts w:cs="Arial"/>
          <w:sz w:val="18"/>
          <w:szCs w:val="18"/>
        </w:rPr>
        <w:footnoteRef/>
      </w:r>
      <w:r w:rsidRPr="00881D3B">
        <w:rPr>
          <w:sz w:val="18"/>
          <w:szCs w:val="18"/>
        </w:rPr>
        <w:t xml:space="preserve"> Het toepassingsgebied van het Europees recht op LGO’s is geen vas</w:t>
      </w:r>
      <w:r>
        <w:rPr>
          <w:sz w:val="18"/>
          <w:szCs w:val="18"/>
        </w:rPr>
        <w:t>t gegeven. Naar aanleiding van j</w:t>
      </w:r>
      <w:r w:rsidRPr="00881D3B">
        <w:rPr>
          <w:sz w:val="18"/>
          <w:szCs w:val="18"/>
        </w:rPr>
        <w:t xml:space="preserve">urisprudentie van het Hof is hier enige dynamiek in te constateren.  In </w:t>
      </w:r>
      <w:r w:rsidRPr="00881D3B">
        <w:rPr>
          <w:i/>
          <w:sz w:val="18"/>
          <w:szCs w:val="18"/>
        </w:rPr>
        <w:t>Eman/Sevinger (</w:t>
      </w:r>
      <w:r w:rsidRPr="00881D3B">
        <w:rPr>
          <w:rFonts w:cs="Times New Roman"/>
          <w:sz w:val="18"/>
          <w:szCs w:val="18"/>
          <w:lang w:eastAsia="nl-NL"/>
        </w:rPr>
        <w:t>C</w:t>
      </w:r>
      <w:r w:rsidRPr="00881D3B">
        <w:rPr>
          <w:rFonts w:cs="Times New Roman"/>
          <w:sz w:val="18"/>
          <w:szCs w:val="18"/>
          <w:lang w:eastAsia="nl-NL"/>
        </w:rPr>
        <w:noBreakHyphen/>
        <w:t>300/04 van 12 september 2006)</w:t>
      </w:r>
      <w:r w:rsidRPr="00881D3B">
        <w:rPr>
          <w:sz w:val="18"/>
          <w:szCs w:val="18"/>
        </w:rPr>
        <w:t>, bijvoorbeeld, een</w:t>
      </w:r>
      <w:r w:rsidRPr="00881D3B">
        <w:rPr>
          <w:rFonts w:cs="Arial Unicode MS"/>
          <w:sz w:val="18"/>
          <w:szCs w:val="18"/>
          <w:lang w:eastAsia="nl-NL"/>
        </w:rPr>
        <w:t xml:space="preserve"> niet- fiscaal arrest, oordeelde het HvJ EU in dit kader dat inwoners van Aruba met de Nederlandse nationaliteit op grond van art. 17 EG- Verdrag (h</w:t>
      </w:r>
      <w:r w:rsidRPr="00881D3B">
        <w:rPr>
          <w:sz w:val="18"/>
          <w:szCs w:val="18"/>
        </w:rPr>
        <w:t>et huidige art. 20 VwEU</w:t>
      </w:r>
      <w:r w:rsidRPr="00881D3B">
        <w:rPr>
          <w:rStyle w:val="FootnoteReference"/>
          <w:rFonts w:cs="Arial Unicode MS"/>
          <w:sz w:val="18"/>
          <w:szCs w:val="18"/>
          <w:lang w:eastAsia="nl-NL"/>
        </w:rPr>
        <w:t xml:space="preserve"> </w:t>
      </w:r>
      <w:r w:rsidRPr="00881D3B">
        <w:rPr>
          <w:rFonts w:cs="Arial Unicode MS"/>
          <w:sz w:val="18"/>
          <w:szCs w:val="18"/>
          <w:lang w:eastAsia="nl-NL"/>
        </w:rPr>
        <w:t xml:space="preserve">) toegang hebben tot deelname aan de verkiezingen voor het Europees parlement. Bron: </w:t>
      </w:r>
      <w:r w:rsidRPr="00881D3B">
        <w:rPr>
          <w:sz w:val="18"/>
          <w:szCs w:val="18"/>
        </w:rPr>
        <w:t xml:space="preserve">P. Kavelaars, </w:t>
      </w:r>
      <w:r w:rsidRPr="00881D3B">
        <w:rPr>
          <w:i/>
          <w:sz w:val="18"/>
          <w:szCs w:val="18"/>
        </w:rPr>
        <w:t>Het buitenland van de Europese Unie</w:t>
      </w:r>
      <w:r w:rsidRPr="00881D3B">
        <w:rPr>
          <w:sz w:val="18"/>
          <w:szCs w:val="18"/>
        </w:rPr>
        <w:t>, WFR 2007/919. Het Hof concludeerde in dat arrest dat degenen die de nationaliteit van een lidstaat hebben en ingezetenen zijn van, dan wel woonachtig zijn in, een gebied dat behoort tot de LGO’s bedoeld in art. 299, lid 3 EG- Verdrag (tegenwoordig art. 355, lid 2 VwEU), zich kunnen beroepen op de in deel twee van het EG- Verdrag (tegenwoordig het tweede deel VwEU: art. 18 t/m 25 VwEU) aan burgers van de Unie toegekende rechten.</w:t>
      </w:r>
      <w:r w:rsidRPr="00881D3B">
        <w:rPr>
          <w:rFonts w:cs="Times-Roman"/>
          <w:b/>
          <w:i/>
          <w:sz w:val="18"/>
          <w:szCs w:val="18"/>
        </w:rPr>
        <w:t xml:space="preserve"> </w:t>
      </w:r>
      <w:r w:rsidRPr="00881D3B">
        <w:rPr>
          <w:rFonts w:cs="Times-Roman"/>
          <w:sz w:val="18"/>
          <w:szCs w:val="18"/>
        </w:rPr>
        <w:t xml:space="preserve">De daarin opgenomen voorschriften inzake het Europees burgerschap vinden dus ook toepassing op inwoners of ingezetenen van de LGO’s die de nationaliteit van een van de lidstaten van de EU hebben. </w:t>
      </w:r>
      <w:r w:rsidRPr="00881D3B">
        <w:rPr>
          <w:sz w:val="18"/>
          <w:szCs w:val="18"/>
        </w:rPr>
        <w:t xml:space="preserve">Wat zijn de gevolgen van het arrest </w:t>
      </w:r>
      <w:r w:rsidRPr="00881D3B">
        <w:rPr>
          <w:i/>
          <w:sz w:val="18"/>
          <w:szCs w:val="18"/>
        </w:rPr>
        <w:t>Eman/Sevinger?</w:t>
      </w:r>
      <w:r w:rsidRPr="00881D3B">
        <w:rPr>
          <w:sz w:val="18"/>
          <w:szCs w:val="18"/>
        </w:rPr>
        <w:t xml:space="preserve"> Het vernieuwende punt in het arrest </w:t>
      </w:r>
      <w:r w:rsidRPr="00881D3B">
        <w:rPr>
          <w:i/>
          <w:sz w:val="18"/>
          <w:szCs w:val="18"/>
        </w:rPr>
        <w:t>Eman/Sevinger</w:t>
      </w:r>
      <w:r w:rsidRPr="00881D3B">
        <w:rPr>
          <w:sz w:val="18"/>
          <w:szCs w:val="18"/>
        </w:rPr>
        <w:t xml:space="preserve"> is dat het HvJ EU in dit arrest een artikel</w:t>
      </w:r>
      <w:r>
        <w:rPr>
          <w:sz w:val="18"/>
          <w:szCs w:val="18"/>
        </w:rPr>
        <w:t xml:space="preserve"> </w:t>
      </w:r>
      <w:r w:rsidRPr="00881D3B">
        <w:rPr>
          <w:sz w:val="18"/>
          <w:szCs w:val="18"/>
        </w:rPr>
        <w:t xml:space="preserve">buiten deel IV van het EU- Verdrag op de LGO’s van toepassing heeft verklaard. Sterker nog, het HvJ EU heeft in dit arrest zelfs bepaald dat heel deel II van het EG- Verdrag (Tegenwoordig deel II VwEU) van toepassing is op inwoners van de LGO’s met de nationaliteit van een lidstaat. Zij kunnen </w:t>
      </w:r>
      <w:r w:rsidRPr="00881D3B">
        <w:rPr>
          <w:rFonts w:cs="Times New Roman"/>
          <w:sz w:val="18"/>
          <w:szCs w:val="18"/>
          <w:lang w:eastAsia="nl-NL"/>
        </w:rPr>
        <w:t>zich beroepen ‘</w:t>
      </w:r>
      <w:r w:rsidRPr="00881D3B">
        <w:rPr>
          <w:rFonts w:cs="Times New Roman"/>
          <w:i/>
          <w:sz w:val="18"/>
          <w:szCs w:val="18"/>
          <w:lang w:eastAsia="nl-NL"/>
        </w:rPr>
        <w:t>op de in het tweede deel van het Verdrag aan de burgers van de Unie toegekende rechten’</w:t>
      </w:r>
      <w:r w:rsidRPr="00881D3B">
        <w:rPr>
          <w:rStyle w:val="FootnoteReference"/>
          <w:rFonts w:cs="Arial"/>
          <w:sz w:val="18"/>
          <w:szCs w:val="18"/>
        </w:rPr>
        <w:t xml:space="preserve"> </w:t>
      </w:r>
      <w:r w:rsidRPr="00881D3B">
        <w:rPr>
          <w:sz w:val="18"/>
          <w:szCs w:val="18"/>
        </w:rPr>
        <w:t>(r.o. 29). Tot deel II EG- Verdrag behoort art. 18 EG- Verdrag betreffende het recht op vrij reizen en verblijven. Thans art. 21 VwEU. Met dit arrest is het toepassingsbereik van het Europees recht in LGO’s dus verbreed.</w:t>
      </w:r>
    </w:p>
  </w:footnote>
  <w:footnote w:id="29">
    <w:p w:rsidR="00A64945" w:rsidRDefault="00A64945" w:rsidP="00AE333F">
      <w:pPr>
        <w:pStyle w:val="FootnoteText"/>
        <w:jc w:val="both"/>
      </w:pPr>
      <w:r w:rsidRPr="006C617A">
        <w:rPr>
          <w:rStyle w:val="FootnoteReference"/>
          <w:rFonts w:cs="Arial"/>
          <w:sz w:val="18"/>
          <w:szCs w:val="18"/>
        </w:rPr>
        <w:footnoteRef/>
      </w:r>
      <w:r>
        <w:rPr>
          <w:sz w:val="18"/>
          <w:szCs w:val="18"/>
        </w:rPr>
        <w:t xml:space="preserve"> Het vierde deel</w:t>
      </w:r>
      <w:r w:rsidRPr="006C617A">
        <w:rPr>
          <w:sz w:val="18"/>
          <w:szCs w:val="18"/>
        </w:rPr>
        <w:t xml:space="preserve"> </w:t>
      </w:r>
      <w:r>
        <w:rPr>
          <w:sz w:val="18"/>
          <w:szCs w:val="18"/>
        </w:rPr>
        <w:t xml:space="preserve">van het </w:t>
      </w:r>
      <w:r w:rsidRPr="006C617A">
        <w:rPr>
          <w:sz w:val="18"/>
          <w:szCs w:val="18"/>
        </w:rPr>
        <w:t>VwEU.</w:t>
      </w:r>
    </w:p>
  </w:footnote>
  <w:footnote w:id="30">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In art 17 lid 1 (e.v.) VEU staan de taken van de Europese Commissie aangegeven. De Commissie is het uitvoerende orgaan van de EU.</w:t>
      </w:r>
    </w:p>
  </w:footnote>
  <w:footnote w:id="31">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Het Europees parlement heeft de bevoegdheid om Europese wetten aan te nemen, te wijzigen en te verwerpen. Daarnaast voert het Europees parlement in samenwerking met de Raad EU de begrotingstaak uit (art. 14 lid 1</w:t>
      </w:r>
      <w:r>
        <w:rPr>
          <w:sz w:val="18"/>
          <w:szCs w:val="18"/>
        </w:rPr>
        <w:t xml:space="preserve"> </w:t>
      </w:r>
      <w:r w:rsidRPr="006C617A">
        <w:rPr>
          <w:sz w:val="18"/>
          <w:szCs w:val="18"/>
        </w:rPr>
        <w:t>( e.v.) VEU).</w:t>
      </w:r>
    </w:p>
  </w:footnote>
  <w:footnote w:id="32">
    <w:p w:rsidR="00A64945" w:rsidRDefault="00A64945" w:rsidP="00AE333F">
      <w:pPr>
        <w:pStyle w:val="FootnoteText"/>
        <w:jc w:val="both"/>
      </w:pPr>
      <w:r w:rsidRPr="006C617A">
        <w:rPr>
          <w:rStyle w:val="FootnoteReference"/>
          <w:rFonts w:cs="Arial"/>
          <w:sz w:val="18"/>
          <w:szCs w:val="18"/>
        </w:rPr>
        <w:footnoteRef/>
      </w:r>
      <w:r>
        <w:rPr>
          <w:sz w:val="18"/>
          <w:szCs w:val="18"/>
        </w:rPr>
        <w:t xml:space="preserve"> Art. </w:t>
      </w:r>
      <w:r w:rsidRPr="006C617A">
        <w:rPr>
          <w:sz w:val="18"/>
          <w:szCs w:val="18"/>
        </w:rPr>
        <w:t>349  tweede alinea VwEU.</w:t>
      </w:r>
    </w:p>
  </w:footnote>
  <w:footnote w:id="33">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Art. 349 derde alinea VwEU.</w:t>
      </w:r>
    </w:p>
  </w:footnote>
  <w:footnote w:id="34">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Zie onder andere de slotverklaring van de miniconferentie over de toekomstige staatkundige positie van Bonaire, Sint Eustatius en Saba, 10 en 11 oktober 2006, Kamerstukken II 2006/07, 30 800 IV, nr. 5, punt 22.</w:t>
      </w:r>
    </w:p>
  </w:footnote>
  <w:footnote w:id="35">
    <w:p w:rsidR="00A64945" w:rsidRDefault="00A64945" w:rsidP="005338DB">
      <w:pPr>
        <w:pStyle w:val="FootnoteText"/>
        <w:jc w:val="both"/>
      </w:pPr>
      <w:r w:rsidRPr="006C617A">
        <w:rPr>
          <w:rStyle w:val="FootnoteReference"/>
          <w:rFonts w:cs="Arial"/>
          <w:sz w:val="18"/>
          <w:szCs w:val="18"/>
        </w:rPr>
        <w:footnoteRef/>
      </w:r>
      <w:r>
        <w:rPr>
          <w:sz w:val="18"/>
          <w:szCs w:val="18"/>
        </w:rPr>
        <w:t xml:space="preserve"> Slotverklaring van de m</w:t>
      </w:r>
      <w:r w:rsidRPr="006C617A">
        <w:rPr>
          <w:sz w:val="18"/>
          <w:szCs w:val="18"/>
        </w:rPr>
        <w:t>iniconferentie over de toekomstige staatkundige positie van Bonaire, Sint Eustatius en Saba, 10 en 11 oktober 2006, Kamerstukken II 2006/07, 30 800 IV, nr. 5, punt 22.</w:t>
      </w:r>
    </w:p>
  </w:footnote>
  <w:footnote w:id="36">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Met de naam </w:t>
      </w:r>
      <w:r w:rsidRPr="006C617A">
        <w:rPr>
          <w:i/>
          <w:sz w:val="18"/>
          <w:szCs w:val="18"/>
        </w:rPr>
        <w:t>Kleine Antillen</w:t>
      </w:r>
      <w:r w:rsidRPr="006C617A">
        <w:rPr>
          <w:sz w:val="18"/>
          <w:szCs w:val="18"/>
        </w:rPr>
        <w:t xml:space="preserve"> wordt geduid op een eilandengroep bestaande uit de Bovenwindse eilanden en de Benedenwindse eilanden. De Nederlandse Antillen maakt</w:t>
      </w:r>
      <w:r>
        <w:rPr>
          <w:sz w:val="18"/>
          <w:szCs w:val="18"/>
        </w:rPr>
        <w:t>e</w:t>
      </w:r>
      <w:r w:rsidRPr="006C617A">
        <w:rPr>
          <w:sz w:val="18"/>
          <w:szCs w:val="18"/>
        </w:rPr>
        <w:t xml:space="preserve"> onderdeel uit van de Kleine Antillen. Saba , Sint Maarten en Sint Eustatius vormen deel van de Bovenwindse eilanden. Curaçao en Bonaire van de Benedenwindse eilanden. Ook Aruba behoort tot de Benedenwindse eilanden. Aruba, Bonaire en Curaçao worden samen ook wel de ABC- eilanden genoemd. De Grote Antillen worden gevormd door de eilanden Cuba, Hispaniola, Jamaica en Puerto Rico.</w:t>
      </w:r>
    </w:p>
  </w:footnote>
  <w:footnote w:id="37">
    <w:p w:rsidR="00A64945" w:rsidRDefault="00A64945" w:rsidP="007C08E3">
      <w:pPr>
        <w:pStyle w:val="FootnoteText"/>
        <w:jc w:val="both"/>
      </w:pPr>
      <w:r w:rsidRPr="007C08E3">
        <w:rPr>
          <w:rStyle w:val="FootnoteReference"/>
          <w:rFonts w:cs="Arial"/>
          <w:sz w:val="18"/>
          <w:szCs w:val="18"/>
        </w:rPr>
        <w:footnoteRef/>
      </w:r>
      <w:r w:rsidRPr="007C08E3">
        <w:rPr>
          <w:sz w:val="18"/>
          <w:szCs w:val="18"/>
        </w:rPr>
        <w:t xml:space="preserve"> De Raad van State adviseert regering en parlement over wetgeving en bestuur.</w:t>
      </w:r>
    </w:p>
  </w:footnote>
  <w:footnote w:id="38">
    <w:p w:rsidR="00A64945" w:rsidRDefault="00A64945" w:rsidP="00AE333F">
      <w:pPr>
        <w:autoSpaceDE w:val="0"/>
        <w:autoSpaceDN w:val="0"/>
        <w:adjustRightInd w:val="0"/>
        <w:spacing w:after="0" w:line="240" w:lineRule="auto"/>
        <w:jc w:val="both"/>
      </w:pPr>
      <w:r w:rsidRPr="006C617A">
        <w:rPr>
          <w:rStyle w:val="FootnoteReference"/>
          <w:rFonts w:cs="Arial"/>
          <w:sz w:val="18"/>
          <w:szCs w:val="18"/>
        </w:rPr>
        <w:footnoteRef/>
      </w:r>
      <w:r w:rsidRPr="006C617A">
        <w:rPr>
          <w:sz w:val="18"/>
          <w:szCs w:val="18"/>
        </w:rPr>
        <w:t xml:space="preserve"> </w:t>
      </w:r>
      <w:r w:rsidRPr="006C617A">
        <w:rPr>
          <w:bCs/>
          <w:sz w:val="18"/>
          <w:szCs w:val="18"/>
        </w:rPr>
        <w:t>Voorlichting overeenkomstig artikel 18, tweede lid, van de Wet op de Raad van State inzake de hervorming van de staatkundige verhoudingen van de Antilliaanse eilanden binnen het Koninkrijk, d.d. 18 september 2006, hoofdstuk 3.3; Relatie met EU, pg. 25.</w:t>
      </w:r>
    </w:p>
  </w:footnote>
  <w:footnote w:id="39">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 Na de staatkundige hervormingen zijn Aruba, Curaçao en Sint Maarten autonome landen binnen het Koninkrijk der Nederlanden.</w:t>
      </w:r>
    </w:p>
  </w:footnote>
  <w:footnote w:id="40">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 R. Barents, L.J. Brinkhorst, </w:t>
      </w:r>
      <w:r w:rsidRPr="00DD7C19">
        <w:rPr>
          <w:i/>
          <w:sz w:val="18"/>
          <w:szCs w:val="18"/>
        </w:rPr>
        <w:t>Grondlijnen van Europees recht</w:t>
      </w:r>
      <w:r w:rsidRPr="00DD7C19">
        <w:rPr>
          <w:sz w:val="18"/>
          <w:szCs w:val="18"/>
        </w:rPr>
        <w:t>, pg. 53, Kluwer, Deventer, 2006.</w:t>
      </w:r>
    </w:p>
  </w:footnote>
  <w:footnote w:id="41">
    <w:p w:rsidR="00A64945" w:rsidRDefault="00A64945" w:rsidP="00CB06E4">
      <w:pPr>
        <w:autoSpaceDE w:val="0"/>
        <w:autoSpaceDN w:val="0"/>
        <w:adjustRightInd w:val="0"/>
        <w:spacing w:after="0" w:line="240" w:lineRule="auto"/>
        <w:jc w:val="both"/>
      </w:pPr>
      <w:r w:rsidRPr="00DD7C19">
        <w:rPr>
          <w:rStyle w:val="FootnoteReference"/>
          <w:rFonts w:cs="Arial"/>
          <w:sz w:val="18"/>
          <w:szCs w:val="18"/>
        </w:rPr>
        <w:footnoteRef/>
      </w:r>
      <w:r w:rsidRPr="00DD7C19">
        <w:rPr>
          <w:sz w:val="18"/>
          <w:szCs w:val="18"/>
        </w:rPr>
        <w:t xml:space="preserve"> Een inbreuk hierop is namelijk te vinden in artikel art. 64 VwEU. Dit artikel bevat een ‘standstill- bepaling’ . Een ‘standstill- bepaling’ is een bepaling die uitsluit dat op bepaalde gebieden nieuwe beperkingen worden ingevoerd. Conform art. 64 VwEU zijn beperkingen van het kapitaalverkeer van of naar derde landen die op 31 december 1993 bestaan uit hoofde van nationaal recht of het recht van de Unie onder voorwaarden toegestaan. Dit terwijl artikel 63 VwEU </w:t>
      </w:r>
      <w:r w:rsidRPr="00DD7C19">
        <w:rPr>
          <w:rFonts w:cs="EUAlbertina"/>
          <w:sz w:val="18"/>
          <w:szCs w:val="18"/>
        </w:rPr>
        <w:t>alle beperkingen van het kapitaal en betalingsverkeer tussen lidstaten onderling en tussen lidstaten en derde landen verbiedt.</w:t>
      </w:r>
      <w:r w:rsidRPr="00DD7C19">
        <w:rPr>
          <w:sz w:val="18"/>
          <w:szCs w:val="18"/>
        </w:rPr>
        <w:t xml:space="preserve"> Door artikel 64 VwEU blijven de op 31 december 1993 bestaande beperkingen echter onaangetast. Dit is een voorbeeld waarbij (strijdig) nationaal recht voorrang wordt gegeven boven het EU- recht.</w:t>
      </w:r>
    </w:p>
  </w:footnote>
  <w:footnote w:id="42">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 HvJ EG 3 juni 1964 zaak 6/64.</w:t>
      </w:r>
    </w:p>
  </w:footnote>
  <w:footnote w:id="43">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 HvJ EG 5 februari 1963 zaak 26/62.</w:t>
      </w:r>
    </w:p>
  </w:footnote>
  <w:footnote w:id="44">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R.P.C.W.M. Brandsma e.a., </w:t>
      </w:r>
      <w:r w:rsidRPr="00DD7C19">
        <w:rPr>
          <w:i/>
          <w:sz w:val="18"/>
          <w:szCs w:val="18"/>
        </w:rPr>
        <w:t>Cursus Belastingrecht -Europees Belastingrecht-</w:t>
      </w:r>
      <w:r w:rsidRPr="00DD7C19">
        <w:rPr>
          <w:sz w:val="18"/>
          <w:szCs w:val="18"/>
        </w:rPr>
        <w:t xml:space="preserve"> studenteneditie 2007-2008, Kluwer, Deventer, 2008, pg. 31, §3.0.0.A.: Inleiding.</w:t>
      </w:r>
    </w:p>
  </w:footnote>
  <w:footnote w:id="45">
    <w:p w:rsidR="00A64945" w:rsidRDefault="00A64945" w:rsidP="00AE333F">
      <w:pPr>
        <w:pStyle w:val="FootnoteText"/>
        <w:jc w:val="both"/>
      </w:pPr>
      <w:r w:rsidRPr="006C617A">
        <w:rPr>
          <w:rStyle w:val="FootnoteReference"/>
          <w:rFonts w:cs="Arial"/>
          <w:sz w:val="18"/>
          <w:szCs w:val="18"/>
        </w:rPr>
        <w:footnoteRef/>
      </w:r>
      <w:r w:rsidRPr="006C617A">
        <w:rPr>
          <w:sz w:val="18"/>
          <w:szCs w:val="18"/>
        </w:rPr>
        <w:t xml:space="preserve"> Er kan hier een onderscheid worden gemaakt tussen een verticale directe werking en een horizontale directe werking. Bij een verticale directe werking hebben we het over de verhouding natuurlijk personen/rechtspersonen ten opzichte van de overheid. Een horizontale directe werking impliceert de verhouding tussen particulieren (natuurlijk personen of rechtspersonen) onderling.</w:t>
      </w:r>
    </w:p>
  </w:footnote>
  <w:footnote w:id="46">
    <w:p w:rsidR="00A64945" w:rsidRDefault="00A64945" w:rsidP="00AE333F">
      <w:pPr>
        <w:pStyle w:val="FootnoteText"/>
        <w:jc w:val="both"/>
      </w:pPr>
      <w:r w:rsidRPr="003D073D">
        <w:rPr>
          <w:rStyle w:val="FootnoteReference"/>
          <w:rFonts w:cs="Arial"/>
          <w:sz w:val="18"/>
          <w:szCs w:val="18"/>
        </w:rPr>
        <w:footnoteRef/>
      </w:r>
      <w:r w:rsidRPr="003D073D">
        <w:rPr>
          <w:sz w:val="18"/>
          <w:szCs w:val="18"/>
        </w:rPr>
        <w:t xml:space="preserve"> Het huidige art. 18 VwEU.</w:t>
      </w:r>
    </w:p>
  </w:footnote>
  <w:footnote w:id="47">
    <w:p w:rsidR="00A64945" w:rsidRDefault="00A64945" w:rsidP="00AE333F">
      <w:pPr>
        <w:pStyle w:val="FootnoteText"/>
        <w:jc w:val="both"/>
      </w:pPr>
      <w:r w:rsidRPr="003D073D">
        <w:rPr>
          <w:rStyle w:val="FootnoteReference"/>
          <w:rFonts w:cs="Arial"/>
          <w:sz w:val="18"/>
          <w:szCs w:val="18"/>
        </w:rPr>
        <w:footnoteRef/>
      </w:r>
      <w:r w:rsidRPr="003D073D">
        <w:rPr>
          <w:sz w:val="18"/>
          <w:szCs w:val="18"/>
        </w:rPr>
        <w:t xml:space="preserve"> J. Adeler en P. Kavelaars, </w:t>
      </w:r>
      <w:r w:rsidRPr="003D073D">
        <w:rPr>
          <w:i/>
          <w:sz w:val="18"/>
          <w:szCs w:val="18"/>
        </w:rPr>
        <w:t>De fiscale toekomst van de Nederlandse Antillen</w:t>
      </w:r>
      <w:r w:rsidRPr="003D073D">
        <w:rPr>
          <w:sz w:val="18"/>
          <w:szCs w:val="18"/>
        </w:rPr>
        <w:t>, WFR 2009/192.</w:t>
      </w:r>
    </w:p>
  </w:footnote>
  <w:footnote w:id="48">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 Ten aanzien van UPG’s wordt het staatssteunbeleid van art. 107 VwEU tot en met 109 VwEU minder stringent toegepast. Dit vindt zijn grondslag in artikel 349 VwEU.  Uit dit artikel blijkt dat bij de toepassing van het staatssteunbeleid ten opzichte van UPG’s rekening wordt gehouden met de structurele, economische en sociale situatie van het UPG. Factoren als de grote afstand, het insulaire karakter, de kleine oppervlakte, een moeilijk reliëf en klimaat en de economische afhankelijkheid van enkele producten van deze gebieden worden als belemmerd voor deze gebieden beschouwd. Aangenomen wordt dat genoemde factoren door hun blijvende en cumulatieve karakter de ontwikkeling van de UPG’s ernstig zullen schaden. Daardoor voorziet art. 349 VwEU in een mogelijkheid voor de Raad om op dit terrein specifieke maatregelen aan te nemen.</w:t>
      </w:r>
    </w:p>
  </w:footnote>
  <w:footnote w:id="49">
    <w:p w:rsidR="00A64945" w:rsidRDefault="00A64945" w:rsidP="00EB76E6">
      <w:pPr>
        <w:pStyle w:val="FootnoteText"/>
        <w:jc w:val="both"/>
      </w:pPr>
      <w:r w:rsidRPr="00DD7C19">
        <w:rPr>
          <w:rStyle w:val="FootnoteReference"/>
          <w:rFonts w:cs="Arial"/>
          <w:sz w:val="18"/>
          <w:szCs w:val="18"/>
        </w:rPr>
        <w:footnoteRef/>
      </w:r>
      <w:r w:rsidRPr="00DD7C19">
        <w:rPr>
          <w:sz w:val="18"/>
          <w:szCs w:val="18"/>
        </w:rPr>
        <w:t xml:space="preserve"> Het is op zich zelf genomen merkwaardig dat </w:t>
      </w:r>
      <w:r w:rsidRPr="00DD7C19">
        <w:rPr>
          <w:i/>
          <w:sz w:val="18"/>
          <w:szCs w:val="18"/>
        </w:rPr>
        <w:t>Kavelaars</w:t>
      </w:r>
      <w:r w:rsidRPr="00DD7C19">
        <w:rPr>
          <w:sz w:val="18"/>
          <w:szCs w:val="18"/>
        </w:rPr>
        <w:t xml:space="preserve"> en </w:t>
      </w:r>
      <w:r w:rsidRPr="00DD7C19">
        <w:rPr>
          <w:i/>
          <w:sz w:val="18"/>
          <w:szCs w:val="18"/>
        </w:rPr>
        <w:t>Adeler</w:t>
      </w:r>
      <w:r w:rsidRPr="00DD7C19">
        <w:rPr>
          <w:sz w:val="18"/>
          <w:szCs w:val="18"/>
        </w:rPr>
        <w:t xml:space="preserve"> in hun stuk wel kritiek leveren en stellen dat het verwisselen van de LGO- status voor de UPG- status eerder belemmerend dan bevorderend zal werken, maar vervolgens niet motiveren waar deze belemmering zich volgens hen in schuilt. </w:t>
      </w:r>
    </w:p>
  </w:footnote>
  <w:footnote w:id="50">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 Zie ook art. 26 lid 2 VwEU waarin is bepaald dat de interne markt een ruimte zonder binnengrenzen omvat waarin het vrije verkeer van goederen, personen, diensten en kapitaal is gewaarborgd volgens de bepalingen van de Verdragen.</w:t>
      </w:r>
    </w:p>
  </w:footnote>
  <w:footnote w:id="51">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 R.P.C.W.M. Brandsma e.a., </w:t>
      </w:r>
      <w:r w:rsidRPr="00DD7C19">
        <w:rPr>
          <w:i/>
          <w:sz w:val="18"/>
          <w:szCs w:val="18"/>
        </w:rPr>
        <w:t>Cursus Belastingrecht -Europees Belastingrecht-</w:t>
      </w:r>
      <w:r w:rsidRPr="00DD7C19">
        <w:rPr>
          <w:sz w:val="18"/>
          <w:szCs w:val="18"/>
        </w:rPr>
        <w:t xml:space="preserve"> studenteneditie 2007-2008, Kluwer, Deventer, 2008, pg. 73, §5.0.7.: Vrijheidsbegrippen.</w:t>
      </w:r>
    </w:p>
  </w:footnote>
  <w:footnote w:id="52">
    <w:p w:rsidR="00A64945" w:rsidRDefault="00A64945" w:rsidP="00AE333F">
      <w:pPr>
        <w:pStyle w:val="FootnoteText"/>
        <w:jc w:val="both"/>
      </w:pPr>
      <w:r w:rsidRPr="00B92CD9">
        <w:rPr>
          <w:rStyle w:val="FootnoteReference"/>
          <w:rFonts w:cs="Arial"/>
          <w:sz w:val="18"/>
          <w:szCs w:val="18"/>
        </w:rPr>
        <w:footnoteRef/>
      </w:r>
      <w:r w:rsidRPr="00B92CD9">
        <w:rPr>
          <w:sz w:val="18"/>
          <w:szCs w:val="18"/>
        </w:rPr>
        <w:t xml:space="preserve"> In casus is dit Richtlijn 2005/26/EG van het Europees parlement en de Raad van 7 september 2005 betreffende de erkenning van beroepskwalificaties.</w:t>
      </w:r>
    </w:p>
  </w:footnote>
  <w:footnote w:id="53">
    <w:p w:rsidR="00A64945" w:rsidRDefault="00A64945" w:rsidP="00232E4A">
      <w:pPr>
        <w:pStyle w:val="FootnoteText"/>
        <w:jc w:val="both"/>
      </w:pPr>
      <w:r w:rsidRPr="00232E4A">
        <w:rPr>
          <w:rStyle w:val="FootnoteReference"/>
          <w:rFonts w:cs="Arial"/>
          <w:sz w:val="18"/>
          <w:szCs w:val="18"/>
        </w:rPr>
        <w:footnoteRef/>
      </w:r>
      <w:r w:rsidRPr="00232E4A">
        <w:rPr>
          <w:sz w:val="18"/>
          <w:szCs w:val="18"/>
        </w:rPr>
        <w:t xml:space="preserve"> Toetreding tot de EU zal ook sociaal maatschappelijke effecten hebben. Zowel voor de toetreder als voor de EU. Deze effecten zouden eigenlijk ook mee genomen moeten worden bij deze overwegingen.</w:t>
      </w:r>
      <w:r>
        <w:rPr>
          <w:sz w:val="18"/>
          <w:szCs w:val="18"/>
        </w:rPr>
        <w:t xml:space="preserve"> Niet alleen de economische welvaart is van belang, maar een samenleving dient er tevens naar te streven dat de  ‘sociaal maatschappelijke welvaart’ optimaal is/wordt.</w:t>
      </w:r>
    </w:p>
  </w:footnote>
  <w:footnote w:id="54">
    <w:p w:rsidR="00A64945" w:rsidRDefault="00A64945" w:rsidP="00FC3163">
      <w:pPr>
        <w:spacing w:after="0" w:line="240" w:lineRule="auto"/>
        <w:jc w:val="both"/>
      </w:pPr>
      <w:r w:rsidRPr="0057093F">
        <w:rPr>
          <w:rStyle w:val="FootnoteReference"/>
          <w:rFonts w:cs="Arial"/>
          <w:sz w:val="18"/>
          <w:szCs w:val="18"/>
        </w:rPr>
        <w:footnoteRef/>
      </w:r>
      <w:r w:rsidRPr="0057093F">
        <w:rPr>
          <w:sz w:val="18"/>
          <w:szCs w:val="18"/>
        </w:rPr>
        <w:t xml:space="preserve"> </w:t>
      </w:r>
      <w:r w:rsidRPr="0057093F">
        <w:rPr>
          <w:color w:val="000000"/>
          <w:sz w:val="18"/>
          <w:szCs w:val="18"/>
        </w:rPr>
        <w:t>Het onderzoek is uitgevoerd door SEOR BV, Erasmus Universiteit Rotterdam, Nederland, in samenwerking met Louis Lengrand et Associés te Versailles, Frankrijk, met een onderzoeksteam van in totaal acht personen. Het werk van het onderzoeksteam is begeleid door een stuurgroep onder voorzitterschap van professor Rob Swank en met als secretaris de heer Cees Nierop (Ministerie van Binnenlandse Zaken en Koninkrijksrelaties). De stuurgroep bestond uit drie onafhankelijke leden (met uitzondering van de voorzitter: Professor dr. P.J.G. Kapteyn (voorzitter van het comité voor juridische onderzoek), Alberto Romero (Directeur van de Centrale Bank van de Nederlandse Antillen) en vertegenwoordigers van het Ministerie van Binnenlandse Zaken en Koninkrijksrelaties (Hans Gerritsen), het Ministerie van Financiën (Maarten Verwey) het Ministerie van Economische Zaken (Jeroen Sas) het Ministerie van Landbouw (Ronald Laperre), het Ministerie van Buitenlandse  Zaken (Cornelis van Ray) en het Antillenhuis (Lau</w:t>
      </w:r>
      <w:r>
        <w:rPr>
          <w:color w:val="000000"/>
          <w:sz w:val="18"/>
          <w:szCs w:val="18"/>
        </w:rPr>
        <w:t xml:space="preserve">rens Warnink, Juridische Zaken) Bron: </w:t>
      </w:r>
      <w:r w:rsidRPr="00B92CD9">
        <w:rPr>
          <w:sz w:val="18"/>
          <w:szCs w:val="18"/>
        </w:rPr>
        <w:t xml:space="preserve">Rapport </w:t>
      </w:r>
      <w:r w:rsidRPr="00B92CD9">
        <w:rPr>
          <w:i/>
          <w:sz w:val="18"/>
          <w:szCs w:val="18"/>
        </w:rPr>
        <w:t>‘Economische gevolgen van de status van ultraperifeer gebied voor de Nederlandse Antillen en Aruba’</w:t>
      </w:r>
      <w:r w:rsidRPr="00B92CD9">
        <w:rPr>
          <w:sz w:val="18"/>
          <w:szCs w:val="18"/>
        </w:rPr>
        <w:t xml:space="preserve"> in opdracht van het Ministerie van Binnenlandse Zaken en Koninkrijksrelaties,</w:t>
      </w:r>
      <w:r>
        <w:rPr>
          <w:sz w:val="18"/>
          <w:szCs w:val="18"/>
        </w:rPr>
        <w:t xml:space="preserve"> pg. iv,</w:t>
      </w:r>
      <w:r w:rsidRPr="00B92CD9">
        <w:rPr>
          <w:sz w:val="18"/>
          <w:szCs w:val="18"/>
        </w:rPr>
        <w:t xml:space="preserve"> d.d. 2 juni 2008</w:t>
      </w:r>
      <w:r>
        <w:rPr>
          <w:sz w:val="18"/>
          <w:szCs w:val="18"/>
        </w:rPr>
        <w:t>.</w:t>
      </w:r>
    </w:p>
  </w:footnote>
  <w:footnote w:id="55">
    <w:p w:rsidR="00A64945" w:rsidRDefault="00A64945" w:rsidP="00302DD8">
      <w:pPr>
        <w:spacing w:after="0" w:line="240" w:lineRule="auto"/>
        <w:jc w:val="both"/>
      </w:pPr>
      <w:r w:rsidRPr="00973BA4">
        <w:rPr>
          <w:rStyle w:val="FootnoteReference"/>
          <w:rFonts w:cs="Arial"/>
          <w:sz w:val="18"/>
          <w:szCs w:val="18"/>
        </w:rPr>
        <w:footnoteRef/>
      </w:r>
      <w:r w:rsidRPr="00973BA4">
        <w:rPr>
          <w:sz w:val="18"/>
          <w:szCs w:val="18"/>
        </w:rPr>
        <w:t xml:space="preserve"> De lijst met de namen van het onderzoeksteam van de rijksuniversiteit Groningen, Faculteit Rechtsgeleerdheid, Centrum voor Recht, Bestuur en Samenleving is</w:t>
      </w:r>
      <w:r>
        <w:rPr>
          <w:sz w:val="18"/>
          <w:szCs w:val="18"/>
        </w:rPr>
        <w:t xml:space="preserve"> voor wat het juridische deel van het onderzoek betreft,</w:t>
      </w:r>
      <w:r w:rsidRPr="00973BA4">
        <w:rPr>
          <w:sz w:val="18"/>
          <w:szCs w:val="18"/>
        </w:rPr>
        <w:t xml:space="preserve"> opgenomen op pg. 237 van het Rapport </w:t>
      </w:r>
      <w:r w:rsidRPr="00973BA4">
        <w:rPr>
          <w:i/>
          <w:sz w:val="18"/>
          <w:szCs w:val="18"/>
        </w:rPr>
        <w:t>‘Over de juridische implicaties van de UPG status voor de eilandgebieden van de Nederlandse Antillen en Aruba’</w:t>
      </w:r>
      <w:r w:rsidRPr="00973BA4">
        <w:rPr>
          <w:sz w:val="18"/>
          <w:szCs w:val="18"/>
        </w:rPr>
        <w:t xml:space="preserve"> dat in opdracht van het Ministerie van Binnenlandse Zaken en Koninkrijksrelaties is samengesteld, d.d. 2 juni 2008.</w:t>
      </w:r>
    </w:p>
  </w:footnote>
  <w:footnote w:id="56">
    <w:p w:rsidR="00A64945" w:rsidRDefault="00A64945" w:rsidP="00AE333F">
      <w:pPr>
        <w:spacing w:after="0" w:line="240" w:lineRule="auto"/>
        <w:jc w:val="both"/>
      </w:pPr>
      <w:r w:rsidRPr="00B92CD9">
        <w:rPr>
          <w:rStyle w:val="FootnoteReference"/>
          <w:rFonts w:cs="Arial"/>
          <w:sz w:val="18"/>
          <w:szCs w:val="18"/>
        </w:rPr>
        <w:footnoteRef/>
      </w:r>
      <w:r>
        <w:rPr>
          <w:sz w:val="18"/>
          <w:szCs w:val="18"/>
        </w:rPr>
        <w:t xml:space="preserve"> </w:t>
      </w:r>
      <w:r w:rsidRPr="00B92CD9">
        <w:rPr>
          <w:sz w:val="18"/>
          <w:szCs w:val="18"/>
        </w:rPr>
        <w:t xml:space="preserve">Rapport </w:t>
      </w:r>
      <w:r w:rsidRPr="00B92CD9">
        <w:rPr>
          <w:i/>
          <w:sz w:val="18"/>
          <w:szCs w:val="18"/>
        </w:rPr>
        <w:t>‘Economische gevolgen van de status van ultraperifeer gebied voor de Nederlandse Antillen en Aruba’</w:t>
      </w:r>
      <w:r w:rsidRPr="00B92CD9">
        <w:rPr>
          <w:sz w:val="18"/>
          <w:szCs w:val="18"/>
        </w:rPr>
        <w:t xml:space="preserve"> in opdracht van het Ministerie van Binnenlandse Zaken en Koninkrijksrelaties, d.d. 2 juni 2008 en Rapport </w:t>
      </w:r>
      <w:r w:rsidRPr="00B92CD9">
        <w:rPr>
          <w:i/>
          <w:sz w:val="18"/>
          <w:szCs w:val="18"/>
        </w:rPr>
        <w:t>‘Over de juridische implicaties van de UPG status voor de eilandgebieden van de Nederlandse Antillen en Aruba’</w:t>
      </w:r>
      <w:r w:rsidRPr="00B92CD9">
        <w:rPr>
          <w:sz w:val="18"/>
          <w:szCs w:val="18"/>
        </w:rPr>
        <w:t xml:space="preserve"> in opdracht van het Ministerie van Binnenlandse Zaken en Koninkrijksrelaties, d.d. 2 juni 2008.</w:t>
      </w:r>
    </w:p>
  </w:footnote>
  <w:footnote w:id="57">
    <w:p w:rsidR="00A64945" w:rsidRDefault="00A64945" w:rsidP="00AE333F">
      <w:pPr>
        <w:pStyle w:val="FootnoteText"/>
        <w:jc w:val="both"/>
      </w:pPr>
      <w:r w:rsidRPr="00B92CD9">
        <w:rPr>
          <w:rStyle w:val="FootnoteReference"/>
          <w:rFonts w:cs="Arial"/>
          <w:sz w:val="18"/>
          <w:szCs w:val="18"/>
        </w:rPr>
        <w:footnoteRef/>
      </w:r>
      <w:r w:rsidRPr="00B92CD9">
        <w:rPr>
          <w:sz w:val="18"/>
          <w:szCs w:val="18"/>
        </w:rPr>
        <w:t xml:space="preserve"> Op LGO</w:t>
      </w:r>
      <w:r>
        <w:rPr>
          <w:sz w:val="18"/>
          <w:szCs w:val="18"/>
        </w:rPr>
        <w:t>’s</w:t>
      </w:r>
      <w:r w:rsidRPr="00B92CD9">
        <w:rPr>
          <w:sz w:val="18"/>
          <w:szCs w:val="18"/>
        </w:rPr>
        <w:t xml:space="preserve"> is namelijk deel vier van het EG- Verdrag van toepassing, waarin is bepaald dat er geen invoerrechten worden geheven op producten uit Aruba en de Nederlandse Antillen.</w:t>
      </w:r>
      <w:r>
        <w:rPr>
          <w:sz w:val="18"/>
          <w:szCs w:val="18"/>
        </w:rPr>
        <w:t xml:space="preserve"> Er wordt hier door de onderzoekers gesuggereerd dat Aruba en de Nederlandse Antillen door landen als Venezuela en de Verenigde Staten als een soort van trampoline kunnen worden gebruikt voor de belastingvrije afzet van goederen aan de EU.</w:t>
      </w:r>
    </w:p>
  </w:footnote>
  <w:footnote w:id="58">
    <w:p w:rsidR="00A64945" w:rsidRDefault="00A64945" w:rsidP="00AE333F">
      <w:pPr>
        <w:pStyle w:val="FootnoteText"/>
        <w:jc w:val="both"/>
      </w:pPr>
      <w:r w:rsidRPr="005A6BA3">
        <w:rPr>
          <w:rStyle w:val="FootnoteReference"/>
          <w:rFonts w:cs="Arial"/>
          <w:sz w:val="18"/>
          <w:szCs w:val="18"/>
        </w:rPr>
        <w:footnoteRef/>
      </w:r>
      <w:r w:rsidRPr="005A6BA3">
        <w:rPr>
          <w:sz w:val="18"/>
          <w:szCs w:val="18"/>
        </w:rPr>
        <w:t xml:space="preserve"> Persbericht : ‘</w:t>
      </w:r>
      <w:r w:rsidRPr="005A6BA3">
        <w:rPr>
          <w:i/>
          <w:sz w:val="18"/>
          <w:szCs w:val="18"/>
        </w:rPr>
        <w:t>UPG dode mus; doorgaan met regio’</w:t>
      </w:r>
      <w:r w:rsidRPr="005A6BA3">
        <w:rPr>
          <w:sz w:val="18"/>
          <w:szCs w:val="18"/>
        </w:rPr>
        <w:t xml:space="preserve">, gepubliceerd op 07-07-2008 op </w:t>
      </w:r>
      <w:r w:rsidRPr="00854341">
        <w:rPr>
          <w:sz w:val="18"/>
          <w:szCs w:val="18"/>
        </w:rPr>
        <w:t>http://www.gov.an/website/wsarosaria.nsf/</w:t>
      </w:r>
      <w:r w:rsidRPr="005A6BA3">
        <w:rPr>
          <w:sz w:val="18"/>
          <w:szCs w:val="18"/>
        </w:rPr>
        <w:t>: de website van de staatssecretaris van Financiën van de Nederlandse Antillen dhr. Alex Rosario.</w:t>
      </w:r>
    </w:p>
  </w:footnote>
  <w:footnote w:id="59">
    <w:p w:rsidR="00A64945" w:rsidRDefault="00A64945" w:rsidP="00D9040D">
      <w:pPr>
        <w:pStyle w:val="FootnoteText"/>
        <w:jc w:val="both"/>
      </w:pPr>
      <w:r w:rsidRPr="00DD7C19">
        <w:rPr>
          <w:rStyle w:val="FootnoteReference"/>
          <w:rFonts w:cs="Arial"/>
          <w:sz w:val="18"/>
          <w:szCs w:val="18"/>
        </w:rPr>
        <w:footnoteRef/>
      </w:r>
      <w:r w:rsidRPr="00DD7C19">
        <w:rPr>
          <w:sz w:val="18"/>
          <w:szCs w:val="18"/>
        </w:rPr>
        <w:t xml:space="preserve"> De Staatssecretaris komt mijns inziens tot deze conclusie omdat hij onder de veronderstelling leeft dat de overgang naar de UPG- status automatisch betekent dat de Euro dient te worden ingevoerd. Zoals ik in de volgende voetnoot aan zal kaarten hoeft dat niet noodzakelijkerwijs het geval te zijn. Zoals verderop aan de orde zal komen is het internationale handels- en dienstenverkeer van de Nederlandse Antillen sterker op de VS en andere dollar- georiënteerde economieën (met name Zuid- Amerika) gericht dan op Eurolanden. De staatssecretaris onderkent mijns inziens dat de huidige koppeling van de Florin aan de Amerikaanse dollar economisch dan ook van grote waarde is geweest voor de Nederlandse Antillen en Aruba. De invoering van de Euro zal concreet opheffing van de huidige wisselkoerskoppeling van de Antilliaanse Florin aan de Amerikaanse dollar betekenen. Het risico dat hierin schuilt is dat de Antilliaanse economie die sterk georiënteerd is op de Amerikaanse dollar, na overgang tot de Euro veel gevoeliger zal zijn voor schommelingen in de wisselkoersverhoudingen tussen de dollar en de euro, wat grote fluctuaties met zich mee kan brengen. Dat ziet de Staatssecretaris mijns inziens niet echt zitten aangezien de Europese handelspartners van de Nederlandse Antillen relatief gering zijn.</w:t>
      </w:r>
    </w:p>
  </w:footnote>
  <w:footnote w:id="60">
    <w:p w:rsidR="00A64945" w:rsidRDefault="00A64945" w:rsidP="00AE333F">
      <w:pPr>
        <w:pStyle w:val="FootnoteText"/>
        <w:jc w:val="both"/>
      </w:pPr>
      <w:r w:rsidRPr="00DD7C19">
        <w:rPr>
          <w:rStyle w:val="FootnoteReference"/>
          <w:rFonts w:cs="Arial"/>
          <w:sz w:val="18"/>
          <w:szCs w:val="18"/>
        </w:rPr>
        <w:footnoteRef/>
      </w:r>
      <w:r w:rsidRPr="00DD7C19">
        <w:rPr>
          <w:sz w:val="18"/>
          <w:szCs w:val="18"/>
        </w:rPr>
        <w:t xml:space="preserve">Hier dient echter een kanttekening bij te worden geplaatst. Wat de oud- Staatssecretaris hier beweerd, strookt niet helemaal met de werkelijkheid. Zoals de Staatssecretaris het hier stelt wekt het de veronderstelling dat het aannemen van de UPG- status per definitie het aannemen van de Euro als nationale munt zal impliceren. Dit klopt niet, aangezien het deel uit (willen) maken van de EU niet automatisch betekent dat de Euro ingevoerd dient te worden. Een voorbeeld van een land dat deel uit maakt van de EU, maar zijn nationale munteenheid heeft behouden is de UK. </w:t>
      </w:r>
    </w:p>
  </w:footnote>
  <w:footnote w:id="61">
    <w:p w:rsidR="00A64945" w:rsidRDefault="00A64945" w:rsidP="00AE333F">
      <w:pPr>
        <w:pStyle w:val="NormalWeb"/>
        <w:spacing w:before="0" w:beforeAutospacing="0" w:after="0" w:afterAutospacing="0"/>
        <w:jc w:val="both"/>
      </w:pPr>
      <w:r w:rsidRPr="00DD7C19">
        <w:rPr>
          <w:rStyle w:val="FootnoteReference"/>
          <w:rFonts w:ascii="Calibri" w:hAnsi="Calibri"/>
          <w:sz w:val="18"/>
          <w:szCs w:val="18"/>
        </w:rPr>
        <w:footnoteRef/>
      </w:r>
      <w:r w:rsidRPr="00DD7C19">
        <w:rPr>
          <w:rFonts w:ascii="Calibri" w:hAnsi="Calibri"/>
          <w:sz w:val="18"/>
          <w:szCs w:val="18"/>
        </w:rPr>
        <w:t xml:space="preserve"> Alhoewel de BES- eilanden (Bonaire, Sint Eustatius en Saba) per 10 oktober 2010 bijzondere gemeenten van Nederland zijn geworden, hebben deze eilanden gekozen voor de US- dollar als locale munteenheid en niet de Euro. Volgens Richard Doornbosch,  voormalig projectmanager van het Ministerie van Financiën in Den Haag en belast met de invoering van de nieuwe munt op de BES- eilanden was de hoofdreden voor de dollarkeus dat de handel en het toerisme hoofdzakelijk gericht zijn op landen uit de dollarregio, dus de Verenigde Staten, het Caribisch gebied en Latijns- Amerika. Rekening houdende met deze uitgangssituatie zou het kiezen voor de Euro gelijk staan aan het bloot stellen van de eilanden aan een groot wisselkoersrisico. Volgens Doornbosch zou een waardestijging van de Euro het dan lastiger maken om te exporteren en toeristen aan te trekken. De nieuwe munt voor de BES- eilanden werd op 1 januari 2011 ingevoerd. Dit is een ander voorbeeld van het feit dat het aangaan van nauwere banden met de EU, niet per definitie het moeten overnemen van de Euro inhoudt. (Ei)landen blijven vrij om die keuze al dan niet te maken.</w:t>
      </w:r>
    </w:p>
  </w:footnote>
  <w:footnote w:id="62">
    <w:p w:rsidR="00A64945" w:rsidRDefault="00A64945" w:rsidP="005052B2">
      <w:pPr>
        <w:spacing w:after="0" w:line="240" w:lineRule="auto"/>
        <w:jc w:val="both"/>
      </w:pPr>
      <w:r w:rsidRPr="00DD7C19">
        <w:rPr>
          <w:rStyle w:val="FootnoteReference"/>
          <w:rFonts w:cs="Arial"/>
          <w:sz w:val="18"/>
          <w:szCs w:val="18"/>
        </w:rPr>
        <w:footnoteRef/>
      </w:r>
      <w:r w:rsidRPr="00DD7C19">
        <w:rPr>
          <w:sz w:val="18"/>
          <w:szCs w:val="18"/>
        </w:rPr>
        <w:t xml:space="preserve"> Rapport </w:t>
      </w:r>
      <w:r w:rsidRPr="00DD7C19">
        <w:rPr>
          <w:i/>
          <w:sz w:val="18"/>
          <w:szCs w:val="18"/>
        </w:rPr>
        <w:t>‘Economische gevolgen van de status van ultraperifeer gebied voor de Nederlandse Antillen en Aruba’</w:t>
      </w:r>
      <w:r w:rsidRPr="00DD7C19">
        <w:rPr>
          <w:sz w:val="18"/>
          <w:szCs w:val="18"/>
        </w:rPr>
        <w:t xml:space="preserve"> in opdracht van het Ministerie van Binnenlandse Zaken en Koninkrijksrelaties, d.d. 2 juni 2008, pg. 16.</w:t>
      </w:r>
    </w:p>
  </w:footnote>
  <w:footnote w:id="63">
    <w:p w:rsidR="00A64945" w:rsidRDefault="00A64945" w:rsidP="005052B2">
      <w:pPr>
        <w:pStyle w:val="FootnoteText"/>
        <w:jc w:val="both"/>
      </w:pPr>
      <w:r w:rsidRPr="00DD7C19">
        <w:rPr>
          <w:rStyle w:val="FootnoteReference"/>
          <w:rFonts w:cs="Arial"/>
          <w:sz w:val="18"/>
          <w:szCs w:val="18"/>
        </w:rPr>
        <w:footnoteRef/>
      </w:r>
      <w:r w:rsidRPr="00DD7C19">
        <w:rPr>
          <w:sz w:val="18"/>
          <w:szCs w:val="18"/>
        </w:rPr>
        <w:t xml:space="preserve"> Idem.</w:t>
      </w:r>
    </w:p>
  </w:footnote>
  <w:footnote w:id="64">
    <w:p w:rsidR="00A64945" w:rsidRDefault="00A64945" w:rsidP="00E3595C">
      <w:pPr>
        <w:pStyle w:val="FootnoteText"/>
        <w:jc w:val="both"/>
      </w:pPr>
      <w:r w:rsidRPr="00973BA4">
        <w:rPr>
          <w:rStyle w:val="FootnoteReference"/>
          <w:rFonts w:cs="Arial"/>
          <w:sz w:val="18"/>
          <w:szCs w:val="18"/>
        </w:rPr>
        <w:footnoteRef/>
      </w:r>
      <w:r w:rsidRPr="00973BA4">
        <w:rPr>
          <w:sz w:val="18"/>
          <w:szCs w:val="18"/>
        </w:rPr>
        <w:t xml:space="preserve"> Richard Doornbosch, </w:t>
      </w:r>
      <w:r w:rsidRPr="00973BA4">
        <w:rPr>
          <w:i/>
          <w:sz w:val="18"/>
          <w:szCs w:val="18"/>
        </w:rPr>
        <w:t>A new currency for Bonaire, Sint Eustatius and Saba</w:t>
      </w:r>
      <w:r w:rsidRPr="00973BA4">
        <w:rPr>
          <w:sz w:val="18"/>
          <w:szCs w:val="18"/>
        </w:rPr>
        <w:t xml:space="preserve">, Dollarization conference, 6 augustus 2009, In opdracht van het Ministerie van Financiën. </w:t>
      </w:r>
    </w:p>
  </w:footnote>
  <w:footnote w:id="65">
    <w:p w:rsidR="00A64945" w:rsidRDefault="00A64945" w:rsidP="00814EAF">
      <w:pPr>
        <w:pStyle w:val="FootnoteText"/>
        <w:jc w:val="both"/>
      </w:pPr>
      <w:r w:rsidRPr="00973BA4">
        <w:rPr>
          <w:rStyle w:val="FootnoteReference"/>
          <w:rFonts w:cs="Arial"/>
          <w:sz w:val="18"/>
          <w:szCs w:val="18"/>
        </w:rPr>
        <w:footnoteRef/>
      </w:r>
      <w:r w:rsidRPr="00973BA4">
        <w:rPr>
          <w:sz w:val="18"/>
          <w:szCs w:val="18"/>
        </w:rPr>
        <w:t xml:space="preserve"> </w:t>
      </w:r>
      <w:r>
        <w:rPr>
          <w:sz w:val="18"/>
          <w:szCs w:val="18"/>
        </w:rPr>
        <w:t xml:space="preserve">Met </w:t>
      </w:r>
      <w:r w:rsidRPr="00973BA4">
        <w:rPr>
          <w:sz w:val="18"/>
          <w:szCs w:val="18"/>
        </w:rPr>
        <w:t>Noord- Amerika.</w:t>
      </w:r>
    </w:p>
  </w:footnote>
  <w:footnote w:id="66">
    <w:p w:rsidR="00A64945" w:rsidRDefault="00A64945" w:rsidP="00AE333F">
      <w:pPr>
        <w:pStyle w:val="FootnoteText"/>
        <w:jc w:val="both"/>
      </w:pPr>
      <w:r w:rsidRPr="00973BA4">
        <w:rPr>
          <w:rStyle w:val="FootnoteReference"/>
          <w:rFonts w:cs="Arial"/>
          <w:sz w:val="18"/>
          <w:szCs w:val="18"/>
        </w:rPr>
        <w:footnoteRef/>
      </w:r>
      <w:r w:rsidRPr="00973BA4">
        <w:rPr>
          <w:sz w:val="18"/>
          <w:szCs w:val="18"/>
        </w:rPr>
        <w:t xml:space="preserve"> </w:t>
      </w:r>
      <w:r w:rsidRPr="00C610B8">
        <w:rPr>
          <w:sz w:val="18"/>
          <w:szCs w:val="18"/>
          <w:lang w:eastAsia="nl-NL"/>
        </w:rPr>
        <w:t xml:space="preserve">Het droge klimaat van de Nederlandse Antillen, gekenmerkt door lange droogteperiodes afgewisseld door hevige stortbuien, leent zich namelijk niet voor landbouw. Watergebrek vormt de grootste belemmering om aan landbouw in de Nederlandse Antillen te doen. Bovendien is de grond van de Nederlandse Antillen niet vruchtbaar genoeg voor landbouw. </w:t>
      </w:r>
    </w:p>
  </w:footnote>
  <w:footnote w:id="67">
    <w:p w:rsidR="00A64945" w:rsidRDefault="00A64945" w:rsidP="00AE333F">
      <w:pPr>
        <w:pStyle w:val="FootnoteText"/>
        <w:jc w:val="both"/>
      </w:pPr>
      <w:r w:rsidRPr="00973BA4">
        <w:rPr>
          <w:rStyle w:val="FootnoteReference"/>
          <w:rFonts w:cs="Arial"/>
          <w:sz w:val="18"/>
          <w:szCs w:val="18"/>
        </w:rPr>
        <w:footnoteRef/>
      </w:r>
      <w:r w:rsidRPr="00973BA4">
        <w:rPr>
          <w:sz w:val="18"/>
          <w:szCs w:val="18"/>
        </w:rPr>
        <w:t xml:space="preserve"> Trouw, </w:t>
      </w:r>
      <w:r w:rsidRPr="00973BA4">
        <w:rPr>
          <w:i/>
          <w:sz w:val="18"/>
          <w:szCs w:val="18"/>
        </w:rPr>
        <w:t>Antillen kunnen Europees recht beter selectief gebruiken</w:t>
      </w:r>
      <w:r w:rsidRPr="00973BA4">
        <w:rPr>
          <w:sz w:val="18"/>
          <w:szCs w:val="18"/>
        </w:rPr>
        <w:t>,  05-07-2008.</w:t>
      </w:r>
    </w:p>
  </w:footnote>
  <w:footnote w:id="68">
    <w:p w:rsidR="00A64945" w:rsidRDefault="00A64945" w:rsidP="00AE333F">
      <w:pPr>
        <w:pStyle w:val="FootnoteText"/>
        <w:jc w:val="both"/>
      </w:pPr>
      <w:r w:rsidRPr="00B92CD9">
        <w:rPr>
          <w:rStyle w:val="FootnoteReference"/>
          <w:rFonts w:cs="Arial"/>
          <w:sz w:val="18"/>
          <w:szCs w:val="18"/>
        </w:rPr>
        <w:footnoteRef/>
      </w:r>
      <w:r w:rsidRPr="00B92CD9">
        <w:rPr>
          <w:sz w:val="18"/>
          <w:szCs w:val="18"/>
        </w:rPr>
        <w:t xml:space="preserve"> Het Europees Parlement en de Raad van de Europese Unie delen samen de wetgevende macht van de EU. Het Europees parlement heeft de bevoegdheid om Europese wetten aan te nemen, te wijzigen en te verwerpen. De Raad van de Europese Unie heeft drie hoofdtaken. Dit zijn de beslissingsbevoegdheid uitvoeren (deze beslissingsbevoegdheid ziet ertoe dat de doelstellingen die in de verdragen zijn vastgesteld ten uitvoer worden gelegd overeenkomstig de voorwaarden die daarin zijn voorzien), zorg dragen voor de politieke en economische samenwerking tussen de lidstaten en de begrotingstaak van de EU uitvoeren. Het laatste doet de Raad in samenwerking met het Europees Parlement.</w:t>
      </w:r>
    </w:p>
  </w:footnote>
  <w:footnote w:id="69">
    <w:p w:rsidR="00A64945" w:rsidRPr="00B92CD9" w:rsidRDefault="00A64945" w:rsidP="00AE333F">
      <w:pPr>
        <w:spacing w:after="0" w:line="240" w:lineRule="auto"/>
        <w:jc w:val="both"/>
        <w:rPr>
          <w:color w:val="000000"/>
          <w:sz w:val="18"/>
          <w:szCs w:val="18"/>
        </w:rPr>
      </w:pPr>
      <w:r w:rsidRPr="00B92CD9">
        <w:rPr>
          <w:rStyle w:val="FootnoteReference"/>
          <w:rFonts w:cs="Arial"/>
          <w:sz w:val="18"/>
          <w:szCs w:val="18"/>
        </w:rPr>
        <w:footnoteRef/>
      </w:r>
      <w:r w:rsidRPr="00B92CD9">
        <w:rPr>
          <w:sz w:val="18"/>
          <w:szCs w:val="18"/>
        </w:rPr>
        <w:t xml:space="preserve"> Dit verdient wel </w:t>
      </w:r>
      <w:r>
        <w:rPr>
          <w:sz w:val="18"/>
          <w:szCs w:val="18"/>
        </w:rPr>
        <w:t>enige aantekening. Art. 349 VwEU</w:t>
      </w:r>
      <w:r w:rsidRPr="00B92CD9">
        <w:rPr>
          <w:sz w:val="18"/>
          <w:szCs w:val="18"/>
        </w:rPr>
        <w:t xml:space="preserve"> (voormalig a</w:t>
      </w:r>
      <w:r w:rsidRPr="00B92CD9">
        <w:rPr>
          <w:color w:val="000000"/>
          <w:sz w:val="18"/>
          <w:szCs w:val="18"/>
        </w:rPr>
        <w:t>rt. 299, lid 2 EG- Verdrag</w:t>
      </w:r>
      <w:r>
        <w:rPr>
          <w:color w:val="000000"/>
          <w:sz w:val="18"/>
          <w:szCs w:val="18"/>
        </w:rPr>
        <w:t xml:space="preserve">) voorziet, zoals gezegd, </w:t>
      </w:r>
      <w:r w:rsidRPr="00B92CD9">
        <w:rPr>
          <w:color w:val="000000"/>
          <w:sz w:val="18"/>
          <w:szCs w:val="18"/>
        </w:rPr>
        <w:t>namelijk wel in een speciale behandeling van de ultraperifere gebieden.</w:t>
      </w:r>
    </w:p>
    <w:p w:rsidR="00A64945" w:rsidRDefault="00A64945" w:rsidP="00AE333F">
      <w:pPr>
        <w:spacing w:after="0" w:line="240" w:lineRule="auto"/>
        <w:jc w:val="both"/>
      </w:pPr>
    </w:p>
  </w:footnote>
  <w:footnote w:id="70">
    <w:p w:rsidR="00A64945" w:rsidRDefault="00A64945" w:rsidP="00AE333F">
      <w:pPr>
        <w:spacing w:after="0" w:line="240" w:lineRule="auto"/>
        <w:jc w:val="both"/>
      </w:pPr>
      <w:r w:rsidRPr="0005130E">
        <w:rPr>
          <w:rStyle w:val="FootnoteReference"/>
          <w:rFonts w:cs="Arial"/>
          <w:sz w:val="18"/>
          <w:szCs w:val="18"/>
        </w:rPr>
        <w:footnoteRef/>
      </w:r>
      <w:r w:rsidRPr="0005130E">
        <w:rPr>
          <w:sz w:val="18"/>
          <w:szCs w:val="18"/>
        </w:rPr>
        <w:t xml:space="preserve"> Rapport </w:t>
      </w:r>
      <w:r w:rsidRPr="0005130E">
        <w:rPr>
          <w:i/>
          <w:sz w:val="18"/>
          <w:szCs w:val="18"/>
        </w:rPr>
        <w:t>‘Economische gevolgen van de status van ultraperifeer gebied voor de Nederlandse Antillen en Aruba’</w:t>
      </w:r>
      <w:r w:rsidRPr="0005130E">
        <w:rPr>
          <w:sz w:val="18"/>
          <w:szCs w:val="18"/>
        </w:rPr>
        <w:t xml:space="preserve"> in opdracht van het Ministerie van Binnenlandse Zaken en Koninkrijksrelaties, d.d. 2 juni 2008, pg. 3.</w:t>
      </w:r>
    </w:p>
  </w:footnote>
  <w:footnote w:id="71">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Zie www.europa-nu.nl.</w:t>
      </w:r>
    </w:p>
  </w:footnote>
  <w:footnote w:id="72">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De zogenaamde POSEI fondsen.</w:t>
      </w:r>
    </w:p>
  </w:footnote>
  <w:footnote w:id="73">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Zie www.europa-nu.nl.</w:t>
      </w:r>
    </w:p>
  </w:footnote>
  <w:footnote w:id="74">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Het aanvragen van steun geschiedt meestal in de vorm van een opgesteld project dat ter goedkeurig voorgelegd wordt aan het desbetreffende fonds. In dit voorstel wordt aangegeven wat het land met de aangevraagde subsidie wil gaan doen. Om in aanmerking te komen voor steun dient het project eerst goed gekeurd te worden door het fonds. Dit gebeurt aan de hand van voorwaarden die elk fonds hanteert.</w:t>
      </w:r>
    </w:p>
  </w:footnote>
  <w:footnote w:id="75">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Banden met Brussel, </w:t>
      </w:r>
      <w:r w:rsidRPr="002F70FE">
        <w:rPr>
          <w:i/>
          <w:sz w:val="18"/>
          <w:szCs w:val="18"/>
        </w:rPr>
        <w:t>De betrekkingen van de Nederlandse Antillen en Aruba met de Europese Unie,</w:t>
      </w:r>
      <w:r w:rsidRPr="002F70FE">
        <w:rPr>
          <w:sz w:val="18"/>
          <w:szCs w:val="18"/>
        </w:rPr>
        <w:t xml:space="preserve"> Rapport van de commissie ter bestudering van mogelijke toekomstige relaties van de Nederlandse Antillen en Aruba met de Europese Unie, 1 juli 2004.</w:t>
      </w:r>
    </w:p>
  </w:footnote>
  <w:footnote w:id="76">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Banden met Brussel, </w:t>
      </w:r>
      <w:r w:rsidRPr="002F70FE">
        <w:rPr>
          <w:i/>
          <w:sz w:val="18"/>
          <w:szCs w:val="18"/>
        </w:rPr>
        <w:t>De betrekkingen van de Nederlandse Antillen en Aruba met de Europese Unie,</w:t>
      </w:r>
      <w:r w:rsidRPr="002F70FE">
        <w:rPr>
          <w:sz w:val="18"/>
          <w:szCs w:val="18"/>
        </w:rPr>
        <w:t xml:space="preserve"> Rapport van de commissie ter bestudering van mogelijke toekomstige relaties van de Nederlandse Antillen en Aruba met de Europese Unie, 1 juli 2004, pg. 15.</w:t>
      </w:r>
    </w:p>
  </w:footnote>
  <w:footnote w:id="77">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En dit zal dus ook voor de UPG’s komen te gelden.</w:t>
      </w:r>
    </w:p>
  </w:footnote>
  <w:footnote w:id="78">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Hier dient een kanttekening bij te worden geplaatst. Momenteel bestaat er al enige coördinatie op dit gebied. Een dergelijke coördinatie voor wat betreft de toepassing van de socialezekerheidsregelingen op werknemers en zelfstandigen en hun gezinsleden die zich binnen de EU verplaatsen wordt namelijk sinds 1971 bewerkstelligt door de zogenoemde Verordening 1408/71. Deze verordening bevat toewijzingsregels die van belang zijn in de gevallen dat door een werknemer in ten minste twee lidstaten werkzaamheden worden verricht. De socialezekerheidsverzekering is een exclusieve verzekering. Dat houdt in dat de verzekeringsplichtige niet tegelijkertijd in twee lidstaten verzekert kan zijn en premieplichtig kan zijn. De verzekerings- en premieplicht wordt exclusief toegewezen aan één lidstaat. Art. 13 (2) a Vo. 1408/71 bevat de hoofdregel en bepaalt in deze dat bij werknemers de verzekeringsplicht wordt toegewezen aan de werkstaat. Uitsluitend in werkstaat kan een verzekeringsplichtige rechten opbouwen en dienen premies te worden betaald. Met betrekking tot werknemers bestaan er twee uitzonderingen op deze hoofdregel. Indien een werknemer in meerdere lidstaten werkzaam is, bepaalt art. 14 Vo. 1408/71 dat deze werknemer uitsluitend verzekert is in zijn woonstaat. De tweede uitzondering ziet op detachering van werknemers. Zolang een werknemer korter dan een jaar is uitgezonden blijft deze werknemer in zijn woonstaat verzekert. Dit termijn kan worden verlengd. </w:t>
      </w:r>
    </w:p>
  </w:footnote>
  <w:footnote w:id="79">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EMU is de afkorting van (Europese) Economische Monetaire Unie.</w:t>
      </w:r>
    </w:p>
  </w:footnote>
  <w:footnote w:id="80">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Bijvoorbeeld het eerder ter sprake gekomen artikel 349 VwEU: ten opzichte van UPG’s hanteert de EU een gedogen beleid.  Op grond van art. artikel 349 VwEU heeft de Raad van de Europese Unie, in verband met de als buitengewoon beschouwde positie van de UPG’s, op voorstel van de Europese Commissie en na raadpleging van het Europees parlement, de bevoegdheid specifieke maatregelen te nemen.</w:t>
      </w:r>
    </w:p>
  </w:footnote>
  <w:footnote w:id="81">
    <w:p w:rsidR="00A64945" w:rsidRDefault="00A64945" w:rsidP="002F70FE">
      <w:pPr>
        <w:spacing w:after="0" w:line="240" w:lineRule="auto"/>
        <w:jc w:val="both"/>
      </w:pPr>
      <w:r w:rsidRPr="002F70FE">
        <w:rPr>
          <w:rStyle w:val="FootnoteReference"/>
          <w:rFonts w:cs="Arial"/>
          <w:sz w:val="18"/>
          <w:szCs w:val="18"/>
        </w:rPr>
        <w:footnoteRef/>
      </w:r>
      <w:r w:rsidRPr="002F70FE">
        <w:rPr>
          <w:sz w:val="18"/>
          <w:szCs w:val="18"/>
        </w:rPr>
        <w:t xml:space="preserve"> Hier is in Rapport </w:t>
      </w:r>
      <w:r w:rsidRPr="002F70FE">
        <w:rPr>
          <w:i/>
          <w:sz w:val="18"/>
          <w:szCs w:val="18"/>
        </w:rPr>
        <w:t>‘Over de juridische implicaties van de UPG- status voor de eilandgebieden van de Nederlandse Antillen en Aruba’</w:t>
      </w:r>
      <w:r w:rsidRPr="002F70FE">
        <w:rPr>
          <w:sz w:val="18"/>
          <w:szCs w:val="18"/>
        </w:rPr>
        <w:t xml:space="preserve"> in opdracht van het Ministerie van Binnenlandse Zaken en Koninkrijksrelaties, d.d. 2 juni 2008, onderzoek naar gedaan.</w:t>
      </w:r>
    </w:p>
  </w:footnote>
  <w:footnote w:id="82">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Rapport </w:t>
      </w:r>
      <w:r w:rsidRPr="002F70FE">
        <w:rPr>
          <w:i/>
          <w:sz w:val="18"/>
          <w:szCs w:val="18"/>
        </w:rPr>
        <w:t>‘Economische gevolgen van de status van ultraperifeer gebied voor de Nederlandse Antillen en Aruba’</w:t>
      </w:r>
      <w:r w:rsidRPr="002F70FE">
        <w:rPr>
          <w:sz w:val="18"/>
          <w:szCs w:val="18"/>
        </w:rPr>
        <w:t xml:space="preserve"> in opdracht van het Ministerie van Binnenlandse Zaken en Koninkrijksrelaties, d.d. 2 juni 2008, pg. 1.</w:t>
      </w:r>
    </w:p>
  </w:footnote>
  <w:footnote w:id="83">
    <w:p w:rsidR="00A64945" w:rsidRPr="002F70FE" w:rsidRDefault="00A64945" w:rsidP="00DC1D1D">
      <w:pPr>
        <w:spacing w:after="0" w:line="240" w:lineRule="auto"/>
        <w:jc w:val="both"/>
        <w:rPr>
          <w:sz w:val="18"/>
          <w:szCs w:val="18"/>
        </w:rPr>
      </w:pPr>
      <w:r w:rsidRPr="002F70FE">
        <w:rPr>
          <w:rStyle w:val="FootnoteReference"/>
          <w:rFonts w:cs="Arial"/>
          <w:sz w:val="18"/>
          <w:szCs w:val="18"/>
        </w:rPr>
        <w:footnoteRef/>
      </w:r>
      <w:r w:rsidRPr="002F70FE">
        <w:rPr>
          <w:sz w:val="18"/>
          <w:szCs w:val="18"/>
        </w:rPr>
        <w:t xml:space="preserve"> De inspiratie om over het E- Zoneregime te gaan schrijven is mede opgekomen naar aanleiding van de studiereis naar Curaçao in 2008 georganiseerd door de Christiaanse- Taxateurs waar ik deel aan nam. Wij hebben toen een van de E- Zonegebieden die Curaçao kent,  bezocht. </w:t>
      </w:r>
    </w:p>
    <w:p w:rsidR="00A64945" w:rsidRDefault="00A64945" w:rsidP="00DC1D1D">
      <w:pPr>
        <w:spacing w:after="0" w:line="240" w:lineRule="auto"/>
        <w:jc w:val="both"/>
      </w:pPr>
    </w:p>
  </w:footnote>
  <w:footnote w:id="84">
    <w:p w:rsidR="00A64945" w:rsidRPr="000E3CBA" w:rsidRDefault="00A64945" w:rsidP="000E3CBA">
      <w:pPr>
        <w:pStyle w:val="FootnoteText"/>
        <w:jc w:val="both"/>
        <w:rPr>
          <w:sz w:val="18"/>
          <w:szCs w:val="18"/>
        </w:rPr>
      </w:pPr>
      <w:r w:rsidRPr="000E3CBA">
        <w:rPr>
          <w:rStyle w:val="FootnoteReference"/>
          <w:sz w:val="18"/>
          <w:szCs w:val="18"/>
        </w:rPr>
        <w:footnoteRef/>
      </w:r>
      <w:r w:rsidRPr="000E3CBA">
        <w:rPr>
          <w:sz w:val="18"/>
          <w:szCs w:val="18"/>
        </w:rPr>
        <w:t xml:space="preserve"> De indirecte belastingrichtlijnen ( dat zijn de BTW- richtlijn en de Accijnsrichtlijn),  laat ik in deze onbehandeld. Zoals in §2.4. aan de orde komt, heeft de Curaçaose omzetbelasting momenteel niet de vorm van een belasting toegevoegde waarde. Dit is het stelsel dat in de EU gemeenschappelijk aanvaard is. Alvorens de BTW- richtlijn in Curaçao toepassing kan vinden, zal het huidige stelsel aldaar aangepast moeten worden.  Of dat ook daadwerkelijk zal gebeuren, is nog maar de vraag en als het al gebeurt, zal er hoogstwaarschijnlijk een ruime overgangstermijn worden bedongen. Dat is voor mij de reden geweest om de BTW- richtlijn buiten beschouwing te laten. Wat betreft de Accijnsrichtlijn  kan het volgende gezegd worden. Accijnzen worden in de EU geheven over producten waarvan het gebruik als ongezond of milieubelastend wordt beschouwd. Accijnzen worden dan ook onder andere geheven over tabaksproducten, alcoholische dranken en minerale oliën. De belangrijkste Accijnsrichtlijn is de zogenoemde Horizontale richtlijn (Richtlijn 92/12/EEG). Bron: R.P.C.W.M. Brandsma e.a., </w:t>
      </w:r>
      <w:r w:rsidRPr="000E3CBA">
        <w:rPr>
          <w:i/>
          <w:sz w:val="18"/>
          <w:szCs w:val="18"/>
        </w:rPr>
        <w:t>Cursus Belastingrecht -Europees Belastingrecht-</w:t>
      </w:r>
      <w:r w:rsidRPr="000E3CBA">
        <w:rPr>
          <w:sz w:val="18"/>
          <w:szCs w:val="18"/>
        </w:rPr>
        <w:t xml:space="preserve"> studenteneditie 2007-2008, kluwer, Deventer, 2008, pg. 149, §6.3.1: Accijnsrichtlijnen.</w:t>
      </w:r>
    </w:p>
    <w:p w:rsidR="00A64945" w:rsidRDefault="00A64945" w:rsidP="000E3CBA">
      <w:pPr>
        <w:pStyle w:val="FootnoteText"/>
        <w:jc w:val="both"/>
      </w:pPr>
      <w:r w:rsidRPr="000E3CBA">
        <w:rPr>
          <w:sz w:val="18"/>
          <w:szCs w:val="18"/>
        </w:rPr>
        <w:t xml:space="preserve">Het doel van de Accijnsrichtlijn is de verwezenlijking van de </w:t>
      </w:r>
      <w:r w:rsidRPr="000E3CBA">
        <w:rPr>
          <w:i/>
          <w:sz w:val="18"/>
          <w:szCs w:val="18"/>
        </w:rPr>
        <w:t>fiscale neutraliteit</w:t>
      </w:r>
      <w:r w:rsidRPr="000E3CBA">
        <w:rPr>
          <w:sz w:val="18"/>
          <w:szCs w:val="18"/>
        </w:rPr>
        <w:t xml:space="preserve"> van binnengrensoverschrijdende accijnsgoederentransacties. Dit doel dient echter alleen de </w:t>
      </w:r>
      <w:r w:rsidRPr="000E3CBA">
        <w:rPr>
          <w:i/>
          <w:sz w:val="18"/>
          <w:szCs w:val="18"/>
        </w:rPr>
        <w:t>externe neutraliteit</w:t>
      </w:r>
      <w:r w:rsidRPr="000E3CBA">
        <w:rPr>
          <w:sz w:val="18"/>
          <w:szCs w:val="18"/>
        </w:rPr>
        <w:t xml:space="preserve"> van de heffing in de zin dat accijnsgoederen ongeacht herkomst binnen een lidstaat (of UPG) op de zelfde wijze worden belast. De Accijnsrichtlijn regelt de minimumharmonisatie van de accijnzen van alcoholhoudende, energie- en tabaksproducten. De richtlijn omvat slechts productdefinities en minimumtarieven. Daardoor wordt ruimte open gelaten voor het bestaan van enorme tariefsverschillen in de EU en verschillen in heffing en vordering in de EU. Op basis van de Accijnsrichtlijn kan tegen deze verschillen niets worden ondernomen. De interne neutraliteit wordt dus niet gewaarborgd door de Accijnsrichtlijn. Dit past niet in het interne marktbeginsel en maakt dat er voor het verkeer van accijnsgoederen nog geen interne markt bestaat.</w:t>
      </w:r>
      <w:r>
        <w:rPr>
          <w:sz w:val="18"/>
          <w:szCs w:val="18"/>
        </w:rPr>
        <w:t xml:space="preserve"> Bron: W.M.G. Visser, Fiscale monografieën 126; Accijnzen, §4.2.1: Accijnsrichtlijn, pg. 262,  2008, Kluwer, Deventer.</w:t>
      </w:r>
      <w:r w:rsidRPr="000E3CBA">
        <w:rPr>
          <w:sz w:val="18"/>
          <w:szCs w:val="18"/>
        </w:rPr>
        <w:t xml:space="preserve"> </w:t>
      </w:r>
      <w:r>
        <w:rPr>
          <w:sz w:val="18"/>
          <w:szCs w:val="18"/>
        </w:rPr>
        <w:t>D</w:t>
      </w:r>
      <w:r w:rsidRPr="000E3CBA">
        <w:rPr>
          <w:sz w:val="18"/>
          <w:szCs w:val="18"/>
        </w:rPr>
        <w:t xml:space="preserve">at </w:t>
      </w:r>
      <w:r>
        <w:rPr>
          <w:sz w:val="18"/>
          <w:szCs w:val="18"/>
        </w:rPr>
        <w:t xml:space="preserve">is voor mij de reden geweest </w:t>
      </w:r>
      <w:r w:rsidRPr="000E3CBA">
        <w:rPr>
          <w:sz w:val="18"/>
          <w:szCs w:val="18"/>
        </w:rPr>
        <w:t>om ook de Accijnsrichtlijn in deze scriptie buiten beschouwing te laten.</w:t>
      </w:r>
    </w:p>
  </w:footnote>
  <w:footnote w:id="85">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Met ‘buitenlanden’ wordt bedoeld landen die geen deel uitmaken van de Europese Unie. De aard van de Accijnsrichtlijn is dat regelt de minimumharmonisatie van de accijnzen van alchoholhoudende, energie- en tabaksproductenen omvat slecht productdefinities en minimumtarieven die ruimte laten voor de bestendiging van enorme tariefsverschillen in de EUen verschillen in heffing en vordering in de EU. Op basis van de Accijnsrichtlijn kan hier niets tegen worden ondernomen. Dit past niet in het interne marktbegingsel en maakt dat er voor het verkeer van accijnsgoederen nog geen interne markt bestaat.</w:t>
      </w:r>
    </w:p>
  </w:footnote>
  <w:footnote w:id="86">
    <w:p w:rsidR="00A64945" w:rsidRDefault="00A64945" w:rsidP="002F70FE">
      <w:pPr>
        <w:spacing w:after="0" w:line="240" w:lineRule="auto"/>
        <w:jc w:val="both"/>
      </w:pPr>
      <w:r w:rsidRPr="002F70FE">
        <w:rPr>
          <w:rStyle w:val="FootnoteReference"/>
          <w:rFonts w:cs="Arial"/>
          <w:sz w:val="18"/>
          <w:szCs w:val="18"/>
        </w:rPr>
        <w:footnoteRef/>
      </w:r>
      <w:r w:rsidRPr="002F70FE">
        <w:rPr>
          <w:sz w:val="18"/>
          <w:szCs w:val="18"/>
        </w:rPr>
        <w:t xml:space="preserve"> Bekkers, Boot en Van der Windt, </w:t>
      </w:r>
      <w:r w:rsidRPr="002F70FE">
        <w:rPr>
          <w:i/>
          <w:sz w:val="18"/>
          <w:szCs w:val="18"/>
        </w:rPr>
        <w:t>Nederlandse Antillen: LGO of UPG?</w:t>
      </w:r>
      <w:r w:rsidRPr="002F70FE">
        <w:rPr>
          <w:sz w:val="18"/>
          <w:szCs w:val="18"/>
        </w:rPr>
        <w:t>, Opdrachtgever: De Centrale bank van de Nederlandse Antillen, SEOR Erasmus Universiteit Rotterdam, 2004, pg. 19.</w:t>
      </w:r>
    </w:p>
  </w:footnote>
  <w:footnote w:id="87">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Sinds 2007 zijn er 27 Europese lidstaten. Dit zijn België, Bulgarije, Cyprus, Denemarken, Duitsland, Estland, Finland, Frankrijk, Griekenland, Hongarije, Ierland, Italië, Letland, Litouwen, Luxemburg, Malta, Nederland, Oostenrijk, Polen, Portugal, Roemenië, Slovenië, Slowakije,  Spanje, Tsjechië, Verenigd Koninkrijk en Zweden.</w:t>
      </w:r>
    </w:p>
  </w:footnote>
  <w:footnote w:id="88">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De Ultraperifere gebieden bestaan uit de Franse overzeese departementen (Frans Guyana, Guadeloupe, Martinique, Réunion, Saint Barthelemy en Saint Martin), de Azoren, Madeira (Portugal) en de Canarische Eilanden (Spanje).</w:t>
      </w:r>
    </w:p>
  </w:footnote>
  <w:footnote w:id="89">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Aruba, Curaçao, Bonaire, Sint Maarten, Saba, Sint Eustatius, Polynesië, Groenland, de Kaaimaneilanden en de Maagdeneilanden.</w:t>
      </w:r>
    </w:p>
  </w:footnote>
  <w:footnote w:id="90">
    <w:p w:rsidR="00A64945" w:rsidRDefault="00A64945" w:rsidP="002F70FE">
      <w:pPr>
        <w:pStyle w:val="FootnoteText"/>
        <w:jc w:val="both"/>
      </w:pPr>
      <w:r w:rsidRPr="002F70FE">
        <w:rPr>
          <w:rStyle w:val="FootnoteReference"/>
          <w:sz w:val="18"/>
          <w:szCs w:val="18"/>
        </w:rPr>
        <w:footnoteRef/>
      </w:r>
      <w:r w:rsidRPr="002F70FE">
        <w:rPr>
          <w:sz w:val="18"/>
          <w:szCs w:val="18"/>
        </w:rPr>
        <w:t xml:space="preserve"> ACS- staten is de verzamelnaam voor een groep landen,  gelegen in Afrika, het Caribische gebied en de Stille Oceaan. Deze landen hebben één kenmerk gemeen en dat is dat elk land in het verleden een intensieve band heeft gehad met een van de lidstaten van de EU. Voorbeelden hiervan zijn Madagaskar (gelegen in Afrika) met Frankrijk, Jamaica (gelegen in het Caribische gebied) met Engeland en Micronesië (gelegen in de Stille Oceaan) met Portugal, Spanje en Duitsland. De huidige band die het desbetreffend land met een lidstaat van de EU heeft, vindt zijn origine dus in het verleden; en met name het koloniale verleden. Over de jaren heen zijn veel van deze landen en /of gebieden onafhankelijk geworden van het moederland. Dit heeft als gevolg gehad dat de eens zo intensieve band is veranderd. Deze landen hebben tegenwoordig in staatkundige zin geen directe band meer met een lidstaat, maar van volledige onafhankelijkheid is ook geen sprake.</w:t>
      </w:r>
      <w:r w:rsidRPr="0036507E">
        <w:rPr>
          <w:sz w:val="18"/>
          <w:szCs w:val="18"/>
        </w:rPr>
        <w:t xml:space="preserve"> </w:t>
      </w:r>
      <w:r w:rsidRPr="002F70FE">
        <w:rPr>
          <w:sz w:val="18"/>
          <w:szCs w:val="18"/>
        </w:rPr>
        <w:t>Ondanks dat deze landen geen directe band meer hebben met een lidstaat, hebben deze landen wel betrekkingen met de EU behouden. Dit in de vorm van onderling gesloten overeenkomsten.</w:t>
      </w:r>
    </w:p>
  </w:footnote>
  <w:footnote w:id="91">
    <w:p w:rsidR="00A64945" w:rsidRPr="002F70FE" w:rsidRDefault="00A64945" w:rsidP="002F70FE">
      <w:pPr>
        <w:pStyle w:val="FootnoteText"/>
        <w:jc w:val="both"/>
        <w:rPr>
          <w:sz w:val="18"/>
          <w:szCs w:val="18"/>
        </w:rPr>
      </w:pPr>
      <w:r w:rsidRPr="002F70FE">
        <w:rPr>
          <w:rStyle w:val="FootnoteReference"/>
          <w:sz w:val="18"/>
          <w:szCs w:val="18"/>
        </w:rPr>
        <w:footnoteRef/>
      </w:r>
      <w:r w:rsidRPr="002F70FE">
        <w:rPr>
          <w:sz w:val="18"/>
          <w:szCs w:val="18"/>
        </w:rPr>
        <w:t xml:space="preserve"> Met betrekking tot de samenwerking tussen de EU- lidstaten en Zwitserland is het zo dat ondanks dat Zwitserland geen lidstaat is van de EU, de EU en haar lidstaten een aantal overeenkomsten heeft gesloten met Zwitserland die (mede) van belang  zijn voor de belastingheffing (Bron: R.P.C.W.M. Brandsma e.a., </w:t>
      </w:r>
      <w:r w:rsidRPr="002F70FE">
        <w:rPr>
          <w:i/>
          <w:sz w:val="18"/>
          <w:szCs w:val="18"/>
        </w:rPr>
        <w:t>Cursus Belastingrecht -Europees Belastingrecht-</w:t>
      </w:r>
      <w:r w:rsidRPr="002F70FE">
        <w:rPr>
          <w:sz w:val="18"/>
          <w:szCs w:val="18"/>
        </w:rPr>
        <w:t xml:space="preserve"> studenteneditie 2007-2008, Kluwer, Deventer, 2008, pg. 27, §2.0.4. B.f. Zwitserland). De EER is gebaseerd op een akkoord (tot stand gekomen op 1 januari 2004)  tussen de lidstaten van de EU en Noorwegen, IJsland en Liechtenstein. Noorwegen, IJsland en Liechtenstein zitten op hun beurt weer in een samenwerkingsverband met Zwitserland: dit is de Europese Vrijhandelsassociatie (EVA). De EVA  voorziet in een vrijhandelszone tussen de EVA- lidstaten. Het samenwerkingsverband dat de vrijhandelszonde tussen de EVA- lidstaten mogelijk maakt, is een verband, dat bewerkstelligd dat er geen invoerrechten of beperkingen gelden tussen de EVA- lidstaten onderling. Ten opzichte van niet EVA- lidstaten bestaat echter geen samenwerking. Elke EVA- lidstaat is vrij om ten opzichte van niet EVA- lidstaten zijn eigen beleid te voeren en bijvoorbeeld zelf te bepalen hoe hoog de te hanteren invoerrechten moeten zijn. Deze vrijheid heeft ertoe geleid dat de EVA- lidstaten ieder apart de mogelijkheid hadden om te kiezen of zij al dan niet een akkoord met de landen van de EU wensten af te sluiten. Enkel drie van de vier huidige EVA- lidstaten wensten dit, wat heeft geleid tot de EER.  In de EER- overeenkomst is het merendeel van de verdragsvrijheden opgenomen, te weten het vrije verkeer van goederen, het vrije verkeer van personen, het vrije verkeer van diensten en het vrije verkeer van kapitaal. Het burgerschap van de unie (art. 20 VwEU) en het daaraan gekoppelde algemene reis- en verblijfrecht (art. 21 VwEU) is echter niet van toepassing onder het EER- overeenkomst. Dit wil zeggen dat de onderdanen van Noorwegen, IJsland en Liechtenstein wat de EER- overeenkomst betreft geen burgers zijn van de EU en niet vrij zijn om op het grondgebied van de lidstaten te reizen en te verblijven. </w:t>
      </w:r>
    </w:p>
    <w:p w:rsidR="00A64945" w:rsidRDefault="00A64945" w:rsidP="002F70FE">
      <w:pPr>
        <w:pStyle w:val="FootnoteText"/>
        <w:jc w:val="both"/>
      </w:pPr>
    </w:p>
  </w:footnote>
  <w:footnote w:id="92">
    <w:p w:rsidR="00A64945" w:rsidRDefault="00A64945" w:rsidP="002F70FE">
      <w:pPr>
        <w:pStyle w:val="FootnoteText"/>
        <w:jc w:val="both"/>
      </w:pPr>
      <w:r w:rsidRPr="002F70FE">
        <w:rPr>
          <w:rStyle w:val="FootnoteReference"/>
          <w:sz w:val="18"/>
          <w:szCs w:val="18"/>
        </w:rPr>
        <w:footnoteRef/>
      </w:r>
      <w:r w:rsidRPr="002F70FE">
        <w:rPr>
          <w:sz w:val="18"/>
          <w:szCs w:val="18"/>
        </w:rPr>
        <w:t xml:space="preserve"> Zie voor uitleg van het onderscheid tussen primair en secundair recht voetnoot 131.</w:t>
      </w:r>
    </w:p>
  </w:footnote>
  <w:footnote w:id="93">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P. Kavelaars, A.C.G.A.C. de Graaf en A.J.A. Stevens, Internationaal Belastingrecht, fed fiscale studieserie, Kluwer, Deventer, 2007, pg. 3.</w:t>
      </w:r>
    </w:p>
  </w:footnote>
  <w:footnote w:id="94">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Bijvoorbeeld art. 4.16 eerste lid, onderdeel h Wet IB 2001 voor wat de aanmerkelijkbelanghouder betreft en art. 3.60 Wet IB 2001 voor wat betreft de ondernemer. </w:t>
      </w:r>
    </w:p>
  </w:footnote>
  <w:footnote w:id="95">
    <w:p w:rsidR="00A64945" w:rsidRDefault="00A64945" w:rsidP="002F70FE">
      <w:pPr>
        <w:pStyle w:val="FootnoteText"/>
        <w:jc w:val="both"/>
      </w:pPr>
      <w:r w:rsidRPr="002F70FE">
        <w:rPr>
          <w:rStyle w:val="FootnoteReference"/>
          <w:rFonts w:cs="Arial"/>
          <w:sz w:val="18"/>
          <w:szCs w:val="18"/>
        </w:rPr>
        <w:footnoteRef/>
      </w:r>
      <w:r w:rsidRPr="002F70FE">
        <w:rPr>
          <w:sz w:val="18"/>
          <w:szCs w:val="18"/>
          <w:lang w:val="de-DE"/>
        </w:rPr>
        <w:t xml:space="preserve"> Art. 15c Wet VPB 1969.</w:t>
      </w:r>
    </w:p>
  </w:footnote>
  <w:footnote w:id="96">
    <w:p w:rsidR="00A64945" w:rsidRDefault="00A64945" w:rsidP="00B6772C">
      <w:pPr>
        <w:pStyle w:val="FootnoteText"/>
        <w:jc w:val="both"/>
      </w:pPr>
      <w:r w:rsidRPr="008E0D10">
        <w:rPr>
          <w:rStyle w:val="FootnoteReference"/>
          <w:rFonts w:cs="Arial"/>
          <w:sz w:val="18"/>
          <w:szCs w:val="18"/>
        </w:rPr>
        <w:footnoteRef/>
      </w:r>
      <w:r w:rsidRPr="008E0D10">
        <w:rPr>
          <w:sz w:val="18"/>
          <w:szCs w:val="18"/>
          <w:lang w:val="de-DE"/>
        </w:rPr>
        <w:t xml:space="preserve"> C-</w:t>
      </w:r>
      <w:r>
        <w:rPr>
          <w:sz w:val="18"/>
          <w:szCs w:val="18"/>
          <w:lang w:val="de-DE"/>
        </w:rPr>
        <w:t xml:space="preserve"> </w:t>
      </w:r>
      <w:r w:rsidRPr="008E0D10">
        <w:rPr>
          <w:sz w:val="18"/>
          <w:szCs w:val="18"/>
          <w:lang w:val="de-DE"/>
        </w:rPr>
        <w:t>9/02.</w:t>
      </w:r>
    </w:p>
  </w:footnote>
  <w:footnote w:id="97">
    <w:p w:rsidR="00A64945" w:rsidRDefault="00A64945" w:rsidP="00B6772C">
      <w:pPr>
        <w:pStyle w:val="FootnoteText"/>
        <w:jc w:val="both"/>
      </w:pPr>
      <w:r w:rsidRPr="008E0D10">
        <w:rPr>
          <w:rStyle w:val="FootnoteReference"/>
          <w:rFonts w:cs="Arial"/>
          <w:sz w:val="18"/>
          <w:szCs w:val="18"/>
        </w:rPr>
        <w:footnoteRef/>
      </w:r>
      <w:r w:rsidRPr="008E0D10">
        <w:rPr>
          <w:sz w:val="18"/>
          <w:szCs w:val="18"/>
        </w:rPr>
        <w:t xml:space="preserve"> C- 470/04.</w:t>
      </w:r>
    </w:p>
  </w:footnote>
  <w:footnote w:id="98">
    <w:p w:rsidR="00A64945" w:rsidRDefault="00A64945" w:rsidP="00B6772C">
      <w:pPr>
        <w:pStyle w:val="FootnoteText"/>
        <w:jc w:val="both"/>
      </w:pPr>
      <w:r w:rsidRPr="00D54E48">
        <w:rPr>
          <w:rStyle w:val="FootnoteReference"/>
          <w:rFonts w:cs="Arial"/>
          <w:sz w:val="18"/>
          <w:szCs w:val="18"/>
        </w:rPr>
        <w:footnoteRef/>
      </w:r>
      <w:r w:rsidRPr="00D54E48">
        <w:rPr>
          <w:sz w:val="18"/>
          <w:szCs w:val="18"/>
        </w:rPr>
        <w:t>Het vrije verkeer van burgers van de Unie (art. 21 VwEU).</w:t>
      </w:r>
    </w:p>
  </w:footnote>
  <w:footnote w:id="99">
    <w:p w:rsidR="00A64945" w:rsidRDefault="00A64945" w:rsidP="00B6772C">
      <w:pPr>
        <w:pStyle w:val="FootnoteText"/>
        <w:jc w:val="both"/>
      </w:pPr>
      <w:r w:rsidRPr="00D54E48">
        <w:rPr>
          <w:rStyle w:val="FootnoteReference"/>
          <w:rFonts w:cs="Arial"/>
          <w:sz w:val="18"/>
          <w:szCs w:val="18"/>
        </w:rPr>
        <w:footnoteRef/>
      </w:r>
      <w:r w:rsidRPr="00D54E48">
        <w:rPr>
          <w:sz w:val="18"/>
          <w:szCs w:val="18"/>
        </w:rPr>
        <w:t xml:space="preserve"> Het vrije verkeer van goederen (art. 34 en 35 VwEU).</w:t>
      </w:r>
    </w:p>
  </w:footnote>
  <w:footnote w:id="100">
    <w:p w:rsidR="00A64945" w:rsidRDefault="00A64945" w:rsidP="00B6772C">
      <w:pPr>
        <w:pStyle w:val="FootnoteText"/>
        <w:jc w:val="both"/>
      </w:pPr>
      <w:r w:rsidRPr="00D54E48">
        <w:rPr>
          <w:rStyle w:val="FootnoteReference"/>
          <w:rFonts w:cs="Arial"/>
          <w:sz w:val="18"/>
          <w:szCs w:val="18"/>
        </w:rPr>
        <w:footnoteRef/>
      </w:r>
      <w:r w:rsidRPr="00D54E48">
        <w:rPr>
          <w:sz w:val="18"/>
          <w:szCs w:val="18"/>
        </w:rPr>
        <w:t xml:space="preserve"> Het vrije verkeer van personen (art. 45VwEU: werknemers en art. 49VwEU: recht van vestiging).</w:t>
      </w:r>
    </w:p>
  </w:footnote>
  <w:footnote w:id="101">
    <w:p w:rsidR="00A64945" w:rsidRDefault="00A64945" w:rsidP="00B6772C">
      <w:pPr>
        <w:pStyle w:val="FootnoteText"/>
        <w:jc w:val="both"/>
      </w:pPr>
      <w:r w:rsidRPr="00D54E48">
        <w:rPr>
          <w:rStyle w:val="FootnoteReference"/>
          <w:rFonts w:cs="Arial"/>
          <w:sz w:val="18"/>
          <w:szCs w:val="18"/>
        </w:rPr>
        <w:footnoteRef/>
      </w:r>
      <w:r w:rsidRPr="00D54E48">
        <w:rPr>
          <w:sz w:val="18"/>
          <w:szCs w:val="18"/>
        </w:rPr>
        <w:t xml:space="preserve"> Het vrije verkeer van diensten (art. 56 VwEU). </w:t>
      </w:r>
    </w:p>
  </w:footnote>
  <w:footnote w:id="102">
    <w:p w:rsidR="00A64945" w:rsidRDefault="00A64945" w:rsidP="00B6772C">
      <w:pPr>
        <w:pStyle w:val="FootnoteText"/>
        <w:jc w:val="both"/>
      </w:pPr>
      <w:r w:rsidRPr="00D54E48">
        <w:rPr>
          <w:rStyle w:val="FootnoteReference"/>
          <w:rFonts w:cs="Arial"/>
          <w:sz w:val="18"/>
          <w:szCs w:val="18"/>
        </w:rPr>
        <w:footnoteRef/>
      </w:r>
      <w:r w:rsidRPr="00D54E48">
        <w:rPr>
          <w:sz w:val="18"/>
          <w:szCs w:val="18"/>
        </w:rPr>
        <w:t xml:space="preserve"> Het vrije verkeer van kapitaal (art. 63, lid 1 VwEU).</w:t>
      </w:r>
    </w:p>
  </w:footnote>
  <w:footnote w:id="103">
    <w:p w:rsidR="00A64945" w:rsidRDefault="00A64945" w:rsidP="00B6772C">
      <w:pPr>
        <w:pStyle w:val="FootnoteText"/>
        <w:jc w:val="both"/>
      </w:pPr>
      <w:r w:rsidRPr="00A7736C">
        <w:rPr>
          <w:rStyle w:val="FootnoteReference"/>
          <w:rFonts w:cs="Arial"/>
          <w:sz w:val="18"/>
          <w:szCs w:val="18"/>
        </w:rPr>
        <w:footnoteRef/>
      </w:r>
      <w:r w:rsidRPr="00A7736C">
        <w:rPr>
          <w:sz w:val="18"/>
          <w:szCs w:val="18"/>
        </w:rPr>
        <w:t xml:space="preserve"> Het vrije verkeer van betalingen ( art. 63, lid 2 VwEU).</w:t>
      </w:r>
    </w:p>
  </w:footnote>
  <w:footnote w:id="104">
    <w:p w:rsidR="00A64945" w:rsidRDefault="00A64945" w:rsidP="00B6772C">
      <w:pPr>
        <w:pStyle w:val="FootnoteText"/>
        <w:jc w:val="both"/>
      </w:pPr>
      <w:r w:rsidRPr="00A7736C">
        <w:rPr>
          <w:rStyle w:val="FootnoteReference"/>
          <w:rFonts w:cs="Arial"/>
          <w:sz w:val="18"/>
          <w:szCs w:val="18"/>
        </w:rPr>
        <w:footnoteRef/>
      </w:r>
      <w:r w:rsidRPr="00A7736C">
        <w:rPr>
          <w:sz w:val="18"/>
          <w:szCs w:val="18"/>
        </w:rPr>
        <w:t xml:space="preserve"> Dit in tegenstelling tot </w:t>
      </w:r>
      <w:r>
        <w:rPr>
          <w:sz w:val="18"/>
          <w:szCs w:val="18"/>
        </w:rPr>
        <w:t xml:space="preserve">wat betreft </w:t>
      </w:r>
      <w:r w:rsidRPr="00A7736C">
        <w:rPr>
          <w:sz w:val="18"/>
          <w:szCs w:val="18"/>
        </w:rPr>
        <w:t>de indirecte belastingen (bijvoorbeeld de omzetbelasting, accijnzen en kapitaalbelasting</w:t>
      </w:r>
      <w:r>
        <w:rPr>
          <w:sz w:val="18"/>
          <w:szCs w:val="18"/>
        </w:rPr>
        <w:t xml:space="preserve"> (voor wat betreft Nederland is de kapitaalbelasting per 1 januari 2006 afgeschaft</w:t>
      </w:r>
      <w:r w:rsidRPr="00A7736C">
        <w:rPr>
          <w:sz w:val="18"/>
          <w:szCs w:val="18"/>
        </w:rPr>
        <w:t>). Heffingen in de sfeer van de indirecte belastingen zijn vergaand geharmoniseerd. Bron: P. Kavelaars, A.C.G.A.C. de Graaf en A.J.A. Stevens</w:t>
      </w:r>
      <w:r w:rsidRPr="00030465">
        <w:rPr>
          <w:sz w:val="18"/>
          <w:szCs w:val="18"/>
        </w:rPr>
        <w:t xml:space="preserve">, Internationaal Belastingrecht, fed fiscale studieserie, Kluwer, Deventer, 2007, pg. </w:t>
      </w:r>
      <w:r>
        <w:rPr>
          <w:sz w:val="18"/>
          <w:szCs w:val="18"/>
        </w:rPr>
        <w:t>5</w:t>
      </w:r>
      <w:r w:rsidRPr="00030465">
        <w:rPr>
          <w:sz w:val="18"/>
          <w:szCs w:val="18"/>
        </w:rPr>
        <w:t>.</w:t>
      </w:r>
    </w:p>
  </w:footnote>
  <w:footnote w:id="105">
    <w:p w:rsidR="00A64945" w:rsidRDefault="00A64945" w:rsidP="00B6772C">
      <w:pPr>
        <w:pStyle w:val="FootnoteText"/>
        <w:jc w:val="both"/>
      </w:pPr>
      <w:r w:rsidRPr="003A1CBA">
        <w:rPr>
          <w:rStyle w:val="FootnoteReference"/>
          <w:rFonts w:cs="Arial"/>
          <w:sz w:val="18"/>
          <w:szCs w:val="18"/>
        </w:rPr>
        <w:footnoteRef/>
      </w:r>
      <w:r w:rsidRPr="003A1CBA">
        <w:rPr>
          <w:sz w:val="18"/>
          <w:szCs w:val="18"/>
        </w:rPr>
        <w:t xml:space="preserve"> Zie voor het onderscheid tussen directe en indirecte belastingen §</w:t>
      </w:r>
      <w:r>
        <w:rPr>
          <w:sz w:val="18"/>
          <w:szCs w:val="18"/>
        </w:rPr>
        <w:t>1.1</w:t>
      </w:r>
      <w:r w:rsidRPr="003A1CBA">
        <w:rPr>
          <w:sz w:val="18"/>
          <w:szCs w:val="18"/>
        </w:rPr>
        <w:t>.</w:t>
      </w:r>
      <w:r>
        <w:rPr>
          <w:sz w:val="18"/>
          <w:szCs w:val="18"/>
        </w:rPr>
        <w:t xml:space="preserve">2. bij </w:t>
      </w:r>
      <w:r w:rsidRPr="002F70FE">
        <w:rPr>
          <w:sz w:val="18"/>
          <w:szCs w:val="18"/>
        </w:rPr>
        <w:t>voetnoot 13</w:t>
      </w:r>
      <w:r>
        <w:rPr>
          <w:sz w:val="18"/>
          <w:szCs w:val="18"/>
        </w:rPr>
        <w:t>.</w:t>
      </w:r>
    </w:p>
  </w:footnote>
  <w:footnote w:id="106">
    <w:p w:rsidR="00A64945" w:rsidRDefault="00A64945" w:rsidP="00B6772C">
      <w:pPr>
        <w:pStyle w:val="FootnoteText"/>
        <w:jc w:val="both"/>
      </w:pPr>
      <w:r w:rsidRPr="001C4888">
        <w:rPr>
          <w:rStyle w:val="FootnoteReference"/>
          <w:rFonts w:cs="Arial"/>
          <w:sz w:val="18"/>
          <w:szCs w:val="18"/>
        </w:rPr>
        <w:footnoteRef/>
      </w:r>
      <w:r w:rsidRPr="001C4888">
        <w:rPr>
          <w:sz w:val="18"/>
          <w:szCs w:val="18"/>
        </w:rPr>
        <w:t xml:space="preserve"> In art. 18 VwEU is een algemeen verbod betreffende discriminatie naar nationaliteit opgenomen.</w:t>
      </w:r>
    </w:p>
  </w:footnote>
  <w:footnote w:id="107">
    <w:p w:rsidR="00A64945" w:rsidRDefault="00A64945" w:rsidP="00B6772C">
      <w:pPr>
        <w:pStyle w:val="FootnoteText"/>
        <w:jc w:val="both"/>
      </w:pPr>
      <w:r w:rsidRPr="007B471C">
        <w:rPr>
          <w:rStyle w:val="FootnoteReference"/>
          <w:rFonts w:cs="Arial"/>
          <w:sz w:val="18"/>
          <w:szCs w:val="18"/>
        </w:rPr>
        <w:footnoteRef/>
      </w:r>
      <w:r w:rsidRPr="007B471C">
        <w:rPr>
          <w:sz w:val="18"/>
          <w:szCs w:val="18"/>
        </w:rPr>
        <w:t xml:space="preserve"> Art. 20, lid 2 VwEU.</w:t>
      </w:r>
    </w:p>
  </w:footnote>
  <w:footnote w:id="108">
    <w:p w:rsidR="00A64945" w:rsidRDefault="00A64945" w:rsidP="00B6772C">
      <w:pPr>
        <w:pStyle w:val="FootnoteText"/>
        <w:jc w:val="both"/>
      </w:pPr>
      <w:r w:rsidRPr="007B471C">
        <w:rPr>
          <w:rStyle w:val="FootnoteReference"/>
          <w:rFonts w:cs="Arial"/>
          <w:sz w:val="18"/>
          <w:szCs w:val="18"/>
        </w:rPr>
        <w:footnoteRef/>
      </w:r>
      <w:r w:rsidRPr="007B471C">
        <w:rPr>
          <w:sz w:val="18"/>
          <w:szCs w:val="18"/>
        </w:rPr>
        <w:t xml:space="preserve"> Art. 20, lid 1 VwEU.</w:t>
      </w:r>
    </w:p>
  </w:footnote>
  <w:footnote w:id="109">
    <w:p w:rsidR="00A64945" w:rsidRDefault="00A64945" w:rsidP="00B6772C">
      <w:pPr>
        <w:pStyle w:val="FootnoteText"/>
        <w:jc w:val="both"/>
      </w:pPr>
      <w:r w:rsidRPr="007B471C">
        <w:rPr>
          <w:rStyle w:val="FootnoteReference"/>
          <w:rFonts w:cs="Arial"/>
          <w:sz w:val="18"/>
          <w:szCs w:val="18"/>
        </w:rPr>
        <w:footnoteRef/>
      </w:r>
      <w:r w:rsidRPr="007B471C">
        <w:rPr>
          <w:sz w:val="18"/>
          <w:szCs w:val="18"/>
        </w:rPr>
        <w:t xml:space="preserve"> Lezen we echter art. 49 VwEU (vrijheid van vestiging) dan zien we dat daar een koppeling wordt gemaakt met onderdanen van een lidstaat. De eerste zin van dit artikel luidt: </w:t>
      </w:r>
      <w:r w:rsidRPr="00E31224">
        <w:rPr>
          <w:i/>
          <w:sz w:val="18"/>
          <w:szCs w:val="18"/>
        </w:rPr>
        <w:t>‘ In het kader van de volgende bepalingen zijn beperkingen van de vrijheid van vestiging voor onderdanen van een lidstaat op het grondgebied van een andere lidstaat verboden.’</w:t>
      </w:r>
      <w:r w:rsidRPr="007B471C">
        <w:rPr>
          <w:sz w:val="18"/>
          <w:szCs w:val="18"/>
        </w:rPr>
        <w:t xml:space="preserve"> Het onderscheid tussen burger en onderdaan </w:t>
      </w:r>
      <w:r>
        <w:rPr>
          <w:sz w:val="18"/>
          <w:szCs w:val="18"/>
        </w:rPr>
        <w:t>wordt</w:t>
      </w:r>
      <w:r w:rsidRPr="007B471C">
        <w:rPr>
          <w:sz w:val="18"/>
          <w:szCs w:val="18"/>
        </w:rPr>
        <w:t xml:space="preserve"> echter niet gedefinieerd in de Verdragen. Voor vennootschappen geldt een aparte bepaling: art. </w:t>
      </w:r>
      <w:r>
        <w:rPr>
          <w:sz w:val="18"/>
          <w:szCs w:val="18"/>
        </w:rPr>
        <w:t>54 VwEU</w:t>
      </w:r>
      <w:r w:rsidRPr="007B471C">
        <w:rPr>
          <w:sz w:val="18"/>
          <w:szCs w:val="18"/>
        </w:rPr>
        <w:t>. Deze bepaling is noodzakelijk om vennootschappen (rechtspersonen) te laten delen aan de vrije verkeersbepalingen. Indien vennootschappen in overeenstemming met de wetgeving van een lidstaat zijn opgericht en hun statutaire zetel, hoofdbestuur of hoofdvestiging binnen de Gemeenschap hebben, worden ze gelijkgesteld met de natuurlijke personen die onderdaan zijn van de lidstaten.</w:t>
      </w:r>
    </w:p>
  </w:footnote>
  <w:footnote w:id="110">
    <w:p w:rsidR="00A64945" w:rsidRDefault="00A64945" w:rsidP="00B6772C">
      <w:pPr>
        <w:pStyle w:val="FootnoteText"/>
        <w:jc w:val="both"/>
      </w:pPr>
      <w:r w:rsidRPr="007B471C">
        <w:rPr>
          <w:rStyle w:val="FootnoteReference"/>
          <w:rFonts w:cs="Arial"/>
          <w:sz w:val="18"/>
          <w:szCs w:val="18"/>
        </w:rPr>
        <w:footnoteRef/>
      </w:r>
      <w:r w:rsidRPr="007B471C">
        <w:rPr>
          <w:sz w:val="18"/>
          <w:szCs w:val="18"/>
        </w:rPr>
        <w:t xml:space="preserve"> Het HvJ EU heeft in het Werner arrest (112/91) echter bepaald dat een lidstaat zijn eigen onderdanen nadeliger mag behandelen dan onderdanen van een andere staat, maar niet andersom. Dit is niet in strijd met art. 1</w:t>
      </w:r>
      <w:r>
        <w:rPr>
          <w:sz w:val="18"/>
          <w:szCs w:val="18"/>
        </w:rPr>
        <w:t>2</w:t>
      </w:r>
      <w:r w:rsidRPr="007B471C">
        <w:rPr>
          <w:sz w:val="18"/>
          <w:szCs w:val="18"/>
        </w:rPr>
        <w:t xml:space="preserve"> EG verdrag (het huidige</w:t>
      </w:r>
      <w:r>
        <w:rPr>
          <w:sz w:val="18"/>
          <w:szCs w:val="18"/>
        </w:rPr>
        <w:t xml:space="preserve"> art.</w:t>
      </w:r>
      <w:r w:rsidRPr="007B471C">
        <w:rPr>
          <w:sz w:val="18"/>
          <w:szCs w:val="18"/>
        </w:rPr>
        <w:t xml:space="preserve"> 18 VwEU). Het gaat dus om discriminatie van niet- onderdanen. Ook indirecte discriminatie en afgeleide discriminatie vallen</w:t>
      </w:r>
      <w:r w:rsidRPr="001C4888">
        <w:rPr>
          <w:sz w:val="18"/>
          <w:szCs w:val="18"/>
        </w:rPr>
        <w:t xml:space="preserve"> onder </w:t>
      </w:r>
      <w:r>
        <w:rPr>
          <w:sz w:val="18"/>
          <w:szCs w:val="18"/>
        </w:rPr>
        <w:t>dat artikel</w:t>
      </w:r>
      <w:r w:rsidRPr="001C4888">
        <w:rPr>
          <w:sz w:val="18"/>
          <w:szCs w:val="18"/>
        </w:rPr>
        <w:t xml:space="preserve"> en zijn niet toegestaan. Er is sprake van indirecte discriminatie in het geval dat er een criterium in de wetgeving wordt gehanteerd waardoor de facto een discriminatie optreedt. Een voorbeeld van afgeleide discriminatie vloeit voort uit het Halliburton- arrest. In dit arrest werd de belastingplichtige niet zelf gediscrimineerd, maar werd er een bepaling gehanteerd die het recht op </w:t>
      </w:r>
      <w:r>
        <w:rPr>
          <w:sz w:val="18"/>
          <w:szCs w:val="18"/>
        </w:rPr>
        <w:t xml:space="preserve">een </w:t>
      </w:r>
      <w:r w:rsidRPr="001C4888">
        <w:rPr>
          <w:sz w:val="18"/>
          <w:szCs w:val="18"/>
        </w:rPr>
        <w:t xml:space="preserve">vrijstelling afhankelijkheid stelde van het feit of degene die het </w:t>
      </w:r>
      <w:r w:rsidRPr="007B471C">
        <w:rPr>
          <w:sz w:val="18"/>
          <w:szCs w:val="18"/>
        </w:rPr>
        <w:t>onroerend goed aan belastingplichtige overdroeg, al dan niet in N</w:t>
      </w:r>
      <w:r>
        <w:rPr>
          <w:sz w:val="18"/>
          <w:szCs w:val="18"/>
        </w:rPr>
        <w:t xml:space="preserve">ederland </w:t>
      </w:r>
      <w:r w:rsidRPr="007B471C">
        <w:rPr>
          <w:sz w:val="18"/>
          <w:szCs w:val="18"/>
        </w:rPr>
        <w:t>was gevestigd. Indien dat niet het geval was, was er door belastingplichtige geen beroep op een vrijstelling mogelijk. Het HvJ E</w:t>
      </w:r>
      <w:r>
        <w:rPr>
          <w:sz w:val="18"/>
          <w:szCs w:val="18"/>
        </w:rPr>
        <w:t>U</w:t>
      </w:r>
      <w:r w:rsidRPr="007B471C">
        <w:rPr>
          <w:sz w:val="18"/>
          <w:szCs w:val="18"/>
        </w:rPr>
        <w:t xml:space="preserve"> merkte dit aan als een afgeleide discriminatie naar nationaliteit.</w:t>
      </w:r>
    </w:p>
  </w:footnote>
  <w:footnote w:id="111">
    <w:p w:rsidR="00A64945" w:rsidRDefault="00A64945" w:rsidP="00B6772C">
      <w:pPr>
        <w:pStyle w:val="FootnoteText"/>
        <w:jc w:val="both"/>
      </w:pPr>
      <w:r w:rsidRPr="007B471C">
        <w:rPr>
          <w:rStyle w:val="FootnoteReference"/>
          <w:rFonts w:cs="Arial"/>
          <w:sz w:val="18"/>
          <w:szCs w:val="18"/>
        </w:rPr>
        <w:footnoteRef/>
      </w:r>
      <w:r w:rsidRPr="007B471C">
        <w:rPr>
          <w:sz w:val="18"/>
          <w:szCs w:val="18"/>
        </w:rPr>
        <w:t xml:space="preserve"> R.P.C.W.M. Brandsma e.a., </w:t>
      </w:r>
      <w:r w:rsidRPr="007B471C">
        <w:rPr>
          <w:i/>
          <w:sz w:val="18"/>
          <w:szCs w:val="18"/>
        </w:rPr>
        <w:t>Cursus Belastingrecht -Europees Belastingrecht-</w:t>
      </w:r>
      <w:r w:rsidRPr="007B471C">
        <w:rPr>
          <w:sz w:val="18"/>
          <w:szCs w:val="18"/>
        </w:rPr>
        <w:t xml:space="preserve"> studenteneditie 2007-2008, Kluwer, Deventer, 2008, pg. </w:t>
      </w:r>
      <w:r>
        <w:rPr>
          <w:sz w:val="18"/>
          <w:szCs w:val="18"/>
        </w:rPr>
        <w:t>8</w:t>
      </w:r>
      <w:r w:rsidRPr="007B471C">
        <w:rPr>
          <w:sz w:val="18"/>
          <w:szCs w:val="18"/>
        </w:rPr>
        <w:t>3, §5.1.0. Belemmerende maatregelen zonder onderscheid;</w:t>
      </w:r>
      <w:r>
        <w:rPr>
          <w:sz w:val="18"/>
          <w:szCs w:val="18"/>
        </w:rPr>
        <w:t xml:space="preserve"> </w:t>
      </w:r>
      <w:r w:rsidRPr="007B471C">
        <w:rPr>
          <w:sz w:val="18"/>
          <w:szCs w:val="18"/>
        </w:rPr>
        <w:t>onderdeel A.: Algemeen.</w:t>
      </w:r>
    </w:p>
  </w:footnote>
  <w:footnote w:id="112">
    <w:p w:rsidR="00A64945" w:rsidRDefault="00A64945" w:rsidP="00B6772C">
      <w:pPr>
        <w:spacing w:after="0" w:line="240" w:lineRule="auto"/>
        <w:jc w:val="both"/>
      </w:pPr>
      <w:r w:rsidRPr="007B471C">
        <w:rPr>
          <w:rStyle w:val="FootnoteReference"/>
          <w:rFonts w:cs="Arial"/>
          <w:sz w:val="18"/>
          <w:szCs w:val="18"/>
        </w:rPr>
        <w:footnoteRef/>
      </w:r>
      <w:r w:rsidRPr="007B471C">
        <w:rPr>
          <w:sz w:val="18"/>
          <w:szCs w:val="18"/>
        </w:rPr>
        <w:t xml:space="preserve"> A.W. Van der Woude, </w:t>
      </w:r>
      <w:r w:rsidRPr="007B471C">
        <w:rPr>
          <w:i/>
          <w:sz w:val="18"/>
          <w:szCs w:val="18"/>
        </w:rPr>
        <w:t>Belastingen begrensd; de doorwerking van het discriminatieverbod en de richtlijnen van de EG op nationale belastingen</w:t>
      </w:r>
      <w:r w:rsidRPr="007B471C">
        <w:rPr>
          <w:sz w:val="18"/>
          <w:szCs w:val="18"/>
        </w:rPr>
        <w:t>, pg. 94, §3.6.2: Rechtsvaard</w:t>
      </w:r>
      <w:r>
        <w:rPr>
          <w:sz w:val="18"/>
          <w:szCs w:val="18"/>
        </w:rPr>
        <w:t>igingsgronden van belemmeringen, Eburon, Delft, 2000.</w:t>
      </w:r>
    </w:p>
  </w:footnote>
  <w:footnote w:id="113">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Bachmann C- 204/90. In de zaak Bachmann werden een aantal rechtvaardigingsgronden aangevoerd. Het HvJ EU heeft in deze zaak als enigste rechtvaardigingsgrond ‘de coherentie in het fiscale systeem’  geaccepteerd (r.o. 28). Hiervan is sprake indien er een direct verband bestaat tussen de toekenning van een fiscaal voordeel (een belastingfaciliteit) en de compensatie van dit voordeel door een fiscale heffing. België aanvaarde de door Bachmann aan een Duitse verzekeringsmaatschappij betaalde pensioenpremies niet in aftrek, aangezien er voor België geen zekerheid bestond dat de pensioenuitkeringen te zijner tijd ook in België belast zouden kunnen worden. Het HvJ EU achtte een aftrekbeperking in dergelijke gevallen gerechtvaardigd. Beroep op het coherentieprincipe is alleen mogelijk bij een directe samenhang tussen aan de ene kant de fiscale faciliteit en de andere kant de heffing. Ook in het tegenovergestelde geval, indien heffing uitblijft, maar wel eerder premie is ingehouden, is dus geen beroep op het coherentieprincipe mogelijk. Coherentie moet plaatsvinden op het niveau van één belasting en bij dezelfde belastingplichtige. Een ander voorbeeld van een dwingende reden van algemeen belang dat een beperking kan rechtvaardigen is in de zaak Futura participation (C- 250/95) te vinden. Het Franse verzekeringsmaatschappij Futura voerde doormiddel van een filiaal (Singer) activiteiten uit in Luxemburg. Er gold in Luxemburg een administratieëis en een verplichting tot het bewaren van de administratie. Aangezien Singer haar winst niet op basis van enige boekhouding bepaalde ( het houden van een administratie was in Luxemburg niet verplicht voor buitenlandse belastingplichtigen), maar door toerekening van een pro rata- berekening, kon Singer geen verliezen verreken uit voorgaande jaren, omdat dit in Luxemburg enkel was toegestaan met betrekking tot de jaren waarin een boekhouding is gevoerd. Dit wekte in Frankrijk de vraag op of het in overeenstemming is met art. 43 EG- Verdrag (Thans art. 49 VwEU) dat niet- ingezetenen die in een lidstaat door middel van een vaste inrichting opereren verliezen wensen te compenseren met in die lidstaat behaalde winsten, daartoe een regelmatige administratie moeten voeren, die bovendien ook in die lidstaat bewaard moet blijven. Het HvJ EU achtte dit niet het geval. Het HvJ EU was namelijk de mening toegedaan dat deze boekhoudeis een beperking kon inhouden ten aanzien van de keuze tussen dochtermaatschappij en filiaal. Immers men zou, om aan deze eis te voldoen, in Frankrijk een aparte administratie moeten voeren voor de vaste inrichting in Luxemburg, die bovendien in Luxemburg zou moeten worden bewaard. De eis van het in Frankrijk moeten voeren van een aparte administratie, achtte het HvJ EU in principe niet strijdig met het EU- recht (r.o. 33 en 34). Maar de eis dat deze administratie ook in Luxemburg bewaard diende te worden ging volgens het HvJ EU verder dan noodzakelijk is en werd dus aangemerkt als een verboden belemmering (r.o. 41).</w:t>
      </w:r>
    </w:p>
  </w:footnote>
  <w:footnote w:id="114">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Zaak Gebhard, C- 55/94, 30 november 1995, </w:t>
      </w:r>
      <w:r w:rsidRPr="002F70FE">
        <w:rPr>
          <w:rFonts w:cs="Times New Roman"/>
          <w:sz w:val="18"/>
          <w:szCs w:val="18"/>
        </w:rPr>
        <w:t xml:space="preserve">Gebhard, Jurispr. blz. 1-4165, </w:t>
      </w:r>
      <w:r w:rsidRPr="002F70FE">
        <w:rPr>
          <w:sz w:val="18"/>
          <w:szCs w:val="18"/>
        </w:rPr>
        <w:t>r.o. 37.</w:t>
      </w:r>
    </w:p>
  </w:footnote>
  <w:footnote w:id="115">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Lees burgers van de lidstaten of onderdanen van de lidstaten.</w:t>
      </w:r>
    </w:p>
  </w:footnote>
  <w:footnote w:id="116">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R.P.C.W.M. Brandsma e.a., </w:t>
      </w:r>
      <w:r w:rsidRPr="002F70FE">
        <w:rPr>
          <w:i/>
          <w:sz w:val="18"/>
          <w:szCs w:val="18"/>
        </w:rPr>
        <w:t>Cursus Belastingrecht -Europees Belastingrecht-</w:t>
      </w:r>
      <w:r w:rsidRPr="002F70FE">
        <w:rPr>
          <w:sz w:val="18"/>
          <w:szCs w:val="18"/>
        </w:rPr>
        <w:t xml:space="preserve"> studenteneditie 2007-2008, Kluwer, Deventer, 2008, pg. 61, §5.0.1.: De zes EG- verdragsvrijheden.</w:t>
      </w:r>
    </w:p>
  </w:footnote>
  <w:footnote w:id="117">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Het onderscheid tussen ‘objectief verschil’ en ‘subjectief verschil’ moet in dit kader als volgt gezien worden. Een objectief verschil is een verschil dat veroorzaakt wordt door kenmerken die kleven aan desbetreffende persoon. Bijvoorbeeld de nationaliteit, de woonplaats of gezinssituatie van iemand. Bij een dergelijk verschil valt er een afwijking te constateren tussen situaties die vergeleken worden en die afwijking wordt veroorzaakt door eigenschappen die kleven aan het object. Subjectieve verschillen zijn verschillen die ontstaat bij degen die ze waarneemt. Dit zijn verschillen die veroorzaakt worden door de perceptie van een persoon. Hoe iemand tegen iets aankijkt, iets waardeert. Een afwijking in behandeling kan alleen gemaakt worden in het geval er sprake is van een constateerbaar verschil. Het moet dus gaan om waarneembare verschillen. Hierbij dient men zich wel te realiseren dat een waarneembaar verschil echter ook kan zijn ontstaan door de wijze waarop dit verschil in kaart is gebracht. Het waarneembare verschil kan een vertekend beeld zijn van de werkelijkheid. Zie in dit kader voetnoot  120.</w:t>
      </w:r>
    </w:p>
  </w:footnote>
  <w:footnote w:id="118">
    <w:p w:rsidR="00A64945" w:rsidRDefault="00A64945" w:rsidP="00B6772C">
      <w:pPr>
        <w:pStyle w:val="FootnoteText"/>
        <w:jc w:val="both"/>
      </w:pPr>
      <w:r w:rsidRPr="00A74B7F">
        <w:rPr>
          <w:rStyle w:val="FootnoteReference"/>
          <w:rFonts w:cs="Arial"/>
          <w:sz w:val="18"/>
          <w:szCs w:val="18"/>
        </w:rPr>
        <w:footnoteRef/>
      </w:r>
      <w:r w:rsidRPr="00A74B7F">
        <w:rPr>
          <w:sz w:val="18"/>
          <w:szCs w:val="18"/>
        </w:rPr>
        <w:t xml:space="preserve"> Vergelijkbare omstandigheden zijn dus niet identieke omstandigheden, maar omstandigheden die aan de hand van een </w:t>
      </w:r>
      <w:r>
        <w:rPr>
          <w:sz w:val="18"/>
          <w:szCs w:val="18"/>
        </w:rPr>
        <w:t xml:space="preserve">bepaalde </w:t>
      </w:r>
      <w:r w:rsidRPr="00A74B7F">
        <w:rPr>
          <w:sz w:val="18"/>
          <w:szCs w:val="18"/>
        </w:rPr>
        <w:t>parameter als identiek worden beschouwd.</w:t>
      </w:r>
      <w:r>
        <w:rPr>
          <w:sz w:val="18"/>
          <w:szCs w:val="18"/>
        </w:rPr>
        <w:t xml:space="preserve"> </w:t>
      </w:r>
    </w:p>
  </w:footnote>
  <w:footnote w:id="119">
    <w:p w:rsidR="00A64945" w:rsidRDefault="00A64945" w:rsidP="00B6772C">
      <w:pPr>
        <w:pStyle w:val="FootnoteText"/>
        <w:jc w:val="both"/>
      </w:pPr>
      <w:r w:rsidRPr="00C91423">
        <w:rPr>
          <w:rStyle w:val="FootnoteReference"/>
          <w:rFonts w:cs="Arial"/>
          <w:sz w:val="18"/>
          <w:szCs w:val="18"/>
        </w:rPr>
        <w:footnoteRef/>
      </w:r>
      <w:r w:rsidRPr="00C91423">
        <w:rPr>
          <w:sz w:val="18"/>
          <w:szCs w:val="18"/>
        </w:rPr>
        <w:t xml:space="preserve"> R.P.C.W.M. Brandsma e.a., </w:t>
      </w:r>
      <w:r w:rsidRPr="00C91423">
        <w:rPr>
          <w:i/>
          <w:sz w:val="18"/>
          <w:szCs w:val="18"/>
        </w:rPr>
        <w:t>Cursus Belastingrecht -Europees Belastingrecht-</w:t>
      </w:r>
      <w:r w:rsidRPr="00C91423">
        <w:rPr>
          <w:sz w:val="18"/>
          <w:szCs w:val="18"/>
        </w:rPr>
        <w:t xml:space="preserve"> studenteneditie 2007-2008, Kluwer, Deventer, 2008, pg. 79, §5.0.9. E: Objectief verschil; onderdeel a. Algemeen.</w:t>
      </w:r>
    </w:p>
  </w:footnote>
  <w:footnote w:id="120">
    <w:p w:rsidR="00A64945" w:rsidRDefault="00A64945" w:rsidP="00B6772C">
      <w:pPr>
        <w:pStyle w:val="FootnoteText"/>
        <w:jc w:val="both"/>
      </w:pPr>
      <w:r w:rsidRPr="009735C9">
        <w:rPr>
          <w:rStyle w:val="FootnoteReference"/>
          <w:rFonts w:cs="Arial"/>
          <w:sz w:val="18"/>
          <w:szCs w:val="18"/>
        </w:rPr>
        <w:footnoteRef/>
      </w:r>
      <w:r>
        <w:rPr>
          <w:sz w:val="18"/>
          <w:szCs w:val="18"/>
        </w:rPr>
        <w:t xml:space="preserve"> Een diepere vraag die aan deze regel ten grondslag ligt is: ‘Is er op basis van de bij het vaststellen van het verschil in de gevallen gehanteerde parameter in de eerste plaats eigenlijk wel sprake van ‘ongelijke gevallen’?’ De constatering dat er sprake is van ‘ongelijke gevallen’ kan namelijk het gevolg zijn van een geconstateerd objectief verschil in de gehanteerde parameter (die overigens relevant dient te zijn en dat is weer een hele vraag op zich), maar ook van een aantal andere factoren, zoals bijvoorbeeld het feit dat de gehanteerde parameter op een gebrekkige manier is vastgesteld. Als de parameter bij voorbaat al slecht wordt vastgesteld, is het te betwijfelen of de uitkomst van de vergelijking op de werkelijkheid is gebaseerd. Gevallen die op grond van een parameter gelijk zijn, kunnen in de werkelijkheid toch verschillend zijn. Met andere woorden, een geconstateerd verschil kan mogelijk gedeeltelijk verklaard worden door de wijze waarop de parameter wordt vastgesteld en wordt niet noodzakelijkwijs veroorzaakt door de samenstelling van eigenschappen als zodanig.</w:t>
      </w:r>
    </w:p>
  </w:footnote>
  <w:footnote w:id="121">
    <w:p w:rsidR="00A64945" w:rsidRDefault="00A64945" w:rsidP="00B6772C">
      <w:pPr>
        <w:pStyle w:val="FootnoteText"/>
        <w:jc w:val="both"/>
      </w:pPr>
      <w:r w:rsidRPr="00C91423">
        <w:rPr>
          <w:rStyle w:val="FootnoteReference"/>
          <w:rFonts w:cs="Arial"/>
          <w:sz w:val="18"/>
          <w:szCs w:val="18"/>
        </w:rPr>
        <w:footnoteRef/>
      </w:r>
      <w:r w:rsidRPr="00C91423">
        <w:rPr>
          <w:sz w:val="18"/>
          <w:szCs w:val="18"/>
        </w:rPr>
        <w:t xml:space="preserve"> Schumacker ( C - 79/93).</w:t>
      </w:r>
    </w:p>
  </w:footnote>
  <w:footnote w:id="122">
    <w:p w:rsidR="00A64945" w:rsidRDefault="00A64945" w:rsidP="00B6772C">
      <w:pPr>
        <w:pStyle w:val="FootnoteText"/>
        <w:jc w:val="both"/>
      </w:pPr>
      <w:r w:rsidRPr="00C91423">
        <w:rPr>
          <w:rStyle w:val="FootnoteReference"/>
          <w:rFonts w:cs="Arial"/>
          <w:sz w:val="18"/>
          <w:szCs w:val="18"/>
        </w:rPr>
        <w:footnoteRef/>
      </w:r>
      <w:r w:rsidRPr="00C91423">
        <w:rPr>
          <w:sz w:val="18"/>
          <w:szCs w:val="18"/>
        </w:rPr>
        <w:t xml:space="preserve"> </w:t>
      </w:r>
      <w:r>
        <w:rPr>
          <w:sz w:val="18"/>
          <w:szCs w:val="18"/>
        </w:rPr>
        <w:t>H</w:t>
      </w:r>
      <w:r w:rsidRPr="00C91423">
        <w:rPr>
          <w:sz w:val="18"/>
          <w:szCs w:val="18"/>
        </w:rPr>
        <w:t xml:space="preserve">et grootste deel van zijn inkomen en nagenoeg </w:t>
      </w:r>
      <w:r>
        <w:rPr>
          <w:sz w:val="18"/>
          <w:szCs w:val="18"/>
        </w:rPr>
        <w:t xml:space="preserve">het </w:t>
      </w:r>
      <w:r w:rsidRPr="00C91423">
        <w:rPr>
          <w:sz w:val="18"/>
          <w:szCs w:val="18"/>
        </w:rPr>
        <w:t>gehele gezinsinkomen.</w:t>
      </w:r>
    </w:p>
  </w:footnote>
  <w:footnote w:id="123">
    <w:p w:rsidR="00A64945" w:rsidRDefault="00A64945" w:rsidP="00B6772C">
      <w:pPr>
        <w:pStyle w:val="FootnoteText"/>
        <w:jc w:val="both"/>
      </w:pPr>
      <w:r w:rsidRPr="00764F52">
        <w:rPr>
          <w:rStyle w:val="FootnoteReference"/>
          <w:rFonts w:cs="Arial"/>
          <w:sz w:val="18"/>
          <w:szCs w:val="18"/>
        </w:rPr>
        <w:footnoteRef/>
      </w:r>
      <w:r w:rsidRPr="00764F52">
        <w:rPr>
          <w:sz w:val="18"/>
          <w:szCs w:val="18"/>
        </w:rPr>
        <w:t xml:space="preserve"> Inkomenstechnisch qua herkomst van het inkomen en niet qua omvang</w:t>
      </w:r>
      <w:r>
        <w:rPr>
          <w:sz w:val="18"/>
          <w:szCs w:val="18"/>
        </w:rPr>
        <w:t xml:space="preserve"> van het inkomen</w:t>
      </w:r>
      <w:r w:rsidRPr="00764F52">
        <w:rPr>
          <w:sz w:val="18"/>
          <w:szCs w:val="18"/>
        </w:rPr>
        <w:t>.</w:t>
      </w:r>
    </w:p>
  </w:footnote>
  <w:footnote w:id="124">
    <w:p w:rsidR="00A64945" w:rsidRDefault="00A64945" w:rsidP="00F704CE">
      <w:pPr>
        <w:pStyle w:val="FootnoteText"/>
        <w:jc w:val="both"/>
      </w:pPr>
      <w:r w:rsidRPr="00C91423">
        <w:rPr>
          <w:rStyle w:val="FootnoteReference"/>
          <w:rFonts w:cs="Arial"/>
          <w:sz w:val="18"/>
          <w:szCs w:val="18"/>
        </w:rPr>
        <w:footnoteRef/>
      </w:r>
      <w:r w:rsidRPr="00C91423">
        <w:rPr>
          <w:sz w:val="18"/>
          <w:szCs w:val="18"/>
        </w:rPr>
        <w:t xml:space="preserve"> Zie voor natuurlijke personen de zaak Schumacker ( C- 279/93), voor rechtspersonen: Royal Bank of Scotland (Zaak C- 311/97) </w:t>
      </w:r>
      <w:r>
        <w:rPr>
          <w:sz w:val="18"/>
          <w:szCs w:val="18"/>
        </w:rPr>
        <w:t xml:space="preserve">Het HvJ EU oordeelt in dat arrest dat het weliswaar gerechtvaardigd is onderscheid te maken tussen binnen- en buitenlandse belastingplichtigen, maar dat het niet is toegestaan een  fiscaal voordeel te onthouden aan niet- ingezetenen in het geval dat er geen objectief verschil bestaat dat de ongelijke behandeling kan rechtvaardigen: </w:t>
      </w:r>
      <w:r w:rsidRPr="00C91423">
        <w:rPr>
          <w:sz w:val="18"/>
          <w:szCs w:val="18"/>
        </w:rPr>
        <w:t>r.o. 27.</w:t>
      </w:r>
    </w:p>
  </w:footnote>
  <w:footnote w:id="125">
    <w:p w:rsidR="00A64945" w:rsidRDefault="00A64945" w:rsidP="00B6772C">
      <w:pPr>
        <w:pStyle w:val="FootnoteText"/>
        <w:jc w:val="both"/>
      </w:pPr>
      <w:r w:rsidRPr="00232D91">
        <w:rPr>
          <w:rStyle w:val="FootnoteReference"/>
          <w:rFonts w:cs="Arial"/>
          <w:sz w:val="18"/>
          <w:szCs w:val="18"/>
        </w:rPr>
        <w:footnoteRef/>
      </w:r>
      <w:r w:rsidRPr="00232D91">
        <w:rPr>
          <w:sz w:val="18"/>
          <w:szCs w:val="18"/>
        </w:rPr>
        <w:t xml:space="preserve"> Schumacker werd in Duitsland als niet- ingezetene belast. Daardoor kon hij geen gebruik maken van het voorkeurstarief voor echtparen en mocht hij bepaalde aftrekposten niet in aftrek brengen.</w:t>
      </w:r>
      <w:r>
        <w:rPr>
          <w:sz w:val="18"/>
          <w:szCs w:val="18"/>
        </w:rPr>
        <w:t xml:space="preserve"> In België werden zijn aftrekposten echter ook niet in aftrek genomen, omdat hij daar geen effectief belaste inkomsten genoot.</w:t>
      </w:r>
    </w:p>
  </w:footnote>
  <w:footnote w:id="126">
    <w:p w:rsidR="00A64945" w:rsidRDefault="00A64945" w:rsidP="00B6772C">
      <w:pPr>
        <w:pStyle w:val="FootnoteText"/>
        <w:jc w:val="both"/>
      </w:pPr>
      <w:r w:rsidRPr="00274A88">
        <w:rPr>
          <w:rStyle w:val="FootnoteReference"/>
          <w:rFonts w:cs="Arial"/>
          <w:sz w:val="18"/>
          <w:szCs w:val="18"/>
        </w:rPr>
        <w:footnoteRef/>
      </w:r>
      <w:r w:rsidRPr="00274A88">
        <w:rPr>
          <w:sz w:val="18"/>
          <w:szCs w:val="18"/>
        </w:rPr>
        <w:t xml:space="preserve"> HvJ E</w:t>
      </w:r>
      <w:r>
        <w:rPr>
          <w:sz w:val="18"/>
          <w:szCs w:val="18"/>
        </w:rPr>
        <w:t xml:space="preserve">U </w:t>
      </w:r>
      <w:r w:rsidRPr="00274A88">
        <w:rPr>
          <w:sz w:val="18"/>
          <w:szCs w:val="18"/>
        </w:rPr>
        <w:t>6 juni 2000, zaak C-35/98, BNB 2000/326.</w:t>
      </w:r>
    </w:p>
  </w:footnote>
  <w:footnote w:id="127">
    <w:p w:rsidR="00A64945" w:rsidRDefault="00A64945" w:rsidP="00A63D76">
      <w:pPr>
        <w:pStyle w:val="FootnoteText"/>
        <w:jc w:val="both"/>
      </w:pPr>
      <w:r w:rsidRPr="00274A88">
        <w:rPr>
          <w:rStyle w:val="FootnoteReference"/>
          <w:rFonts w:cs="Arial"/>
          <w:sz w:val="18"/>
          <w:szCs w:val="18"/>
        </w:rPr>
        <w:footnoteRef/>
      </w:r>
      <w:r w:rsidRPr="00274A88">
        <w:rPr>
          <w:sz w:val="18"/>
          <w:szCs w:val="18"/>
        </w:rPr>
        <w:t xml:space="preserve"> Het toenmalige art. 58, lid 1, letter a, EG- Verdrag.</w:t>
      </w:r>
    </w:p>
  </w:footnote>
  <w:footnote w:id="128">
    <w:p w:rsidR="00A64945" w:rsidRDefault="00A64945" w:rsidP="00B6772C">
      <w:pPr>
        <w:pStyle w:val="FootnoteText"/>
        <w:jc w:val="both"/>
      </w:pPr>
      <w:r w:rsidRPr="00274A88">
        <w:rPr>
          <w:rStyle w:val="FootnoteReference"/>
          <w:rFonts w:cs="Arial"/>
          <w:sz w:val="18"/>
          <w:szCs w:val="18"/>
        </w:rPr>
        <w:footnoteRef/>
      </w:r>
      <w:r w:rsidRPr="00274A88">
        <w:rPr>
          <w:sz w:val="18"/>
          <w:szCs w:val="18"/>
        </w:rPr>
        <w:t xml:space="preserve"> R.P.C.W.M. Brandsma e.a., </w:t>
      </w:r>
      <w:r w:rsidRPr="00274A88">
        <w:rPr>
          <w:i/>
          <w:sz w:val="18"/>
          <w:szCs w:val="18"/>
        </w:rPr>
        <w:t>Cursus Belastingrecht -Europees Belastingrecht-</w:t>
      </w:r>
      <w:r w:rsidRPr="00274A88">
        <w:rPr>
          <w:sz w:val="18"/>
          <w:szCs w:val="18"/>
        </w:rPr>
        <w:t xml:space="preserve"> studenteneditie 2007-2008, Kluwer, Deventer, 2008, pg. 81, §5.0.9.E, onderdeel c.: Betekenis van art. 58 EG- Verdrag. </w:t>
      </w:r>
    </w:p>
  </w:footnote>
  <w:footnote w:id="129">
    <w:p w:rsidR="00A64945" w:rsidRDefault="00A64945" w:rsidP="00B6772C">
      <w:pPr>
        <w:pStyle w:val="FootnoteText"/>
        <w:jc w:val="both"/>
      </w:pPr>
      <w:r w:rsidRPr="009E352B">
        <w:rPr>
          <w:rStyle w:val="FootnoteReference"/>
          <w:rFonts w:cs="Arial"/>
          <w:sz w:val="18"/>
          <w:szCs w:val="18"/>
        </w:rPr>
        <w:footnoteRef/>
      </w:r>
      <w:r w:rsidRPr="009E352B">
        <w:rPr>
          <w:sz w:val="18"/>
          <w:szCs w:val="18"/>
        </w:rPr>
        <w:t xml:space="preserve"> Middels het verdrag van Nice werden hervormingen gemaakt die noodzakelijk waren in verband met de uitbreiding van de EU van 15 landen naar 25 landen in mei 2004. Het  Verdrag van Nice is op 1 februari 2003 in werking getreden. Bij dit verdrag  is tevens bepaald dat de unanimiteitseis voor fiscale maatregelen stand houdt.</w:t>
      </w:r>
      <w:r>
        <w:rPr>
          <w:sz w:val="18"/>
          <w:szCs w:val="18"/>
        </w:rPr>
        <w:t xml:space="preserve"> De unanimiteitseis houdt in dat alle aanwezige stemgerechtigden het eens moeten zijn. Er dienst sprake te zijn van eenstemmigheid. </w:t>
      </w:r>
      <w:r w:rsidRPr="009E352B">
        <w:rPr>
          <w:sz w:val="18"/>
          <w:szCs w:val="18"/>
        </w:rPr>
        <w:t xml:space="preserve"> </w:t>
      </w:r>
      <w:r>
        <w:rPr>
          <w:sz w:val="18"/>
          <w:szCs w:val="18"/>
        </w:rPr>
        <w:t>Een unanimiteitsvereiste is niet echt bevorderend voor de besluitvorming.  Een maatregel wordt pas aanvaard als alle lidstaten hiermee akkoord gaan.</w:t>
      </w:r>
      <w:r w:rsidRPr="009E352B">
        <w:rPr>
          <w:sz w:val="18"/>
          <w:szCs w:val="18"/>
        </w:rPr>
        <w:t xml:space="preserve"> </w:t>
      </w:r>
      <w:r>
        <w:rPr>
          <w:sz w:val="18"/>
          <w:szCs w:val="18"/>
        </w:rPr>
        <w:t xml:space="preserve">Doordat ondanks de uitbreiding van de EU gekozen is voor handhaven van de unanimiteitseis, </w:t>
      </w:r>
      <w:r w:rsidRPr="009E352B">
        <w:rPr>
          <w:sz w:val="18"/>
          <w:szCs w:val="18"/>
        </w:rPr>
        <w:t>is mijns inziens bevestigd dat lidstaten blijkbaar niet staan te popelen om hun soevereiniteit op fiscaal gebied uit handen te geven</w:t>
      </w:r>
      <w:r>
        <w:rPr>
          <w:sz w:val="18"/>
          <w:szCs w:val="18"/>
        </w:rPr>
        <w:t xml:space="preserve">. De lidstaten blijven dan ook </w:t>
      </w:r>
      <w:r w:rsidRPr="009E352B">
        <w:rPr>
          <w:sz w:val="18"/>
          <w:szCs w:val="18"/>
        </w:rPr>
        <w:t>stevig vast kl</w:t>
      </w:r>
      <w:r>
        <w:rPr>
          <w:sz w:val="18"/>
          <w:szCs w:val="18"/>
        </w:rPr>
        <w:t xml:space="preserve">ampen aan de unanimiteitseis. </w:t>
      </w:r>
      <w:r w:rsidRPr="009E352B">
        <w:rPr>
          <w:sz w:val="18"/>
          <w:szCs w:val="18"/>
        </w:rPr>
        <w:t>Een verklaring kan gevonden worden in het feit dat veel landen hun fiscale systeem gebruiken om te sturen</w:t>
      </w:r>
      <w:r>
        <w:rPr>
          <w:sz w:val="18"/>
          <w:szCs w:val="18"/>
        </w:rPr>
        <w:t xml:space="preserve"> (de instrumentele functie)</w:t>
      </w:r>
      <w:r w:rsidRPr="009E352B">
        <w:rPr>
          <w:sz w:val="18"/>
          <w:szCs w:val="18"/>
        </w:rPr>
        <w:t>.</w:t>
      </w:r>
      <w:r>
        <w:rPr>
          <w:sz w:val="18"/>
          <w:szCs w:val="18"/>
        </w:rPr>
        <w:t xml:space="preserve"> Bijvoorbeeld de bezuinigingsmaatregelen die het kabinet Rutte- Verhage ten aanzien van het hoger onderwijs voor ogen heeft.</w:t>
      </w:r>
      <w:r w:rsidRPr="009E352B">
        <w:rPr>
          <w:sz w:val="18"/>
          <w:szCs w:val="18"/>
        </w:rPr>
        <w:t xml:space="preserve"> Bovendien worden via het nationale belastingsysteem overheidsuitgaven bekostigd</w:t>
      </w:r>
      <w:r>
        <w:rPr>
          <w:sz w:val="18"/>
          <w:szCs w:val="18"/>
        </w:rPr>
        <w:t xml:space="preserve"> (de budgettaire functie van belastingen)</w:t>
      </w:r>
      <w:r w:rsidRPr="009E352B">
        <w:rPr>
          <w:sz w:val="18"/>
          <w:szCs w:val="18"/>
        </w:rPr>
        <w:t xml:space="preserve">. Loslaten van de unanimiteit zou kunnen leiden tot begrotingstekorten. Overheden kunnen dan niet langer hun eigen belastingsysteem naar wens inrichten.  </w:t>
      </w:r>
      <w:r>
        <w:rPr>
          <w:sz w:val="18"/>
          <w:szCs w:val="18"/>
        </w:rPr>
        <w:t xml:space="preserve">Op 1 december 2009 is het Verdrag van Lissabon in werking getreden. Het verdrag is er op gericht om de EU beter bestuurbaar en democratischer te maken.  Met betrekking tot het besluitvormingsproces is met dit verdrag op een aantal gebieden is de stemming bij unanimiteit vervangen door het stemmen met gekwalificeerde </w:t>
      </w:r>
      <w:r w:rsidRPr="004305B8">
        <w:rPr>
          <w:sz w:val="18"/>
          <w:szCs w:val="18"/>
        </w:rPr>
        <w:t>meerderheid. Dit is op het terrein van immigratie- en asielbeleid, criminaliteitsbestrijding, en delen van de justitiële samenwerking. Wat betreft fiscale maatregelen blijft de unanimiteitseis echter ook onder het Verdrag van Lissabon standhouden</w:t>
      </w:r>
      <w:r>
        <w:rPr>
          <w:sz w:val="18"/>
          <w:szCs w:val="18"/>
        </w:rPr>
        <w:t xml:space="preserve"> (Bron: www.europa-nu.nl).</w:t>
      </w:r>
    </w:p>
  </w:footnote>
  <w:footnote w:id="130">
    <w:p w:rsidR="00A64945" w:rsidRDefault="00A64945" w:rsidP="00B6772C">
      <w:pPr>
        <w:pStyle w:val="FootnoteText"/>
        <w:jc w:val="both"/>
      </w:pPr>
      <w:r w:rsidRPr="004305B8">
        <w:rPr>
          <w:rStyle w:val="FootnoteReference"/>
          <w:rFonts w:cs="Arial"/>
          <w:sz w:val="18"/>
          <w:szCs w:val="18"/>
        </w:rPr>
        <w:footnoteRef/>
      </w:r>
      <w:r w:rsidRPr="004305B8">
        <w:rPr>
          <w:sz w:val="18"/>
          <w:szCs w:val="18"/>
        </w:rPr>
        <w:t xml:space="preserve"> R.P.C.W.M. Brandsma e.a., </w:t>
      </w:r>
      <w:r w:rsidRPr="004305B8">
        <w:rPr>
          <w:i/>
          <w:sz w:val="18"/>
          <w:szCs w:val="18"/>
        </w:rPr>
        <w:t>Cursus Belastingrecht -Europees Belastingrecht-</w:t>
      </w:r>
      <w:r w:rsidRPr="004305B8">
        <w:rPr>
          <w:sz w:val="18"/>
          <w:szCs w:val="18"/>
        </w:rPr>
        <w:t xml:space="preserve"> studenteneditie 2007-2008, Kluwer, Deventer, 2008, pg. 20, §2.0.2.: Karakteristiek van de verordening, de richtlijn en de beschikking.</w:t>
      </w:r>
    </w:p>
  </w:footnote>
  <w:footnote w:id="131">
    <w:p w:rsidR="00A64945" w:rsidRDefault="00A64945" w:rsidP="00B6772C">
      <w:pPr>
        <w:pStyle w:val="FootnoteText"/>
        <w:jc w:val="both"/>
      </w:pPr>
      <w:r w:rsidRPr="00646F98">
        <w:rPr>
          <w:rStyle w:val="FootnoteReference"/>
          <w:rFonts w:cs="Arial"/>
          <w:sz w:val="18"/>
          <w:szCs w:val="18"/>
        </w:rPr>
        <w:footnoteRef/>
      </w:r>
      <w:r w:rsidRPr="00646F98">
        <w:rPr>
          <w:sz w:val="18"/>
          <w:szCs w:val="18"/>
        </w:rPr>
        <w:t xml:space="preserve"> Overig</w:t>
      </w:r>
      <w:r>
        <w:rPr>
          <w:sz w:val="18"/>
          <w:szCs w:val="18"/>
        </w:rPr>
        <w:t xml:space="preserve">e secundaire bronnen van het EU- </w:t>
      </w:r>
      <w:r w:rsidRPr="00646F98">
        <w:rPr>
          <w:sz w:val="18"/>
          <w:szCs w:val="18"/>
        </w:rPr>
        <w:t>recht zijn de verordeningen, beschikkingen, aanbevelingen en mededelingen en gedragscodes.</w:t>
      </w:r>
    </w:p>
  </w:footnote>
  <w:footnote w:id="132">
    <w:p w:rsidR="00A64945" w:rsidRDefault="00A64945" w:rsidP="00B6772C">
      <w:pPr>
        <w:pStyle w:val="FootnoteText"/>
        <w:jc w:val="both"/>
      </w:pPr>
      <w:r w:rsidRPr="00646F98">
        <w:rPr>
          <w:rStyle w:val="FootnoteReference"/>
          <w:rFonts w:cs="Arial"/>
          <w:sz w:val="18"/>
          <w:szCs w:val="18"/>
        </w:rPr>
        <w:footnoteRef/>
      </w:r>
      <w:r w:rsidRPr="00646F98">
        <w:rPr>
          <w:sz w:val="18"/>
          <w:szCs w:val="18"/>
        </w:rPr>
        <w:t xml:space="preserve"> Secundair duidt op het feit dat deze richtlijnen Europees recht bevatten dat zijn grondslag vindt in het primaire gemeenschapsrecht. Het primaire gemeenschapsrecht wordt gevormd door het Verdrag betreffende de Europese Unie en het Verdrag  betreffende de werki</w:t>
      </w:r>
      <w:r>
        <w:rPr>
          <w:sz w:val="18"/>
          <w:szCs w:val="18"/>
        </w:rPr>
        <w:t>ng van de Europese Unie.</w:t>
      </w:r>
    </w:p>
  </w:footnote>
  <w:footnote w:id="133">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De vrijheid die iedere lidstaat heeft  om op een eigen manier in de nationale wetgeving vorm te geven aan een richtlijn, herbergt ook enige risico. Het heeft als risico dat er interpretatieverschillen kunnen ontstaan door eventuele  discrepantie tussen de brontekst en de nationale wetgeving. Het  niet letterlijk overnemen van de brontekst door een lidstaat kan ruimte geven voor misvattingen. Iedere lidstaat heeft formeel de vrijheid om een eigen vorm te geven aan een uitgevaardigde richtlijn,  maar het is nog maar de vraag of het materieel ook verstandig is voor een lidstaat om daadwerkelijk deze vrijheid toe te eigenen.</w:t>
      </w:r>
    </w:p>
  </w:footnote>
  <w:footnote w:id="134">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Richtlijn van de Raad van 23 juli 1990 betreffende de gemeenschappelijke fiscale regeling voor moedermaatschappijen en dochtermaatschappijen uit verschillende lidstaten, 90/435/EEG PB EG 20 augustus 1990 nr. L.225, blz. 6. De tekst is sindsdien gewijzigd door de Richtlijn 2003/123/EG van 22 december 2003 en Richtlijn 2006/98/EG van 20 november 2006.</w:t>
      </w:r>
    </w:p>
  </w:footnote>
  <w:footnote w:id="135">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In de preambule van de MDR staat omschreven wat het doel van de MDR is. Uit punt 1 van de preambule blijkt dat hergroeperingen van vennootschappen uit verschillende lidstaten noodzakelijk kunnen zijn om een gemeenschappelijke markt te creëren en dat het daartoe noodzakelijk wordt geacht dat nationale belemmeringen weggenomen worden. Punt 2 vervolgt dat hergroeperingen (kunnen) leiden tot groepen van moeder- en dochtermaatschappen, waarna in punt 3 wordt</w:t>
      </w:r>
      <w:r w:rsidRPr="00620FE7">
        <w:rPr>
          <w:sz w:val="18"/>
          <w:szCs w:val="18"/>
        </w:rPr>
        <w:t xml:space="preserve"> geconcludeerd dat de bestaande benadeling van grensoverschrijdende EU- groepen moet worden opgeheven door invoering van een gemeenschappelijke regeling die het hergroeperen van vennootschappen op communautair niveau vergemakkelijkt. Dit is het doel van de MDR. De benadeling bij intracommunautaire winstuitkeringen wordt weggenomen doordat de lidstaat van de moeder- respectievelijk de dochtervennootschap zich moet onthouden van het belasten van de winstuitkering van de dochtervennootschap (punt 4 en 5 preambule MDR).</w:t>
      </w:r>
      <w:r>
        <w:rPr>
          <w:sz w:val="18"/>
          <w:szCs w:val="18"/>
        </w:rPr>
        <w:t xml:space="preserve">   </w:t>
      </w:r>
    </w:p>
  </w:footnote>
  <w:footnote w:id="136">
    <w:p w:rsidR="00A64945" w:rsidRDefault="00A64945" w:rsidP="00B6772C">
      <w:pPr>
        <w:pStyle w:val="FootnoteText"/>
        <w:jc w:val="both"/>
      </w:pPr>
      <w:r w:rsidRPr="00600E97">
        <w:rPr>
          <w:rStyle w:val="FootnoteReference"/>
          <w:rFonts w:cs="Arial"/>
          <w:sz w:val="18"/>
          <w:szCs w:val="18"/>
        </w:rPr>
        <w:footnoteRef/>
      </w:r>
      <w:r w:rsidRPr="00600E97">
        <w:rPr>
          <w:sz w:val="18"/>
          <w:szCs w:val="18"/>
        </w:rPr>
        <w:t xml:space="preserve"> Art. 1 MDR geeft de reikwijdte van de MDR. Uit de aanhef van dit artikel blijkt dat de MDR van toepassing is tussen lidstaten van de EU. Artikel 2 MDR definieert vervolgens wat onder ‘vennootschap van een lidstaat’ verstaan dient te worden.</w:t>
      </w:r>
      <w:r>
        <w:rPr>
          <w:sz w:val="18"/>
          <w:szCs w:val="18"/>
        </w:rPr>
        <w:t xml:space="preserve"> Teneinde aangemerkt te worden als een ‘vennootschap van een lidstaat’ dient de vennootschap ingevolge art. 2, lid 1, onderdeel b MDR volgens de fiscale wetgeving van een lidstaat aldaar haar fiscale woonplaats te hebben. Het is mogelijk dat een vennootschap door meer dan één staat als fiscaal inwoner wordt aangemerkt. Voorts is dan ook bepaald dat een vennootschap met een dubbele fiscale woonplaats, een zogenoemde ‘dual resident’ die op grond van een (belasting)verdrag met een derde staat buiten de EU gevestigd is </w:t>
      </w:r>
      <w:r w:rsidRPr="001B672A">
        <w:rPr>
          <w:b/>
          <w:sz w:val="18"/>
          <w:szCs w:val="18"/>
        </w:rPr>
        <w:t>niet beschouwd</w:t>
      </w:r>
      <w:r>
        <w:rPr>
          <w:sz w:val="18"/>
          <w:szCs w:val="18"/>
        </w:rPr>
        <w:t xml:space="preserve"> wordt als een vennootschap van een lidstaat Bron: </w:t>
      </w:r>
      <w:r w:rsidRPr="006C617A">
        <w:rPr>
          <w:sz w:val="18"/>
          <w:szCs w:val="18"/>
        </w:rPr>
        <w:t xml:space="preserve">R.P.C.W.M. Brandsma e.a., </w:t>
      </w:r>
      <w:r w:rsidRPr="006C617A">
        <w:rPr>
          <w:i/>
          <w:sz w:val="18"/>
          <w:szCs w:val="18"/>
        </w:rPr>
        <w:t>Cursus Belastingrecht -Europees Belastingrecht-</w:t>
      </w:r>
      <w:r w:rsidRPr="006C617A">
        <w:rPr>
          <w:sz w:val="18"/>
          <w:szCs w:val="18"/>
        </w:rPr>
        <w:t xml:space="preserve"> studenteneditie 2007-2008, Kluwer, Deventer, 2008, pg. </w:t>
      </w:r>
      <w:r>
        <w:rPr>
          <w:sz w:val="18"/>
          <w:szCs w:val="18"/>
        </w:rPr>
        <w:t>173</w:t>
      </w:r>
      <w:r w:rsidRPr="006C617A">
        <w:rPr>
          <w:sz w:val="18"/>
          <w:szCs w:val="18"/>
        </w:rPr>
        <w:t>, §</w:t>
      </w:r>
      <w:r>
        <w:rPr>
          <w:sz w:val="18"/>
          <w:szCs w:val="18"/>
        </w:rPr>
        <w:t>7.1.5.C</w:t>
      </w:r>
      <w:r w:rsidRPr="006C617A">
        <w:rPr>
          <w:sz w:val="18"/>
          <w:szCs w:val="18"/>
        </w:rPr>
        <w:t xml:space="preserve">: </w:t>
      </w:r>
      <w:r>
        <w:rPr>
          <w:sz w:val="18"/>
          <w:szCs w:val="18"/>
        </w:rPr>
        <w:t>Fiscale vestigingsplaats</w:t>
      </w:r>
      <w:r w:rsidRPr="006C617A">
        <w:rPr>
          <w:sz w:val="18"/>
          <w:szCs w:val="18"/>
        </w:rPr>
        <w:t>.</w:t>
      </w:r>
    </w:p>
  </w:footnote>
  <w:footnote w:id="137">
    <w:p w:rsidR="00A64945" w:rsidRDefault="00A64945" w:rsidP="00B6772C">
      <w:pPr>
        <w:pStyle w:val="FootnoteText"/>
        <w:jc w:val="both"/>
      </w:pPr>
      <w:r w:rsidRPr="009B1024">
        <w:rPr>
          <w:rStyle w:val="FootnoteReference"/>
          <w:rFonts w:cs="Arial"/>
          <w:sz w:val="18"/>
          <w:szCs w:val="18"/>
        </w:rPr>
        <w:footnoteRef/>
      </w:r>
      <w:r w:rsidRPr="00600E97">
        <w:rPr>
          <w:sz w:val="18"/>
          <w:szCs w:val="18"/>
        </w:rPr>
        <w:t xml:space="preserve"> Art 4, lid 1 MDR.</w:t>
      </w:r>
    </w:p>
  </w:footnote>
  <w:footnote w:id="138">
    <w:p w:rsidR="00A64945" w:rsidRDefault="00A64945" w:rsidP="00B6772C">
      <w:pPr>
        <w:pStyle w:val="FootnoteText"/>
        <w:jc w:val="both"/>
      </w:pPr>
      <w:r w:rsidRPr="009B1024">
        <w:rPr>
          <w:rStyle w:val="FootnoteReference"/>
          <w:rFonts w:cs="Arial"/>
          <w:sz w:val="18"/>
          <w:szCs w:val="18"/>
        </w:rPr>
        <w:footnoteRef/>
      </w:r>
      <w:r w:rsidRPr="009B1024">
        <w:rPr>
          <w:sz w:val="18"/>
          <w:szCs w:val="18"/>
        </w:rPr>
        <w:t xml:space="preserve"> Richtlijn van de Raad van 23 juli 1990 betreffende de gemeenschappelijke fiscale regeling voor fusies, splitsingen, inbreng van de activa en aandelenruil met betrekking tot vennootschappen uit verschillende lidstaten en voor de verplaatsing van de statutaire zetel van een SE of een SCE van een lidstaat naar een andere lidstaat</w:t>
      </w:r>
      <w:r>
        <w:rPr>
          <w:sz w:val="18"/>
          <w:szCs w:val="18"/>
        </w:rPr>
        <w:t>, nr. 90/434/EEG, PB EG 20 augustus 1990, nr. L. 225, blz.1</w:t>
      </w:r>
      <w:r w:rsidRPr="009B1024">
        <w:rPr>
          <w:sz w:val="18"/>
          <w:szCs w:val="18"/>
        </w:rPr>
        <w:t>. De tekst is gewijzigd bij de Richtlijn 2006/98/EG van 20 november 2006.</w:t>
      </w:r>
    </w:p>
  </w:footnote>
  <w:footnote w:id="139">
    <w:p w:rsidR="00A64945" w:rsidRDefault="00A64945" w:rsidP="00B6772C">
      <w:pPr>
        <w:pStyle w:val="FootnoteText"/>
        <w:jc w:val="both"/>
      </w:pPr>
      <w:r w:rsidRPr="00E040F3">
        <w:rPr>
          <w:rStyle w:val="FootnoteReference"/>
          <w:rFonts w:cs="Arial"/>
          <w:sz w:val="18"/>
          <w:szCs w:val="18"/>
        </w:rPr>
        <w:footnoteRef/>
      </w:r>
      <w:r w:rsidRPr="00E040F3">
        <w:rPr>
          <w:sz w:val="18"/>
          <w:szCs w:val="18"/>
        </w:rPr>
        <w:t xml:space="preserve"> Punt 2 Preambule bij</w:t>
      </w:r>
      <w:r>
        <w:rPr>
          <w:sz w:val="18"/>
          <w:szCs w:val="18"/>
        </w:rPr>
        <w:t xml:space="preserve"> de FR</w:t>
      </w:r>
      <w:r w:rsidRPr="00E040F3">
        <w:rPr>
          <w:sz w:val="18"/>
          <w:szCs w:val="18"/>
        </w:rPr>
        <w:t>.</w:t>
      </w:r>
    </w:p>
  </w:footnote>
  <w:footnote w:id="140">
    <w:p w:rsidR="00A64945" w:rsidRDefault="00A64945" w:rsidP="00B6772C">
      <w:pPr>
        <w:pStyle w:val="FootnoteText"/>
        <w:jc w:val="both"/>
      </w:pPr>
      <w:r w:rsidRPr="00D722C5">
        <w:rPr>
          <w:rStyle w:val="FootnoteReference"/>
          <w:rFonts w:cs="Arial"/>
          <w:sz w:val="18"/>
          <w:szCs w:val="18"/>
        </w:rPr>
        <w:footnoteRef/>
      </w:r>
      <w:r w:rsidRPr="00D722C5">
        <w:rPr>
          <w:sz w:val="18"/>
          <w:szCs w:val="18"/>
        </w:rPr>
        <w:t xml:space="preserve"> Punt 3 Preambule bij </w:t>
      </w:r>
      <w:r>
        <w:rPr>
          <w:sz w:val="18"/>
          <w:szCs w:val="18"/>
        </w:rPr>
        <w:t>de FR</w:t>
      </w:r>
      <w:r w:rsidRPr="00D722C5">
        <w:rPr>
          <w:sz w:val="18"/>
          <w:szCs w:val="18"/>
        </w:rPr>
        <w:t>.</w:t>
      </w:r>
    </w:p>
  </w:footnote>
  <w:footnote w:id="141">
    <w:p w:rsidR="00A64945" w:rsidRDefault="00A64945" w:rsidP="002F70FE">
      <w:pPr>
        <w:pStyle w:val="FootnoteText"/>
        <w:jc w:val="both"/>
      </w:pPr>
      <w:r w:rsidRPr="002F70FE">
        <w:rPr>
          <w:rStyle w:val="FootnoteReference"/>
          <w:sz w:val="18"/>
          <w:szCs w:val="18"/>
        </w:rPr>
        <w:footnoteRef/>
      </w:r>
      <w:r w:rsidRPr="002F70FE">
        <w:rPr>
          <w:sz w:val="18"/>
          <w:szCs w:val="18"/>
        </w:rPr>
        <w:t xml:space="preserve"> Deze vermogenswinst wordt bepaald door het verschil tussen de werkelijke waarde van de ingebrachte activa en passiva en hun fiscale waarde.</w:t>
      </w:r>
    </w:p>
  </w:footnote>
  <w:footnote w:id="142">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In dit kader is ook relevant het arrest Leur Bloem, C- 28/95. Dit arrest biedt inzicht in de toepassing van de FR en hoe volgens het HvJ EU art. 11 FR uitgelegd dient te worden.</w:t>
      </w:r>
    </w:p>
  </w:footnote>
  <w:footnote w:id="143">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Ik volsta met het maken van deze opmerking. In deze scriptie wordt verder niet getoetst of art. 13 LWB 1940 in overeenstemming is met de bedrijfsfusieregeling.</w:t>
      </w:r>
    </w:p>
  </w:footnote>
  <w:footnote w:id="144">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Art. 1, lid MDR.</w:t>
      </w:r>
    </w:p>
  </w:footnote>
  <w:footnote w:id="145">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Art. 5, lid 2 IRR. De IRR kent verschillende antimisbruikbepalingen. Art. 5 is hierbij het algemene antimisbruikartikel. Art. 5, lid 1 is gelijk aan art. 1 lid 2 van de MDR, art. 5 lid 2 IRR is vergelijkbaar met het eerste gedeelte van art. art. 11 lid 1 onderdeel a FR. Voor de rest bevatten de art. 1 en 4 IRR ook antimisbruikbepalingen.</w:t>
      </w:r>
    </w:p>
  </w:footnote>
  <w:footnote w:id="146">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Richtlijn van de Raad van 3 juni 2003 betreffende een gemeenschappelijke belastingregeling inzake uitkeringen van interest en royalty’s tussen verbonden ondernemingen van verschillende lidstaten, 2003/49/EG, PB EG 26 juni 2003, nr. L.157, blz. 49. De richtlijn is gewijzigd bij de Rectificatie op de Richtlijn 2004/76/EG. </w:t>
      </w:r>
    </w:p>
  </w:footnote>
  <w:footnote w:id="147">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Art. 1, lid 1 IRR.</w:t>
      </w:r>
    </w:p>
  </w:footnote>
  <w:footnote w:id="148">
    <w:p w:rsidR="00A64945" w:rsidRDefault="00A64945" w:rsidP="002F70FE">
      <w:pPr>
        <w:pStyle w:val="FootnoteText"/>
        <w:jc w:val="both"/>
      </w:pPr>
      <w:r w:rsidRPr="002F70FE">
        <w:rPr>
          <w:rStyle w:val="FootnoteReference"/>
          <w:rFonts w:cs="Arial"/>
          <w:sz w:val="18"/>
          <w:szCs w:val="18"/>
        </w:rPr>
        <w:footnoteRef/>
      </w:r>
      <w:r w:rsidRPr="002F70FE">
        <w:rPr>
          <w:sz w:val="18"/>
          <w:szCs w:val="18"/>
        </w:rPr>
        <w:t xml:space="preserve"> R.W. van der Linde en A.W.G. Lamers, </w:t>
      </w:r>
      <w:r w:rsidRPr="002F70FE">
        <w:rPr>
          <w:i/>
          <w:sz w:val="18"/>
          <w:szCs w:val="18"/>
        </w:rPr>
        <w:t>De interest en royaltyrichtlijn</w:t>
      </w:r>
      <w:r w:rsidRPr="002F70FE">
        <w:rPr>
          <w:sz w:val="18"/>
          <w:szCs w:val="18"/>
        </w:rPr>
        <w:t>, WFR 2004/6567.</w:t>
      </w:r>
    </w:p>
  </w:footnote>
  <w:footnote w:id="149">
    <w:p w:rsidR="00A64945" w:rsidRDefault="00A64945" w:rsidP="002F70FE">
      <w:pPr>
        <w:pStyle w:val="FootnoteText"/>
        <w:jc w:val="both"/>
      </w:pPr>
      <w:r w:rsidRPr="002F70FE">
        <w:rPr>
          <w:rStyle w:val="FootnoteReference"/>
          <w:rFonts w:cs="Arial"/>
          <w:sz w:val="18"/>
          <w:szCs w:val="18"/>
        </w:rPr>
        <w:footnoteRef/>
      </w:r>
      <w:r w:rsidRPr="002F70FE">
        <w:rPr>
          <w:sz w:val="18"/>
          <w:szCs w:val="18"/>
          <w:lang w:val="fr-FR"/>
        </w:rPr>
        <w:t xml:space="preserve"> Punt 3 en 4 Préambule IRR.</w:t>
      </w:r>
    </w:p>
  </w:footnote>
  <w:footnote w:id="150">
    <w:p w:rsidR="00A64945" w:rsidRDefault="00A64945" w:rsidP="00B6772C">
      <w:pPr>
        <w:pStyle w:val="FootnoteText"/>
        <w:jc w:val="both"/>
      </w:pPr>
      <w:r w:rsidRPr="00D722C5">
        <w:rPr>
          <w:rStyle w:val="FootnoteReference"/>
          <w:rFonts w:cs="Arial"/>
          <w:sz w:val="18"/>
          <w:szCs w:val="18"/>
        </w:rPr>
        <w:footnoteRef/>
      </w:r>
      <w:r w:rsidRPr="00D722C5">
        <w:rPr>
          <w:sz w:val="18"/>
          <w:szCs w:val="18"/>
          <w:lang w:val="fr-FR"/>
        </w:rPr>
        <w:t xml:space="preserve"> Punt 2 Préambule IRR.</w:t>
      </w:r>
    </w:p>
  </w:footnote>
  <w:footnote w:id="151">
    <w:p w:rsidR="00A64945" w:rsidRDefault="00A64945" w:rsidP="00B6772C">
      <w:pPr>
        <w:pStyle w:val="FootnoteText"/>
        <w:jc w:val="both"/>
      </w:pPr>
      <w:r w:rsidRPr="007C7CFD">
        <w:rPr>
          <w:rStyle w:val="FootnoteReference"/>
          <w:rFonts w:cs="Arial"/>
          <w:sz w:val="18"/>
          <w:szCs w:val="18"/>
        </w:rPr>
        <w:footnoteRef/>
      </w:r>
      <w:r w:rsidRPr="00407F86">
        <w:rPr>
          <w:sz w:val="18"/>
          <w:szCs w:val="18"/>
        </w:rPr>
        <w:t xml:space="preserve"> Idem.</w:t>
      </w:r>
    </w:p>
  </w:footnote>
  <w:footnote w:id="152">
    <w:p w:rsidR="00A64945" w:rsidRDefault="00A64945" w:rsidP="00B6772C">
      <w:pPr>
        <w:pStyle w:val="FootnoteText"/>
        <w:jc w:val="both"/>
      </w:pPr>
      <w:r w:rsidRPr="008B0B7E">
        <w:rPr>
          <w:rStyle w:val="FootnoteReference"/>
          <w:rFonts w:cs="Arial"/>
          <w:sz w:val="18"/>
          <w:szCs w:val="18"/>
        </w:rPr>
        <w:footnoteRef/>
      </w:r>
      <w:r w:rsidRPr="008B0B7E">
        <w:rPr>
          <w:sz w:val="18"/>
          <w:szCs w:val="18"/>
        </w:rPr>
        <w:t xml:space="preserve"> Richtlijn van de Raad van 3 juni 2003 betreffende belastingheffing op inkomsten uit spaargelden in de vorm van rentebetalingen</w:t>
      </w:r>
      <w:r>
        <w:rPr>
          <w:sz w:val="18"/>
          <w:szCs w:val="18"/>
        </w:rPr>
        <w:t xml:space="preserve">, nr. </w:t>
      </w:r>
      <w:r w:rsidRPr="008B0B7E">
        <w:rPr>
          <w:sz w:val="18"/>
          <w:szCs w:val="18"/>
        </w:rPr>
        <w:t>2003/48/EG</w:t>
      </w:r>
      <w:r>
        <w:rPr>
          <w:sz w:val="18"/>
          <w:szCs w:val="18"/>
        </w:rPr>
        <w:t>, PB EG 26 juni 2003, nr. L</w:t>
      </w:r>
      <w:r w:rsidRPr="008B0B7E">
        <w:rPr>
          <w:sz w:val="18"/>
          <w:szCs w:val="18"/>
        </w:rPr>
        <w:t>.</w:t>
      </w:r>
      <w:r>
        <w:rPr>
          <w:sz w:val="18"/>
          <w:szCs w:val="18"/>
        </w:rPr>
        <w:t>157. blz. 38.</w:t>
      </w:r>
      <w:r w:rsidRPr="008B0B7E">
        <w:rPr>
          <w:sz w:val="18"/>
          <w:szCs w:val="18"/>
        </w:rPr>
        <w:t xml:space="preserve"> De tekst is gewijzigd bij de richtlijnen 2004/587/EG van 19 juli 2004 en 2004/66/EG van 26 april 2004. De tekst is voorts gewijzigd door de Richtlijn 2006/98/EG van 20 november 2006.</w:t>
      </w:r>
    </w:p>
  </w:footnote>
  <w:footnote w:id="153">
    <w:p w:rsidR="00A64945" w:rsidRDefault="00A64945" w:rsidP="00B6772C">
      <w:pPr>
        <w:pStyle w:val="FootnoteText"/>
        <w:jc w:val="both"/>
      </w:pPr>
      <w:r w:rsidRPr="008B0B7E">
        <w:rPr>
          <w:rStyle w:val="FootnoteReference"/>
          <w:rFonts w:cs="Arial"/>
          <w:sz w:val="18"/>
          <w:szCs w:val="18"/>
        </w:rPr>
        <w:footnoteRef/>
      </w:r>
      <w:r w:rsidRPr="008B0B7E">
        <w:rPr>
          <w:sz w:val="18"/>
          <w:szCs w:val="18"/>
        </w:rPr>
        <w:t xml:space="preserve"> G.H. Sjobbema, </w:t>
      </w:r>
      <w:r w:rsidRPr="008B0B7E">
        <w:rPr>
          <w:i/>
          <w:sz w:val="18"/>
          <w:szCs w:val="18"/>
        </w:rPr>
        <w:t xml:space="preserve">Informatieverplichtingen van banken ten dienste van belastingheffing; de informatieverplichtingen van banken ten behoeve van de belastingheffing van derden in Nederland, Duitsland en België, </w:t>
      </w:r>
      <w:r w:rsidRPr="008B0B7E">
        <w:rPr>
          <w:sz w:val="18"/>
          <w:szCs w:val="18"/>
        </w:rPr>
        <w:t>Maklu, Antwerpen- Apeldoorn, 2007 pg. 45.</w:t>
      </w:r>
    </w:p>
  </w:footnote>
  <w:footnote w:id="154">
    <w:p w:rsidR="00A64945" w:rsidRDefault="00A64945" w:rsidP="00B6772C">
      <w:pPr>
        <w:pStyle w:val="FootnoteText"/>
        <w:jc w:val="both"/>
      </w:pPr>
      <w:r w:rsidRPr="00695C04">
        <w:rPr>
          <w:rStyle w:val="FootnoteReference"/>
          <w:rFonts w:cs="Arial"/>
          <w:sz w:val="18"/>
          <w:szCs w:val="18"/>
        </w:rPr>
        <w:footnoteRef/>
      </w:r>
      <w:r w:rsidRPr="00695C04">
        <w:rPr>
          <w:sz w:val="18"/>
          <w:szCs w:val="18"/>
        </w:rPr>
        <w:t xml:space="preserve"> Art. 10, lid 2 </w:t>
      </w:r>
      <w:r>
        <w:rPr>
          <w:sz w:val="18"/>
          <w:szCs w:val="18"/>
        </w:rPr>
        <w:t xml:space="preserve">SR </w:t>
      </w:r>
      <w:r w:rsidRPr="00695C04">
        <w:rPr>
          <w:sz w:val="18"/>
          <w:szCs w:val="18"/>
        </w:rPr>
        <w:t xml:space="preserve">geeft </w:t>
      </w:r>
      <w:r>
        <w:rPr>
          <w:sz w:val="18"/>
          <w:szCs w:val="18"/>
        </w:rPr>
        <w:t xml:space="preserve">de voorwaarden </w:t>
      </w:r>
      <w:r w:rsidRPr="00695C04">
        <w:rPr>
          <w:sz w:val="18"/>
          <w:szCs w:val="18"/>
        </w:rPr>
        <w:t xml:space="preserve">aan </w:t>
      </w:r>
      <w:r>
        <w:rPr>
          <w:sz w:val="18"/>
          <w:szCs w:val="18"/>
        </w:rPr>
        <w:t>waarvan sprake moet zijn, wil de overgangsperiode eindigen</w:t>
      </w:r>
      <w:r w:rsidRPr="00695C04">
        <w:rPr>
          <w:sz w:val="18"/>
          <w:szCs w:val="18"/>
        </w:rPr>
        <w:t>.</w:t>
      </w:r>
      <w:r>
        <w:rPr>
          <w:sz w:val="18"/>
          <w:szCs w:val="18"/>
        </w:rPr>
        <w:t xml:space="preserve"> Zie ook de hiernavolgende noot.</w:t>
      </w:r>
    </w:p>
  </w:footnote>
  <w:footnote w:id="155">
    <w:p w:rsidR="00A64945" w:rsidRDefault="00A64945" w:rsidP="00B6772C">
      <w:pPr>
        <w:pStyle w:val="FootnoteText"/>
        <w:jc w:val="both"/>
      </w:pPr>
      <w:r w:rsidRPr="0035037E">
        <w:rPr>
          <w:rStyle w:val="FootnoteReference"/>
          <w:rFonts w:cs="Arial"/>
          <w:sz w:val="18"/>
          <w:szCs w:val="18"/>
        </w:rPr>
        <w:footnoteRef/>
      </w:r>
      <w:r w:rsidRPr="0035037E">
        <w:rPr>
          <w:sz w:val="18"/>
          <w:szCs w:val="18"/>
        </w:rPr>
        <w:t xml:space="preserve"> In de </w:t>
      </w:r>
      <w:r>
        <w:rPr>
          <w:sz w:val="18"/>
          <w:szCs w:val="18"/>
        </w:rPr>
        <w:t>SR</w:t>
      </w:r>
      <w:r w:rsidRPr="0035037E">
        <w:rPr>
          <w:sz w:val="18"/>
          <w:szCs w:val="18"/>
        </w:rPr>
        <w:t xml:space="preserve"> is bepaald dat vanaf 1 juli 2005 het tarief</w:t>
      </w:r>
      <w:r>
        <w:rPr>
          <w:sz w:val="18"/>
          <w:szCs w:val="18"/>
        </w:rPr>
        <w:t xml:space="preserve"> van de bronbelasting</w:t>
      </w:r>
      <w:r w:rsidRPr="0035037E">
        <w:rPr>
          <w:sz w:val="18"/>
          <w:szCs w:val="18"/>
        </w:rPr>
        <w:t xml:space="preserve"> 15% bedraagt</w:t>
      </w:r>
      <w:r>
        <w:rPr>
          <w:sz w:val="18"/>
          <w:szCs w:val="18"/>
        </w:rPr>
        <w:t xml:space="preserve"> (gedurende de eerste drie jaar van de overgangsperiode)</w:t>
      </w:r>
      <w:r w:rsidRPr="0035037E">
        <w:rPr>
          <w:sz w:val="18"/>
          <w:szCs w:val="18"/>
        </w:rPr>
        <w:t xml:space="preserve">  en dat dit tarief geleidelijk op zal lopen naar 20% per 1 januari 2008</w:t>
      </w:r>
      <w:r>
        <w:rPr>
          <w:sz w:val="18"/>
          <w:szCs w:val="18"/>
        </w:rPr>
        <w:t xml:space="preserve"> (gedurende de volgende drie jaar) </w:t>
      </w:r>
      <w:r w:rsidRPr="0035037E">
        <w:rPr>
          <w:sz w:val="18"/>
          <w:szCs w:val="18"/>
        </w:rPr>
        <w:t>en uiteindelijk vanaf 1 januari 2011</w:t>
      </w:r>
      <w:r>
        <w:rPr>
          <w:sz w:val="18"/>
          <w:szCs w:val="18"/>
        </w:rPr>
        <w:t xml:space="preserve"> </w:t>
      </w:r>
      <w:r w:rsidRPr="0035037E">
        <w:rPr>
          <w:sz w:val="18"/>
          <w:szCs w:val="18"/>
        </w:rPr>
        <w:t>35%</w:t>
      </w:r>
      <w:r>
        <w:rPr>
          <w:sz w:val="18"/>
          <w:szCs w:val="18"/>
        </w:rPr>
        <w:t xml:space="preserve"> zal bedragen</w:t>
      </w:r>
      <w:r w:rsidRPr="0035037E">
        <w:rPr>
          <w:sz w:val="18"/>
          <w:szCs w:val="18"/>
        </w:rPr>
        <w:t xml:space="preserve">, mits de overgangsperiode voor die tijd niet is geëindigd, hetgeen </w:t>
      </w:r>
      <w:r>
        <w:rPr>
          <w:sz w:val="18"/>
          <w:szCs w:val="18"/>
        </w:rPr>
        <w:t xml:space="preserve">in ieder geval </w:t>
      </w:r>
      <w:r w:rsidRPr="0035037E">
        <w:rPr>
          <w:sz w:val="18"/>
          <w:szCs w:val="18"/>
        </w:rPr>
        <w:t xml:space="preserve">het geval kan zijn indien deze lidstaten er voor kiezen om voor laatstgenoemde datum tot gegevensuitwisseling over te gaan (Art. 11 </w:t>
      </w:r>
      <w:r>
        <w:rPr>
          <w:sz w:val="18"/>
          <w:szCs w:val="18"/>
        </w:rPr>
        <w:t>SR</w:t>
      </w:r>
      <w:r w:rsidRPr="0035037E">
        <w:rPr>
          <w:sz w:val="18"/>
          <w:szCs w:val="18"/>
        </w:rPr>
        <w:t>).</w:t>
      </w:r>
    </w:p>
  </w:footnote>
  <w:footnote w:id="156">
    <w:p w:rsidR="00A64945" w:rsidRDefault="00A64945" w:rsidP="00B6772C">
      <w:pPr>
        <w:pStyle w:val="FootnoteText"/>
        <w:jc w:val="both"/>
      </w:pPr>
      <w:r w:rsidRPr="00914629">
        <w:rPr>
          <w:rStyle w:val="FootnoteReference"/>
          <w:rFonts w:cs="Arial"/>
          <w:sz w:val="18"/>
          <w:szCs w:val="18"/>
        </w:rPr>
        <w:footnoteRef/>
      </w:r>
      <w:r w:rsidRPr="00914629">
        <w:rPr>
          <w:sz w:val="18"/>
          <w:szCs w:val="18"/>
        </w:rPr>
        <w:t xml:space="preserve"> </w:t>
      </w:r>
      <w:r>
        <w:rPr>
          <w:sz w:val="18"/>
          <w:szCs w:val="18"/>
        </w:rPr>
        <w:t>75%</w:t>
      </w:r>
      <w:r w:rsidRPr="00914629">
        <w:rPr>
          <w:sz w:val="18"/>
          <w:szCs w:val="18"/>
        </w:rPr>
        <w:t xml:space="preserve"> van de opbrengst van de bronbelasting moet worden afgestaan aan de lidstaat waar de gerechtigde van de rente woonachtig is.</w:t>
      </w:r>
    </w:p>
  </w:footnote>
  <w:footnote w:id="157">
    <w:p w:rsidR="00A64945" w:rsidRDefault="00A64945" w:rsidP="00B6772C">
      <w:pPr>
        <w:pStyle w:val="FootnoteText"/>
        <w:jc w:val="both"/>
      </w:pPr>
      <w:r w:rsidRPr="00914629">
        <w:rPr>
          <w:rStyle w:val="FootnoteReference"/>
          <w:rFonts w:cs="Arial"/>
          <w:sz w:val="18"/>
          <w:szCs w:val="18"/>
        </w:rPr>
        <w:footnoteRef/>
      </w:r>
      <w:r w:rsidRPr="00914629">
        <w:rPr>
          <w:sz w:val="18"/>
          <w:szCs w:val="18"/>
        </w:rPr>
        <w:t xml:space="preserve"> Art. 12 en 14 S</w:t>
      </w:r>
      <w:r>
        <w:rPr>
          <w:sz w:val="18"/>
          <w:szCs w:val="18"/>
        </w:rPr>
        <w:t>R</w:t>
      </w:r>
      <w:r w:rsidRPr="00914629">
        <w:rPr>
          <w:sz w:val="18"/>
          <w:szCs w:val="18"/>
        </w:rPr>
        <w:t>.</w:t>
      </w:r>
    </w:p>
  </w:footnote>
  <w:footnote w:id="158">
    <w:p w:rsidR="00A64945" w:rsidRDefault="00A64945" w:rsidP="00B6772C">
      <w:pPr>
        <w:pStyle w:val="FootnoteText"/>
        <w:jc w:val="both"/>
      </w:pPr>
      <w:r w:rsidRPr="00914629">
        <w:rPr>
          <w:rStyle w:val="FootnoteReference"/>
          <w:rFonts w:cs="Arial"/>
          <w:sz w:val="18"/>
          <w:szCs w:val="18"/>
        </w:rPr>
        <w:footnoteRef/>
      </w:r>
      <w:r w:rsidRPr="00914629">
        <w:rPr>
          <w:sz w:val="18"/>
          <w:szCs w:val="18"/>
        </w:rPr>
        <w:t xml:space="preserve"> R.P.C.W.M. Brandsma e.a., </w:t>
      </w:r>
      <w:r w:rsidRPr="00914629">
        <w:rPr>
          <w:i/>
          <w:sz w:val="18"/>
          <w:szCs w:val="18"/>
        </w:rPr>
        <w:t>Cursus Belastingrecht -Europees Belastingrecht-</w:t>
      </w:r>
      <w:r w:rsidRPr="00914629">
        <w:rPr>
          <w:sz w:val="18"/>
          <w:szCs w:val="18"/>
        </w:rPr>
        <w:t xml:space="preserve"> studenteneditie 2007-2008, Kluwer, Deventer, 2008, pg. 233, §7.4.2.B:Uitzondering: bronbelasting gedurende een overgangsperiode; onderdeel a: Bronbelasting in Oostenrijk, Luxemburg en België. </w:t>
      </w:r>
    </w:p>
  </w:footnote>
  <w:footnote w:id="159">
    <w:p w:rsidR="00A64945" w:rsidRDefault="00A64945" w:rsidP="00B6772C">
      <w:pPr>
        <w:pStyle w:val="FootnoteText"/>
        <w:jc w:val="both"/>
      </w:pPr>
      <w:r w:rsidRPr="00AF0AB5">
        <w:rPr>
          <w:rStyle w:val="FootnoteReference"/>
          <w:rFonts w:cs="Arial"/>
          <w:sz w:val="18"/>
          <w:szCs w:val="18"/>
        </w:rPr>
        <w:footnoteRef/>
      </w:r>
      <w:r w:rsidRPr="00AF0AB5">
        <w:rPr>
          <w:sz w:val="18"/>
          <w:szCs w:val="18"/>
        </w:rPr>
        <w:t xml:space="preserve"> Richtlijn 77/799 EEG van de Raad van 19 december 1977 betreffende de wederzijdse bijstand van de bevoegde autoriteiten van de lidstaten op het gebied van de directe belastingen en heffingen op verzekeringspremies. De tekst van deze richtlijn is gewijzigd door de Richtlijn 2006/98/EG van 20 november 2006.</w:t>
      </w:r>
    </w:p>
  </w:footnote>
  <w:footnote w:id="160">
    <w:p w:rsidR="00A64945" w:rsidRDefault="00A64945" w:rsidP="00B6772C">
      <w:pPr>
        <w:pStyle w:val="FootnoteText"/>
        <w:jc w:val="both"/>
      </w:pPr>
      <w:r w:rsidRPr="00AF0AB5">
        <w:rPr>
          <w:rStyle w:val="FootnoteReference"/>
          <w:rFonts w:cs="Arial"/>
          <w:sz w:val="18"/>
          <w:szCs w:val="18"/>
        </w:rPr>
        <w:footnoteRef/>
      </w:r>
      <w:r w:rsidRPr="00AF0AB5">
        <w:rPr>
          <w:sz w:val="18"/>
          <w:szCs w:val="18"/>
        </w:rPr>
        <w:t xml:space="preserve"> Richtlijn 76/308/EEG van de Raad van 15 maart 1976 betreffende de wederzijdse bijstand inzake de invordering van schuldvorderingen die voortvloeien uit bepaalde bijdragen, rechten en belastingen, alsmede uit andere maatregelen. </w:t>
      </w:r>
    </w:p>
  </w:footnote>
  <w:footnote w:id="161">
    <w:p w:rsidR="00A64945" w:rsidRDefault="00A64945" w:rsidP="00B6772C">
      <w:pPr>
        <w:pStyle w:val="FootnoteText"/>
        <w:jc w:val="both"/>
      </w:pPr>
      <w:r w:rsidRPr="005536E1">
        <w:rPr>
          <w:rStyle w:val="FootnoteReference"/>
          <w:rFonts w:cs="Arial"/>
          <w:sz w:val="18"/>
          <w:szCs w:val="18"/>
        </w:rPr>
        <w:footnoteRef/>
      </w:r>
      <w:r w:rsidRPr="005536E1">
        <w:rPr>
          <w:sz w:val="18"/>
          <w:szCs w:val="18"/>
        </w:rPr>
        <w:t xml:space="preserve"> </w:t>
      </w:r>
      <w:r>
        <w:rPr>
          <w:sz w:val="18"/>
          <w:szCs w:val="18"/>
        </w:rPr>
        <w:t xml:space="preserve">Het gaat </w:t>
      </w:r>
      <w:r w:rsidRPr="00004E89">
        <w:rPr>
          <w:sz w:val="18"/>
          <w:szCs w:val="18"/>
        </w:rPr>
        <w:t>om alcoholhoudende dranken, en producten als tabak, benzine en andere minerale oliën zoals diesel, huisbrandolie en Liquified Petroleum Gas (LPG</w:t>
      </w:r>
      <w:r>
        <w:rPr>
          <w:sz w:val="18"/>
          <w:szCs w:val="18"/>
        </w:rPr>
        <w:t>)</w:t>
      </w:r>
      <w:r w:rsidRPr="00004E89">
        <w:rPr>
          <w:sz w:val="18"/>
          <w:szCs w:val="18"/>
        </w:rPr>
        <w:t>.</w:t>
      </w:r>
    </w:p>
  </w:footnote>
  <w:footnote w:id="162">
    <w:p w:rsidR="00A64945" w:rsidRDefault="00A64945" w:rsidP="00B6772C">
      <w:pPr>
        <w:pStyle w:val="FootnoteText"/>
        <w:jc w:val="both"/>
      </w:pPr>
      <w:r w:rsidRPr="00151DE7">
        <w:rPr>
          <w:rStyle w:val="FootnoteReference"/>
          <w:rFonts w:cs="Arial"/>
          <w:sz w:val="18"/>
          <w:szCs w:val="18"/>
        </w:rPr>
        <w:footnoteRef/>
      </w:r>
      <w:r w:rsidRPr="00151DE7">
        <w:rPr>
          <w:sz w:val="18"/>
          <w:szCs w:val="18"/>
        </w:rPr>
        <w:t xml:space="preserve"> De ‘tax incidence’ wordt gedragen door diegenen die de belasting uiteindelijk in hun portemonnee voelen. Diegenen die de belastingdruk feitelijk dragen. Zij </w:t>
      </w:r>
      <w:r>
        <w:rPr>
          <w:sz w:val="18"/>
          <w:szCs w:val="18"/>
        </w:rPr>
        <w:t>hebben geen mogelijkheid tot doorbelasten</w:t>
      </w:r>
      <w:r w:rsidRPr="00151DE7">
        <w:rPr>
          <w:sz w:val="18"/>
          <w:szCs w:val="18"/>
        </w:rPr>
        <w:t>.</w:t>
      </w:r>
    </w:p>
  </w:footnote>
  <w:footnote w:id="163">
    <w:p w:rsidR="00A64945" w:rsidRDefault="00A64945" w:rsidP="00B6772C">
      <w:pPr>
        <w:pStyle w:val="FootnoteText"/>
        <w:jc w:val="both"/>
      </w:pPr>
      <w:r w:rsidRPr="00C2220E">
        <w:rPr>
          <w:rStyle w:val="FootnoteReference"/>
          <w:rFonts w:cs="Arial"/>
          <w:sz w:val="18"/>
          <w:szCs w:val="18"/>
        </w:rPr>
        <w:footnoteRef/>
      </w:r>
      <w:r w:rsidRPr="00C2220E">
        <w:rPr>
          <w:sz w:val="18"/>
          <w:szCs w:val="18"/>
        </w:rPr>
        <w:t xml:space="preserve"> De </w:t>
      </w:r>
      <w:r>
        <w:rPr>
          <w:sz w:val="18"/>
          <w:szCs w:val="18"/>
        </w:rPr>
        <w:t>‘</w:t>
      </w:r>
      <w:r w:rsidRPr="00C2220E">
        <w:rPr>
          <w:sz w:val="18"/>
          <w:szCs w:val="18"/>
        </w:rPr>
        <w:t>tax</w:t>
      </w:r>
      <w:r>
        <w:rPr>
          <w:sz w:val="18"/>
          <w:szCs w:val="18"/>
        </w:rPr>
        <w:t>-</w:t>
      </w:r>
      <w:r w:rsidRPr="00C2220E">
        <w:rPr>
          <w:sz w:val="18"/>
          <w:szCs w:val="18"/>
        </w:rPr>
        <w:t xml:space="preserve"> incidence</w:t>
      </w:r>
      <w:r>
        <w:rPr>
          <w:sz w:val="18"/>
          <w:szCs w:val="18"/>
        </w:rPr>
        <w:t>’</w:t>
      </w:r>
      <w:r w:rsidRPr="00C2220E">
        <w:rPr>
          <w:sz w:val="18"/>
          <w:szCs w:val="18"/>
        </w:rPr>
        <w:t xml:space="preserve"> kan ook bijvoorbeeld ook deels bij de </w:t>
      </w:r>
      <w:r>
        <w:rPr>
          <w:sz w:val="18"/>
          <w:szCs w:val="18"/>
        </w:rPr>
        <w:t>‘</w:t>
      </w:r>
      <w:r w:rsidRPr="00C2220E">
        <w:rPr>
          <w:sz w:val="18"/>
          <w:szCs w:val="18"/>
        </w:rPr>
        <w:t>stakeholders</w:t>
      </w:r>
      <w:r>
        <w:rPr>
          <w:sz w:val="18"/>
          <w:szCs w:val="18"/>
        </w:rPr>
        <w:t>’</w:t>
      </w:r>
      <w:r w:rsidRPr="00C2220E">
        <w:rPr>
          <w:sz w:val="18"/>
          <w:szCs w:val="18"/>
        </w:rPr>
        <w:t xml:space="preserve"> van een bedrijf terecht komen. Bijvoorbeeld de werknemer die wordt ‘getroffen’ door een loonsverlaging. </w:t>
      </w:r>
    </w:p>
  </w:footnote>
  <w:footnote w:id="164">
    <w:p w:rsidR="00A64945" w:rsidRDefault="00A64945" w:rsidP="00B6772C">
      <w:pPr>
        <w:pStyle w:val="FootnoteText"/>
        <w:jc w:val="both"/>
      </w:pPr>
      <w:r w:rsidRPr="00C2220E">
        <w:rPr>
          <w:rStyle w:val="FootnoteReference"/>
          <w:rFonts w:cs="Arial"/>
          <w:sz w:val="18"/>
          <w:szCs w:val="18"/>
        </w:rPr>
        <w:footnoteRef/>
      </w:r>
      <w:r w:rsidRPr="00C2220E">
        <w:rPr>
          <w:sz w:val="18"/>
          <w:szCs w:val="18"/>
        </w:rPr>
        <w:t xml:space="preserve"> Een groothandelsbelasting is een belasting die bij de bedrijfsschakel voorafgaande aan de kleinhandel wordt geheven. De belastingplichtige bij deze belasting is de ondernemer die of aan de kleinhandelaar of rechtstreeks aan de consument levert (denk bijvoorbeeld aan het groothandelsbedrijf MAKRO). </w:t>
      </w:r>
    </w:p>
  </w:footnote>
  <w:footnote w:id="165">
    <w:p w:rsidR="00A64945" w:rsidRDefault="00A64945" w:rsidP="00B6772C">
      <w:pPr>
        <w:pStyle w:val="FootnoteText"/>
        <w:jc w:val="both"/>
      </w:pPr>
      <w:r w:rsidRPr="00C2220E">
        <w:rPr>
          <w:rStyle w:val="FootnoteReference"/>
          <w:rFonts w:cs="Arial"/>
          <w:sz w:val="18"/>
          <w:szCs w:val="18"/>
        </w:rPr>
        <w:footnoteRef/>
      </w:r>
      <w:r w:rsidRPr="00C2220E">
        <w:rPr>
          <w:sz w:val="18"/>
          <w:szCs w:val="18"/>
        </w:rPr>
        <w:t xml:space="preserve"> Ondernemer kan zijn de fabrikant of handelaar.</w:t>
      </w:r>
    </w:p>
  </w:footnote>
  <w:footnote w:id="166">
    <w:p w:rsidR="00A64945" w:rsidRDefault="00A64945" w:rsidP="00B6772C">
      <w:pPr>
        <w:pStyle w:val="FootnoteText"/>
        <w:jc w:val="both"/>
      </w:pPr>
      <w:r w:rsidRPr="00C2220E">
        <w:rPr>
          <w:rStyle w:val="FootnoteReference"/>
          <w:rFonts w:cs="Arial"/>
          <w:sz w:val="18"/>
          <w:szCs w:val="18"/>
        </w:rPr>
        <w:footnoteRef/>
      </w:r>
      <w:r w:rsidRPr="00C2220E">
        <w:rPr>
          <w:sz w:val="18"/>
          <w:szCs w:val="18"/>
        </w:rPr>
        <w:t xml:space="preserve"> Sinds de invoering van het Besluit op de omzetbelasting 1941. In de wet op de Omzetbelasting 1954 werd het cascadestelsel gehandhaafd.</w:t>
      </w:r>
    </w:p>
  </w:footnote>
  <w:footnote w:id="167">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Belasting over de toegevoegde waarde duidt op het feit dat dit systeem beoogt om de extra waarde die in elke schakel van de bedrijfskolom ontstaat, te belasten.</w:t>
      </w:r>
    </w:p>
  </w:footnote>
  <w:footnote w:id="168">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Hierbij wordt de kasstelselvariant toegepast. Dit houdt in dat de in een periode aan de ondernemer in rekening gebrachte voorbelasting in die periode in aftrek wordt toegelaten. Een andere variant is het transactiestelsel variant, waarbij slechts aftrek wordt toegestaan voor zover de in rekening gebrachte voorbelasting aan de verkopen kan worden toegerekend.</w:t>
      </w:r>
    </w:p>
  </w:footnote>
  <w:footnote w:id="169">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Lees handelaren en/of fabrikanten.</w:t>
      </w:r>
    </w:p>
  </w:footnote>
  <w:footnote w:id="170">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Meestal de consument.</w:t>
      </w:r>
    </w:p>
  </w:footnote>
  <w:footnote w:id="171">
    <w:p w:rsidR="00A64945" w:rsidRDefault="00A64945" w:rsidP="00B6772C">
      <w:pPr>
        <w:spacing w:after="0"/>
        <w:jc w:val="both"/>
      </w:pPr>
      <w:r w:rsidRPr="002F70FE">
        <w:rPr>
          <w:rStyle w:val="FootnoteReference"/>
          <w:rFonts w:cs="Arial"/>
          <w:sz w:val="18"/>
          <w:szCs w:val="18"/>
        </w:rPr>
        <w:footnoteRef/>
      </w:r>
      <w:r w:rsidRPr="002F70FE">
        <w:rPr>
          <w:sz w:val="18"/>
          <w:szCs w:val="18"/>
        </w:rPr>
        <w:t xml:space="preserve"> Het bezwaar tegen het cascadestelsel is dubbel. Het belemmerd effect van dit stelsel is tweeledig. Ten eerste kan het cascadestelsel een belemmerd effect hebben op de handel doordat de manier waarop aan dit stelsel vorm is gegeven, de bedrijvigheid (omvang van het aantal aanbieders) kan verminderen. Dit treft de aanbodzijde van de handelsmarkt. Ten tweede kan er een daling van de totale vraag naar het eindproduct optreden. Door de werking van het prijsmechanisme geldt immers hoe hoger de prijs, hoe minder vraag. Dit treft de vraagzijde van de handelsmarkt.</w:t>
      </w:r>
    </w:p>
  </w:footnote>
  <w:footnote w:id="172">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L.G.M. Stevens, </w:t>
      </w:r>
      <w:r w:rsidRPr="002F70FE">
        <w:rPr>
          <w:i/>
          <w:sz w:val="18"/>
          <w:szCs w:val="18"/>
        </w:rPr>
        <w:t>Elementair Belastingrecht voor economen en bedrijfsjuristen 2009/2010</w:t>
      </w:r>
      <w:r w:rsidRPr="002F70FE">
        <w:rPr>
          <w:sz w:val="18"/>
          <w:szCs w:val="18"/>
        </w:rPr>
        <w:t>, 2009, Kluwer, Deventer, pg. 478.</w:t>
      </w:r>
    </w:p>
  </w:footnote>
  <w:footnote w:id="173">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Met interne neutraliteit wordt neutraliteit op nationaal niveau bedoeld. Op EU niveau wordt er naar gestreefd dat de belastingheffing zo neutraal mogelijk verloopt. Er is echter niet één ‘neutraliteit’ want neutraal is een relatief begrip. Er kunnen verschillende vormen van neutraliteit worden onderscheiden. Interne neutraliteit kan gesplitst worden in juridische en economische neutraliteit. De neutraliteit die hier aan de orde is, is de economische neutraliteit. In het algemeen is er sprake van economische neutraliteit indien een belasting geen verstorende werking heeft op de optimale allocatie van productiemiddelen.</w:t>
      </w:r>
    </w:p>
  </w:footnote>
  <w:footnote w:id="174">
    <w:p w:rsidR="00A64945" w:rsidRDefault="00A64945" w:rsidP="00B6772C">
      <w:pPr>
        <w:pStyle w:val="FootnoteText"/>
        <w:jc w:val="both"/>
      </w:pPr>
      <w:r w:rsidRPr="00ED2793">
        <w:rPr>
          <w:rStyle w:val="FootnoteReference"/>
          <w:rFonts w:cs="Arial"/>
          <w:sz w:val="18"/>
          <w:szCs w:val="18"/>
        </w:rPr>
        <w:footnoteRef/>
      </w:r>
      <w:r w:rsidRPr="00ED2793">
        <w:rPr>
          <w:sz w:val="18"/>
          <w:szCs w:val="18"/>
        </w:rPr>
        <w:t xml:space="preserve"> Althans voor zover geen sprake is van vrijgestelde prestaties.</w:t>
      </w:r>
    </w:p>
  </w:footnote>
  <w:footnote w:id="175">
    <w:p w:rsidR="00A64945" w:rsidRDefault="00A64945" w:rsidP="00B6772C">
      <w:pPr>
        <w:autoSpaceDE w:val="0"/>
        <w:autoSpaceDN w:val="0"/>
        <w:adjustRightInd w:val="0"/>
        <w:spacing w:after="0" w:line="240" w:lineRule="auto"/>
        <w:jc w:val="both"/>
      </w:pPr>
      <w:r w:rsidRPr="00ED2793">
        <w:rPr>
          <w:rStyle w:val="FootnoteReference"/>
          <w:rFonts w:cs="Arial"/>
          <w:sz w:val="18"/>
          <w:szCs w:val="18"/>
        </w:rPr>
        <w:footnoteRef/>
      </w:r>
      <w:r w:rsidRPr="00ED2793">
        <w:rPr>
          <w:sz w:val="18"/>
          <w:szCs w:val="18"/>
        </w:rPr>
        <w:t xml:space="preserve"> Neutraliteit </w:t>
      </w:r>
      <w:r>
        <w:rPr>
          <w:sz w:val="18"/>
          <w:szCs w:val="18"/>
        </w:rPr>
        <w:t xml:space="preserve">van het belastingstelsel </w:t>
      </w:r>
      <w:r w:rsidRPr="00ED2793">
        <w:rPr>
          <w:sz w:val="18"/>
          <w:szCs w:val="18"/>
        </w:rPr>
        <w:t>ten opzichte van het buitenland.</w:t>
      </w:r>
      <w:r>
        <w:rPr>
          <w:sz w:val="18"/>
          <w:szCs w:val="18"/>
        </w:rPr>
        <w:t xml:space="preserve"> </w:t>
      </w:r>
      <w:r w:rsidRPr="001D114D">
        <w:rPr>
          <w:rFonts w:cs="Times New Roman"/>
          <w:sz w:val="18"/>
          <w:szCs w:val="18"/>
        </w:rPr>
        <w:t>Er is sprake van externe neutraliteit als het voor een belastingplichtige irrelevant is of een</w:t>
      </w:r>
      <w:r>
        <w:rPr>
          <w:rFonts w:cs="Times New Roman"/>
          <w:sz w:val="18"/>
          <w:szCs w:val="18"/>
        </w:rPr>
        <w:t xml:space="preserve"> </w:t>
      </w:r>
      <w:r w:rsidRPr="001D114D">
        <w:rPr>
          <w:rFonts w:cs="Times New Roman"/>
          <w:sz w:val="18"/>
          <w:szCs w:val="18"/>
        </w:rPr>
        <w:t xml:space="preserve">product aangeschaft wordt bij een belastingplichtige die gevestigd is in lidstaat </w:t>
      </w:r>
      <w:r>
        <w:rPr>
          <w:rFonts w:cs="Times New Roman"/>
          <w:sz w:val="18"/>
          <w:szCs w:val="18"/>
        </w:rPr>
        <w:t>X</w:t>
      </w:r>
      <w:r w:rsidRPr="001D114D">
        <w:rPr>
          <w:rFonts w:cs="Times New Roman"/>
          <w:sz w:val="18"/>
          <w:szCs w:val="18"/>
        </w:rPr>
        <w:t xml:space="preserve"> of lidstaat</w:t>
      </w:r>
      <w:r>
        <w:rPr>
          <w:rFonts w:cs="Times New Roman"/>
          <w:sz w:val="18"/>
          <w:szCs w:val="18"/>
        </w:rPr>
        <w:t xml:space="preserve"> Y</w:t>
      </w:r>
      <w:r w:rsidRPr="001D114D">
        <w:rPr>
          <w:rFonts w:cs="Times New Roman"/>
          <w:sz w:val="18"/>
          <w:szCs w:val="18"/>
        </w:rPr>
        <w:t>. Een product moet, ongeacht de herkomst, aan een gelijke belastingdruk onderhevig zijn.</w:t>
      </w:r>
    </w:p>
  </w:footnote>
  <w:footnote w:id="176">
    <w:p w:rsidR="00A64945" w:rsidRDefault="00A64945" w:rsidP="00B6772C">
      <w:pPr>
        <w:pStyle w:val="FootnoteText"/>
        <w:jc w:val="both"/>
      </w:pPr>
      <w:r w:rsidRPr="00FB5D00">
        <w:rPr>
          <w:rStyle w:val="FootnoteReference"/>
          <w:rFonts w:cs="Arial"/>
          <w:sz w:val="18"/>
          <w:szCs w:val="18"/>
        </w:rPr>
        <w:footnoteRef/>
      </w:r>
      <w:r w:rsidRPr="00FB5D00">
        <w:rPr>
          <w:sz w:val="18"/>
          <w:szCs w:val="18"/>
        </w:rPr>
        <w:t xml:space="preserve"> Amigoe, VBC in verweer tegen geleidelijke aanpassing belastingstelsel, 29 december 2010.</w:t>
      </w:r>
    </w:p>
  </w:footnote>
  <w:footnote w:id="177">
    <w:p w:rsidR="00A64945" w:rsidRDefault="00A64945" w:rsidP="00B6772C">
      <w:pPr>
        <w:pStyle w:val="FootnoteText"/>
        <w:jc w:val="both"/>
      </w:pPr>
      <w:r w:rsidRPr="008D1954">
        <w:rPr>
          <w:rStyle w:val="FootnoteReference"/>
          <w:rFonts w:cs="Arial"/>
          <w:sz w:val="18"/>
          <w:szCs w:val="18"/>
        </w:rPr>
        <w:footnoteRef/>
      </w:r>
      <w:r w:rsidRPr="008D1954">
        <w:rPr>
          <w:sz w:val="18"/>
          <w:szCs w:val="18"/>
        </w:rPr>
        <w:t xml:space="preserve"> Zoals op de BES-</w:t>
      </w:r>
      <w:r>
        <w:rPr>
          <w:sz w:val="18"/>
          <w:szCs w:val="18"/>
        </w:rPr>
        <w:t xml:space="preserve"> </w:t>
      </w:r>
      <w:r w:rsidRPr="008D1954">
        <w:rPr>
          <w:sz w:val="18"/>
          <w:szCs w:val="18"/>
        </w:rPr>
        <w:t>eilanden plaats heeft gevonden.</w:t>
      </w:r>
    </w:p>
  </w:footnote>
  <w:footnote w:id="178">
    <w:p w:rsidR="00A64945" w:rsidRDefault="00A64945" w:rsidP="00B6772C">
      <w:pPr>
        <w:pStyle w:val="FootnoteText"/>
        <w:jc w:val="both"/>
      </w:pPr>
      <w:r w:rsidRPr="00C60649">
        <w:rPr>
          <w:rStyle w:val="FootnoteReference"/>
          <w:rFonts w:cs="Arial"/>
          <w:sz w:val="18"/>
          <w:szCs w:val="18"/>
        </w:rPr>
        <w:footnoteRef/>
      </w:r>
      <w:r w:rsidRPr="00C60649">
        <w:rPr>
          <w:sz w:val="18"/>
          <w:szCs w:val="18"/>
        </w:rPr>
        <w:t xml:space="preserve"> </w:t>
      </w:r>
      <w:r w:rsidRPr="00A07170">
        <w:rPr>
          <w:sz w:val="18"/>
          <w:szCs w:val="18"/>
        </w:rPr>
        <w:t>Dat wil zeggen een markt zonder binnengrenzen en dus zonder in- en uitvoerbeperkingen</w:t>
      </w:r>
      <w:r>
        <w:rPr>
          <w:sz w:val="18"/>
          <w:szCs w:val="18"/>
        </w:rPr>
        <w:t xml:space="preserve"> tussen lidstaten</w:t>
      </w:r>
      <w:r w:rsidRPr="00A07170">
        <w:rPr>
          <w:sz w:val="18"/>
          <w:szCs w:val="18"/>
        </w:rPr>
        <w:t>.</w:t>
      </w:r>
    </w:p>
  </w:footnote>
  <w:footnote w:id="179">
    <w:p w:rsidR="00A64945" w:rsidRDefault="00A64945" w:rsidP="00B6772C">
      <w:pPr>
        <w:pStyle w:val="FootnoteText"/>
        <w:jc w:val="both"/>
      </w:pPr>
      <w:r w:rsidRPr="00FE7C06">
        <w:rPr>
          <w:rStyle w:val="FootnoteReference"/>
          <w:rFonts w:cs="Arial"/>
          <w:sz w:val="18"/>
          <w:szCs w:val="18"/>
        </w:rPr>
        <w:footnoteRef/>
      </w:r>
      <w:r w:rsidRPr="00FE7C06">
        <w:rPr>
          <w:sz w:val="18"/>
          <w:szCs w:val="18"/>
        </w:rPr>
        <w:t xml:space="preserve"> Deze trend was overigens niet alleen in Europa te constateren, maar ook buiten Europa. Ook wat betreft de NA en Aruba zijn over de jaren heen een breed scala aan fiscale faciliteiten in het leven geroepen die als doel hadden dat ondernemingen zich </w:t>
      </w:r>
      <w:r>
        <w:rPr>
          <w:sz w:val="18"/>
          <w:szCs w:val="18"/>
        </w:rPr>
        <w:t>in deze landen</w:t>
      </w:r>
      <w:r w:rsidRPr="00FE7C06">
        <w:rPr>
          <w:sz w:val="18"/>
          <w:szCs w:val="18"/>
        </w:rPr>
        <w:t xml:space="preserve"> zouden gaan vestigen</w:t>
      </w:r>
      <w:r>
        <w:rPr>
          <w:sz w:val="18"/>
          <w:szCs w:val="18"/>
        </w:rPr>
        <w:t xml:space="preserve">. Voorbeelden van deze </w:t>
      </w:r>
      <w:r w:rsidRPr="00FE7C06">
        <w:rPr>
          <w:sz w:val="18"/>
          <w:szCs w:val="18"/>
        </w:rPr>
        <w:t xml:space="preserve">zogenaamde </w:t>
      </w:r>
      <w:r>
        <w:rPr>
          <w:sz w:val="18"/>
          <w:szCs w:val="18"/>
        </w:rPr>
        <w:t>‘</w:t>
      </w:r>
      <w:r w:rsidRPr="00FE7C06">
        <w:rPr>
          <w:sz w:val="18"/>
          <w:szCs w:val="18"/>
        </w:rPr>
        <w:t>Tax- Holidaywetgeving</w:t>
      </w:r>
      <w:r>
        <w:rPr>
          <w:sz w:val="18"/>
          <w:szCs w:val="18"/>
        </w:rPr>
        <w:t xml:space="preserve">’ zijn </w:t>
      </w:r>
      <w:r w:rsidRPr="00FE7C06">
        <w:rPr>
          <w:sz w:val="18"/>
          <w:szCs w:val="18"/>
        </w:rPr>
        <w:t>de Landsverordening ter bevordering bedrijfsvestiging en hotelbouw P.B. 2001-80</w:t>
      </w:r>
      <w:r>
        <w:rPr>
          <w:sz w:val="18"/>
          <w:szCs w:val="18"/>
        </w:rPr>
        <w:t xml:space="preserve"> en de Landsverordening belastingfaciliteiten industriële ondernemingen P.B. 2001, NO. 80</w:t>
      </w:r>
      <w:r w:rsidRPr="00FE7C06">
        <w:rPr>
          <w:sz w:val="18"/>
          <w:szCs w:val="18"/>
        </w:rPr>
        <w:t>.</w:t>
      </w:r>
    </w:p>
  </w:footnote>
  <w:footnote w:id="180">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P. Kavelaars, A.C.G.A.C. de Graaf en A.J.A. Stevens, Internationaal Belastingrecht, fed fiscale studieserie, Kluwer, Deventer, 2007, pg. 10.</w:t>
      </w:r>
    </w:p>
  </w:footnote>
  <w:footnote w:id="181">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De artikelen 107 tot en met 109 VwEU.</w:t>
      </w:r>
    </w:p>
  </w:footnote>
  <w:footnote w:id="182">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P. Kavelaars, A.C.G.A.C. de Graaf en A.J.A. Stevens, Internationaal Belastingrecht, fed fiscale studieserie, Kluwer, Deventer, 2007, pg. 10.</w:t>
      </w:r>
    </w:p>
  </w:footnote>
  <w:footnote w:id="183">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Idem.</w:t>
      </w:r>
    </w:p>
  </w:footnote>
  <w:footnote w:id="184">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Vrijwel gelijktijdig met de EU is ook op internationaal niveau de strijd tegen schadelijke belastingconcurrentie geïnitieerd. De Organisatie voor Economische Samenwerking en Ontwikkeling (OESO) kwam daartoe in 1998 met een rapport waarin het kader wordt vastgesteld (OESO 1998). De aanpak van de OESO is anders dan die van de EU. De OESO beoordeelt de verschillende jurisdicties op het al dan niet zijn van een belastingparadijs. De EU richt zich daarentegen uitsluitend op afzonderlijke belastingmaatregelen.</w:t>
      </w:r>
    </w:p>
  </w:footnote>
  <w:footnote w:id="185">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Resolutie van de Raad en de vertegenwoordigers van de regeringen der lidstaten, in het kader van de Raad bijeen van 1 december 1997 betreffende  een gedragscode inzake de belastingregeling voor ondernemingen. PB EG C2 van 6 januari 1998, pg. 2. </w:t>
      </w:r>
    </w:p>
  </w:footnote>
  <w:footnote w:id="186">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Zie de Resolutie van de Raad en de vertegenwoordigers van de regeringen der lidstaten, in het kader van de Raad bijeen van 1 december 1997 betreffende  een gedragscode inzake de belastingregeling voor ondernemingen. PB EG C2 van 6 januari 1998,  §. M,  pg. 5. </w:t>
      </w:r>
    </w:p>
  </w:footnote>
  <w:footnote w:id="187">
    <w:p w:rsidR="00A64945" w:rsidRDefault="00A64945" w:rsidP="00606098">
      <w:pPr>
        <w:pStyle w:val="FootnoteText"/>
        <w:jc w:val="both"/>
      </w:pPr>
      <w:r w:rsidRPr="002F70FE">
        <w:rPr>
          <w:rStyle w:val="FootnoteReference"/>
          <w:sz w:val="18"/>
          <w:szCs w:val="18"/>
        </w:rPr>
        <w:footnoteRef/>
      </w:r>
      <w:r w:rsidRPr="002F70FE">
        <w:rPr>
          <w:sz w:val="18"/>
          <w:szCs w:val="18"/>
        </w:rPr>
        <w:t xml:space="preserve"> Voor UPG’s geldt dat zij ook integraal onderworpen zijn aan de gedragscode, vanwege het feit dat UPG’s integraal onderworpen zijn aan het EU- recht.</w:t>
      </w:r>
    </w:p>
  </w:footnote>
  <w:footnote w:id="188">
    <w:p w:rsidR="00A64945" w:rsidRDefault="00A64945" w:rsidP="00B6772C">
      <w:pPr>
        <w:pStyle w:val="FootnoteText"/>
        <w:jc w:val="both"/>
      </w:pPr>
      <w:r w:rsidRPr="002F70FE">
        <w:rPr>
          <w:rStyle w:val="FootnoteReference"/>
          <w:rFonts w:cs="Arial"/>
          <w:sz w:val="18"/>
          <w:szCs w:val="18"/>
        </w:rPr>
        <w:footnoteRef/>
      </w:r>
      <w:r w:rsidRPr="002F70FE">
        <w:rPr>
          <w:sz w:val="18"/>
          <w:szCs w:val="18"/>
        </w:rPr>
        <w:t xml:space="preserve"> De LGO’s zelf zijn nergens aan verbonden. Naleving van de gedragscode is dus in feite op eigen initiatief. De LGO’s blijven baas over hun eigen handelen. Aan de andere kant is het merkwaardig dat de LGO’s die het object zijn van een afspraak, geen directe invloed kunnen uitoefenen op de uitkomst. </w:t>
      </w:r>
    </w:p>
  </w:footnote>
  <w:footnote w:id="189">
    <w:p w:rsidR="00A64945" w:rsidRDefault="00A64945" w:rsidP="00B6772C">
      <w:pPr>
        <w:pStyle w:val="FootnoteText"/>
        <w:jc w:val="both"/>
      </w:pPr>
      <w:r w:rsidRPr="000F3CFF">
        <w:rPr>
          <w:rStyle w:val="FootnoteReference"/>
          <w:rFonts w:cs="Arial"/>
          <w:sz w:val="18"/>
          <w:szCs w:val="18"/>
        </w:rPr>
        <w:footnoteRef/>
      </w:r>
      <w:r w:rsidRPr="000F3CFF">
        <w:rPr>
          <w:sz w:val="18"/>
          <w:szCs w:val="18"/>
        </w:rPr>
        <w:t xml:space="preserve"> En tevens de OESO- actie tegen schadelijke belastingconcurrentie (zie voetnoot 184).</w:t>
      </w:r>
    </w:p>
  </w:footnote>
  <w:footnote w:id="190">
    <w:p w:rsidR="00A64945" w:rsidRDefault="00A64945" w:rsidP="00B6772C">
      <w:pPr>
        <w:pStyle w:val="FootnoteText"/>
        <w:jc w:val="both"/>
      </w:pPr>
      <w:r w:rsidRPr="00402578">
        <w:rPr>
          <w:rStyle w:val="FootnoteReference"/>
          <w:rFonts w:cs="Arial"/>
          <w:sz w:val="18"/>
          <w:szCs w:val="18"/>
        </w:rPr>
        <w:footnoteRef/>
      </w:r>
      <w:r w:rsidRPr="00402578">
        <w:rPr>
          <w:sz w:val="18"/>
          <w:szCs w:val="18"/>
        </w:rPr>
        <w:t xml:space="preserve"> Resolutie van de Raad en de vertegenwoordigers van de regeringen der lidstaten, in het kader van de Raad bijeen van 1 december 1997 betreffende  een gedragscode inzake de belastingregeling voor ondernemingen. PB EG C2 van 6 januari 1998,  §. G,  pg. 4. </w:t>
      </w:r>
    </w:p>
  </w:footnote>
  <w:footnote w:id="191">
    <w:p w:rsidR="00A64945" w:rsidRDefault="00A64945" w:rsidP="00B6772C">
      <w:pPr>
        <w:pStyle w:val="FootnoteText"/>
        <w:jc w:val="both"/>
      </w:pPr>
      <w:r w:rsidRPr="00EE1D3E">
        <w:rPr>
          <w:rStyle w:val="FootnoteReference"/>
          <w:rFonts w:cs="Arial"/>
          <w:sz w:val="18"/>
          <w:szCs w:val="18"/>
        </w:rPr>
        <w:footnoteRef/>
      </w:r>
      <w:r w:rsidRPr="00EE1D3E">
        <w:rPr>
          <w:sz w:val="18"/>
          <w:szCs w:val="18"/>
        </w:rPr>
        <w:t xml:space="preserve"> De artikelen 107 tot en met 109 VwEU.</w:t>
      </w:r>
    </w:p>
  </w:footnote>
  <w:footnote w:id="192">
    <w:p w:rsidR="00A64945" w:rsidRDefault="00A64945" w:rsidP="00B6772C">
      <w:pPr>
        <w:pStyle w:val="FootnoteText"/>
        <w:jc w:val="both"/>
      </w:pPr>
      <w:r w:rsidRPr="00DF6F8D">
        <w:rPr>
          <w:rStyle w:val="FootnoteReference"/>
          <w:rFonts w:cs="Arial"/>
          <w:sz w:val="18"/>
          <w:szCs w:val="18"/>
        </w:rPr>
        <w:footnoteRef/>
      </w:r>
      <w:r w:rsidRPr="00DF6F8D">
        <w:rPr>
          <w:sz w:val="18"/>
          <w:szCs w:val="18"/>
        </w:rPr>
        <w:t xml:space="preserve"> Art. 107, lid 1 VwEU.</w:t>
      </w:r>
    </w:p>
  </w:footnote>
  <w:footnote w:id="193">
    <w:p w:rsidR="00A64945" w:rsidRDefault="00A64945" w:rsidP="00B6772C">
      <w:pPr>
        <w:pStyle w:val="FootnoteText"/>
        <w:jc w:val="both"/>
      </w:pPr>
      <w:r w:rsidRPr="00DF6F8D">
        <w:rPr>
          <w:rStyle w:val="FootnoteReference"/>
          <w:rFonts w:cs="Arial"/>
          <w:sz w:val="18"/>
          <w:szCs w:val="18"/>
        </w:rPr>
        <w:footnoteRef/>
      </w:r>
      <w:r w:rsidRPr="00DF6F8D">
        <w:rPr>
          <w:sz w:val="18"/>
          <w:szCs w:val="18"/>
        </w:rPr>
        <w:t xml:space="preserve"> Het tweede en het derde lid van art. 107 VwEU bevat de steunmaatregelen die verenigbaar zijn (worden beschouwd) met de interne markt. </w:t>
      </w:r>
    </w:p>
  </w:footnote>
  <w:footnote w:id="194">
    <w:p w:rsidR="00A64945" w:rsidRDefault="00A64945" w:rsidP="00B6772C">
      <w:pPr>
        <w:spacing w:after="0" w:line="240" w:lineRule="auto"/>
        <w:jc w:val="both"/>
      </w:pPr>
      <w:r w:rsidRPr="009E5D8B">
        <w:rPr>
          <w:rStyle w:val="FootnoteReference"/>
          <w:rFonts w:cs="Arial"/>
          <w:sz w:val="18"/>
          <w:szCs w:val="18"/>
        </w:rPr>
        <w:footnoteRef/>
      </w:r>
      <w:r w:rsidRPr="009E5D8B">
        <w:rPr>
          <w:sz w:val="18"/>
          <w:szCs w:val="18"/>
        </w:rPr>
        <w:t xml:space="preserve">De </w:t>
      </w:r>
      <w:r>
        <w:rPr>
          <w:sz w:val="18"/>
          <w:szCs w:val="18"/>
        </w:rPr>
        <w:t xml:space="preserve">toegekende </w:t>
      </w:r>
      <w:r w:rsidRPr="009E5D8B">
        <w:rPr>
          <w:sz w:val="18"/>
          <w:szCs w:val="18"/>
        </w:rPr>
        <w:t xml:space="preserve">steun </w:t>
      </w:r>
      <w:r>
        <w:rPr>
          <w:sz w:val="18"/>
          <w:szCs w:val="18"/>
        </w:rPr>
        <w:t>moet resulteren</w:t>
      </w:r>
      <w:r w:rsidRPr="009E5D8B">
        <w:rPr>
          <w:sz w:val="18"/>
          <w:szCs w:val="18"/>
        </w:rPr>
        <w:t xml:space="preserve"> </w:t>
      </w:r>
      <w:r>
        <w:rPr>
          <w:sz w:val="18"/>
          <w:szCs w:val="18"/>
        </w:rPr>
        <w:t xml:space="preserve">in </w:t>
      </w:r>
      <w:r w:rsidRPr="009E5D8B">
        <w:rPr>
          <w:sz w:val="18"/>
          <w:szCs w:val="18"/>
        </w:rPr>
        <w:t>een voordeel dat of direct met staatsmiddelen is bekostigd, bijvoorbeeld subsidies, dan wel indirect met staatsmiddelen is bekostigd doordat de steun tot gevolg heeft dat de belastingopbrengsten afnemen. Een voorbeeld hiervan is het toekennen van een vrijstelling of het doorvoeren van een verlaging van het tarief.</w:t>
      </w:r>
    </w:p>
  </w:footnote>
  <w:footnote w:id="195">
    <w:p w:rsidR="00A64945" w:rsidRDefault="00A64945" w:rsidP="00B6772C">
      <w:pPr>
        <w:spacing w:after="0"/>
        <w:jc w:val="both"/>
      </w:pPr>
      <w:r w:rsidRPr="009E5D8B">
        <w:rPr>
          <w:rStyle w:val="FootnoteReference"/>
          <w:rFonts w:cs="Arial"/>
          <w:sz w:val="18"/>
          <w:szCs w:val="18"/>
        </w:rPr>
        <w:footnoteRef/>
      </w:r>
      <w:r w:rsidRPr="009E5D8B">
        <w:rPr>
          <w:sz w:val="18"/>
          <w:szCs w:val="18"/>
        </w:rPr>
        <w:t xml:space="preserve"> Wil er sprake zijn van een verboden staatssteun, dan dient het handelsverkeer tussen lidstaten  belemmerd te worden. Hiervan kan bijvoorbeeld sprake zijn in het geval dat een lidstaat een beperking ondervind</w:t>
      </w:r>
      <w:r>
        <w:rPr>
          <w:sz w:val="18"/>
          <w:szCs w:val="18"/>
        </w:rPr>
        <w:t>t</w:t>
      </w:r>
      <w:r w:rsidRPr="009E5D8B">
        <w:rPr>
          <w:sz w:val="18"/>
          <w:szCs w:val="18"/>
        </w:rPr>
        <w:t xml:space="preserve"> naar aanleiding van een andere lidstaat die een (belasting)regeling hanteert die eerstgenoemde lidstaat niet kan faciliteren. Eerstgenoemde lidstaat zou dit kunnen ervaren als oneerlijke belastingconcurrentie en van mening kunnen zijn dat zij hierdoor ten opzichte van de andere lidstaat in een achtergestelde positie terecht </w:t>
      </w:r>
      <w:r>
        <w:rPr>
          <w:sz w:val="18"/>
          <w:szCs w:val="18"/>
        </w:rPr>
        <w:t>is</w:t>
      </w:r>
      <w:r w:rsidRPr="009E5D8B">
        <w:rPr>
          <w:sz w:val="18"/>
          <w:szCs w:val="18"/>
        </w:rPr>
        <w:t xml:space="preserve"> gekomen. Dit kan een ongunstig effect hebben op het handelsverkeer tussen deze lidstaten. </w:t>
      </w:r>
    </w:p>
  </w:footnote>
  <w:footnote w:id="196">
    <w:p w:rsidR="00A64945" w:rsidRDefault="00A64945" w:rsidP="00B6772C">
      <w:pPr>
        <w:spacing w:after="0"/>
        <w:jc w:val="both"/>
      </w:pPr>
      <w:r w:rsidRPr="009E5D8B">
        <w:rPr>
          <w:rStyle w:val="FootnoteReference"/>
          <w:rFonts w:cs="Arial"/>
          <w:sz w:val="18"/>
          <w:szCs w:val="18"/>
        </w:rPr>
        <w:footnoteRef/>
      </w:r>
      <w:r w:rsidRPr="009E5D8B">
        <w:rPr>
          <w:sz w:val="18"/>
          <w:szCs w:val="18"/>
        </w:rPr>
        <w:t xml:space="preserve"> De steun mag niet selectief zijn. Hierbij kan een onderscheid worden gemaakt tussen formele en materiële selectiviteit. Van formele selectiviteit is sprake indien een maatregel overduidelijk (bijvoorbeeld doordat het wettelijk</w:t>
      </w:r>
      <w:r>
        <w:rPr>
          <w:sz w:val="18"/>
          <w:szCs w:val="18"/>
        </w:rPr>
        <w:t xml:space="preserve"> zo</w:t>
      </w:r>
      <w:r w:rsidRPr="009E5D8B">
        <w:rPr>
          <w:sz w:val="18"/>
          <w:szCs w:val="18"/>
        </w:rPr>
        <w:t xml:space="preserve"> is vastgelegd) bedoeld is om bepaalde ondernemingen te bevoordelen. Bij materiële selectiviteit valt te denken aan</w:t>
      </w:r>
      <w:r>
        <w:rPr>
          <w:sz w:val="18"/>
          <w:szCs w:val="18"/>
        </w:rPr>
        <w:t xml:space="preserve"> een maatregel</w:t>
      </w:r>
      <w:r w:rsidRPr="009E5D8B">
        <w:rPr>
          <w:sz w:val="18"/>
          <w:szCs w:val="18"/>
        </w:rPr>
        <w:t xml:space="preserve"> die </w:t>
      </w:r>
      <w:r>
        <w:rPr>
          <w:sz w:val="18"/>
          <w:szCs w:val="18"/>
        </w:rPr>
        <w:t>op het eerste gezicht</w:t>
      </w:r>
      <w:r w:rsidRPr="009E5D8B">
        <w:rPr>
          <w:sz w:val="18"/>
          <w:szCs w:val="18"/>
        </w:rPr>
        <w:t xml:space="preserve"> niet bepaalde ondernemi</w:t>
      </w:r>
      <w:r>
        <w:rPr>
          <w:sz w:val="18"/>
          <w:szCs w:val="18"/>
        </w:rPr>
        <w:t xml:space="preserve">ngen lijkt te bevoordelen, maar </w:t>
      </w:r>
      <w:r w:rsidRPr="009E5D8B">
        <w:rPr>
          <w:sz w:val="18"/>
          <w:szCs w:val="18"/>
        </w:rPr>
        <w:t xml:space="preserve">in de praktijk selectief </w:t>
      </w:r>
      <w:r>
        <w:rPr>
          <w:sz w:val="18"/>
          <w:szCs w:val="18"/>
        </w:rPr>
        <w:t>uitpakt</w:t>
      </w:r>
      <w:r w:rsidRPr="009E5D8B">
        <w:rPr>
          <w:sz w:val="18"/>
          <w:szCs w:val="18"/>
        </w:rPr>
        <w:t>. Hiervan is bijvoorbeeld sprake in het geval dat een bepaling een voorwaarde bevat (bijvoorbeeld de omvang van de omzet) waardoor alleen grote bedrijven de facto gebruik kunnen maken van de faciliteit.</w:t>
      </w:r>
      <w:r>
        <w:rPr>
          <w:sz w:val="18"/>
          <w:szCs w:val="18"/>
        </w:rPr>
        <w:t xml:space="preserve"> Een dergelijke bepaling sluit kleinere ondernemingen niet uitdrukkelijk uit, maar feitelijk wel. Een voorbeeld van materiële selectiviteit is te vinden in het arrest Spanje/Commissie C-501/00. </w:t>
      </w:r>
    </w:p>
  </w:footnote>
  <w:footnote w:id="197">
    <w:p w:rsidR="00A64945" w:rsidRDefault="00A64945" w:rsidP="00B6772C">
      <w:pPr>
        <w:pStyle w:val="FootnoteText"/>
        <w:jc w:val="both"/>
      </w:pPr>
      <w:r w:rsidRPr="00972521">
        <w:rPr>
          <w:rStyle w:val="FootnoteReference"/>
          <w:rFonts w:cs="Arial"/>
          <w:sz w:val="18"/>
          <w:szCs w:val="18"/>
        </w:rPr>
        <w:footnoteRef/>
      </w:r>
      <w:r w:rsidRPr="00972521">
        <w:rPr>
          <w:sz w:val="18"/>
          <w:szCs w:val="18"/>
        </w:rPr>
        <w:t xml:space="preserve"> De Azoren zijn een eilandgroep ge</w:t>
      </w:r>
      <w:r>
        <w:rPr>
          <w:sz w:val="18"/>
          <w:szCs w:val="18"/>
        </w:rPr>
        <w:t xml:space="preserve">legen in de Atlantische Oceaan </w:t>
      </w:r>
      <w:r w:rsidRPr="00972521">
        <w:rPr>
          <w:sz w:val="18"/>
          <w:szCs w:val="18"/>
        </w:rPr>
        <w:t>bestaande uit negen eilanden.</w:t>
      </w:r>
    </w:p>
  </w:footnote>
  <w:footnote w:id="198">
    <w:p w:rsidR="00A64945" w:rsidRDefault="00A64945" w:rsidP="00B6772C">
      <w:pPr>
        <w:pStyle w:val="FootnoteText"/>
        <w:jc w:val="both"/>
      </w:pPr>
      <w:r w:rsidRPr="00F51ABF">
        <w:rPr>
          <w:rStyle w:val="FootnoteReference"/>
          <w:rFonts w:cs="Arial"/>
          <w:sz w:val="18"/>
          <w:szCs w:val="18"/>
        </w:rPr>
        <w:footnoteRef/>
      </w:r>
      <w:r w:rsidRPr="00A1622F">
        <w:rPr>
          <w:sz w:val="18"/>
          <w:szCs w:val="18"/>
        </w:rPr>
        <w:t xml:space="preserve"> C-88/03 van 6 september 2006, Portugal/Commissie.</w:t>
      </w:r>
    </w:p>
  </w:footnote>
  <w:footnote w:id="199">
    <w:p w:rsidR="00A64945" w:rsidRDefault="00A64945" w:rsidP="00B6772C">
      <w:pPr>
        <w:pStyle w:val="FootnoteText"/>
        <w:jc w:val="both"/>
      </w:pPr>
      <w:r w:rsidRPr="00F51ABF">
        <w:rPr>
          <w:rStyle w:val="FootnoteReference"/>
          <w:rFonts w:cs="Arial"/>
          <w:sz w:val="18"/>
          <w:szCs w:val="18"/>
        </w:rPr>
        <w:footnoteRef/>
      </w:r>
      <w:r w:rsidRPr="00F51ABF">
        <w:rPr>
          <w:sz w:val="18"/>
          <w:szCs w:val="18"/>
        </w:rPr>
        <w:t xml:space="preserve"> Beschikking 2003/442/EG van de Commissie van 11 december 2002, Pb. L 150.</w:t>
      </w:r>
    </w:p>
  </w:footnote>
  <w:footnote w:id="200">
    <w:p w:rsidR="00A64945" w:rsidRPr="00F51ABF" w:rsidRDefault="00A64945" w:rsidP="00B6772C">
      <w:pPr>
        <w:autoSpaceDE w:val="0"/>
        <w:autoSpaceDN w:val="0"/>
        <w:adjustRightInd w:val="0"/>
        <w:spacing w:after="0" w:line="240" w:lineRule="auto"/>
        <w:jc w:val="both"/>
        <w:rPr>
          <w:rFonts w:cs="EUAlbertina"/>
          <w:i/>
          <w:sz w:val="18"/>
          <w:szCs w:val="18"/>
        </w:rPr>
      </w:pPr>
      <w:r w:rsidRPr="00F51ABF">
        <w:rPr>
          <w:rStyle w:val="FootnoteReference"/>
          <w:rFonts w:cs="Arial"/>
          <w:sz w:val="18"/>
          <w:szCs w:val="18"/>
        </w:rPr>
        <w:footnoteRef/>
      </w:r>
      <w:r w:rsidRPr="00F51ABF">
        <w:rPr>
          <w:sz w:val="18"/>
          <w:szCs w:val="18"/>
        </w:rPr>
        <w:t xml:space="preserve"> In de eerste alinea van artikel 108, lid 2 VwEU is bepaald dat </w:t>
      </w:r>
      <w:r w:rsidRPr="00F51ABF">
        <w:rPr>
          <w:i/>
          <w:sz w:val="18"/>
          <w:szCs w:val="18"/>
        </w:rPr>
        <w:t>‘</w:t>
      </w:r>
      <w:r>
        <w:rPr>
          <w:rFonts w:cs="EUAlbertina"/>
          <w:i/>
          <w:sz w:val="18"/>
          <w:szCs w:val="18"/>
        </w:rPr>
        <w:t>i</w:t>
      </w:r>
      <w:r w:rsidRPr="00F51ABF">
        <w:rPr>
          <w:rFonts w:cs="EUAlbertina"/>
          <w:i/>
          <w:sz w:val="18"/>
          <w:szCs w:val="18"/>
        </w:rPr>
        <w:t>ndien de Commissie, na de belanghebbenden te hebben aangemaand hun opmerkingen te</w:t>
      </w:r>
      <w:r>
        <w:rPr>
          <w:rFonts w:cs="EUAlbertina"/>
          <w:i/>
          <w:sz w:val="18"/>
          <w:szCs w:val="18"/>
        </w:rPr>
        <w:t xml:space="preserve"> </w:t>
      </w:r>
      <w:r w:rsidRPr="00F51ABF">
        <w:rPr>
          <w:rFonts w:cs="EUAlbertina"/>
          <w:i/>
          <w:sz w:val="18"/>
          <w:szCs w:val="18"/>
        </w:rPr>
        <w:t>maken, vaststelt dat een steunmaatregel door een staat of met staatsmiddelen bekostigd, volgens</w:t>
      </w:r>
      <w:r>
        <w:rPr>
          <w:rFonts w:cs="EUAlbertina"/>
          <w:i/>
          <w:sz w:val="18"/>
          <w:szCs w:val="18"/>
        </w:rPr>
        <w:t xml:space="preserve"> </w:t>
      </w:r>
      <w:r w:rsidRPr="00F51ABF">
        <w:rPr>
          <w:rFonts w:cs="EUAlbertina"/>
          <w:i/>
          <w:sz w:val="18"/>
          <w:szCs w:val="18"/>
        </w:rPr>
        <w:t>artikel 107 niet verenigbaar is met de interne markt of dat van deze steunmaatregel misbruik wordt</w:t>
      </w:r>
    </w:p>
    <w:p w:rsidR="00A64945" w:rsidRDefault="00A64945" w:rsidP="00B6772C">
      <w:pPr>
        <w:autoSpaceDE w:val="0"/>
        <w:autoSpaceDN w:val="0"/>
        <w:adjustRightInd w:val="0"/>
        <w:spacing w:after="0" w:line="240" w:lineRule="auto"/>
        <w:jc w:val="both"/>
      </w:pPr>
      <w:r w:rsidRPr="00F51ABF">
        <w:rPr>
          <w:rFonts w:cs="EUAlbertina"/>
          <w:i/>
          <w:sz w:val="18"/>
          <w:szCs w:val="18"/>
        </w:rPr>
        <w:t>gemaakt, bepaalt zij dat de betrokken staat die steunmaatregel moet opheffen of wijzigen binnen de</w:t>
      </w:r>
      <w:r>
        <w:rPr>
          <w:rFonts w:cs="EUAlbertina"/>
          <w:i/>
          <w:sz w:val="18"/>
          <w:szCs w:val="18"/>
        </w:rPr>
        <w:t xml:space="preserve"> </w:t>
      </w:r>
      <w:r w:rsidRPr="00F51ABF">
        <w:rPr>
          <w:rFonts w:cs="EUAlbertina"/>
          <w:i/>
          <w:sz w:val="18"/>
          <w:szCs w:val="18"/>
        </w:rPr>
        <w:t>door haar vast te stellen termijn.</w:t>
      </w:r>
      <w:r>
        <w:rPr>
          <w:rFonts w:cs="EUAlbertina"/>
          <w:i/>
          <w:sz w:val="18"/>
          <w:szCs w:val="18"/>
        </w:rPr>
        <w:t>’</w:t>
      </w:r>
    </w:p>
  </w:footnote>
  <w:footnote w:id="201">
    <w:p w:rsidR="00A64945" w:rsidRDefault="00A64945" w:rsidP="00B6772C">
      <w:pPr>
        <w:pStyle w:val="FootnoteText"/>
        <w:jc w:val="both"/>
      </w:pPr>
      <w:r w:rsidRPr="0060018E">
        <w:rPr>
          <w:rStyle w:val="FootnoteReference"/>
          <w:rFonts w:cs="Arial"/>
          <w:sz w:val="18"/>
          <w:szCs w:val="18"/>
        </w:rPr>
        <w:footnoteRef/>
      </w:r>
      <w:r w:rsidRPr="0060018E">
        <w:rPr>
          <w:sz w:val="18"/>
          <w:szCs w:val="18"/>
        </w:rPr>
        <w:t xml:space="preserve"> </w:t>
      </w:r>
      <w:r w:rsidRPr="00972BAC">
        <w:rPr>
          <w:sz w:val="18"/>
          <w:szCs w:val="18"/>
        </w:rPr>
        <w:t>d.d. 2 april 1976.</w:t>
      </w:r>
    </w:p>
  </w:footnote>
  <w:footnote w:id="202">
    <w:p w:rsidR="00A64945" w:rsidRDefault="00A64945" w:rsidP="00B6772C">
      <w:pPr>
        <w:pStyle w:val="FootnoteText"/>
        <w:jc w:val="both"/>
      </w:pPr>
      <w:r w:rsidRPr="0060018E">
        <w:rPr>
          <w:rStyle w:val="FootnoteReference"/>
          <w:rFonts w:cs="Arial"/>
          <w:sz w:val="18"/>
          <w:szCs w:val="18"/>
        </w:rPr>
        <w:footnoteRef/>
      </w:r>
      <w:r w:rsidRPr="0060018E">
        <w:rPr>
          <w:sz w:val="18"/>
          <w:szCs w:val="18"/>
        </w:rPr>
        <w:t xml:space="preserve"> </w:t>
      </w:r>
      <w:r>
        <w:rPr>
          <w:sz w:val="18"/>
          <w:szCs w:val="18"/>
        </w:rPr>
        <w:t xml:space="preserve">Art. 6, tweede lid Portugese Grondwet/r.o. 8, arrest C-88/03. In het vervolg zal gemakshalve alleen de rechtsoverweging genoemd worden. Het gaat iedere keer om een rechtsoverweging in het onderhavige arrest C-88/03: Portugal/Commissie. </w:t>
      </w:r>
    </w:p>
  </w:footnote>
  <w:footnote w:id="203">
    <w:p w:rsidR="00A64945" w:rsidRDefault="00A64945" w:rsidP="00B6772C">
      <w:pPr>
        <w:pStyle w:val="FootnoteText"/>
        <w:jc w:val="both"/>
      </w:pPr>
      <w:r w:rsidRPr="0060018E">
        <w:rPr>
          <w:rStyle w:val="FootnoteReference"/>
          <w:rFonts w:cs="Arial"/>
          <w:sz w:val="18"/>
          <w:szCs w:val="18"/>
        </w:rPr>
        <w:footnoteRef/>
      </w:r>
      <w:r w:rsidRPr="0060018E">
        <w:rPr>
          <w:sz w:val="18"/>
          <w:szCs w:val="18"/>
        </w:rPr>
        <w:t xml:space="preserve"> r.o. 9.</w:t>
      </w:r>
    </w:p>
  </w:footnote>
  <w:footnote w:id="204">
    <w:p w:rsidR="00A64945" w:rsidRDefault="00A64945" w:rsidP="00B6772C">
      <w:pPr>
        <w:pStyle w:val="FootnoteText"/>
        <w:jc w:val="both"/>
      </w:pPr>
      <w:r w:rsidRPr="0060018E">
        <w:rPr>
          <w:rStyle w:val="FootnoteReference"/>
          <w:rFonts w:cs="Arial"/>
          <w:sz w:val="18"/>
          <w:szCs w:val="18"/>
        </w:rPr>
        <w:footnoteRef/>
      </w:r>
      <w:r w:rsidRPr="0060018E">
        <w:rPr>
          <w:sz w:val="18"/>
          <w:szCs w:val="18"/>
        </w:rPr>
        <w:t xml:space="preserve"> </w:t>
      </w:r>
      <w:r>
        <w:rPr>
          <w:sz w:val="18"/>
          <w:szCs w:val="18"/>
        </w:rPr>
        <w:t xml:space="preserve">Wet </w:t>
      </w:r>
      <w:r w:rsidRPr="0060018E">
        <w:rPr>
          <w:sz w:val="18"/>
          <w:szCs w:val="18"/>
        </w:rPr>
        <w:t xml:space="preserve">nr. 13/98 van 24 februari </w:t>
      </w:r>
      <w:r>
        <w:rPr>
          <w:sz w:val="18"/>
          <w:szCs w:val="18"/>
        </w:rPr>
        <w:t xml:space="preserve">1998 </w:t>
      </w:r>
      <w:r w:rsidRPr="0060018E">
        <w:rPr>
          <w:sz w:val="18"/>
          <w:szCs w:val="18"/>
        </w:rPr>
        <w:t xml:space="preserve">betreffende de financiën van de autonome regio’s (lei n° 13/98, de 24 de Fevereiro, Lei de Finanças das Regiões Autónomas, </w:t>
      </w:r>
      <w:r w:rsidRPr="0060018E">
        <w:rPr>
          <w:i/>
          <w:iCs/>
          <w:sz w:val="18"/>
          <w:szCs w:val="18"/>
        </w:rPr>
        <w:t xml:space="preserve">Diário da República </w:t>
      </w:r>
      <w:r w:rsidRPr="0060018E">
        <w:rPr>
          <w:sz w:val="18"/>
          <w:szCs w:val="18"/>
        </w:rPr>
        <w:t xml:space="preserve">I, serie A, nr. 46, van 24 februari 1998, </w:t>
      </w:r>
      <w:r>
        <w:rPr>
          <w:sz w:val="18"/>
          <w:szCs w:val="18"/>
        </w:rPr>
        <w:t>pg</w:t>
      </w:r>
      <w:r w:rsidRPr="0060018E">
        <w:rPr>
          <w:sz w:val="18"/>
          <w:szCs w:val="18"/>
        </w:rPr>
        <w:t>. 746).</w:t>
      </w:r>
    </w:p>
  </w:footnote>
  <w:footnote w:id="205">
    <w:p w:rsidR="00A64945" w:rsidRDefault="00A64945" w:rsidP="00B6772C">
      <w:pPr>
        <w:pStyle w:val="FootnoteText"/>
        <w:jc w:val="both"/>
      </w:pPr>
      <w:r w:rsidRPr="0060018E">
        <w:rPr>
          <w:rStyle w:val="FootnoteReference"/>
          <w:rFonts w:cs="Arial"/>
          <w:sz w:val="18"/>
          <w:szCs w:val="18"/>
        </w:rPr>
        <w:footnoteRef/>
      </w:r>
      <w:r w:rsidRPr="0060018E">
        <w:rPr>
          <w:sz w:val="18"/>
          <w:szCs w:val="18"/>
        </w:rPr>
        <w:t xml:space="preserve"> r.o. 10.</w:t>
      </w:r>
    </w:p>
  </w:footnote>
  <w:footnote w:id="206">
    <w:p w:rsidR="00A64945" w:rsidRDefault="00A64945" w:rsidP="00B6772C">
      <w:pPr>
        <w:pStyle w:val="FootnoteText"/>
        <w:jc w:val="both"/>
      </w:pPr>
      <w:r w:rsidRPr="0060018E">
        <w:rPr>
          <w:rStyle w:val="FootnoteReference"/>
          <w:rFonts w:cs="Arial"/>
          <w:sz w:val="18"/>
          <w:szCs w:val="18"/>
        </w:rPr>
        <w:footnoteRef/>
      </w:r>
      <w:r w:rsidRPr="0060018E">
        <w:rPr>
          <w:sz w:val="18"/>
          <w:szCs w:val="18"/>
        </w:rPr>
        <w:t xml:space="preserve"> </w:t>
      </w:r>
      <w:r w:rsidRPr="004443B4">
        <w:rPr>
          <w:sz w:val="18"/>
          <w:szCs w:val="18"/>
        </w:rPr>
        <w:t>r.o. 11.</w:t>
      </w:r>
    </w:p>
  </w:footnote>
  <w:footnote w:id="207">
    <w:p w:rsidR="00A64945" w:rsidRDefault="00A64945" w:rsidP="00AA7B8B">
      <w:pPr>
        <w:autoSpaceDE w:val="0"/>
        <w:autoSpaceDN w:val="0"/>
        <w:adjustRightInd w:val="0"/>
        <w:spacing w:after="0" w:line="240" w:lineRule="auto"/>
        <w:jc w:val="both"/>
      </w:pPr>
      <w:r w:rsidRPr="000011B2">
        <w:rPr>
          <w:rStyle w:val="FootnoteReference"/>
          <w:rFonts w:cs="Arial"/>
          <w:sz w:val="18"/>
          <w:szCs w:val="18"/>
        </w:rPr>
        <w:footnoteRef/>
      </w:r>
      <w:r>
        <w:rPr>
          <w:sz w:val="18"/>
          <w:szCs w:val="18"/>
        </w:rPr>
        <w:t xml:space="preserve"> </w:t>
      </w:r>
      <w:r w:rsidRPr="00AA7B8B">
        <w:rPr>
          <w:rFonts w:cs="Minion"/>
          <w:sz w:val="18"/>
          <w:szCs w:val="18"/>
        </w:rPr>
        <w:t xml:space="preserve">In: D.A. Albregtse &amp; P. </w:t>
      </w:r>
      <w:r>
        <w:rPr>
          <w:rFonts w:cs="Minion"/>
          <w:sz w:val="18"/>
          <w:szCs w:val="18"/>
        </w:rPr>
        <w:t>Kavelaars (red</w:t>
      </w:r>
      <w:r w:rsidRPr="00AA7B8B">
        <w:rPr>
          <w:rFonts w:cs="Minion"/>
          <w:sz w:val="18"/>
          <w:szCs w:val="18"/>
        </w:rPr>
        <w:t xml:space="preserve">.), </w:t>
      </w:r>
      <w:r w:rsidRPr="00AA7B8B">
        <w:rPr>
          <w:rFonts w:cs="Minion,Italic"/>
          <w:i/>
          <w:iCs/>
          <w:sz w:val="18"/>
          <w:szCs w:val="18"/>
        </w:rPr>
        <w:t xml:space="preserve">Maatschappelijk Heffen; De Wetenschap, </w:t>
      </w:r>
      <w:r w:rsidRPr="00AA7B8B">
        <w:rPr>
          <w:sz w:val="18"/>
          <w:szCs w:val="18"/>
        </w:rPr>
        <w:t>pg. 593</w:t>
      </w:r>
      <w:r>
        <w:rPr>
          <w:sz w:val="18"/>
          <w:szCs w:val="18"/>
        </w:rPr>
        <w:t>, Kluwer, Deventer, 2006</w:t>
      </w:r>
      <w:r w:rsidRPr="00AA7B8B">
        <w:rPr>
          <w:sz w:val="18"/>
          <w:szCs w:val="18"/>
        </w:rPr>
        <w:t>.</w:t>
      </w:r>
      <w:r w:rsidRPr="00AA7B8B">
        <w:rPr>
          <w:rFonts w:cs="Minion"/>
          <w:sz w:val="18"/>
          <w:szCs w:val="18"/>
        </w:rPr>
        <w:t xml:space="preserve"> </w:t>
      </w:r>
    </w:p>
  </w:footnote>
  <w:footnote w:id="208">
    <w:p w:rsidR="00A64945" w:rsidRDefault="00A64945" w:rsidP="00B6772C">
      <w:pPr>
        <w:pStyle w:val="FootnoteText"/>
        <w:jc w:val="both"/>
      </w:pPr>
      <w:r w:rsidRPr="00735AC0">
        <w:rPr>
          <w:rStyle w:val="FootnoteReference"/>
          <w:rFonts w:cs="Arial"/>
          <w:sz w:val="18"/>
          <w:szCs w:val="18"/>
        </w:rPr>
        <w:footnoteRef/>
      </w:r>
      <w:r w:rsidRPr="00735AC0">
        <w:rPr>
          <w:sz w:val="18"/>
          <w:szCs w:val="18"/>
        </w:rPr>
        <w:t xml:space="preserve"> r.o. 14.</w:t>
      </w:r>
    </w:p>
  </w:footnote>
  <w:footnote w:id="209">
    <w:p w:rsidR="00A64945" w:rsidRDefault="00A64945" w:rsidP="00B6772C">
      <w:pPr>
        <w:pStyle w:val="FootnoteText"/>
        <w:jc w:val="both"/>
      </w:pPr>
      <w:r w:rsidRPr="00735AC0">
        <w:rPr>
          <w:rStyle w:val="FootnoteReference"/>
          <w:rFonts w:cs="Arial"/>
          <w:sz w:val="18"/>
          <w:szCs w:val="18"/>
        </w:rPr>
        <w:footnoteRef/>
      </w:r>
      <w:r w:rsidRPr="00735AC0">
        <w:rPr>
          <w:sz w:val="18"/>
          <w:szCs w:val="18"/>
        </w:rPr>
        <w:t xml:space="preserve"> r.o. 19.</w:t>
      </w:r>
    </w:p>
  </w:footnote>
  <w:footnote w:id="210">
    <w:p w:rsidR="00A64945" w:rsidRDefault="00A64945" w:rsidP="00B6772C">
      <w:pPr>
        <w:pStyle w:val="FootnoteText"/>
        <w:jc w:val="both"/>
      </w:pPr>
      <w:r w:rsidRPr="00735AC0">
        <w:rPr>
          <w:rStyle w:val="FootnoteReference"/>
          <w:rFonts w:cs="Arial"/>
          <w:sz w:val="18"/>
          <w:szCs w:val="18"/>
        </w:rPr>
        <w:footnoteRef/>
      </w:r>
      <w:r>
        <w:rPr>
          <w:sz w:val="18"/>
          <w:szCs w:val="18"/>
        </w:rPr>
        <w:t xml:space="preserve"> Zie ook i</w:t>
      </w:r>
      <w:r w:rsidRPr="00AA7B8B">
        <w:rPr>
          <w:rFonts w:cs="Minion"/>
          <w:sz w:val="18"/>
          <w:szCs w:val="18"/>
        </w:rPr>
        <w:t xml:space="preserve">n: D.A. Albregtse &amp; P. </w:t>
      </w:r>
      <w:r>
        <w:rPr>
          <w:rFonts w:cs="Minion"/>
          <w:sz w:val="18"/>
          <w:szCs w:val="18"/>
        </w:rPr>
        <w:t>Kavelaars (red</w:t>
      </w:r>
      <w:r w:rsidRPr="00AA7B8B">
        <w:rPr>
          <w:rFonts w:cs="Minion"/>
          <w:sz w:val="18"/>
          <w:szCs w:val="18"/>
        </w:rPr>
        <w:t xml:space="preserve">.), </w:t>
      </w:r>
      <w:r w:rsidRPr="00AA7B8B">
        <w:rPr>
          <w:rFonts w:cs="Minion,Italic"/>
          <w:i/>
          <w:iCs/>
          <w:sz w:val="18"/>
          <w:szCs w:val="18"/>
        </w:rPr>
        <w:t xml:space="preserve">Maatschappelijk Heffen; De Wetenschap, </w:t>
      </w:r>
      <w:r w:rsidRPr="00AA7B8B">
        <w:rPr>
          <w:sz w:val="18"/>
          <w:szCs w:val="18"/>
        </w:rPr>
        <w:t>pg. 593</w:t>
      </w:r>
      <w:r>
        <w:rPr>
          <w:sz w:val="18"/>
          <w:szCs w:val="18"/>
        </w:rPr>
        <w:t>, Kluwer, Deventer, 2006</w:t>
      </w:r>
      <w:r w:rsidRPr="00AA7B8B">
        <w:rPr>
          <w:sz w:val="18"/>
          <w:szCs w:val="18"/>
        </w:rPr>
        <w:t>.</w:t>
      </w:r>
    </w:p>
  </w:footnote>
  <w:footnote w:id="211">
    <w:p w:rsidR="00A64945" w:rsidRDefault="00A64945" w:rsidP="00B6772C">
      <w:pPr>
        <w:pStyle w:val="FootnoteText"/>
        <w:jc w:val="both"/>
      </w:pPr>
      <w:r w:rsidRPr="003357CA">
        <w:rPr>
          <w:rStyle w:val="FootnoteReference"/>
          <w:rFonts w:cs="Arial"/>
          <w:sz w:val="18"/>
          <w:szCs w:val="18"/>
        </w:rPr>
        <w:footnoteRef/>
      </w:r>
      <w:r w:rsidRPr="003357CA">
        <w:rPr>
          <w:sz w:val="18"/>
          <w:szCs w:val="18"/>
        </w:rPr>
        <w:t xml:space="preserve"> </w:t>
      </w:r>
      <w:r w:rsidRPr="00AA7B8B">
        <w:rPr>
          <w:rFonts w:cs="Minion"/>
          <w:sz w:val="18"/>
          <w:szCs w:val="18"/>
        </w:rPr>
        <w:t xml:space="preserve">In: D.A. Albregtse &amp; P. </w:t>
      </w:r>
      <w:r>
        <w:rPr>
          <w:rFonts w:cs="Minion"/>
          <w:sz w:val="18"/>
          <w:szCs w:val="18"/>
        </w:rPr>
        <w:t>Kavelaars (red</w:t>
      </w:r>
      <w:r w:rsidRPr="00AA7B8B">
        <w:rPr>
          <w:rFonts w:cs="Minion"/>
          <w:sz w:val="18"/>
          <w:szCs w:val="18"/>
        </w:rPr>
        <w:t xml:space="preserve">.), </w:t>
      </w:r>
      <w:r w:rsidRPr="00AA7B8B">
        <w:rPr>
          <w:rFonts w:cs="Minion,Italic"/>
          <w:i/>
          <w:iCs/>
          <w:sz w:val="18"/>
          <w:szCs w:val="18"/>
        </w:rPr>
        <w:t xml:space="preserve">Maatschappelijk Heffen; De Wetenschap, </w:t>
      </w:r>
      <w:r w:rsidRPr="00AA7B8B">
        <w:rPr>
          <w:sz w:val="18"/>
          <w:szCs w:val="18"/>
        </w:rPr>
        <w:t>pg. 593</w:t>
      </w:r>
      <w:r>
        <w:rPr>
          <w:sz w:val="18"/>
          <w:szCs w:val="18"/>
        </w:rPr>
        <w:t xml:space="preserve">, Kluwer, Deventer, 2006 </w:t>
      </w:r>
      <w:r w:rsidRPr="003357CA">
        <w:rPr>
          <w:sz w:val="18"/>
          <w:szCs w:val="18"/>
        </w:rPr>
        <w:t xml:space="preserve">en </w:t>
      </w:r>
      <w:r>
        <w:rPr>
          <w:sz w:val="18"/>
          <w:szCs w:val="18"/>
        </w:rPr>
        <w:t xml:space="preserve">zie </w:t>
      </w:r>
      <w:r w:rsidRPr="003357CA">
        <w:rPr>
          <w:sz w:val="18"/>
          <w:szCs w:val="18"/>
        </w:rPr>
        <w:t>ook r.o. 39</w:t>
      </w:r>
      <w:r>
        <w:rPr>
          <w:sz w:val="18"/>
          <w:szCs w:val="18"/>
        </w:rPr>
        <w:t xml:space="preserve"> van het arrest C-88/03</w:t>
      </w:r>
      <w:r w:rsidRPr="003357CA">
        <w:rPr>
          <w:sz w:val="18"/>
          <w:szCs w:val="18"/>
        </w:rPr>
        <w:t>.</w:t>
      </w:r>
    </w:p>
  </w:footnote>
  <w:footnote w:id="212">
    <w:p w:rsidR="00A64945" w:rsidRDefault="00A64945" w:rsidP="00B6772C">
      <w:pPr>
        <w:pStyle w:val="FootnoteText"/>
        <w:jc w:val="both"/>
      </w:pPr>
      <w:r w:rsidRPr="003357CA">
        <w:rPr>
          <w:rStyle w:val="FootnoteReference"/>
          <w:rFonts w:cs="Arial"/>
          <w:sz w:val="18"/>
          <w:szCs w:val="18"/>
        </w:rPr>
        <w:footnoteRef/>
      </w:r>
      <w:r w:rsidRPr="003357CA">
        <w:rPr>
          <w:sz w:val="18"/>
          <w:szCs w:val="18"/>
        </w:rPr>
        <w:t xml:space="preserve"> </w:t>
      </w:r>
      <w:r w:rsidRPr="0026628A">
        <w:rPr>
          <w:sz w:val="18"/>
          <w:szCs w:val="18"/>
        </w:rPr>
        <w:t>r.o. 57.</w:t>
      </w:r>
    </w:p>
  </w:footnote>
  <w:footnote w:id="213">
    <w:p w:rsidR="00A64945" w:rsidRDefault="00A64945" w:rsidP="00B6772C">
      <w:pPr>
        <w:pStyle w:val="FootnoteText"/>
        <w:jc w:val="both"/>
      </w:pPr>
      <w:r w:rsidRPr="003357CA">
        <w:rPr>
          <w:rStyle w:val="FootnoteReference"/>
          <w:rFonts w:cs="Arial"/>
          <w:sz w:val="18"/>
          <w:szCs w:val="18"/>
        </w:rPr>
        <w:footnoteRef/>
      </w:r>
      <w:r w:rsidRPr="003357CA">
        <w:rPr>
          <w:sz w:val="18"/>
          <w:szCs w:val="18"/>
        </w:rPr>
        <w:t xml:space="preserve"> </w:t>
      </w:r>
      <w:r w:rsidRPr="0026628A">
        <w:rPr>
          <w:sz w:val="18"/>
          <w:szCs w:val="18"/>
        </w:rPr>
        <w:t>r.o. 58 i.c.m. r.o. 62.</w:t>
      </w:r>
    </w:p>
  </w:footnote>
  <w:footnote w:id="214">
    <w:p w:rsidR="00A64945" w:rsidRDefault="00A64945" w:rsidP="00B6772C">
      <w:pPr>
        <w:pStyle w:val="FootnoteText"/>
        <w:jc w:val="both"/>
      </w:pPr>
      <w:r w:rsidRPr="003357CA">
        <w:rPr>
          <w:rStyle w:val="FootnoteReference"/>
          <w:rFonts w:cs="Arial"/>
          <w:sz w:val="18"/>
          <w:szCs w:val="18"/>
        </w:rPr>
        <w:footnoteRef/>
      </w:r>
      <w:r w:rsidRPr="003357CA">
        <w:rPr>
          <w:sz w:val="18"/>
          <w:szCs w:val="18"/>
        </w:rPr>
        <w:t xml:space="preserve"> </w:t>
      </w:r>
      <w:r w:rsidRPr="0026628A">
        <w:rPr>
          <w:sz w:val="18"/>
          <w:szCs w:val="18"/>
        </w:rPr>
        <w:t>r.o. 67.</w:t>
      </w:r>
    </w:p>
  </w:footnote>
  <w:footnote w:id="215">
    <w:p w:rsidR="00A64945" w:rsidRDefault="00A64945" w:rsidP="00B6772C">
      <w:pPr>
        <w:pStyle w:val="FootnoteText"/>
        <w:jc w:val="both"/>
      </w:pPr>
      <w:r w:rsidRPr="000B0EA7">
        <w:rPr>
          <w:rStyle w:val="FootnoteReference"/>
          <w:rFonts w:cs="Arial"/>
          <w:sz w:val="18"/>
          <w:szCs w:val="18"/>
        </w:rPr>
        <w:footnoteRef/>
      </w:r>
      <w:r w:rsidRPr="000B0EA7">
        <w:rPr>
          <w:sz w:val="18"/>
          <w:szCs w:val="18"/>
        </w:rPr>
        <w:t xml:space="preserve"> </w:t>
      </w:r>
      <w:r w:rsidRPr="0026628A">
        <w:rPr>
          <w:sz w:val="18"/>
          <w:szCs w:val="18"/>
        </w:rPr>
        <w:t>r.o. 75.</w:t>
      </w:r>
    </w:p>
  </w:footnote>
  <w:footnote w:id="216">
    <w:p w:rsidR="00A64945" w:rsidRDefault="00A64945" w:rsidP="00B6772C">
      <w:pPr>
        <w:pStyle w:val="FootnoteText"/>
        <w:jc w:val="both"/>
      </w:pPr>
      <w:r w:rsidRPr="000B0EA7">
        <w:rPr>
          <w:rStyle w:val="FootnoteReference"/>
          <w:rFonts w:cs="Arial"/>
          <w:sz w:val="18"/>
          <w:szCs w:val="18"/>
        </w:rPr>
        <w:footnoteRef/>
      </w:r>
      <w:r w:rsidRPr="000B0EA7">
        <w:rPr>
          <w:sz w:val="18"/>
          <w:szCs w:val="18"/>
        </w:rPr>
        <w:t xml:space="preserve"> </w:t>
      </w:r>
      <w:r w:rsidRPr="0026628A">
        <w:rPr>
          <w:sz w:val="18"/>
          <w:szCs w:val="18"/>
        </w:rPr>
        <w:t>r.o. 78.</w:t>
      </w:r>
    </w:p>
  </w:footnote>
  <w:footnote w:id="217">
    <w:p w:rsidR="00A64945" w:rsidRDefault="00A64945" w:rsidP="00B6772C">
      <w:pPr>
        <w:pStyle w:val="FootnoteText"/>
        <w:jc w:val="both"/>
      </w:pPr>
      <w:r w:rsidRPr="009E313F">
        <w:rPr>
          <w:rStyle w:val="FootnoteReference"/>
          <w:rFonts w:cs="Arial"/>
          <w:sz w:val="18"/>
          <w:szCs w:val="18"/>
        </w:rPr>
        <w:footnoteRef/>
      </w:r>
      <w:r w:rsidRPr="009E313F">
        <w:rPr>
          <w:sz w:val="18"/>
          <w:szCs w:val="18"/>
        </w:rPr>
        <w:t xml:space="preserve"> In rechtsoverweging 78 wordt het oordeel van het Hof gegeven. Het Hof was van oordeel dat aangezien voor de</w:t>
      </w:r>
      <w:r w:rsidRPr="00420674">
        <w:rPr>
          <w:sz w:val="18"/>
          <w:szCs w:val="18"/>
        </w:rPr>
        <w:t xml:space="preserve"> beoordeling of de betrokken belastingmaatregelen selectief zijn als relevant referentiekader niet uitsluitend het geografische gebied van de regio Azoren kan worden gekozen, maar uit gegaan dient te worden van het volledige Portugese grondgebied, de belastingmaatregelen in kwestie als selectieve maatregelen aangemerkt worden.</w:t>
      </w:r>
      <w:r>
        <w:rPr>
          <w:sz w:val="18"/>
          <w:szCs w:val="18"/>
        </w:rPr>
        <w:t xml:space="preserve">  Ik wil hier een opmerking bij plaatsen. Er zijn diverse vormen van selectieve maatregelen. De regionale selectiviteit die in dit arrest speelt, is daar één van. Bij staatsteun gaat het immers enerzijds om formele regionale selectiviteit</w:t>
      </w:r>
      <w:r w:rsidRPr="00420674">
        <w:rPr>
          <w:sz w:val="18"/>
          <w:szCs w:val="18"/>
        </w:rPr>
        <w:t xml:space="preserve"> </w:t>
      </w:r>
      <w:r>
        <w:rPr>
          <w:sz w:val="18"/>
          <w:szCs w:val="18"/>
        </w:rPr>
        <w:t>die kleeft aan een hoedanigheid, bijvoorbeeld ziekenhuizen en woningcorporaties worden wel toegelaten in een bepaalde regio, maar andere bedrijven niet, of wel het gaat erom dat er in een bepaalde situatie formeel geen onderscheid wordt gemaakt naar hoedanigheid, maar dat het materieel wel zo uitpakt door de manier waarop de regels zijn ingericht. Regionale selectiviteit wil niet zonder meer zeggen dat er tevens wordt gekeken naar de hoedanigheid van entiteiten, er wordt dan alleen gekeken naar de vestigingsplaats van entiteiten en dat is evident: een bedrijf is in een bepaalde regio gevestigd of niet. Het feit dat een regio een bepaald regime hanteert,wil niet automatisch zeggen dat het selectief is in de ondernemingen die kunnen profiteren van die regeling. Dat is weer een andere vorm van selectiviteit welke resulteert in indirecte discriminatie en dus een verboden staatssteun is. Hiervan is sprake in het geval dat de wijze waarop geselecteerd wordt formeel zodanig is ingericht dat in feite alleen een bepaald soort bedrijven zich in een gebied gaan clusteren. Het gaat hier dus om maatregelen die formeel niet onderscheidend zijn, maar zo zijn ingericht dat het materieel wel zo uitpakt. Dergelijke maatregelen zijn dus ook selectieve maatregelen.</w:t>
      </w:r>
    </w:p>
  </w:footnote>
  <w:footnote w:id="218">
    <w:p w:rsidR="00A64945" w:rsidRDefault="00A64945" w:rsidP="00B6772C">
      <w:pPr>
        <w:pStyle w:val="FootnoteText"/>
        <w:jc w:val="both"/>
      </w:pPr>
      <w:r w:rsidRPr="00FB3D07">
        <w:rPr>
          <w:rStyle w:val="FootnoteReference"/>
          <w:rFonts w:cs="Arial"/>
          <w:sz w:val="18"/>
          <w:szCs w:val="18"/>
        </w:rPr>
        <w:footnoteRef/>
      </w:r>
      <w:r w:rsidRPr="00FB3D07">
        <w:rPr>
          <w:sz w:val="18"/>
          <w:szCs w:val="18"/>
        </w:rPr>
        <w:t xml:space="preserve"> Zie in dit kader de arresten van 2 juli 1974, Italië/ Commissie en arrest van 15 december 2005, Unicredito Italiano, C- 148/04.</w:t>
      </w:r>
    </w:p>
  </w:footnote>
  <w:footnote w:id="219">
    <w:p w:rsidR="00A64945" w:rsidRDefault="00A64945" w:rsidP="00B6772C">
      <w:pPr>
        <w:pStyle w:val="FootnoteText"/>
        <w:jc w:val="both"/>
      </w:pPr>
      <w:r w:rsidRPr="00FB3D07">
        <w:rPr>
          <w:rStyle w:val="FootnoteReference"/>
          <w:rFonts w:cs="Arial"/>
          <w:sz w:val="18"/>
          <w:szCs w:val="18"/>
        </w:rPr>
        <w:footnoteRef/>
      </w:r>
      <w:r>
        <w:rPr>
          <w:sz w:val="18"/>
          <w:szCs w:val="18"/>
        </w:rPr>
        <w:t xml:space="preserve"> r.o. 52 van C- 88/03.</w:t>
      </w:r>
    </w:p>
  </w:footnote>
  <w:footnote w:id="220">
    <w:p w:rsidR="00A64945" w:rsidRDefault="00A64945" w:rsidP="00B6772C">
      <w:pPr>
        <w:pStyle w:val="FootnoteText"/>
        <w:jc w:val="both"/>
      </w:pPr>
      <w:r w:rsidRPr="00FB3D07">
        <w:rPr>
          <w:rStyle w:val="FootnoteReference"/>
          <w:rFonts w:cs="Arial"/>
          <w:sz w:val="18"/>
          <w:szCs w:val="18"/>
        </w:rPr>
        <w:footnoteRef/>
      </w:r>
      <w:r w:rsidRPr="00FB3D07">
        <w:rPr>
          <w:sz w:val="18"/>
          <w:szCs w:val="18"/>
        </w:rPr>
        <w:t xml:space="preserve"> In dit verband moet een onderscheid worden gemaakt tussen de doelstellingen van een specifiek belastingstelsel die buiten dat stelsel zijn gelegen, en de voor het bereiken van dergelijke doelstellingen noodzakelijke mechanismen die inherent zijn aan het belastingstelsel zelf (r.o. 81</w:t>
      </w:r>
      <w:r>
        <w:rPr>
          <w:sz w:val="18"/>
          <w:szCs w:val="18"/>
        </w:rPr>
        <w:t>)</w:t>
      </w:r>
      <w:r w:rsidRPr="00FB3D07">
        <w:rPr>
          <w:sz w:val="18"/>
          <w:szCs w:val="18"/>
        </w:rPr>
        <w:t>.</w:t>
      </w:r>
    </w:p>
  </w:footnote>
  <w:footnote w:id="221">
    <w:p w:rsidR="00A64945" w:rsidRDefault="00A64945" w:rsidP="00B6772C">
      <w:pPr>
        <w:pStyle w:val="FootnoteText"/>
        <w:jc w:val="both"/>
      </w:pPr>
      <w:r w:rsidRPr="00FB3D07">
        <w:rPr>
          <w:rStyle w:val="FootnoteReference"/>
          <w:rFonts w:cs="Arial"/>
          <w:sz w:val="18"/>
          <w:szCs w:val="18"/>
        </w:rPr>
        <w:footnoteRef/>
      </w:r>
      <w:r w:rsidRPr="00FB3D07">
        <w:rPr>
          <w:sz w:val="18"/>
          <w:szCs w:val="18"/>
        </w:rPr>
        <w:t xml:space="preserve"> </w:t>
      </w:r>
      <w:r>
        <w:rPr>
          <w:sz w:val="18"/>
          <w:szCs w:val="18"/>
        </w:rPr>
        <w:t>r</w:t>
      </w:r>
      <w:r w:rsidRPr="00FB3D07">
        <w:rPr>
          <w:sz w:val="18"/>
          <w:szCs w:val="18"/>
        </w:rPr>
        <w:t>.o. 41.</w:t>
      </w:r>
    </w:p>
  </w:footnote>
  <w:footnote w:id="222">
    <w:p w:rsidR="00A64945" w:rsidRDefault="00A64945" w:rsidP="009307DE">
      <w:pPr>
        <w:pStyle w:val="FootnoteText"/>
        <w:jc w:val="both"/>
      </w:pPr>
      <w:r w:rsidRPr="009307DE">
        <w:rPr>
          <w:rStyle w:val="FootnoteReference"/>
          <w:rFonts w:cs="Arial"/>
          <w:sz w:val="18"/>
          <w:szCs w:val="18"/>
        </w:rPr>
        <w:footnoteRef/>
      </w:r>
      <w:r w:rsidRPr="009307DE">
        <w:rPr>
          <w:sz w:val="18"/>
          <w:szCs w:val="18"/>
        </w:rPr>
        <w:t xml:space="preserve"> r.o. 83.</w:t>
      </w:r>
    </w:p>
  </w:footnote>
  <w:footnote w:id="223">
    <w:p w:rsidR="00A64945" w:rsidRDefault="00A64945" w:rsidP="009307DE">
      <w:pPr>
        <w:pStyle w:val="FootnoteText"/>
        <w:jc w:val="both"/>
      </w:pPr>
      <w:r w:rsidRPr="009307DE">
        <w:rPr>
          <w:rStyle w:val="FootnoteReference"/>
          <w:rFonts w:cs="Arial"/>
          <w:sz w:val="18"/>
          <w:szCs w:val="18"/>
        </w:rPr>
        <w:footnoteRef/>
      </w:r>
      <w:r w:rsidRPr="009307DE">
        <w:rPr>
          <w:sz w:val="18"/>
          <w:szCs w:val="18"/>
        </w:rPr>
        <w:t xml:space="preserve">  Z</w:t>
      </w:r>
      <w:r w:rsidRPr="009307DE">
        <w:rPr>
          <w:sz w:val="18"/>
          <w:szCs w:val="18"/>
          <w:highlight w:val="yellow"/>
        </w:rPr>
        <w:t>ie in dit kader ook voetnoot 372.</w:t>
      </w:r>
    </w:p>
  </w:footnote>
  <w:footnote w:id="224">
    <w:p w:rsidR="00A64945" w:rsidRDefault="00A64945" w:rsidP="009307DE">
      <w:pPr>
        <w:pStyle w:val="FootnoteText"/>
        <w:jc w:val="both"/>
      </w:pPr>
      <w:r w:rsidRPr="009307DE">
        <w:rPr>
          <w:rStyle w:val="FootnoteReference"/>
          <w:rFonts w:cs="Arial"/>
          <w:sz w:val="18"/>
          <w:szCs w:val="18"/>
        </w:rPr>
        <w:footnoteRef/>
      </w:r>
      <w:r w:rsidRPr="009307DE">
        <w:rPr>
          <w:sz w:val="18"/>
          <w:szCs w:val="18"/>
        </w:rPr>
        <w:t xml:space="preserve"> Indien een steunmaatregel niet tegelijkertijd aan alle criteria van art. 107, lid 1 VwEU voldoet, is er geen sprake van een verboden staatssteun, aangezien hiervoor vereist is dat cumulatief aan alle voorwaarden van art. 107, lid 1 VwEU wordt voldaan.</w:t>
      </w:r>
    </w:p>
  </w:footnote>
  <w:footnote w:id="225">
    <w:p w:rsidR="00A64945" w:rsidRDefault="00A64945" w:rsidP="009307DE">
      <w:pPr>
        <w:autoSpaceDE w:val="0"/>
        <w:autoSpaceDN w:val="0"/>
        <w:adjustRightInd w:val="0"/>
        <w:spacing w:after="0" w:line="240" w:lineRule="auto"/>
        <w:jc w:val="both"/>
      </w:pPr>
      <w:r w:rsidRPr="009307DE">
        <w:rPr>
          <w:rStyle w:val="FootnoteReference"/>
          <w:rFonts w:cs="Arial"/>
          <w:sz w:val="18"/>
          <w:szCs w:val="18"/>
        </w:rPr>
        <w:footnoteRef/>
      </w:r>
      <w:r w:rsidRPr="009307DE">
        <w:rPr>
          <w:sz w:val="18"/>
          <w:szCs w:val="18"/>
        </w:rPr>
        <w:t xml:space="preserve"> </w:t>
      </w:r>
      <w:r w:rsidRPr="009307DE">
        <w:rPr>
          <w:rFonts w:cs="TTE5FF4868t00"/>
          <w:sz w:val="18"/>
          <w:szCs w:val="18"/>
        </w:rPr>
        <w:t>Verordening (EG) nr. 1998/2006 van de Commissie van 15 december 2006 betreffende de toepassing van de artikelen 87 en 88 van het Verdrag op de- minimissteun Pb. EG 2006, L 379/5, punt 1.</w:t>
      </w:r>
    </w:p>
  </w:footnote>
  <w:footnote w:id="226">
    <w:p w:rsidR="00A64945" w:rsidRDefault="00A64945" w:rsidP="009307DE">
      <w:pPr>
        <w:autoSpaceDE w:val="0"/>
        <w:autoSpaceDN w:val="0"/>
        <w:adjustRightInd w:val="0"/>
        <w:spacing w:after="0" w:line="240" w:lineRule="auto"/>
        <w:jc w:val="both"/>
      </w:pPr>
      <w:r w:rsidRPr="009307DE">
        <w:rPr>
          <w:rStyle w:val="FootnoteReference"/>
          <w:rFonts w:cs="Arial"/>
          <w:sz w:val="18"/>
          <w:szCs w:val="18"/>
        </w:rPr>
        <w:footnoteRef/>
      </w:r>
      <w:r w:rsidRPr="009307DE">
        <w:rPr>
          <w:sz w:val="18"/>
          <w:szCs w:val="18"/>
        </w:rPr>
        <w:t xml:space="preserve"> </w:t>
      </w:r>
      <w:r w:rsidRPr="009307DE">
        <w:rPr>
          <w:rFonts w:cs="TTE5FF4868t00"/>
          <w:sz w:val="18"/>
          <w:szCs w:val="18"/>
        </w:rPr>
        <w:t>Verordening (EG) nr. 1998/2006 van de Commissie van 15 december 2006 betreffende de toepassing van de artikelen 87 en 88 van het Verdrag op de- minimissteun Pb. EG 2006, L 379/5.</w:t>
      </w:r>
    </w:p>
  </w:footnote>
  <w:footnote w:id="227">
    <w:p w:rsidR="00A64945" w:rsidRDefault="00A64945" w:rsidP="009307DE">
      <w:pPr>
        <w:autoSpaceDE w:val="0"/>
        <w:autoSpaceDN w:val="0"/>
        <w:adjustRightInd w:val="0"/>
        <w:spacing w:after="0" w:line="240" w:lineRule="auto"/>
        <w:jc w:val="both"/>
      </w:pPr>
      <w:r w:rsidRPr="009307DE">
        <w:rPr>
          <w:rStyle w:val="FootnoteReference"/>
          <w:rFonts w:cs="Arial"/>
          <w:sz w:val="18"/>
          <w:szCs w:val="18"/>
        </w:rPr>
        <w:footnoteRef/>
      </w:r>
      <w:r w:rsidRPr="009307DE">
        <w:rPr>
          <w:sz w:val="18"/>
          <w:szCs w:val="18"/>
        </w:rPr>
        <w:t xml:space="preserve"> </w:t>
      </w:r>
      <w:r w:rsidRPr="009307DE">
        <w:rPr>
          <w:rFonts w:cs="TTE5FF4868t00"/>
          <w:sz w:val="18"/>
          <w:szCs w:val="18"/>
        </w:rPr>
        <w:t>Verordening (EG) nr. 1998/2006 van de Commissie van 15 december 2006 betreffende de toepassing van de artikelen 87 en 88 van het Verdrag op de- minimissteun Pb. EG 2006, L 379/5, punt 8.</w:t>
      </w:r>
    </w:p>
  </w:footnote>
  <w:footnote w:id="228">
    <w:p w:rsidR="00A64945" w:rsidRDefault="00A64945" w:rsidP="00B6772C">
      <w:pPr>
        <w:autoSpaceDE w:val="0"/>
        <w:autoSpaceDN w:val="0"/>
        <w:adjustRightInd w:val="0"/>
        <w:spacing w:after="0" w:line="240" w:lineRule="auto"/>
        <w:jc w:val="both"/>
      </w:pPr>
      <w:r w:rsidRPr="00D65F52">
        <w:rPr>
          <w:rStyle w:val="FootnoteReference"/>
          <w:rFonts w:cs="Arial"/>
          <w:sz w:val="18"/>
          <w:szCs w:val="18"/>
        </w:rPr>
        <w:footnoteRef/>
      </w:r>
      <w:r w:rsidRPr="00D65F52">
        <w:rPr>
          <w:sz w:val="18"/>
          <w:szCs w:val="18"/>
        </w:rPr>
        <w:t xml:space="preserve"> </w:t>
      </w:r>
      <w:r w:rsidRPr="00D65F52">
        <w:rPr>
          <w:rFonts w:cs="TTE5FF4868t00"/>
          <w:sz w:val="18"/>
          <w:szCs w:val="18"/>
        </w:rPr>
        <w:t>Verordening (EG) nr. 1998/2006 van de Commissie van 15 december 2006 betreffende de toepassing van de artikelen 87 en 88 van het Verdrag op de- minimissteun Pb. EG 2006, L 379/5, punt 1; slotzin.</w:t>
      </w:r>
    </w:p>
  </w:footnote>
  <w:footnote w:id="229">
    <w:p w:rsidR="00A64945" w:rsidRDefault="00A64945" w:rsidP="00B6772C">
      <w:pPr>
        <w:autoSpaceDE w:val="0"/>
        <w:autoSpaceDN w:val="0"/>
        <w:adjustRightInd w:val="0"/>
        <w:spacing w:after="0" w:line="240" w:lineRule="auto"/>
        <w:jc w:val="both"/>
      </w:pPr>
      <w:r w:rsidRPr="00D65F52">
        <w:rPr>
          <w:rStyle w:val="FootnoteReference"/>
          <w:rFonts w:cs="Arial"/>
          <w:sz w:val="18"/>
          <w:szCs w:val="18"/>
        </w:rPr>
        <w:footnoteRef/>
      </w:r>
      <w:r w:rsidRPr="00D65F52">
        <w:rPr>
          <w:sz w:val="18"/>
          <w:szCs w:val="18"/>
        </w:rPr>
        <w:t xml:space="preserve"> </w:t>
      </w:r>
      <w:r w:rsidRPr="00D65F52">
        <w:rPr>
          <w:rFonts w:cs="TTE5FF4868t00"/>
          <w:sz w:val="18"/>
          <w:szCs w:val="18"/>
        </w:rPr>
        <w:t>Verordening (EG) nr. 1998/2006 van de Commissie van 15 december 2006 betreffende de toepassing van de artikelen 87 en 88 van het Verdrag op de- minimissteun Pb. EG 2006, L 379/5, punt 9 jo. lid 2.</w:t>
      </w:r>
    </w:p>
  </w:footnote>
  <w:footnote w:id="230">
    <w:p w:rsidR="00A64945" w:rsidRDefault="00A64945" w:rsidP="00B6772C">
      <w:pPr>
        <w:pStyle w:val="FootnoteText"/>
        <w:jc w:val="both"/>
      </w:pPr>
      <w:r w:rsidRPr="00D65F52">
        <w:rPr>
          <w:rStyle w:val="FootnoteReference"/>
          <w:rFonts w:cs="Arial"/>
          <w:sz w:val="18"/>
          <w:szCs w:val="18"/>
        </w:rPr>
        <w:footnoteRef/>
      </w:r>
      <w:r w:rsidRPr="00D65F52">
        <w:rPr>
          <w:sz w:val="18"/>
          <w:szCs w:val="18"/>
        </w:rPr>
        <w:t xml:space="preserve"> </w:t>
      </w:r>
      <w:r w:rsidRPr="00D65F52">
        <w:rPr>
          <w:rFonts w:cs="TTE5FF4868t00"/>
          <w:sz w:val="18"/>
          <w:szCs w:val="18"/>
        </w:rPr>
        <w:t>Verordening (EG) nr. 1998/2006 van de Commissie van 15 december 2006 betreffende de toepassing van de artikelen 87 en 88 van het Verdrag op de- minimissteun Pb. EG 2006, L 379/5, punt 13 jo. lid 4.</w:t>
      </w:r>
    </w:p>
  </w:footnote>
  <w:footnote w:id="231">
    <w:p w:rsidR="00A64945" w:rsidRDefault="00A64945" w:rsidP="00B6772C">
      <w:pPr>
        <w:pStyle w:val="FootnoteText"/>
        <w:jc w:val="both"/>
      </w:pPr>
      <w:r w:rsidRPr="00D65F52">
        <w:rPr>
          <w:rStyle w:val="FootnoteReference"/>
          <w:rFonts w:cs="Arial"/>
          <w:sz w:val="18"/>
          <w:szCs w:val="18"/>
        </w:rPr>
        <w:footnoteRef/>
      </w:r>
      <w:r w:rsidRPr="00D65F52">
        <w:rPr>
          <w:sz w:val="18"/>
          <w:szCs w:val="18"/>
        </w:rPr>
        <w:t xml:space="preserve"> </w:t>
      </w:r>
      <w:r w:rsidRPr="00D65F52">
        <w:rPr>
          <w:rFonts w:cs="TTE5FF4868t00"/>
          <w:sz w:val="18"/>
          <w:szCs w:val="18"/>
        </w:rPr>
        <w:t>Verordening (EG) nr. 1998/2006 van de Commissie van 15 december 2006 betreffende de toepassing van de artikelen 87 en 88 van het Verdrag op de- minimissteun Pb. EG 2006, L 379/5, lid 4;onderdeel a.</w:t>
      </w:r>
    </w:p>
  </w:footnote>
  <w:footnote w:id="232">
    <w:p w:rsidR="00A64945" w:rsidRDefault="00A64945" w:rsidP="00B6772C">
      <w:pPr>
        <w:pStyle w:val="FootnoteText"/>
        <w:jc w:val="both"/>
      </w:pPr>
      <w:r w:rsidRPr="00D65F52">
        <w:rPr>
          <w:rStyle w:val="FootnoteReference"/>
          <w:rFonts w:cs="Arial"/>
          <w:sz w:val="18"/>
          <w:szCs w:val="18"/>
        </w:rPr>
        <w:footnoteRef/>
      </w:r>
      <w:r w:rsidRPr="00D65F52">
        <w:rPr>
          <w:sz w:val="18"/>
          <w:szCs w:val="18"/>
        </w:rPr>
        <w:t xml:space="preserve"> Leningen met een variabele rente komen mijns inziens niet aanmerking voor de de- minimissteunregeling, aangezien bij dergelijke leningen de totale omvang niet vooraf aan het verlenen van de steun in zijn nauwkeurigheid (zoals dat wordt vereist) in kaart kan worden gebracht. Met name in het geval dat er geen risicoanalyse wordt uitgevoerd.</w:t>
      </w:r>
    </w:p>
  </w:footnote>
  <w:footnote w:id="233">
    <w:p w:rsidR="00A64945" w:rsidRDefault="00A64945" w:rsidP="00B6772C">
      <w:pPr>
        <w:pStyle w:val="FootnoteText"/>
        <w:jc w:val="both"/>
      </w:pPr>
      <w:r w:rsidRPr="00D65F52">
        <w:rPr>
          <w:rStyle w:val="FootnoteReference"/>
          <w:rFonts w:cs="Arial"/>
          <w:sz w:val="18"/>
          <w:szCs w:val="18"/>
        </w:rPr>
        <w:footnoteRef/>
      </w:r>
      <w:r w:rsidRPr="00D65F52">
        <w:rPr>
          <w:sz w:val="18"/>
          <w:szCs w:val="18"/>
        </w:rPr>
        <w:t xml:space="preserve"> </w:t>
      </w:r>
      <w:r w:rsidRPr="00D65F52">
        <w:rPr>
          <w:rFonts w:cs="TTE5FF4868t00"/>
          <w:sz w:val="18"/>
          <w:szCs w:val="18"/>
        </w:rPr>
        <w:t>Verordening (EG) nr. 1998/2006 van de Commissie van 15 december 2006 betreffende de toepassing van de artikelen 87 en 88 van het Verdrag op de- minimissteun Pb. EG 2006, L 379/5, art. 1, lid 1;onderdeel a.</w:t>
      </w:r>
    </w:p>
  </w:footnote>
  <w:footnote w:id="234">
    <w:p w:rsidR="00A64945" w:rsidRDefault="00A64945" w:rsidP="00B6772C">
      <w:pPr>
        <w:pStyle w:val="FootnoteText"/>
        <w:jc w:val="both"/>
      </w:pPr>
      <w:r w:rsidRPr="00D65F52">
        <w:rPr>
          <w:rStyle w:val="FootnoteReference"/>
          <w:rFonts w:cs="Arial"/>
          <w:sz w:val="18"/>
          <w:szCs w:val="18"/>
        </w:rPr>
        <w:footnoteRef/>
      </w:r>
      <w:r w:rsidRPr="00D65F52">
        <w:rPr>
          <w:sz w:val="18"/>
          <w:szCs w:val="18"/>
        </w:rPr>
        <w:t xml:space="preserve"> </w:t>
      </w:r>
      <w:r w:rsidRPr="00D65F52">
        <w:rPr>
          <w:rFonts w:cs="TTE5FF4868t00"/>
          <w:sz w:val="18"/>
          <w:szCs w:val="18"/>
        </w:rPr>
        <w:t>Verordening (EG) nr. 1998/2006 van de Commissie van 15 december 2006 betreffende de toepassing van de artikelen 87 en 88 van het Verdrag op de- minimissteun Pb. EG 2006, L 379/5, art. 1, lid 1; onderdeel b.</w:t>
      </w:r>
    </w:p>
  </w:footnote>
  <w:footnote w:id="235">
    <w:p w:rsidR="00A64945" w:rsidRDefault="00A64945" w:rsidP="009173EC">
      <w:pPr>
        <w:pStyle w:val="FootnoteText"/>
        <w:jc w:val="both"/>
      </w:pPr>
      <w:r w:rsidRPr="00166713">
        <w:rPr>
          <w:rStyle w:val="FootnoteReference"/>
          <w:rFonts w:cs="Arial"/>
          <w:sz w:val="18"/>
          <w:szCs w:val="18"/>
        </w:rPr>
        <w:footnoteRef/>
      </w:r>
      <w:r w:rsidRPr="00166713">
        <w:rPr>
          <w:sz w:val="18"/>
          <w:szCs w:val="18"/>
        </w:rPr>
        <w:t xml:space="preserve"> Cólon is een havenstad gelegen aan de Caribische kust van Panama.</w:t>
      </w:r>
    </w:p>
  </w:footnote>
  <w:footnote w:id="236">
    <w:p w:rsidR="00A64945" w:rsidRDefault="00A64945" w:rsidP="009173EC">
      <w:pPr>
        <w:autoSpaceDE w:val="0"/>
        <w:autoSpaceDN w:val="0"/>
        <w:adjustRightInd w:val="0"/>
        <w:spacing w:after="0" w:line="240" w:lineRule="auto"/>
        <w:jc w:val="both"/>
      </w:pPr>
      <w:r w:rsidRPr="00166713">
        <w:rPr>
          <w:rStyle w:val="FootnoteReference"/>
          <w:rFonts w:cs="Arial"/>
          <w:sz w:val="18"/>
          <w:szCs w:val="18"/>
        </w:rPr>
        <w:footnoteRef/>
      </w:r>
      <w:r w:rsidRPr="00166713">
        <w:rPr>
          <w:sz w:val="18"/>
          <w:szCs w:val="18"/>
        </w:rPr>
        <w:t xml:space="preserve"> Eilanden zoals </w:t>
      </w:r>
      <w:r w:rsidRPr="00166713">
        <w:rPr>
          <w:color w:val="000000"/>
          <w:sz w:val="18"/>
          <w:szCs w:val="18"/>
        </w:rPr>
        <w:t>Puerto Rico (1951), de Bahama’s (1955), de Dominicaanse Republiek (1955) en Jamaica (1956) gingen de N</w:t>
      </w:r>
      <w:r>
        <w:rPr>
          <w:color w:val="000000"/>
          <w:sz w:val="18"/>
          <w:szCs w:val="18"/>
        </w:rPr>
        <w:t xml:space="preserve">ederlandse </w:t>
      </w:r>
      <w:r w:rsidRPr="00166713">
        <w:rPr>
          <w:color w:val="000000"/>
          <w:sz w:val="18"/>
          <w:szCs w:val="18"/>
        </w:rPr>
        <w:t>A</w:t>
      </w:r>
      <w:r>
        <w:rPr>
          <w:color w:val="000000"/>
          <w:sz w:val="18"/>
          <w:szCs w:val="18"/>
        </w:rPr>
        <w:t xml:space="preserve">ntillen </w:t>
      </w:r>
      <w:r w:rsidRPr="00166713">
        <w:rPr>
          <w:color w:val="000000"/>
          <w:sz w:val="18"/>
          <w:szCs w:val="18"/>
        </w:rPr>
        <w:t xml:space="preserve">voor met wetgeving die vrije zones mogelijk maakte. Tegenwoordig heeft vrijwel elk (ei)land in het Caribische gebied een faciliteit die op het concept van de vrije zone is gebaseerd. </w:t>
      </w:r>
    </w:p>
  </w:footnote>
  <w:footnote w:id="237">
    <w:p w:rsidR="00A64945" w:rsidRDefault="00A64945" w:rsidP="009173EC">
      <w:pPr>
        <w:pStyle w:val="FootnoteText"/>
        <w:jc w:val="both"/>
      </w:pPr>
      <w:r w:rsidRPr="00166713">
        <w:rPr>
          <w:rStyle w:val="FootnoteReference"/>
          <w:rFonts w:cs="Arial"/>
          <w:sz w:val="18"/>
          <w:szCs w:val="18"/>
        </w:rPr>
        <w:footnoteRef/>
      </w:r>
      <w:r w:rsidRPr="00166713">
        <w:rPr>
          <w:sz w:val="18"/>
          <w:szCs w:val="18"/>
        </w:rPr>
        <w:t xml:space="preserve"> Landsverordening </w:t>
      </w:r>
      <w:r>
        <w:rPr>
          <w:sz w:val="18"/>
          <w:szCs w:val="18"/>
        </w:rPr>
        <w:t>v</w:t>
      </w:r>
      <w:r w:rsidRPr="00166713">
        <w:rPr>
          <w:sz w:val="18"/>
          <w:szCs w:val="18"/>
        </w:rPr>
        <w:t xml:space="preserve">rije </w:t>
      </w:r>
      <w:r>
        <w:rPr>
          <w:sz w:val="18"/>
          <w:szCs w:val="18"/>
        </w:rPr>
        <w:t>z</w:t>
      </w:r>
      <w:r w:rsidRPr="00166713">
        <w:rPr>
          <w:sz w:val="18"/>
          <w:szCs w:val="18"/>
        </w:rPr>
        <w:t>ones 1956, PbNA 1956, nr. 63.</w:t>
      </w:r>
      <w:r w:rsidRPr="002D79F2">
        <w:rPr>
          <w:sz w:val="18"/>
          <w:szCs w:val="18"/>
        </w:rPr>
        <w:t xml:space="preserve"> </w:t>
      </w:r>
      <w:r>
        <w:rPr>
          <w:sz w:val="18"/>
          <w:szCs w:val="18"/>
        </w:rPr>
        <w:t>Een l</w:t>
      </w:r>
      <w:r w:rsidRPr="00166713">
        <w:rPr>
          <w:sz w:val="18"/>
          <w:szCs w:val="18"/>
        </w:rPr>
        <w:t>andsverordening is vergelijkbaar met een formele wet in de zin van art. 81 Grondwet.</w:t>
      </w:r>
    </w:p>
  </w:footnote>
  <w:footnote w:id="238">
    <w:p w:rsidR="00A64945" w:rsidRDefault="00A64945" w:rsidP="009173EC">
      <w:pPr>
        <w:pStyle w:val="FootnoteText"/>
        <w:jc w:val="both"/>
      </w:pPr>
      <w:r w:rsidRPr="00DF63DE">
        <w:rPr>
          <w:rStyle w:val="FootnoteReference"/>
          <w:rFonts w:cs="Arial"/>
          <w:sz w:val="18"/>
          <w:szCs w:val="18"/>
        </w:rPr>
        <w:footnoteRef/>
      </w:r>
      <w:r w:rsidRPr="00DF63DE">
        <w:rPr>
          <w:sz w:val="18"/>
          <w:szCs w:val="18"/>
        </w:rPr>
        <w:t xml:space="preserve"> </w:t>
      </w:r>
      <w:r w:rsidRPr="00DF63DE">
        <w:rPr>
          <w:iCs/>
          <w:color w:val="000000"/>
          <w:sz w:val="18"/>
          <w:szCs w:val="18"/>
        </w:rPr>
        <w:t>Teneinde weerstand te bieden aan de belastingconcurrentie uit omliggende gebieden, voerde de N</w:t>
      </w:r>
      <w:r>
        <w:rPr>
          <w:iCs/>
          <w:color w:val="000000"/>
          <w:sz w:val="18"/>
          <w:szCs w:val="18"/>
        </w:rPr>
        <w:t xml:space="preserve">ederlandse </w:t>
      </w:r>
      <w:r w:rsidRPr="00DF63DE">
        <w:rPr>
          <w:iCs/>
          <w:color w:val="000000"/>
          <w:sz w:val="18"/>
          <w:szCs w:val="18"/>
        </w:rPr>
        <w:t>A</w:t>
      </w:r>
      <w:r>
        <w:rPr>
          <w:iCs/>
          <w:color w:val="000000"/>
          <w:sz w:val="18"/>
          <w:szCs w:val="18"/>
        </w:rPr>
        <w:t>ntillen</w:t>
      </w:r>
      <w:r w:rsidRPr="00DF63DE">
        <w:rPr>
          <w:iCs/>
          <w:color w:val="000000"/>
          <w:sz w:val="18"/>
          <w:szCs w:val="18"/>
        </w:rPr>
        <w:t xml:space="preserve"> </w:t>
      </w:r>
      <w:r>
        <w:rPr>
          <w:iCs/>
          <w:color w:val="000000"/>
          <w:sz w:val="18"/>
          <w:szCs w:val="18"/>
        </w:rPr>
        <w:t xml:space="preserve">met de LVZ 1975 (de directe opvolger van de LVZ 1956) bijvoorbeeld </w:t>
      </w:r>
      <w:r w:rsidRPr="00DF63DE">
        <w:rPr>
          <w:iCs/>
          <w:color w:val="000000"/>
          <w:sz w:val="18"/>
          <w:szCs w:val="18"/>
        </w:rPr>
        <w:t>een verdere verlaging van het winstbelastingtarief naar 2% door. Ook werd met de LVZ 1975 de administrati</w:t>
      </w:r>
      <w:r>
        <w:rPr>
          <w:iCs/>
          <w:color w:val="000000"/>
          <w:sz w:val="18"/>
          <w:szCs w:val="18"/>
        </w:rPr>
        <w:t>eve rompslomp die onder de LVZ 1956 door investeerders als zeer belemmerd werd ervaren, verminderd.</w:t>
      </w:r>
    </w:p>
  </w:footnote>
  <w:footnote w:id="239">
    <w:p w:rsidR="00A64945" w:rsidRDefault="00A64945" w:rsidP="009173EC">
      <w:pPr>
        <w:pStyle w:val="FootnoteText"/>
        <w:jc w:val="both"/>
      </w:pPr>
      <w:r w:rsidRPr="00DF63DE">
        <w:rPr>
          <w:rStyle w:val="FootnoteReference"/>
          <w:rFonts w:cs="Arial"/>
          <w:sz w:val="18"/>
          <w:szCs w:val="18"/>
        </w:rPr>
        <w:footnoteRef/>
      </w:r>
      <w:r w:rsidRPr="00DF63DE">
        <w:rPr>
          <w:sz w:val="18"/>
          <w:szCs w:val="18"/>
        </w:rPr>
        <w:t xml:space="preserve"> </w:t>
      </w:r>
      <w:r w:rsidRPr="00DF63DE">
        <w:rPr>
          <w:iCs/>
          <w:color w:val="000000"/>
          <w:sz w:val="18"/>
          <w:szCs w:val="18"/>
        </w:rPr>
        <w:t xml:space="preserve">PbNA </w:t>
      </w:r>
      <w:r w:rsidRPr="00DF63DE">
        <w:rPr>
          <w:color w:val="000000"/>
          <w:sz w:val="18"/>
          <w:szCs w:val="18"/>
        </w:rPr>
        <w:t>1975, nr. 211.</w:t>
      </w:r>
    </w:p>
  </w:footnote>
  <w:footnote w:id="240">
    <w:p w:rsidR="00A64945" w:rsidRDefault="00A64945" w:rsidP="009173EC">
      <w:pPr>
        <w:pStyle w:val="FootnoteText"/>
        <w:jc w:val="both"/>
      </w:pPr>
      <w:r w:rsidRPr="00166713">
        <w:rPr>
          <w:rStyle w:val="FootnoteReference"/>
          <w:rFonts w:cs="Arial"/>
          <w:sz w:val="18"/>
          <w:szCs w:val="18"/>
        </w:rPr>
        <w:footnoteRef/>
      </w:r>
      <w:r w:rsidRPr="00166713">
        <w:rPr>
          <w:sz w:val="18"/>
          <w:szCs w:val="18"/>
        </w:rPr>
        <w:t xml:space="preserve"> Landsverordening van 12 februar</w:t>
      </w:r>
      <w:r>
        <w:rPr>
          <w:sz w:val="18"/>
          <w:szCs w:val="18"/>
        </w:rPr>
        <w:t xml:space="preserve">i 2001, PbNA 2001, nr. 18. </w:t>
      </w:r>
    </w:p>
  </w:footnote>
  <w:footnote w:id="241">
    <w:p w:rsidR="00A64945" w:rsidRDefault="00A64945" w:rsidP="009173EC">
      <w:pPr>
        <w:pStyle w:val="FootnoteText"/>
        <w:jc w:val="both"/>
      </w:pPr>
      <w:r w:rsidRPr="00E55E6B">
        <w:rPr>
          <w:rStyle w:val="FootnoteReference"/>
          <w:rFonts w:cs="Arial"/>
          <w:sz w:val="18"/>
          <w:szCs w:val="18"/>
        </w:rPr>
        <w:footnoteRef/>
      </w:r>
      <w:r w:rsidRPr="00E55E6B">
        <w:rPr>
          <w:sz w:val="18"/>
          <w:szCs w:val="18"/>
        </w:rPr>
        <w:t xml:space="preserve"> </w:t>
      </w:r>
      <w:r w:rsidRPr="00E55E6B">
        <w:rPr>
          <w:iCs/>
          <w:color w:val="000000"/>
          <w:sz w:val="18"/>
          <w:szCs w:val="18"/>
        </w:rPr>
        <w:t xml:space="preserve">PbNA </w:t>
      </w:r>
      <w:r w:rsidRPr="00E55E6B">
        <w:rPr>
          <w:color w:val="000000"/>
          <w:sz w:val="18"/>
          <w:szCs w:val="18"/>
        </w:rPr>
        <w:t>2001, nr. 18.</w:t>
      </w:r>
    </w:p>
  </w:footnote>
  <w:footnote w:id="242">
    <w:p w:rsidR="00A64945" w:rsidRDefault="00A64945" w:rsidP="009173EC">
      <w:pPr>
        <w:pStyle w:val="FootnoteText"/>
        <w:jc w:val="both"/>
      </w:pPr>
      <w:r w:rsidRPr="00483CC9">
        <w:rPr>
          <w:rStyle w:val="FootnoteReference"/>
          <w:rFonts w:cs="Arial"/>
          <w:sz w:val="18"/>
          <w:szCs w:val="18"/>
        </w:rPr>
        <w:footnoteRef/>
      </w:r>
      <w:r w:rsidRPr="00483CC9">
        <w:rPr>
          <w:sz w:val="18"/>
          <w:szCs w:val="18"/>
        </w:rPr>
        <w:t xml:space="preserve"> E-</w:t>
      </w:r>
      <w:r>
        <w:rPr>
          <w:sz w:val="18"/>
          <w:szCs w:val="18"/>
        </w:rPr>
        <w:t xml:space="preserve"> </w:t>
      </w:r>
      <w:r w:rsidRPr="00483CC9">
        <w:rPr>
          <w:sz w:val="18"/>
          <w:szCs w:val="18"/>
        </w:rPr>
        <w:t>commerce kan worden omschreven als het zaken doen via elektronische weg.</w:t>
      </w:r>
    </w:p>
  </w:footnote>
  <w:footnote w:id="243">
    <w:p w:rsidR="00A64945" w:rsidRDefault="00A64945" w:rsidP="009173EC">
      <w:pPr>
        <w:pStyle w:val="FootnoteText"/>
        <w:jc w:val="both"/>
      </w:pPr>
      <w:r w:rsidRPr="00E55E6B">
        <w:rPr>
          <w:rStyle w:val="FootnoteReference"/>
          <w:rFonts w:cs="Arial"/>
          <w:sz w:val="18"/>
          <w:szCs w:val="18"/>
        </w:rPr>
        <w:footnoteRef/>
      </w:r>
      <w:r w:rsidRPr="003B2CC0">
        <w:rPr>
          <w:sz w:val="18"/>
          <w:szCs w:val="18"/>
        </w:rPr>
        <w:t xml:space="preserve"> PbNA 2000, nr. 168.</w:t>
      </w:r>
    </w:p>
  </w:footnote>
  <w:footnote w:id="244">
    <w:p w:rsidR="00A64945" w:rsidRDefault="00A64945" w:rsidP="009173EC">
      <w:pPr>
        <w:pStyle w:val="FootnoteText"/>
        <w:jc w:val="both"/>
      </w:pPr>
      <w:r w:rsidRPr="00E55E6B">
        <w:rPr>
          <w:rStyle w:val="FootnoteReference"/>
          <w:rFonts w:cs="Arial"/>
          <w:sz w:val="18"/>
          <w:szCs w:val="18"/>
        </w:rPr>
        <w:footnoteRef/>
      </w:r>
      <w:r w:rsidRPr="00E55E6B">
        <w:rPr>
          <w:sz w:val="18"/>
          <w:szCs w:val="18"/>
        </w:rPr>
        <w:t xml:space="preserve"> De</w:t>
      </w:r>
      <w:r>
        <w:rPr>
          <w:sz w:val="18"/>
          <w:szCs w:val="18"/>
        </w:rPr>
        <w:t>ze</w:t>
      </w:r>
      <w:r w:rsidRPr="00E55E6B">
        <w:rPr>
          <w:sz w:val="18"/>
          <w:szCs w:val="18"/>
        </w:rPr>
        <w:t xml:space="preserve"> landsverordening verschaft, in aanvulling op de regels van het burgerlijk wetboek van de Nederlandse Antillen, de regels inzake overeenkomsten die langs elektronische weg worden gesloten en daarmee samenhangende aangelegenheden.</w:t>
      </w:r>
    </w:p>
  </w:footnote>
  <w:footnote w:id="245">
    <w:p w:rsidR="00A64945" w:rsidRDefault="00A64945" w:rsidP="00057F3C">
      <w:pPr>
        <w:pStyle w:val="FootnoteText"/>
        <w:jc w:val="both"/>
      </w:pPr>
      <w:r w:rsidRPr="00E55E6B">
        <w:rPr>
          <w:rStyle w:val="FootnoteReference"/>
          <w:rFonts w:cs="Arial"/>
          <w:sz w:val="18"/>
          <w:szCs w:val="18"/>
        </w:rPr>
        <w:footnoteRef/>
      </w:r>
      <w:r w:rsidRPr="00E55E6B">
        <w:rPr>
          <w:sz w:val="18"/>
          <w:szCs w:val="18"/>
        </w:rPr>
        <w:t xml:space="preserve"> De Landsverordening overeenkomsten langs elektronische weg regelt </w:t>
      </w:r>
      <w:r>
        <w:rPr>
          <w:sz w:val="18"/>
          <w:szCs w:val="18"/>
        </w:rPr>
        <w:t xml:space="preserve">in deze </w:t>
      </w:r>
      <w:r w:rsidRPr="00E55E6B">
        <w:rPr>
          <w:sz w:val="18"/>
          <w:szCs w:val="18"/>
        </w:rPr>
        <w:t>onder meer de rechtskracht van elektronische handtekeningen en overeenkomsten die via het internet of op een andere elektronische wijze tot stand zijn gekomen.</w:t>
      </w:r>
    </w:p>
  </w:footnote>
  <w:footnote w:id="246">
    <w:p w:rsidR="00A64945" w:rsidRDefault="00A64945" w:rsidP="009173EC">
      <w:pPr>
        <w:pStyle w:val="FootnoteText"/>
        <w:jc w:val="both"/>
      </w:pPr>
      <w:r w:rsidRPr="00E55E6B">
        <w:rPr>
          <w:rStyle w:val="FootnoteReference"/>
          <w:rFonts w:cs="Arial"/>
          <w:sz w:val="18"/>
          <w:szCs w:val="18"/>
        </w:rPr>
        <w:footnoteRef/>
      </w:r>
      <w:r w:rsidRPr="00E55E6B">
        <w:rPr>
          <w:sz w:val="18"/>
          <w:szCs w:val="18"/>
        </w:rPr>
        <w:t xml:space="preserve"> De LEZ 1975.</w:t>
      </w:r>
    </w:p>
  </w:footnote>
  <w:footnote w:id="247">
    <w:p w:rsidR="00A64945" w:rsidRDefault="00A64945" w:rsidP="009173EC">
      <w:pPr>
        <w:pStyle w:val="FootnoteText"/>
        <w:jc w:val="both"/>
      </w:pPr>
      <w:r w:rsidRPr="0042086A">
        <w:rPr>
          <w:rStyle w:val="FootnoteReference"/>
          <w:rFonts w:cs="Arial"/>
          <w:sz w:val="18"/>
          <w:szCs w:val="18"/>
        </w:rPr>
        <w:footnoteRef/>
      </w:r>
      <w:r w:rsidRPr="0042086A">
        <w:rPr>
          <w:sz w:val="18"/>
          <w:szCs w:val="18"/>
        </w:rPr>
        <w:t xml:space="preserve"> Statenstukken 2000/1, 2406, nr. 3, pg. 2 &amp; 3, nr. 4, pg. 1 &amp; 2 en nr. 5, pg. 2, en Raad van Advies, 19 september 2000, RA/091-091.</w:t>
      </w:r>
    </w:p>
  </w:footnote>
  <w:footnote w:id="248">
    <w:p w:rsidR="00A64945" w:rsidRDefault="00A64945" w:rsidP="004E58CD">
      <w:pPr>
        <w:pStyle w:val="FootnoteText"/>
        <w:jc w:val="both"/>
      </w:pPr>
      <w:r w:rsidRPr="004E58CD">
        <w:rPr>
          <w:rStyle w:val="FootnoteReference"/>
          <w:rFonts w:cs="Arial"/>
          <w:sz w:val="18"/>
          <w:szCs w:val="18"/>
        </w:rPr>
        <w:footnoteRef/>
      </w:r>
      <w:r w:rsidRPr="004E58CD">
        <w:rPr>
          <w:sz w:val="18"/>
          <w:szCs w:val="18"/>
        </w:rPr>
        <w:t xml:space="preserve"> Zie voor onderscheid economische zone met goederenstroom en economische zone zonder goederenstroom § 3.2.3. </w:t>
      </w:r>
    </w:p>
  </w:footnote>
  <w:footnote w:id="249">
    <w:p w:rsidR="00A64945" w:rsidRDefault="00A64945" w:rsidP="004E58CD">
      <w:pPr>
        <w:pStyle w:val="FootnoteText"/>
        <w:jc w:val="both"/>
      </w:pPr>
      <w:r w:rsidRPr="004E58CD">
        <w:rPr>
          <w:rStyle w:val="FootnoteReference"/>
          <w:rFonts w:cs="Arial"/>
          <w:sz w:val="18"/>
          <w:szCs w:val="18"/>
        </w:rPr>
        <w:footnoteRef/>
      </w:r>
      <w:r w:rsidRPr="004E58CD">
        <w:rPr>
          <w:sz w:val="18"/>
          <w:szCs w:val="18"/>
        </w:rPr>
        <w:t xml:space="preserve"> Art. 4, vierde lid, letter a LVZ 1975.</w:t>
      </w:r>
    </w:p>
  </w:footnote>
  <w:footnote w:id="250">
    <w:p w:rsidR="00A64945" w:rsidRDefault="00A64945" w:rsidP="004E58CD">
      <w:pPr>
        <w:pStyle w:val="FootnoteText"/>
        <w:jc w:val="both"/>
      </w:pPr>
      <w:r w:rsidRPr="004E58CD">
        <w:rPr>
          <w:rStyle w:val="FootnoteReference"/>
          <w:rFonts w:cs="Arial"/>
          <w:sz w:val="18"/>
          <w:szCs w:val="18"/>
        </w:rPr>
        <w:footnoteRef/>
      </w:r>
      <w:r w:rsidRPr="004E58CD">
        <w:rPr>
          <w:sz w:val="18"/>
          <w:szCs w:val="18"/>
        </w:rPr>
        <w:t xml:space="preserve"> F. Metry, </w:t>
      </w:r>
      <w:r w:rsidRPr="004E58CD">
        <w:rPr>
          <w:i/>
          <w:sz w:val="18"/>
          <w:szCs w:val="18"/>
        </w:rPr>
        <w:t>Tax- holiday en vrije zone- faciliteiten</w:t>
      </w:r>
      <w:r w:rsidRPr="004E58CD">
        <w:rPr>
          <w:sz w:val="18"/>
          <w:szCs w:val="18"/>
        </w:rPr>
        <w:t>, pg. 85, Curaçao: Scherpenheuvel  1978.</w:t>
      </w:r>
    </w:p>
  </w:footnote>
  <w:footnote w:id="251">
    <w:p w:rsidR="00A64945" w:rsidRDefault="00A64945" w:rsidP="004E58CD">
      <w:pPr>
        <w:pStyle w:val="FootnoteText"/>
        <w:jc w:val="both"/>
      </w:pPr>
      <w:r w:rsidRPr="004E58CD">
        <w:rPr>
          <w:rStyle w:val="FootnoteReference"/>
          <w:rFonts w:cs="Arial"/>
          <w:sz w:val="18"/>
          <w:szCs w:val="18"/>
        </w:rPr>
        <w:footnoteRef/>
      </w:r>
      <w:r w:rsidRPr="004E58CD">
        <w:rPr>
          <w:sz w:val="18"/>
          <w:szCs w:val="18"/>
        </w:rPr>
        <w:t xml:space="preserve"> Art. 3, tweede lid, letter c LEZ 2000.</w:t>
      </w:r>
    </w:p>
  </w:footnote>
  <w:footnote w:id="252">
    <w:p w:rsidR="00A64945" w:rsidRDefault="00A64945" w:rsidP="004E58CD">
      <w:pPr>
        <w:pStyle w:val="FootnoteText"/>
        <w:jc w:val="both"/>
      </w:pPr>
      <w:r w:rsidRPr="004E58CD">
        <w:rPr>
          <w:rStyle w:val="FootnoteReference"/>
          <w:rFonts w:cs="Arial"/>
          <w:sz w:val="18"/>
          <w:szCs w:val="18"/>
        </w:rPr>
        <w:footnoteRef/>
      </w:r>
      <w:r w:rsidRPr="004E58CD">
        <w:rPr>
          <w:sz w:val="18"/>
          <w:szCs w:val="18"/>
        </w:rPr>
        <w:t xml:space="preserve"> </w:t>
      </w:r>
      <w:r w:rsidRPr="004E58CD">
        <w:rPr>
          <w:rFonts w:cs="Times New Roman"/>
          <w:sz w:val="18"/>
          <w:szCs w:val="18"/>
        </w:rPr>
        <w:t>Denk hierbij bijvoorbeeld aan de leverancier die goederen levert aan een E- Zonebedrijf of de schoonmaakster van het kantoor van een onderneming dat gevestigd is in een E- Zone.</w:t>
      </w:r>
    </w:p>
  </w:footnote>
  <w:footnote w:id="253">
    <w:p w:rsidR="00A64945" w:rsidRDefault="00A64945" w:rsidP="004E58CD">
      <w:pPr>
        <w:pStyle w:val="FootnoteText"/>
        <w:jc w:val="both"/>
      </w:pPr>
      <w:r w:rsidRPr="004E58CD">
        <w:rPr>
          <w:rStyle w:val="FootnoteReference"/>
          <w:rFonts w:cs="Arial"/>
          <w:sz w:val="18"/>
          <w:szCs w:val="18"/>
        </w:rPr>
        <w:footnoteRef/>
      </w:r>
      <w:r w:rsidRPr="004E58CD">
        <w:rPr>
          <w:sz w:val="18"/>
          <w:szCs w:val="18"/>
        </w:rPr>
        <w:t xml:space="preserve"> </w:t>
      </w:r>
      <w:r w:rsidRPr="004E58CD">
        <w:rPr>
          <w:rFonts w:cs="Times New Roman"/>
          <w:sz w:val="18"/>
          <w:szCs w:val="18"/>
        </w:rPr>
        <w:t>Denk bijvoorbeeld aan de taxichauffeur die de bestuurder (grootaandeelhouder) van een E- Zoneonderneming van het vliegveld ophaalt om naar het hotel te brengen voor de jaarlijkse algemene vergadering van aandeelhouders.</w:t>
      </w:r>
    </w:p>
  </w:footnote>
  <w:footnote w:id="254">
    <w:p w:rsidR="00A64945" w:rsidRDefault="00A64945" w:rsidP="009173EC">
      <w:pPr>
        <w:pStyle w:val="FootnoteText"/>
        <w:jc w:val="both"/>
      </w:pPr>
      <w:r w:rsidRPr="001003A4">
        <w:rPr>
          <w:rStyle w:val="FootnoteReference"/>
          <w:rFonts w:cs="Arial"/>
          <w:sz w:val="18"/>
          <w:szCs w:val="18"/>
        </w:rPr>
        <w:footnoteRef/>
      </w:r>
      <w:r w:rsidRPr="001003A4">
        <w:rPr>
          <w:sz w:val="18"/>
          <w:szCs w:val="18"/>
        </w:rPr>
        <w:t xml:space="preserve"> Art. 1, tweede lid, letter c LVZ 1975.</w:t>
      </w:r>
    </w:p>
  </w:footnote>
  <w:footnote w:id="255">
    <w:p w:rsidR="00A64945" w:rsidRDefault="00A64945" w:rsidP="009173EC">
      <w:pPr>
        <w:pStyle w:val="FootnoteText"/>
        <w:jc w:val="both"/>
      </w:pPr>
      <w:r w:rsidRPr="0056525B">
        <w:rPr>
          <w:rStyle w:val="FootnoteReference"/>
          <w:rFonts w:cs="Arial"/>
          <w:sz w:val="18"/>
          <w:szCs w:val="18"/>
        </w:rPr>
        <w:footnoteRef/>
      </w:r>
      <w:r w:rsidRPr="00ED2E60">
        <w:rPr>
          <w:sz w:val="18"/>
          <w:szCs w:val="18"/>
        </w:rPr>
        <w:t xml:space="preserve"> Art. 1, eerst</w:t>
      </w:r>
      <w:r>
        <w:rPr>
          <w:sz w:val="18"/>
          <w:szCs w:val="18"/>
        </w:rPr>
        <w:t xml:space="preserve">e lid, letter d ten 3° LEZ 2000 luidt als volgt: </w:t>
      </w:r>
      <w:r w:rsidRPr="00627374">
        <w:rPr>
          <w:i/>
          <w:sz w:val="18"/>
          <w:szCs w:val="18"/>
        </w:rPr>
        <w:t>‘andere vormen van op het buitenland gerichte dienstverlening, daaronder begrepen het veembedrijf […] en andere dienstverlenende activiteiten die met of ten behoeve van elektronische communicatie- en informatiemogelijkheden kunnen worden verricht’</w:t>
      </w:r>
      <w:r w:rsidRPr="001003A4">
        <w:rPr>
          <w:sz w:val="18"/>
          <w:szCs w:val="18"/>
        </w:rPr>
        <w:t xml:space="preserve">. </w:t>
      </w:r>
    </w:p>
  </w:footnote>
  <w:footnote w:id="256">
    <w:p w:rsidR="00A64945" w:rsidRDefault="00A64945" w:rsidP="009173EC">
      <w:pPr>
        <w:pStyle w:val="FootnoteText"/>
        <w:jc w:val="both"/>
      </w:pPr>
      <w:r w:rsidRPr="001003A4">
        <w:rPr>
          <w:rStyle w:val="FootnoteReference"/>
          <w:rFonts w:cs="Arial"/>
          <w:sz w:val="18"/>
          <w:szCs w:val="18"/>
        </w:rPr>
        <w:footnoteRef/>
      </w:r>
      <w:r w:rsidRPr="001003A4">
        <w:rPr>
          <w:sz w:val="18"/>
          <w:szCs w:val="18"/>
        </w:rPr>
        <w:t xml:space="preserve"> PbNA 2000, nr. 168.</w:t>
      </w:r>
    </w:p>
  </w:footnote>
  <w:footnote w:id="257">
    <w:p w:rsidR="00A64945" w:rsidRDefault="00A64945" w:rsidP="009173EC">
      <w:pPr>
        <w:pStyle w:val="FootnoteText"/>
        <w:jc w:val="both"/>
      </w:pPr>
      <w:r w:rsidRPr="001003A4">
        <w:rPr>
          <w:rStyle w:val="FootnoteReference"/>
          <w:rFonts w:cs="Arial"/>
          <w:sz w:val="18"/>
          <w:szCs w:val="18"/>
        </w:rPr>
        <w:footnoteRef/>
      </w:r>
      <w:r w:rsidRPr="001003A4">
        <w:rPr>
          <w:sz w:val="18"/>
          <w:szCs w:val="18"/>
        </w:rPr>
        <w:t xml:space="preserve"> De voormalige artikelen 8A, 8B, 14 en 14A van de Landsverordening op de winstbelasting 1940 (PbNA 1965, nr. 58) bevatten de per 1 januari 2002 afgeschafte offshore- bepalingen. De daarvoor in aanmerking komende activiteiten w</w:t>
      </w:r>
      <w:r>
        <w:rPr>
          <w:sz w:val="18"/>
          <w:szCs w:val="18"/>
        </w:rPr>
        <w:t>e</w:t>
      </w:r>
      <w:r w:rsidRPr="001003A4">
        <w:rPr>
          <w:sz w:val="18"/>
          <w:szCs w:val="18"/>
        </w:rPr>
        <w:t>rden belast tegen circa ééntiende deel van het reguliere winstbelastingtarief Het offshore- regime is in 2000 afgeschaft met de introductie van het Nieuw Fiscaal Raamwerk. Afgegeven rulings worden tot 2019 in acht genomen.</w:t>
      </w:r>
    </w:p>
  </w:footnote>
  <w:footnote w:id="258">
    <w:p w:rsidR="00A64945" w:rsidRDefault="00A64945" w:rsidP="009173EC">
      <w:pPr>
        <w:pStyle w:val="FootnoteText"/>
        <w:jc w:val="both"/>
      </w:pPr>
      <w:r w:rsidRPr="001003A4">
        <w:rPr>
          <w:rStyle w:val="FootnoteReference"/>
          <w:rFonts w:cs="Arial"/>
          <w:sz w:val="18"/>
          <w:szCs w:val="18"/>
        </w:rPr>
        <w:footnoteRef/>
      </w:r>
      <w:r w:rsidRPr="001003A4">
        <w:rPr>
          <w:sz w:val="18"/>
          <w:szCs w:val="18"/>
        </w:rPr>
        <w:t xml:space="preserve"> Eind 2006 is de tekst van art. 1, onderdeel d, onder 3° LEZ 2000 gewijzigd. Volgens de Primarolo- groep was de verwijzing naar de voormalige offshore- bepalingen niet duidelijk genoeg. De uitgesloten diensten worden nu opgesomd: financiële dienstverlening, royaltybetalingen en (her)verzekeringsactiviteiten (art. 1, tweede lid LEZ 2000, na PbNA 2006, nr. 98).</w:t>
      </w:r>
    </w:p>
  </w:footnote>
  <w:footnote w:id="259">
    <w:p w:rsidR="00A64945" w:rsidRDefault="00A64945" w:rsidP="00390F1A">
      <w:pPr>
        <w:pStyle w:val="FootnoteText"/>
        <w:jc w:val="both"/>
      </w:pPr>
      <w:r w:rsidRPr="004E58CD">
        <w:rPr>
          <w:rStyle w:val="FootnoteReference"/>
          <w:rFonts w:cs="Arial"/>
          <w:sz w:val="18"/>
          <w:szCs w:val="18"/>
        </w:rPr>
        <w:footnoteRef/>
      </w:r>
      <w:r w:rsidRPr="004E58CD">
        <w:rPr>
          <w:sz w:val="18"/>
          <w:szCs w:val="18"/>
        </w:rPr>
        <w:t xml:space="preserve"> Zie bijvoorbeeld bovenstaande voetnoot </w:t>
      </w:r>
      <w:r>
        <w:rPr>
          <w:sz w:val="18"/>
          <w:szCs w:val="18"/>
        </w:rPr>
        <w:t xml:space="preserve">(258) </w:t>
      </w:r>
      <w:r w:rsidRPr="004E58CD">
        <w:rPr>
          <w:sz w:val="18"/>
          <w:szCs w:val="18"/>
        </w:rPr>
        <w:t>en voetnoot 270.</w:t>
      </w:r>
    </w:p>
  </w:footnote>
  <w:footnote w:id="260">
    <w:p w:rsidR="00A64945" w:rsidRDefault="00A64945" w:rsidP="009173EC">
      <w:pPr>
        <w:pStyle w:val="FootnoteText"/>
        <w:jc w:val="both"/>
      </w:pPr>
      <w:r w:rsidRPr="001003A4">
        <w:rPr>
          <w:rStyle w:val="FootnoteReference"/>
          <w:rFonts w:cs="Arial"/>
          <w:sz w:val="18"/>
          <w:szCs w:val="18"/>
        </w:rPr>
        <w:footnoteRef/>
      </w:r>
      <w:r w:rsidRPr="001003A4">
        <w:rPr>
          <w:sz w:val="18"/>
          <w:szCs w:val="18"/>
        </w:rPr>
        <w:t xml:space="preserve"> De Primarolo- groep is een werkgroep die de naleving van de EU-</w:t>
      </w:r>
      <w:r>
        <w:rPr>
          <w:sz w:val="18"/>
          <w:szCs w:val="18"/>
        </w:rPr>
        <w:t xml:space="preserve"> </w:t>
      </w:r>
      <w:r w:rsidRPr="001003A4">
        <w:rPr>
          <w:sz w:val="18"/>
          <w:szCs w:val="18"/>
        </w:rPr>
        <w:t>gedragscode inzake schadelijke belastingconcurrentie bevordert.</w:t>
      </w:r>
      <w:r>
        <w:rPr>
          <w:sz w:val="18"/>
          <w:szCs w:val="18"/>
        </w:rPr>
        <w:t xml:space="preserve"> </w:t>
      </w:r>
    </w:p>
  </w:footnote>
  <w:footnote w:id="261">
    <w:p w:rsidR="00A64945" w:rsidRDefault="00A64945" w:rsidP="009173EC">
      <w:pPr>
        <w:pStyle w:val="FootnoteText"/>
        <w:jc w:val="both"/>
      </w:pPr>
      <w:r w:rsidRPr="00BF7E95">
        <w:rPr>
          <w:rStyle w:val="FootnoteReference"/>
          <w:rFonts w:cs="Arial"/>
          <w:sz w:val="18"/>
          <w:szCs w:val="18"/>
        </w:rPr>
        <w:footnoteRef/>
      </w:r>
      <w:r w:rsidRPr="00BF7E95">
        <w:rPr>
          <w:sz w:val="18"/>
          <w:szCs w:val="18"/>
        </w:rPr>
        <w:t xml:space="preserve"> Art. 1, onderdeel a LEZ 2000.</w:t>
      </w:r>
    </w:p>
  </w:footnote>
  <w:footnote w:id="262">
    <w:p w:rsidR="00A64945" w:rsidRDefault="00A64945" w:rsidP="009173EC">
      <w:pPr>
        <w:pStyle w:val="FootnoteText"/>
        <w:jc w:val="both"/>
      </w:pPr>
      <w:r w:rsidRPr="00BF7E95">
        <w:rPr>
          <w:rStyle w:val="FootnoteReference"/>
          <w:rFonts w:cs="Arial"/>
          <w:sz w:val="18"/>
          <w:szCs w:val="18"/>
        </w:rPr>
        <w:footnoteRef/>
      </w:r>
      <w:r w:rsidRPr="00BF7E95">
        <w:rPr>
          <w:sz w:val="18"/>
          <w:szCs w:val="18"/>
        </w:rPr>
        <w:t xml:space="preserve"> Curaçao beschikt over twee E- Zonegebieden met goederenstroom. Dit zijn de Koningsplein</w:t>
      </w:r>
      <w:r>
        <w:rPr>
          <w:sz w:val="18"/>
          <w:szCs w:val="18"/>
        </w:rPr>
        <w:t>-</w:t>
      </w:r>
      <w:r w:rsidRPr="00BF7E95">
        <w:rPr>
          <w:sz w:val="18"/>
          <w:szCs w:val="18"/>
        </w:rPr>
        <w:t xml:space="preserve"> zone in de </w:t>
      </w:r>
      <w:r>
        <w:rPr>
          <w:sz w:val="18"/>
          <w:szCs w:val="18"/>
        </w:rPr>
        <w:t>h</w:t>
      </w:r>
      <w:r w:rsidRPr="00BF7E95">
        <w:rPr>
          <w:sz w:val="18"/>
          <w:szCs w:val="18"/>
        </w:rPr>
        <w:t>aven en de Hato</w:t>
      </w:r>
      <w:r>
        <w:rPr>
          <w:sz w:val="18"/>
          <w:szCs w:val="18"/>
        </w:rPr>
        <w:t>-</w:t>
      </w:r>
      <w:r w:rsidRPr="00BF7E95">
        <w:rPr>
          <w:sz w:val="18"/>
          <w:szCs w:val="18"/>
        </w:rPr>
        <w:t xml:space="preserve"> zone op het vliegveld. De beheerder van beide E- Zones is Curinde N.V.</w:t>
      </w:r>
    </w:p>
  </w:footnote>
  <w:footnote w:id="263">
    <w:p w:rsidR="00A64945" w:rsidRDefault="00A64945" w:rsidP="00DA72F2">
      <w:pPr>
        <w:pStyle w:val="FootnoteText"/>
        <w:jc w:val="both"/>
      </w:pPr>
      <w:r w:rsidRPr="00DA72F2">
        <w:rPr>
          <w:rStyle w:val="FootnoteReference"/>
          <w:rFonts w:cs="Arial"/>
          <w:sz w:val="18"/>
          <w:szCs w:val="18"/>
        </w:rPr>
        <w:footnoteRef/>
      </w:r>
      <w:r w:rsidRPr="00DA72F2">
        <w:rPr>
          <w:sz w:val="18"/>
          <w:szCs w:val="18"/>
        </w:rPr>
        <w:t xml:space="preserve"> Statenstukken 2000/01, nr. 3, Memorie van Toelichting bij LEZ 2000, pg. 2.</w:t>
      </w:r>
    </w:p>
  </w:footnote>
  <w:footnote w:id="264">
    <w:p w:rsidR="00A64945" w:rsidRDefault="00A64945" w:rsidP="0076477B">
      <w:pPr>
        <w:pStyle w:val="FootnoteText"/>
        <w:jc w:val="both"/>
      </w:pPr>
      <w:r w:rsidRPr="0076477B">
        <w:rPr>
          <w:rStyle w:val="FootnoteReference"/>
          <w:sz w:val="18"/>
          <w:szCs w:val="18"/>
        </w:rPr>
        <w:footnoteRef/>
      </w:r>
      <w:r w:rsidRPr="0076477B">
        <w:rPr>
          <w:sz w:val="18"/>
          <w:szCs w:val="18"/>
        </w:rPr>
        <w:t xml:space="preserve"> Voor de goederenhandel is het niet vereist dat de goederen de E- Zone aandoen. Het is voldoende dat de goederen worden verhandeld door middel van een in de E- Zone gevestigd bedrijf.</w:t>
      </w:r>
    </w:p>
  </w:footnote>
  <w:footnote w:id="265">
    <w:p w:rsidR="00A64945" w:rsidRDefault="00A64945" w:rsidP="00DA72F2">
      <w:pPr>
        <w:pStyle w:val="FootnoteText"/>
        <w:jc w:val="both"/>
      </w:pPr>
      <w:r w:rsidRPr="00DA72F2">
        <w:rPr>
          <w:rStyle w:val="FootnoteReference"/>
          <w:rFonts w:cs="Arial"/>
          <w:sz w:val="18"/>
          <w:szCs w:val="18"/>
        </w:rPr>
        <w:footnoteRef/>
      </w:r>
      <w:r w:rsidRPr="00DA72F2">
        <w:rPr>
          <w:sz w:val="18"/>
          <w:szCs w:val="18"/>
        </w:rPr>
        <w:t xml:space="preserve"> Art. 1, onderdeel d, onder 1° t/m 3° LEZ 2000.</w:t>
      </w:r>
    </w:p>
  </w:footnote>
  <w:footnote w:id="266">
    <w:p w:rsidR="00A64945" w:rsidRDefault="00A64945" w:rsidP="00312BE2">
      <w:pPr>
        <w:pStyle w:val="FootnoteText"/>
        <w:jc w:val="both"/>
      </w:pPr>
      <w:r w:rsidRPr="00DA72F2">
        <w:rPr>
          <w:rStyle w:val="FootnoteReference"/>
          <w:rFonts w:cs="Arial"/>
          <w:sz w:val="18"/>
          <w:szCs w:val="18"/>
        </w:rPr>
        <w:footnoteRef/>
      </w:r>
      <w:r w:rsidRPr="00DA72F2">
        <w:rPr>
          <w:sz w:val="18"/>
          <w:szCs w:val="18"/>
        </w:rPr>
        <w:t xml:space="preserve"> De dienstverlening die wordt verricht is gericht op het buitenland, maar vindt plaats in de E- Zone. Bijvoorbeeld het onderhoud aan goederen die toebehoren aan een buitenlands bedrijf. Ook al vindt dit onderhoud plaats op de Nederlandse Antillen, het is gericht op een relatie met een buitenstaander: het buitenland</w:t>
      </w:r>
      <w:r>
        <w:rPr>
          <w:sz w:val="18"/>
          <w:szCs w:val="18"/>
        </w:rPr>
        <w:t>s bedrijf</w:t>
      </w:r>
      <w:r w:rsidRPr="00DA72F2">
        <w:rPr>
          <w:sz w:val="18"/>
          <w:szCs w:val="18"/>
        </w:rPr>
        <w:t xml:space="preserve">. </w:t>
      </w:r>
    </w:p>
  </w:footnote>
  <w:footnote w:id="267">
    <w:p w:rsidR="00A64945" w:rsidRDefault="00A64945" w:rsidP="00DA72F2">
      <w:pPr>
        <w:pStyle w:val="FootnoteText"/>
        <w:jc w:val="both"/>
      </w:pPr>
      <w:r w:rsidRPr="002B1810">
        <w:rPr>
          <w:rStyle w:val="FootnoteReference"/>
          <w:rFonts w:cs="Arial"/>
          <w:sz w:val="18"/>
          <w:szCs w:val="18"/>
        </w:rPr>
        <w:footnoteRef/>
      </w:r>
      <w:r w:rsidRPr="002B1810">
        <w:rPr>
          <w:sz w:val="18"/>
          <w:szCs w:val="18"/>
        </w:rPr>
        <w:t xml:space="preserve"> Een veembedrijf is een onderneming dat zich bezig houdt met het wegen, sorteren, opslaan en bewaren van goederen en eventueel het weer uitslaan van goederen uit een opslagplaats.</w:t>
      </w:r>
    </w:p>
  </w:footnote>
  <w:footnote w:id="268">
    <w:p w:rsidR="00A64945" w:rsidRDefault="00A64945" w:rsidP="00DA72F2">
      <w:pPr>
        <w:pStyle w:val="FootnoteText"/>
        <w:jc w:val="both"/>
      </w:pPr>
      <w:r w:rsidRPr="002B1810">
        <w:rPr>
          <w:rStyle w:val="FootnoteReference"/>
          <w:rFonts w:cs="Arial"/>
          <w:sz w:val="18"/>
          <w:szCs w:val="18"/>
        </w:rPr>
        <w:footnoteRef/>
      </w:r>
      <w:r w:rsidRPr="002B1810">
        <w:rPr>
          <w:sz w:val="18"/>
          <w:szCs w:val="18"/>
        </w:rPr>
        <w:t xml:space="preserve"> Art. 1, tweede lid LEZ 2000.</w:t>
      </w:r>
    </w:p>
  </w:footnote>
  <w:footnote w:id="269">
    <w:p w:rsidR="00A64945" w:rsidRDefault="00A64945" w:rsidP="00DA72F2">
      <w:pPr>
        <w:pStyle w:val="FootnoteText"/>
        <w:jc w:val="both"/>
      </w:pPr>
      <w:r w:rsidRPr="002B1810">
        <w:rPr>
          <w:rStyle w:val="FootnoteReference"/>
          <w:rFonts w:cs="Arial"/>
          <w:sz w:val="18"/>
          <w:szCs w:val="18"/>
        </w:rPr>
        <w:footnoteRef/>
      </w:r>
      <w:r w:rsidRPr="002B1810">
        <w:rPr>
          <w:sz w:val="18"/>
          <w:szCs w:val="18"/>
        </w:rPr>
        <w:t xml:space="preserve"> Letterlijke bewoordingen: diensten ter zake van het optreden als directie voor vennootschappen wier statutaire zetel of feitelijke leiding in de Nederlandse Antillen gevestigd is.</w:t>
      </w:r>
    </w:p>
  </w:footnote>
  <w:footnote w:id="270">
    <w:p w:rsidR="00A64945" w:rsidRDefault="00A64945" w:rsidP="00DA72F2">
      <w:pPr>
        <w:spacing w:after="0" w:line="240" w:lineRule="auto"/>
        <w:jc w:val="both"/>
      </w:pPr>
      <w:r w:rsidRPr="002B1810">
        <w:rPr>
          <w:rStyle w:val="FootnoteReference"/>
          <w:rFonts w:cs="Arial"/>
          <w:sz w:val="18"/>
          <w:szCs w:val="18"/>
        </w:rPr>
        <w:footnoteRef/>
      </w:r>
      <w:r w:rsidRPr="002B1810">
        <w:rPr>
          <w:sz w:val="18"/>
          <w:szCs w:val="18"/>
        </w:rPr>
        <w:t xml:space="preserve"> </w:t>
      </w:r>
      <w:r w:rsidRPr="002B1810">
        <w:rPr>
          <w:rFonts w:cs="Times New Roman"/>
          <w:sz w:val="18"/>
          <w:szCs w:val="18"/>
        </w:rPr>
        <w:t>De LEZ 2000 is in Europees verband onderzocht in het kader van de Gedragscode inzake de belastingregeling voor ondernemingen. Dit onderzoek is in 1999 verricht door de zogenoemde Primarolo Groep. Zij kwamen tot de conclusie dat de wetgeving internationaal geaccepteerd wordt, maar dat ondernemingen in de financiële dienstverlening niet kunnen participeren in de E- Zone wetgeving. Teneinde de LEZ meer ‘ Primarolo- proof’ te maken, is de LEZ eind 2006 op dit punt gewijzigd en zijn genoemde beroepsgroepen tevens uitgesloten van de voordelen van de wetgeving.</w:t>
      </w:r>
    </w:p>
  </w:footnote>
  <w:footnote w:id="271">
    <w:p w:rsidR="00A64945" w:rsidRDefault="00A64945" w:rsidP="00392544">
      <w:pPr>
        <w:pStyle w:val="FootnoteText"/>
        <w:jc w:val="both"/>
      </w:pPr>
      <w:r w:rsidRPr="002B1810">
        <w:rPr>
          <w:rStyle w:val="FootnoteReference"/>
          <w:rFonts w:cs="Arial"/>
          <w:sz w:val="18"/>
          <w:szCs w:val="18"/>
        </w:rPr>
        <w:footnoteRef/>
      </w:r>
      <w:r w:rsidRPr="002B1810">
        <w:rPr>
          <w:sz w:val="18"/>
          <w:szCs w:val="18"/>
        </w:rPr>
        <w:t xml:space="preserve"> Dit percentage slaat op de kwartaalomzet per productcategorie. Bron: Statenstukken 2000/01, nr. 3, Memorie van Toelichting bij LEZ 2000, pg. 8.</w:t>
      </w:r>
    </w:p>
  </w:footnote>
  <w:footnote w:id="272">
    <w:p w:rsidR="00A64945" w:rsidRDefault="00A64945" w:rsidP="00D348CA">
      <w:pPr>
        <w:pStyle w:val="FootnoteText"/>
        <w:jc w:val="both"/>
      </w:pPr>
      <w:r w:rsidRPr="002B1810">
        <w:rPr>
          <w:rStyle w:val="FootnoteReference"/>
          <w:rFonts w:cs="Arial"/>
          <w:sz w:val="18"/>
          <w:szCs w:val="18"/>
        </w:rPr>
        <w:footnoteRef/>
      </w:r>
      <w:r w:rsidRPr="002B1810">
        <w:rPr>
          <w:sz w:val="18"/>
          <w:szCs w:val="18"/>
        </w:rPr>
        <w:t xml:space="preserve"> Dit kan een N.V. of een B.V. zijn. Volgens de Aanschrijving 2832/RNA van 28 mei 2008; </w:t>
      </w:r>
      <w:r w:rsidRPr="002B1810">
        <w:rPr>
          <w:i/>
          <w:sz w:val="18"/>
          <w:szCs w:val="18"/>
        </w:rPr>
        <w:t>Toelating fiscaal transparante samenwerkingsverbanden tot de economische zone</w:t>
      </w:r>
      <w:r w:rsidRPr="002B1810">
        <w:rPr>
          <w:sz w:val="18"/>
          <w:szCs w:val="18"/>
        </w:rPr>
        <w:t>, §1, gepubliceerd in de Curaçaose courant op 06 juni 2008 wordt met rechtspersonen die niet binnen de Nederlandse Antillen zijn gevestigd, in het bijzonder, rechtspersonen met een in aandelen verdeeld kapitaal van één van de  andere landen van het Koninkrijk (Nederland, Aruba, Bonaire, Sint Maarten, Saba en Sint Eustatius) en van verdragslanden zoals Noorwegen bedoeld.</w:t>
      </w:r>
    </w:p>
  </w:footnote>
  <w:footnote w:id="273">
    <w:p w:rsidR="00A64945" w:rsidRDefault="00A64945" w:rsidP="00F1510E">
      <w:pPr>
        <w:pStyle w:val="FootnoteText"/>
        <w:tabs>
          <w:tab w:val="left" w:pos="7995"/>
        </w:tabs>
        <w:jc w:val="both"/>
      </w:pPr>
      <w:r w:rsidRPr="002B1810">
        <w:rPr>
          <w:rStyle w:val="FootnoteReference"/>
          <w:rFonts w:cs="Arial"/>
          <w:sz w:val="18"/>
          <w:szCs w:val="18"/>
        </w:rPr>
        <w:footnoteRef/>
      </w:r>
      <w:r w:rsidRPr="002B1810">
        <w:rPr>
          <w:sz w:val="18"/>
          <w:szCs w:val="18"/>
        </w:rPr>
        <w:t xml:space="preserve"> Art. 3, eerste lid LEZ 2000.</w:t>
      </w:r>
      <w:r w:rsidRPr="002B1810">
        <w:rPr>
          <w:sz w:val="18"/>
          <w:szCs w:val="18"/>
        </w:rPr>
        <w:tab/>
      </w:r>
    </w:p>
  </w:footnote>
  <w:footnote w:id="274">
    <w:p w:rsidR="00A64945" w:rsidRDefault="00A64945" w:rsidP="00D3101C">
      <w:pPr>
        <w:spacing w:after="0" w:line="240" w:lineRule="auto"/>
        <w:jc w:val="both"/>
      </w:pPr>
      <w:r w:rsidRPr="002B1810">
        <w:rPr>
          <w:rStyle w:val="FootnoteReference"/>
          <w:rFonts w:cs="Arial"/>
          <w:sz w:val="18"/>
          <w:szCs w:val="18"/>
        </w:rPr>
        <w:footnoteRef/>
      </w:r>
      <w:r w:rsidRPr="002B1810">
        <w:rPr>
          <w:sz w:val="18"/>
          <w:szCs w:val="18"/>
        </w:rPr>
        <w:t xml:space="preserve"> Wat onder ‘een in aandelen verdeeld kapitaal’ dient te worden verstaan is echter niet omschreven in de LEZ 2000 (of elders). Een ‘in aandelen verdeeld kapitaal’ is derhalve een onduidelijk begrip, want wat zijn precies aandelen? Daar is geen duiding aan gegeven. Hoe dit begrip ingevuld dient te worden is echter wel van belang, aangezien de manier waarop hier invulling aan dient te worden gegeven, bepalend is voor het toepassingsbereik van de regeling. Een rechtspersoon met een in aandelen verdeeld kapitaal hoeft niet in alle landen hetzelfde te zijn. De vraag is dan ook: hoe dient omgegaan te worden met entiteiten die zijn opgericht naar het recht van een ander land? Een buitenlandse entiteit die naar buitenlandse maatstaven een in aandelen verdeeld kapitaal heeft, hoeft naar opvatting van de Nederlandse Antillen niet per definitie ook zo te worden gezien. Hoe wordt dat dan in zo een geval opgevat? Andersom bestaan er misschien buitenlandse entiteiten die geen ‘in aandelen verdeeld kapitaal’ hebben, (naar Antilliaanse maatstaven) maar defacto wat betreft de structuur niet wezenlijk verschillen van een rechtspersoon met een in aandelen verdeeld kapitaal. Kunnen dergelijke entiteiten dan toch niet in aanmerking komen voor deze regeling? En is dit onvoorwaardelijk? Of respecteert de Nederlandse Antillen dergelijke buitenlandse entiteiten zonder meer een op een? Het feit dat dit alles onbepaald is, zorgt voor een onduidelijk en kwestieuze toepassingsbereik van de regeling.</w:t>
      </w:r>
    </w:p>
  </w:footnote>
  <w:footnote w:id="275">
    <w:p w:rsidR="00A64945" w:rsidRDefault="00A64945" w:rsidP="00636B01">
      <w:pPr>
        <w:pStyle w:val="FootnoteText"/>
        <w:jc w:val="both"/>
      </w:pPr>
      <w:r w:rsidRPr="002B1810">
        <w:rPr>
          <w:rStyle w:val="FootnoteReference"/>
          <w:rFonts w:cs="Arial"/>
          <w:sz w:val="18"/>
          <w:szCs w:val="18"/>
        </w:rPr>
        <w:footnoteRef/>
      </w:r>
      <w:r w:rsidRPr="002B1810">
        <w:rPr>
          <w:sz w:val="18"/>
          <w:szCs w:val="18"/>
        </w:rPr>
        <w:t xml:space="preserve"> Noch feitelijk, noch statutair.</w:t>
      </w:r>
    </w:p>
  </w:footnote>
  <w:footnote w:id="276">
    <w:p w:rsidR="00A64945" w:rsidRDefault="00A64945" w:rsidP="009173EC">
      <w:pPr>
        <w:pStyle w:val="FootnoteText"/>
        <w:jc w:val="both"/>
      </w:pPr>
      <w:r w:rsidRPr="002B1810">
        <w:rPr>
          <w:rStyle w:val="FootnoteReference"/>
          <w:rFonts w:cs="Arial"/>
          <w:sz w:val="18"/>
          <w:szCs w:val="18"/>
        </w:rPr>
        <w:footnoteRef/>
      </w:r>
      <w:r w:rsidRPr="002B1810">
        <w:rPr>
          <w:sz w:val="18"/>
          <w:szCs w:val="18"/>
        </w:rPr>
        <w:t xml:space="preserve"> Statenstukken 2000/01, nr. 3, MvT bij LEZ 2000, pg. 6.</w:t>
      </w:r>
    </w:p>
  </w:footnote>
  <w:footnote w:id="277">
    <w:p w:rsidR="00A64945" w:rsidRDefault="00A64945" w:rsidP="00F24981">
      <w:pPr>
        <w:pStyle w:val="FootnoteText"/>
        <w:jc w:val="both"/>
      </w:pPr>
      <w:r w:rsidRPr="002B1810">
        <w:rPr>
          <w:rStyle w:val="FootnoteReference"/>
          <w:rFonts w:cs="Arial"/>
          <w:sz w:val="18"/>
          <w:szCs w:val="18"/>
        </w:rPr>
        <w:footnoteRef/>
      </w:r>
      <w:r w:rsidRPr="002B1810">
        <w:rPr>
          <w:sz w:val="18"/>
          <w:szCs w:val="18"/>
        </w:rPr>
        <w:t xml:space="preserve"> Deze constatering is een logisch voortvloeisel van de doelstelling van het E- zoneconcept. Zou het in eigen land uitoefenen van  ondernemingsactiviteiten door een buitenlandse onderneming immers niet toegestaan zijn, dan is deze buitenlandse onderneming defacto een entiteit die alleen activiteiten in de Nederlandse Antillen ontplooit. Daar is een E- Zone niet op gericht. Van op het buitenland gericht activiteiten en/of dienstverlening is dan geen sprake. Het betreft dan enkel interne aangelegenheden.</w:t>
      </w:r>
    </w:p>
  </w:footnote>
  <w:footnote w:id="278">
    <w:p w:rsidR="00A64945" w:rsidRDefault="00A64945" w:rsidP="00AD7235">
      <w:pPr>
        <w:pStyle w:val="FootnoteText"/>
        <w:jc w:val="both"/>
      </w:pPr>
      <w:r w:rsidRPr="002B1810">
        <w:rPr>
          <w:rStyle w:val="FootnoteReference"/>
          <w:rFonts w:cs="Arial"/>
          <w:sz w:val="18"/>
          <w:szCs w:val="18"/>
        </w:rPr>
        <w:footnoteRef/>
      </w:r>
      <w:r w:rsidRPr="002B1810">
        <w:rPr>
          <w:sz w:val="18"/>
          <w:szCs w:val="18"/>
        </w:rPr>
        <w:t xml:space="preserve"> Samenwerkingsverbanden bezitten geen rechtspersoonlijkheid. De tegemoetkoming van de uitbreiding van rechtsvormen die in aanmerking komen om activiteiten te ontplooien in een E- Zone zit in het feit dat een rechtsvorm </w:t>
      </w:r>
      <w:r w:rsidRPr="002B1810">
        <w:rPr>
          <w:i/>
          <w:sz w:val="18"/>
          <w:szCs w:val="18"/>
        </w:rPr>
        <w:t>zonder rechtspersoonlijkheid</w:t>
      </w:r>
      <w:r w:rsidRPr="002B1810">
        <w:rPr>
          <w:sz w:val="18"/>
          <w:szCs w:val="18"/>
        </w:rPr>
        <w:t xml:space="preserve"> nu ook voor toelating tot een E- Zone in aanmerking komt. </w:t>
      </w:r>
    </w:p>
  </w:footnote>
  <w:footnote w:id="279">
    <w:p w:rsidR="00A64945" w:rsidRDefault="00A64945" w:rsidP="00AD7235">
      <w:pPr>
        <w:pStyle w:val="FootnoteText"/>
        <w:jc w:val="both"/>
      </w:pPr>
      <w:r w:rsidRPr="002B1810">
        <w:rPr>
          <w:rStyle w:val="FootnoteReference"/>
          <w:rFonts w:cs="Arial"/>
          <w:sz w:val="18"/>
          <w:szCs w:val="18"/>
        </w:rPr>
        <w:footnoteRef/>
      </w:r>
      <w:r w:rsidRPr="002B1810">
        <w:rPr>
          <w:sz w:val="18"/>
          <w:szCs w:val="18"/>
        </w:rPr>
        <w:t xml:space="preserve"> Aanschrijving 2832/RNA van 28 mei 2008; </w:t>
      </w:r>
      <w:r w:rsidRPr="002B1810">
        <w:rPr>
          <w:i/>
          <w:sz w:val="18"/>
          <w:szCs w:val="18"/>
        </w:rPr>
        <w:t>Toelating fiscaal transparante samenwerkingsverbanden tot de economische zone</w:t>
      </w:r>
      <w:r w:rsidRPr="002B1810">
        <w:rPr>
          <w:sz w:val="18"/>
          <w:szCs w:val="18"/>
        </w:rPr>
        <w:t>, De Curaçaose courant, 06 juni 2008.</w:t>
      </w:r>
    </w:p>
  </w:footnote>
  <w:footnote w:id="280">
    <w:p w:rsidR="00A64945" w:rsidRDefault="00A64945" w:rsidP="009173EC">
      <w:pPr>
        <w:pStyle w:val="FootnoteText"/>
        <w:jc w:val="both"/>
      </w:pPr>
      <w:r w:rsidRPr="002B1810">
        <w:rPr>
          <w:rStyle w:val="FootnoteReference"/>
          <w:rFonts w:cs="Arial"/>
          <w:sz w:val="18"/>
          <w:szCs w:val="18"/>
        </w:rPr>
        <w:footnoteRef/>
      </w:r>
      <w:r w:rsidRPr="002B1810">
        <w:rPr>
          <w:sz w:val="18"/>
          <w:szCs w:val="18"/>
        </w:rPr>
        <w:t xml:space="preserve"> Art. 3, tweede lid LEZ 2000. Ingevolge art. 4, tweede lid LEZ 2000 kan het besluit tot toelating tot een E- Zone worden ingetrokken indien het bedrijf naar het oordeel van het bestuurscollege of de beheerder van het E- Zonebedrijf, niet langer voldoet aan deze eis. Zie hierover meer in voetnoot 288. </w:t>
      </w:r>
    </w:p>
  </w:footnote>
  <w:footnote w:id="281">
    <w:p w:rsidR="00A64945" w:rsidRDefault="00A64945" w:rsidP="00DA2589">
      <w:pPr>
        <w:pStyle w:val="FootnoteText"/>
        <w:jc w:val="both"/>
      </w:pPr>
      <w:r w:rsidRPr="002B1810">
        <w:rPr>
          <w:rStyle w:val="FootnoteReference"/>
          <w:rFonts w:cs="Arial"/>
          <w:sz w:val="18"/>
          <w:szCs w:val="18"/>
        </w:rPr>
        <w:footnoteRef/>
      </w:r>
      <w:r w:rsidRPr="002B1810">
        <w:rPr>
          <w:sz w:val="18"/>
          <w:szCs w:val="18"/>
        </w:rPr>
        <w:t xml:space="preserve"> Dit is het bestuurscollege van het (voormalige) eilandgebied Curaçao. Op Curaçao brengt een werkgroep naar aanleiding van het ingediende verzoek, een advies uit aan het Bestuurscollege of een vennootschap wel of niet moet worden toegelaten tot een E- zone gebied. Het Bestuurscollege geeft vervolgens een beschikking af waarin staat of een vennootschap tot een E- zone gebied wordt toegelaten of niet.</w:t>
      </w:r>
    </w:p>
  </w:footnote>
  <w:footnote w:id="282">
    <w:p w:rsidR="00A64945" w:rsidRDefault="00A64945" w:rsidP="009173EC">
      <w:pPr>
        <w:pStyle w:val="FootnoteText"/>
        <w:jc w:val="both"/>
      </w:pPr>
      <w:r w:rsidRPr="002B1810">
        <w:rPr>
          <w:rStyle w:val="FootnoteReference"/>
          <w:rFonts w:cs="Arial"/>
          <w:sz w:val="18"/>
          <w:szCs w:val="18"/>
        </w:rPr>
        <w:footnoteRef/>
      </w:r>
      <w:r w:rsidRPr="002B1810">
        <w:rPr>
          <w:sz w:val="18"/>
          <w:szCs w:val="18"/>
        </w:rPr>
        <w:t xml:space="preserve"> Art. 5 LEZ 2000.</w:t>
      </w:r>
    </w:p>
  </w:footnote>
  <w:footnote w:id="283">
    <w:p w:rsidR="00A64945" w:rsidRDefault="00A64945" w:rsidP="009173EC">
      <w:pPr>
        <w:pStyle w:val="FootnoteText"/>
        <w:jc w:val="both"/>
      </w:pPr>
      <w:r w:rsidRPr="002B1810">
        <w:rPr>
          <w:rStyle w:val="FootnoteReference"/>
          <w:rFonts w:cs="Arial"/>
          <w:sz w:val="18"/>
          <w:szCs w:val="18"/>
        </w:rPr>
        <w:footnoteRef/>
      </w:r>
      <w:r w:rsidRPr="002B1810">
        <w:rPr>
          <w:sz w:val="18"/>
          <w:szCs w:val="18"/>
        </w:rPr>
        <w:t xml:space="preserve"> Een voorbeeld van een naamloze vennootschap dat beheerder is van E- Zones is het eerder in voetnoot 262 genoemde Curinde NV.</w:t>
      </w:r>
    </w:p>
  </w:footnote>
  <w:footnote w:id="284">
    <w:p w:rsidR="00A64945" w:rsidRDefault="00A64945" w:rsidP="00EA22BD">
      <w:pPr>
        <w:pStyle w:val="FootnoteText"/>
        <w:jc w:val="both"/>
      </w:pPr>
      <w:r w:rsidRPr="002B1810">
        <w:rPr>
          <w:rStyle w:val="FootnoteReference"/>
          <w:sz w:val="18"/>
          <w:szCs w:val="18"/>
        </w:rPr>
        <w:footnoteRef/>
      </w:r>
      <w:r w:rsidRPr="002B1810">
        <w:rPr>
          <w:sz w:val="18"/>
          <w:szCs w:val="18"/>
        </w:rPr>
        <w:t xml:space="preserve"> </w:t>
      </w:r>
      <w:r w:rsidRPr="002B1810">
        <w:rPr>
          <w:sz w:val="18"/>
          <w:szCs w:val="18"/>
          <w:highlight w:val="yellow"/>
        </w:rPr>
        <w:t xml:space="preserve">De gegevens die bij de aanvraag overgelegd moeten worden, volgen niet uit de wet. Ik heb deze informatie gehaald uit PricewaterhouseCoopers Netherlands Antilles Tax Lawyers and Tax Consultants, </w:t>
      </w:r>
      <w:r w:rsidRPr="002B1810">
        <w:rPr>
          <w:i/>
          <w:sz w:val="18"/>
          <w:szCs w:val="18"/>
          <w:highlight w:val="yellow"/>
        </w:rPr>
        <w:t>Economische zone</w:t>
      </w:r>
      <w:r w:rsidRPr="002B1810">
        <w:rPr>
          <w:sz w:val="18"/>
          <w:szCs w:val="18"/>
          <w:highlight w:val="yellow"/>
        </w:rPr>
        <w:t>, § 4: De E- zone aanvraag, pg. 5.</w:t>
      </w:r>
    </w:p>
  </w:footnote>
  <w:footnote w:id="285">
    <w:p w:rsidR="00A64945" w:rsidRDefault="00A64945" w:rsidP="00EF68ED">
      <w:pPr>
        <w:pStyle w:val="FootnoteText"/>
        <w:jc w:val="both"/>
      </w:pPr>
      <w:r w:rsidRPr="002B1810">
        <w:rPr>
          <w:rStyle w:val="FootnoteReference"/>
          <w:rFonts w:cs="Arial"/>
          <w:sz w:val="18"/>
          <w:szCs w:val="18"/>
        </w:rPr>
        <w:footnoteRef/>
      </w:r>
      <w:r w:rsidRPr="002B1810">
        <w:rPr>
          <w:sz w:val="18"/>
          <w:szCs w:val="18"/>
        </w:rPr>
        <w:t xml:space="preserve"> Duidelijk moet zijn wie de ‘ultimate beneficial owner’ van de vennootschap in kwestie is. Dit door middel van opgave van de n(a)am(en), adres(sen), woonplaats(en) en het ‘tax identification’ nummer van de uiteindelijke eigen(a)ar(en). In geval het om een beursgenoteerde fonds gaat, moet bekend zijn om welke fonds het gaat (de formele naam en het ‘tax identification’ nummer). </w:t>
      </w:r>
    </w:p>
  </w:footnote>
  <w:footnote w:id="286">
    <w:p w:rsidR="00A64945" w:rsidRDefault="00A64945" w:rsidP="009173EC">
      <w:pPr>
        <w:pStyle w:val="FootnoteText"/>
        <w:jc w:val="both"/>
      </w:pPr>
      <w:r w:rsidRPr="002B1810">
        <w:rPr>
          <w:rStyle w:val="FootnoteReference"/>
          <w:rFonts w:cs="Arial"/>
          <w:sz w:val="18"/>
          <w:szCs w:val="18"/>
        </w:rPr>
        <w:footnoteRef/>
      </w:r>
      <w:r w:rsidRPr="002B1810">
        <w:rPr>
          <w:sz w:val="18"/>
          <w:szCs w:val="18"/>
        </w:rPr>
        <w:t xml:space="preserve"> Art. 2, eerste lid LEZ 2000.</w:t>
      </w:r>
    </w:p>
  </w:footnote>
  <w:footnote w:id="287">
    <w:p w:rsidR="00A64945" w:rsidRDefault="00A64945" w:rsidP="009173EC">
      <w:pPr>
        <w:pStyle w:val="FootnoteText"/>
        <w:jc w:val="both"/>
      </w:pPr>
      <w:r w:rsidRPr="00C4544B">
        <w:rPr>
          <w:rStyle w:val="FootnoteReference"/>
          <w:rFonts w:cs="Arial"/>
          <w:sz w:val="18"/>
          <w:szCs w:val="18"/>
        </w:rPr>
        <w:footnoteRef/>
      </w:r>
      <w:r w:rsidRPr="00C4544B">
        <w:rPr>
          <w:sz w:val="18"/>
          <w:szCs w:val="18"/>
        </w:rPr>
        <w:t xml:space="preserve"> Art. 4, eerste lid, onderdelen a tot en met e LEZ 2000.</w:t>
      </w:r>
    </w:p>
  </w:footnote>
  <w:footnote w:id="288">
    <w:p w:rsidR="00A64945" w:rsidRDefault="00A64945" w:rsidP="006805EC">
      <w:pPr>
        <w:autoSpaceDE w:val="0"/>
        <w:autoSpaceDN w:val="0"/>
        <w:adjustRightInd w:val="0"/>
        <w:spacing w:after="0" w:line="240" w:lineRule="auto"/>
        <w:jc w:val="both"/>
      </w:pPr>
      <w:r w:rsidRPr="00C4544B">
        <w:rPr>
          <w:rStyle w:val="FootnoteReference"/>
          <w:rFonts w:cs="Arial"/>
          <w:sz w:val="18"/>
          <w:szCs w:val="18"/>
        </w:rPr>
        <w:footnoteRef/>
      </w:r>
      <w:r w:rsidRPr="00C4544B">
        <w:rPr>
          <w:sz w:val="18"/>
          <w:szCs w:val="18"/>
        </w:rPr>
        <w:t xml:space="preserve"> Deze intrekking kan met terugwerkende kracht plaatsvinden: Art. 4, lid 3 LEZ 2000.</w:t>
      </w:r>
      <w:r w:rsidRPr="00C4544B">
        <w:rPr>
          <w:rFonts w:cs="Times New Roman"/>
          <w:sz w:val="18"/>
          <w:szCs w:val="18"/>
        </w:rPr>
        <w:t xml:space="preserve"> Ingeval er onjuiste of onvolledige gegevens werden verstrekt die van beslissende invloed zijn geweest op de totstandkoming van het besluit tot toelating, kan intrekking bijvoorbeeld met terugwerkende kracht tot en met de dag van de vaststelling van het besluit tot toelating geschieden: art. 4, lid 1, onderdeel a jo. art. 4, lid 3 LEZ 2000. </w:t>
      </w:r>
    </w:p>
  </w:footnote>
  <w:footnote w:id="289">
    <w:p w:rsidR="00A64945" w:rsidRDefault="00A64945" w:rsidP="005D7F4D">
      <w:pPr>
        <w:pStyle w:val="FootnoteText"/>
        <w:jc w:val="both"/>
      </w:pPr>
      <w:r w:rsidRPr="005D7F4D">
        <w:rPr>
          <w:rStyle w:val="FootnoteReference"/>
          <w:rFonts w:cs="Arial"/>
          <w:sz w:val="18"/>
          <w:szCs w:val="18"/>
        </w:rPr>
        <w:footnoteRef/>
      </w:r>
      <w:r w:rsidRPr="005D7F4D">
        <w:rPr>
          <w:sz w:val="18"/>
          <w:szCs w:val="18"/>
        </w:rPr>
        <w:t xml:space="preserve"> </w:t>
      </w:r>
      <w:r w:rsidRPr="00BF3C99">
        <w:rPr>
          <w:sz w:val="18"/>
          <w:szCs w:val="18"/>
          <w:highlight w:val="yellow"/>
        </w:rPr>
        <w:t xml:space="preserve">Zie voor een voorbeeld van een E- zonevergunning bijlage 1. </w:t>
      </w:r>
      <w:r>
        <w:rPr>
          <w:sz w:val="18"/>
          <w:szCs w:val="18"/>
          <w:highlight w:val="yellow"/>
        </w:rPr>
        <w:t>o</w:t>
      </w:r>
      <w:r w:rsidRPr="00BF3C99">
        <w:rPr>
          <w:sz w:val="18"/>
          <w:szCs w:val="18"/>
          <w:highlight w:val="yellow"/>
        </w:rPr>
        <w:t>p pg. ..</w:t>
      </w:r>
    </w:p>
  </w:footnote>
  <w:footnote w:id="290">
    <w:p w:rsidR="00A64945" w:rsidRDefault="00A64945" w:rsidP="009173EC">
      <w:pPr>
        <w:pStyle w:val="FootnoteText"/>
        <w:jc w:val="both"/>
      </w:pPr>
      <w:r w:rsidRPr="005D0A77">
        <w:rPr>
          <w:rStyle w:val="FootnoteReference"/>
          <w:rFonts w:cs="Arial"/>
          <w:sz w:val="18"/>
          <w:szCs w:val="18"/>
        </w:rPr>
        <w:footnoteRef/>
      </w:r>
      <w:r>
        <w:rPr>
          <w:sz w:val="18"/>
          <w:szCs w:val="18"/>
        </w:rPr>
        <w:t xml:space="preserve"> PbNa</w:t>
      </w:r>
      <w:r w:rsidRPr="005D0A77">
        <w:rPr>
          <w:sz w:val="18"/>
          <w:szCs w:val="18"/>
        </w:rPr>
        <w:t xml:space="preserve"> 2001, nr. 79. Deze landsverordening is gebaseerd op de Algemene wet Bestuursrecht.</w:t>
      </w:r>
    </w:p>
  </w:footnote>
  <w:footnote w:id="291">
    <w:p w:rsidR="00A64945" w:rsidRDefault="00A64945" w:rsidP="00785BCF">
      <w:pPr>
        <w:pStyle w:val="FootnoteText"/>
        <w:jc w:val="both"/>
      </w:pPr>
      <w:r w:rsidRPr="00785BCF">
        <w:rPr>
          <w:rStyle w:val="FootnoteReference"/>
          <w:rFonts w:cs="Arial"/>
          <w:sz w:val="18"/>
          <w:szCs w:val="18"/>
        </w:rPr>
        <w:footnoteRef/>
      </w:r>
      <w:r w:rsidRPr="00785BCF">
        <w:rPr>
          <w:sz w:val="18"/>
          <w:szCs w:val="18"/>
        </w:rPr>
        <w:t xml:space="preserve"> Art. 11, lid1 LEZ 2000.</w:t>
      </w:r>
      <w:r>
        <w:rPr>
          <w:sz w:val="18"/>
          <w:szCs w:val="18"/>
        </w:rPr>
        <w:t xml:space="preserve"> Deze 2 % is een proportioneel vlak tarief met inbegrip van opcenten. Zie voor het begrip opcenten voetnoot 298.</w:t>
      </w:r>
    </w:p>
  </w:footnote>
  <w:footnote w:id="292">
    <w:p w:rsidR="00A64945" w:rsidRDefault="00A64945" w:rsidP="009173EC">
      <w:pPr>
        <w:pStyle w:val="FootnoteText"/>
        <w:jc w:val="both"/>
      </w:pPr>
      <w:r w:rsidRPr="005D0A77">
        <w:rPr>
          <w:rStyle w:val="FootnoteReference"/>
          <w:rFonts w:cs="Arial"/>
          <w:sz w:val="18"/>
          <w:szCs w:val="18"/>
        </w:rPr>
        <w:footnoteRef/>
      </w:r>
      <w:r>
        <w:rPr>
          <w:sz w:val="18"/>
          <w:szCs w:val="18"/>
        </w:rPr>
        <w:t xml:space="preserve"> PbNA</w:t>
      </w:r>
      <w:r w:rsidRPr="00EA17E8">
        <w:rPr>
          <w:sz w:val="18"/>
          <w:szCs w:val="18"/>
        </w:rPr>
        <w:t xml:space="preserve"> 2002, </w:t>
      </w:r>
      <w:r>
        <w:rPr>
          <w:sz w:val="18"/>
          <w:szCs w:val="18"/>
        </w:rPr>
        <w:t xml:space="preserve">nr. </w:t>
      </w:r>
      <w:r w:rsidRPr="00EA17E8">
        <w:rPr>
          <w:sz w:val="18"/>
          <w:szCs w:val="18"/>
        </w:rPr>
        <w:t>54.</w:t>
      </w:r>
    </w:p>
  </w:footnote>
  <w:footnote w:id="293">
    <w:p w:rsidR="00A64945" w:rsidRDefault="00A64945" w:rsidP="008266A9">
      <w:pPr>
        <w:spacing w:after="0" w:line="240" w:lineRule="auto"/>
        <w:jc w:val="both"/>
        <w:rPr>
          <w:sz w:val="18"/>
          <w:szCs w:val="18"/>
        </w:rPr>
      </w:pPr>
      <w:r w:rsidRPr="00C816D1">
        <w:rPr>
          <w:rStyle w:val="FootnoteReference"/>
          <w:rFonts w:cs="Arial"/>
          <w:sz w:val="18"/>
          <w:szCs w:val="18"/>
        </w:rPr>
        <w:footnoteRef/>
      </w:r>
      <w:r w:rsidRPr="00C816D1">
        <w:rPr>
          <w:sz w:val="18"/>
          <w:szCs w:val="18"/>
        </w:rPr>
        <w:t xml:space="preserve"> </w:t>
      </w:r>
      <w:r>
        <w:rPr>
          <w:sz w:val="18"/>
          <w:szCs w:val="18"/>
        </w:rPr>
        <w:t xml:space="preserve">Art. 3, lid 2 Lwb 1940 bepaalt dat </w:t>
      </w:r>
      <w:r w:rsidRPr="005776EE">
        <w:rPr>
          <w:i/>
          <w:sz w:val="18"/>
          <w:szCs w:val="18"/>
        </w:rPr>
        <w:t>‘de in een boekjaar genoten winst wordt bepaald volgens goed koopmansgebruik, met inachtneming van een bestendige gedragslijn welke onafhankelijkheid van de vermoedelijke uitkomst en welke slechts gewijzigd kan worden indien goed koopmansgebruik dit rechtvaardig</w:t>
      </w:r>
      <w:r>
        <w:rPr>
          <w:i/>
          <w:sz w:val="18"/>
          <w:szCs w:val="18"/>
        </w:rPr>
        <w:t>t</w:t>
      </w:r>
      <w:r w:rsidRPr="005776EE">
        <w:rPr>
          <w:i/>
          <w:sz w:val="18"/>
          <w:szCs w:val="18"/>
        </w:rPr>
        <w:t>.</w:t>
      </w:r>
      <w:r>
        <w:rPr>
          <w:i/>
          <w:sz w:val="18"/>
          <w:szCs w:val="18"/>
        </w:rPr>
        <w:t>’</w:t>
      </w:r>
      <w:r>
        <w:rPr>
          <w:sz w:val="18"/>
          <w:szCs w:val="18"/>
        </w:rPr>
        <w:t xml:space="preserve"> Dit is identiek aan wat art. 3.25 Wet IB 2001 voorschrijft ( en moet wat betreft de vennootschapsbelasting in samenhang worden gelezen met art. 8, lid 1 Wet op de VPB 1969 dat het winstbegrip voor de VPB geeft). Dientengevolge is voor het ‘Antilliaanse’ goedkoopmansbegrip (hierna: GKM- begrip)</w:t>
      </w:r>
      <w:r>
        <w:rPr>
          <w:i/>
          <w:sz w:val="18"/>
          <w:szCs w:val="18"/>
        </w:rPr>
        <w:t xml:space="preserve"> </w:t>
      </w:r>
      <w:r w:rsidRPr="00C816D1">
        <w:rPr>
          <w:sz w:val="18"/>
          <w:szCs w:val="18"/>
        </w:rPr>
        <w:t>ook de Nederlandse jurisprudentie van belang.</w:t>
      </w:r>
      <w:r>
        <w:rPr>
          <w:sz w:val="18"/>
          <w:szCs w:val="18"/>
        </w:rPr>
        <w:t xml:space="preserve"> </w:t>
      </w:r>
      <w:r w:rsidRPr="007364F9">
        <w:rPr>
          <w:sz w:val="18"/>
          <w:szCs w:val="18"/>
        </w:rPr>
        <w:t xml:space="preserve">Binnen het Koninkrijk der Nederlanden bestaat er </w:t>
      </w:r>
      <w:r>
        <w:rPr>
          <w:sz w:val="18"/>
          <w:szCs w:val="18"/>
        </w:rPr>
        <w:t xml:space="preserve">namelijk </w:t>
      </w:r>
      <w:r w:rsidRPr="007364F9">
        <w:rPr>
          <w:sz w:val="18"/>
          <w:szCs w:val="18"/>
        </w:rPr>
        <w:t xml:space="preserve">een eenheid van rechtspraak gebaseerd op het zogenoemde concordantiebeginsel. </w:t>
      </w:r>
      <w:r w:rsidRPr="007364F9">
        <w:rPr>
          <w:rFonts w:cs="Times New Roman"/>
          <w:sz w:val="18"/>
          <w:szCs w:val="18"/>
        </w:rPr>
        <w:t xml:space="preserve">Artikel 39, lid 1 van het Statuut voor het Koninkrijk bepaalt </w:t>
      </w:r>
      <w:r>
        <w:rPr>
          <w:rFonts w:cs="Times New Roman"/>
          <w:sz w:val="18"/>
          <w:szCs w:val="18"/>
        </w:rPr>
        <w:t xml:space="preserve">in deze </w:t>
      </w:r>
      <w:r w:rsidRPr="007364F9">
        <w:rPr>
          <w:rFonts w:cs="Times New Roman"/>
          <w:sz w:val="18"/>
          <w:szCs w:val="18"/>
        </w:rPr>
        <w:t>dat</w:t>
      </w:r>
      <w:r>
        <w:rPr>
          <w:rFonts w:cs="Times New Roman"/>
          <w:sz w:val="18"/>
          <w:szCs w:val="18"/>
        </w:rPr>
        <w:t>:</w:t>
      </w:r>
      <w:r w:rsidRPr="007364F9">
        <w:rPr>
          <w:rFonts w:cs="Times New Roman"/>
          <w:sz w:val="18"/>
          <w:szCs w:val="18"/>
        </w:rPr>
        <w:t xml:space="preserve"> </w:t>
      </w:r>
      <w:r w:rsidRPr="00805018">
        <w:rPr>
          <w:rFonts w:cs="Times New Roman"/>
          <w:i/>
          <w:sz w:val="18"/>
          <w:szCs w:val="18"/>
        </w:rPr>
        <w:t>‘h</w:t>
      </w:r>
      <w:r w:rsidRPr="009B497D">
        <w:rPr>
          <w:rFonts w:cs="Times New Roman"/>
          <w:i/>
          <w:sz w:val="18"/>
          <w:szCs w:val="18"/>
        </w:rPr>
        <w:t xml:space="preserve">et burgerlijk en handelsrecht, de burgerlijke rechtsvordering, het strafrecht, de strafvordering, het auteursrecht, de industriële eigendom, het notarisambt, zomede bepalingen omtrent maten en gewichten </w:t>
      </w:r>
      <w:r>
        <w:rPr>
          <w:rFonts w:cs="Times New Roman"/>
          <w:i/>
          <w:sz w:val="18"/>
          <w:szCs w:val="18"/>
        </w:rPr>
        <w:t xml:space="preserve">[…] </w:t>
      </w:r>
      <w:r w:rsidRPr="009B497D">
        <w:rPr>
          <w:rFonts w:cs="Times New Roman"/>
          <w:i/>
          <w:sz w:val="18"/>
          <w:szCs w:val="18"/>
        </w:rPr>
        <w:t>in Nederland, Aruba, Curaçao en Sint Maarten zoveel mogelijk op</w:t>
      </w:r>
      <w:r w:rsidRPr="00805018">
        <w:rPr>
          <w:rFonts w:cs="Times New Roman"/>
          <w:i/>
          <w:sz w:val="18"/>
          <w:szCs w:val="18"/>
        </w:rPr>
        <w:t xml:space="preserve"> overeenkomstige wijze geregeld</w:t>
      </w:r>
      <w:r>
        <w:rPr>
          <w:rFonts w:cs="Times New Roman"/>
          <w:i/>
          <w:sz w:val="18"/>
          <w:szCs w:val="18"/>
        </w:rPr>
        <w:t xml:space="preserve"> worden</w:t>
      </w:r>
      <w:r w:rsidRPr="00805018">
        <w:rPr>
          <w:rFonts w:cs="Times New Roman"/>
          <w:i/>
          <w:sz w:val="18"/>
          <w:szCs w:val="18"/>
        </w:rPr>
        <w:t>’</w:t>
      </w:r>
      <w:r>
        <w:rPr>
          <w:rFonts w:cs="Times New Roman"/>
          <w:sz w:val="18"/>
          <w:szCs w:val="18"/>
        </w:rPr>
        <w:t xml:space="preserve">. Dit beginsel </w:t>
      </w:r>
      <w:r w:rsidRPr="007364F9">
        <w:rPr>
          <w:rFonts w:cs="Times New Roman"/>
          <w:sz w:val="18"/>
          <w:szCs w:val="18"/>
        </w:rPr>
        <w:t xml:space="preserve">maakt het mogelijk dat jurisprudentie van de Hoge Raad </w:t>
      </w:r>
      <w:r w:rsidRPr="007364F9">
        <w:rPr>
          <w:sz w:val="18"/>
          <w:szCs w:val="18"/>
        </w:rPr>
        <w:t>met betrekking tot een zaak die in het ene land</w:t>
      </w:r>
      <w:r>
        <w:rPr>
          <w:sz w:val="18"/>
          <w:szCs w:val="18"/>
        </w:rPr>
        <w:t xml:space="preserve"> sp</w:t>
      </w:r>
      <w:r w:rsidRPr="007364F9">
        <w:rPr>
          <w:sz w:val="18"/>
          <w:szCs w:val="18"/>
        </w:rPr>
        <w:t>eelt, vaak overeenkomstige gelding heeft in de andere drie landen van het Koninkrijk.</w:t>
      </w:r>
      <w:r>
        <w:rPr>
          <w:sz w:val="18"/>
          <w:szCs w:val="18"/>
        </w:rPr>
        <w:t xml:space="preserve"> Alhoewel het belastingrecht niet expliciet genoemd wordt, acht ik het zeer waarschijnlijk dat dit tevens geldt voor het belastingrecht.  Het GKM- begrip van art. 3, lid 2 Lwb 1940 vertoont niet alleen overeenkomsten, maar is identiek aan dat van art. 3.25 Wet IB 2001 waardoor het mij vanzelfsprekend lijkt dat de Nederlandse jurisprudentie (naar analogie) van toepassing dient te zijn. </w:t>
      </w:r>
    </w:p>
    <w:p w:rsidR="00A64945" w:rsidRDefault="00A64945" w:rsidP="008266A9">
      <w:pPr>
        <w:spacing w:after="0" w:line="240" w:lineRule="auto"/>
        <w:jc w:val="both"/>
      </w:pPr>
      <w:r w:rsidRPr="00006FC4">
        <w:rPr>
          <w:sz w:val="18"/>
          <w:szCs w:val="18"/>
        </w:rPr>
        <w:t>D</w:t>
      </w:r>
      <w:r>
        <w:rPr>
          <w:sz w:val="18"/>
          <w:szCs w:val="18"/>
        </w:rPr>
        <w:t xml:space="preserve">e artikelen 4 tot en met 7 van de Lwb 1940 geven de algemene regels met betrekking tot de winstberekening (die volgens het GKM- begrip dient plaats te vinden), alsmede bepalingen inzake de investeringsaftrek, vervroegde afschrijving en giftenaftrek (Bron: S.R. Vanenburg en A. Kattouw, Het Nieuw Fiscaal Raamwerk op de Nederlandse Antillen; </w:t>
      </w:r>
      <w:r w:rsidRPr="004C2803">
        <w:rPr>
          <w:i/>
          <w:sz w:val="18"/>
          <w:szCs w:val="18"/>
        </w:rPr>
        <w:t>De Antillen als ‘nieuwe’ vestigingsplaats voor de interne financiële dienstensector</w:t>
      </w:r>
      <w:r>
        <w:rPr>
          <w:sz w:val="18"/>
          <w:szCs w:val="18"/>
        </w:rPr>
        <w:t>, pg. 134, Kluwer, Deventer, 2002). Een voorbeeld waar het GKM- begrip in de Lwb 1940 expliciet toepassing vindt, is art. 5, lid 5 Lwb 1940. Dit artikel bepaalt dat afschrijvingen op zaken die voor de bedrijfsuitoefening worden gebezigd of afschrijvingen op onverhaalbare schuldvorderingen volgens GKM- gebruik plaats dienen te vinden. Dit artikel geldt tevens voor E- Zonevennootschappen. E- Zonevennootschappen komen echter niet in aanmerking voor vervroegde afschrijving (art. 4, lid 1</w:t>
      </w:r>
      <w:r w:rsidRPr="006A0615">
        <w:rPr>
          <w:sz w:val="18"/>
          <w:szCs w:val="18"/>
        </w:rPr>
        <w:t>e</w:t>
      </w:r>
      <w:r>
        <w:rPr>
          <w:sz w:val="18"/>
          <w:szCs w:val="18"/>
        </w:rPr>
        <w:t xml:space="preserve"> Lwb 1940). Art. 5B, lid 2 Lwb 1940 sluit hen hier van uit.</w:t>
      </w:r>
    </w:p>
  </w:footnote>
  <w:footnote w:id="294">
    <w:p w:rsidR="00A64945" w:rsidRDefault="00A64945" w:rsidP="00203473">
      <w:pPr>
        <w:pStyle w:val="FootnoteText"/>
        <w:jc w:val="both"/>
      </w:pPr>
      <w:r w:rsidRPr="00203473">
        <w:rPr>
          <w:rStyle w:val="FootnoteReference"/>
          <w:rFonts w:cs="Arial"/>
          <w:sz w:val="18"/>
          <w:szCs w:val="18"/>
        </w:rPr>
        <w:footnoteRef/>
      </w:r>
      <w:r w:rsidRPr="00305653">
        <w:rPr>
          <w:sz w:val="18"/>
          <w:szCs w:val="18"/>
        </w:rPr>
        <w:t xml:space="preserve"> Art. 10</w:t>
      </w:r>
      <w:r>
        <w:rPr>
          <w:sz w:val="18"/>
          <w:szCs w:val="18"/>
        </w:rPr>
        <w:t>,</w:t>
      </w:r>
      <w:r w:rsidRPr="00305653">
        <w:rPr>
          <w:sz w:val="18"/>
          <w:szCs w:val="18"/>
        </w:rPr>
        <w:t xml:space="preserve"> lid 1 Lwb 1940.</w:t>
      </w:r>
    </w:p>
  </w:footnote>
  <w:footnote w:id="295">
    <w:p w:rsidR="00A64945" w:rsidRDefault="00A64945" w:rsidP="002D50D2">
      <w:pPr>
        <w:pStyle w:val="FootnoteText"/>
        <w:jc w:val="both"/>
      </w:pPr>
      <w:r w:rsidRPr="00D13A51">
        <w:rPr>
          <w:rStyle w:val="FootnoteReference"/>
          <w:rFonts w:cs="Arial"/>
          <w:sz w:val="18"/>
          <w:szCs w:val="18"/>
        </w:rPr>
        <w:footnoteRef/>
      </w:r>
      <w:r w:rsidRPr="00D13A51">
        <w:rPr>
          <w:sz w:val="18"/>
          <w:szCs w:val="18"/>
        </w:rPr>
        <w:t xml:space="preserve"> De Lwb 1940 kent geen achterwaartse verliesverrekening.</w:t>
      </w:r>
    </w:p>
  </w:footnote>
  <w:footnote w:id="296">
    <w:p w:rsidR="00A64945" w:rsidRDefault="00A64945" w:rsidP="009173EC">
      <w:pPr>
        <w:pStyle w:val="FootnoteText"/>
        <w:jc w:val="both"/>
      </w:pPr>
      <w:r w:rsidRPr="005D0A77">
        <w:rPr>
          <w:rStyle w:val="FootnoteReference"/>
          <w:rFonts w:cs="Arial"/>
          <w:sz w:val="18"/>
          <w:szCs w:val="18"/>
        </w:rPr>
        <w:footnoteRef/>
      </w:r>
      <w:r w:rsidRPr="00D13A51">
        <w:rPr>
          <w:sz w:val="18"/>
          <w:szCs w:val="18"/>
        </w:rPr>
        <w:t xml:space="preserve"> Art. 10 Lwb 1940.</w:t>
      </w:r>
    </w:p>
  </w:footnote>
  <w:footnote w:id="297">
    <w:p w:rsidR="00A64945" w:rsidRDefault="00A64945" w:rsidP="009173EC">
      <w:pPr>
        <w:pStyle w:val="FootnoteText"/>
        <w:jc w:val="both"/>
      </w:pPr>
      <w:r w:rsidRPr="005D0A77">
        <w:rPr>
          <w:rStyle w:val="FootnoteReference"/>
          <w:rFonts w:cs="Arial"/>
          <w:sz w:val="18"/>
          <w:szCs w:val="18"/>
        </w:rPr>
        <w:footnoteRef/>
      </w:r>
      <w:r w:rsidRPr="00EA17E8">
        <w:rPr>
          <w:sz w:val="18"/>
          <w:szCs w:val="18"/>
        </w:rPr>
        <w:t xml:space="preserve"> Art. 5b, tweede lid Lwb 1940.</w:t>
      </w:r>
    </w:p>
  </w:footnote>
  <w:footnote w:id="298">
    <w:p w:rsidR="00A64945" w:rsidRDefault="00A64945" w:rsidP="009173EC">
      <w:pPr>
        <w:pStyle w:val="FootnoteText"/>
        <w:jc w:val="both"/>
      </w:pPr>
      <w:r w:rsidRPr="007772C7">
        <w:rPr>
          <w:rStyle w:val="FootnoteReference"/>
          <w:rFonts w:cs="Arial"/>
          <w:sz w:val="18"/>
          <w:szCs w:val="18"/>
        </w:rPr>
        <w:footnoteRef/>
      </w:r>
      <w:r w:rsidRPr="007772C7">
        <w:rPr>
          <w:sz w:val="18"/>
          <w:szCs w:val="18"/>
        </w:rPr>
        <w:t xml:space="preserve"> Opcenten zijn toeslagen op het belastingbedrag, uitgedrukt in procenten van de hoofdsom. De hoofdsom is het bedrag welke aan belasting betaald moet worden krachtens het tarief. De bevoegdheid tot heffen van opcenten komt uitsluitend toe aan de eilandgebieden.</w:t>
      </w:r>
    </w:p>
  </w:footnote>
  <w:footnote w:id="299">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Goedkoopmansgebruik gaat hier een rol bij gaan spelen. Er kunnen bijvoorbeeld prikkels ontstaan om een transactie eerder te factureren of een opdracht eerder (of juist later) uit te voeren. Een dergelijke maatregel stimuleert dus gedragsverandering van mensen. Het bestaan van de maatregel wordt als realiteit beschouwd, maar mensen gaan binnen deze rea</w:t>
      </w:r>
      <w:r>
        <w:rPr>
          <w:sz w:val="18"/>
          <w:szCs w:val="18"/>
        </w:rPr>
        <w:t xml:space="preserve">liteit hun handelen aanpassen. </w:t>
      </w:r>
      <w:r w:rsidRPr="0005712D">
        <w:rPr>
          <w:sz w:val="18"/>
          <w:szCs w:val="18"/>
        </w:rPr>
        <w:t>Bijvoorbeeld het tijdstip van winstneming of de keuze voor bepaalde afnemers/projecten. Belastingen grijpen op deze manier in op de wijze waarop de handelstransacties worden vormgegeven of afgewikkeld.</w:t>
      </w:r>
      <w:r>
        <w:rPr>
          <w:sz w:val="18"/>
          <w:szCs w:val="18"/>
        </w:rPr>
        <w:t xml:space="preserve"> Dit is een niet gewenste bijwerking van een belastingmaatregel. Belastingen dienen geen verstorende uitwerking te hebben. Des te meer een belastingmaatregel verstoort, des te minder het bijdraagt aan een ‘goed’ belastingstelsel.</w:t>
      </w:r>
    </w:p>
  </w:footnote>
  <w:footnote w:id="300">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Dit kunnen zowel natuurlijke personen als rechtspersonen zijn.</w:t>
      </w:r>
    </w:p>
  </w:footnote>
  <w:footnote w:id="301">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Art. 7, lid 3 LEZ 2000. </w:t>
      </w:r>
    </w:p>
  </w:footnote>
  <w:footnote w:id="302">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Art. 7, lid 4 LEZ 2000.</w:t>
      </w:r>
    </w:p>
  </w:footnote>
  <w:footnote w:id="303">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Art. 11, eerste lid letter a jo</w:t>
      </w:r>
      <w:r>
        <w:rPr>
          <w:sz w:val="18"/>
          <w:szCs w:val="18"/>
        </w:rPr>
        <w:t>.</w:t>
      </w:r>
      <w:r w:rsidRPr="0005712D">
        <w:rPr>
          <w:sz w:val="18"/>
          <w:szCs w:val="18"/>
        </w:rPr>
        <w:t xml:space="preserve"> tweede lid LEZ 2000.</w:t>
      </w:r>
    </w:p>
  </w:footnote>
  <w:footnote w:id="304">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Art. 11, eerste lid, letter b LEZ 2000.</w:t>
      </w:r>
    </w:p>
  </w:footnote>
  <w:footnote w:id="305">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Art. 11, eerste lid, letter c LEZ 2000.</w:t>
      </w:r>
    </w:p>
  </w:footnote>
  <w:footnote w:id="306">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Art. 11, eerste lid, letter c LEZ 2000.</w:t>
      </w:r>
    </w:p>
  </w:footnote>
  <w:footnote w:id="307">
    <w:p w:rsidR="00A64945" w:rsidRDefault="00A64945" w:rsidP="0005712D">
      <w:pPr>
        <w:pStyle w:val="FootnoteText"/>
        <w:jc w:val="both"/>
      </w:pPr>
      <w:r w:rsidRPr="0005712D">
        <w:rPr>
          <w:rStyle w:val="FootnoteReference"/>
          <w:rFonts w:cs="Arial"/>
          <w:sz w:val="18"/>
          <w:szCs w:val="18"/>
        </w:rPr>
        <w:footnoteRef/>
      </w:r>
      <w:r w:rsidRPr="0005712D">
        <w:rPr>
          <w:sz w:val="18"/>
          <w:szCs w:val="18"/>
        </w:rPr>
        <w:t xml:space="preserve"> Art. 11, lid 2 en 3 Lwb 1940.</w:t>
      </w:r>
    </w:p>
  </w:footnote>
  <w:footnote w:id="308">
    <w:p w:rsidR="00A64945" w:rsidRDefault="00A64945" w:rsidP="00CA3A2F">
      <w:pPr>
        <w:pStyle w:val="FootnoteText"/>
        <w:jc w:val="both"/>
      </w:pPr>
      <w:r w:rsidRPr="00CA3A2F">
        <w:rPr>
          <w:rStyle w:val="FootnoteReference"/>
          <w:rFonts w:cs="Arial"/>
          <w:sz w:val="18"/>
          <w:szCs w:val="18"/>
        </w:rPr>
        <w:footnoteRef/>
      </w:r>
      <w:r w:rsidRPr="00CA3A2F">
        <w:rPr>
          <w:sz w:val="18"/>
          <w:szCs w:val="18"/>
        </w:rPr>
        <w:t xml:space="preserve"> Art. 11, lid 3 Lwb 1940.</w:t>
      </w:r>
    </w:p>
  </w:footnote>
  <w:footnote w:id="309">
    <w:p w:rsidR="00A64945" w:rsidRDefault="00A64945" w:rsidP="00CA3A2F">
      <w:pPr>
        <w:pStyle w:val="FootnoteText"/>
        <w:jc w:val="both"/>
      </w:pPr>
      <w:r w:rsidRPr="00CA3A2F">
        <w:rPr>
          <w:rStyle w:val="FootnoteReference"/>
          <w:rFonts w:cs="Arial"/>
          <w:sz w:val="18"/>
          <w:szCs w:val="18"/>
        </w:rPr>
        <w:footnoteRef/>
      </w:r>
      <w:r w:rsidRPr="00CA3A2F">
        <w:rPr>
          <w:sz w:val="18"/>
          <w:szCs w:val="18"/>
        </w:rPr>
        <w:t xml:space="preserve"> Art. 1, eerste lid, onderdeel a Lwb 1940.</w:t>
      </w:r>
    </w:p>
  </w:footnote>
  <w:footnote w:id="310">
    <w:p w:rsidR="00A64945" w:rsidRDefault="00A64945" w:rsidP="00230588">
      <w:pPr>
        <w:pStyle w:val="FootnoteText"/>
        <w:jc w:val="both"/>
      </w:pPr>
      <w:r w:rsidRPr="00CA3A2F">
        <w:rPr>
          <w:rStyle w:val="FootnoteReference"/>
          <w:rFonts w:cs="Arial"/>
          <w:sz w:val="18"/>
          <w:szCs w:val="18"/>
        </w:rPr>
        <w:footnoteRef/>
      </w:r>
      <w:r w:rsidRPr="00CA3A2F">
        <w:rPr>
          <w:sz w:val="18"/>
          <w:szCs w:val="18"/>
        </w:rPr>
        <w:t xml:space="preserve"> De Nederlandse deelnemingsvrijstelling is van toepassing op zowel binnenlandse- als buitenlandse deelnemingen (met ingang van 1 januari wordt, in lijn met de eisen die door de EU worden gesteld, geen onderscheid meer gemaakt tussen binnenlandse en buitenlandse deelnemingen), maar niet op laagbelaste beleggingsdeelnemingen. Voordelen uit een zogenoemd laagbelaste beleggingsdeelneming kwalificeren niet voor de deelnemingsvrijstelling (art 13, lid 10 Wet VPB 1969). E- Zones zijn onderhevig aan een winstbelastingtarief van 2%. Relevant is dus of E- Zones laagbelaste beleggingsdeelnemingen zijn. Wil er sprake zijn van een laagbelaste beleggingsdeelneming, dan moet er aan een aantal voorwaarden zijn voldaan. V</w:t>
      </w:r>
      <w:r w:rsidRPr="00CA3A2F">
        <w:rPr>
          <w:iCs/>
          <w:sz w:val="18"/>
          <w:szCs w:val="18"/>
        </w:rPr>
        <w:t xml:space="preserve">an een laagbelaste beleggingsdeelneming is sprake indien de bezittingen van het lichaam waarin de belastingplichtige een deelneming heeft, grotendeels (dat is voor meer dan 50%), onmiddellijk of middellijk, bestaan uit </w:t>
      </w:r>
      <w:r w:rsidRPr="00CA3A2F">
        <w:rPr>
          <w:i/>
          <w:iCs/>
          <w:sz w:val="18"/>
          <w:szCs w:val="18"/>
        </w:rPr>
        <w:t>vrije beleggingen</w:t>
      </w:r>
      <w:r w:rsidRPr="00CA3A2F">
        <w:rPr>
          <w:iCs/>
          <w:sz w:val="18"/>
          <w:szCs w:val="18"/>
        </w:rPr>
        <w:t xml:space="preserve"> (de bezittingentoets). De deelneming dient tevens onderworpen te zijn aan een belasting naar de winst die resulteert in een heffing naar een tarief van </w:t>
      </w:r>
      <w:r w:rsidRPr="00CA3A2F">
        <w:rPr>
          <w:i/>
          <w:iCs/>
          <w:sz w:val="18"/>
          <w:szCs w:val="18"/>
        </w:rPr>
        <w:t>minder dan 10%</w:t>
      </w:r>
      <w:r w:rsidRPr="00CA3A2F">
        <w:rPr>
          <w:iCs/>
          <w:sz w:val="18"/>
          <w:szCs w:val="18"/>
        </w:rPr>
        <w:t xml:space="preserve"> over een naar Nederlandse maatstaven bepaalde belastbare winst (de belastingdruktoets). Voorts dient de deelneming </w:t>
      </w:r>
      <w:r w:rsidRPr="00CA3A2F">
        <w:rPr>
          <w:i/>
          <w:iCs/>
          <w:sz w:val="18"/>
          <w:szCs w:val="18"/>
        </w:rPr>
        <w:t>geen vastgoeddeelneming</w:t>
      </w:r>
      <w:r w:rsidRPr="00CA3A2F">
        <w:rPr>
          <w:iCs/>
          <w:sz w:val="18"/>
          <w:szCs w:val="18"/>
        </w:rPr>
        <w:t xml:space="preserve"> te zijn </w:t>
      </w:r>
      <w:r w:rsidRPr="00CA3A2F">
        <w:rPr>
          <w:sz w:val="18"/>
          <w:szCs w:val="18"/>
        </w:rPr>
        <w:t>(de vastgoedtoet’).</w:t>
      </w:r>
      <w:r w:rsidRPr="00CA3A2F">
        <w:rPr>
          <w:iCs/>
          <w:sz w:val="18"/>
          <w:szCs w:val="18"/>
        </w:rPr>
        <w:t xml:space="preserve"> Een vast goeddeelneming  is een deelneming waarvan </w:t>
      </w:r>
      <w:r w:rsidRPr="00CA3A2F">
        <w:rPr>
          <w:sz w:val="18"/>
          <w:szCs w:val="18"/>
        </w:rPr>
        <w:t xml:space="preserve">de bezittingen voor meer dan 90% uit vastgoed bestaan. Pas als een E- vennootschap voor alle drie bovengenoemde toetsen ‘zakt’, is zij een laag belast beleggingsdeelneming. Het lage tarief waar E- vennootschappen aan onderhevig zijn op zich, </w:t>
      </w:r>
      <w:r>
        <w:rPr>
          <w:sz w:val="18"/>
          <w:szCs w:val="18"/>
        </w:rPr>
        <w:t>behoeft</w:t>
      </w:r>
      <w:r w:rsidRPr="00CA3A2F">
        <w:rPr>
          <w:sz w:val="18"/>
          <w:szCs w:val="18"/>
        </w:rPr>
        <w:t xml:space="preserve"> de toepassing van de Nederlandse deelnemingsvrijstelling </w:t>
      </w:r>
      <w:r>
        <w:rPr>
          <w:sz w:val="18"/>
          <w:szCs w:val="18"/>
        </w:rPr>
        <w:t>dit dus</w:t>
      </w:r>
      <w:r w:rsidRPr="00CA3A2F">
        <w:rPr>
          <w:sz w:val="18"/>
          <w:szCs w:val="18"/>
        </w:rPr>
        <w:t xml:space="preserve"> niet in de weg</w:t>
      </w:r>
      <w:r>
        <w:rPr>
          <w:sz w:val="18"/>
          <w:szCs w:val="18"/>
        </w:rPr>
        <w:t xml:space="preserve"> te staan</w:t>
      </w:r>
      <w:r w:rsidRPr="00CA3A2F">
        <w:rPr>
          <w:sz w:val="18"/>
          <w:szCs w:val="18"/>
        </w:rPr>
        <w:t>. Er is pas sprake van een laagbelaste beleggingsdeelneming als ook aan de bezittingentoets en de vastgoedtoets is voldaan. Indien een E- vennootschap aangemerkt wordt als een laagbelast beleggingsdeelneming, komen de aan een Nederlandse moeder uitgekeerde dividenden niet in aanmerking voor de deelnemingsvrijstelling.</w:t>
      </w:r>
    </w:p>
  </w:footnote>
  <w:footnote w:id="311">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Art. 6 van de Landsverordening omzetbelasting 1999.</w:t>
      </w:r>
    </w:p>
  </w:footnote>
  <w:footnote w:id="312">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In de Nederlandse Antillen zijn op het gebied van de omzetbelasting twee landsverordeningen van toepassing.  Deze landsverordeningen hebben elk hun eigen systeem en geografische toepassingsbereik. In Curaçao en Bonaire wordt een omzetbelasting geheven krachtens de Landsverordening omzetbelasting 1999 (hierna: LOB 1999), terwijl op de Bovenwindse eilanden een belasting op bedrijfsomzetten wordt geheven op basis van de Landsverordening belasting op bedrijfsomzetten 1997 (PbNA 1996,nr.  210). De LOB 1999 hanteert het cumulatief cascadestelsel. Een uiteenzetting van dit stelsel is in § 2.4. reeds aan de orde geweest.</w:t>
      </w:r>
    </w:p>
  </w:footnote>
  <w:footnote w:id="313">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Art. 7, eenentwintigste lid LOB 1999.</w:t>
      </w:r>
    </w:p>
  </w:footnote>
  <w:footnote w:id="314">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Idem.</w:t>
      </w:r>
    </w:p>
  </w:footnote>
  <w:footnote w:id="315">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Art. 7, twintigste lid LOB 1999.</w:t>
      </w:r>
    </w:p>
  </w:footnote>
  <w:footnote w:id="316">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Art. 7, tweeëntwintigste lid LOB 1999.</w:t>
      </w:r>
    </w:p>
  </w:footnote>
  <w:footnote w:id="317">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Art. 9, eerste lid, letter a  LEZ 2000.</w:t>
      </w:r>
    </w:p>
  </w:footnote>
  <w:footnote w:id="318">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Art. 7, tiende lid LOB 1999.</w:t>
      </w:r>
    </w:p>
  </w:footnote>
  <w:footnote w:id="319">
    <w:p w:rsidR="00A64945" w:rsidRDefault="00A64945" w:rsidP="00441274">
      <w:pPr>
        <w:pStyle w:val="FootnoteText"/>
        <w:jc w:val="both"/>
      </w:pPr>
      <w:r w:rsidRPr="00441274">
        <w:rPr>
          <w:rStyle w:val="FootnoteReference"/>
          <w:rFonts w:cs="Arial"/>
          <w:sz w:val="18"/>
          <w:szCs w:val="18"/>
        </w:rPr>
        <w:footnoteRef/>
      </w:r>
      <w:r w:rsidRPr="00441274">
        <w:rPr>
          <w:sz w:val="18"/>
          <w:szCs w:val="18"/>
        </w:rPr>
        <w:t xml:space="preserve"> Ministeriele beschikking met algemene werking van 21 juni 1999, PbNA 1999, nr. 98: art. 1, eerste lid, onderdeel h.</w:t>
      </w:r>
    </w:p>
  </w:footnote>
  <w:footnote w:id="320">
    <w:p w:rsidR="00A64945" w:rsidRDefault="00A64945" w:rsidP="009173EC">
      <w:pPr>
        <w:pStyle w:val="FootnoteText"/>
        <w:jc w:val="both"/>
      </w:pPr>
      <w:r w:rsidRPr="007A4B08">
        <w:rPr>
          <w:rStyle w:val="FootnoteReference"/>
          <w:rFonts w:cs="Arial"/>
          <w:sz w:val="18"/>
          <w:szCs w:val="18"/>
        </w:rPr>
        <w:footnoteRef/>
      </w:r>
      <w:r w:rsidRPr="007A4B08">
        <w:rPr>
          <w:sz w:val="18"/>
          <w:szCs w:val="18"/>
        </w:rPr>
        <w:t xml:space="preserve"> Een landsbesluit is een besluit uitgevaardigd door de Gouverneur van de Nederlandse Antillen. De Gouverneur is de vertegenwoordiger van de Koningin in de Nederlandse Antillen en tevens hoofd van de regering van Curaçao. </w:t>
      </w:r>
    </w:p>
  </w:footnote>
  <w:footnote w:id="321">
    <w:p w:rsidR="00A64945" w:rsidRDefault="00A64945" w:rsidP="009173EC">
      <w:pPr>
        <w:pStyle w:val="FootnoteText"/>
        <w:jc w:val="both"/>
      </w:pPr>
      <w:r w:rsidRPr="007A4B08">
        <w:rPr>
          <w:rStyle w:val="FootnoteReference"/>
          <w:rFonts w:cs="Arial"/>
          <w:sz w:val="18"/>
          <w:szCs w:val="18"/>
        </w:rPr>
        <w:footnoteRef/>
      </w:r>
      <w:r w:rsidRPr="007A4B08">
        <w:rPr>
          <w:sz w:val="18"/>
          <w:szCs w:val="18"/>
        </w:rPr>
        <w:t xml:space="preserve"> Art. 9, eerste lid  letter a LEZ 2001.</w:t>
      </w:r>
    </w:p>
  </w:footnote>
  <w:footnote w:id="322">
    <w:p w:rsidR="00A64945" w:rsidRDefault="00A64945" w:rsidP="009173EC">
      <w:pPr>
        <w:pStyle w:val="FootnoteText"/>
        <w:jc w:val="both"/>
      </w:pPr>
      <w:r w:rsidRPr="007A4B08">
        <w:rPr>
          <w:rStyle w:val="FootnoteReference"/>
          <w:rFonts w:cs="Arial"/>
          <w:sz w:val="18"/>
          <w:szCs w:val="18"/>
        </w:rPr>
        <w:footnoteRef/>
      </w:r>
      <w:r w:rsidRPr="007A4B08">
        <w:rPr>
          <w:sz w:val="18"/>
          <w:szCs w:val="18"/>
        </w:rPr>
        <w:t xml:space="preserve"> Art. 9, eerste lid, letter b  LEZ 2001.</w:t>
      </w:r>
    </w:p>
  </w:footnote>
  <w:footnote w:id="323">
    <w:p w:rsidR="00A64945" w:rsidRDefault="00A64945" w:rsidP="009173EC">
      <w:pPr>
        <w:spacing w:after="0" w:line="240" w:lineRule="auto"/>
        <w:jc w:val="both"/>
      </w:pPr>
      <w:r w:rsidRPr="007A4B08">
        <w:rPr>
          <w:rStyle w:val="FootnoteReference"/>
          <w:rFonts w:cs="Arial"/>
          <w:sz w:val="18"/>
          <w:szCs w:val="18"/>
        </w:rPr>
        <w:footnoteRef/>
      </w:r>
      <w:r w:rsidRPr="007A4B08">
        <w:rPr>
          <w:sz w:val="18"/>
          <w:szCs w:val="18"/>
        </w:rPr>
        <w:t xml:space="preserve"> De Belastingdienst is hierbij bevoegd nadere voorwaarden vast te stellen: art. 9, tweede lid LEZ 2001.</w:t>
      </w:r>
    </w:p>
  </w:footnote>
  <w:footnote w:id="324">
    <w:p w:rsidR="00A64945" w:rsidRDefault="00A64945" w:rsidP="00A91151">
      <w:pPr>
        <w:pStyle w:val="FootnoteText"/>
        <w:jc w:val="both"/>
      </w:pPr>
      <w:r w:rsidRPr="007A4B08">
        <w:rPr>
          <w:rStyle w:val="FootnoteReference"/>
          <w:sz w:val="18"/>
          <w:szCs w:val="18"/>
        </w:rPr>
        <w:footnoteRef/>
      </w:r>
      <w:r w:rsidRPr="007A4B08">
        <w:rPr>
          <w:sz w:val="18"/>
          <w:szCs w:val="18"/>
        </w:rPr>
        <w:t xml:space="preserve"> De Ex- patriateregeling is geen specifieke E- Zoneaangelegenheid en is dus niet alleen van toepassing in en verbonden aan de E- Zones. Buitenlandse werknemers die over een specifieke schaarse deskundigheid beschikken en die worden aangetrokken om elders op het eiland te werken, kunnen ook in aanmerking voor deze regeling komen.</w:t>
      </w:r>
    </w:p>
  </w:footnote>
  <w:footnote w:id="325">
    <w:p w:rsidR="00A64945" w:rsidRDefault="00A64945" w:rsidP="00232C33">
      <w:pPr>
        <w:pStyle w:val="FootnoteText"/>
        <w:jc w:val="both"/>
      </w:pPr>
      <w:r w:rsidRPr="007A4B08">
        <w:rPr>
          <w:rStyle w:val="FootnoteReference"/>
          <w:rFonts w:cs="Arial"/>
          <w:sz w:val="18"/>
          <w:szCs w:val="18"/>
        </w:rPr>
        <w:footnoteRef/>
      </w:r>
      <w:r w:rsidRPr="007A4B08">
        <w:rPr>
          <w:sz w:val="18"/>
          <w:szCs w:val="18"/>
        </w:rPr>
        <w:t xml:space="preserve"> Naast de Beschikking ex- patriates 1998, bestaat er namelijk ook een Beschikking ex- patraites Sint. Eustatius 2005.</w:t>
      </w:r>
    </w:p>
  </w:footnote>
  <w:footnote w:id="326">
    <w:p w:rsidR="00A64945" w:rsidRDefault="00A64945" w:rsidP="00FD26C9">
      <w:pPr>
        <w:pStyle w:val="FootnoteText"/>
        <w:jc w:val="both"/>
      </w:pPr>
      <w:r w:rsidRPr="007A4B08">
        <w:rPr>
          <w:rStyle w:val="FootnoteReference"/>
          <w:sz w:val="18"/>
          <w:szCs w:val="18"/>
        </w:rPr>
        <w:footnoteRef/>
      </w:r>
      <w:r w:rsidRPr="007A4B08">
        <w:rPr>
          <w:sz w:val="18"/>
          <w:szCs w:val="18"/>
        </w:rPr>
        <w:t xml:space="preserve"> Dit termijn is gesteld op vijf jaar om te voorkomen dat personen die reeds in de Nederlandse Antillen woonachtig zijn door een korte periode naar het buitenland te reizen onder de werking van deze regeling kunnen worden gebracht, het geen in strijd is met de doel en strekking van de regeling. Bron: §2. Artikelgewijze toelichting; artikel 1 van de Toelichting behorende bij ministeriele beschikking ter uitvoering van artikel 58, eerste lid, onderdeel a van de Landsverordening op de inkomstenbelasting 1943 (P.B. 1956, no. 9) en artikel 22 van de landsverordening op de loonbelasting 1978 (P.B. 1975, no. 254) Beschikking Ex- patriates 1998). </w:t>
      </w:r>
    </w:p>
  </w:footnote>
  <w:footnote w:id="327">
    <w:p w:rsidR="00A64945" w:rsidRDefault="00A64945" w:rsidP="009173EC">
      <w:pPr>
        <w:pStyle w:val="FootnoteText"/>
        <w:jc w:val="both"/>
      </w:pPr>
      <w:r w:rsidRPr="007A4B08">
        <w:rPr>
          <w:rStyle w:val="FootnoteReference"/>
          <w:rFonts w:cs="Arial"/>
          <w:sz w:val="18"/>
          <w:szCs w:val="18"/>
        </w:rPr>
        <w:footnoteRef/>
      </w:r>
      <w:r w:rsidRPr="007A4B08">
        <w:rPr>
          <w:sz w:val="18"/>
          <w:szCs w:val="18"/>
        </w:rPr>
        <w:t xml:space="preserve"> Artikel 1, onderdeel a Beschikking ex- patriates 1998.</w:t>
      </w:r>
    </w:p>
  </w:footnote>
  <w:footnote w:id="328">
    <w:p w:rsidR="00A64945" w:rsidRDefault="00A64945" w:rsidP="009173EC">
      <w:pPr>
        <w:pStyle w:val="FootnoteText"/>
        <w:jc w:val="both"/>
      </w:pPr>
      <w:r w:rsidRPr="007A4B08">
        <w:rPr>
          <w:rStyle w:val="FootnoteReference"/>
          <w:rFonts w:cs="Arial"/>
          <w:sz w:val="18"/>
          <w:szCs w:val="18"/>
        </w:rPr>
        <w:footnoteRef/>
      </w:r>
      <w:r w:rsidRPr="007A4B08">
        <w:rPr>
          <w:sz w:val="18"/>
          <w:szCs w:val="18"/>
        </w:rPr>
        <w:t xml:space="preserve"> Artikel 2, onderdeel c Beschikking ex- patriates 1998.</w:t>
      </w:r>
    </w:p>
  </w:footnote>
  <w:footnote w:id="329">
    <w:p w:rsidR="00A64945" w:rsidRDefault="00A64945" w:rsidP="009173EC">
      <w:pPr>
        <w:pStyle w:val="FootnoteText"/>
        <w:jc w:val="both"/>
      </w:pPr>
      <w:r w:rsidRPr="00FA31EF">
        <w:rPr>
          <w:rStyle w:val="FootnoteReference"/>
          <w:rFonts w:cs="Arial"/>
          <w:sz w:val="18"/>
          <w:szCs w:val="18"/>
        </w:rPr>
        <w:footnoteRef/>
      </w:r>
      <w:r w:rsidRPr="00FA31EF">
        <w:rPr>
          <w:sz w:val="18"/>
          <w:szCs w:val="18"/>
        </w:rPr>
        <w:t xml:space="preserve"> Zie art. 8 lid 2 onderdeel a en b van het Uitvoeringsbesluit LB 1965.</w:t>
      </w:r>
    </w:p>
  </w:footnote>
  <w:footnote w:id="330">
    <w:p w:rsidR="00A64945" w:rsidRDefault="00A64945" w:rsidP="009173EC">
      <w:pPr>
        <w:pStyle w:val="FootnoteText"/>
        <w:jc w:val="both"/>
      </w:pPr>
      <w:r w:rsidRPr="00527AE3">
        <w:rPr>
          <w:rStyle w:val="FootnoteReference"/>
          <w:rFonts w:cs="Arial"/>
          <w:sz w:val="18"/>
          <w:szCs w:val="18"/>
        </w:rPr>
        <w:footnoteRef/>
      </w:r>
      <w:r w:rsidRPr="00527AE3">
        <w:rPr>
          <w:sz w:val="18"/>
          <w:szCs w:val="18"/>
        </w:rPr>
        <w:t xml:space="preserve"> Artikel 7, vierde lid Beschikking ex- patriates 1998.</w:t>
      </w:r>
    </w:p>
  </w:footnote>
  <w:footnote w:id="331">
    <w:p w:rsidR="00A64945" w:rsidRDefault="00A64945" w:rsidP="009173EC">
      <w:pPr>
        <w:pStyle w:val="FootnoteText"/>
        <w:jc w:val="both"/>
      </w:pPr>
      <w:r w:rsidRPr="00527AE3">
        <w:rPr>
          <w:rStyle w:val="FootnoteReference"/>
          <w:rFonts w:cs="Arial"/>
          <w:sz w:val="18"/>
          <w:szCs w:val="18"/>
        </w:rPr>
        <w:footnoteRef/>
      </w:r>
      <w:r w:rsidRPr="00527AE3">
        <w:rPr>
          <w:sz w:val="18"/>
          <w:szCs w:val="18"/>
        </w:rPr>
        <w:t xml:space="preserve"> Artikel 7, vijfde lid Beschikking ex- patriates 1998.</w:t>
      </w:r>
      <w:r>
        <w:rPr>
          <w:sz w:val="18"/>
          <w:szCs w:val="18"/>
        </w:rPr>
        <w:t xml:space="preserve"> </w:t>
      </w:r>
    </w:p>
  </w:footnote>
  <w:footnote w:id="332">
    <w:p w:rsidR="00A64945" w:rsidRDefault="00A64945" w:rsidP="0050650F">
      <w:pPr>
        <w:pStyle w:val="FootnoteText"/>
        <w:jc w:val="both"/>
      </w:pPr>
      <w:r w:rsidRPr="0050650F">
        <w:rPr>
          <w:rStyle w:val="FootnoteReference"/>
          <w:sz w:val="18"/>
          <w:szCs w:val="18"/>
        </w:rPr>
        <w:footnoteRef/>
      </w:r>
      <w:r w:rsidRPr="0050650F">
        <w:rPr>
          <w:sz w:val="18"/>
          <w:szCs w:val="18"/>
        </w:rPr>
        <w:t xml:space="preserve"> Het betreft hier de situatie waarin de werkgever de de door de werknemer over zijn loon verschuldigde loonbelasting voor zijn rekening neemt.</w:t>
      </w:r>
    </w:p>
  </w:footnote>
  <w:footnote w:id="333">
    <w:p w:rsidR="00A64945" w:rsidRDefault="00A64945" w:rsidP="009173EC">
      <w:pPr>
        <w:pStyle w:val="FootnoteText"/>
        <w:jc w:val="both"/>
      </w:pPr>
      <w:r w:rsidRPr="00527AE3">
        <w:rPr>
          <w:rStyle w:val="FootnoteReference"/>
          <w:rFonts w:cs="Arial"/>
          <w:sz w:val="18"/>
          <w:szCs w:val="18"/>
        </w:rPr>
        <w:footnoteRef/>
      </w:r>
      <w:r w:rsidRPr="00527AE3">
        <w:rPr>
          <w:sz w:val="18"/>
          <w:szCs w:val="18"/>
        </w:rPr>
        <w:t xml:space="preserve"> Artikel 5 Beschikking ex- patriates 1998.</w:t>
      </w:r>
    </w:p>
  </w:footnote>
  <w:footnote w:id="334">
    <w:p w:rsidR="00A64945" w:rsidRDefault="00A64945" w:rsidP="009173EC">
      <w:pPr>
        <w:pStyle w:val="FootnoteText"/>
        <w:jc w:val="both"/>
      </w:pPr>
      <w:r w:rsidRPr="00527AE3">
        <w:rPr>
          <w:rStyle w:val="FootnoteReference"/>
          <w:rFonts w:cs="Arial"/>
          <w:sz w:val="18"/>
          <w:szCs w:val="18"/>
        </w:rPr>
        <w:footnoteRef/>
      </w:r>
      <w:r w:rsidRPr="00527AE3">
        <w:rPr>
          <w:sz w:val="18"/>
          <w:szCs w:val="18"/>
        </w:rPr>
        <w:t xml:space="preserve"> Artikel 4 Beschikking ex- patriates 1998.</w:t>
      </w:r>
    </w:p>
  </w:footnote>
  <w:footnote w:id="335">
    <w:p w:rsidR="00A64945" w:rsidRDefault="00A64945" w:rsidP="009173EC">
      <w:pPr>
        <w:pStyle w:val="FootnoteText"/>
        <w:jc w:val="both"/>
      </w:pPr>
      <w:r w:rsidRPr="00527AE3">
        <w:rPr>
          <w:rStyle w:val="FootnoteReference"/>
          <w:rFonts w:cs="Arial"/>
          <w:sz w:val="18"/>
          <w:szCs w:val="18"/>
        </w:rPr>
        <w:footnoteRef/>
      </w:r>
      <w:r w:rsidRPr="00527AE3">
        <w:rPr>
          <w:sz w:val="18"/>
          <w:szCs w:val="18"/>
        </w:rPr>
        <w:t xml:space="preserve"> Artikel 4</w:t>
      </w:r>
      <w:r>
        <w:rPr>
          <w:sz w:val="18"/>
          <w:szCs w:val="18"/>
        </w:rPr>
        <w:t>,</w:t>
      </w:r>
      <w:r w:rsidRPr="00527AE3">
        <w:rPr>
          <w:sz w:val="18"/>
          <w:szCs w:val="18"/>
        </w:rPr>
        <w:t xml:space="preserve"> onderdeel a Beschikking ex- patriates 1998.</w:t>
      </w:r>
    </w:p>
  </w:footnote>
  <w:footnote w:id="336">
    <w:p w:rsidR="00A64945" w:rsidRDefault="00A64945" w:rsidP="00BF0221">
      <w:pPr>
        <w:pStyle w:val="FootnoteText"/>
        <w:jc w:val="both"/>
      </w:pPr>
      <w:r w:rsidRPr="00BF0221">
        <w:rPr>
          <w:rStyle w:val="FootnoteReference"/>
          <w:rFonts w:cs="Arial"/>
          <w:sz w:val="18"/>
          <w:szCs w:val="18"/>
        </w:rPr>
        <w:footnoteRef/>
      </w:r>
      <w:r w:rsidRPr="00BF0221">
        <w:rPr>
          <w:sz w:val="18"/>
          <w:szCs w:val="18"/>
        </w:rPr>
        <w:t xml:space="preserve"> Artikel 4</w:t>
      </w:r>
      <w:r>
        <w:rPr>
          <w:sz w:val="18"/>
          <w:szCs w:val="18"/>
        </w:rPr>
        <w:t>,</w:t>
      </w:r>
      <w:r w:rsidRPr="00BF0221">
        <w:rPr>
          <w:sz w:val="18"/>
          <w:szCs w:val="18"/>
        </w:rPr>
        <w:t xml:space="preserve"> onderdeel </w:t>
      </w:r>
      <w:r>
        <w:rPr>
          <w:sz w:val="18"/>
          <w:szCs w:val="18"/>
        </w:rPr>
        <w:t>b</w:t>
      </w:r>
      <w:r w:rsidRPr="00BF0221">
        <w:rPr>
          <w:sz w:val="18"/>
          <w:szCs w:val="18"/>
        </w:rPr>
        <w:t xml:space="preserve"> Beschikking ex- patriates 1998.</w:t>
      </w:r>
    </w:p>
  </w:footnote>
  <w:footnote w:id="337">
    <w:p w:rsidR="00A64945" w:rsidRDefault="00A64945" w:rsidP="00571B37">
      <w:pPr>
        <w:pStyle w:val="FootnoteText"/>
        <w:tabs>
          <w:tab w:val="left" w:pos="3898"/>
        </w:tabs>
        <w:jc w:val="both"/>
      </w:pPr>
      <w:r w:rsidRPr="00983E2D">
        <w:rPr>
          <w:rStyle w:val="FootnoteReference"/>
          <w:rFonts w:cs="Arial"/>
          <w:sz w:val="18"/>
          <w:szCs w:val="18"/>
        </w:rPr>
        <w:footnoteRef/>
      </w:r>
      <w:r w:rsidRPr="00983E2D">
        <w:rPr>
          <w:sz w:val="18"/>
          <w:szCs w:val="18"/>
        </w:rPr>
        <w:t xml:space="preserve"> Art. 11 Grondbelastingverordening 1908.</w:t>
      </w:r>
      <w:r w:rsidRPr="00571B37">
        <w:rPr>
          <w:sz w:val="18"/>
          <w:szCs w:val="18"/>
        </w:rPr>
        <w:tab/>
      </w:r>
    </w:p>
  </w:footnote>
  <w:footnote w:id="338">
    <w:p w:rsidR="00A64945" w:rsidRDefault="00A64945" w:rsidP="00571B37">
      <w:pPr>
        <w:pStyle w:val="FootnoteText"/>
        <w:jc w:val="both"/>
      </w:pPr>
      <w:r w:rsidRPr="00571B37">
        <w:rPr>
          <w:rStyle w:val="FootnoteReference"/>
          <w:rFonts w:cs="Arial"/>
          <w:sz w:val="18"/>
          <w:szCs w:val="18"/>
        </w:rPr>
        <w:footnoteRef/>
      </w:r>
      <w:r w:rsidRPr="00571B37">
        <w:rPr>
          <w:sz w:val="18"/>
          <w:szCs w:val="18"/>
        </w:rPr>
        <w:t xml:space="preserve"> De waarde </w:t>
      </w:r>
      <w:r>
        <w:rPr>
          <w:sz w:val="18"/>
          <w:szCs w:val="18"/>
        </w:rPr>
        <w:t xml:space="preserve">van de onroerende zaken in kwestie </w:t>
      </w:r>
      <w:r w:rsidRPr="00571B37">
        <w:rPr>
          <w:sz w:val="18"/>
          <w:szCs w:val="18"/>
        </w:rPr>
        <w:t>wordt opgevat en bepaald overeenkomstig de bepalingen van de Grondbelastingverordening: art. 3 t/m 5 Grondbelastingverordening 1908.</w:t>
      </w:r>
    </w:p>
  </w:footnote>
  <w:footnote w:id="339">
    <w:p w:rsidR="00A64945" w:rsidRDefault="00A64945" w:rsidP="009173EC">
      <w:pPr>
        <w:pStyle w:val="FootnoteText"/>
        <w:jc w:val="both"/>
      </w:pPr>
      <w:r w:rsidRPr="00527AE3">
        <w:rPr>
          <w:rStyle w:val="FootnoteReference"/>
          <w:rFonts w:cs="Arial"/>
          <w:sz w:val="18"/>
          <w:szCs w:val="18"/>
        </w:rPr>
        <w:footnoteRef/>
      </w:r>
      <w:r w:rsidRPr="00527AE3">
        <w:rPr>
          <w:sz w:val="18"/>
          <w:szCs w:val="18"/>
        </w:rPr>
        <w:t xml:space="preserve"> Artikel 2, eerste lid, letter i Grondbelastingverordening 1908 (PbNA 1908, nr. 27).</w:t>
      </w:r>
    </w:p>
  </w:footnote>
  <w:footnote w:id="340">
    <w:p w:rsidR="00A64945" w:rsidRDefault="00A64945" w:rsidP="0019000F">
      <w:pPr>
        <w:pStyle w:val="FootnoteText"/>
        <w:jc w:val="both"/>
      </w:pPr>
      <w:r w:rsidRPr="004034A3">
        <w:rPr>
          <w:rStyle w:val="FootnoteReference"/>
          <w:rFonts w:cs="Arial"/>
          <w:sz w:val="18"/>
          <w:szCs w:val="18"/>
        </w:rPr>
        <w:footnoteRef/>
      </w:r>
      <w:r w:rsidRPr="004034A3">
        <w:rPr>
          <w:sz w:val="18"/>
          <w:szCs w:val="18"/>
        </w:rPr>
        <w:t xml:space="preserve"> De vrijstelling in de grondbelasting laat ik hierbij buiten beschouwing (zie §3.3.5).</w:t>
      </w:r>
    </w:p>
  </w:footnote>
  <w:footnote w:id="341">
    <w:p w:rsidR="00A64945" w:rsidRDefault="00A64945" w:rsidP="002D725F">
      <w:pPr>
        <w:pStyle w:val="FootnoteText"/>
        <w:jc w:val="both"/>
      </w:pPr>
      <w:r w:rsidRPr="004034A3">
        <w:rPr>
          <w:rStyle w:val="FootnoteReference"/>
          <w:sz w:val="18"/>
          <w:szCs w:val="18"/>
        </w:rPr>
        <w:footnoteRef/>
      </w:r>
      <w:r w:rsidRPr="004034A3">
        <w:rPr>
          <w:sz w:val="18"/>
          <w:szCs w:val="18"/>
        </w:rPr>
        <w:t xml:space="preserve"> Een specifiek geval waarbij er een verschil in behandeling bestaat tussen een binnenlander en buitenlander van een lidstaat (dit kan zijn natuurlijk persoon of rechtspersoon). Tevens dient het te gaan om een grensoverschrijdende situatie.</w:t>
      </w:r>
    </w:p>
  </w:footnote>
  <w:footnote w:id="342">
    <w:p w:rsidR="00A64945" w:rsidRDefault="00A64945" w:rsidP="002D725F">
      <w:pPr>
        <w:pStyle w:val="FootnoteText"/>
        <w:jc w:val="both"/>
      </w:pPr>
      <w:r w:rsidRPr="00E760B3">
        <w:rPr>
          <w:rStyle w:val="FootnoteReference"/>
          <w:sz w:val="18"/>
          <w:szCs w:val="18"/>
        </w:rPr>
        <w:footnoteRef/>
      </w:r>
      <w:r w:rsidRPr="00E760B3">
        <w:rPr>
          <w:sz w:val="18"/>
          <w:szCs w:val="18"/>
        </w:rPr>
        <w:t xml:space="preserve"> De reikwijdte van het vrije kapitaalverkeer is echter wereldwijd. Dus ook buiten de EU.</w:t>
      </w:r>
    </w:p>
  </w:footnote>
  <w:footnote w:id="343">
    <w:p w:rsidR="00A64945" w:rsidRDefault="00A64945" w:rsidP="002D725F">
      <w:pPr>
        <w:pStyle w:val="FootnoteText"/>
        <w:jc w:val="both"/>
      </w:pPr>
      <w:r w:rsidRPr="00BB3A58">
        <w:rPr>
          <w:rStyle w:val="FootnoteReference"/>
          <w:sz w:val="18"/>
          <w:szCs w:val="18"/>
        </w:rPr>
        <w:footnoteRef/>
      </w:r>
      <w:r w:rsidRPr="00BB3A58">
        <w:rPr>
          <w:sz w:val="18"/>
          <w:szCs w:val="18"/>
        </w:rPr>
        <w:t xml:space="preserve"> Hier dient een kanttekening bij te worden geplaatst. Gelijktijdig kunnen verschillende verkeersvrijheden van toepassing zijn. Uit jurisprudentie is in dit kader niet echt op te maken hoe te bepalen aan welke verkeersvrijhe(i)d(en) getoetst moet(en) worden. Soms gaat het HvJ EU in op alle verkeersvrijheden ondanks het feit dat er in principe maar een verkeersvrijheid kan</w:t>
      </w:r>
      <w:r>
        <w:rPr>
          <w:sz w:val="18"/>
          <w:szCs w:val="18"/>
        </w:rPr>
        <w:t xml:space="preserve"> </w:t>
      </w:r>
      <w:r w:rsidRPr="00BB3A58">
        <w:rPr>
          <w:sz w:val="18"/>
          <w:szCs w:val="18"/>
        </w:rPr>
        <w:t xml:space="preserve">gelden (dit is bijvoorbeeld aan de orde bij verkeersvrijheden die elkaar uitsluiten. Voorbeelden </w:t>
      </w:r>
      <w:r>
        <w:rPr>
          <w:sz w:val="18"/>
          <w:szCs w:val="18"/>
        </w:rPr>
        <w:t xml:space="preserve">hiervan </w:t>
      </w:r>
      <w:r w:rsidRPr="00BB3A58">
        <w:rPr>
          <w:sz w:val="18"/>
          <w:szCs w:val="18"/>
        </w:rPr>
        <w:t>zijn vrijheid van kapitaal en vrijheid van vestiging). Tenzij een verkeersvrijheid duidelijk ondergeschikt is aan een ander of het evident niet een bepaalde verkeersvrijheid kan zijn, verdient het dus de voorkeur om aan alle verkeersvrijheden te toetsen.</w:t>
      </w:r>
    </w:p>
  </w:footnote>
  <w:footnote w:id="344">
    <w:p w:rsidR="00A64945" w:rsidRDefault="00A64945" w:rsidP="002D725F">
      <w:pPr>
        <w:pStyle w:val="FootnoteText"/>
        <w:jc w:val="both"/>
      </w:pPr>
      <w:r w:rsidRPr="004034A3">
        <w:rPr>
          <w:rStyle w:val="FootnoteReference"/>
          <w:sz w:val="18"/>
          <w:szCs w:val="18"/>
        </w:rPr>
        <w:footnoteRef/>
      </w:r>
      <w:r w:rsidRPr="004034A3">
        <w:rPr>
          <w:sz w:val="18"/>
          <w:szCs w:val="18"/>
        </w:rPr>
        <w:t xml:space="preserve"> Voorbeelden van rechtvaardigingsgronden zijn het coherentiebeginsel en het territorialiteitsbeginsel. Zie ook </w:t>
      </w:r>
      <w:r w:rsidRPr="007A4B08">
        <w:rPr>
          <w:sz w:val="18"/>
          <w:szCs w:val="18"/>
        </w:rPr>
        <w:t>voetnoot  113.</w:t>
      </w:r>
    </w:p>
  </w:footnote>
  <w:footnote w:id="345">
    <w:p w:rsidR="00A64945" w:rsidRDefault="00A64945" w:rsidP="002D725F">
      <w:pPr>
        <w:pStyle w:val="FootnoteText"/>
        <w:jc w:val="both"/>
      </w:pPr>
      <w:r w:rsidRPr="004034A3">
        <w:rPr>
          <w:rStyle w:val="FootnoteReference"/>
          <w:sz w:val="18"/>
          <w:szCs w:val="18"/>
        </w:rPr>
        <w:footnoteRef/>
      </w:r>
      <w:r w:rsidRPr="004034A3">
        <w:rPr>
          <w:sz w:val="18"/>
          <w:szCs w:val="18"/>
        </w:rPr>
        <w:t xml:space="preserve"> Zie in dit kader §2.2.2 bij kopje ‘rechtvaardigingsgronden voor belemmeringen’. </w:t>
      </w:r>
    </w:p>
  </w:footnote>
  <w:footnote w:id="346">
    <w:p w:rsidR="00A64945" w:rsidRDefault="00A64945" w:rsidP="002D725F">
      <w:pPr>
        <w:pStyle w:val="FootnoteText"/>
        <w:jc w:val="both"/>
      </w:pPr>
      <w:r w:rsidRPr="005B378F">
        <w:rPr>
          <w:rStyle w:val="FootnoteReference"/>
          <w:sz w:val="18"/>
          <w:szCs w:val="18"/>
        </w:rPr>
        <w:footnoteRef/>
      </w:r>
      <w:r w:rsidRPr="005B378F">
        <w:rPr>
          <w:sz w:val="18"/>
          <w:szCs w:val="18"/>
        </w:rPr>
        <w:t xml:space="preserve"> Een bepaling voldoet aan het proportionaliteitsvereiste</w:t>
      </w:r>
      <w:r>
        <w:rPr>
          <w:sz w:val="18"/>
          <w:szCs w:val="18"/>
        </w:rPr>
        <w:t xml:space="preserve"> (oftewel evenredigheidbeginsel)</w:t>
      </w:r>
      <w:r w:rsidRPr="005B378F">
        <w:rPr>
          <w:sz w:val="18"/>
          <w:szCs w:val="18"/>
        </w:rPr>
        <w:t xml:space="preserve"> in het geval </w:t>
      </w:r>
      <w:r>
        <w:rPr>
          <w:sz w:val="18"/>
          <w:szCs w:val="18"/>
        </w:rPr>
        <w:t>de inhoud en de vorm</w:t>
      </w:r>
      <w:r w:rsidRPr="005B378F">
        <w:rPr>
          <w:sz w:val="18"/>
          <w:szCs w:val="18"/>
        </w:rPr>
        <w:t xml:space="preserve"> niet verder gaa</w:t>
      </w:r>
      <w:r>
        <w:rPr>
          <w:sz w:val="18"/>
          <w:szCs w:val="18"/>
        </w:rPr>
        <w:t>n</w:t>
      </w:r>
      <w:r w:rsidRPr="005B378F">
        <w:rPr>
          <w:sz w:val="18"/>
          <w:szCs w:val="18"/>
        </w:rPr>
        <w:t xml:space="preserve"> dan noodzakelijk</w:t>
      </w:r>
      <w:r>
        <w:rPr>
          <w:sz w:val="18"/>
          <w:szCs w:val="18"/>
        </w:rPr>
        <w:t xml:space="preserve"> is om het doel te bereiken (zie in dit kader art. 5, lid 4 VwEU). </w:t>
      </w:r>
      <w:r w:rsidRPr="005B378F">
        <w:rPr>
          <w:sz w:val="18"/>
          <w:szCs w:val="18"/>
        </w:rPr>
        <w:t xml:space="preserve">De meest geringe belemmering </w:t>
      </w:r>
      <w:r>
        <w:rPr>
          <w:sz w:val="18"/>
          <w:szCs w:val="18"/>
        </w:rPr>
        <w:t xml:space="preserve">van het vrije verkeer binnen de EU </w:t>
      </w:r>
      <w:r w:rsidRPr="005B378F">
        <w:rPr>
          <w:sz w:val="18"/>
          <w:szCs w:val="18"/>
        </w:rPr>
        <w:t xml:space="preserve">is </w:t>
      </w:r>
      <w:r>
        <w:rPr>
          <w:sz w:val="18"/>
          <w:szCs w:val="18"/>
        </w:rPr>
        <w:t xml:space="preserve">in beginsel </w:t>
      </w:r>
      <w:r w:rsidRPr="005B378F">
        <w:rPr>
          <w:sz w:val="18"/>
          <w:szCs w:val="18"/>
        </w:rPr>
        <w:t>immers al extra belemmerd</w:t>
      </w:r>
      <w:r>
        <w:rPr>
          <w:sz w:val="18"/>
          <w:szCs w:val="18"/>
        </w:rPr>
        <w:t xml:space="preserve"> in de zin van het EU- Verdrag. Ook in het geval dat het belemmeren van het vrije verkeer te rechtvaardigen is, is d</w:t>
      </w:r>
      <w:r w:rsidRPr="005B378F">
        <w:rPr>
          <w:sz w:val="18"/>
          <w:szCs w:val="18"/>
        </w:rPr>
        <w:t xml:space="preserve">e </w:t>
      </w:r>
      <w:r w:rsidRPr="00595F62">
        <w:rPr>
          <w:b/>
          <w:sz w:val="18"/>
          <w:szCs w:val="18"/>
        </w:rPr>
        <w:t>mate</w:t>
      </w:r>
      <w:r w:rsidRPr="005B378F">
        <w:rPr>
          <w:sz w:val="18"/>
          <w:szCs w:val="18"/>
        </w:rPr>
        <w:t xml:space="preserve"> van de</w:t>
      </w:r>
      <w:r>
        <w:rPr>
          <w:sz w:val="18"/>
          <w:szCs w:val="18"/>
        </w:rPr>
        <w:t>ze</w:t>
      </w:r>
      <w:r w:rsidRPr="005B378F">
        <w:rPr>
          <w:sz w:val="18"/>
          <w:szCs w:val="18"/>
        </w:rPr>
        <w:t xml:space="preserve"> belemmering </w:t>
      </w:r>
      <w:r>
        <w:rPr>
          <w:sz w:val="18"/>
          <w:szCs w:val="18"/>
        </w:rPr>
        <w:t>echter</w:t>
      </w:r>
      <w:r w:rsidRPr="005B378F">
        <w:rPr>
          <w:sz w:val="18"/>
          <w:szCs w:val="18"/>
        </w:rPr>
        <w:t xml:space="preserve"> </w:t>
      </w:r>
      <w:r>
        <w:rPr>
          <w:sz w:val="18"/>
          <w:szCs w:val="18"/>
        </w:rPr>
        <w:t>van belang. De mate van belemmering weegt mee in de vraag of een dergelijke belemmering proportioneel is en dus niet verder gaat dan noodzakelijk is. Staat dit vast, dan kan pas gezegd worden dat de belemmering niet strijdig met het EU- recht is.</w:t>
      </w:r>
    </w:p>
  </w:footnote>
  <w:footnote w:id="347">
    <w:p w:rsidR="00A64945" w:rsidRDefault="00A64945" w:rsidP="007A4B08">
      <w:pPr>
        <w:pStyle w:val="FootnoteText"/>
        <w:jc w:val="both"/>
      </w:pPr>
      <w:r w:rsidRPr="007A4B08">
        <w:rPr>
          <w:rStyle w:val="FootnoteReference"/>
          <w:sz w:val="18"/>
          <w:szCs w:val="18"/>
        </w:rPr>
        <w:footnoteRef/>
      </w:r>
      <w:r w:rsidRPr="007A4B08">
        <w:rPr>
          <w:sz w:val="18"/>
          <w:szCs w:val="18"/>
        </w:rPr>
        <w:t xml:space="preserve"> Zie §2.2.2. onder het kopje ‘maatregelen met of zonder onderscheid’.</w:t>
      </w:r>
    </w:p>
  </w:footnote>
  <w:footnote w:id="348">
    <w:p w:rsidR="00A64945" w:rsidRDefault="00A64945" w:rsidP="007A4B08">
      <w:pPr>
        <w:pStyle w:val="FootnoteText"/>
        <w:jc w:val="both"/>
      </w:pPr>
      <w:r w:rsidRPr="007A4B08">
        <w:rPr>
          <w:rStyle w:val="FootnoteReference"/>
          <w:sz w:val="18"/>
          <w:szCs w:val="18"/>
        </w:rPr>
        <w:footnoteRef/>
      </w:r>
      <w:r w:rsidRPr="007A4B08">
        <w:rPr>
          <w:sz w:val="18"/>
          <w:szCs w:val="18"/>
        </w:rPr>
        <w:t xml:space="preserve"> Overigens is in dit kader bepaald dat binnenlanders en buitenlanders zich nooit in vergelijkbare gevallen bevinden en dat het toegestaan is om binnenlanders nadeliger te behandelen dan buitenlanders (zie ook §2.2.3.).</w:t>
      </w:r>
    </w:p>
  </w:footnote>
  <w:footnote w:id="349">
    <w:p w:rsidR="00A64945" w:rsidRDefault="00A64945" w:rsidP="007A4B08">
      <w:pPr>
        <w:pStyle w:val="FootnoteText"/>
        <w:jc w:val="both"/>
      </w:pPr>
      <w:r w:rsidRPr="007A4B08">
        <w:rPr>
          <w:rStyle w:val="FootnoteReference"/>
          <w:sz w:val="18"/>
          <w:szCs w:val="18"/>
        </w:rPr>
        <w:footnoteRef/>
      </w:r>
      <w:r w:rsidRPr="007A4B08">
        <w:rPr>
          <w:sz w:val="18"/>
          <w:szCs w:val="18"/>
        </w:rPr>
        <w:t xml:space="preserve"> Althans niet zonder repercussie.</w:t>
      </w:r>
    </w:p>
  </w:footnote>
  <w:footnote w:id="350">
    <w:p w:rsidR="00A64945" w:rsidRDefault="00A64945" w:rsidP="007A4B08">
      <w:pPr>
        <w:spacing w:after="0" w:line="240" w:lineRule="auto"/>
        <w:jc w:val="both"/>
      </w:pPr>
      <w:r w:rsidRPr="007A4B08">
        <w:rPr>
          <w:rStyle w:val="FootnoteReference"/>
          <w:sz w:val="18"/>
          <w:szCs w:val="18"/>
        </w:rPr>
        <w:footnoteRef/>
      </w:r>
      <w:r w:rsidRPr="007A4B08">
        <w:rPr>
          <w:sz w:val="18"/>
          <w:szCs w:val="18"/>
        </w:rPr>
        <w:t xml:space="preserve"> Het verlenen van diensten vanuit een E- Zone kan echter zowel in de E- Zone zelf plaatsvinden, als ook in het buitenland. Dit blijkt uit de formulering van art. 1, onderdeel d, onder 1° t/m 3° LEZ 2000. Dat artikel omschrijft dienstverlening als 1. het verrichten van onderhoud en reparatie </w:t>
      </w:r>
      <w:r w:rsidRPr="007A4B08">
        <w:rPr>
          <w:i/>
          <w:sz w:val="18"/>
          <w:szCs w:val="18"/>
        </w:rPr>
        <w:t>in de economische zone</w:t>
      </w:r>
      <w:r w:rsidRPr="007A4B08">
        <w:rPr>
          <w:sz w:val="18"/>
          <w:szCs w:val="18"/>
        </w:rPr>
        <w:t xml:space="preserve"> aan goederen van buiten de Nederlandse Antillen hun bedrijf uitoefenende onderneming of 2. het verrichten van onderhoud en reparatie aan zich in </w:t>
      </w:r>
      <w:r w:rsidRPr="007A4B08">
        <w:rPr>
          <w:i/>
          <w:sz w:val="18"/>
          <w:szCs w:val="18"/>
        </w:rPr>
        <w:t xml:space="preserve">het buitenland bevindende </w:t>
      </w:r>
      <w:r w:rsidRPr="007A4B08">
        <w:rPr>
          <w:sz w:val="18"/>
          <w:szCs w:val="18"/>
        </w:rPr>
        <w:t xml:space="preserve">machines en ander materieel met in de economische zone opgeslagen goederen of 3. andere vormen van op het buitenland gerichte dienstverlening, daaronder begrepen het veembedrijf, en nieuwe in de internationale sfeer te plaatsen handels- en handelsondersteunende en andere dienstverlenende activiteiten die met of ten behoeve van elektronische communicatie- en informatiemogelijkheden kunnen worden verricht. Punt 2: het verrichten van onderhoud en reparatie aan zich in </w:t>
      </w:r>
      <w:r w:rsidRPr="007A4B08">
        <w:rPr>
          <w:i/>
          <w:sz w:val="18"/>
          <w:szCs w:val="18"/>
        </w:rPr>
        <w:t xml:space="preserve">het buitenland bevindende </w:t>
      </w:r>
      <w:r w:rsidRPr="007A4B08">
        <w:rPr>
          <w:sz w:val="18"/>
          <w:szCs w:val="18"/>
        </w:rPr>
        <w:t>machines kan mijns inziens logischerwijs enkel plaatsvinden met behulp van een vaste inrichting in het buitenland.</w:t>
      </w:r>
    </w:p>
  </w:footnote>
  <w:footnote w:id="351">
    <w:p w:rsidR="00A64945" w:rsidRDefault="00A64945" w:rsidP="00755442">
      <w:pPr>
        <w:pStyle w:val="FootnoteText"/>
        <w:jc w:val="both"/>
      </w:pPr>
      <w:r w:rsidRPr="00755442">
        <w:rPr>
          <w:rStyle w:val="FootnoteReference"/>
          <w:sz w:val="18"/>
          <w:szCs w:val="18"/>
        </w:rPr>
        <w:footnoteRef/>
      </w:r>
      <w:r w:rsidRPr="00755442">
        <w:rPr>
          <w:sz w:val="18"/>
          <w:szCs w:val="18"/>
        </w:rPr>
        <w:t xml:space="preserve"> In het eerste lid van art. 355 VwEU is bepaald dat de bepalingen van de Verdagen (net als op de 27 lidstaten van de EU) toepassing vinden op de UPG’s. Op het moment dat Curaçao een UPG wordt dan wordt het gezien als een lidstaat van de EU.</w:t>
      </w:r>
      <w:r>
        <w:rPr>
          <w:sz w:val="18"/>
          <w:szCs w:val="18"/>
        </w:rPr>
        <w:t xml:space="preserve"> Het verkeer tussen Curaçao en de EU moet dan gezien worden als intracommunautair verkeer tussen lidstaten.</w:t>
      </w:r>
    </w:p>
  </w:footnote>
  <w:footnote w:id="352">
    <w:p w:rsidR="00A64945" w:rsidRDefault="00A64945" w:rsidP="00994C4B">
      <w:pPr>
        <w:pStyle w:val="FootnoteText"/>
        <w:jc w:val="both"/>
      </w:pPr>
      <w:r w:rsidRPr="00994C4B">
        <w:rPr>
          <w:rStyle w:val="FootnoteReference"/>
          <w:sz w:val="18"/>
          <w:szCs w:val="18"/>
        </w:rPr>
        <w:footnoteRef/>
      </w:r>
      <w:r w:rsidRPr="00994C4B">
        <w:rPr>
          <w:sz w:val="18"/>
          <w:szCs w:val="18"/>
        </w:rPr>
        <w:t xml:space="preserve"> Bij deze twee toetsingen w</w:t>
      </w:r>
      <w:r>
        <w:rPr>
          <w:sz w:val="18"/>
          <w:szCs w:val="18"/>
        </w:rPr>
        <w:t>o</w:t>
      </w:r>
      <w:r w:rsidRPr="00994C4B">
        <w:rPr>
          <w:sz w:val="18"/>
          <w:szCs w:val="18"/>
        </w:rPr>
        <w:t>rd</w:t>
      </w:r>
      <w:r>
        <w:rPr>
          <w:sz w:val="18"/>
          <w:szCs w:val="18"/>
        </w:rPr>
        <w:t>t</w:t>
      </w:r>
      <w:r w:rsidRPr="00994C4B">
        <w:rPr>
          <w:sz w:val="18"/>
          <w:szCs w:val="18"/>
        </w:rPr>
        <w:t xml:space="preserve"> het object van de analyse (zie § 4.1.) specifiek getoetst aan </w:t>
      </w:r>
      <w:r>
        <w:rPr>
          <w:sz w:val="18"/>
          <w:szCs w:val="18"/>
        </w:rPr>
        <w:t xml:space="preserve">het desbetreffende onderdeel van het </w:t>
      </w:r>
      <w:r w:rsidRPr="00994C4B">
        <w:rPr>
          <w:i/>
          <w:sz w:val="18"/>
          <w:szCs w:val="18"/>
        </w:rPr>
        <w:t>Acquis Communitaire</w:t>
      </w:r>
      <w:r>
        <w:rPr>
          <w:i/>
          <w:sz w:val="18"/>
          <w:szCs w:val="18"/>
        </w:rPr>
        <w:t xml:space="preserve">. </w:t>
      </w:r>
      <w:r>
        <w:rPr>
          <w:sz w:val="18"/>
          <w:szCs w:val="18"/>
        </w:rPr>
        <w:t xml:space="preserve">De bevindingen die uit deze analyses voorvloeien zijn specifieke bevindingen over de strijdigheid van de fiscaliteit die aan de Curaçaose E- Zone kleeft met het EU- recht. Uit de analyse van een eventuele strijdigheid met de directe belastingrichtlijnen die bij de aanname van de UPG- status kan optreden, vloeien bevindingen voort die niet alleen het E- Zoneregime raken, maar ook andere belastingterreinen. </w:t>
      </w:r>
    </w:p>
  </w:footnote>
  <w:footnote w:id="353">
    <w:p w:rsidR="00A64945" w:rsidRDefault="00A64945" w:rsidP="00B24E74">
      <w:pPr>
        <w:pStyle w:val="FootnoteText"/>
        <w:jc w:val="both"/>
      </w:pPr>
      <w:r w:rsidRPr="009B1024">
        <w:rPr>
          <w:rStyle w:val="FootnoteReference"/>
          <w:rFonts w:cs="Arial"/>
          <w:sz w:val="18"/>
          <w:szCs w:val="18"/>
        </w:rPr>
        <w:footnoteRef/>
      </w:r>
      <w:r w:rsidRPr="009B1024">
        <w:rPr>
          <w:sz w:val="18"/>
          <w:szCs w:val="18"/>
        </w:rPr>
        <w:t xml:space="preserve"> Art. 5 Landsverordening op de dividendbelasting 2000. Dit in tegenstelling tot Aruba die wel een bronheffing op dividend kent. </w:t>
      </w:r>
      <w:r>
        <w:rPr>
          <w:sz w:val="18"/>
          <w:szCs w:val="18"/>
        </w:rPr>
        <w:t xml:space="preserve">In het </w:t>
      </w:r>
      <w:r w:rsidRPr="009B1024">
        <w:rPr>
          <w:sz w:val="18"/>
          <w:szCs w:val="18"/>
        </w:rPr>
        <w:t>Belastingregeling voor het Koninkrijk (BRK)</w:t>
      </w:r>
      <w:r>
        <w:rPr>
          <w:sz w:val="18"/>
          <w:szCs w:val="18"/>
        </w:rPr>
        <w:t xml:space="preserve"> is in dit verband bepaald dat h</w:t>
      </w:r>
      <w:r w:rsidRPr="009B1024">
        <w:rPr>
          <w:sz w:val="18"/>
          <w:szCs w:val="18"/>
        </w:rPr>
        <w:t xml:space="preserve">et tarief van de Arubaanse bronheffing op dividend </w:t>
      </w:r>
      <w:r>
        <w:rPr>
          <w:sz w:val="18"/>
          <w:szCs w:val="18"/>
        </w:rPr>
        <w:t>maximaal</w:t>
      </w:r>
      <w:r w:rsidRPr="009B1024">
        <w:rPr>
          <w:sz w:val="18"/>
          <w:szCs w:val="18"/>
        </w:rPr>
        <w:t xml:space="preserve"> 15</w:t>
      </w:r>
      <w:r>
        <w:rPr>
          <w:sz w:val="18"/>
          <w:szCs w:val="18"/>
        </w:rPr>
        <w:t xml:space="preserve">% bedraagt. </w:t>
      </w:r>
      <w:r w:rsidRPr="009B1024">
        <w:rPr>
          <w:sz w:val="18"/>
          <w:szCs w:val="18"/>
        </w:rPr>
        <w:t xml:space="preserve">(art. 11, lid 2 </w:t>
      </w:r>
      <w:r>
        <w:rPr>
          <w:sz w:val="18"/>
          <w:szCs w:val="18"/>
        </w:rPr>
        <w:t>BRK</w:t>
      </w:r>
      <w:r w:rsidRPr="009B1024">
        <w:rPr>
          <w:sz w:val="18"/>
          <w:szCs w:val="18"/>
        </w:rPr>
        <w:t>).</w:t>
      </w:r>
    </w:p>
  </w:footnote>
  <w:footnote w:id="354">
    <w:p w:rsidR="00A64945" w:rsidRDefault="00A64945" w:rsidP="00B24E74">
      <w:pPr>
        <w:pStyle w:val="FootnoteText"/>
        <w:jc w:val="both"/>
      </w:pPr>
      <w:r w:rsidRPr="009B1024">
        <w:rPr>
          <w:rStyle w:val="FootnoteReference"/>
          <w:rFonts w:cs="Arial"/>
          <w:sz w:val="18"/>
          <w:szCs w:val="18"/>
        </w:rPr>
        <w:footnoteRef/>
      </w:r>
      <w:r w:rsidRPr="009B1024">
        <w:rPr>
          <w:sz w:val="18"/>
          <w:szCs w:val="18"/>
        </w:rPr>
        <w:t xml:space="preserve"> </w:t>
      </w:r>
      <w:r w:rsidRPr="0062538B">
        <w:rPr>
          <w:sz w:val="18"/>
          <w:szCs w:val="18"/>
        </w:rPr>
        <w:t>P.B. 2002, no. 54. De</w:t>
      </w:r>
      <w:r w:rsidRPr="009B1024">
        <w:rPr>
          <w:sz w:val="18"/>
          <w:szCs w:val="18"/>
        </w:rPr>
        <w:t xml:space="preserve"> belangrijkste wijzigingen betreffen de regeling voor Vrijgestelde Vennootschappen en de Nederlands- Antilliaanse deelnemingsvrijstelling. Aanleiding voor deze wijziging van de Lwb 1940 is de internationale afspraak die de Nederlandse Antillen reeds in 2004 met de Europese Gedragscodegroep (Primarolo) </w:t>
      </w:r>
      <w:r>
        <w:rPr>
          <w:sz w:val="18"/>
          <w:szCs w:val="18"/>
        </w:rPr>
        <w:t xml:space="preserve">maakte </w:t>
      </w:r>
      <w:r w:rsidRPr="009B1024">
        <w:rPr>
          <w:sz w:val="18"/>
          <w:szCs w:val="18"/>
        </w:rPr>
        <w:t>om fiscaal schadelijke regimes te bestrijden.</w:t>
      </w:r>
    </w:p>
  </w:footnote>
  <w:footnote w:id="355">
    <w:p w:rsidR="00A64945" w:rsidRDefault="00A64945" w:rsidP="009F7905">
      <w:pPr>
        <w:pStyle w:val="FootnoteText"/>
        <w:jc w:val="both"/>
      </w:pPr>
      <w:r w:rsidRPr="009B1024">
        <w:rPr>
          <w:rStyle w:val="FootnoteReference"/>
          <w:rFonts w:cs="Arial"/>
          <w:sz w:val="18"/>
          <w:szCs w:val="18"/>
        </w:rPr>
        <w:footnoteRef/>
      </w:r>
      <w:r w:rsidRPr="009B1024">
        <w:rPr>
          <w:sz w:val="18"/>
          <w:szCs w:val="18"/>
        </w:rPr>
        <w:t xml:space="preserve"> Zie in dit kader de zaak Royal Bank of Scotland </w:t>
      </w:r>
      <w:r>
        <w:rPr>
          <w:sz w:val="18"/>
          <w:szCs w:val="18"/>
        </w:rPr>
        <w:t xml:space="preserve">C- </w:t>
      </w:r>
      <w:r w:rsidRPr="009B1024">
        <w:rPr>
          <w:sz w:val="18"/>
          <w:szCs w:val="18"/>
        </w:rPr>
        <w:t>311/97.</w:t>
      </w:r>
    </w:p>
  </w:footnote>
  <w:footnote w:id="356">
    <w:p w:rsidR="00A64945" w:rsidRDefault="00A64945" w:rsidP="008D19AE">
      <w:pPr>
        <w:pStyle w:val="FootnoteText"/>
        <w:jc w:val="both"/>
      </w:pPr>
      <w:r w:rsidRPr="007C7CFD">
        <w:rPr>
          <w:rStyle w:val="FootnoteReference"/>
          <w:rFonts w:cs="Arial"/>
          <w:sz w:val="18"/>
          <w:szCs w:val="18"/>
        </w:rPr>
        <w:footnoteRef/>
      </w:r>
      <w:r w:rsidRPr="00797F71">
        <w:rPr>
          <w:sz w:val="18"/>
          <w:szCs w:val="18"/>
        </w:rPr>
        <w:t xml:space="preserve"> Scheuten Solar Technologie, C-397/09.</w:t>
      </w:r>
    </w:p>
  </w:footnote>
  <w:footnote w:id="357">
    <w:p w:rsidR="00A64945" w:rsidRDefault="00A64945" w:rsidP="00797F71">
      <w:pPr>
        <w:pStyle w:val="FootnoteText"/>
        <w:jc w:val="both"/>
      </w:pPr>
      <w:r w:rsidRPr="007C7CFD">
        <w:rPr>
          <w:rStyle w:val="FootnoteReference"/>
          <w:rFonts w:cs="Arial"/>
          <w:sz w:val="18"/>
          <w:szCs w:val="18"/>
        </w:rPr>
        <w:footnoteRef/>
      </w:r>
      <w:r w:rsidRPr="007C7CFD">
        <w:rPr>
          <w:sz w:val="18"/>
          <w:szCs w:val="18"/>
        </w:rPr>
        <w:t xml:space="preserve"> In de Duitse wetgeving is de maatstaf van heffing voor de bedrijfsbelasting de bedrijfsopbrengst, vermeerderd dan wel verminderd met bepaalde bedragen. Bron: Pb Europese Unie nr. 312/22 van 12 december 2009. Prejudiciële hofzaak C-397/09 Scheuten Solar Te</w:t>
      </w:r>
      <w:r>
        <w:rPr>
          <w:sz w:val="18"/>
          <w:szCs w:val="18"/>
        </w:rPr>
        <w:t>chnology (www.</w:t>
      </w:r>
      <w:r w:rsidRPr="007C7CFD">
        <w:rPr>
          <w:sz w:val="18"/>
          <w:szCs w:val="18"/>
        </w:rPr>
        <w:t xml:space="preserve">minbuza.nl). </w:t>
      </w:r>
    </w:p>
  </w:footnote>
  <w:footnote w:id="358">
    <w:p w:rsidR="00A64945" w:rsidRDefault="00A64945" w:rsidP="00797F71">
      <w:pPr>
        <w:pStyle w:val="FootnoteText"/>
        <w:jc w:val="both"/>
      </w:pPr>
      <w:r w:rsidRPr="007C7CFD">
        <w:rPr>
          <w:rStyle w:val="FootnoteReference"/>
          <w:rFonts w:cs="Arial"/>
          <w:sz w:val="18"/>
          <w:szCs w:val="18"/>
        </w:rPr>
        <w:footnoteRef/>
      </w:r>
      <w:r w:rsidRPr="007C7CFD">
        <w:rPr>
          <w:sz w:val="18"/>
          <w:szCs w:val="18"/>
        </w:rPr>
        <w:t xml:space="preserve"> P</w:t>
      </w:r>
      <w:r>
        <w:rPr>
          <w:sz w:val="18"/>
          <w:szCs w:val="18"/>
        </w:rPr>
        <w:t>.B.</w:t>
      </w:r>
      <w:r w:rsidRPr="007C7CFD">
        <w:rPr>
          <w:sz w:val="18"/>
          <w:szCs w:val="18"/>
        </w:rPr>
        <w:t xml:space="preserve"> Europese Unie nr. 312/22 van 12 december 2009.</w:t>
      </w:r>
    </w:p>
  </w:footnote>
  <w:footnote w:id="359">
    <w:p w:rsidR="00A64945" w:rsidRDefault="00A64945" w:rsidP="007A4B08">
      <w:pPr>
        <w:pStyle w:val="FootnoteText"/>
        <w:jc w:val="both"/>
      </w:pPr>
      <w:r w:rsidRPr="007A4B08">
        <w:rPr>
          <w:rStyle w:val="FootnoteReference"/>
          <w:rFonts w:cs="Arial"/>
          <w:sz w:val="18"/>
          <w:szCs w:val="18"/>
        </w:rPr>
        <w:footnoteRef/>
      </w:r>
      <w:r w:rsidRPr="007A4B08">
        <w:rPr>
          <w:sz w:val="18"/>
          <w:szCs w:val="18"/>
        </w:rPr>
        <w:t xml:space="preserve"> M.J.A. van den Honert, </w:t>
      </w:r>
      <w:r w:rsidRPr="007A4B08">
        <w:rPr>
          <w:i/>
          <w:sz w:val="18"/>
          <w:szCs w:val="18"/>
        </w:rPr>
        <w:t>De zaak Scheuten Solar Technology, een analyse en mogelijke strijdigheid van renteaftrekbeperkingen met de EU interest- en royaltyrichtlijn</w:t>
      </w:r>
      <w:r w:rsidRPr="007A4B08">
        <w:rPr>
          <w:sz w:val="18"/>
          <w:szCs w:val="18"/>
        </w:rPr>
        <w:t>, WFR 2010/998.</w:t>
      </w:r>
    </w:p>
  </w:footnote>
  <w:footnote w:id="360">
    <w:p w:rsidR="00A64945" w:rsidRDefault="00A64945" w:rsidP="007A4B08">
      <w:pPr>
        <w:pStyle w:val="FootnoteText"/>
        <w:jc w:val="both"/>
      </w:pPr>
      <w:r w:rsidRPr="007A4B08">
        <w:rPr>
          <w:rStyle w:val="FootnoteReference"/>
          <w:rFonts w:cs="Arial"/>
          <w:sz w:val="18"/>
          <w:szCs w:val="18"/>
        </w:rPr>
        <w:footnoteRef/>
      </w:r>
      <w:r w:rsidRPr="007A4B08">
        <w:rPr>
          <w:sz w:val="18"/>
          <w:szCs w:val="18"/>
        </w:rPr>
        <w:t xml:space="preserve"> Art. 1, lid 1 IRR.</w:t>
      </w:r>
    </w:p>
  </w:footnote>
  <w:footnote w:id="361">
    <w:p w:rsidR="00A64945" w:rsidRDefault="00A64945" w:rsidP="007A4B08">
      <w:pPr>
        <w:pStyle w:val="FootnoteText"/>
        <w:jc w:val="both"/>
      </w:pPr>
      <w:r w:rsidRPr="007A4B08">
        <w:rPr>
          <w:rStyle w:val="FootnoteReference"/>
          <w:rFonts w:cs="Arial"/>
          <w:sz w:val="18"/>
          <w:szCs w:val="18"/>
        </w:rPr>
        <w:footnoteRef/>
      </w:r>
      <w:r w:rsidRPr="007A4B08">
        <w:rPr>
          <w:sz w:val="18"/>
          <w:szCs w:val="18"/>
        </w:rPr>
        <w:t xml:space="preserve"> Deze bepalingen zijn opgenomen in art. 6A LWB 1940.</w:t>
      </w:r>
    </w:p>
  </w:footnote>
  <w:footnote w:id="362">
    <w:p w:rsidR="00A64945" w:rsidRDefault="00A64945" w:rsidP="007A4B08">
      <w:pPr>
        <w:pStyle w:val="FootnoteText"/>
        <w:jc w:val="both"/>
      </w:pPr>
      <w:r w:rsidRPr="007A4B08">
        <w:rPr>
          <w:rStyle w:val="FootnoteReference"/>
          <w:sz w:val="18"/>
          <w:szCs w:val="18"/>
        </w:rPr>
        <w:footnoteRef/>
      </w:r>
      <w:r w:rsidRPr="007A4B08">
        <w:rPr>
          <w:sz w:val="18"/>
          <w:szCs w:val="18"/>
        </w:rPr>
        <w:t xml:space="preserve"> Uit ro. 36 van Scheuten Solar Technology, 21 juli 2011, C</w:t>
      </w:r>
      <w:r w:rsidRPr="007A4B08">
        <w:rPr>
          <w:sz w:val="18"/>
          <w:szCs w:val="18"/>
        </w:rPr>
        <w:noBreakHyphen/>
        <w:t>397/09 volgt dat het Hof van oordeel is ‘</w:t>
      </w:r>
      <w:r w:rsidRPr="007A4B08">
        <w:rPr>
          <w:i/>
          <w:sz w:val="18"/>
          <w:szCs w:val="18"/>
        </w:rPr>
        <w:t xml:space="preserve">dat op de eerste vraag dient te worden geantwoord dat artikel 1, lid 1, van richtlijn 2003/49 aldus moet worden uitgelegd dat het zich </w:t>
      </w:r>
      <w:r w:rsidRPr="007A4B08">
        <w:rPr>
          <w:b/>
          <w:i/>
          <w:sz w:val="18"/>
          <w:szCs w:val="18"/>
        </w:rPr>
        <w:t>niet verzet</w:t>
      </w:r>
      <w:r w:rsidRPr="007A4B08">
        <w:rPr>
          <w:i/>
          <w:sz w:val="18"/>
          <w:szCs w:val="18"/>
        </w:rPr>
        <w:t xml:space="preserve"> tegen een bepaling van nationaal belastingrecht volgens welke interest op een lening die een in een lidstaat gevestigde onderneming betaalt aan een in een andere lidstaat gevestigde verbonden onderneming, wordt opgenomen in de heffingsgrondslag van de bedrijfsbelasting waaraan eerstgenoemde onderneming is onderworpen’.</w:t>
      </w:r>
    </w:p>
  </w:footnote>
  <w:footnote w:id="363">
    <w:p w:rsidR="00A64945" w:rsidRDefault="00A64945" w:rsidP="007A4B08">
      <w:pPr>
        <w:spacing w:after="0" w:line="240" w:lineRule="auto"/>
        <w:jc w:val="both"/>
      </w:pPr>
      <w:r w:rsidRPr="007A4B08">
        <w:rPr>
          <w:rStyle w:val="FootnoteReference"/>
          <w:sz w:val="18"/>
          <w:szCs w:val="18"/>
        </w:rPr>
        <w:footnoteRef/>
      </w:r>
      <w:r w:rsidRPr="007A4B08">
        <w:rPr>
          <w:sz w:val="18"/>
          <w:szCs w:val="18"/>
        </w:rPr>
        <w:t xml:space="preserve"> De conclusie van het Hof luidt in deze dat  </w:t>
      </w:r>
      <w:bookmarkStart w:id="121" w:name="MO"/>
      <w:r w:rsidRPr="007A4B08">
        <w:rPr>
          <w:i/>
          <w:sz w:val="18"/>
          <w:szCs w:val="18"/>
        </w:rPr>
        <w:t xml:space="preserve">‘de werkingssfeer van artikel 1, lid 1, van richtlijn 2003/49 </w:t>
      </w:r>
      <w:r w:rsidRPr="007A4B08">
        <w:rPr>
          <w:b/>
          <w:i/>
          <w:sz w:val="18"/>
          <w:szCs w:val="18"/>
        </w:rPr>
        <w:t>niet ruimer</w:t>
      </w:r>
      <w:r w:rsidRPr="007A4B08">
        <w:rPr>
          <w:i/>
          <w:sz w:val="18"/>
          <w:szCs w:val="18"/>
        </w:rPr>
        <w:t xml:space="preserve"> [mag] worden toegepast dan de daarin voorziene vrijstelling</w:t>
      </w:r>
      <w:bookmarkEnd w:id="121"/>
      <w:r w:rsidRPr="007A4B08">
        <w:rPr>
          <w:i/>
          <w:sz w:val="18"/>
          <w:szCs w:val="18"/>
        </w:rPr>
        <w:t xml:space="preserve">’: </w:t>
      </w:r>
      <w:r w:rsidRPr="007A4B08">
        <w:rPr>
          <w:sz w:val="18"/>
          <w:szCs w:val="18"/>
        </w:rPr>
        <w:t>Scheuten Solar Technology, 21 juli 2011, C</w:t>
      </w:r>
      <w:r w:rsidRPr="007A4B08">
        <w:rPr>
          <w:sz w:val="18"/>
          <w:szCs w:val="18"/>
        </w:rPr>
        <w:noBreakHyphen/>
        <w:t>397/09. ro. 34.</w:t>
      </w:r>
    </w:p>
  </w:footnote>
  <w:footnote w:id="364">
    <w:p w:rsidR="00A64945" w:rsidRDefault="00A64945" w:rsidP="007D7278">
      <w:pPr>
        <w:pStyle w:val="FootnoteText"/>
        <w:jc w:val="both"/>
      </w:pPr>
      <w:r w:rsidRPr="007A4B08">
        <w:rPr>
          <w:rStyle w:val="FootnoteReference"/>
          <w:rFonts w:cs="Arial"/>
          <w:sz w:val="18"/>
          <w:szCs w:val="18"/>
        </w:rPr>
        <w:footnoteRef/>
      </w:r>
      <w:r w:rsidRPr="007A4B08">
        <w:rPr>
          <w:sz w:val="18"/>
          <w:szCs w:val="18"/>
        </w:rPr>
        <w:t xml:space="preserve"> Vastgelegd in art. 3 van de ‘ Gezamenlijke regeling als gevolg van de spaarrenterichtlijn’.</w:t>
      </w:r>
    </w:p>
  </w:footnote>
  <w:footnote w:id="365">
    <w:p w:rsidR="00A64945" w:rsidRDefault="00A64945" w:rsidP="007D7278">
      <w:pPr>
        <w:pStyle w:val="FootnoteText"/>
        <w:jc w:val="both"/>
      </w:pPr>
      <w:r w:rsidRPr="007A4B08">
        <w:rPr>
          <w:rStyle w:val="FootnoteReference"/>
          <w:rFonts w:cs="Arial"/>
          <w:sz w:val="18"/>
          <w:szCs w:val="18"/>
        </w:rPr>
        <w:footnoteRef/>
      </w:r>
      <w:r w:rsidRPr="007A4B08">
        <w:rPr>
          <w:sz w:val="18"/>
          <w:szCs w:val="18"/>
        </w:rPr>
        <w:t xml:space="preserve"> Wettelijk vastgelegd in art 13a Belastingregeling voor het Koninkrijk (BRK).</w:t>
      </w:r>
    </w:p>
  </w:footnote>
  <w:footnote w:id="366">
    <w:p w:rsidR="00A64945" w:rsidRDefault="00A64945" w:rsidP="007D7278">
      <w:pPr>
        <w:pStyle w:val="FootnoteText"/>
        <w:jc w:val="both"/>
      </w:pPr>
      <w:r w:rsidRPr="007A4B08">
        <w:rPr>
          <w:rStyle w:val="FootnoteReference"/>
          <w:rFonts w:cs="Arial"/>
          <w:sz w:val="18"/>
          <w:szCs w:val="18"/>
        </w:rPr>
        <w:footnoteRef/>
      </w:r>
      <w:r w:rsidRPr="007A4B08">
        <w:rPr>
          <w:sz w:val="18"/>
          <w:szCs w:val="18"/>
        </w:rPr>
        <w:t xml:space="preserve"> R.P.C.W.M. Brandsma e.a., </w:t>
      </w:r>
      <w:r w:rsidRPr="007A4B08">
        <w:rPr>
          <w:i/>
          <w:sz w:val="18"/>
          <w:szCs w:val="18"/>
        </w:rPr>
        <w:t>Cursus Belastingrecht -Europees Belastingrecht-</w:t>
      </w:r>
      <w:r w:rsidRPr="007A4B08">
        <w:rPr>
          <w:sz w:val="18"/>
          <w:szCs w:val="18"/>
        </w:rPr>
        <w:t xml:space="preserve"> studenteneditie 2007-2008, Kluwer, Deventer, 2008, pg. 234, §7.4.2.C: Omzetting en inwerkingtreding EG- spaartegoedenrichtlijn; onderdeel c: Overeenkomsten met enkele derde landen en afhankelijke of geassocieerde gebieden. </w:t>
      </w:r>
    </w:p>
  </w:footnote>
  <w:footnote w:id="367">
    <w:p w:rsidR="00A64945" w:rsidRDefault="00A64945" w:rsidP="007D7278">
      <w:pPr>
        <w:spacing w:after="0" w:line="240" w:lineRule="auto"/>
        <w:jc w:val="both"/>
      </w:pPr>
      <w:r w:rsidRPr="007A4B08">
        <w:rPr>
          <w:rStyle w:val="FootnoteReference"/>
          <w:rFonts w:cs="Arial"/>
          <w:sz w:val="18"/>
          <w:szCs w:val="18"/>
        </w:rPr>
        <w:footnoteRef/>
      </w:r>
      <w:r w:rsidRPr="007A4B08">
        <w:rPr>
          <w:sz w:val="18"/>
          <w:szCs w:val="18"/>
        </w:rPr>
        <w:t xml:space="preserve"> Brief van de Staatssecretaris van Financiën, 9 juni 2005, IFZ2005-00458M. Kamerstukken II 2004/05, 30120, nr. 2.</w:t>
      </w:r>
    </w:p>
  </w:footnote>
  <w:footnote w:id="368">
    <w:p w:rsidR="00A64945" w:rsidRDefault="00A64945" w:rsidP="007D7278">
      <w:pPr>
        <w:pStyle w:val="FootnoteText"/>
        <w:jc w:val="both"/>
      </w:pPr>
      <w:r w:rsidRPr="007A4B08">
        <w:rPr>
          <w:rStyle w:val="FootnoteReference"/>
          <w:rFonts w:cs="Arial"/>
          <w:sz w:val="18"/>
          <w:szCs w:val="18"/>
        </w:rPr>
        <w:footnoteRef/>
      </w:r>
      <w:r w:rsidRPr="007A4B08">
        <w:rPr>
          <w:sz w:val="18"/>
          <w:szCs w:val="18"/>
        </w:rPr>
        <w:t xml:space="preserve"> Zoals uit §2.3.2. reeds aan de orde is gekomen, kent de Nederlandse Antillen geen bronheffing op dividend. Zie in dit kader ook voetnoot </w:t>
      </w:r>
      <w:r>
        <w:rPr>
          <w:sz w:val="18"/>
          <w:szCs w:val="18"/>
        </w:rPr>
        <w:t>353.</w:t>
      </w:r>
    </w:p>
  </w:footnote>
  <w:footnote w:id="369">
    <w:p w:rsidR="00A64945" w:rsidRDefault="00A64945" w:rsidP="007D7278">
      <w:pPr>
        <w:pStyle w:val="FootnoteText"/>
        <w:jc w:val="both"/>
      </w:pPr>
      <w:r w:rsidRPr="007A4B08">
        <w:rPr>
          <w:rStyle w:val="FootnoteReference"/>
          <w:rFonts w:cs="Arial"/>
          <w:sz w:val="18"/>
          <w:szCs w:val="18"/>
        </w:rPr>
        <w:footnoteRef/>
      </w:r>
      <w:r w:rsidRPr="007A4B08">
        <w:rPr>
          <w:sz w:val="18"/>
          <w:szCs w:val="18"/>
        </w:rPr>
        <w:t xml:space="preserve"> Art. 11 SR.</w:t>
      </w:r>
    </w:p>
  </w:footnote>
  <w:footnote w:id="370">
    <w:p w:rsidR="00A64945" w:rsidRDefault="00A64945" w:rsidP="007D7278">
      <w:pPr>
        <w:pStyle w:val="FootnoteText"/>
        <w:jc w:val="both"/>
      </w:pPr>
      <w:r w:rsidRPr="007A4B08">
        <w:rPr>
          <w:rStyle w:val="FootnoteReference"/>
          <w:rFonts w:cs="Arial"/>
          <w:sz w:val="18"/>
          <w:szCs w:val="18"/>
        </w:rPr>
        <w:footnoteRef/>
      </w:r>
      <w:r w:rsidRPr="007A4B08">
        <w:rPr>
          <w:sz w:val="18"/>
          <w:szCs w:val="18"/>
        </w:rPr>
        <w:t xml:space="preserve"> Art. 12 SR.</w:t>
      </w:r>
    </w:p>
  </w:footnote>
  <w:footnote w:id="371">
    <w:p w:rsidR="00A64945" w:rsidRDefault="00A64945" w:rsidP="007D7278">
      <w:pPr>
        <w:pStyle w:val="FootnoteText"/>
        <w:jc w:val="both"/>
      </w:pPr>
      <w:r w:rsidRPr="007A4B08">
        <w:rPr>
          <w:rStyle w:val="FootnoteReference"/>
          <w:rFonts w:cs="Arial"/>
          <w:sz w:val="18"/>
          <w:szCs w:val="18"/>
        </w:rPr>
        <w:footnoteRef/>
      </w:r>
      <w:r w:rsidRPr="007A4B08">
        <w:rPr>
          <w:sz w:val="18"/>
          <w:szCs w:val="18"/>
        </w:rPr>
        <w:t xml:space="preserve"> Art. 14 SR.</w:t>
      </w:r>
    </w:p>
  </w:footnote>
  <w:footnote w:id="372">
    <w:p w:rsidR="00A64945" w:rsidRDefault="00A64945" w:rsidP="007D7278">
      <w:pPr>
        <w:pStyle w:val="FootnoteText"/>
        <w:jc w:val="both"/>
      </w:pPr>
      <w:r w:rsidRPr="007A4B08">
        <w:rPr>
          <w:rStyle w:val="FootnoteReference"/>
          <w:rFonts w:cs="Arial"/>
          <w:sz w:val="18"/>
          <w:szCs w:val="18"/>
        </w:rPr>
        <w:footnoteRef/>
      </w:r>
      <w:r w:rsidRPr="007A4B08">
        <w:rPr>
          <w:sz w:val="18"/>
          <w:szCs w:val="18"/>
        </w:rPr>
        <w:t xml:space="preserve"> Zie voorstel van wijziging van de BRK, 1 februari 2005, nr. IFZ 2004-934M. De wijziging van de BRK op dit punt is neergelegd in een Wet van 26 mei 2005 (Stb, 2005, 292) die op 1 juli 2005 van kracht is geworden (Stb. 2005, 332 V-N 2005/12.9 en 2005/22.10).</w:t>
      </w:r>
    </w:p>
  </w:footnote>
  <w:footnote w:id="373">
    <w:p w:rsidR="00A64945" w:rsidRDefault="00A64945" w:rsidP="007D7278">
      <w:pPr>
        <w:pStyle w:val="FootnoteText"/>
        <w:jc w:val="both"/>
      </w:pPr>
      <w:r w:rsidRPr="00263E75">
        <w:rPr>
          <w:rStyle w:val="FootnoteReference"/>
          <w:rFonts w:cs="Arial"/>
          <w:sz w:val="18"/>
          <w:szCs w:val="18"/>
        </w:rPr>
        <w:footnoteRef/>
      </w:r>
      <w:r w:rsidRPr="00263E75">
        <w:rPr>
          <w:sz w:val="18"/>
          <w:szCs w:val="18"/>
        </w:rPr>
        <w:t xml:space="preserve"> R.P.C.W.M. Brandsma e.a., </w:t>
      </w:r>
      <w:r w:rsidRPr="00263E75">
        <w:rPr>
          <w:i/>
          <w:sz w:val="18"/>
          <w:szCs w:val="18"/>
        </w:rPr>
        <w:t>Cursus Belastingrecht -Europees Belastingrecht-</w:t>
      </w:r>
      <w:r w:rsidRPr="00263E75">
        <w:rPr>
          <w:sz w:val="18"/>
          <w:szCs w:val="18"/>
        </w:rPr>
        <w:t xml:space="preserve"> studenteneditie 2007-2008, Kluwer, Deventer, 2008, pg. 234, §7.4.2.C: Omzetting en inwerkingtreding EG- spaartegoedenrichtlijn; onderdeel c: Overeenkomsten met enkele derde landen en afhankelijke of geassocieerde gebieden. </w:t>
      </w:r>
    </w:p>
  </w:footnote>
  <w:footnote w:id="374">
    <w:p w:rsidR="00A64945" w:rsidRDefault="00A64945" w:rsidP="00DA7D44">
      <w:pPr>
        <w:pStyle w:val="FootnoteText"/>
        <w:jc w:val="both"/>
      </w:pPr>
      <w:r w:rsidRPr="00263E75">
        <w:rPr>
          <w:rStyle w:val="FootnoteReference"/>
          <w:sz w:val="18"/>
          <w:szCs w:val="18"/>
        </w:rPr>
        <w:footnoteRef/>
      </w:r>
      <w:r w:rsidRPr="00263E75">
        <w:rPr>
          <w:sz w:val="18"/>
          <w:szCs w:val="18"/>
        </w:rPr>
        <w:t xml:space="preserve"> In de Nederlandse Antillen geldt met betrekking tot de invordering van belastingen de Landsverordening op de invordering van directe belastingen 1943 (P.B. 1942, NO. 248) en in Curaçao is daarnaast ook de Invorderingverordening Curaçao (A.B. Curaçao 1954, NO. 2) van kracht. Wat de uitwisseling van inlichtingen betreft, heeft de Nederlandse Antillen met verschillende landen verdragen gesloten inzake de uitwisseling van informatie betreffende belastingen. Onder andere met Spanje, Zweden en de VS.</w:t>
      </w:r>
    </w:p>
  </w:footnote>
  <w:footnote w:id="375">
    <w:p w:rsidR="00A64945" w:rsidRDefault="00A64945" w:rsidP="00F21667">
      <w:pPr>
        <w:autoSpaceDE w:val="0"/>
        <w:autoSpaceDN w:val="0"/>
        <w:adjustRightInd w:val="0"/>
        <w:spacing w:after="0" w:line="240" w:lineRule="auto"/>
        <w:jc w:val="both"/>
      </w:pPr>
      <w:r w:rsidRPr="00263E75">
        <w:rPr>
          <w:rStyle w:val="FootnoteReference"/>
          <w:sz w:val="18"/>
          <w:szCs w:val="18"/>
        </w:rPr>
        <w:footnoteRef/>
      </w:r>
      <w:r w:rsidRPr="00263E75">
        <w:rPr>
          <w:sz w:val="18"/>
          <w:szCs w:val="18"/>
        </w:rPr>
        <w:t xml:space="preserve"> Volgens </w:t>
      </w:r>
      <w:r w:rsidRPr="00263E75">
        <w:rPr>
          <w:i/>
          <w:sz w:val="18"/>
          <w:szCs w:val="18"/>
        </w:rPr>
        <w:t>Kavelaars</w:t>
      </w:r>
      <w:r w:rsidRPr="00263E75">
        <w:rPr>
          <w:sz w:val="18"/>
          <w:szCs w:val="18"/>
        </w:rPr>
        <w:t xml:space="preserve"> zullen de heffings- en invorderingsrichtlijnen ten opzichte van Nederland vrijwel geen rol spelen, aangezien de samenwerking reeds voldoende ver gaat op grond van de Belasting Regeling voor het Koninkrijk (BRK). Bron: P. Kavelaars, </w:t>
      </w:r>
      <w:r w:rsidRPr="00263E75">
        <w:rPr>
          <w:i/>
          <w:sz w:val="18"/>
          <w:szCs w:val="18"/>
        </w:rPr>
        <w:t>De Antillen, Aruba en EU</w:t>
      </w:r>
      <w:r w:rsidRPr="00263E75">
        <w:rPr>
          <w:sz w:val="18"/>
          <w:szCs w:val="18"/>
        </w:rPr>
        <w:t xml:space="preserve">, §5: LGO of UPG? WFR 2004/1775. Volgens </w:t>
      </w:r>
      <w:r w:rsidRPr="00263E75">
        <w:rPr>
          <w:i/>
          <w:sz w:val="18"/>
          <w:szCs w:val="18"/>
        </w:rPr>
        <w:t>Kavelaars</w:t>
      </w:r>
      <w:r w:rsidRPr="00263E75">
        <w:rPr>
          <w:sz w:val="18"/>
          <w:szCs w:val="18"/>
        </w:rPr>
        <w:t xml:space="preserve"> en </w:t>
      </w:r>
      <w:r w:rsidRPr="00263E75">
        <w:rPr>
          <w:i/>
          <w:sz w:val="18"/>
          <w:szCs w:val="18"/>
        </w:rPr>
        <w:t>Adeler</w:t>
      </w:r>
      <w:r w:rsidRPr="00263E75">
        <w:rPr>
          <w:sz w:val="18"/>
          <w:szCs w:val="18"/>
        </w:rPr>
        <w:t xml:space="preserve">  is t</w:t>
      </w:r>
      <w:r w:rsidRPr="00263E75">
        <w:rPr>
          <w:rFonts w:eastAsia="ArialUnicodeMS" w:cs="ArialUnicodeMS"/>
          <w:sz w:val="18"/>
          <w:szCs w:val="18"/>
        </w:rPr>
        <w:t xml:space="preserve">en aanzien van de BRK vooralsnog de conclusie dat daaraan strikt genomen niets behoeft te worden aangepast. Volgens Kavelaars blijft de BRK voor Aruba, Curaçao en Sint Maarten onverkort van toepassing.  Bron: J. Adeler en P. Kavelaars, </w:t>
      </w:r>
      <w:r w:rsidRPr="00263E75">
        <w:rPr>
          <w:rFonts w:eastAsia="ArialUnicodeMS" w:cs="ArialUnicodeMS"/>
          <w:i/>
          <w:sz w:val="18"/>
          <w:szCs w:val="18"/>
        </w:rPr>
        <w:t>De fiscale toekomst van de Nederlandse Antillen</w:t>
      </w:r>
      <w:r w:rsidRPr="00263E75">
        <w:rPr>
          <w:rFonts w:eastAsia="ArialUnicodeMS" w:cs="ArialUnicodeMS"/>
          <w:sz w:val="18"/>
          <w:szCs w:val="18"/>
        </w:rPr>
        <w:t>, §1: inleiding, WFR 2009/192.</w:t>
      </w:r>
    </w:p>
  </w:footnote>
  <w:footnote w:id="376">
    <w:p w:rsidR="00A64945" w:rsidRDefault="00A64945" w:rsidP="005B28D4">
      <w:pPr>
        <w:pStyle w:val="FootnoteText"/>
      </w:pPr>
      <w:r w:rsidRPr="00263E75">
        <w:rPr>
          <w:rStyle w:val="FootnoteReference"/>
          <w:rFonts w:cs="Arial"/>
          <w:sz w:val="18"/>
          <w:szCs w:val="18"/>
        </w:rPr>
        <w:footnoteRef/>
      </w:r>
      <w:r w:rsidRPr="00263E75">
        <w:rPr>
          <w:sz w:val="18"/>
          <w:szCs w:val="18"/>
        </w:rPr>
        <w:t xml:space="preserve"> </w:t>
      </w:r>
      <w:r w:rsidRPr="00263E75">
        <w:rPr>
          <w:rFonts w:cs="ECHOIC+Garamond"/>
          <w:color w:val="000000"/>
          <w:sz w:val="18"/>
          <w:szCs w:val="18"/>
        </w:rPr>
        <w:t xml:space="preserve">Madeira is net als de Azoren een </w:t>
      </w:r>
      <w:r w:rsidRPr="00263E75">
        <w:rPr>
          <w:rFonts w:cs="ECIBNL+Garamond"/>
          <w:i/>
          <w:iCs/>
          <w:color w:val="000000"/>
          <w:sz w:val="18"/>
          <w:szCs w:val="18"/>
        </w:rPr>
        <w:t xml:space="preserve">Autonome Regio </w:t>
      </w:r>
      <w:r w:rsidRPr="00263E75">
        <w:rPr>
          <w:rFonts w:cs="ECHOIC+Garamond"/>
          <w:color w:val="000000"/>
          <w:sz w:val="18"/>
          <w:szCs w:val="18"/>
        </w:rPr>
        <w:t>binnen de republiek Portugal (sinds 1976), met eigen wetgevende en uitvoerende bevoegdheden. Deze bevoegdheden zijn verankerd in de grondwet van de Republiek en in het Statuut van de Autonome Regio Madeira. De bestuursorganen van Madeira zijn de wetgevende raad en de regionale regering. De Madeirese bestuursorganen worden voorgezeten door een president. De regionale regering heeft regelgevende en bestuurlijke bevoegdheden en neemt deel aan het Europees proces en aan onderhandelingen over internationale verdragen</w:t>
      </w:r>
    </w:p>
  </w:footnote>
  <w:footnote w:id="377">
    <w:p w:rsidR="00A64945" w:rsidRDefault="00A64945" w:rsidP="005B28D4">
      <w:pPr>
        <w:pStyle w:val="FootnoteText"/>
        <w:jc w:val="both"/>
      </w:pPr>
      <w:r w:rsidRPr="00263E75">
        <w:rPr>
          <w:rStyle w:val="FootnoteReference"/>
          <w:rFonts w:cs="Arial"/>
          <w:sz w:val="18"/>
          <w:szCs w:val="18"/>
        </w:rPr>
        <w:footnoteRef/>
      </w:r>
      <w:r w:rsidRPr="00263E75">
        <w:rPr>
          <w:sz w:val="18"/>
          <w:szCs w:val="18"/>
        </w:rPr>
        <w:t xml:space="preserve"> Art. 355, lid 1 VwEU.</w:t>
      </w:r>
    </w:p>
  </w:footnote>
  <w:footnote w:id="378">
    <w:p w:rsidR="00A64945" w:rsidRDefault="00A64945" w:rsidP="005B28D4">
      <w:pPr>
        <w:pStyle w:val="FootnoteText"/>
        <w:jc w:val="both"/>
      </w:pPr>
      <w:r w:rsidRPr="00263E75">
        <w:rPr>
          <w:rStyle w:val="FootnoteReference"/>
          <w:rFonts w:cs="Arial"/>
          <w:sz w:val="18"/>
          <w:szCs w:val="18"/>
        </w:rPr>
        <w:footnoteRef/>
      </w:r>
      <w:r w:rsidRPr="00263E75">
        <w:rPr>
          <w:sz w:val="18"/>
          <w:szCs w:val="18"/>
        </w:rPr>
        <w:t xml:space="preserve"> Er bestaan immers enkele overeenkomsten tussen Curaçao en Madeira. </w:t>
      </w:r>
      <w:r w:rsidRPr="00263E75">
        <w:rPr>
          <w:rFonts w:cs="ECHOIC+Garamond"/>
          <w:color w:val="000000"/>
          <w:sz w:val="18"/>
          <w:szCs w:val="18"/>
        </w:rPr>
        <w:t>Constitutioneel gezien zijn Curaçao en Madeira beide autonome gebieden die verbonden zijn met een lidstaat van de Europese Unie (Nederland respectievelijk Portugal). De autonomie van Curaçao is vastgelegd in het Statuut van het Koninkrijk der Nederlanden, de autonomie van Madeira is vastgelegd in titel VII van de grondwet van de Portugese Republiek en het Statuut van Madeira. Op economisch gebied bestaan er ook vele gelijkenissen. De economie van Madeira steunt voor grofweg driekwart op toerisme met als belangrijke</w:t>
      </w:r>
      <w:r w:rsidRPr="00ED254D">
        <w:rPr>
          <w:rFonts w:cs="ECHOIC+Garamond"/>
          <w:color w:val="000000"/>
          <w:sz w:val="18"/>
          <w:szCs w:val="18"/>
        </w:rPr>
        <w:t xml:space="preserve"> </w:t>
      </w:r>
      <w:r w:rsidRPr="00263E75">
        <w:rPr>
          <w:rFonts w:cs="ECHOIC+Garamond"/>
          <w:color w:val="000000"/>
          <w:sz w:val="18"/>
          <w:szCs w:val="18"/>
        </w:rPr>
        <w:t>andere pijlers de financiële dienstverlening en de vrije zone. Ook in Curaçao vormen deze sectoren de pijlers van de economie al dan niet in een andere verhouding: de economie van Curaçao steunt voor het grootste deel op de financiële sector i.p.v. toeristensector. Er vindt in Madeira, even als dat het geval is in Curaçao, op beperkte schaal productie plaats voor de eigen voedselvoorziening en het merendeel van de goederen wordt geïmporteerd.</w:t>
      </w:r>
    </w:p>
  </w:footnote>
  <w:footnote w:id="379">
    <w:p w:rsidR="00A64945" w:rsidRDefault="00A64945" w:rsidP="005B28D4">
      <w:pPr>
        <w:pStyle w:val="FootnoteText"/>
        <w:jc w:val="both"/>
      </w:pPr>
      <w:r w:rsidRPr="00263E75">
        <w:rPr>
          <w:rStyle w:val="FootnoteReference"/>
          <w:rFonts w:cs="Arial"/>
          <w:sz w:val="18"/>
          <w:szCs w:val="18"/>
        </w:rPr>
        <w:footnoteRef/>
      </w:r>
      <w:r w:rsidRPr="00263E75">
        <w:rPr>
          <w:sz w:val="18"/>
          <w:szCs w:val="18"/>
        </w:rPr>
        <w:t xml:space="preserve"> Bij toetreding van Portugal in 1986 tot de EU.</w:t>
      </w:r>
    </w:p>
  </w:footnote>
  <w:footnote w:id="380">
    <w:p w:rsidR="00A64945" w:rsidRDefault="00A64945" w:rsidP="005B28D4">
      <w:pPr>
        <w:pStyle w:val="FootnoteText"/>
        <w:jc w:val="both"/>
      </w:pPr>
      <w:r w:rsidRPr="00263E75">
        <w:rPr>
          <w:rStyle w:val="FootnoteReference"/>
          <w:rFonts w:cs="Arial"/>
          <w:sz w:val="18"/>
          <w:szCs w:val="18"/>
        </w:rPr>
        <w:footnoteRef/>
      </w:r>
      <w:r w:rsidRPr="00263E75">
        <w:rPr>
          <w:sz w:val="18"/>
          <w:szCs w:val="18"/>
          <w:lang w:val="en-US"/>
        </w:rPr>
        <w:t xml:space="preserve"> F. Brás, P. Dewerbe, R. Borges, </w:t>
      </w:r>
      <w:r w:rsidRPr="00263E75">
        <w:rPr>
          <w:i/>
          <w:sz w:val="18"/>
          <w:szCs w:val="18"/>
          <w:lang w:val="en-US"/>
        </w:rPr>
        <w:t>The Madeira Free Zone and its standpoint within the European Union</w:t>
      </w:r>
      <w:r w:rsidRPr="00263E75">
        <w:rPr>
          <w:sz w:val="18"/>
          <w:szCs w:val="18"/>
          <w:lang w:val="en-US"/>
        </w:rPr>
        <w:t>, EC TAX REVIEW 2004/3, pg. 123.</w:t>
      </w:r>
    </w:p>
  </w:footnote>
  <w:footnote w:id="381">
    <w:p w:rsidR="00A64945" w:rsidRDefault="00A64945" w:rsidP="005B28D4">
      <w:pPr>
        <w:pStyle w:val="FootnoteText"/>
        <w:jc w:val="both"/>
      </w:pPr>
      <w:r w:rsidRPr="00263E75">
        <w:rPr>
          <w:rStyle w:val="FootnoteReference"/>
          <w:rFonts w:cs="Arial"/>
          <w:sz w:val="18"/>
          <w:szCs w:val="18"/>
        </w:rPr>
        <w:footnoteRef/>
      </w:r>
      <w:r w:rsidRPr="00263E75">
        <w:rPr>
          <w:sz w:val="18"/>
          <w:szCs w:val="18"/>
        </w:rPr>
        <w:t xml:space="preserve"> Het huidige Portugese winstbelastingtarief bedraagt 25%.</w:t>
      </w:r>
    </w:p>
  </w:footnote>
  <w:footnote w:id="382">
    <w:p w:rsidR="00A64945" w:rsidRDefault="00A64945" w:rsidP="005B28D4">
      <w:pPr>
        <w:pStyle w:val="FootnoteText"/>
        <w:jc w:val="both"/>
      </w:pPr>
      <w:r w:rsidRPr="00263E75">
        <w:rPr>
          <w:rStyle w:val="FootnoteReference"/>
          <w:rFonts w:cs="Arial"/>
          <w:sz w:val="18"/>
          <w:szCs w:val="18"/>
        </w:rPr>
        <w:footnoteRef/>
      </w:r>
      <w:r w:rsidRPr="00263E75">
        <w:rPr>
          <w:sz w:val="18"/>
          <w:szCs w:val="18"/>
        </w:rPr>
        <w:t xml:space="preserve"> In dit opzicht kan gezegd worden dat de Madereise vrije zonewetgeving discrimineert tussen Madeirese ingezettenen en niet- ingezetenen. De rechtvaardiging hiervoor wordt echter gegeven in het feit dat de Madeirese vrije zonewetgeving als doelstelling heeft de ontwikkeling van de </w:t>
      </w:r>
      <w:r w:rsidRPr="00263E75">
        <w:rPr>
          <w:i/>
          <w:sz w:val="18"/>
          <w:szCs w:val="18"/>
        </w:rPr>
        <w:t xml:space="preserve">Madeirese </w:t>
      </w:r>
      <w:r w:rsidRPr="00263E75">
        <w:rPr>
          <w:sz w:val="18"/>
          <w:szCs w:val="18"/>
        </w:rPr>
        <w:t xml:space="preserve">economie te bevorderen. De bedoeling hierbij is niet om tegelijkertijd de belastingdruk van de Portugese inwoners te verlagen. </w:t>
      </w:r>
    </w:p>
  </w:footnote>
  <w:footnote w:id="383">
    <w:p w:rsidR="00A64945" w:rsidRDefault="00A64945" w:rsidP="005B28D4">
      <w:pPr>
        <w:pStyle w:val="FootnoteText"/>
        <w:jc w:val="both"/>
      </w:pPr>
      <w:r w:rsidRPr="00263E75">
        <w:rPr>
          <w:rStyle w:val="FootnoteReference"/>
          <w:rFonts w:cs="Arial"/>
          <w:sz w:val="18"/>
          <w:szCs w:val="18"/>
        </w:rPr>
        <w:footnoteRef/>
      </w:r>
      <w:r w:rsidRPr="00263E75">
        <w:rPr>
          <w:sz w:val="18"/>
          <w:szCs w:val="18"/>
        </w:rPr>
        <w:t xml:space="preserve"> Entiteiten </w:t>
      </w:r>
      <w:r w:rsidRPr="00263E75">
        <w:rPr>
          <w:rFonts w:cs="EUAlbertina"/>
          <w:sz w:val="18"/>
          <w:szCs w:val="18"/>
        </w:rPr>
        <w:t>die zich tot het einde van het jaar 2000 vestigden in de MVZ.</w:t>
      </w:r>
    </w:p>
  </w:footnote>
  <w:footnote w:id="384">
    <w:p w:rsidR="00A64945" w:rsidRDefault="00A64945" w:rsidP="005B28D4">
      <w:pPr>
        <w:pStyle w:val="FootnoteText"/>
        <w:jc w:val="both"/>
      </w:pPr>
      <w:r w:rsidRPr="00C9270B">
        <w:rPr>
          <w:rStyle w:val="FootnoteReference"/>
          <w:rFonts w:cs="Arial"/>
          <w:sz w:val="18"/>
          <w:szCs w:val="18"/>
        </w:rPr>
        <w:footnoteRef/>
      </w:r>
      <w:r w:rsidRPr="00C9270B">
        <w:rPr>
          <w:sz w:val="18"/>
          <w:szCs w:val="18"/>
        </w:rPr>
        <w:t xml:space="preserve"> Tezamen met de vrije zone van de Azoren.</w:t>
      </w:r>
    </w:p>
  </w:footnote>
  <w:footnote w:id="385">
    <w:p w:rsidR="00A64945" w:rsidRDefault="00A64945" w:rsidP="005B28D4">
      <w:pPr>
        <w:pStyle w:val="FootnoteText"/>
        <w:jc w:val="both"/>
      </w:pPr>
      <w:r w:rsidRPr="00997D64">
        <w:rPr>
          <w:rStyle w:val="FootnoteReference"/>
          <w:rFonts w:cs="Arial"/>
          <w:sz w:val="18"/>
          <w:szCs w:val="18"/>
        </w:rPr>
        <w:footnoteRef/>
      </w:r>
      <w:r w:rsidRPr="00997D64">
        <w:rPr>
          <w:sz w:val="18"/>
          <w:szCs w:val="18"/>
          <w:lang w:val="en-US"/>
        </w:rPr>
        <w:t xml:space="preserve"> Art. 34 lid 8, Tax Incentive Statute.</w:t>
      </w:r>
    </w:p>
  </w:footnote>
  <w:footnote w:id="386">
    <w:p w:rsidR="00A64945" w:rsidRDefault="00A64945" w:rsidP="005B28D4">
      <w:pPr>
        <w:pStyle w:val="FootnoteText"/>
        <w:jc w:val="both"/>
      </w:pPr>
      <w:r w:rsidRPr="00997D64">
        <w:rPr>
          <w:rStyle w:val="FootnoteReference"/>
          <w:rFonts w:cs="Arial"/>
          <w:sz w:val="18"/>
          <w:szCs w:val="18"/>
        </w:rPr>
        <w:footnoteRef/>
      </w:r>
      <w:r w:rsidRPr="00997D64">
        <w:rPr>
          <w:sz w:val="18"/>
          <w:szCs w:val="18"/>
        </w:rPr>
        <w:t xml:space="preserve"> In Primarolo 1999 wordt de Nederlands- Antilliaanse vrije zone aangeduid als maatregel F024.</w:t>
      </w:r>
    </w:p>
  </w:footnote>
  <w:footnote w:id="387">
    <w:p w:rsidR="00A64945" w:rsidRDefault="00A64945" w:rsidP="005B28D4">
      <w:pPr>
        <w:pStyle w:val="FootnoteText"/>
        <w:jc w:val="both"/>
      </w:pPr>
      <w:r w:rsidRPr="00263E75">
        <w:rPr>
          <w:rStyle w:val="FootnoteReference"/>
          <w:rFonts w:cs="Arial"/>
          <w:sz w:val="18"/>
          <w:szCs w:val="18"/>
        </w:rPr>
        <w:footnoteRef/>
      </w:r>
      <w:r w:rsidRPr="00263E75">
        <w:rPr>
          <w:sz w:val="18"/>
          <w:szCs w:val="18"/>
        </w:rPr>
        <w:t xml:space="preserve"> De EC heeft de omvang van de in 2007 aan Madeira verschafte steun aan de hand van de zogenoemde ‘Regional Aid Guidelines’ vastgesteld. Onder deze richtlijn komt Madeira tot eind 2013 in aanmerking voor regionale steun. Wat daarna zal gebeuren, is nog niet bekend.</w:t>
      </w:r>
    </w:p>
  </w:footnote>
  <w:footnote w:id="388">
    <w:p w:rsidR="00A64945" w:rsidRDefault="00A64945" w:rsidP="005B28D4">
      <w:pPr>
        <w:autoSpaceDE w:val="0"/>
        <w:autoSpaceDN w:val="0"/>
        <w:adjustRightInd w:val="0"/>
        <w:spacing w:after="0" w:line="240" w:lineRule="auto"/>
        <w:jc w:val="both"/>
      </w:pPr>
      <w:r w:rsidRPr="00263E75">
        <w:rPr>
          <w:rStyle w:val="FootnoteReference"/>
          <w:rFonts w:cs="Arial"/>
          <w:sz w:val="18"/>
          <w:szCs w:val="18"/>
        </w:rPr>
        <w:footnoteRef/>
      </w:r>
      <w:r w:rsidRPr="00263E75">
        <w:rPr>
          <w:sz w:val="18"/>
          <w:szCs w:val="18"/>
        </w:rPr>
        <w:t xml:space="preserve"> Persbericht </w:t>
      </w:r>
      <w:r w:rsidRPr="00263E75">
        <w:rPr>
          <w:rFonts w:cs="Arial,Bold"/>
          <w:bCs/>
          <w:sz w:val="18"/>
          <w:szCs w:val="18"/>
        </w:rPr>
        <w:t xml:space="preserve">IP/07/891, Brussel, 27 juni 2007. </w:t>
      </w:r>
    </w:p>
  </w:footnote>
  <w:footnote w:id="389">
    <w:p w:rsidR="00A64945" w:rsidRDefault="00A64945" w:rsidP="005B28D4">
      <w:pPr>
        <w:pStyle w:val="FootnoteText"/>
        <w:jc w:val="both"/>
      </w:pPr>
      <w:r w:rsidRPr="00EE3721">
        <w:rPr>
          <w:rStyle w:val="FootnoteReference"/>
          <w:rFonts w:cs="Arial"/>
          <w:sz w:val="18"/>
          <w:szCs w:val="18"/>
        </w:rPr>
        <w:footnoteRef/>
      </w:r>
      <w:r w:rsidRPr="00EE3721">
        <w:rPr>
          <w:sz w:val="18"/>
          <w:szCs w:val="18"/>
        </w:rPr>
        <w:t xml:space="preserve"> Daar waar door een onderneming die zich in de MVZ vestigt minder dan drie nieuw banen worden gecreëerd.</w:t>
      </w:r>
    </w:p>
  </w:footnote>
  <w:footnote w:id="390">
    <w:p w:rsidR="00A64945" w:rsidRDefault="00A64945" w:rsidP="005B28D4">
      <w:pPr>
        <w:pStyle w:val="FootnoteText"/>
        <w:jc w:val="both"/>
      </w:pPr>
      <w:r w:rsidRPr="00EE3721">
        <w:rPr>
          <w:rStyle w:val="FootnoteReference"/>
          <w:rFonts w:cs="Arial"/>
          <w:sz w:val="18"/>
          <w:szCs w:val="18"/>
        </w:rPr>
        <w:footnoteRef/>
      </w:r>
      <w:r w:rsidRPr="00EE3721">
        <w:rPr>
          <w:sz w:val="18"/>
          <w:szCs w:val="18"/>
        </w:rPr>
        <w:t xml:space="preserve"> Daar waar door een onderneming die zich in de MVZ vestigt meer dan 100 nieuwe banen gecreëerd worden.</w:t>
      </w:r>
    </w:p>
  </w:footnote>
  <w:footnote w:id="391">
    <w:p w:rsidR="00A64945" w:rsidRDefault="00A64945" w:rsidP="005B28D4">
      <w:pPr>
        <w:pStyle w:val="FootnoteText"/>
        <w:jc w:val="both"/>
      </w:pPr>
      <w:r w:rsidRPr="00EE3721">
        <w:rPr>
          <w:rStyle w:val="FootnoteReference"/>
          <w:rFonts w:cs="Arial"/>
          <w:sz w:val="18"/>
          <w:szCs w:val="18"/>
        </w:rPr>
        <w:footnoteRef/>
      </w:r>
      <w:r w:rsidRPr="00EE3721">
        <w:rPr>
          <w:sz w:val="18"/>
          <w:szCs w:val="18"/>
        </w:rPr>
        <w:t xml:space="preserve"> Voortvloeiende uit de zogenoemde ‘Tax Reform Act’ en door de EC op 11 december 2002 goedgekeurd.</w:t>
      </w:r>
    </w:p>
  </w:footnote>
  <w:footnote w:id="392">
    <w:p w:rsidR="00A64945" w:rsidRPr="00E562CA" w:rsidRDefault="00A64945" w:rsidP="00C608EF">
      <w:pPr>
        <w:spacing w:after="0" w:line="240" w:lineRule="auto"/>
        <w:jc w:val="both"/>
        <w:rPr>
          <w:rFonts w:cs="EUAlbertina"/>
          <w:sz w:val="18"/>
          <w:szCs w:val="18"/>
        </w:rPr>
      </w:pPr>
      <w:r>
        <w:rPr>
          <w:rStyle w:val="FootnoteReference"/>
          <w:rFonts w:cs="Arial"/>
        </w:rPr>
        <w:footnoteRef/>
      </w:r>
      <w:r>
        <w:t xml:space="preserve"> </w:t>
      </w:r>
      <w:r w:rsidRPr="00E562CA">
        <w:rPr>
          <w:sz w:val="18"/>
          <w:szCs w:val="18"/>
        </w:rPr>
        <w:t xml:space="preserve">Het soulaas wordt mijns inziens wederom door de Verdragen geboden. Zoals in § 1.1.3. </w:t>
      </w:r>
      <w:r>
        <w:rPr>
          <w:sz w:val="18"/>
          <w:szCs w:val="18"/>
        </w:rPr>
        <w:t xml:space="preserve">en in </w:t>
      </w:r>
      <w:r w:rsidRPr="00E562CA">
        <w:rPr>
          <w:sz w:val="18"/>
          <w:szCs w:val="18"/>
        </w:rPr>
        <w:t>§</w:t>
      </w:r>
      <w:r>
        <w:rPr>
          <w:sz w:val="18"/>
          <w:szCs w:val="18"/>
        </w:rPr>
        <w:t xml:space="preserve">2.5.2.1. </w:t>
      </w:r>
      <w:r w:rsidRPr="00E562CA">
        <w:rPr>
          <w:sz w:val="18"/>
          <w:szCs w:val="18"/>
        </w:rPr>
        <w:t xml:space="preserve">reeds </w:t>
      </w:r>
      <w:r>
        <w:rPr>
          <w:sz w:val="18"/>
          <w:szCs w:val="18"/>
        </w:rPr>
        <w:t xml:space="preserve">enigszins </w:t>
      </w:r>
      <w:r w:rsidRPr="00E562CA">
        <w:rPr>
          <w:sz w:val="18"/>
          <w:szCs w:val="18"/>
        </w:rPr>
        <w:t>aan de orde kwam, maakt artikel 349 VwEU een speciale behandeling van UPG’s mogelijk.</w:t>
      </w:r>
      <w:r>
        <w:rPr>
          <w:sz w:val="18"/>
          <w:szCs w:val="18"/>
        </w:rPr>
        <w:t xml:space="preserve"> </w:t>
      </w:r>
      <w:r w:rsidRPr="00E562CA">
        <w:rPr>
          <w:sz w:val="18"/>
          <w:szCs w:val="18"/>
        </w:rPr>
        <w:t xml:space="preserve">Op grond van de tweede alinea van dat artikel is de Raad gebonden met betrekking tot UPG’s specifieke maatregelen aan te nemen die gericht zijn </w:t>
      </w:r>
      <w:r w:rsidRPr="00E562CA">
        <w:rPr>
          <w:rFonts w:cs="EUAlbertina"/>
          <w:sz w:val="18"/>
          <w:szCs w:val="18"/>
        </w:rPr>
        <w:t xml:space="preserve">de voorwaarden voor de toepassing van de Verdragen op UPG’s  vast te stellen. Aanleiding voor deze uitzonderlijke benadering is de </w:t>
      </w:r>
      <w:r w:rsidRPr="00C125B9">
        <w:rPr>
          <w:rFonts w:cs="EUAlbertina"/>
          <w:i/>
          <w:sz w:val="18"/>
          <w:szCs w:val="18"/>
        </w:rPr>
        <w:t>structurele economische en sociale situatie</w:t>
      </w:r>
      <w:r w:rsidRPr="00E562CA">
        <w:rPr>
          <w:rFonts w:cs="EUAlbertina"/>
          <w:sz w:val="18"/>
          <w:szCs w:val="18"/>
        </w:rPr>
        <w:t xml:space="preserve"> van UPG’s  die wordt bemoeilijkt door de grote afstand, het insulaire karakter, de kleine oppervlakte, een moeilijk reliëf en klimaat en de economische afhankelijkheid van enkele producten. Deze factoren zouden door hun blijvende en cumulatieve karakter de ontwikkeling van UPG’s ernstig schaden. In de derde alinea van artikel 349 VwEU is vastgelegd dat het hierbij met name maatregelen betreft die betrekking hebben op het douane- en handelsbeleid, het fiscale beleid, vrijhandelszones, het landbouw- en visserijbeleid, voorwaarden voor het aanbod van grondstoffen en essentiële consumptiegoederen, staatssteun en de voorwaarden voor toegang tot de structuurfondsen en tot horizontale programma's van de Unie. Maatregelen met betrekking tot vrijhandelszone worden dus expliciet genoemd. Als ook maatregelen met betrekking tot staatssteun.</w:t>
      </w:r>
    </w:p>
    <w:p w:rsidR="00A64945" w:rsidRPr="00E562CA" w:rsidRDefault="00A64945" w:rsidP="0019000F">
      <w:pPr>
        <w:autoSpaceDE w:val="0"/>
        <w:autoSpaceDN w:val="0"/>
        <w:adjustRightInd w:val="0"/>
        <w:spacing w:after="0" w:line="240" w:lineRule="auto"/>
        <w:jc w:val="both"/>
        <w:rPr>
          <w:sz w:val="18"/>
          <w:szCs w:val="18"/>
        </w:rPr>
      </w:pPr>
      <w:r w:rsidRPr="00E562CA">
        <w:rPr>
          <w:sz w:val="18"/>
          <w:szCs w:val="18"/>
        </w:rPr>
        <w:t>Met betrekking tot de staatssteun</w:t>
      </w:r>
      <w:r>
        <w:rPr>
          <w:sz w:val="18"/>
          <w:szCs w:val="18"/>
        </w:rPr>
        <w:t>maatregelen</w:t>
      </w:r>
      <w:r w:rsidRPr="00E562CA">
        <w:rPr>
          <w:sz w:val="18"/>
          <w:szCs w:val="18"/>
        </w:rPr>
        <w:t xml:space="preserve"> wordt voorgaande bovendien bevestigd in artikel 107, lid 3, letter a VwEU.</w:t>
      </w:r>
    </w:p>
    <w:p w:rsidR="00A64945" w:rsidRPr="00E562CA" w:rsidRDefault="00A64945" w:rsidP="00C608EF">
      <w:pPr>
        <w:spacing w:after="0" w:line="240" w:lineRule="auto"/>
        <w:jc w:val="both"/>
        <w:rPr>
          <w:sz w:val="18"/>
          <w:szCs w:val="18"/>
        </w:rPr>
      </w:pPr>
      <w:r w:rsidRPr="00E562CA">
        <w:rPr>
          <w:sz w:val="18"/>
          <w:szCs w:val="18"/>
        </w:rPr>
        <w:t xml:space="preserve">Op grond van dat artikel is de EC gehouden bij de beoordeling van een specifieke belastingmaatregel rekening te houden  met de structurele, economische en sociale situatie van UPG’s. Indien Curaçao haar E- Zone zoals het thans is vormgegeven, wil behouden en hier bezwaar tegen bestaat, zal desbetreffende uitzondering moeten worden bedongen. De mogelijkheid om zich op een dergelijke uitzondering te beroepen, wordt echter ingeperkt. Artikel 349 VwEU, slotalinea bepaalt in deze dat de </w:t>
      </w:r>
      <w:r w:rsidRPr="00E562CA">
        <w:rPr>
          <w:rFonts w:cs="EUAlbertina"/>
          <w:sz w:val="18"/>
          <w:szCs w:val="18"/>
        </w:rPr>
        <w:t>Raad bij de aanname van een maatregel rekening houd</w:t>
      </w:r>
      <w:r>
        <w:rPr>
          <w:rFonts w:cs="EUAlbertina"/>
          <w:sz w:val="18"/>
          <w:szCs w:val="18"/>
        </w:rPr>
        <w:t>t</w:t>
      </w:r>
      <w:r w:rsidRPr="00E562CA">
        <w:rPr>
          <w:rFonts w:cs="EUAlbertina"/>
          <w:sz w:val="18"/>
          <w:szCs w:val="18"/>
        </w:rPr>
        <w:t xml:space="preserve"> met de bijzondere kenmerken en beperkingen van de ultraperifere gebieden, </w:t>
      </w:r>
      <w:r w:rsidRPr="0047264B">
        <w:rPr>
          <w:rFonts w:cs="EUAlbertina"/>
          <w:b/>
          <w:sz w:val="18"/>
          <w:szCs w:val="18"/>
        </w:rPr>
        <w:t>maar</w:t>
      </w:r>
      <w:r w:rsidRPr="00E562CA">
        <w:rPr>
          <w:rFonts w:cs="EUAlbertina"/>
          <w:sz w:val="18"/>
          <w:szCs w:val="18"/>
        </w:rPr>
        <w:t xml:space="preserve"> dit dient zonder afbreuk aan de integriteit en de samenhang van de rechtsorde van de Unie, met inbegrip van de interne markt en het gemeenschappelijk beleid te gebeuren. </w:t>
      </w:r>
    </w:p>
    <w:p w:rsidR="00A64945" w:rsidRPr="00E562CA" w:rsidRDefault="00A64945" w:rsidP="0019000F">
      <w:pPr>
        <w:spacing w:after="0" w:line="240" w:lineRule="auto"/>
        <w:jc w:val="both"/>
        <w:rPr>
          <w:sz w:val="18"/>
          <w:szCs w:val="18"/>
        </w:rPr>
      </w:pPr>
      <w:r w:rsidRPr="00E562CA">
        <w:rPr>
          <w:sz w:val="18"/>
          <w:szCs w:val="18"/>
        </w:rPr>
        <w:t xml:space="preserve">Van belang is </w:t>
      </w:r>
      <w:r>
        <w:rPr>
          <w:sz w:val="18"/>
          <w:szCs w:val="18"/>
        </w:rPr>
        <w:t xml:space="preserve">mijns inziens </w:t>
      </w:r>
      <w:r w:rsidRPr="00E562CA">
        <w:rPr>
          <w:sz w:val="18"/>
          <w:szCs w:val="18"/>
        </w:rPr>
        <w:t>dus om te bepalen in hoeverre het bepaalde in art. 349</w:t>
      </w:r>
      <w:r>
        <w:rPr>
          <w:sz w:val="18"/>
          <w:szCs w:val="18"/>
        </w:rPr>
        <w:t xml:space="preserve"> VwEU</w:t>
      </w:r>
      <w:r w:rsidRPr="00E562CA">
        <w:rPr>
          <w:sz w:val="18"/>
          <w:szCs w:val="18"/>
        </w:rPr>
        <w:t xml:space="preserve"> jo. </w:t>
      </w:r>
      <w:r>
        <w:rPr>
          <w:sz w:val="18"/>
          <w:szCs w:val="18"/>
        </w:rPr>
        <w:t>a</w:t>
      </w:r>
      <w:r w:rsidRPr="00E562CA">
        <w:rPr>
          <w:sz w:val="18"/>
          <w:szCs w:val="18"/>
        </w:rPr>
        <w:t>rt. 107 VwEU afdwingbaar is. Met andere woorden wat zijn de sancties indien de Raad en/of de EC zich niet aan hun woord houden? Kunnen UPG’s in de praktijk waarde ontlenen aan deze bepalingen en in welke mate? Twee referentiepunten om inzicht te krijgen in hoe de EC en het Hof tegen deze bepalingen aankijken</w:t>
      </w:r>
      <w:r>
        <w:rPr>
          <w:sz w:val="18"/>
          <w:szCs w:val="18"/>
        </w:rPr>
        <w:t>,</w:t>
      </w:r>
      <w:r w:rsidRPr="00E562CA">
        <w:rPr>
          <w:sz w:val="18"/>
          <w:szCs w:val="18"/>
        </w:rPr>
        <w:t xml:space="preserve"> zijn mijns inziens het  arrest Portugal/commissie en de ontwikkelingen binnen de EU van het UPG Madeira met betrekking tot haar vrij zone (zie</w:t>
      </w:r>
      <w:r>
        <w:rPr>
          <w:sz w:val="18"/>
          <w:szCs w:val="18"/>
        </w:rPr>
        <w:t xml:space="preserve"> in dit kader</w:t>
      </w:r>
      <w:r w:rsidRPr="00E562CA">
        <w:rPr>
          <w:sz w:val="18"/>
          <w:szCs w:val="18"/>
        </w:rPr>
        <w:t xml:space="preserve"> </w:t>
      </w:r>
      <w:r>
        <w:rPr>
          <w:sz w:val="18"/>
          <w:szCs w:val="18"/>
        </w:rPr>
        <w:t xml:space="preserve">de toelichting bij </w:t>
      </w:r>
      <w:r w:rsidRPr="00E562CA">
        <w:rPr>
          <w:sz w:val="18"/>
          <w:szCs w:val="18"/>
        </w:rPr>
        <w:t>ad. d</w:t>
      </w:r>
      <w:r>
        <w:rPr>
          <w:sz w:val="18"/>
          <w:szCs w:val="18"/>
        </w:rPr>
        <w:t>)</w:t>
      </w:r>
      <w:r w:rsidRPr="00E562CA">
        <w:rPr>
          <w:sz w:val="18"/>
          <w:szCs w:val="18"/>
        </w:rPr>
        <w:t>.</w:t>
      </w:r>
    </w:p>
    <w:p w:rsidR="00A64945" w:rsidRDefault="00A64945" w:rsidP="0019000F">
      <w:pPr>
        <w:spacing w:after="0" w:line="240" w:lineRule="auto"/>
        <w:jc w:val="both"/>
      </w:pPr>
    </w:p>
  </w:footnote>
  <w:footnote w:id="393">
    <w:p w:rsidR="00A64945" w:rsidRDefault="00A64945" w:rsidP="00E85E01">
      <w:pPr>
        <w:pStyle w:val="FootnoteText"/>
        <w:jc w:val="both"/>
      </w:pPr>
      <w:r w:rsidRPr="00E85E01">
        <w:rPr>
          <w:rStyle w:val="FootnoteReference"/>
          <w:sz w:val="18"/>
          <w:szCs w:val="18"/>
        </w:rPr>
        <w:footnoteRef/>
      </w:r>
      <w:r w:rsidRPr="00E85E01">
        <w:rPr>
          <w:sz w:val="18"/>
          <w:szCs w:val="18"/>
        </w:rPr>
        <w:t xml:space="preserve"> Dit arrest is in §.</w:t>
      </w:r>
      <w:r>
        <w:rPr>
          <w:sz w:val="18"/>
          <w:szCs w:val="18"/>
        </w:rPr>
        <w:t>2.5.2.1</w:t>
      </w:r>
      <w:r w:rsidRPr="00E85E01">
        <w:rPr>
          <w:sz w:val="18"/>
          <w:szCs w:val="18"/>
        </w:rPr>
        <w:t>. behandeld.</w:t>
      </w:r>
    </w:p>
  </w:footnote>
  <w:footnote w:id="394">
    <w:p w:rsidR="00A64945" w:rsidRDefault="00A64945" w:rsidP="0019000F">
      <w:pPr>
        <w:spacing w:after="0" w:line="240" w:lineRule="auto"/>
        <w:jc w:val="both"/>
      </w:pPr>
      <w:r w:rsidRPr="00D36B08">
        <w:rPr>
          <w:rStyle w:val="FootnoteReference"/>
          <w:rFonts w:cs="Arial"/>
          <w:sz w:val="18"/>
          <w:szCs w:val="18"/>
        </w:rPr>
        <w:footnoteRef/>
      </w:r>
      <w:r w:rsidRPr="00D36B08">
        <w:rPr>
          <w:sz w:val="18"/>
          <w:szCs w:val="18"/>
        </w:rPr>
        <w:t xml:space="preserve"> </w:t>
      </w:r>
      <w:r w:rsidRPr="00D36B08">
        <w:rPr>
          <w:rFonts w:cs="Times New Roman"/>
          <w:sz w:val="18"/>
          <w:szCs w:val="18"/>
        </w:rPr>
        <w:t xml:space="preserve">Prya Bisambhar, </w:t>
      </w:r>
      <w:r w:rsidRPr="00D36B08">
        <w:rPr>
          <w:i/>
          <w:sz w:val="18"/>
          <w:szCs w:val="18"/>
        </w:rPr>
        <w:t xml:space="preserve">Het referendum van 15 mei 2009: </w:t>
      </w:r>
      <w:r w:rsidRPr="00D36B08">
        <w:rPr>
          <w:rFonts w:cs="Times New Roman"/>
          <w:bCs/>
          <w:i/>
          <w:sz w:val="18"/>
          <w:szCs w:val="18"/>
        </w:rPr>
        <w:t>Waar gaat het over?</w:t>
      </w:r>
      <w:r w:rsidRPr="00D36B08">
        <w:rPr>
          <w:rFonts w:cs="Times New Roman"/>
          <w:bCs/>
          <w:sz w:val="18"/>
          <w:szCs w:val="18"/>
        </w:rPr>
        <w:t xml:space="preserve">, Radio Nederland Wereldomroep van </w:t>
      </w:r>
      <w:r w:rsidRPr="00D36B08">
        <w:rPr>
          <w:rFonts w:cs="Times New Roman"/>
          <w:sz w:val="18"/>
          <w:szCs w:val="18"/>
        </w:rPr>
        <w:t xml:space="preserve">06-04-2009. Zie ook Arne Hankel, </w:t>
      </w:r>
      <w:r w:rsidRPr="00D36B08">
        <w:rPr>
          <w:rFonts w:cs="Times New Roman"/>
          <w:i/>
          <w:sz w:val="18"/>
          <w:szCs w:val="18"/>
        </w:rPr>
        <w:t>Nederland start miljardenschuld Curaçao,</w:t>
      </w:r>
      <w:r w:rsidRPr="00D36B08">
        <w:rPr>
          <w:rFonts w:cs="Times New Roman"/>
          <w:sz w:val="18"/>
          <w:szCs w:val="18"/>
        </w:rPr>
        <w:t xml:space="preserve"> Elsevier van 20 april 2009.</w:t>
      </w:r>
    </w:p>
  </w:footnote>
  <w:footnote w:id="395">
    <w:p w:rsidR="00A64945" w:rsidRDefault="00A64945" w:rsidP="0019000F">
      <w:pPr>
        <w:pStyle w:val="FootnoteText"/>
        <w:jc w:val="both"/>
      </w:pPr>
      <w:r w:rsidRPr="00D36B08">
        <w:rPr>
          <w:rStyle w:val="FootnoteReference"/>
          <w:rFonts w:cs="Arial"/>
          <w:sz w:val="18"/>
          <w:szCs w:val="18"/>
        </w:rPr>
        <w:footnoteRef/>
      </w:r>
      <w:r w:rsidRPr="00D36B08">
        <w:rPr>
          <w:sz w:val="18"/>
          <w:szCs w:val="18"/>
        </w:rPr>
        <w:t xml:space="preserve"> Zie ook ‘Nederland neemt restantschuld Curaçao bijna geheel op zich’, Amigoe van 16 oktober 2010, jaargang 126, nr. 223, pg. 1 en 2.</w:t>
      </w:r>
    </w:p>
  </w:footnote>
  <w:footnote w:id="396">
    <w:p w:rsidR="00A64945" w:rsidRDefault="00A64945" w:rsidP="00A77FC4">
      <w:pPr>
        <w:pStyle w:val="FootnoteText"/>
        <w:jc w:val="both"/>
      </w:pPr>
      <w:r w:rsidRPr="00A77FC4">
        <w:rPr>
          <w:rStyle w:val="FootnoteReference"/>
          <w:sz w:val="18"/>
          <w:szCs w:val="18"/>
        </w:rPr>
        <w:footnoteRef/>
      </w:r>
      <w:r w:rsidRPr="00A77FC4">
        <w:rPr>
          <w:sz w:val="18"/>
          <w:szCs w:val="18"/>
        </w:rPr>
        <w:t xml:space="preserve"> De aanduiding E- Zone kan ten onrechte de veronderstelling opwekken dat het om gebieden</w:t>
      </w:r>
      <w:r>
        <w:rPr>
          <w:sz w:val="18"/>
          <w:szCs w:val="18"/>
        </w:rPr>
        <w:t xml:space="preserve"> (regio’s)</w:t>
      </w:r>
      <w:r w:rsidRPr="00A77FC4">
        <w:rPr>
          <w:sz w:val="18"/>
          <w:szCs w:val="18"/>
        </w:rPr>
        <w:t xml:space="preserve"> binnen Curaçao gaat. De Curaçaose E- Zones zijn </w:t>
      </w:r>
      <w:r>
        <w:rPr>
          <w:sz w:val="18"/>
          <w:szCs w:val="18"/>
        </w:rPr>
        <w:t>(</w:t>
      </w:r>
      <w:r w:rsidRPr="00A77FC4">
        <w:rPr>
          <w:sz w:val="18"/>
          <w:szCs w:val="18"/>
        </w:rPr>
        <w:t>onder andere</w:t>
      </w:r>
      <w:r>
        <w:rPr>
          <w:sz w:val="18"/>
          <w:szCs w:val="18"/>
        </w:rPr>
        <w:t>)</w:t>
      </w:r>
      <w:r w:rsidRPr="00A77FC4">
        <w:rPr>
          <w:sz w:val="18"/>
          <w:szCs w:val="18"/>
        </w:rPr>
        <w:t xml:space="preserve"> inderdaad aangewezen gebieden binnen Curaçao</w:t>
      </w:r>
      <w:r>
        <w:rPr>
          <w:sz w:val="18"/>
          <w:szCs w:val="18"/>
        </w:rPr>
        <w:t xml:space="preserve"> (zie §3.2.3)</w:t>
      </w:r>
      <w:r w:rsidRPr="00A77FC4">
        <w:rPr>
          <w:sz w:val="18"/>
          <w:szCs w:val="18"/>
        </w:rPr>
        <w:t>. Deze gebieden kunnen mijns inziens niet als regio’s van Curaçao worden betiteld. Het is mijns inziens een en dezelfde regio.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4945" w:rsidRDefault="00A64945" w:rsidP="009263ED">
    <w:pPr>
      <w:pStyle w:val="Header"/>
    </w:pPr>
  </w:p>
  <w:p w:rsidR="00A64945" w:rsidRDefault="00A64945" w:rsidP="00A21267">
    <w:pPr>
      <w:pStyle w:val="Header"/>
      <w:jc w:val="right"/>
    </w:pPr>
  </w:p>
  <w:p w:rsidR="00A64945" w:rsidRDefault="00A64945" w:rsidP="00551588">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55768"/>
    <w:multiLevelType w:val="hybridMultilevel"/>
    <w:tmpl w:val="F7FE5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AA6F29"/>
    <w:multiLevelType w:val="hybridMultilevel"/>
    <w:tmpl w:val="DBCE2A9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4957D4D"/>
    <w:multiLevelType w:val="hybridMultilevel"/>
    <w:tmpl w:val="A80A0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1823E8"/>
    <w:multiLevelType w:val="hybridMultilevel"/>
    <w:tmpl w:val="8B1C5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C4706"/>
    <w:multiLevelType w:val="hybridMultilevel"/>
    <w:tmpl w:val="0CCC3C4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0C8D2EDD"/>
    <w:multiLevelType w:val="multilevel"/>
    <w:tmpl w:val="33EEB558"/>
    <w:lvl w:ilvl="0">
      <w:start w:val="1"/>
      <w:numFmt w:val="decimal"/>
      <w:lvlText w:val="%1."/>
      <w:lvlJc w:val="left"/>
      <w:pPr>
        <w:ind w:left="420" w:hanging="42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6">
    <w:nsid w:val="0D174A86"/>
    <w:multiLevelType w:val="hybridMultilevel"/>
    <w:tmpl w:val="A0486A5A"/>
    <w:lvl w:ilvl="0" w:tplc="2B909C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1969D1"/>
    <w:multiLevelType w:val="hybridMultilevel"/>
    <w:tmpl w:val="32D68A0E"/>
    <w:lvl w:ilvl="0" w:tplc="2B909C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54305F"/>
    <w:multiLevelType w:val="hybridMultilevel"/>
    <w:tmpl w:val="CE6813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0B1769F"/>
    <w:multiLevelType w:val="hybridMultilevel"/>
    <w:tmpl w:val="F5986224"/>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158C6389"/>
    <w:multiLevelType w:val="hybridMultilevel"/>
    <w:tmpl w:val="87AC63CC"/>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166BDE"/>
    <w:multiLevelType w:val="hybridMultilevel"/>
    <w:tmpl w:val="076E7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C367397"/>
    <w:multiLevelType w:val="hybridMultilevel"/>
    <w:tmpl w:val="3FE20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9016D4"/>
    <w:multiLevelType w:val="hybridMultilevel"/>
    <w:tmpl w:val="F94207A2"/>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nsid w:val="21835D6B"/>
    <w:multiLevelType w:val="hybridMultilevel"/>
    <w:tmpl w:val="49FEEDCE"/>
    <w:lvl w:ilvl="0" w:tplc="2B909C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51A05B0"/>
    <w:multiLevelType w:val="hybridMultilevel"/>
    <w:tmpl w:val="A9629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215B6D"/>
    <w:multiLevelType w:val="hybridMultilevel"/>
    <w:tmpl w:val="6122C40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2B870CD7"/>
    <w:multiLevelType w:val="hybridMultilevel"/>
    <w:tmpl w:val="9F8079C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2F271A08"/>
    <w:multiLevelType w:val="hybridMultilevel"/>
    <w:tmpl w:val="F4FC09EA"/>
    <w:lvl w:ilvl="0" w:tplc="2B909C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0707441"/>
    <w:multiLevelType w:val="hybridMultilevel"/>
    <w:tmpl w:val="7C487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3EF21CB"/>
    <w:multiLevelType w:val="hybridMultilevel"/>
    <w:tmpl w:val="1EB08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5F66446"/>
    <w:multiLevelType w:val="hybridMultilevel"/>
    <w:tmpl w:val="24985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65B7A97"/>
    <w:multiLevelType w:val="hybridMultilevel"/>
    <w:tmpl w:val="A2B0A0E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3A160CF1"/>
    <w:multiLevelType w:val="hybridMultilevel"/>
    <w:tmpl w:val="8430CDF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3DE250E6"/>
    <w:multiLevelType w:val="hybridMultilevel"/>
    <w:tmpl w:val="C068F3DE"/>
    <w:lvl w:ilvl="0" w:tplc="04090017">
      <w:start w:val="1"/>
      <w:numFmt w:val="lowerLetter"/>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1273C81"/>
    <w:multiLevelType w:val="hybridMultilevel"/>
    <w:tmpl w:val="DBCE2A9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41F21471"/>
    <w:multiLevelType w:val="multilevel"/>
    <w:tmpl w:val="DDF21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4744AC1"/>
    <w:multiLevelType w:val="hybridMultilevel"/>
    <w:tmpl w:val="3E0CC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B80049"/>
    <w:multiLevelType w:val="hybridMultilevel"/>
    <w:tmpl w:val="60DC4E2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49AF7526"/>
    <w:multiLevelType w:val="hybridMultilevel"/>
    <w:tmpl w:val="2818A71A"/>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4A0016CA"/>
    <w:multiLevelType w:val="hybridMultilevel"/>
    <w:tmpl w:val="F03230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4A475736"/>
    <w:multiLevelType w:val="hybridMultilevel"/>
    <w:tmpl w:val="85769FE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4BA136F6"/>
    <w:multiLevelType w:val="hybridMultilevel"/>
    <w:tmpl w:val="52921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C8E1D45"/>
    <w:multiLevelType w:val="hybridMultilevel"/>
    <w:tmpl w:val="4DCE4870"/>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523E6936"/>
    <w:multiLevelType w:val="hybridMultilevel"/>
    <w:tmpl w:val="3654C216"/>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34A7B48"/>
    <w:multiLevelType w:val="hybridMultilevel"/>
    <w:tmpl w:val="9E9E8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5736DF8"/>
    <w:multiLevelType w:val="hybridMultilevel"/>
    <w:tmpl w:val="11F42E7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nsid w:val="57BE515F"/>
    <w:multiLevelType w:val="hybridMultilevel"/>
    <w:tmpl w:val="C42C3E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5A6F2F51"/>
    <w:multiLevelType w:val="hybridMultilevel"/>
    <w:tmpl w:val="E3840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D2F1F80"/>
    <w:multiLevelType w:val="hybridMultilevel"/>
    <w:tmpl w:val="BB8C7C3A"/>
    <w:lvl w:ilvl="0" w:tplc="EFD68F10">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691053"/>
    <w:multiLevelType w:val="hybridMultilevel"/>
    <w:tmpl w:val="E1D8A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2F81F81"/>
    <w:multiLevelType w:val="hybridMultilevel"/>
    <w:tmpl w:val="82B006E0"/>
    <w:lvl w:ilvl="0" w:tplc="04090019">
      <w:start w:val="1"/>
      <w:numFmt w:val="lowerLetter"/>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EA33DE1"/>
    <w:multiLevelType w:val="hybridMultilevel"/>
    <w:tmpl w:val="4DCE4870"/>
    <w:lvl w:ilvl="0" w:tplc="04090019">
      <w:start w:val="1"/>
      <w:numFmt w:val="lowerLetter"/>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3">
    <w:nsid w:val="6F1D67F0"/>
    <w:multiLevelType w:val="hybridMultilevel"/>
    <w:tmpl w:val="8124C7A2"/>
    <w:lvl w:ilvl="0" w:tplc="04090019">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4">
    <w:nsid w:val="706A670A"/>
    <w:multiLevelType w:val="hybridMultilevel"/>
    <w:tmpl w:val="806A0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42B6718"/>
    <w:multiLevelType w:val="hybridMultilevel"/>
    <w:tmpl w:val="AEAEF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7722570"/>
    <w:multiLevelType w:val="hybridMultilevel"/>
    <w:tmpl w:val="D8220EB4"/>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1"/>
  </w:num>
  <w:num w:numId="4">
    <w:abstractNumId w:val="26"/>
  </w:num>
  <w:num w:numId="5">
    <w:abstractNumId w:val="15"/>
  </w:num>
  <w:num w:numId="6">
    <w:abstractNumId w:val="39"/>
  </w:num>
  <w:num w:numId="7">
    <w:abstractNumId w:val="40"/>
  </w:num>
  <w:num w:numId="8">
    <w:abstractNumId w:val="45"/>
  </w:num>
  <w:num w:numId="9">
    <w:abstractNumId w:val="25"/>
  </w:num>
  <w:num w:numId="10">
    <w:abstractNumId w:val="34"/>
  </w:num>
  <w:num w:numId="11">
    <w:abstractNumId w:val="21"/>
  </w:num>
  <w:num w:numId="12">
    <w:abstractNumId w:val="8"/>
  </w:num>
  <w:num w:numId="13">
    <w:abstractNumId w:val="37"/>
  </w:num>
  <w:num w:numId="14">
    <w:abstractNumId w:val="28"/>
  </w:num>
  <w:num w:numId="15">
    <w:abstractNumId w:val="27"/>
  </w:num>
  <w:num w:numId="16">
    <w:abstractNumId w:val="3"/>
  </w:num>
  <w:num w:numId="17">
    <w:abstractNumId w:val="6"/>
  </w:num>
  <w:num w:numId="18">
    <w:abstractNumId w:val="14"/>
  </w:num>
  <w:num w:numId="19">
    <w:abstractNumId w:val="24"/>
  </w:num>
  <w:num w:numId="20">
    <w:abstractNumId w:val="41"/>
  </w:num>
  <w:num w:numId="21">
    <w:abstractNumId w:val="29"/>
  </w:num>
  <w:num w:numId="22">
    <w:abstractNumId w:val="43"/>
  </w:num>
  <w:num w:numId="23">
    <w:abstractNumId w:val="20"/>
  </w:num>
  <w:num w:numId="24">
    <w:abstractNumId w:val="46"/>
  </w:num>
  <w:num w:numId="25">
    <w:abstractNumId w:val="7"/>
  </w:num>
  <w:num w:numId="26">
    <w:abstractNumId w:val="18"/>
  </w:num>
  <w:num w:numId="27">
    <w:abstractNumId w:val="44"/>
  </w:num>
  <w:num w:numId="28">
    <w:abstractNumId w:val="0"/>
  </w:num>
  <w:num w:numId="29">
    <w:abstractNumId w:val="19"/>
  </w:num>
  <w:num w:numId="30">
    <w:abstractNumId w:val="22"/>
  </w:num>
  <w:num w:numId="31">
    <w:abstractNumId w:val="33"/>
  </w:num>
  <w:num w:numId="32">
    <w:abstractNumId w:val="12"/>
  </w:num>
  <w:num w:numId="33">
    <w:abstractNumId w:val="32"/>
  </w:num>
  <w:num w:numId="34">
    <w:abstractNumId w:val="38"/>
  </w:num>
  <w:num w:numId="35">
    <w:abstractNumId w:val="35"/>
  </w:num>
  <w:num w:numId="36">
    <w:abstractNumId w:val="2"/>
  </w:num>
  <w:num w:numId="37">
    <w:abstractNumId w:val="30"/>
  </w:num>
  <w:num w:numId="38">
    <w:abstractNumId w:val="23"/>
  </w:num>
  <w:num w:numId="39">
    <w:abstractNumId w:val="9"/>
  </w:num>
  <w:num w:numId="40">
    <w:abstractNumId w:val="36"/>
  </w:num>
  <w:num w:numId="41">
    <w:abstractNumId w:val="31"/>
  </w:num>
  <w:num w:numId="42">
    <w:abstractNumId w:val="42"/>
  </w:num>
  <w:num w:numId="43">
    <w:abstractNumId w:val="16"/>
  </w:num>
  <w:num w:numId="44">
    <w:abstractNumId w:val="1"/>
  </w:num>
  <w:num w:numId="45">
    <w:abstractNumId w:val="17"/>
  </w:num>
  <w:num w:numId="46">
    <w:abstractNumId w:val="13"/>
  </w:num>
  <w:num w:numId="4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displayBackgroundShape/>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7432B"/>
    <w:rsid w:val="0000003A"/>
    <w:rsid w:val="00001067"/>
    <w:rsid w:val="000011B2"/>
    <w:rsid w:val="00002897"/>
    <w:rsid w:val="00002C53"/>
    <w:rsid w:val="000036D9"/>
    <w:rsid w:val="000045F5"/>
    <w:rsid w:val="00004E89"/>
    <w:rsid w:val="00005B8A"/>
    <w:rsid w:val="00005DEB"/>
    <w:rsid w:val="00005FDF"/>
    <w:rsid w:val="00006E4D"/>
    <w:rsid w:val="00006FC4"/>
    <w:rsid w:val="0001048E"/>
    <w:rsid w:val="00010A4C"/>
    <w:rsid w:val="00010BE1"/>
    <w:rsid w:val="00011011"/>
    <w:rsid w:val="00011EFC"/>
    <w:rsid w:val="00012057"/>
    <w:rsid w:val="00012C88"/>
    <w:rsid w:val="00012DED"/>
    <w:rsid w:val="000132B9"/>
    <w:rsid w:val="000135F8"/>
    <w:rsid w:val="00013726"/>
    <w:rsid w:val="000146A9"/>
    <w:rsid w:val="000146F7"/>
    <w:rsid w:val="00015745"/>
    <w:rsid w:val="000161BC"/>
    <w:rsid w:val="00016385"/>
    <w:rsid w:val="0001666E"/>
    <w:rsid w:val="00016825"/>
    <w:rsid w:val="00017613"/>
    <w:rsid w:val="00017EC8"/>
    <w:rsid w:val="0002274D"/>
    <w:rsid w:val="00024F34"/>
    <w:rsid w:val="0002577D"/>
    <w:rsid w:val="000261B2"/>
    <w:rsid w:val="00026A27"/>
    <w:rsid w:val="00026E5C"/>
    <w:rsid w:val="00026F47"/>
    <w:rsid w:val="0002730D"/>
    <w:rsid w:val="000278CA"/>
    <w:rsid w:val="00027917"/>
    <w:rsid w:val="00027B01"/>
    <w:rsid w:val="0003033F"/>
    <w:rsid w:val="00030465"/>
    <w:rsid w:val="00031B94"/>
    <w:rsid w:val="00032739"/>
    <w:rsid w:val="00032A86"/>
    <w:rsid w:val="00033D25"/>
    <w:rsid w:val="00035021"/>
    <w:rsid w:val="000407EE"/>
    <w:rsid w:val="00041BA1"/>
    <w:rsid w:val="00042311"/>
    <w:rsid w:val="00042B3A"/>
    <w:rsid w:val="00043687"/>
    <w:rsid w:val="00044A45"/>
    <w:rsid w:val="00044B71"/>
    <w:rsid w:val="00044D15"/>
    <w:rsid w:val="00045A66"/>
    <w:rsid w:val="00045D19"/>
    <w:rsid w:val="00046130"/>
    <w:rsid w:val="00046F7F"/>
    <w:rsid w:val="00046FE5"/>
    <w:rsid w:val="0004784C"/>
    <w:rsid w:val="00047F86"/>
    <w:rsid w:val="000502DF"/>
    <w:rsid w:val="0005130E"/>
    <w:rsid w:val="00053537"/>
    <w:rsid w:val="00053909"/>
    <w:rsid w:val="00053E93"/>
    <w:rsid w:val="00053F70"/>
    <w:rsid w:val="000557BB"/>
    <w:rsid w:val="00055E8F"/>
    <w:rsid w:val="00056DAD"/>
    <w:rsid w:val="0005712D"/>
    <w:rsid w:val="00057217"/>
    <w:rsid w:val="00057687"/>
    <w:rsid w:val="00057A2D"/>
    <w:rsid w:val="00057DB8"/>
    <w:rsid w:val="00057F3C"/>
    <w:rsid w:val="00060107"/>
    <w:rsid w:val="00060362"/>
    <w:rsid w:val="0006091F"/>
    <w:rsid w:val="00060BBF"/>
    <w:rsid w:val="00062CF2"/>
    <w:rsid w:val="00062FBD"/>
    <w:rsid w:val="0006400C"/>
    <w:rsid w:val="000640AF"/>
    <w:rsid w:val="0006417C"/>
    <w:rsid w:val="00064448"/>
    <w:rsid w:val="00064CB3"/>
    <w:rsid w:val="00066170"/>
    <w:rsid w:val="00067447"/>
    <w:rsid w:val="00067AB3"/>
    <w:rsid w:val="00067C54"/>
    <w:rsid w:val="00070928"/>
    <w:rsid w:val="00070941"/>
    <w:rsid w:val="000726CD"/>
    <w:rsid w:val="0007433F"/>
    <w:rsid w:val="00075084"/>
    <w:rsid w:val="000750F0"/>
    <w:rsid w:val="00076914"/>
    <w:rsid w:val="00076A11"/>
    <w:rsid w:val="00076DBC"/>
    <w:rsid w:val="00080B6C"/>
    <w:rsid w:val="000819C2"/>
    <w:rsid w:val="00083096"/>
    <w:rsid w:val="0008366D"/>
    <w:rsid w:val="000842D8"/>
    <w:rsid w:val="00084461"/>
    <w:rsid w:val="000848B6"/>
    <w:rsid w:val="00084B6D"/>
    <w:rsid w:val="00085040"/>
    <w:rsid w:val="00085A5C"/>
    <w:rsid w:val="00085D91"/>
    <w:rsid w:val="00086080"/>
    <w:rsid w:val="000869F3"/>
    <w:rsid w:val="00087093"/>
    <w:rsid w:val="00087115"/>
    <w:rsid w:val="0009166C"/>
    <w:rsid w:val="00091B10"/>
    <w:rsid w:val="000923F4"/>
    <w:rsid w:val="000924DE"/>
    <w:rsid w:val="00092654"/>
    <w:rsid w:val="000938A0"/>
    <w:rsid w:val="00094558"/>
    <w:rsid w:val="00094935"/>
    <w:rsid w:val="00094BB5"/>
    <w:rsid w:val="00096227"/>
    <w:rsid w:val="00096404"/>
    <w:rsid w:val="0009757B"/>
    <w:rsid w:val="00097EEF"/>
    <w:rsid w:val="000A48BC"/>
    <w:rsid w:val="000A4F8F"/>
    <w:rsid w:val="000A516B"/>
    <w:rsid w:val="000A5478"/>
    <w:rsid w:val="000A6418"/>
    <w:rsid w:val="000A69BB"/>
    <w:rsid w:val="000A7639"/>
    <w:rsid w:val="000B01F9"/>
    <w:rsid w:val="000B02AF"/>
    <w:rsid w:val="000B0807"/>
    <w:rsid w:val="000B0830"/>
    <w:rsid w:val="000B0EA7"/>
    <w:rsid w:val="000B22CB"/>
    <w:rsid w:val="000B2D45"/>
    <w:rsid w:val="000B2EB8"/>
    <w:rsid w:val="000B2F0F"/>
    <w:rsid w:val="000B3A1D"/>
    <w:rsid w:val="000B5181"/>
    <w:rsid w:val="000B5C91"/>
    <w:rsid w:val="000B62FB"/>
    <w:rsid w:val="000B709C"/>
    <w:rsid w:val="000B759F"/>
    <w:rsid w:val="000B7D95"/>
    <w:rsid w:val="000C011E"/>
    <w:rsid w:val="000C099B"/>
    <w:rsid w:val="000C1025"/>
    <w:rsid w:val="000C1341"/>
    <w:rsid w:val="000C1607"/>
    <w:rsid w:val="000C3A16"/>
    <w:rsid w:val="000C50C5"/>
    <w:rsid w:val="000C54A6"/>
    <w:rsid w:val="000C5639"/>
    <w:rsid w:val="000C6414"/>
    <w:rsid w:val="000C7F58"/>
    <w:rsid w:val="000D1399"/>
    <w:rsid w:val="000D1AA9"/>
    <w:rsid w:val="000D28F6"/>
    <w:rsid w:val="000D2CCB"/>
    <w:rsid w:val="000D3C16"/>
    <w:rsid w:val="000D48DF"/>
    <w:rsid w:val="000D4D0A"/>
    <w:rsid w:val="000D4F67"/>
    <w:rsid w:val="000D5A2A"/>
    <w:rsid w:val="000D6102"/>
    <w:rsid w:val="000D6142"/>
    <w:rsid w:val="000D619D"/>
    <w:rsid w:val="000E0662"/>
    <w:rsid w:val="000E1CB7"/>
    <w:rsid w:val="000E26A1"/>
    <w:rsid w:val="000E2C21"/>
    <w:rsid w:val="000E2C5E"/>
    <w:rsid w:val="000E2E3B"/>
    <w:rsid w:val="000E3CBA"/>
    <w:rsid w:val="000E4285"/>
    <w:rsid w:val="000E435A"/>
    <w:rsid w:val="000E5A18"/>
    <w:rsid w:val="000E6D47"/>
    <w:rsid w:val="000E6F23"/>
    <w:rsid w:val="000E7164"/>
    <w:rsid w:val="000E7F52"/>
    <w:rsid w:val="000F003F"/>
    <w:rsid w:val="000F181D"/>
    <w:rsid w:val="000F28BD"/>
    <w:rsid w:val="000F2ADB"/>
    <w:rsid w:val="000F3A03"/>
    <w:rsid w:val="000F3CFF"/>
    <w:rsid w:val="000F43CA"/>
    <w:rsid w:val="000F4868"/>
    <w:rsid w:val="000F48EF"/>
    <w:rsid w:val="000F53A9"/>
    <w:rsid w:val="000F58D1"/>
    <w:rsid w:val="000F5B2C"/>
    <w:rsid w:val="000F75D9"/>
    <w:rsid w:val="000F7A01"/>
    <w:rsid w:val="000F7B65"/>
    <w:rsid w:val="000F7ED0"/>
    <w:rsid w:val="000F7F79"/>
    <w:rsid w:val="001003A4"/>
    <w:rsid w:val="00100991"/>
    <w:rsid w:val="001015D9"/>
    <w:rsid w:val="00101AB3"/>
    <w:rsid w:val="00104CE0"/>
    <w:rsid w:val="00105815"/>
    <w:rsid w:val="00105D80"/>
    <w:rsid w:val="0010734C"/>
    <w:rsid w:val="001113C4"/>
    <w:rsid w:val="001116D5"/>
    <w:rsid w:val="001117B9"/>
    <w:rsid w:val="00112154"/>
    <w:rsid w:val="00112D4B"/>
    <w:rsid w:val="0011311C"/>
    <w:rsid w:val="0011373B"/>
    <w:rsid w:val="001144ED"/>
    <w:rsid w:val="001147CD"/>
    <w:rsid w:val="00116723"/>
    <w:rsid w:val="00116913"/>
    <w:rsid w:val="00117CEF"/>
    <w:rsid w:val="00120795"/>
    <w:rsid w:val="00120BE8"/>
    <w:rsid w:val="00121272"/>
    <w:rsid w:val="00121416"/>
    <w:rsid w:val="0012183C"/>
    <w:rsid w:val="00123B05"/>
    <w:rsid w:val="00123EF2"/>
    <w:rsid w:val="001241D9"/>
    <w:rsid w:val="00124257"/>
    <w:rsid w:val="00124E61"/>
    <w:rsid w:val="00125144"/>
    <w:rsid w:val="00126076"/>
    <w:rsid w:val="00126B4B"/>
    <w:rsid w:val="00131F8E"/>
    <w:rsid w:val="00132B96"/>
    <w:rsid w:val="00133AEA"/>
    <w:rsid w:val="00133CD1"/>
    <w:rsid w:val="001362E5"/>
    <w:rsid w:val="00136727"/>
    <w:rsid w:val="00137FAC"/>
    <w:rsid w:val="00140546"/>
    <w:rsid w:val="0014063C"/>
    <w:rsid w:val="00140C25"/>
    <w:rsid w:val="0014224F"/>
    <w:rsid w:val="00142DA5"/>
    <w:rsid w:val="001435E3"/>
    <w:rsid w:val="001444D3"/>
    <w:rsid w:val="00144FB3"/>
    <w:rsid w:val="00145088"/>
    <w:rsid w:val="0014589B"/>
    <w:rsid w:val="00145C7D"/>
    <w:rsid w:val="00145C80"/>
    <w:rsid w:val="00145F25"/>
    <w:rsid w:val="0014709D"/>
    <w:rsid w:val="001477AC"/>
    <w:rsid w:val="001500CF"/>
    <w:rsid w:val="00150833"/>
    <w:rsid w:val="001509E3"/>
    <w:rsid w:val="00151116"/>
    <w:rsid w:val="00151874"/>
    <w:rsid w:val="00151A88"/>
    <w:rsid w:val="00151DE7"/>
    <w:rsid w:val="00151DEA"/>
    <w:rsid w:val="00151FAC"/>
    <w:rsid w:val="001526FE"/>
    <w:rsid w:val="001527C5"/>
    <w:rsid w:val="00152F0E"/>
    <w:rsid w:val="0015352B"/>
    <w:rsid w:val="0015387C"/>
    <w:rsid w:val="00153B3B"/>
    <w:rsid w:val="0015468D"/>
    <w:rsid w:val="00154ADB"/>
    <w:rsid w:val="001552AD"/>
    <w:rsid w:val="00155780"/>
    <w:rsid w:val="00155D45"/>
    <w:rsid w:val="00156EC8"/>
    <w:rsid w:val="00157143"/>
    <w:rsid w:val="00157B1D"/>
    <w:rsid w:val="00157FC1"/>
    <w:rsid w:val="00160B96"/>
    <w:rsid w:val="00160BF7"/>
    <w:rsid w:val="00160FC6"/>
    <w:rsid w:val="00161D71"/>
    <w:rsid w:val="0016250C"/>
    <w:rsid w:val="00163220"/>
    <w:rsid w:val="0016348E"/>
    <w:rsid w:val="001639BF"/>
    <w:rsid w:val="001645DF"/>
    <w:rsid w:val="00164B67"/>
    <w:rsid w:val="00166713"/>
    <w:rsid w:val="00166C4E"/>
    <w:rsid w:val="00167E50"/>
    <w:rsid w:val="0017053D"/>
    <w:rsid w:val="0017135C"/>
    <w:rsid w:val="00171567"/>
    <w:rsid w:val="00173128"/>
    <w:rsid w:val="00173AC2"/>
    <w:rsid w:val="00174FEA"/>
    <w:rsid w:val="001750AD"/>
    <w:rsid w:val="00176410"/>
    <w:rsid w:val="00177541"/>
    <w:rsid w:val="00177BA1"/>
    <w:rsid w:val="00180F5B"/>
    <w:rsid w:val="00181184"/>
    <w:rsid w:val="00181C9C"/>
    <w:rsid w:val="00181DA9"/>
    <w:rsid w:val="001824F9"/>
    <w:rsid w:val="001825BD"/>
    <w:rsid w:val="001826E6"/>
    <w:rsid w:val="001829D2"/>
    <w:rsid w:val="00182E64"/>
    <w:rsid w:val="001835A2"/>
    <w:rsid w:val="00183829"/>
    <w:rsid w:val="00183CB4"/>
    <w:rsid w:val="00185F60"/>
    <w:rsid w:val="0018699F"/>
    <w:rsid w:val="0018720A"/>
    <w:rsid w:val="00187BC6"/>
    <w:rsid w:val="00187F20"/>
    <w:rsid w:val="0019000F"/>
    <w:rsid w:val="001913FD"/>
    <w:rsid w:val="0019182F"/>
    <w:rsid w:val="001919B9"/>
    <w:rsid w:val="00191C3D"/>
    <w:rsid w:val="00191F9D"/>
    <w:rsid w:val="00191FF0"/>
    <w:rsid w:val="001920D1"/>
    <w:rsid w:val="001927DF"/>
    <w:rsid w:val="001932AC"/>
    <w:rsid w:val="001947B4"/>
    <w:rsid w:val="00196156"/>
    <w:rsid w:val="00196E8C"/>
    <w:rsid w:val="00197284"/>
    <w:rsid w:val="00197E49"/>
    <w:rsid w:val="001A0887"/>
    <w:rsid w:val="001A0ABB"/>
    <w:rsid w:val="001A1675"/>
    <w:rsid w:val="001A2B4C"/>
    <w:rsid w:val="001A2D3D"/>
    <w:rsid w:val="001A3181"/>
    <w:rsid w:val="001A4049"/>
    <w:rsid w:val="001A40AD"/>
    <w:rsid w:val="001A46E0"/>
    <w:rsid w:val="001A57BC"/>
    <w:rsid w:val="001A5FB0"/>
    <w:rsid w:val="001A6286"/>
    <w:rsid w:val="001A6459"/>
    <w:rsid w:val="001A7479"/>
    <w:rsid w:val="001A7889"/>
    <w:rsid w:val="001A7936"/>
    <w:rsid w:val="001B0146"/>
    <w:rsid w:val="001B0A26"/>
    <w:rsid w:val="001B0CE3"/>
    <w:rsid w:val="001B0FFF"/>
    <w:rsid w:val="001B130A"/>
    <w:rsid w:val="001B1481"/>
    <w:rsid w:val="001B239B"/>
    <w:rsid w:val="001B327D"/>
    <w:rsid w:val="001B3E6D"/>
    <w:rsid w:val="001B413C"/>
    <w:rsid w:val="001B4A1D"/>
    <w:rsid w:val="001B4E54"/>
    <w:rsid w:val="001B5CAD"/>
    <w:rsid w:val="001B601A"/>
    <w:rsid w:val="001B62A5"/>
    <w:rsid w:val="001B63BD"/>
    <w:rsid w:val="001B672A"/>
    <w:rsid w:val="001B6ADB"/>
    <w:rsid w:val="001B7F8F"/>
    <w:rsid w:val="001C0A23"/>
    <w:rsid w:val="001C2FA2"/>
    <w:rsid w:val="001C4888"/>
    <w:rsid w:val="001C4D1A"/>
    <w:rsid w:val="001C57F0"/>
    <w:rsid w:val="001C59FA"/>
    <w:rsid w:val="001C60D8"/>
    <w:rsid w:val="001C79A4"/>
    <w:rsid w:val="001D0791"/>
    <w:rsid w:val="001D114D"/>
    <w:rsid w:val="001D21D6"/>
    <w:rsid w:val="001D37C4"/>
    <w:rsid w:val="001D39FB"/>
    <w:rsid w:val="001D41E0"/>
    <w:rsid w:val="001D5BEC"/>
    <w:rsid w:val="001D724A"/>
    <w:rsid w:val="001D7B4D"/>
    <w:rsid w:val="001D7CDB"/>
    <w:rsid w:val="001D7DF9"/>
    <w:rsid w:val="001E003E"/>
    <w:rsid w:val="001E0EAC"/>
    <w:rsid w:val="001E0FC1"/>
    <w:rsid w:val="001E1232"/>
    <w:rsid w:val="001E2F3E"/>
    <w:rsid w:val="001E3F84"/>
    <w:rsid w:val="001E4C2C"/>
    <w:rsid w:val="001E5CAC"/>
    <w:rsid w:val="001E628C"/>
    <w:rsid w:val="001E6460"/>
    <w:rsid w:val="001F070D"/>
    <w:rsid w:val="001F0816"/>
    <w:rsid w:val="001F0D32"/>
    <w:rsid w:val="001F0D5D"/>
    <w:rsid w:val="001F152F"/>
    <w:rsid w:val="001F2899"/>
    <w:rsid w:val="001F2C34"/>
    <w:rsid w:val="001F454D"/>
    <w:rsid w:val="001F45D0"/>
    <w:rsid w:val="001F4F65"/>
    <w:rsid w:val="001F4FB0"/>
    <w:rsid w:val="001F5759"/>
    <w:rsid w:val="001F64FF"/>
    <w:rsid w:val="001F68B1"/>
    <w:rsid w:val="001F6DF7"/>
    <w:rsid w:val="001F6E21"/>
    <w:rsid w:val="001F7D63"/>
    <w:rsid w:val="00200C92"/>
    <w:rsid w:val="00201894"/>
    <w:rsid w:val="00203473"/>
    <w:rsid w:val="002037AB"/>
    <w:rsid w:val="00203A87"/>
    <w:rsid w:val="00204168"/>
    <w:rsid w:val="00205DD4"/>
    <w:rsid w:val="00210954"/>
    <w:rsid w:val="00211F0D"/>
    <w:rsid w:val="00212B26"/>
    <w:rsid w:val="00213CBB"/>
    <w:rsid w:val="002141DD"/>
    <w:rsid w:val="00214F3F"/>
    <w:rsid w:val="00215C14"/>
    <w:rsid w:val="00215E3F"/>
    <w:rsid w:val="00216232"/>
    <w:rsid w:val="00216CD4"/>
    <w:rsid w:val="00217986"/>
    <w:rsid w:val="00217B00"/>
    <w:rsid w:val="00220283"/>
    <w:rsid w:val="002222F8"/>
    <w:rsid w:val="00223A41"/>
    <w:rsid w:val="00223C25"/>
    <w:rsid w:val="002247EB"/>
    <w:rsid w:val="00224EF9"/>
    <w:rsid w:val="00226A2C"/>
    <w:rsid w:val="002276DD"/>
    <w:rsid w:val="00227C8D"/>
    <w:rsid w:val="00230397"/>
    <w:rsid w:val="00230588"/>
    <w:rsid w:val="002307B4"/>
    <w:rsid w:val="0023200E"/>
    <w:rsid w:val="002325B9"/>
    <w:rsid w:val="002325BC"/>
    <w:rsid w:val="002327D9"/>
    <w:rsid w:val="00232C33"/>
    <w:rsid w:val="00232D91"/>
    <w:rsid w:val="00232E4A"/>
    <w:rsid w:val="00234990"/>
    <w:rsid w:val="00235164"/>
    <w:rsid w:val="002354DF"/>
    <w:rsid w:val="00235931"/>
    <w:rsid w:val="002364A2"/>
    <w:rsid w:val="0023664B"/>
    <w:rsid w:val="00237056"/>
    <w:rsid w:val="0023719C"/>
    <w:rsid w:val="00237A65"/>
    <w:rsid w:val="00237E2C"/>
    <w:rsid w:val="002405C5"/>
    <w:rsid w:val="002415D3"/>
    <w:rsid w:val="002417EF"/>
    <w:rsid w:val="00241B90"/>
    <w:rsid w:val="0024212A"/>
    <w:rsid w:val="00242176"/>
    <w:rsid w:val="00243735"/>
    <w:rsid w:val="00244FE4"/>
    <w:rsid w:val="00245950"/>
    <w:rsid w:val="00245E01"/>
    <w:rsid w:val="00245F9D"/>
    <w:rsid w:val="00246996"/>
    <w:rsid w:val="00247528"/>
    <w:rsid w:val="002502ED"/>
    <w:rsid w:val="00250993"/>
    <w:rsid w:val="00250B82"/>
    <w:rsid w:val="00251A98"/>
    <w:rsid w:val="00253AE5"/>
    <w:rsid w:val="00253F24"/>
    <w:rsid w:val="00254A7B"/>
    <w:rsid w:val="0025602E"/>
    <w:rsid w:val="00256B07"/>
    <w:rsid w:val="002611E8"/>
    <w:rsid w:val="00261296"/>
    <w:rsid w:val="002629CC"/>
    <w:rsid w:val="002630D5"/>
    <w:rsid w:val="00263E75"/>
    <w:rsid w:val="00263FAE"/>
    <w:rsid w:val="00263FB1"/>
    <w:rsid w:val="00264189"/>
    <w:rsid w:val="00265393"/>
    <w:rsid w:val="00265BD5"/>
    <w:rsid w:val="0026628A"/>
    <w:rsid w:val="00267026"/>
    <w:rsid w:val="00270004"/>
    <w:rsid w:val="002710D2"/>
    <w:rsid w:val="002721BC"/>
    <w:rsid w:val="0027265A"/>
    <w:rsid w:val="0027293C"/>
    <w:rsid w:val="00272EBE"/>
    <w:rsid w:val="00273188"/>
    <w:rsid w:val="00273AD0"/>
    <w:rsid w:val="00274215"/>
    <w:rsid w:val="00274A88"/>
    <w:rsid w:val="00274B21"/>
    <w:rsid w:val="002750C2"/>
    <w:rsid w:val="0027550F"/>
    <w:rsid w:val="002756DC"/>
    <w:rsid w:val="00276A49"/>
    <w:rsid w:val="00276AAF"/>
    <w:rsid w:val="00276C68"/>
    <w:rsid w:val="00276EBA"/>
    <w:rsid w:val="00277119"/>
    <w:rsid w:val="002804B1"/>
    <w:rsid w:val="00280C03"/>
    <w:rsid w:val="00280EE1"/>
    <w:rsid w:val="002810D8"/>
    <w:rsid w:val="00281B97"/>
    <w:rsid w:val="00282209"/>
    <w:rsid w:val="00282984"/>
    <w:rsid w:val="0028361A"/>
    <w:rsid w:val="00284B68"/>
    <w:rsid w:val="00284CD5"/>
    <w:rsid w:val="00284D5F"/>
    <w:rsid w:val="00285D2D"/>
    <w:rsid w:val="00286523"/>
    <w:rsid w:val="0028666A"/>
    <w:rsid w:val="00286783"/>
    <w:rsid w:val="00286E3F"/>
    <w:rsid w:val="0028734D"/>
    <w:rsid w:val="00290806"/>
    <w:rsid w:val="00290C72"/>
    <w:rsid w:val="00291C18"/>
    <w:rsid w:val="002924B8"/>
    <w:rsid w:val="0029306D"/>
    <w:rsid w:val="0029340B"/>
    <w:rsid w:val="00294057"/>
    <w:rsid w:val="00294069"/>
    <w:rsid w:val="00295DC6"/>
    <w:rsid w:val="002964E8"/>
    <w:rsid w:val="00296CEA"/>
    <w:rsid w:val="002973A0"/>
    <w:rsid w:val="00297DE1"/>
    <w:rsid w:val="002A0262"/>
    <w:rsid w:val="002A15BB"/>
    <w:rsid w:val="002A1A32"/>
    <w:rsid w:val="002A1C2D"/>
    <w:rsid w:val="002A2551"/>
    <w:rsid w:val="002A29C3"/>
    <w:rsid w:val="002A29FF"/>
    <w:rsid w:val="002A301C"/>
    <w:rsid w:val="002A306A"/>
    <w:rsid w:val="002A331C"/>
    <w:rsid w:val="002A4762"/>
    <w:rsid w:val="002A4879"/>
    <w:rsid w:val="002A569D"/>
    <w:rsid w:val="002A5D5D"/>
    <w:rsid w:val="002A6153"/>
    <w:rsid w:val="002A6966"/>
    <w:rsid w:val="002B0762"/>
    <w:rsid w:val="002B09D7"/>
    <w:rsid w:val="002B0A77"/>
    <w:rsid w:val="002B120A"/>
    <w:rsid w:val="002B1810"/>
    <w:rsid w:val="002B1F87"/>
    <w:rsid w:val="002B213D"/>
    <w:rsid w:val="002B25D3"/>
    <w:rsid w:val="002B30BF"/>
    <w:rsid w:val="002B3737"/>
    <w:rsid w:val="002B3AB2"/>
    <w:rsid w:val="002B5425"/>
    <w:rsid w:val="002B6757"/>
    <w:rsid w:val="002B71A2"/>
    <w:rsid w:val="002B7B5B"/>
    <w:rsid w:val="002B7FA9"/>
    <w:rsid w:val="002C02FD"/>
    <w:rsid w:val="002C0F31"/>
    <w:rsid w:val="002C1403"/>
    <w:rsid w:val="002C1725"/>
    <w:rsid w:val="002C1BAF"/>
    <w:rsid w:val="002C22B4"/>
    <w:rsid w:val="002C2BA6"/>
    <w:rsid w:val="002C32F6"/>
    <w:rsid w:val="002C33BF"/>
    <w:rsid w:val="002C5BCE"/>
    <w:rsid w:val="002C7515"/>
    <w:rsid w:val="002C7B4B"/>
    <w:rsid w:val="002C7FEC"/>
    <w:rsid w:val="002D0820"/>
    <w:rsid w:val="002D0955"/>
    <w:rsid w:val="002D0A5C"/>
    <w:rsid w:val="002D1208"/>
    <w:rsid w:val="002D1406"/>
    <w:rsid w:val="002D1C7C"/>
    <w:rsid w:val="002D205A"/>
    <w:rsid w:val="002D2EF0"/>
    <w:rsid w:val="002D3031"/>
    <w:rsid w:val="002D30DB"/>
    <w:rsid w:val="002D3A18"/>
    <w:rsid w:val="002D3E39"/>
    <w:rsid w:val="002D4663"/>
    <w:rsid w:val="002D49BB"/>
    <w:rsid w:val="002D50D2"/>
    <w:rsid w:val="002D5324"/>
    <w:rsid w:val="002D570E"/>
    <w:rsid w:val="002D5C02"/>
    <w:rsid w:val="002D6F21"/>
    <w:rsid w:val="002D725F"/>
    <w:rsid w:val="002D79F2"/>
    <w:rsid w:val="002D7C9B"/>
    <w:rsid w:val="002E0B62"/>
    <w:rsid w:val="002E2768"/>
    <w:rsid w:val="002E2C22"/>
    <w:rsid w:val="002E2ECD"/>
    <w:rsid w:val="002E32F1"/>
    <w:rsid w:val="002E3336"/>
    <w:rsid w:val="002E36C0"/>
    <w:rsid w:val="002E36DF"/>
    <w:rsid w:val="002E4551"/>
    <w:rsid w:val="002E4CD6"/>
    <w:rsid w:val="002E5923"/>
    <w:rsid w:val="002E5C83"/>
    <w:rsid w:val="002E6879"/>
    <w:rsid w:val="002F07F5"/>
    <w:rsid w:val="002F1E96"/>
    <w:rsid w:val="002F260E"/>
    <w:rsid w:val="002F2A66"/>
    <w:rsid w:val="002F4A4F"/>
    <w:rsid w:val="002F5032"/>
    <w:rsid w:val="002F6F24"/>
    <w:rsid w:val="002F70FE"/>
    <w:rsid w:val="00300B25"/>
    <w:rsid w:val="003013B9"/>
    <w:rsid w:val="003020A7"/>
    <w:rsid w:val="003020CD"/>
    <w:rsid w:val="00302D18"/>
    <w:rsid w:val="00302DD8"/>
    <w:rsid w:val="00304C32"/>
    <w:rsid w:val="00304E3D"/>
    <w:rsid w:val="0030550A"/>
    <w:rsid w:val="00305653"/>
    <w:rsid w:val="00305908"/>
    <w:rsid w:val="00307B2C"/>
    <w:rsid w:val="0031089A"/>
    <w:rsid w:val="003113CB"/>
    <w:rsid w:val="00311589"/>
    <w:rsid w:val="00311E27"/>
    <w:rsid w:val="0031226D"/>
    <w:rsid w:val="00312BE2"/>
    <w:rsid w:val="00313514"/>
    <w:rsid w:val="00313597"/>
    <w:rsid w:val="00313D2C"/>
    <w:rsid w:val="00316A0A"/>
    <w:rsid w:val="003174C8"/>
    <w:rsid w:val="00317FC1"/>
    <w:rsid w:val="00320C8B"/>
    <w:rsid w:val="003221A1"/>
    <w:rsid w:val="00322F88"/>
    <w:rsid w:val="00323ECD"/>
    <w:rsid w:val="00324DC2"/>
    <w:rsid w:val="003260FC"/>
    <w:rsid w:val="00326744"/>
    <w:rsid w:val="0032776D"/>
    <w:rsid w:val="00330095"/>
    <w:rsid w:val="00330859"/>
    <w:rsid w:val="0033114E"/>
    <w:rsid w:val="00331F43"/>
    <w:rsid w:val="003333DB"/>
    <w:rsid w:val="00334331"/>
    <w:rsid w:val="003347BF"/>
    <w:rsid w:val="003357CA"/>
    <w:rsid w:val="00335B38"/>
    <w:rsid w:val="00335F15"/>
    <w:rsid w:val="003362DA"/>
    <w:rsid w:val="003369DB"/>
    <w:rsid w:val="00337957"/>
    <w:rsid w:val="00337CEB"/>
    <w:rsid w:val="00340B4F"/>
    <w:rsid w:val="00341472"/>
    <w:rsid w:val="00341671"/>
    <w:rsid w:val="00341F4E"/>
    <w:rsid w:val="0034208F"/>
    <w:rsid w:val="003421F8"/>
    <w:rsid w:val="003436FB"/>
    <w:rsid w:val="003441BF"/>
    <w:rsid w:val="00344935"/>
    <w:rsid w:val="00346390"/>
    <w:rsid w:val="0034672D"/>
    <w:rsid w:val="00346782"/>
    <w:rsid w:val="003468DF"/>
    <w:rsid w:val="00346B1A"/>
    <w:rsid w:val="00347D7B"/>
    <w:rsid w:val="00347DDB"/>
    <w:rsid w:val="0035037E"/>
    <w:rsid w:val="0035119D"/>
    <w:rsid w:val="003513E6"/>
    <w:rsid w:val="003532DC"/>
    <w:rsid w:val="00354462"/>
    <w:rsid w:val="00354F35"/>
    <w:rsid w:val="00355C3E"/>
    <w:rsid w:val="00356679"/>
    <w:rsid w:val="00357D1B"/>
    <w:rsid w:val="00360097"/>
    <w:rsid w:val="00360201"/>
    <w:rsid w:val="00360BD2"/>
    <w:rsid w:val="00361506"/>
    <w:rsid w:val="003618B6"/>
    <w:rsid w:val="0036283F"/>
    <w:rsid w:val="00364D8B"/>
    <w:rsid w:val="0036507E"/>
    <w:rsid w:val="003651D6"/>
    <w:rsid w:val="0036559F"/>
    <w:rsid w:val="0036566D"/>
    <w:rsid w:val="00365A3C"/>
    <w:rsid w:val="0036615E"/>
    <w:rsid w:val="003661E7"/>
    <w:rsid w:val="00367CF9"/>
    <w:rsid w:val="00370243"/>
    <w:rsid w:val="00371A3D"/>
    <w:rsid w:val="003720B2"/>
    <w:rsid w:val="00373309"/>
    <w:rsid w:val="003740F2"/>
    <w:rsid w:val="0037432B"/>
    <w:rsid w:val="00375B00"/>
    <w:rsid w:val="00376118"/>
    <w:rsid w:val="003764D2"/>
    <w:rsid w:val="003766CB"/>
    <w:rsid w:val="003767A4"/>
    <w:rsid w:val="00376A92"/>
    <w:rsid w:val="00380D06"/>
    <w:rsid w:val="00382838"/>
    <w:rsid w:val="00382D28"/>
    <w:rsid w:val="0038321C"/>
    <w:rsid w:val="003834DD"/>
    <w:rsid w:val="00383BCE"/>
    <w:rsid w:val="00384096"/>
    <w:rsid w:val="00384C77"/>
    <w:rsid w:val="00385E2D"/>
    <w:rsid w:val="00386BB3"/>
    <w:rsid w:val="003876A5"/>
    <w:rsid w:val="00390149"/>
    <w:rsid w:val="00390239"/>
    <w:rsid w:val="00390F1A"/>
    <w:rsid w:val="00391519"/>
    <w:rsid w:val="003919E3"/>
    <w:rsid w:val="00391BB1"/>
    <w:rsid w:val="0039209D"/>
    <w:rsid w:val="00392544"/>
    <w:rsid w:val="00392BED"/>
    <w:rsid w:val="00393332"/>
    <w:rsid w:val="00393798"/>
    <w:rsid w:val="003937B0"/>
    <w:rsid w:val="00394040"/>
    <w:rsid w:val="00396984"/>
    <w:rsid w:val="003972D0"/>
    <w:rsid w:val="003A0466"/>
    <w:rsid w:val="003A0974"/>
    <w:rsid w:val="003A11F9"/>
    <w:rsid w:val="003A133D"/>
    <w:rsid w:val="003A1817"/>
    <w:rsid w:val="003A1CBA"/>
    <w:rsid w:val="003A1CFD"/>
    <w:rsid w:val="003A39C7"/>
    <w:rsid w:val="003A3C89"/>
    <w:rsid w:val="003A507D"/>
    <w:rsid w:val="003A5091"/>
    <w:rsid w:val="003A5E23"/>
    <w:rsid w:val="003A6710"/>
    <w:rsid w:val="003A7061"/>
    <w:rsid w:val="003A7902"/>
    <w:rsid w:val="003A7B0C"/>
    <w:rsid w:val="003B0306"/>
    <w:rsid w:val="003B04A3"/>
    <w:rsid w:val="003B0BFC"/>
    <w:rsid w:val="003B1066"/>
    <w:rsid w:val="003B1BC1"/>
    <w:rsid w:val="003B2156"/>
    <w:rsid w:val="003B23A6"/>
    <w:rsid w:val="003B2CC0"/>
    <w:rsid w:val="003B39A4"/>
    <w:rsid w:val="003B39F8"/>
    <w:rsid w:val="003B3BF8"/>
    <w:rsid w:val="003B45BF"/>
    <w:rsid w:val="003B5085"/>
    <w:rsid w:val="003B57EB"/>
    <w:rsid w:val="003B597C"/>
    <w:rsid w:val="003B5E63"/>
    <w:rsid w:val="003B6005"/>
    <w:rsid w:val="003B60AE"/>
    <w:rsid w:val="003B6F2F"/>
    <w:rsid w:val="003B7AE1"/>
    <w:rsid w:val="003B7D83"/>
    <w:rsid w:val="003C070A"/>
    <w:rsid w:val="003C28D3"/>
    <w:rsid w:val="003C4135"/>
    <w:rsid w:val="003C4209"/>
    <w:rsid w:val="003C45B8"/>
    <w:rsid w:val="003C481E"/>
    <w:rsid w:val="003C4D60"/>
    <w:rsid w:val="003C5297"/>
    <w:rsid w:val="003C53EF"/>
    <w:rsid w:val="003C55D4"/>
    <w:rsid w:val="003C5991"/>
    <w:rsid w:val="003C6D2F"/>
    <w:rsid w:val="003C70FD"/>
    <w:rsid w:val="003C778F"/>
    <w:rsid w:val="003D073D"/>
    <w:rsid w:val="003D0F43"/>
    <w:rsid w:val="003D1121"/>
    <w:rsid w:val="003D1887"/>
    <w:rsid w:val="003D2328"/>
    <w:rsid w:val="003D2394"/>
    <w:rsid w:val="003D24F9"/>
    <w:rsid w:val="003D2C83"/>
    <w:rsid w:val="003D3290"/>
    <w:rsid w:val="003D3461"/>
    <w:rsid w:val="003D4378"/>
    <w:rsid w:val="003D49B0"/>
    <w:rsid w:val="003D5902"/>
    <w:rsid w:val="003D5CC0"/>
    <w:rsid w:val="003D6878"/>
    <w:rsid w:val="003D6CF5"/>
    <w:rsid w:val="003E02EF"/>
    <w:rsid w:val="003E035A"/>
    <w:rsid w:val="003E100B"/>
    <w:rsid w:val="003E1691"/>
    <w:rsid w:val="003E1D39"/>
    <w:rsid w:val="003E1D77"/>
    <w:rsid w:val="003E221C"/>
    <w:rsid w:val="003E38FA"/>
    <w:rsid w:val="003E419C"/>
    <w:rsid w:val="003E45C5"/>
    <w:rsid w:val="003E4E59"/>
    <w:rsid w:val="003E569B"/>
    <w:rsid w:val="003E57F9"/>
    <w:rsid w:val="003E5812"/>
    <w:rsid w:val="003E6297"/>
    <w:rsid w:val="003E64BD"/>
    <w:rsid w:val="003E661E"/>
    <w:rsid w:val="003E6799"/>
    <w:rsid w:val="003E773A"/>
    <w:rsid w:val="003E785E"/>
    <w:rsid w:val="003E79D6"/>
    <w:rsid w:val="003E7BBD"/>
    <w:rsid w:val="003F099D"/>
    <w:rsid w:val="003F1671"/>
    <w:rsid w:val="003F1911"/>
    <w:rsid w:val="003F1CB9"/>
    <w:rsid w:val="003F2159"/>
    <w:rsid w:val="003F255B"/>
    <w:rsid w:val="003F2635"/>
    <w:rsid w:val="003F28DE"/>
    <w:rsid w:val="003F2C02"/>
    <w:rsid w:val="003F30BC"/>
    <w:rsid w:val="003F372F"/>
    <w:rsid w:val="003F53DA"/>
    <w:rsid w:val="003F5450"/>
    <w:rsid w:val="003F54AB"/>
    <w:rsid w:val="003F5577"/>
    <w:rsid w:val="003F6310"/>
    <w:rsid w:val="003F6333"/>
    <w:rsid w:val="003F6622"/>
    <w:rsid w:val="00400840"/>
    <w:rsid w:val="00400A46"/>
    <w:rsid w:val="00400B12"/>
    <w:rsid w:val="00401586"/>
    <w:rsid w:val="00401A57"/>
    <w:rsid w:val="00401B56"/>
    <w:rsid w:val="00402578"/>
    <w:rsid w:val="00403352"/>
    <w:rsid w:val="00403455"/>
    <w:rsid w:val="00403459"/>
    <w:rsid w:val="004034A3"/>
    <w:rsid w:val="004039B3"/>
    <w:rsid w:val="00405280"/>
    <w:rsid w:val="00406481"/>
    <w:rsid w:val="00406C2D"/>
    <w:rsid w:val="00406D5A"/>
    <w:rsid w:val="00407F86"/>
    <w:rsid w:val="00410032"/>
    <w:rsid w:val="0041003C"/>
    <w:rsid w:val="0041162C"/>
    <w:rsid w:val="00411653"/>
    <w:rsid w:val="00411705"/>
    <w:rsid w:val="00413AE0"/>
    <w:rsid w:val="00414502"/>
    <w:rsid w:val="00414B41"/>
    <w:rsid w:val="00415651"/>
    <w:rsid w:val="00415AA9"/>
    <w:rsid w:val="00415ED4"/>
    <w:rsid w:val="00420495"/>
    <w:rsid w:val="00420674"/>
    <w:rsid w:val="0042086A"/>
    <w:rsid w:val="00420926"/>
    <w:rsid w:val="00420CFD"/>
    <w:rsid w:val="00420D4C"/>
    <w:rsid w:val="00421306"/>
    <w:rsid w:val="004223D7"/>
    <w:rsid w:val="00422475"/>
    <w:rsid w:val="0042291E"/>
    <w:rsid w:val="00422CEB"/>
    <w:rsid w:val="0042497A"/>
    <w:rsid w:val="00424D4E"/>
    <w:rsid w:val="004269FA"/>
    <w:rsid w:val="00427070"/>
    <w:rsid w:val="004273AE"/>
    <w:rsid w:val="00427571"/>
    <w:rsid w:val="004305B8"/>
    <w:rsid w:val="00431B51"/>
    <w:rsid w:val="0043261A"/>
    <w:rsid w:val="00433150"/>
    <w:rsid w:val="00434069"/>
    <w:rsid w:val="00434AA6"/>
    <w:rsid w:val="00434D23"/>
    <w:rsid w:val="00434E02"/>
    <w:rsid w:val="00435574"/>
    <w:rsid w:val="00436CE8"/>
    <w:rsid w:val="0043715A"/>
    <w:rsid w:val="004374F5"/>
    <w:rsid w:val="0043774F"/>
    <w:rsid w:val="00437F2D"/>
    <w:rsid w:val="0044034A"/>
    <w:rsid w:val="00440881"/>
    <w:rsid w:val="00440F52"/>
    <w:rsid w:val="00441274"/>
    <w:rsid w:val="004418E6"/>
    <w:rsid w:val="004422A9"/>
    <w:rsid w:val="0044259F"/>
    <w:rsid w:val="004425E9"/>
    <w:rsid w:val="00442759"/>
    <w:rsid w:val="00442B2E"/>
    <w:rsid w:val="004435B0"/>
    <w:rsid w:val="004443B4"/>
    <w:rsid w:val="00444585"/>
    <w:rsid w:val="00446173"/>
    <w:rsid w:val="00446765"/>
    <w:rsid w:val="00446B27"/>
    <w:rsid w:val="00450E51"/>
    <w:rsid w:val="0045396D"/>
    <w:rsid w:val="004542EA"/>
    <w:rsid w:val="00454596"/>
    <w:rsid w:val="00454693"/>
    <w:rsid w:val="0045505C"/>
    <w:rsid w:val="00455141"/>
    <w:rsid w:val="004561BD"/>
    <w:rsid w:val="004570A5"/>
    <w:rsid w:val="004574D7"/>
    <w:rsid w:val="00457B5E"/>
    <w:rsid w:val="00461555"/>
    <w:rsid w:val="00464B64"/>
    <w:rsid w:val="00465CE4"/>
    <w:rsid w:val="00470675"/>
    <w:rsid w:val="004722E4"/>
    <w:rsid w:val="0047264B"/>
    <w:rsid w:val="004728E8"/>
    <w:rsid w:val="004729A4"/>
    <w:rsid w:val="00473F0F"/>
    <w:rsid w:val="00473F61"/>
    <w:rsid w:val="00475276"/>
    <w:rsid w:val="004758A0"/>
    <w:rsid w:val="00475A68"/>
    <w:rsid w:val="00477090"/>
    <w:rsid w:val="00480096"/>
    <w:rsid w:val="004808A4"/>
    <w:rsid w:val="00481A86"/>
    <w:rsid w:val="00482FB6"/>
    <w:rsid w:val="00483CC9"/>
    <w:rsid w:val="00483D01"/>
    <w:rsid w:val="00484302"/>
    <w:rsid w:val="00484C31"/>
    <w:rsid w:val="004855AB"/>
    <w:rsid w:val="004867B7"/>
    <w:rsid w:val="004867BC"/>
    <w:rsid w:val="004868E4"/>
    <w:rsid w:val="00486BF1"/>
    <w:rsid w:val="004870ED"/>
    <w:rsid w:val="00487B83"/>
    <w:rsid w:val="00490330"/>
    <w:rsid w:val="0049050D"/>
    <w:rsid w:val="00490BEA"/>
    <w:rsid w:val="004914A5"/>
    <w:rsid w:val="00491697"/>
    <w:rsid w:val="00491F75"/>
    <w:rsid w:val="0049211D"/>
    <w:rsid w:val="00493B3A"/>
    <w:rsid w:val="004945D2"/>
    <w:rsid w:val="00494AE5"/>
    <w:rsid w:val="00495558"/>
    <w:rsid w:val="004963F2"/>
    <w:rsid w:val="00496A68"/>
    <w:rsid w:val="0049706A"/>
    <w:rsid w:val="004A18DA"/>
    <w:rsid w:val="004A1EEB"/>
    <w:rsid w:val="004A22C9"/>
    <w:rsid w:val="004A435E"/>
    <w:rsid w:val="004A4887"/>
    <w:rsid w:val="004A5970"/>
    <w:rsid w:val="004A6218"/>
    <w:rsid w:val="004A6503"/>
    <w:rsid w:val="004A659C"/>
    <w:rsid w:val="004A7AEC"/>
    <w:rsid w:val="004B1D22"/>
    <w:rsid w:val="004B21F9"/>
    <w:rsid w:val="004B387A"/>
    <w:rsid w:val="004B46F6"/>
    <w:rsid w:val="004B4904"/>
    <w:rsid w:val="004B5A20"/>
    <w:rsid w:val="004B5EB9"/>
    <w:rsid w:val="004B6554"/>
    <w:rsid w:val="004B70BB"/>
    <w:rsid w:val="004B7126"/>
    <w:rsid w:val="004B7487"/>
    <w:rsid w:val="004B789D"/>
    <w:rsid w:val="004B7EEC"/>
    <w:rsid w:val="004C02C6"/>
    <w:rsid w:val="004C0CD8"/>
    <w:rsid w:val="004C1278"/>
    <w:rsid w:val="004C12F2"/>
    <w:rsid w:val="004C13D2"/>
    <w:rsid w:val="004C2784"/>
    <w:rsid w:val="004C2803"/>
    <w:rsid w:val="004C2AEF"/>
    <w:rsid w:val="004C3106"/>
    <w:rsid w:val="004C3AC0"/>
    <w:rsid w:val="004C4071"/>
    <w:rsid w:val="004C43E4"/>
    <w:rsid w:val="004C48F3"/>
    <w:rsid w:val="004C50A1"/>
    <w:rsid w:val="004C55F6"/>
    <w:rsid w:val="004C56D0"/>
    <w:rsid w:val="004C756F"/>
    <w:rsid w:val="004D0829"/>
    <w:rsid w:val="004D21A8"/>
    <w:rsid w:val="004D3387"/>
    <w:rsid w:val="004D3E8A"/>
    <w:rsid w:val="004D4A84"/>
    <w:rsid w:val="004D4C04"/>
    <w:rsid w:val="004D4C2D"/>
    <w:rsid w:val="004D4E1C"/>
    <w:rsid w:val="004D529A"/>
    <w:rsid w:val="004D5626"/>
    <w:rsid w:val="004D6AF1"/>
    <w:rsid w:val="004D6DDE"/>
    <w:rsid w:val="004D73E3"/>
    <w:rsid w:val="004D7705"/>
    <w:rsid w:val="004D7A15"/>
    <w:rsid w:val="004E0975"/>
    <w:rsid w:val="004E16D9"/>
    <w:rsid w:val="004E1B98"/>
    <w:rsid w:val="004E2CD5"/>
    <w:rsid w:val="004E2F9D"/>
    <w:rsid w:val="004E3292"/>
    <w:rsid w:val="004E46F8"/>
    <w:rsid w:val="004E48F0"/>
    <w:rsid w:val="004E4B73"/>
    <w:rsid w:val="004E4D26"/>
    <w:rsid w:val="004E58CD"/>
    <w:rsid w:val="004E593E"/>
    <w:rsid w:val="004E6A03"/>
    <w:rsid w:val="004E7B5D"/>
    <w:rsid w:val="004E7E38"/>
    <w:rsid w:val="004F06DB"/>
    <w:rsid w:val="004F1500"/>
    <w:rsid w:val="004F1EDB"/>
    <w:rsid w:val="004F36EB"/>
    <w:rsid w:val="004F3922"/>
    <w:rsid w:val="004F395F"/>
    <w:rsid w:val="004F4297"/>
    <w:rsid w:val="004F4318"/>
    <w:rsid w:val="004F4578"/>
    <w:rsid w:val="004F4D65"/>
    <w:rsid w:val="004F6352"/>
    <w:rsid w:val="004F6665"/>
    <w:rsid w:val="004F698D"/>
    <w:rsid w:val="004F7195"/>
    <w:rsid w:val="004F7489"/>
    <w:rsid w:val="004F7C2F"/>
    <w:rsid w:val="004F7F52"/>
    <w:rsid w:val="00500457"/>
    <w:rsid w:val="00500BFD"/>
    <w:rsid w:val="00501987"/>
    <w:rsid w:val="00501BB2"/>
    <w:rsid w:val="00502C17"/>
    <w:rsid w:val="0050330A"/>
    <w:rsid w:val="00504487"/>
    <w:rsid w:val="00504AC3"/>
    <w:rsid w:val="005052B2"/>
    <w:rsid w:val="00505481"/>
    <w:rsid w:val="0050650F"/>
    <w:rsid w:val="00510B8F"/>
    <w:rsid w:val="00512E51"/>
    <w:rsid w:val="005134CA"/>
    <w:rsid w:val="00513B5F"/>
    <w:rsid w:val="00514CBE"/>
    <w:rsid w:val="0051511D"/>
    <w:rsid w:val="00515587"/>
    <w:rsid w:val="0051608F"/>
    <w:rsid w:val="00516B52"/>
    <w:rsid w:val="00516F90"/>
    <w:rsid w:val="00517142"/>
    <w:rsid w:val="005178DB"/>
    <w:rsid w:val="00520B44"/>
    <w:rsid w:val="00521062"/>
    <w:rsid w:val="005213D9"/>
    <w:rsid w:val="00522082"/>
    <w:rsid w:val="0052221A"/>
    <w:rsid w:val="00522ADA"/>
    <w:rsid w:val="00523C36"/>
    <w:rsid w:val="005249CE"/>
    <w:rsid w:val="00524A36"/>
    <w:rsid w:val="00524E67"/>
    <w:rsid w:val="0052502F"/>
    <w:rsid w:val="005273A3"/>
    <w:rsid w:val="005274FE"/>
    <w:rsid w:val="00527AE3"/>
    <w:rsid w:val="005309A2"/>
    <w:rsid w:val="00532131"/>
    <w:rsid w:val="005332B2"/>
    <w:rsid w:val="00533879"/>
    <w:rsid w:val="005338DB"/>
    <w:rsid w:val="00534069"/>
    <w:rsid w:val="00534988"/>
    <w:rsid w:val="00534A96"/>
    <w:rsid w:val="005351D2"/>
    <w:rsid w:val="00535918"/>
    <w:rsid w:val="005362AF"/>
    <w:rsid w:val="005366BB"/>
    <w:rsid w:val="00537B0D"/>
    <w:rsid w:val="00541613"/>
    <w:rsid w:val="00541B23"/>
    <w:rsid w:val="005426CE"/>
    <w:rsid w:val="0054340E"/>
    <w:rsid w:val="0054373A"/>
    <w:rsid w:val="00543CE7"/>
    <w:rsid w:val="00547352"/>
    <w:rsid w:val="005475F1"/>
    <w:rsid w:val="00550D12"/>
    <w:rsid w:val="00550D64"/>
    <w:rsid w:val="00551289"/>
    <w:rsid w:val="00551588"/>
    <w:rsid w:val="00551731"/>
    <w:rsid w:val="0055215E"/>
    <w:rsid w:val="005535BC"/>
    <w:rsid w:val="005536E1"/>
    <w:rsid w:val="0055376B"/>
    <w:rsid w:val="0055566F"/>
    <w:rsid w:val="00555E97"/>
    <w:rsid w:val="00556A38"/>
    <w:rsid w:val="00556E91"/>
    <w:rsid w:val="00557561"/>
    <w:rsid w:val="005576FF"/>
    <w:rsid w:val="00560D0F"/>
    <w:rsid w:val="005616B9"/>
    <w:rsid w:val="00562591"/>
    <w:rsid w:val="005627C6"/>
    <w:rsid w:val="00562A47"/>
    <w:rsid w:val="00562EC5"/>
    <w:rsid w:val="005634E6"/>
    <w:rsid w:val="005637EF"/>
    <w:rsid w:val="00564A06"/>
    <w:rsid w:val="0056525B"/>
    <w:rsid w:val="005652ED"/>
    <w:rsid w:val="00566002"/>
    <w:rsid w:val="005675A7"/>
    <w:rsid w:val="00567C7E"/>
    <w:rsid w:val="00567E5F"/>
    <w:rsid w:val="00567FEE"/>
    <w:rsid w:val="0057093F"/>
    <w:rsid w:val="00571B37"/>
    <w:rsid w:val="00571CC6"/>
    <w:rsid w:val="0057344A"/>
    <w:rsid w:val="00573453"/>
    <w:rsid w:val="00573506"/>
    <w:rsid w:val="005737F9"/>
    <w:rsid w:val="00573D21"/>
    <w:rsid w:val="00575ADA"/>
    <w:rsid w:val="00575CB6"/>
    <w:rsid w:val="005771A0"/>
    <w:rsid w:val="005776EE"/>
    <w:rsid w:val="00577BA7"/>
    <w:rsid w:val="005803CD"/>
    <w:rsid w:val="0058085A"/>
    <w:rsid w:val="00580C73"/>
    <w:rsid w:val="00580EC2"/>
    <w:rsid w:val="00581977"/>
    <w:rsid w:val="0058275E"/>
    <w:rsid w:val="00582B5F"/>
    <w:rsid w:val="00583529"/>
    <w:rsid w:val="005838EB"/>
    <w:rsid w:val="0058422F"/>
    <w:rsid w:val="00584235"/>
    <w:rsid w:val="005849D8"/>
    <w:rsid w:val="00585303"/>
    <w:rsid w:val="0058538A"/>
    <w:rsid w:val="005858CF"/>
    <w:rsid w:val="00585A26"/>
    <w:rsid w:val="00585BCE"/>
    <w:rsid w:val="00586FB3"/>
    <w:rsid w:val="00590111"/>
    <w:rsid w:val="0059081C"/>
    <w:rsid w:val="005908E1"/>
    <w:rsid w:val="00592705"/>
    <w:rsid w:val="00592E3F"/>
    <w:rsid w:val="00593AD7"/>
    <w:rsid w:val="00593EC7"/>
    <w:rsid w:val="0059419A"/>
    <w:rsid w:val="00594972"/>
    <w:rsid w:val="00595E94"/>
    <w:rsid w:val="00595F62"/>
    <w:rsid w:val="00596785"/>
    <w:rsid w:val="00596A2F"/>
    <w:rsid w:val="00596AD3"/>
    <w:rsid w:val="00596BB7"/>
    <w:rsid w:val="00596E5D"/>
    <w:rsid w:val="00597F43"/>
    <w:rsid w:val="005A091C"/>
    <w:rsid w:val="005A1DFA"/>
    <w:rsid w:val="005A1F9B"/>
    <w:rsid w:val="005A300E"/>
    <w:rsid w:val="005A3149"/>
    <w:rsid w:val="005A3BB3"/>
    <w:rsid w:val="005A6BA3"/>
    <w:rsid w:val="005A7182"/>
    <w:rsid w:val="005A71AB"/>
    <w:rsid w:val="005A7CE2"/>
    <w:rsid w:val="005B02F3"/>
    <w:rsid w:val="005B0BD5"/>
    <w:rsid w:val="005B0F92"/>
    <w:rsid w:val="005B28D4"/>
    <w:rsid w:val="005B2BC7"/>
    <w:rsid w:val="005B335B"/>
    <w:rsid w:val="005B35B3"/>
    <w:rsid w:val="005B378F"/>
    <w:rsid w:val="005B3B7A"/>
    <w:rsid w:val="005B4151"/>
    <w:rsid w:val="005B4EB1"/>
    <w:rsid w:val="005B505A"/>
    <w:rsid w:val="005B5622"/>
    <w:rsid w:val="005B5BBD"/>
    <w:rsid w:val="005B5FF6"/>
    <w:rsid w:val="005B617E"/>
    <w:rsid w:val="005B619E"/>
    <w:rsid w:val="005B62AF"/>
    <w:rsid w:val="005B6DA3"/>
    <w:rsid w:val="005B79F2"/>
    <w:rsid w:val="005B7E40"/>
    <w:rsid w:val="005C06D3"/>
    <w:rsid w:val="005C0B21"/>
    <w:rsid w:val="005C0EDC"/>
    <w:rsid w:val="005C13D3"/>
    <w:rsid w:val="005C1472"/>
    <w:rsid w:val="005C1E6D"/>
    <w:rsid w:val="005C1E7D"/>
    <w:rsid w:val="005C23A9"/>
    <w:rsid w:val="005C33CC"/>
    <w:rsid w:val="005C41EE"/>
    <w:rsid w:val="005C5707"/>
    <w:rsid w:val="005C6EEB"/>
    <w:rsid w:val="005C7789"/>
    <w:rsid w:val="005C7960"/>
    <w:rsid w:val="005C79B1"/>
    <w:rsid w:val="005D025C"/>
    <w:rsid w:val="005D0A77"/>
    <w:rsid w:val="005D0CCF"/>
    <w:rsid w:val="005D0EB1"/>
    <w:rsid w:val="005D11B3"/>
    <w:rsid w:val="005D13FD"/>
    <w:rsid w:val="005D1490"/>
    <w:rsid w:val="005D1B6B"/>
    <w:rsid w:val="005D1F4D"/>
    <w:rsid w:val="005D36D1"/>
    <w:rsid w:val="005D37D7"/>
    <w:rsid w:val="005D466E"/>
    <w:rsid w:val="005D4844"/>
    <w:rsid w:val="005D589A"/>
    <w:rsid w:val="005D59B9"/>
    <w:rsid w:val="005D74EB"/>
    <w:rsid w:val="005D7F4D"/>
    <w:rsid w:val="005E1A72"/>
    <w:rsid w:val="005E2FA9"/>
    <w:rsid w:val="005E31DC"/>
    <w:rsid w:val="005E349F"/>
    <w:rsid w:val="005E35E2"/>
    <w:rsid w:val="005E3A45"/>
    <w:rsid w:val="005E474D"/>
    <w:rsid w:val="005E5ACA"/>
    <w:rsid w:val="005E6A0A"/>
    <w:rsid w:val="005E7169"/>
    <w:rsid w:val="005F052D"/>
    <w:rsid w:val="005F0E73"/>
    <w:rsid w:val="005F1FFF"/>
    <w:rsid w:val="005F3919"/>
    <w:rsid w:val="005F3DBE"/>
    <w:rsid w:val="005F3EDF"/>
    <w:rsid w:val="005F44B9"/>
    <w:rsid w:val="005F5373"/>
    <w:rsid w:val="005F5E92"/>
    <w:rsid w:val="005F6BFD"/>
    <w:rsid w:val="0060018E"/>
    <w:rsid w:val="00600492"/>
    <w:rsid w:val="00600E97"/>
    <w:rsid w:val="00600EC5"/>
    <w:rsid w:val="006014BE"/>
    <w:rsid w:val="006017A8"/>
    <w:rsid w:val="0060272D"/>
    <w:rsid w:val="00602D54"/>
    <w:rsid w:val="00602DBE"/>
    <w:rsid w:val="00603752"/>
    <w:rsid w:val="006042FF"/>
    <w:rsid w:val="00605053"/>
    <w:rsid w:val="006051F7"/>
    <w:rsid w:val="00606098"/>
    <w:rsid w:val="0060665B"/>
    <w:rsid w:val="00606D01"/>
    <w:rsid w:val="00607366"/>
    <w:rsid w:val="00607A49"/>
    <w:rsid w:val="00613691"/>
    <w:rsid w:val="00613693"/>
    <w:rsid w:val="006142CC"/>
    <w:rsid w:val="00614A97"/>
    <w:rsid w:val="00616B12"/>
    <w:rsid w:val="00620279"/>
    <w:rsid w:val="006209E2"/>
    <w:rsid w:val="00620A38"/>
    <w:rsid w:val="00620FE7"/>
    <w:rsid w:val="0062181D"/>
    <w:rsid w:val="00622F9D"/>
    <w:rsid w:val="00624207"/>
    <w:rsid w:val="00624A0C"/>
    <w:rsid w:val="00624AC7"/>
    <w:rsid w:val="00625222"/>
    <w:rsid w:val="0062538B"/>
    <w:rsid w:val="0062547D"/>
    <w:rsid w:val="00625EFE"/>
    <w:rsid w:val="006264D5"/>
    <w:rsid w:val="00626A53"/>
    <w:rsid w:val="00627374"/>
    <w:rsid w:val="0063197C"/>
    <w:rsid w:val="00632787"/>
    <w:rsid w:val="00634948"/>
    <w:rsid w:val="00634C29"/>
    <w:rsid w:val="00634D79"/>
    <w:rsid w:val="00634E3A"/>
    <w:rsid w:val="00634EAB"/>
    <w:rsid w:val="00635434"/>
    <w:rsid w:val="0063567E"/>
    <w:rsid w:val="00635948"/>
    <w:rsid w:val="00635C2F"/>
    <w:rsid w:val="00635F1A"/>
    <w:rsid w:val="00635F6F"/>
    <w:rsid w:val="006362C3"/>
    <w:rsid w:val="0063685A"/>
    <w:rsid w:val="006368F9"/>
    <w:rsid w:val="00636B01"/>
    <w:rsid w:val="00637FE4"/>
    <w:rsid w:val="00640134"/>
    <w:rsid w:val="006402C6"/>
    <w:rsid w:val="00641090"/>
    <w:rsid w:val="00641AFD"/>
    <w:rsid w:val="00642933"/>
    <w:rsid w:val="00643106"/>
    <w:rsid w:val="00643F87"/>
    <w:rsid w:val="00644BED"/>
    <w:rsid w:val="006467F1"/>
    <w:rsid w:val="00646812"/>
    <w:rsid w:val="00646F98"/>
    <w:rsid w:val="006471D5"/>
    <w:rsid w:val="0065090C"/>
    <w:rsid w:val="00651569"/>
    <w:rsid w:val="0065159B"/>
    <w:rsid w:val="0065193F"/>
    <w:rsid w:val="00651A39"/>
    <w:rsid w:val="00651E25"/>
    <w:rsid w:val="00652F71"/>
    <w:rsid w:val="00653EC8"/>
    <w:rsid w:val="00653F44"/>
    <w:rsid w:val="0065436C"/>
    <w:rsid w:val="00654466"/>
    <w:rsid w:val="0065451E"/>
    <w:rsid w:val="00654662"/>
    <w:rsid w:val="00654684"/>
    <w:rsid w:val="00656066"/>
    <w:rsid w:val="0065651D"/>
    <w:rsid w:val="00656684"/>
    <w:rsid w:val="00657113"/>
    <w:rsid w:val="00657DCA"/>
    <w:rsid w:val="00660078"/>
    <w:rsid w:val="00660238"/>
    <w:rsid w:val="0066096A"/>
    <w:rsid w:val="00661139"/>
    <w:rsid w:val="006634DD"/>
    <w:rsid w:val="00663AF0"/>
    <w:rsid w:val="00665626"/>
    <w:rsid w:val="006661A8"/>
    <w:rsid w:val="00666579"/>
    <w:rsid w:val="006676AD"/>
    <w:rsid w:val="006676B8"/>
    <w:rsid w:val="00671136"/>
    <w:rsid w:val="00672EC6"/>
    <w:rsid w:val="006733F6"/>
    <w:rsid w:val="006752E5"/>
    <w:rsid w:val="006757D6"/>
    <w:rsid w:val="006759F7"/>
    <w:rsid w:val="00676929"/>
    <w:rsid w:val="00676C48"/>
    <w:rsid w:val="0067707A"/>
    <w:rsid w:val="006805EC"/>
    <w:rsid w:val="00682B9C"/>
    <w:rsid w:val="006831C3"/>
    <w:rsid w:val="006833D0"/>
    <w:rsid w:val="00684781"/>
    <w:rsid w:val="006855E7"/>
    <w:rsid w:val="00685B6A"/>
    <w:rsid w:val="00685E19"/>
    <w:rsid w:val="00686D30"/>
    <w:rsid w:val="006876C8"/>
    <w:rsid w:val="00687901"/>
    <w:rsid w:val="00690EAD"/>
    <w:rsid w:val="00691D28"/>
    <w:rsid w:val="006923A5"/>
    <w:rsid w:val="0069355C"/>
    <w:rsid w:val="00693F26"/>
    <w:rsid w:val="00693F7C"/>
    <w:rsid w:val="00695173"/>
    <w:rsid w:val="006953F3"/>
    <w:rsid w:val="00695A73"/>
    <w:rsid w:val="00695A94"/>
    <w:rsid w:val="00695C04"/>
    <w:rsid w:val="00695C35"/>
    <w:rsid w:val="00695D4A"/>
    <w:rsid w:val="00697180"/>
    <w:rsid w:val="006973C8"/>
    <w:rsid w:val="0069749C"/>
    <w:rsid w:val="00697C09"/>
    <w:rsid w:val="006A0615"/>
    <w:rsid w:val="006A0C87"/>
    <w:rsid w:val="006A0F53"/>
    <w:rsid w:val="006A1182"/>
    <w:rsid w:val="006A13D6"/>
    <w:rsid w:val="006A2A27"/>
    <w:rsid w:val="006A2D66"/>
    <w:rsid w:val="006A30C2"/>
    <w:rsid w:val="006A330D"/>
    <w:rsid w:val="006A3AFB"/>
    <w:rsid w:val="006A4F78"/>
    <w:rsid w:val="006A5E06"/>
    <w:rsid w:val="006A6130"/>
    <w:rsid w:val="006A621D"/>
    <w:rsid w:val="006A697D"/>
    <w:rsid w:val="006A6A36"/>
    <w:rsid w:val="006A6B4A"/>
    <w:rsid w:val="006B112B"/>
    <w:rsid w:val="006B18FE"/>
    <w:rsid w:val="006B3431"/>
    <w:rsid w:val="006B46B5"/>
    <w:rsid w:val="006B470F"/>
    <w:rsid w:val="006B6763"/>
    <w:rsid w:val="006B6DF3"/>
    <w:rsid w:val="006C0B1B"/>
    <w:rsid w:val="006C0B4E"/>
    <w:rsid w:val="006C12E5"/>
    <w:rsid w:val="006C2244"/>
    <w:rsid w:val="006C37E1"/>
    <w:rsid w:val="006C3C5B"/>
    <w:rsid w:val="006C617A"/>
    <w:rsid w:val="006C76FC"/>
    <w:rsid w:val="006C7F02"/>
    <w:rsid w:val="006D125C"/>
    <w:rsid w:val="006D1D89"/>
    <w:rsid w:val="006D2A48"/>
    <w:rsid w:val="006D2AB3"/>
    <w:rsid w:val="006D4551"/>
    <w:rsid w:val="006D507F"/>
    <w:rsid w:val="006D6491"/>
    <w:rsid w:val="006D7DC9"/>
    <w:rsid w:val="006E04AB"/>
    <w:rsid w:val="006E15E3"/>
    <w:rsid w:val="006E1A50"/>
    <w:rsid w:val="006E3022"/>
    <w:rsid w:val="006E3B5B"/>
    <w:rsid w:val="006E4B0D"/>
    <w:rsid w:val="006E5242"/>
    <w:rsid w:val="006E73C6"/>
    <w:rsid w:val="006E7D57"/>
    <w:rsid w:val="006E7DD2"/>
    <w:rsid w:val="006F1E6E"/>
    <w:rsid w:val="006F293B"/>
    <w:rsid w:val="006F2AFD"/>
    <w:rsid w:val="006F344C"/>
    <w:rsid w:val="006F350F"/>
    <w:rsid w:val="006F40E0"/>
    <w:rsid w:val="006F41C5"/>
    <w:rsid w:val="006F4720"/>
    <w:rsid w:val="006F5279"/>
    <w:rsid w:val="006F5664"/>
    <w:rsid w:val="006F56C0"/>
    <w:rsid w:val="006F57B0"/>
    <w:rsid w:val="006F595B"/>
    <w:rsid w:val="006F5A67"/>
    <w:rsid w:val="006F5C90"/>
    <w:rsid w:val="006F780E"/>
    <w:rsid w:val="00701021"/>
    <w:rsid w:val="00701045"/>
    <w:rsid w:val="00701B2D"/>
    <w:rsid w:val="00702BB9"/>
    <w:rsid w:val="00702F5F"/>
    <w:rsid w:val="007034CC"/>
    <w:rsid w:val="0070374E"/>
    <w:rsid w:val="007039F2"/>
    <w:rsid w:val="00703DE2"/>
    <w:rsid w:val="00703DFA"/>
    <w:rsid w:val="00705DDA"/>
    <w:rsid w:val="00706491"/>
    <w:rsid w:val="00706993"/>
    <w:rsid w:val="00706E8B"/>
    <w:rsid w:val="00706EA3"/>
    <w:rsid w:val="00711321"/>
    <w:rsid w:val="007115BF"/>
    <w:rsid w:val="00711A1A"/>
    <w:rsid w:val="00711E29"/>
    <w:rsid w:val="00712139"/>
    <w:rsid w:val="00712A70"/>
    <w:rsid w:val="00712FDB"/>
    <w:rsid w:val="0071401B"/>
    <w:rsid w:val="00714231"/>
    <w:rsid w:val="0071440C"/>
    <w:rsid w:val="007150D9"/>
    <w:rsid w:val="00715F1C"/>
    <w:rsid w:val="00715F68"/>
    <w:rsid w:val="00716660"/>
    <w:rsid w:val="00716825"/>
    <w:rsid w:val="00716C56"/>
    <w:rsid w:val="00716E35"/>
    <w:rsid w:val="00717584"/>
    <w:rsid w:val="00720647"/>
    <w:rsid w:val="00721B0E"/>
    <w:rsid w:val="007221E6"/>
    <w:rsid w:val="0072320A"/>
    <w:rsid w:val="007240FF"/>
    <w:rsid w:val="007241A2"/>
    <w:rsid w:val="00724228"/>
    <w:rsid w:val="007248DC"/>
    <w:rsid w:val="00724DE4"/>
    <w:rsid w:val="0072585A"/>
    <w:rsid w:val="00725864"/>
    <w:rsid w:val="0072632F"/>
    <w:rsid w:val="0072651F"/>
    <w:rsid w:val="00727D51"/>
    <w:rsid w:val="00730209"/>
    <w:rsid w:val="00731254"/>
    <w:rsid w:val="007319A9"/>
    <w:rsid w:val="00731E78"/>
    <w:rsid w:val="007321DE"/>
    <w:rsid w:val="007329FF"/>
    <w:rsid w:val="007347F1"/>
    <w:rsid w:val="00735787"/>
    <w:rsid w:val="0073579D"/>
    <w:rsid w:val="00735AC0"/>
    <w:rsid w:val="00735CAC"/>
    <w:rsid w:val="007364F9"/>
    <w:rsid w:val="00736E06"/>
    <w:rsid w:val="0073778A"/>
    <w:rsid w:val="007402A3"/>
    <w:rsid w:val="007403E5"/>
    <w:rsid w:val="00741644"/>
    <w:rsid w:val="007416BA"/>
    <w:rsid w:val="00742027"/>
    <w:rsid w:val="00742147"/>
    <w:rsid w:val="0074238D"/>
    <w:rsid w:val="00743193"/>
    <w:rsid w:val="007434A9"/>
    <w:rsid w:val="00743DA9"/>
    <w:rsid w:val="00743F0D"/>
    <w:rsid w:val="00743FE4"/>
    <w:rsid w:val="00744EA1"/>
    <w:rsid w:val="00745310"/>
    <w:rsid w:val="00745548"/>
    <w:rsid w:val="00745ABC"/>
    <w:rsid w:val="00745FCE"/>
    <w:rsid w:val="00746A05"/>
    <w:rsid w:val="00746A21"/>
    <w:rsid w:val="007502CC"/>
    <w:rsid w:val="00750AA1"/>
    <w:rsid w:val="00751858"/>
    <w:rsid w:val="007528DD"/>
    <w:rsid w:val="00752C4B"/>
    <w:rsid w:val="00755442"/>
    <w:rsid w:val="0075641D"/>
    <w:rsid w:val="00756C54"/>
    <w:rsid w:val="007577A8"/>
    <w:rsid w:val="0076045A"/>
    <w:rsid w:val="0076091B"/>
    <w:rsid w:val="00760E85"/>
    <w:rsid w:val="0076295D"/>
    <w:rsid w:val="0076354C"/>
    <w:rsid w:val="00763716"/>
    <w:rsid w:val="007639AA"/>
    <w:rsid w:val="00763DBC"/>
    <w:rsid w:val="0076477B"/>
    <w:rsid w:val="00764F52"/>
    <w:rsid w:val="00765CB4"/>
    <w:rsid w:val="0076736C"/>
    <w:rsid w:val="00767522"/>
    <w:rsid w:val="007700F3"/>
    <w:rsid w:val="00771061"/>
    <w:rsid w:val="0077147C"/>
    <w:rsid w:val="0077183E"/>
    <w:rsid w:val="00772E5C"/>
    <w:rsid w:val="0077330C"/>
    <w:rsid w:val="00774CBC"/>
    <w:rsid w:val="00774EBD"/>
    <w:rsid w:val="0077579F"/>
    <w:rsid w:val="00775F0C"/>
    <w:rsid w:val="00776034"/>
    <w:rsid w:val="00776989"/>
    <w:rsid w:val="0077702A"/>
    <w:rsid w:val="007772C7"/>
    <w:rsid w:val="00777E60"/>
    <w:rsid w:val="00780ACD"/>
    <w:rsid w:val="00780EFA"/>
    <w:rsid w:val="00781153"/>
    <w:rsid w:val="00782BAC"/>
    <w:rsid w:val="00783505"/>
    <w:rsid w:val="00783E05"/>
    <w:rsid w:val="00783ECD"/>
    <w:rsid w:val="0078457B"/>
    <w:rsid w:val="00784A27"/>
    <w:rsid w:val="00784F3B"/>
    <w:rsid w:val="00785BCF"/>
    <w:rsid w:val="00786AB8"/>
    <w:rsid w:val="00786BA2"/>
    <w:rsid w:val="00787414"/>
    <w:rsid w:val="00787F7E"/>
    <w:rsid w:val="0079037A"/>
    <w:rsid w:val="00790EA8"/>
    <w:rsid w:val="00791477"/>
    <w:rsid w:val="00791535"/>
    <w:rsid w:val="00791679"/>
    <w:rsid w:val="00791793"/>
    <w:rsid w:val="00791C04"/>
    <w:rsid w:val="007938BB"/>
    <w:rsid w:val="00793E3B"/>
    <w:rsid w:val="00795169"/>
    <w:rsid w:val="007956D3"/>
    <w:rsid w:val="00795F16"/>
    <w:rsid w:val="00796851"/>
    <w:rsid w:val="007976AB"/>
    <w:rsid w:val="00797D16"/>
    <w:rsid w:val="00797F71"/>
    <w:rsid w:val="007A0361"/>
    <w:rsid w:val="007A0E61"/>
    <w:rsid w:val="007A1235"/>
    <w:rsid w:val="007A1A78"/>
    <w:rsid w:val="007A27D3"/>
    <w:rsid w:val="007A4B08"/>
    <w:rsid w:val="007A4B8E"/>
    <w:rsid w:val="007A77D9"/>
    <w:rsid w:val="007B096B"/>
    <w:rsid w:val="007B0C86"/>
    <w:rsid w:val="007B19F9"/>
    <w:rsid w:val="007B2945"/>
    <w:rsid w:val="007B2C0E"/>
    <w:rsid w:val="007B330E"/>
    <w:rsid w:val="007B4188"/>
    <w:rsid w:val="007B471C"/>
    <w:rsid w:val="007B4C68"/>
    <w:rsid w:val="007B5116"/>
    <w:rsid w:val="007B6E03"/>
    <w:rsid w:val="007B79FA"/>
    <w:rsid w:val="007B7D69"/>
    <w:rsid w:val="007C0226"/>
    <w:rsid w:val="007C039D"/>
    <w:rsid w:val="007C0870"/>
    <w:rsid w:val="007C08E3"/>
    <w:rsid w:val="007C0AD6"/>
    <w:rsid w:val="007C1A0C"/>
    <w:rsid w:val="007C47E5"/>
    <w:rsid w:val="007C629C"/>
    <w:rsid w:val="007C631F"/>
    <w:rsid w:val="007C63AF"/>
    <w:rsid w:val="007C65B6"/>
    <w:rsid w:val="007C6658"/>
    <w:rsid w:val="007C77EC"/>
    <w:rsid w:val="007C78B0"/>
    <w:rsid w:val="007C7CFD"/>
    <w:rsid w:val="007C7E4E"/>
    <w:rsid w:val="007D00F9"/>
    <w:rsid w:val="007D0139"/>
    <w:rsid w:val="007D0569"/>
    <w:rsid w:val="007D0798"/>
    <w:rsid w:val="007D0DFA"/>
    <w:rsid w:val="007D0E1E"/>
    <w:rsid w:val="007D13EC"/>
    <w:rsid w:val="007D1792"/>
    <w:rsid w:val="007D1F8D"/>
    <w:rsid w:val="007D21B3"/>
    <w:rsid w:val="007D237E"/>
    <w:rsid w:val="007D2CA7"/>
    <w:rsid w:val="007D3673"/>
    <w:rsid w:val="007D370E"/>
    <w:rsid w:val="007D3C73"/>
    <w:rsid w:val="007D46B7"/>
    <w:rsid w:val="007D6083"/>
    <w:rsid w:val="007D6197"/>
    <w:rsid w:val="007D6718"/>
    <w:rsid w:val="007D68CF"/>
    <w:rsid w:val="007D7278"/>
    <w:rsid w:val="007D73EB"/>
    <w:rsid w:val="007E0EEA"/>
    <w:rsid w:val="007E1050"/>
    <w:rsid w:val="007E1809"/>
    <w:rsid w:val="007E1AED"/>
    <w:rsid w:val="007E1E92"/>
    <w:rsid w:val="007E1EDF"/>
    <w:rsid w:val="007E35A9"/>
    <w:rsid w:val="007E35F4"/>
    <w:rsid w:val="007E3C29"/>
    <w:rsid w:val="007E68B5"/>
    <w:rsid w:val="007E6D96"/>
    <w:rsid w:val="007E74E3"/>
    <w:rsid w:val="007E7E5A"/>
    <w:rsid w:val="007F18D9"/>
    <w:rsid w:val="007F1CDF"/>
    <w:rsid w:val="007F2CC5"/>
    <w:rsid w:val="007F337D"/>
    <w:rsid w:val="007F3970"/>
    <w:rsid w:val="007F3FFD"/>
    <w:rsid w:val="007F41E8"/>
    <w:rsid w:val="007F4FDE"/>
    <w:rsid w:val="007F5804"/>
    <w:rsid w:val="007F5864"/>
    <w:rsid w:val="007F6337"/>
    <w:rsid w:val="007F6855"/>
    <w:rsid w:val="007F6BEF"/>
    <w:rsid w:val="007F6FCF"/>
    <w:rsid w:val="00800D6D"/>
    <w:rsid w:val="008010C9"/>
    <w:rsid w:val="00801E14"/>
    <w:rsid w:val="00801F7E"/>
    <w:rsid w:val="0080250B"/>
    <w:rsid w:val="00802E3B"/>
    <w:rsid w:val="008033C1"/>
    <w:rsid w:val="00803602"/>
    <w:rsid w:val="00805018"/>
    <w:rsid w:val="00805CB3"/>
    <w:rsid w:val="00806074"/>
    <w:rsid w:val="008061EC"/>
    <w:rsid w:val="0080783B"/>
    <w:rsid w:val="00807906"/>
    <w:rsid w:val="0080799B"/>
    <w:rsid w:val="008103A0"/>
    <w:rsid w:val="00810CC9"/>
    <w:rsid w:val="00811E22"/>
    <w:rsid w:val="00812E51"/>
    <w:rsid w:val="00812F6E"/>
    <w:rsid w:val="00813B08"/>
    <w:rsid w:val="00813D05"/>
    <w:rsid w:val="00814586"/>
    <w:rsid w:val="008149D3"/>
    <w:rsid w:val="00814EAF"/>
    <w:rsid w:val="0081535F"/>
    <w:rsid w:val="00815D3E"/>
    <w:rsid w:val="00816AE5"/>
    <w:rsid w:val="008172AA"/>
    <w:rsid w:val="00817748"/>
    <w:rsid w:val="00817D31"/>
    <w:rsid w:val="008202AE"/>
    <w:rsid w:val="0082039B"/>
    <w:rsid w:val="0082214D"/>
    <w:rsid w:val="00823496"/>
    <w:rsid w:val="00823B68"/>
    <w:rsid w:val="00824043"/>
    <w:rsid w:val="0082452F"/>
    <w:rsid w:val="00825C80"/>
    <w:rsid w:val="008260D3"/>
    <w:rsid w:val="008266A9"/>
    <w:rsid w:val="00830B69"/>
    <w:rsid w:val="008321AD"/>
    <w:rsid w:val="00833948"/>
    <w:rsid w:val="00835477"/>
    <w:rsid w:val="00835AD0"/>
    <w:rsid w:val="00836C16"/>
    <w:rsid w:val="00836E5D"/>
    <w:rsid w:val="0083766D"/>
    <w:rsid w:val="00837C3C"/>
    <w:rsid w:val="0084038E"/>
    <w:rsid w:val="00840572"/>
    <w:rsid w:val="00840A3A"/>
    <w:rsid w:val="00840F06"/>
    <w:rsid w:val="00840FD8"/>
    <w:rsid w:val="00841DB3"/>
    <w:rsid w:val="0084258C"/>
    <w:rsid w:val="00842591"/>
    <w:rsid w:val="00842829"/>
    <w:rsid w:val="00843AE4"/>
    <w:rsid w:val="00843C22"/>
    <w:rsid w:val="00845CEB"/>
    <w:rsid w:val="0084600A"/>
    <w:rsid w:val="00846AD0"/>
    <w:rsid w:val="00846B88"/>
    <w:rsid w:val="008479E6"/>
    <w:rsid w:val="00847D9F"/>
    <w:rsid w:val="00850A1A"/>
    <w:rsid w:val="0085178F"/>
    <w:rsid w:val="00853581"/>
    <w:rsid w:val="00854341"/>
    <w:rsid w:val="00856319"/>
    <w:rsid w:val="00856881"/>
    <w:rsid w:val="00856883"/>
    <w:rsid w:val="00856929"/>
    <w:rsid w:val="008569A1"/>
    <w:rsid w:val="0085772C"/>
    <w:rsid w:val="00857B99"/>
    <w:rsid w:val="008602C2"/>
    <w:rsid w:val="00860960"/>
    <w:rsid w:val="00860A79"/>
    <w:rsid w:val="00861A0B"/>
    <w:rsid w:val="0086348E"/>
    <w:rsid w:val="00864D5D"/>
    <w:rsid w:val="00864E27"/>
    <w:rsid w:val="00865629"/>
    <w:rsid w:val="00866019"/>
    <w:rsid w:val="00866039"/>
    <w:rsid w:val="00870059"/>
    <w:rsid w:val="008704DF"/>
    <w:rsid w:val="0087077C"/>
    <w:rsid w:val="00871FAD"/>
    <w:rsid w:val="0087211A"/>
    <w:rsid w:val="00872DA3"/>
    <w:rsid w:val="00873078"/>
    <w:rsid w:val="00873CA2"/>
    <w:rsid w:val="00873F63"/>
    <w:rsid w:val="00874268"/>
    <w:rsid w:val="00874C12"/>
    <w:rsid w:val="0087560C"/>
    <w:rsid w:val="00880311"/>
    <w:rsid w:val="008805B5"/>
    <w:rsid w:val="008813E7"/>
    <w:rsid w:val="00881D3B"/>
    <w:rsid w:val="00881ECF"/>
    <w:rsid w:val="00882650"/>
    <w:rsid w:val="00885BB7"/>
    <w:rsid w:val="00890383"/>
    <w:rsid w:val="0089078E"/>
    <w:rsid w:val="00892747"/>
    <w:rsid w:val="008928E0"/>
    <w:rsid w:val="00892E75"/>
    <w:rsid w:val="0089341F"/>
    <w:rsid w:val="008938C6"/>
    <w:rsid w:val="00893C73"/>
    <w:rsid w:val="00894DEE"/>
    <w:rsid w:val="008A0F12"/>
    <w:rsid w:val="008A1080"/>
    <w:rsid w:val="008A2429"/>
    <w:rsid w:val="008A2898"/>
    <w:rsid w:val="008A307D"/>
    <w:rsid w:val="008A39A9"/>
    <w:rsid w:val="008A4944"/>
    <w:rsid w:val="008A539F"/>
    <w:rsid w:val="008A5CDB"/>
    <w:rsid w:val="008A6042"/>
    <w:rsid w:val="008A679B"/>
    <w:rsid w:val="008A6A33"/>
    <w:rsid w:val="008A75EA"/>
    <w:rsid w:val="008A7C84"/>
    <w:rsid w:val="008B0B7E"/>
    <w:rsid w:val="008B0E19"/>
    <w:rsid w:val="008B2C93"/>
    <w:rsid w:val="008B3308"/>
    <w:rsid w:val="008B4FF6"/>
    <w:rsid w:val="008B50EB"/>
    <w:rsid w:val="008B66F1"/>
    <w:rsid w:val="008B67D4"/>
    <w:rsid w:val="008B6915"/>
    <w:rsid w:val="008B6AB0"/>
    <w:rsid w:val="008B6EAA"/>
    <w:rsid w:val="008B7475"/>
    <w:rsid w:val="008B7E93"/>
    <w:rsid w:val="008C0459"/>
    <w:rsid w:val="008C091F"/>
    <w:rsid w:val="008C0E2A"/>
    <w:rsid w:val="008C1897"/>
    <w:rsid w:val="008C1C55"/>
    <w:rsid w:val="008C1D29"/>
    <w:rsid w:val="008C247F"/>
    <w:rsid w:val="008C3681"/>
    <w:rsid w:val="008C4B77"/>
    <w:rsid w:val="008C5506"/>
    <w:rsid w:val="008C5644"/>
    <w:rsid w:val="008C5AAE"/>
    <w:rsid w:val="008C6A57"/>
    <w:rsid w:val="008D0276"/>
    <w:rsid w:val="008D03E6"/>
    <w:rsid w:val="008D0438"/>
    <w:rsid w:val="008D062C"/>
    <w:rsid w:val="008D0645"/>
    <w:rsid w:val="008D0CE3"/>
    <w:rsid w:val="008D0FA9"/>
    <w:rsid w:val="008D0FD3"/>
    <w:rsid w:val="008D17D5"/>
    <w:rsid w:val="008D18C3"/>
    <w:rsid w:val="008D1954"/>
    <w:rsid w:val="008D19AE"/>
    <w:rsid w:val="008D2DEE"/>
    <w:rsid w:val="008D37A9"/>
    <w:rsid w:val="008D402A"/>
    <w:rsid w:val="008D440F"/>
    <w:rsid w:val="008D504C"/>
    <w:rsid w:val="008D60F6"/>
    <w:rsid w:val="008D6848"/>
    <w:rsid w:val="008E0282"/>
    <w:rsid w:val="008E09C2"/>
    <w:rsid w:val="008E0D10"/>
    <w:rsid w:val="008E1845"/>
    <w:rsid w:val="008E27AC"/>
    <w:rsid w:val="008E6917"/>
    <w:rsid w:val="008E7AAD"/>
    <w:rsid w:val="008E7AEF"/>
    <w:rsid w:val="008F09A1"/>
    <w:rsid w:val="008F0B30"/>
    <w:rsid w:val="008F1003"/>
    <w:rsid w:val="008F217D"/>
    <w:rsid w:val="008F4031"/>
    <w:rsid w:val="008F42B0"/>
    <w:rsid w:val="008F51BF"/>
    <w:rsid w:val="008F5633"/>
    <w:rsid w:val="008F58B8"/>
    <w:rsid w:val="008F68E2"/>
    <w:rsid w:val="008F79CE"/>
    <w:rsid w:val="00900029"/>
    <w:rsid w:val="00900A07"/>
    <w:rsid w:val="00900AB9"/>
    <w:rsid w:val="00900ECB"/>
    <w:rsid w:val="009011F6"/>
    <w:rsid w:val="009015D6"/>
    <w:rsid w:val="00901892"/>
    <w:rsid w:val="00901F86"/>
    <w:rsid w:val="00902016"/>
    <w:rsid w:val="009023E5"/>
    <w:rsid w:val="009025D4"/>
    <w:rsid w:val="00902757"/>
    <w:rsid w:val="009028EE"/>
    <w:rsid w:val="00902B4C"/>
    <w:rsid w:val="00902CFF"/>
    <w:rsid w:val="00902EF9"/>
    <w:rsid w:val="00903A57"/>
    <w:rsid w:val="00904598"/>
    <w:rsid w:val="009056DE"/>
    <w:rsid w:val="009059C1"/>
    <w:rsid w:val="00905F88"/>
    <w:rsid w:val="00906A4F"/>
    <w:rsid w:val="00906F0F"/>
    <w:rsid w:val="00907131"/>
    <w:rsid w:val="00907B6C"/>
    <w:rsid w:val="00910151"/>
    <w:rsid w:val="009106E2"/>
    <w:rsid w:val="0091091E"/>
    <w:rsid w:val="0091108B"/>
    <w:rsid w:val="0091126E"/>
    <w:rsid w:val="0091172C"/>
    <w:rsid w:val="00912A31"/>
    <w:rsid w:val="00912A91"/>
    <w:rsid w:val="009131F7"/>
    <w:rsid w:val="00913E91"/>
    <w:rsid w:val="00914629"/>
    <w:rsid w:val="00914F05"/>
    <w:rsid w:val="00915A68"/>
    <w:rsid w:val="00915BB6"/>
    <w:rsid w:val="00915D57"/>
    <w:rsid w:val="00916AD9"/>
    <w:rsid w:val="00916DC8"/>
    <w:rsid w:val="009173EC"/>
    <w:rsid w:val="0091766C"/>
    <w:rsid w:val="00917AE6"/>
    <w:rsid w:val="00917B15"/>
    <w:rsid w:val="00917C48"/>
    <w:rsid w:val="009205DB"/>
    <w:rsid w:val="00920F95"/>
    <w:rsid w:val="0092140C"/>
    <w:rsid w:val="0092193E"/>
    <w:rsid w:val="00922A3A"/>
    <w:rsid w:val="00922D97"/>
    <w:rsid w:val="009232F4"/>
    <w:rsid w:val="00923DF2"/>
    <w:rsid w:val="0092471A"/>
    <w:rsid w:val="009252A5"/>
    <w:rsid w:val="009258E4"/>
    <w:rsid w:val="00925ED5"/>
    <w:rsid w:val="009263ED"/>
    <w:rsid w:val="00926647"/>
    <w:rsid w:val="009268D3"/>
    <w:rsid w:val="009270E8"/>
    <w:rsid w:val="009273CF"/>
    <w:rsid w:val="009307DE"/>
    <w:rsid w:val="009308C7"/>
    <w:rsid w:val="0093293B"/>
    <w:rsid w:val="00933009"/>
    <w:rsid w:val="00934AAF"/>
    <w:rsid w:val="00934C51"/>
    <w:rsid w:val="00934F45"/>
    <w:rsid w:val="00935EC1"/>
    <w:rsid w:val="00936014"/>
    <w:rsid w:val="00936E14"/>
    <w:rsid w:val="00937560"/>
    <w:rsid w:val="009439E7"/>
    <w:rsid w:val="00943E31"/>
    <w:rsid w:val="00944095"/>
    <w:rsid w:val="00944248"/>
    <w:rsid w:val="00944EC4"/>
    <w:rsid w:val="00945A4D"/>
    <w:rsid w:val="00946745"/>
    <w:rsid w:val="00946C4A"/>
    <w:rsid w:val="00946E0E"/>
    <w:rsid w:val="009477B3"/>
    <w:rsid w:val="00947CFC"/>
    <w:rsid w:val="00947DF2"/>
    <w:rsid w:val="0095075A"/>
    <w:rsid w:val="009510BC"/>
    <w:rsid w:val="009511AD"/>
    <w:rsid w:val="009516C2"/>
    <w:rsid w:val="00951B5B"/>
    <w:rsid w:val="00952E9B"/>
    <w:rsid w:val="00952F20"/>
    <w:rsid w:val="00953954"/>
    <w:rsid w:val="00954124"/>
    <w:rsid w:val="00954326"/>
    <w:rsid w:val="00954A34"/>
    <w:rsid w:val="00954A8C"/>
    <w:rsid w:val="00954C2A"/>
    <w:rsid w:val="00955193"/>
    <w:rsid w:val="00955C6D"/>
    <w:rsid w:val="00955E0B"/>
    <w:rsid w:val="00956EB9"/>
    <w:rsid w:val="00956F3F"/>
    <w:rsid w:val="00956F4B"/>
    <w:rsid w:val="009573B5"/>
    <w:rsid w:val="00960094"/>
    <w:rsid w:val="00960F71"/>
    <w:rsid w:val="009612A7"/>
    <w:rsid w:val="00961AB4"/>
    <w:rsid w:val="00965872"/>
    <w:rsid w:val="009667BB"/>
    <w:rsid w:val="00966C0C"/>
    <w:rsid w:val="0096729D"/>
    <w:rsid w:val="009703A5"/>
    <w:rsid w:val="009711C9"/>
    <w:rsid w:val="0097163F"/>
    <w:rsid w:val="00971764"/>
    <w:rsid w:val="00972521"/>
    <w:rsid w:val="009726B0"/>
    <w:rsid w:val="0097282D"/>
    <w:rsid w:val="00972A9A"/>
    <w:rsid w:val="00972BAC"/>
    <w:rsid w:val="00972C9F"/>
    <w:rsid w:val="009735C9"/>
    <w:rsid w:val="00973BA4"/>
    <w:rsid w:val="0097503A"/>
    <w:rsid w:val="00975917"/>
    <w:rsid w:val="00975F94"/>
    <w:rsid w:val="00975FA3"/>
    <w:rsid w:val="009767F4"/>
    <w:rsid w:val="00977C32"/>
    <w:rsid w:val="009808DA"/>
    <w:rsid w:val="00980CC9"/>
    <w:rsid w:val="00980F02"/>
    <w:rsid w:val="00981A4D"/>
    <w:rsid w:val="00982040"/>
    <w:rsid w:val="00983615"/>
    <w:rsid w:val="00983E2D"/>
    <w:rsid w:val="009851CF"/>
    <w:rsid w:val="00986184"/>
    <w:rsid w:val="009865BD"/>
    <w:rsid w:val="009873BA"/>
    <w:rsid w:val="00987C1D"/>
    <w:rsid w:val="009913FF"/>
    <w:rsid w:val="00991A26"/>
    <w:rsid w:val="009928B6"/>
    <w:rsid w:val="009928F7"/>
    <w:rsid w:val="00992D67"/>
    <w:rsid w:val="00992F54"/>
    <w:rsid w:val="00993745"/>
    <w:rsid w:val="00993BCE"/>
    <w:rsid w:val="009942FB"/>
    <w:rsid w:val="00994C4B"/>
    <w:rsid w:val="00994CB2"/>
    <w:rsid w:val="009967A6"/>
    <w:rsid w:val="00996B4B"/>
    <w:rsid w:val="00997D64"/>
    <w:rsid w:val="009A096C"/>
    <w:rsid w:val="009A0CA8"/>
    <w:rsid w:val="009A15A2"/>
    <w:rsid w:val="009A4860"/>
    <w:rsid w:val="009A5BFC"/>
    <w:rsid w:val="009A5E30"/>
    <w:rsid w:val="009A6D4C"/>
    <w:rsid w:val="009A6E63"/>
    <w:rsid w:val="009A7B2C"/>
    <w:rsid w:val="009B0144"/>
    <w:rsid w:val="009B04C9"/>
    <w:rsid w:val="009B1024"/>
    <w:rsid w:val="009B1254"/>
    <w:rsid w:val="009B40C6"/>
    <w:rsid w:val="009B497D"/>
    <w:rsid w:val="009B4A21"/>
    <w:rsid w:val="009B721E"/>
    <w:rsid w:val="009B7DA3"/>
    <w:rsid w:val="009C098A"/>
    <w:rsid w:val="009C119E"/>
    <w:rsid w:val="009C11DD"/>
    <w:rsid w:val="009C207D"/>
    <w:rsid w:val="009C2672"/>
    <w:rsid w:val="009C2F8F"/>
    <w:rsid w:val="009C39F7"/>
    <w:rsid w:val="009C4611"/>
    <w:rsid w:val="009C54FB"/>
    <w:rsid w:val="009C71FF"/>
    <w:rsid w:val="009C770B"/>
    <w:rsid w:val="009C77F6"/>
    <w:rsid w:val="009D0770"/>
    <w:rsid w:val="009D1C48"/>
    <w:rsid w:val="009D22D4"/>
    <w:rsid w:val="009D2B71"/>
    <w:rsid w:val="009D36E7"/>
    <w:rsid w:val="009D377A"/>
    <w:rsid w:val="009D4714"/>
    <w:rsid w:val="009D48F3"/>
    <w:rsid w:val="009D4CFF"/>
    <w:rsid w:val="009D4DDB"/>
    <w:rsid w:val="009D5C89"/>
    <w:rsid w:val="009D60FD"/>
    <w:rsid w:val="009D6125"/>
    <w:rsid w:val="009D67AF"/>
    <w:rsid w:val="009E0536"/>
    <w:rsid w:val="009E0639"/>
    <w:rsid w:val="009E083E"/>
    <w:rsid w:val="009E0A9D"/>
    <w:rsid w:val="009E23BE"/>
    <w:rsid w:val="009E2584"/>
    <w:rsid w:val="009E313F"/>
    <w:rsid w:val="009E3365"/>
    <w:rsid w:val="009E3409"/>
    <w:rsid w:val="009E352B"/>
    <w:rsid w:val="009E367F"/>
    <w:rsid w:val="009E406D"/>
    <w:rsid w:val="009E428E"/>
    <w:rsid w:val="009E45AD"/>
    <w:rsid w:val="009E46C9"/>
    <w:rsid w:val="009E495C"/>
    <w:rsid w:val="009E4D81"/>
    <w:rsid w:val="009E5D8B"/>
    <w:rsid w:val="009E66A6"/>
    <w:rsid w:val="009E6F2F"/>
    <w:rsid w:val="009E752D"/>
    <w:rsid w:val="009F14E0"/>
    <w:rsid w:val="009F1C16"/>
    <w:rsid w:val="009F1DEA"/>
    <w:rsid w:val="009F2ADB"/>
    <w:rsid w:val="009F34E2"/>
    <w:rsid w:val="009F45A7"/>
    <w:rsid w:val="009F48F1"/>
    <w:rsid w:val="009F5456"/>
    <w:rsid w:val="009F6B02"/>
    <w:rsid w:val="009F7905"/>
    <w:rsid w:val="009F7EB7"/>
    <w:rsid w:val="00A00BE8"/>
    <w:rsid w:val="00A00ED5"/>
    <w:rsid w:val="00A00FE7"/>
    <w:rsid w:val="00A01AFF"/>
    <w:rsid w:val="00A01C24"/>
    <w:rsid w:val="00A0219A"/>
    <w:rsid w:val="00A028D2"/>
    <w:rsid w:val="00A02E16"/>
    <w:rsid w:val="00A0306E"/>
    <w:rsid w:val="00A035FC"/>
    <w:rsid w:val="00A04883"/>
    <w:rsid w:val="00A05A52"/>
    <w:rsid w:val="00A0607F"/>
    <w:rsid w:val="00A07170"/>
    <w:rsid w:val="00A10294"/>
    <w:rsid w:val="00A104B6"/>
    <w:rsid w:val="00A108E5"/>
    <w:rsid w:val="00A11D34"/>
    <w:rsid w:val="00A125F8"/>
    <w:rsid w:val="00A12643"/>
    <w:rsid w:val="00A13309"/>
    <w:rsid w:val="00A1622F"/>
    <w:rsid w:val="00A20CF7"/>
    <w:rsid w:val="00A20F31"/>
    <w:rsid w:val="00A21267"/>
    <w:rsid w:val="00A21496"/>
    <w:rsid w:val="00A214A5"/>
    <w:rsid w:val="00A22F70"/>
    <w:rsid w:val="00A231D7"/>
    <w:rsid w:val="00A23372"/>
    <w:rsid w:val="00A23E3A"/>
    <w:rsid w:val="00A243EF"/>
    <w:rsid w:val="00A24EB2"/>
    <w:rsid w:val="00A251D3"/>
    <w:rsid w:val="00A25327"/>
    <w:rsid w:val="00A2532C"/>
    <w:rsid w:val="00A25452"/>
    <w:rsid w:val="00A258D6"/>
    <w:rsid w:val="00A30953"/>
    <w:rsid w:val="00A310C7"/>
    <w:rsid w:val="00A31A96"/>
    <w:rsid w:val="00A3317B"/>
    <w:rsid w:val="00A34801"/>
    <w:rsid w:val="00A353DA"/>
    <w:rsid w:val="00A35AFF"/>
    <w:rsid w:val="00A35CF5"/>
    <w:rsid w:val="00A35D52"/>
    <w:rsid w:val="00A35EF4"/>
    <w:rsid w:val="00A361AE"/>
    <w:rsid w:val="00A36A2C"/>
    <w:rsid w:val="00A41BD0"/>
    <w:rsid w:val="00A41E20"/>
    <w:rsid w:val="00A42375"/>
    <w:rsid w:val="00A42F30"/>
    <w:rsid w:val="00A4426A"/>
    <w:rsid w:val="00A45E4E"/>
    <w:rsid w:val="00A45ECB"/>
    <w:rsid w:val="00A462B9"/>
    <w:rsid w:val="00A46C97"/>
    <w:rsid w:val="00A478A6"/>
    <w:rsid w:val="00A47A1D"/>
    <w:rsid w:val="00A50662"/>
    <w:rsid w:val="00A52C9F"/>
    <w:rsid w:val="00A53663"/>
    <w:rsid w:val="00A54962"/>
    <w:rsid w:val="00A54971"/>
    <w:rsid w:val="00A54AE4"/>
    <w:rsid w:val="00A54D98"/>
    <w:rsid w:val="00A55531"/>
    <w:rsid w:val="00A557E6"/>
    <w:rsid w:val="00A559F9"/>
    <w:rsid w:val="00A55A48"/>
    <w:rsid w:val="00A57305"/>
    <w:rsid w:val="00A5788E"/>
    <w:rsid w:val="00A60BB9"/>
    <w:rsid w:val="00A61210"/>
    <w:rsid w:val="00A612A6"/>
    <w:rsid w:val="00A61B1D"/>
    <w:rsid w:val="00A61E28"/>
    <w:rsid w:val="00A62DF8"/>
    <w:rsid w:val="00A62F38"/>
    <w:rsid w:val="00A63D76"/>
    <w:rsid w:val="00A63F8E"/>
    <w:rsid w:val="00A642A9"/>
    <w:rsid w:val="00A6434E"/>
    <w:rsid w:val="00A6475C"/>
    <w:rsid w:val="00A64945"/>
    <w:rsid w:val="00A64990"/>
    <w:rsid w:val="00A64BD4"/>
    <w:rsid w:val="00A65075"/>
    <w:rsid w:val="00A65B0D"/>
    <w:rsid w:val="00A65EBC"/>
    <w:rsid w:val="00A664E3"/>
    <w:rsid w:val="00A669E2"/>
    <w:rsid w:val="00A670E1"/>
    <w:rsid w:val="00A67502"/>
    <w:rsid w:val="00A67878"/>
    <w:rsid w:val="00A70C35"/>
    <w:rsid w:val="00A716F1"/>
    <w:rsid w:val="00A723BF"/>
    <w:rsid w:val="00A72775"/>
    <w:rsid w:val="00A73F7D"/>
    <w:rsid w:val="00A74B7F"/>
    <w:rsid w:val="00A75092"/>
    <w:rsid w:val="00A755A8"/>
    <w:rsid w:val="00A75795"/>
    <w:rsid w:val="00A76FFD"/>
    <w:rsid w:val="00A77339"/>
    <w:rsid w:val="00A7736C"/>
    <w:rsid w:val="00A77FC4"/>
    <w:rsid w:val="00A80354"/>
    <w:rsid w:val="00A806C0"/>
    <w:rsid w:val="00A819A3"/>
    <w:rsid w:val="00A81B75"/>
    <w:rsid w:val="00A824A1"/>
    <w:rsid w:val="00A82D1C"/>
    <w:rsid w:val="00A83523"/>
    <w:rsid w:val="00A85C85"/>
    <w:rsid w:val="00A86ED8"/>
    <w:rsid w:val="00A8733A"/>
    <w:rsid w:val="00A87DCF"/>
    <w:rsid w:val="00A87F92"/>
    <w:rsid w:val="00A91151"/>
    <w:rsid w:val="00A914D4"/>
    <w:rsid w:val="00A91549"/>
    <w:rsid w:val="00A919FB"/>
    <w:rsid w:val="00A927E7"/>
    <w:rsid w:val="00A92858"/>
    <w:rsid w:val="00A92CB2"/>
    <w:rsid w:val="00A92DE0"/>
    <w:rsid w:val="00A94433"/>
    <w:rsid w:val="00A9560B"/>
    <w:rsid w:val="00A95C30"/>
    <w:rsid w:val="00A9758D"/>
    <w:rsid w:val="00AA0155"/>
    <w:rsid w:val="00AA0205"/>
    <w:rsid w:val="00AA02E5"/>
    <w:rsid w:val="00AA1C70"/>
    <w:rsid w:val="00AA290D"/>
    <w:rsid w:val="00AA2CAA"/>
    <w:rsid w:val="00AA3EE4"/>
    <w:rsid w:val="00AA49EF"/>
    <w:rsid w:val="00AA4A5D"/>
    <w:rsid w:val="00AA5749"/>
    <w:rsid w:val="00AA6C59"/>
    <w:rsid w:val="00AA6CD9"/>
    <w:rsid w:val="00AA70B7"/>
    <w:rsid w:val="00AA7357"/>
    <w:rsid w:val="00AA7B78"/>
    <w:rsid w:val="00AA7B8B"/>
    <w:rsid w:val="00AB0203"/>
    <w:rsid w:val="00AB0446"/>
    <w:rsid w:val="00AB0C45"/>
    <w:rsid w:val="00AB1C22"/>
    <w:rsid w:val="00AB2530"/>
    <w:rsid w:val="00AB335E"/>
    <w:rsid w:val="00AB39DB"/>
    <w:rsid w:val="00AB3B8E"/>
    <w:rsid w:val="00AB3D55"/>
    <w:rsid w:val="00AB4B6C"/>
    <w:rsid w:val="00AB4D7D"/>
    <w:rsid w:val="00AB53EF"/>
    <w:rsid w:val="00AC003A"/>
    <w:rsid w:val="00AC0255"/>
    <w:rsid w:val="00AC04B8"/>
    <w:rsid w:val="00AC0A69"/>
    <w:rsid w:val="00AC26DC"/>
    <w:rsid w:val="00AC2B14"/>
    <w:rsid w:val="00AC3867"/>
    <w:rsid w:val="00AC3C08"/>
    <w:rsid w:val="00AC3CC2"/>
    <w:rsid w:val="00AC437C"/>
    <w:rsid w:val="00AC48BE"/>
    <w:rsid w:val="00AC4DE0"/>
    <w:rsid w:val="00AC530E"/>
    <w:rsid w:val="00AC6E03"/>
    <w:rsid w:val="00AC6E58"/>
    <w:rsid w:val="00AC730E"/>
    <w:rsid w:val="00AC7F5F"/>
    <w:rsid w:val="00AD0091"/>
    <w:rsid w:val="00AD18E6"/>
    <w:rsid w:val="00AD29E5"/>
    <w:rsid w:val="00AD2BA5"/>
    <w:rsid w:val="00AD2DF8"/>
    <w:rsid w:val="00AD30EC"/>
    <w:rsid w:val="00AD315C"/>
    <w:rsid w:val="00AD350D"/>
    <w:rsid w:val="00AD3AD7"/>
    <w:rsid w:val="00AD3D13"/>
    <w:rsid w:val="00AD46DE"/>
    <w:rsid w:val="00AD5139"/>
    <w:rsid w:val="00AD5B91"/>
    <w:rsid w:val="00AD62BF"/>
    <w:rsid w:val="00AD7235"/>
    <w:rsid w:val="00AD7F91"/>
    <w:rsid w:val="00AE263F"/>
    <w:rsid w:val="00AE291C"/>
    <w:rsid w:val="00AE333F"/>
    <w:rsid w:val="00AE3924"/>
    <w:rsid w:val="00AE3BDF"/>
    <w:rsid w:val="00AE45AB"/>
    <w:rsid w:val="00AE60BA"/>
    <w:rsid w:val="00AE6FA1"/>
    <w:rsid w:val="00AE7147"/>
    <w:rsid w:val="00AE7F6E"/>
    <w:rsid w:val="00AF01DA"/>
    <w:rsid w:val="00AF02CC"/>
    <w:rsid w:val="00AF0A70"/>
    <w:rsid w:val="00AF0AB5"/>
    <w:rsid w:val="00AF0B32"/>
    <w:rsid w:val="00AF1544"/>
    <w:rsid w:val="00AF203D"/>
    <w:rsid w:val="00AF2DC9"/>
    <w:rsid w:val="00AF474B"/>
    <w:rsid w:val="00AF50D9"/>
    <w:rsid w:val="00AF5DD2"/>
    <w:rsid w:val="00AF6E05"/>
    <w:rsid w:val="00AF7764"/>
    <w:rsid w:val="00AF7B3B"/>
    <w:rsid w:val="00B000EF"/>
    <w:rsid w:val="00B0038A"/>
    <w:rsid w:val="00B00EEE"/>
    <w:rsid w:val="00B00F7A"/>
    <w:rsid w:val="00B013B2"/>
    <w:rsid w:val="00B01B98"/>
    <w:rsid w:val="00B04155"/>
    <w:rsid w:val="00B04446"/>
    <w:rsid w:val="00B04F58"/>
    <w:rsid w:val="00B054CE"/>
    <w:rsid w:val="00B057FE"/>
    <w:rsid w:val="00B101C4"/>
    <w:rsid w:val="00B110F0"/>
    <w:rsid w:val="00B110F7"/>
    <w:rsid w:val="00B11399"/>
    <w:rsid w:val="00B114EF"/>
    <w:rsid w:val="00B11E8F"/>
    <w:rsid w:val="00B1333F"/>
    <w:rsid w:val="00B1569E"/>
    <w:rsid w:val="00B16590"/>
    <w:rsid w:val="00B1732F"/>
    <w:rsid w:val="00B17B0F"/>
    <w:rsid w:val="00B20DBE"/>
    <w:rsid w:val="00B2101A"/>
    <w:rsid w:val="00B21442"/>
    <w:rsid w:val="00B21536"/>
    <w:rsid w:val="00B2193D"/>
    <w:rsid w:val="00B22BBD"/>
    <w:rsid w:val="00B2400E"/>
    <w:rsid w:val="00B24E74"/>
    <w:rsid w:val="00B259CC"/>
    <w:rsid w:val="00B261D5"/>
    <w:rsid w:val="00B26370"/>
    <w:rsid w:val="00B26526"/>
    <w:rsid w:val="00B300BB"/>
    <w:rsid w:val="00B30F48"/>
    <w:rsid w:val="00B31632"/>
    <w:rsid w:val="00B319EA"/>
    <w:rsid w:val="00B31AA0"/>
    <w:rsid w:val="00B33156"/>
    <w:rsid w:val="00B33471"/>
    <w:rsid w:val="00B337A2"/>
    <w:rsid w:val="00B33E30"/>
    <w:rsid w:val="00B35111"/>
    <w:rsid w:val="00B35333"/>
    <w:rsid w:val="00B35C16"/>
    <w:rsid w:val="00B364DC"/>
    <w:rsid w:val="00B365A8"/>
    <w:rsid w:val="00B365BD"/>
    <w:rsid w:val="00B3735C"/>
    <w:rsid w:val="00B37372"/>
    <w:rsid w:val="00B37B06"/>
    <w:rsid w:val="00B40FDF"/>
    <w:rsid w:val="00B41BB4"/>
    <w:rsid w:val="00B41CB2"/>
    <w:rsid w:val="00B42BC6"/>
    <w:rsid w:val="00B44448"/>
    <w:rsid w:val="00B458FB"/>
    <w:rsid w:val="00B45931"/>
    <w:rsid w:val="00B45C97"/>
    <w:rsid w:val="00B45CAB"/>
    <w:rsid w:val="00B45F66"/>
    <w:rsid w:val="00B46B83"/>
    <w:rsid w:val="00B46C54"/>
    <w:rsid w:val="00B470E6"/>
    <w:rsid w:val="00B478E0"/>
    <w:rsid w:val="00B47C93"/>
    <w:rsid w:val="00B50CDD"/>
    <w:rsid w:val="00B515E0"/>
    <w:rsid w:val="00B5168C"/>
    <w:rsid w:val="00B52928"/>
    <w:rsid w:val="00B53CA3"/>
    <w:rsid w:val="00B5445C"/>
    <w:rsid w:val="00B551D7"/>
    <w:rsid w:val="00B557D4"/>
    <w:rsid w:val="00B55B7B"/>
    <w:rsid w:val="00B56073"/>
    <w:rsid w:val="00B569D1"/>
    <w:rsid w:val="00B577F8"/>
    <w:rsid w:val="00B60E5B"/>
    <w:rsid w:val="00B62B9A"/>
    <w:rsid w:val="00B64B90"/>
    <w:rsid w:val="00B6542A"/>
    <w:rsid w:val="00B65E1D"/>
    <w:rsid w:val="00B66411"/>
    <w:rsid w:val="00B6772C"/>
    <w:rsid w:val="00B67CC4"/>
    <w:rsid w:val="00B7043D"/>
    <w:rsid w:val="00B709C0"/>
    <w:rsid w:val="00B70D03"/>
    <w:rsid w:val="00B71478"/>
    <w:rsid w:val="00B71A4F"/>
    <w:rsid w:val="00B71DC4"/>
    <w:rsid w:val="00B71E3A"/>
    <w:rsid w:val="00B7273C"/>
    <w:rsid w:val="00B73167"/>
    <w:rsid w:val="00B73786"/>
    <w:rsid w:val="00B741D5"/>
    <w:rsid w:val="00B74345"/>
    <w:rsid w:val="00B743ED"/>
    <w:rsid w:val="00B74EEC"/>
    <w:rsid w:val="00B7517E"/>
    <w:rsid w:val="00B7598E"/>
    <w:rsid w:val="00B75AFC"/>
    <w:rsid w:val="00B77250"/>
    <w:rsid w:val="00B776F8"/>
    <w:rsid w:val="00B77C49"/>
    <w:rsid w:val="00B77DE4"/>
    <w:rsid w:val="00B80D31"/>
    <w:rsid w:val="00B81A96"/>
    <w:rsid w:val="00B81C36"/>
    <w:rsid w:val="00B8284A"/>
    <w:rsid w:val="00B82EA9"/>
    <w:rsid w:val="00B831AC"/>
    <w:rsid w:val="00B83365"/>
    <w:rsid w:val="00B8364F"/>
    <w:rsid w:val="00B85FAB"/>
    <w:rsid w:val="00B868F0"/>
    <w:rsid w:val="00B87EFD"/>
    <w:rsid w:val="00B9075B"/>
    <w:rsid w:val="00B908EA"/>
    <w:rsid w:val="00B90CCB"/>
    <w:rsid w:val="00B9196E"/>
    <w:rsid w:val="00B91C69"/>
    <w:rsid w:val="00B927E1"/>
    <w:rsid w:val="00B92CD9"/>
    <w:rsid w:val="00B92D91"/>
    <w:rsid w:val="00B936C5"/>
    <w:rsid w:val="00B94811"/>
    <w:rsid w:val="00B949FC"/>
    <w:rsid w:val="00B94BBA"/>
    <w:rsid w:val="00B94E10"/>
    <w:rsid w:val="00B94EEF"/>
    <w:rsid w:val="00B9613E"/>
    <w:rsid w:val="00B9639A"/>
    <w:rsid w:val="00B9667C"/>
    <w:rsid w:val="00B96BD1"/>
    <w:rsid w:val="00B97109"/>
    <w:rsid w:val="00B97334"/>
    <w:rsid w:val="00B97A55"/>
    <w:rsid w:val="00BA1151"/>
    <w:rsid w:val="00BA36A4"/>
    <w:rsid w:val="00BA3B8D"/>
    <w:rsid w:val="00BA4319"/>
    <w:rsid w:val="00BA6237"/>
    <w:rsid w:val="00BA6E0A"/>
    <w:rsid w:val="00BA6F59"/>
    <w:rsid w:val="00BA76EC"/>
    <w:rsid w:val="00BA78A3"/>
    <w:rsid w:val="00BA78F0"/>
    <w:rsid w:val="00BB0868"/>
    <w:rsid w:val="00BB21BC"/>
    <w:rsid w:val="00BB238C"/>
    <w:rsid w:val="00BB3849"/>
    <w:rsid w:val="00BB3A58"/>
    <w:rsid w:val="00BB4B3F"/>
    <w:rsid w:val="00BB5005"/>
    <w:rsid w:val="00BB6619"/>
    <w:rsid w:val="00BB6EBA"/>
    <w:rsid w:val="00BB70AF"/>
    <w:rsid w:val="00BB7537"/>
    <w:rsid w:val="00BC010A"/>
    <w:rsid w:val="00BC1718"/>
    <w:rsid w:val="00BC1A05"/>
    <w:rsid w:val="00BC1B51"/>
    <w:rsid w:val="00BC1BF7"/>
    <w:rsid w:val="00BC20DD"/>
    <w:rsid w:val="00BC2F73"/>
    <w:rsid w:val="00BC4324"/>
    <w:rsid w:val="00BC4A20"/>
    <w:rsid w:val="00BC6207"/>
    <w:rsid w:val="00BC6B2E"/>
    <w:rsid w:val="00BC71A7"/>
    <w:rsid w:val="00BC73B2"/>
    <w:rsid w:val="00BD18B3"/>
    <w:rsid w:val="00BD1DB4"/>
    <w:rsid w:val="00BD1ECF"/>
    <w:rsid w:val="00BD259C"/>
    <w:rsid w:val="00BD329A"/>
    <w:rsid w:val="00BD395D"/>
    <w:rsid w:val="00BD3F12"/>
    <w:rsid w:val="00BD6A6C"/>
    <w:rsid w:val="00BD731E"/>
    <w:rsid w:val="00BE090D"/>
    <w:rsid w:val="00BE24A2"/>
    <w:rsid w:val="00BE27DB"/>
    <w:rsid w:val="00BE30F1"/>
    <w:rsid w:val="00BE3A98"/>
    <w:rsid w:val="00BE3AC7"/>
    <w:rsid w:val="00BE4113"/>
    <w:rsid w:val="00BE4129"/>
    <w:rsid w:val="00BE455A"/>
    <w:rsid w:val="00BE4834"/>
    <w:rsid w:val="00BE549F"/>
    <w:rsid w:val="00BE5B85"/>
    <w:rsid w:val="00BE5D95"/>
    <w:rsid w:val="00BE7E81"/>
    <w:rsid w:val="00BF0221"/>
    <w:rsid w:val="00BF094C"/>
    <w:rsid w:val="00BF0A0A"/>
    <w:rsid w:val="00BF1D70"/>
    <w:rsid w:val="00BF2217"/>
    <w:rsid w:val="00BF23E8"/>
    <w:rsid w:val="00BF2497"/>
    <w:rsid w:val="00BF2CED"/>
    <w:rsid w:val="00BF3C99"/>
    <w:rsid w:val="00BF51D3"/>
    <w:rsid w:val="00BF57ED"/>
    <w:rsid w:val="00BF5AD6"/>
    <w:rsid w:val="00BF7A14"/>
    <w:rsid w:val="00BF7E95"/>
    <w:rsid w:val="00C00B6F"/>
    <w:rsid w:val="00C013CF"/>
    <w:rsid w:val="00C01A1A"/>
    <w:rsid w:val="00C01DDE"/>
    <w:rsid w:val="00C032B2"/>
    <w:rsid w:val="00C037AB"/>
    <w:rsid w:val="00C045B6"/>
    <w:rsid w:val="00C0567F"/>
    <w:rsid w:val="00C05D91"/>
    <w:rsid w:val="00C06241"/>
    <w:rsid w:val="00C06C57"/>
    <w:rsid w:val="00C07032"/>
    <w:rsid w:val="00C07AD9"/>
    <w:rsid w:val="00C07D7E"/>
    <w:rsid w:val="00C07DE3"/>
    <w:rsid w:val="00C1138B"/>
    <w:rsid w:val="00C11D53"/>
    <w:rsid w:val="00C125B9"/>
    <w:rsid w:val="00C1345C"/>
    <w:rsid w:val="00C13BCB"/>
    <w:rsid w:val="00C13DA1"/>
    <w:rsid w:val="00C13EC7"/>
    <w:rsid w:val="00C141A5"/>
    <w:rsid w:val="00C1424A"/>
    <w:rsid w:val="00C145E5"/>
    <w:rsid w:val="00C1492A"/>
    <w:rsid w:val="00C15329"/>
    <w:rsid w:val="00C15347"/>
    <w:rsid w:val="00C153AE"/>
    <w:rsid w:val="00C156C5"/>
    <w:rsid w:val="00C202AD"/>
    <w:rsid w:val="00C2079C"/>
    <w:rsid w:val="00C20D84"/>
    <w:rsid w:val="00C2151D"/>
    <w:rsid w:val="00C2220E"/>
    <w:rsid w:val="00C22C27"/>
    <w:rsid w:val="00C22FE9"/>
    <w:rsid w:val="00C23440"/>
    <w:rsid w:val="00C23BDB"/>
    <w:rsid w:val="00C249DF"/>
    <w:rsid w:val="00C250D7"/>
    <w:rsid w:val="00C253A1"/>
    <w:rsid w:val="00C26381"/>
    <w:rsid w:val="00C264D3"/>
    <w:rsid w:val="00C26A29"/>
    <w:rsid w:val="00C27316"/>
    <w:rsid w:val="00C2773E"/>
    <w:rsid w:val="00C27E76"/>
    <w:rsid w:val="00C306D1"/>
    <w:rsid w:val="00C30F48"/>
    <w:rsid w:val="00C316FE"/>
    <w:rsid w:val="00C32460"/>
    <w:rsid w:val="00C32822"/>
    <w:rsid w:val="00C330AA"/>
    <w:rsid w:val="00C34461"/>
    <w:rsid w:val="00C3548E"/>
    <w:rsid w:val="00C357F2"/>
    <w:rsid w:val="00C3646B"/>
    <w:rsid w:val="00C3742A"/>
    <w:rsid w:val="00C37DB1"/>
    <w:rsid w:val="00C40811"/>
    <w:rsid w:val="00C40BE3"/>
    <w:rsid w:val="00C40C54"/>
    <w:rsid w:val="00C4211B"/>
    <w:rsid w:val="00C437CC"/>
    <w:rsid w:val="00C4397C"/>
    <w:rsid w:val="00C44164"/>
    <w:rsid w:val="00C4455C"/>
    <w:rsid w:val="00C4544B"/>
    <w:rsid w:val="00C47F89"/>
    <w:rsid w:val="00C5047A"/>
    <w:rsid w:val="00C505C4"/>
    <w:rsid w:val="00C50890"/>
    <w:rsid w:val="00C51482"/>
    <w:rsid w:val="00C516CD"/>
    <w:rsid w:val="00C5325D"/>
    <w:rsid w:val="00C5345B"/>
    <w:rsid w:val="00C5393D"/>
    <w:rsid w:val="00C53D3B"/>
    <w:rsid w:val="00C551E4"/>
    <w:rsid w:val="00C5579F"/>
    <w:rsid w:val="00C55A65"/>
    <w:rsid w:val="00C572E5"/>
    <w:rsid w:val="00C57787"/>
    <w:rsid w:val="00C60649"/>
    <w:rsid w:val="00C60885"/>
    <w:rsid w:val="00C608EF"/>
    <w:rsid w:val="00C610B8"/>
    <w:rsid w:val="00C611BF"/>
    <w:rsid w:val="00C61355"/>
    <w:rsid w:val="00C64426"/>
    <w:rsid w:val="00C64DFD"/>
    <w:rsid w:val="00C64DFF"/>
    <w:rsid w:val="00C657BB"/>
    <w:rsid w:val="00C66086"/>
    <w:rsid w:val="00C6624B"/>
    <w:rsid w:val="00C66368"/>
    <w:rsid w:val="00C66CC4"/>
    <w:rsid w:val="00C66FEC"/>
    <w:rsid w:val="00C6722F"/>
    <w:rsid w:val="00C67E80"/>
    <w:rsid w:val="00C70933"/>
    <w:rsid w:val="00C71639"/>
    <w:rsid w:val="00C7171C"/>
    <w:rsid w:val="00C720C9"/>
    <w:rsid w:val="00C725C1"/>
    <w:rsid w:val="00C741BE"/>
    <w:rsid w:val="00C74926"/>
    <w:rsid w:val="00C756A6"/>
    <w:rsid w:val="00C75EB8"/>
    <w:rsid w:val="00C77A63"/>
    <w:rsid w:val="00C77A66"/>
    <w:rsid w:val="00C80F78"/>
    <w:rsid w:val="00C811DD"/>
    <w:rsid w:val="00C816D1"/>
    <w:rsid w:val="00C816DA"/>
    <w:rsid w:val="00C8207D"/>
    <w:rsid w:val="00C864E9"/>
    <w:rsid w:val="00C87F9A"/>
    <w:rsid w:val="00C9018E"/>
    <w:rsid w:val="00C90750"/>
    <w:rsid w:val="00C908AC"/>
    <w:rsid w:val="00C9094A"/>
    <w:rsid w:val="00C91423"/>
    <w:rsid w:val="00C91A10"/>
    <w:rsid w:val="00C91E28"/>
    <w:rsid w:val="00C9270B"/>
    <w:rsid w:val="00C9317F"/>
    <w:rsid w:val="00C94F5D"/>
    <w:rsid w:val="00C95B31"/>
    <w:rsid w:val="00C95C94"/>
    <w:rsid w:val="00C9628D"/>
    <w:rsid w:val="00C96459"/>
    <w:rsid w:val="00C9649B"/>
    <w:rsid w:val="00C964D7"/>
    <w:rsid w:val="00C96AD3"/>
    <w:rsid w:val="00C97B2F"/>
    <w:rsid w:val="00C97C8B"/>
    <w:rsid w:val="00C97F7F"/>
    <w:rsid w:val="00CA00D8"/>
    <w:rsid w:val="00CA098A"/>
    <w:rsid w:val="00CA3A2F"/>
    <w:rsid w:val="00CA7077"/>
    <w:rsid w:val="00CA7454"/>
    <w:rsid w:val="00CA76CE"/>
    <w:rsid w:val="00CA7BBB"/>
    <w:rsid w:val="00CB004E"/>
    <w:rsid w:val="00CB06D3"/>
    <w:rsid w:val="00CB06E4"/>
    <w:rsid w:val="00CB0929"/>
    <w:rsid w:val="00CB0C20"/>
    <w:rsid w:val="00CB17CC"/>
    <w:rsid w:val="00CB1F2D"/>
    <w:rsid w:val="00CB239C"/>
    <w:rsid w:val="00CB35FD"/>
    <w:rsid w:val="00CB3D30"/>
    <w:rsid w:val="00CB41DB"/>
    <w:rsid w:val="00CB6242"/>
    <w:rsid w:val="00CB69AA"/>
    <w:rsid w:val="00CB6A15"/>
    <w:rsid w:val="00CB7D5B"/>
    <w:rsid w:val="00CC0B61"/>
    <w:rsid w:val="00CC0C42"/>
    <w:rsid w:val="00CC1610"/>
    <w:rsid w:val="00CC1868"/>
    <w:rsid w:val="00CC40F7"/>
    <w:rsid w:val="00CC5661"/>
    <w:rsid w:val="00CC5741"/>
    <w:rsid w:val="00CC62A2"/>
    <w:rsid w:val="00CC6B14"/>
    <w:rsid w:val="00CC6B5A"/>
    <w:rsid w:val="00CC6D63"/>
    <w:rsid w:val="00CC72DA"/>
    <w:rsid w:val="00CC7695"/>
    <w:rsid w:val="00CD0538"/>
    <w:rsid w:val="00CD0F33"/>
    <w:rsid w:val="00CD12AC"/>
    <w:rsid w:val="00CD25E7"/>
    <w:rsid w:val="00CD279B"/>
    <w:rsid w:val="00CD46B5"/>
    <w:rsid w:val="00CD4CC2"/>
    <w:rsid w:val="00CD4FB3"/>
    <w:rsid w:val="00CD57A6"/>
    <w:rsid w:val="00CD5F31"/>
    <w:rsid w:val="00CD6195"/>
    <w:rsid w:val="00CD6DE2"/>
    <w:rsid w:val="00CD7476"/>
    <w:rsid w:val="00CD7CD4"/>
    <w:rsid w:val="00CE0FCF"/>
    <w:rsid w:val="00CE10EC"/>
    <w:rsid w:val="00CE1AE8"/>
    <w:rsid w:val="00CE229C"/>
    <w:rsid w:val="00CE2DFB"/>
    <w:rsid w:val="00CE31A7"/>
    <w:rsid w:val="00CE3EA1"/>
    <w:rsid w:val="00CE3F1E"/>
    <w:rsid w:val="00CE4163"/>
    <w:rsid w:val="00CE450D"/>
    <w:rsid w:val="00CE52D0"/>
    <w:rsid w:val="00CE59F0"/>
    <w:rsid w:val="00CE6A33"/>
    <w:rsid w:val="00CF0094"/>
    <w:rsid w:val="00CF1262"/>
    <w:rsid w:val="00CF12FC"/>
    <w:rsid w:val="00CF2929"/>
    <w:rsid w:val="00CF365F"/>
    <w:rsid w:val="00CF3C66"/>
    <w:rsid w:val="00CF4000"/>
    <w:rsid w:val="00CF40C4"/>
    <w:rsid w:val="00CF561C"/>
    <w:rsid w:val="00CF5C4F"/>
    <w:rsid w:val="00CF5CB1"/>
    <w:rsid w:val="00CF6385"/>
    <w:rsid w:val="00CF63A5"/>
    <w:rsid w:val="00CF7166"/>
    <w:rsid w:val="00CF7EBE"/>
    <w:rsid w:val="00D002E2"/>
    <w:rsid w:val="00D01B79"/>
    <w:rsid w:val="00D02A55"/>
    <w:rsid w:val="00D036FB"/>
    <w:rsid w:val="00D03C90"/>
    <w:rsid w:val="00D03F7A"/>
    <w:rsid w:val="00D04E33"/>
    <w:rsid w:val="00D05168"/>
    <w:rsid w:val="00D055C3"/>
    <w:rsid w:val="00D05CFC"/>
    <w:rsid w:val="00D06410"/>
    <w:rsid w:val="00D06BA8"/>
    <w:rsid w:val="00D07CFB"/>
    <w:rsid w:val="00D07EDC"/>
    <w:rsid w:val="00D10325"/>
    <w:rsid w:val="00D10AB6"/>
    <w:rsid w:val="00D12891"/>
    <w:rsid w:val="00D129DC"/>
    <w:rsid w:val="00D13A51"/>
    <w:rsid w:val="00D14927"/>
    <w:rsid w:val="00D14A5E"/>
    <w:rsid w:val="00D15D8C"/>
    <w:rsid w:val="00D165C6"/>
    <w:rsid w:val="00D168EA"/>
    <w:rsid w:val="00D17399"/>
    <w:rsid w:val="00D20109"/>
    <w:rsid w:val="00D20C5C"/>
    <w:rsid w:val="00D20FB5"/>
    <w:rsid w:val="00D210F3"/>
    <w:rsid w:val="00D21C71"/>
    <w:rsid w:val="00D22534"/>
    <w:rsid w:val="00D226D5"/>
    <w:rsid w:val="00D227C0"/>
    <w:rsid w:val="00D22D32"/>
    <w:rsid w:val="00D234D7"/>
    <w:rsid w:val="00D23B1E"/>
    <w:rsid w:val="00D2435A"/>
    <w:rsid w:val="00D2461F"/>
    <w:rsid w:val="00D24936"/>
    <w:rsid w:val="00D24D0C"/>
    <w:rsid w:val="00D25338"/>
    <w:rsid w:val="00D30545"/>
    <w:rsid w:val="00D30761"/>
    <w:rsid w:val="00D3087B"/>
    <w:rsid w:val="00D30DB0"/>
    <w:rsid w:val="00D3101C"/>
    <w:rsid w:val="00D316DE"/>
    <w:rsid w:val="00D32DE7"/>
    <w:rsid w:val="00D33181"/>
    <w:rsid w:val="00D3328F"/>
    <w:rsid w:val="00D335E3"/>
    <w:rsid w:val="00D3424E"/>
    <w:rsid w:val="00D348CA"/>
    <w:rsid w:val="00D35748"/>
    <w:rsid w:val="00D36B08"/>
    <w:rsid w:val="00D37FF4"/>
    <w:rsid w:val="00D40D6C"/>
    <w:rsid w:val="00D4216C"/>
    <w:rsid w:val="00D44CA3"/>
    <w:rsid w:val="00D45C83"/>
    <w:rsid w:val="00D466AC"/>
    <w:rsid w:val="00D472E1"/>
    <w:rsid w:val="00D500CC"/>
    <w:rsid w:val="00D5061B"/>
    <w:rsid w:val="00D518FA"/>
    <w:rsid w:val="00D51ECA"/>
    <w:rsid w:val="00D52AD1"/>
    <w:rsid w:val="00D53556"/>
    <w:rsid w:val="00D54E48"/>
    <w:rsid w:val="00D556DB"/>
    <w:rsid w:val="00D56406"/>
    <w:rsid w:val="00D569A1"/>
    <w:rsid w:val="00D57EB7"/>
    <w:rsid w:val="00D602DB"/>
    <w:rsid w:val="00D64E76"/>
    <w:rsid w:val="00D65911"/>
    <w:rsid w:val="00D65B02"/>
    <w:rsid w:val="00D65B1A"/>
    <w:rsid w:val="00D65F52"/>
    <w:rsid w:val="00D66401"/>
    <w:rsid w:val="00D6673D"/>
    <w:rsid w:val="00D70C8C"/>
    <w:rsid w:val="00D71B09"/>
    <w:rsid w:val="00D722C5"/>
    <w:rsid w:val="00D730ED"/>
    <w:rsid w:val="00D731B9"/>
    <w:rsid w:val="00D732CD"/>
    <w:rsid w:val="00D73807"/>
    <w:rsid w:val="00D749B4"/>
    <w:rsid w:val="00D74EB3"/>
    <w:rsid w:val="00D7740B"/>
    <w:rsid w:val="00D779F1"/>
    <w:rsid w:val="00D77EB5"/>
    <w:rsid w:val="00D84073"/>
    <w:rsid w:val="00D847F9"/>
    <w:rsid w:val="00D852B4"/>
    <w:rsid w:val="00D85604"/>
    <w:rsid w:val="00D85D94"/>
    <w:rsid w:val="00D85F55"/>
    <w:rsid w:val="00D8652A"/>
    <w:rsid w:val="00D87832"/>
    <w:rsid w:val="00D87BBC"/>
    <w:rsid w:val="00D9040D"/>
    <w:rsid w:val="00D90C2D"/>
    <w:rsid w:val="00D9148B"/>
    <w:rsid w:val="00D92508"/>
    <w:rsid w:val="00D92688"/>
    <w:rsid w:val="00D9331C"/>
    <w:rsid w:val="00D94921"/>
    <w:rsid w:val="00D95863"/>
    <w:rsid w:val="00D958A4"/>
    <w:rsid w:val="00D95E8A"/>
    <w:rsid w:val="00D96397"/>
    <w:rsid w:val="00D96A81"/>
    <w:rsid w:val="00D97662"/>
    <w:rsid w:val="00DA1CAF"/>
    <w:rsid w:val="00DA2589"/>
    <w:rsid w:val="00DA2716"/>
    <w:rsid w:val="00DA2B92"/>
    <w:rsid w:val="00DA43E1"/>
    <w:rsid w:val="00DA44D0"/>
    <w:rsid w:val="00DA4812"/>
    <w:rsid w:val="00DA505B"/>
    <w:rsid w:val="00DA55B8"/>
    <w:rsid w:val="00DA57BF"/>
    <w:rsid w:val="00DA5872"/>
    <w:rsid w:val="00DA72F2"/>
    <w:rsid w:val="00DA7D44"/>
    <w:rsid w:val="00DB0771"/>
    <w:rsid w:val="00DB1B29"/>
    <w:rsid w:val="00DB297F"/>
    <w:rsid w:val="00DB35F9"/>
    <w:rsid w:val="00DB389B"/>
    <w:rsid w:val="00DB3F6F"/>
    <w:rsid w:val="00DB5080"/>
    <w:rsid w:val="00DB5249"/>
    <w:rsid w:val="00DB6504"/>
    <w:rsid w:val="00DB7AE0"/>
    <w:rsid w:val="00DB7CE3"/>
    <w:rsid w:val="00DB7E86"/>
    <w:rsid w:val="00DC0336"/>
    <w:rsid w:val="00DC09F0"/>
    <w:rsid w:val="00DC1560"/>
    <w:rsid w:val="00DC1D1D"/>
    <w:rsid w:val="00DC212D"/>
    <w:rsid w:val="00DC2CA0"/>
    <w:rsid w:val="00DC5982"/>
    <w:rsid w:val="00DC5A80"/>
    <w:rsid w:val="00DC7858"/>
    <w:rsid w:val="00DC7B0A"/>
    <w:rsid w:val="00DD0010"/>
    <w:rsid w:val="00DD30BC"/>
    <w:rsid w:val="00DD3231"/>
    <w:rsid w:val="00DD4C34"/>
    <w:rsid w:val="00DD6F6B"/>
    <w:rsid w:val="00DD7C19"/>
    <w:rsid w:val="00DE096D"/>
    <w:rsid w:val="00DE16C0"/>
    <w:rsid w:val="00DE2D8C"/>
    <w:rsid w:val="00DE3803"/>
    <w:rsid w:val="00DE43DF"/>
    <w:rsid w:val="00DE4A9D"/>
    <w:rsid w:val="00DE4C64"/>
    <w:rsid w:val="00DE53DD"/>
    <w:rsid w:val="00DE622E"/>
    <w:rsid w:val="00DE79F0"/>
    <w:rsid w:val="00DF58A1"/>
    <w:rsid w:val="00DF60A7"/>
    <w:rsid w:val="00DF63DE"/>
    <w:rsid w:val="00DF6786"/>
    <w:rsid w:val="00DF6F8D"/>
    <w:rsid w:val="00DF7198"/>
    <w:rsid w:val="00E006EC"/>
    <w:rsid w:val="00E00764"/>
    <w:rsid w:val="00E027D0"/>
    <w:rsid w:val="00E02878"/>
    <w:rsid w:val="00E02D78"/>
    <w:rsid w:val="00E03813"/>
    <w:rsid w:val="00E03884"/>
    <w:rsid w:val="00E040F3"/>
    <w:rsid w:val="00E04A8E"/>
    <w:rsid w:val="00E057D1"/>
    <w:rsid w:val="00E05A5A"/>
    <w:rsid w:val="00E05CB9"/>
    <w:rsid w:val="00E06AE3"/>
    <w:rsid w:val="00E10032"/>
    <w:rsid w:val="00E10149"/>
    <w:rsid w:val="00E101BF"/>
    <w:rsid w:val="00E10361"/>
    <w:rsid w:val="00E10A2B"/>
    <w:rsid w:val="00E112E4"/>
    <w:rsid w:val="00E12986"/>
    <w:rsid w:val="00E13615"/>
    <w:rsid w:val="00E13BB8"/>
    <w:rsid w:val="00E164B5"/>
    <w:rsid w:val="00E167E1"/>
    <w:rsid w:val="00E16E7B"/>
    <w:rsid w:val="00E211B5"/>
    <w:rsid w:val="00E22000"/>
    <w:rsid w:val="00E220CD"/>
    <w:rsid w:val="00E2387B"/>
    <w:rsid w:val="00E23EC3"/>
    <w:rsid w:val="00E2466C"/>
    <w:rsid w:val="00E24A86"/>
    <w:rsid w:val="00E26620"/>
    <w:rsid w:val="00E26639"/>
    <w:rsid w:val="00E2692E"/>
    <w:rsid w:val="00E26A15"/>
    <w:rsid w:val="00E26C7E"/>
    <w:rsid w:val="00E2779C"/>
    <w:rsid w:val="00E31224"/>
    <w:rsid w:val="00E327E4"/>
    <w:rsid w:val="00E32944"/>
    <w:rsid w:val="00E339D8"/>
    <w:rsid w:val="00E3437D"/>
    <w:rsid w:val="00E3438A"/>
    <w:rsid w:val="00E34969"/>
    <w:rsid w:val="00E34D09"/>
    <w:rsid w:val="00E357EB"/>
    <w:rsid w:val="00E3595C"/>
    <w:rsid w:val="00E3790A"/>
    <w:rsid w:val="00E37ABB"/>
    <w:rsid w:val="00E37DE1"/>
    <w:rsid w:val="00E40800"/>
    <w:rsid w:val="00E40BDE"/>
    <w:rsid w:val="00E40E31"/>
    <w:rsid w:val="00E4142E"/>
    <w:rsid w:val="00E41A35"/>
    <w:rsid w:val="00E43137"/>
    <w:rsid w:val="00E43366"/>
    <w:rsid w:val="00E43B29"/>
    <w:rsid w:val="00E43FD3"/>
    <w:rsid w:val="00E4688F"/>
    <w:rsid w:val="00E46893"/>
    <w:rsid w:val="00E4710C"/>
    <w:rsid w:val="00E4795D"/>
    <w:rsid w:val="00E50033"/>
    <w:rsid w:val="00E507FD"/>
    <w:rsid w:val="00E51E8B"/>
    <w:rsid w:val="00E52BD2"/>
    <w:rsid w:val="00E559CB"/>
    <w:rsid w:val="00E55E6B"/>
    <w:rsid w:val="00E562CA"/>
    <w:rsid w:val="00E571CC"/>
    <w:rsid w:val="00E60126"/>
    <w:rsid w:val="00E60631"/>
    <w:rsid w:val="00E60B57"/>
    <w:rsid w:val="00E615EA"/>
    <w:rsid w:val="00E61D1C"/>
    <w:rsid w:val="00E6249D"/>
    <w:rsid w:val="00E624F9"/>
    <w:rsid w:val="00E63FC1"/>
    <w:rsid w:val="00E64C77"/>
    <w:rsid w:val="00E65034"/>
    <w:rsid w:val="00E66771"/>
    <w:rsid w:val="00E671BF"/>
    <w:rsid w:val="00E674CF"/>
    <w:rsid w:val="00E67DAC"/>
    <w:rsid w:val="00E67F56"/>
    <w:rsid w:val="00E7040E"/>
    <w:rsid w:val="00E70463"/>
    <w:rsid w:val="00E71371"/>
    <w:rsid w:val="00E7164C"/>
    <w:rsid w:val="00E717C7"/>
    <w:rsid w:val="00E72138"/>
    <w:rsid w:val="00E72A5E"/>
    <w:rsid w:val="00E734E5"/>
    <w:rsid w:val="00E738DA"/>
    <w:rsid w:val="00E742DF"/>
    <w:rsid w:val="00E74CB7"/>
    <w:rsid w:val="00E74F9C"/>
    <w:rsid w:val="00E75067"/>
    <w:rsid w:val="00E75148"/>
    <w:rsid w:val="00E75769"/>
    <w:rsid w:val="00E75B7A"/>
    <w:rsid w:val="00E760B3"/>
    <w:rsid w:val="00E772D8"/>
    <w:rsid w:val="00E81A56"/>
    <w:rsid w:val="00E81C02"/>
    <w:rsid w:val="00E81D76"/>
    <w:rsid w:val="00E820E3"/>
    <w:rsid w:val="00E82922"/>
    <w:rsid w:val="00E82996"/>
    <w:rsid w:val="00E829C5"/>
    <w:rsid w:val="00E82B4D"/>
    <w:rsid w:val="00E82FDD"/>
    <w:rsid w:val="00E831D1"/>
    <w:rsid w:val="00E833C7"/>
    <w:rsid w:val="00E84198"/>
    <w:rsid w:val="00E84742"/>
    <w:rsid w:val="00E85189"/>
    <w:rsid w:val="00E85E01"/>
    <w:rsid w:val="00E87E06"/>
    <w:rsid w:val="00E907CE"/>
    <w:rsid w:val="00E91023"/>
    <w:rsid w:val="00E91F38"/>
    <w:rsid w:val="00E92409"/>
    <w:rsid w:val="00E92CE2"/>
    <w:rsid w:val="00E93703"/>
    <w:rsid w:val="00E938FB"/>
    <w:rsid w:val="00E94070"/>
    <w:rsid w:val="00E95C92"/>
    <w:rsid w:val="00E9605A"/>
    <w:rsid w:val="00E974B0"/>
    <w:rsid w:val="00E97A25"/>
    <w:rsid w:val="00E97E16"/>
    <w:rsid w:val="00EA0C83"/>
    <w:rsid w:val="00EA17E8"/>
    <w:rsid w:val="00EA22BD"/>
    <w:rsid w:val="00EA2B47"/>
    <w:rsid w:val="00EA3CAF"/>
    <w:rsid w:val="00EA44C1"/>
    <w:rsid w:val="00EA5506"/>
    <w:rsid w:val="00EA5AA8"/>
    <w:rsid w:val="00EA6339"/>
    <w:rsid w:val="00EA6431"/>
    <w:rsid w:val="00EA6730"/>
    <w:rsid w:val="00EA6747"/>
    <w:rsid w:val="00EA739A"/>
    <w:rsid w:val="00EA76AE"/>
    <w:rsid w:val="00EA77A7"/>
    <w:rsid w:val="00EA7A59"/>
    <w:rsid w:val="00EB03E7"/>
    <w:rsid w:val="00EB0975"/>
    <w:rsid w:val="00EB1524"/>
    <w:rsid w:val="00EB3098"/>
    <w:rsid w:val="00EB324E"/>
    <w:rsid w:val="00EB35F0"/>
    <w:rsid w:val="00EB4085"/>
    <w:rsid w:val="00EB46B0"/>
    <w:rsid w:val="00EB530E"/>
    <w:rsid w:val="00EB6055"/>
    <w:rsid w:val="00EB76E6"/>
    <w:rsid w:val="00EC237F"/>
    <w:rsid w:val="00EC2422"/>
    <w:rsid w:val="00EC27BB"/>
    <w:rsid w:val="00EC2AEA"/>
    <w:rsid w:val="00EC3C3B"/>
    <w:rsid w:val="00EC40E3"/>
    <w:rsid w:val="00EC5105"/>
    <w:rsid w:val="00EC51CC"/>
    <w:rsid w:val="00EC65AF"/>
    <w:rsid w:val="00EC7753"/>
    <w:rsid w:val="00EC79C1"/>
    <w:rsid w:val="00EC7BCD"/>
    <w:rsid w:val="00ED0C0B"/>
    <w:rsid w:val="00ED15FD"/>
    <w:rsid w:val="00ED1B7B"/>
    <w:rsid w:val="00ED1BF2"/>
    <w:rsid w:val="00ED1FCC"/>
    <w:rsid w:val="00ED254D"/>
    <w:rsid w:val="00ED2793"/>
    <w:rsid w:val="00ED2E60"/>
    <w:rsid w:val="00ED327B"/>
    <w:rsid w:val="00ED3E71"/>
    <w:rsid w:val="00ED47AE"/>
    <w:rsid w:val="00ED4898"/>
    <w:rsid w:val="00ED5309"/>
    <w:rsid w:val="00ED5B86"/>
    <w:rsid w:val="00ED5EBA"/>
    <w:rsid w:val="00ED64ED"/>
    <w:rsid w:val="00ED695A"/>
    <w:rsid w:val="00ED72D1"/>
    <w:rsid w:val="00ED72DF"/>
    <w:rsid w:val="00ED7DD3"/>
    <w:rsid w:val="00EE04DC"/>
    <w:rsid w:val="00EE0696"/>
    <w:rsid w:val="00EE15D2"/>
    <w:rsid w:val="00EE1844"/>
    <w:rsid w:val="00EE1865"/>
    <w:rsid w:val="00EE1D3E"/>
    <w:rsid w:val="00EE2C80"/>
    <w:rsid w:val="00EE34FE"/>
    <w:rsid w:val="00EE3721"/>
    <w:rsid w:val="00EE4802"/>
    <w:rsid w:val="00EE5473"/>
    <w:rsid w:val="00EE54EF"/>
    <w:rsid w:val="00EE5B37"/>
    <w:rsid w:val="00EE7998"/>
    <w:rsid w:val="00EF018B"/>
    <w:rsid w:val="00EF163D"/>
    <w:rsid w:val="00EF1AC6"/>
    <w:rsid w:val="00EF2DE1"/>
    <w:rsid w:val="00EF32AE"/>
    <w:rsid w:val="00EF3ABB"/>
    <w:rsid w:val="00EF3E7A"/>
    <w:rsid w:val="00EF3EF4"/>
    <w:rsid w:val="00EF56D8"/>
    <w:rsid w:val="00EF6094"/>
    <w:rsid w:val="00EF62D7"/>
    <w:rsid w:val="00EF68ED"/>
    <w:rsid w:val="00EF76BD"/>
    <w:rsid w:val="00F00DF9"/>
    <w:rsid w:val="00F00FDB"/>
    <w:rsid w:val="00F00FEB"/>
    <w:rsid w:val="00F017C8"/>
    <w:rsid w:val="00F01814"/>
    <w:rsid w:val="00F023AB"/>
    <w:rsid w:val="00F024EE"/>
    <w:rsid w:val="00F029BA"/>
    <w:rsid w:val="00F04B95"/>
    <w:rsid w:val="00F04D06"/>
    <w:rsid w:val="00F05C1D"/>
    <w:rsid w:val="00F05EEE"/>
    <w:rsid w:val="00F07458"/>
    <w:rsid w:val="00F10BC2"/>
    <w:rsid w:val="00F1131A"/>
    <w:rsid w:val="00F1151F"/>
    <w:rsid w:val="00F117F0"/>
    <w:rsid w:val="00F11D81"/>
    <w:rsid w:val="00F12618"/>
    <w:rsid w:val="00F13369"/>
    <w:rsid w:val="00F1365A"/>
    <w:rsid w:val="00F137EA"/>
    <w:rsid w:val="00F13951"/>
    <w:rsid w:val="00F146FA"/>
    <w:rsid w:val="00F1510E"/>
    <w:rsid w:val="00F158A0"/>
    <w:rsid w:val="00F16147"/>
    <w:rsid w:val="00F16283"/>
    <w:rsid w:val="00F16E04"/>
    <w:rsid w:val="00F21667"/>
    <w:rsid w:val="00F21B3D"/>
    <w:rsid w:val="00F22C7C"/>
    <w:rsid w:val="00F2367F"/>
    <w:rsid w:val="00F2414A"/>
    <w:rsid w:val="00F24357"/>
    <w:rsid w:val="00F24468"/>
    <w:rsid w:val="00F24981"/>
    <w:rsid w:val="00F24F8F"/>
    <w:rsid w:val="00F25EA6"/>
    <w:rsid w:val="00F27E93"/>
    <w:rsid w:val="00F30D25"/>
    <w:rsid w:val="00F3174D"/>
    <w:rsid w:val="00F317E2"/>
    <w:rsid w:val="00F31926"/>
    <w:rsid w:val="00F332E1"/>
    <w:rsid w:val="00F333E2"/>
    <w:rsid w:val="00F337A4"/>
    <w:rsid w:val="00F33A73"/>
    <w:rsid w:val="00F34457"/>
    <w:rsid w:val="00F3484F"/>
    <w:rsid w:val="00F34E37"/>
    <w:rsid w:val="00F35846"/>
    <w:rsid w:val="00F3605F"/>
    <w:rsid w:val="00F36597"/>
    <w:rsid w:val="00F3684D"/>
    <w:rsid w:val="00F36BC0"/>
    <w:rsid w:val="00F4067C"/>
    <w:rsid w:val="00F4117F"/>
    <w:rsid w:val="00F41297"/>
    <w:rsid w:val="00F42624"/>
    <w:rsid w:val="00F42CA0"/>
    <w:rsid w:val="00F44E1E"/>
    <w:rsid w:val="00F450ED"/>
    <w:rsid w:val="00F45198"/>
    <w:rsid w:val="00F45EEB"/>
    <w:rsid w:val="00F465BB"/>
    <w:rsid w:val="00F466DA"/>
    <w:rsid w:val="00F46F03"/>
    <w:rsid w:val="00F47431"/>
    <w:rsid w:val="00F47620"/>
    <w:rsid w:val="00F47833"/>
    <w:rsid w:val="00F50DAC"/>
    <w:rsid w:val="00F50E20"/>
    <w:rsid w:val="00F51ABF"/>
    <w:rsid w:val="00F55286"/>
    <w:rsid w:val="00F56CC4"/>
    <w:rsid w:val="00F6021B"/>
    <w:rsid w:val="00F61925"/>
    <w:rsid w:val="00F61AD5"/>
    <w:rsid w:val="00F66AA9"/>
    <w:rsid w:val="00F67515"/>
    <w:rsid w:val="00F67A39"/>
    <w:rsid w:val="00F70018"/>
    <w:rsid w:val="00F704CE"/>
    <w:rsid w:val="00F70E7F"/>
    <w:rsid w:val="00F71716"/>
    <w:rsid w:val="00F72BEE"/>
    <w:rsid w:val="00F73051"/>
    <w:rsid w:val="00F73248"/>
    <w:rsid w:val="00F74A87"/>
    <w:rsid w:val="00F75126"/>
    <w:rsid w:val="00F75438"/>
    <w:rsid w:val="00F77B47"/>
    <w:rsid w:val="00F77D8A"/>
    <w:rsid w:val="00F77E52"/>
    <w:rsid w:val="00F77E6C"/>
    <w:rsid w:val="00F80005"/>
    <w:rsid w:val="00F80036"/>
    <w:rsid w:val="00F80F17"/>
    <w:rsid w:val="00F814C0"/>
    <w:rsid w:val="00F827C6"/>
    <w:rsid w:val="00F82991"/>
    <w:rsid w:val="00F8314A"/>
    <w:rsid w:val="00F8383C"/>
    <w:rsid w:val="00F85F56"/>
    <w:rsid w:val="00F862AC"/>
    <w:rsid w:val="00F8681A"/>
    <w:rsid w:val="00F8691D"/>
    <w:rsid w:val="00F86C02"/>
    <w:rsid w:val="00F86C9B"/>
    <w:rsid w:val="00F86FD2"/>
    <w:rsid w:val="00F9104E"/>
    <w:rsid w:val="00F91C26"/>
    <w:rsid w:val="00F929F1"/>
    <w:rsid w:val="00F92BD4"/>
    <w:rsid w:val="00F92E0F"/>
    <w:rsid w:val="00F934F9"/>
    <w:rsid w:val="00F93604"/>
    <w:rsid w:val="00F94B86"/>
    <w:rsid w:val="00F964BB"/>
    <w:rsid w:val="00F96C35"/>
    <w:rsid w:val="00F9788B"/>
    <w:rsid w:val="00F97EE2"/>
    <w:rsid w:val="00FA038A"/>
    <w:rsid w:val="00FA22D2"/>
    <w:rsid w:val="00FA31A8"/>
    <w:rsid w:val="00FA31EF"/>
    <w:rsid w:val="00FA4A5A"/>
    <w:rsid w:val="00FA4C18"/>
    <w:rsid w:val="00FA4C6E"/>
    <w:rsid w:val="00FA522E"/>
    <w:rsid w:val="00FA57B0"/>
    <w:rsid w:val="00FA59A1"/>
    <w:rsid w:val="00FA5B39"/>
    <w:rsid w:val="00FA6A16"/>
    <w:rsid w:val="00FA6F3C"/>
    <w:rsid w:val="00FA7534"/>
    <w:rsid w:val="00FA76D1"/>
    <w:rsid w:val="00FA79BD"/>
    <w:rsid w:val="00FA7AE0"/>
    <w:rsid w:val="00FB07B5"/>
    <w:rsid w:val="00FB0F51"/>
    <w:rsid w:val="00FB175C"/>
    <w:rsid w:val="00FB26A2"/>
    <w:rsid w:val="00FB27AD"/>
    <w:rsid w:val="00FB2B9A"/>
    <w:rsid w:val="00FB3D07"/>
    <w:rsid w:val="00FB3F6C"/>
    <w:rsid w:val="00FB4BA4"/>
    <w:rsid w:val="00FB4F79"/>
    <w:rsid w:val="00FB5761"/>
    <w:rsid w:val="00FB5D00"/>
    <w:rsid w:val="00FB7658"/>
    <w:rsid w:val="00FC006C"/>
    <w:rsid w:val="00FC19E2"/>
    <w:rsid w:val="00FC2656"/>
    <w:rsid w:val="00FC3163"/>
    <w:rsid w:val="00FC35BC"/>
    <w:rsid w:val="00FC52C9"/>
    <w:rsid w:val="00FC6769"/>
    <w:rsid w:val="00FC7343"/>
    <w:rsid w:val="00FC788F"/>
    <w:rsid w:val="00FC79FC"/>
    <w:rsid w:val="00FD09E3"/>
    <w:rsid w:val="00FD0CB3"/>
    <w:rsid w:val="00FD0E15"/>
    <w:rsid w:val="00FD13FC"/>
    <w:rsid w:val="00FD26C9"/>
    <w:rsid w:val="00FD30D2"/>
    <w:rsid w:val="00FD6B91"/>
    <w:rsid w:val="00FD6D91"/>
    <w:rsid w:val="00FD72A7"/>
    <w:rsid w:val="00FD7983"/>
    <w:rsid w:val="00FE06FC"/>
    <w:rsid w:val="00FE09B1"/>
    <w:rsid w:val="00FE14FB"/>
    <w:rsid w:val="00FE1E0E"/>
    <w:rsid w:val="00FE1F4A"/>
    <w:rsid w:val="00FE4BA2"/>
    <w:rsid w:val="00FE660D"/>
    <w:rsid w:val="00FE6D75"/>
    <w:rsid w:val="00FE7C06"/>
    <w:rsid w:val="00FF07EE"/>
    <w:rsid w:val="00FF0825"/>
    <w:rsid w:val="00FF15E4"/>
    <w:rsid w:val="00FF27C9"/>
    <w:rsid w:val="00FF30BE"/>
    <w:rsid w:val="00FF3DE1"/>
    <w:rsid w:val="00FF406E"/>
    <w:rsid w:val="00FF4A30"/>
    <w:rsid w:val="00FF4B78"/>
    <w:rsid w:val="00FF5386"/>
    <w:rsid w:val="00FF5DAA"/>
    <w:rsid w:val="00FF70F0"/>
    <w:rsid w:val="00FF72CC"/>
    <w:rsid w:val="00FF7F30"/>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3E4E59"/>
    <w:pPr>
      <w:spacing w:after="200" w:line="276" w:lineRule="auto"/>
    </w:pPr>
    <w:rPr>
      <w:lang w:val="nl-NL"/>
    </w:rPr>
  </w:style>
  <w:style w:type="paragraph" w:styleId="Heading1">
    <w:name w:val="heading 1"/>
    <w:basedOn w:val="Normal"/>
    <w:next w:val="Normal"/>
    <w:link w:val="Heading1Char"/>
    <w:uiPriority w:val="99"/>
    <w:qFormat/>
    <w:rsid w:val="009F5456"/>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9"/>
    <w:qFormat/>
    <w:rsid w:val="00F24F8F"/>
    <w:pPr>
      <w:keepNext/>
      <w:keepLines/>
      <w:spacing w:before="200" w:after="0"/>
      <w:outlineLvl w:val="1"/>
    </w:pPr>
    <w:rPr>
      <w:rFonts w:eastAsia="Times New Roman" w:cs="Times New Roman"/>
      <w:b/>
      <w:bCs/>
      <w:color w:val="000000"/>
      <w:sz w:val="26"/>
      <w:szCs w:val="26"/>
    </w:rPr>
  </w:style>
  <w:style w:type="paragraph" w:styleId="Heading3">
    <w:name w:val="heading 3"/>
    <w:basedOn w:val="Normal"/>
    <w:next w:val="Normal"/>
    <w:link w:val="Heading3Char"/>
    <w:uiPriority w:val="99"/>
    <w:qFormat/>
    <w:rsid w:val="00BE3A98"/>
    <w:pPr>
      <w:keepNext/>
      <w:keepLines/>
      <w:spacing w:before="200" w:after="0"/>
      <w:outlineLvl w:val="2"/>
    </w:pPr>
    <w:rPr>
      <w:rFonts w:eastAsia="Times New Roman" w:cs="Times New Roman"/>
      <w:b/>
      <w:bCs/>
    </w:rPr>
  </w:style>
  <w:style w:type="paragraph" w:styleId="Heading4">
    <w:name w:val="heading 4"/>
    <w:basedOn w:val="Normal"/>
    <w:next w:val="Normal"/>
    <w:link w:val="Heading4Char"/>
    <w:uiPriority w:val="99"/>
    <w:qFormat/>
    <w:rsid w:val="00B1569E"/>
    <w:pPr>
      <w:keepNext/>
      <w:keepLines/>
      <w:spacing w:before="200" w:after="0"/>
      <w:outlineLvl w:val="3"/>
    </w:pPr>
    <w:rPr>
      <w:rFonts w:eastAsia="Times New Roman" w:cs="Times New Roman"/>
      <w:b/>
      <w:bCs/>
      <w:i/>
      <w:iCs/>
      <w:sz w:val="20"/>
    </w:rPr>
  </w:style>
  <w:style w:type="paragraph" w:styleId="Heading5">
    <w:name w:val="heading 5"/>
    <w:basedOn w:val="Normal"/>
    <w:next w:val="Normal"/>
    <w:link w:val="Heading5Char"/>
    <w:uiPriority w:val="99"/>
    <w:qFormat/>
    <w:rsid w:val="001750AD"/>
    <w:pPr>
      <w:keepNext/>
      <w:keepLines/>
      <w:spacing w:before="200" w:after="0"/>
      <w:outlineLvl w:val="4"/>
    </w:pPr>
    <w:rPr>
      <w:rFonts w:ascii="Cambria" w:eastAsia="Times New Roman" w:hAnsi="Cambria" w:cs="Times New Roman"/>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F5456"/>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F24F8F"/>
    <w:rPr>
      <w:rFonts w:eastAsia="Times New Roman" w:cs="Times New Roman"/>
      <w:b/>
      <w:bCs/>
      <w:color w:val="000000"/>
      <w:sz w:val="26"/>
      <w:szCs w:val="26"/>
    </w:rPr>
  </w:style>
  <w:style w:type="character" w:customStyle="1" w:styleId="Heading3Char">
    <w:name w:val="Heading 3 Char"/>
    <w:basedOn w:val="DefaultParagraphFont"/>
    <w:link w:val="Heading3"/>
    <w:uiPriority w:val="99"/>
    <w:locked/>
    <w:rsid w:val="00BE3A98"/>
    <w:rPr>
      <w:rFonts w:eastAsia="Times New Roman" w:cs="Times New Roman"/>
      <w:b/>
      <w:bCs/>
    </w:rPr>
  </w:style>
  <w:style w:type="character" w:customStyle="1" w:styleId="Heading4Char">
    <w:name w:val="Heading 4 Char"/>
    <w:basedOn w:val="DefaultParagraphFont"/>
    <w:link w:val="Heading4"/>
    <w:uiPriority w:val="99"/>
    <w:locked/>
    <w:rsid w:val="00B1569E"/>
    <w:rPr>
      <w:rFonts w:eastAsia="Times New Roman" w:cs="Times New Roman"/>
      <w:b/>
      <w:bCs/>
      <w:i/>
      <w:iCs/>
      <w:sz w:val="20"/>
    </w:rPr>
  </w:style>
  <w:style w:type="character" w:customStyle="1" w:styleId="Heading5Char">
    <w:name w:val="Heading 5 Char"/>
    <w:basedOn w:val="DefaultParagraphFont"/>
    <w:link w:val="Heading5"/>
    <w:uiPriority w:val="99"/>
    <w:locked/>
    <w:rsid w:val="001750AD"/>
    <w:rPr>
      <w:rFonts w:ascii="Cambria" w:hAnsi="Cambria" w:cs="Times New Roman"/>
      <w:color w:val="243F60"/>
    </w:rPr>
  </w:style>
  <w:style w:type="paragraph" w:styleId="FootnoteText">
    <w:name w:val="footnote text"/>
    <w:basedOn w:val="Normal"/>
    <w:link w:val="FootnoteTextChar"/>
    <w:uiPriority w:val="99"/>
    <w:rsid w:val="007D13EC"/>
    <w:pPr>
      <w:spacing w:after="0" w:line="240" w:lineRule="auto"/>
    </w:pPr>
    <w:rPr>
      <w:sz w:val="20"/>
      <w:szCs w:val="20"/>
    </w:rPr>
  </w:style>
  <w:style w:type="character" w:customStyle="1" w:styleId="FootnoteTextChar">
    <w:name w:val="Footnote Text Char"/>
    <w:basedOn w:val="DefaultParagraphFont"/>
    <w:link w:val="FootnoteText"/>
    <w:uiPriority w:val="99"/>
    <w:locked/>
    <w:rsid w:val="007D13EC"/>
    <w:rPr>
      <w:rFonts w:cs="Times New Roman"/>
      <w:sz w:val="20"/>
      <w:szCs w:val="20"/>
    </w:rPr>
  </w:style>
  <w:style w:type="character" w:styleId="FootnoteReference">
    <w:name w:val="footnote reference"/>
    <w:basedOn w:val="DefaultParagraphFont"/>
    <w:uiPriority w:val="99"/>
    <w:rsid w:val="007D13EC"/>
    <w:rPr>
      <w:rFonts w:cs="Times New Roman"/>
      <w:vertAlign w:val="superscript"/>
    </w:rPr>
  </w:style>
  <w:style w:type="paragraph" w:styleId="ListParagraph">
    <w:name w:val="List Paragraph"/>
    <w:basedOn w:val="Normal"/>
    <w:uiPriority w:val="99"/>
    <w:qFormat/>
    <w:rsid w:val="0079037A"/>
    <w:pPr>
      <w:ind w:left="720"/>
      <w:contextualSpacing/>
    </w:pPr>
  </w:style>
  <w:style w:type="character" w:styleId="Hyperlink">
    <w:name w:val="Hyperlink"/>
    <w:basedOn w:val="DefaultParagraphFont"/>
    <w:uiPriority w:val="99"/>
    <w:rsid w:val="00042B3A"/>
    <w:rPr>
      <w:rFonts w:cs="Times New Roman"/>
      <w:color w:val="0000FF"/>
      <w:u w:val="single"/>
    </w:rPr>
  </w:style>
  <w:style w:type="paragraph" w:styleId="NormalWeb">
    <w:name w:val="Normal (Web)"/>
    <w:basedOn w:val="Normal"/>
    <w:uiPriority w:val="99"/>
    <w:rsid w:val="00BA78A3"/>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Header">
    <w:name w:val="header"/>
    <w:basedOn w:val="Normal"/>
    <w:link w:val="HeaderChar"/>
    <w:uiPriority w:val="99"/>
    <w:rsid w:val="0024212A"/>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24212A"/>
    <w:rPr>
      <w:rFonts w:cs="Times New Roman"/>
    </w:rPr>
  </w:style>
  <w:style w:type="paragraph" w:styleId="Footer">
    <w:name w:val="footer"/>
    <w:basedOn w:val="Normal"/>
    <w:link w:val="FooterChar"/>
    <w:uiPriority w:val="99"/>
    <w:rsid w:val="0024212A"/>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24212A"/>
    <w:rPr>
      <w:rFonts w:cs="Times New Roman"/>
    </w:rPr>
  </w:style>
  <w:style w:type="paragraph" w:styleId="TOCHeading">
    <w:name w:val="TOC Heading"/>
    <w:basedOn w:val="Heading1"/>
    <w:next w:val="Normal"/>
    <w:uiPriority w:val="99"/>
    <w:qFormat/>
    <w:rsid w:val="004963F2"/>
    <w:pPr>
      <w:outlineLvl w:val="9"/>
    </w:pPr>
    <w:rPr>
      <w:lang w:val="en-US"/>
    </w:rPr>
  </w:style>
  <w:style w:type="paragraph" w:styleId="TOC1">
    <w:name w:val="toc 1"/>
    <w:basedOn w:val="Normal"/>
    <w:next w:val="Normal"/>
    <w:autoRedefine/>
    <w:uiPriority w:val="99"/>
    <w:rsid w:val="0076295D"/>
    <w:pPr>
      <w:tabs>
        <w:tab w:val="right" w:leader="dot" w:pos="9062"/>
      </w:tabs>
      <w:spacing w:after="100"/>
    </w:pPr>
    <w:rPr>
      <w:b/>
      <w:noProof/>
      <w:sz w:val="24"/>
      <w:szCs w:val="24"/>
    </w:rPr>
  </w:style>
  <w:style w:type="paragraph" w:styleId="TOC2">
    <w:name w:val="toc 2"/>
    <w:basedOn w:val="Normal"/>
    <w:next w:val="Normal"/>
    <w:autoRedefine/>
    <w:uiPriority w:val="99"/>
    <w:rsid w:val="004963F2"/>
    <w:pPr>
      <w:spacing w:after="100"/>
      <w:ind w:left="220"/>
    </w:pPr>
  </w:style>
  <w:style w:type="paragraph" w:styleId="TOC3">
    <w:name w:val="toc 3"/>
    <w:basedOn w:val="Normal"/>
    <w:next w:val="Normal"/>
    <w:autoRedefine/>
    <w:uiPriority w:val="99"/>
    <w:rsid w:val="004963F2"/>
    <w:pPr>
      <w:spacing w:after="100"/>
      <w:ind w:left="440"/>
    </w:pPr>
  </w:style>
  <w:style w:type="paragraph" w:styleId="BalloonText">
    <w:name w:val="Balloon Text"/>
    <w:basedOn w:val="Normal"/>
    <w:link w:val="BalloonTextChar"/>
    <w:uiPriority w:val="99"/>
    <w:semiHidden/>
    <w:rsid w:val="004963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963F2"/>
    <w:rPr>
      <w:rFonts w:ascii="Tahoma" w:hAnsi="Tahoma" w:cs="Tahoma"/>
      <w:sz w:val="16"/>
      <w:szCs w:val="16"/>
    </w:rPr>
  </w:style>
  <w:style w:type="paragraph" w:styleId="TOC4">
    <w:name w:val="toc 4"/>
    <w:basedOn w:val="Normal"/>
    <w:next w:val="Normal"/>
    <w:autoRedefine/>
    <w:uiPriority w:val="99"/>
    <w:rsid w:val="001B0CE3"/>
    <w:pPr>
      <w:tabs>
        <w:tab w:val="right" w:leader="hyphen" w:pos="9062"/>
      </w:tabs>
      <w:spacing w:after="100"/>
      <w:ind w:left="660"/>
    </w:pPr>
    <w:rPr>
      <w:i/>
      <w:noProof/>
    </w:rPr>
  </w:style>
  <w:style w:type="paragraph" w:customStyle="1" w:styleId="niveau1">
    <w:name w:val="niveau1"/>
    <w:basedOn w:val="Normal"/>
    <w:uiPriority w:val="99"/>
    <w:rsid w:val="00DD30BC"/>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cltitelversie">
    <w:name w:val="cltitelversie"/>
    <w:basedOn w:val="Normal"/>
    <w:uiPriority w:val="99"/>
    <w:rsid w:val="003013B9"/>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uiPriority w:val="99"/>
    <w:rsid w:val="009173EC"/>
    <w:pPr>
      <w:autoSpaceDE w:val="0"/>
      <w:autoSpaceDN w:val="0"/>
      <w:adjustRightInd w:val="0"/>
    </w:pPr>
    <w:rPr>
      <w:rFonts w:ascii="Arial" w:hAnsi="Arial"/>
      <w:color w:val="000000"/>
      <w:sz w:val="24"/>
      <w:szCs w:val="24"/>
    </w:rPr>
  </w:style>
  <w:style w:type="character" w:styleId="Emphasis">
    <w:name w:val="Emphasis"/>
    <w:basedOn w:val="DefaultParagraphFont"/>
    <w:uiPriority w:val="99"/>
    <w:qFormat/>
    <w:rsid w:val="00AE333F"/>
    <w:rPr>
      <w:rFonts w:cs="Times New Roman"/>
      <w:i/>
      <w:iCs/>
    </w:rPr>
  </w:style>
  <w:style w:type="character" w:styleId="Strong">
    <w:name w:val="Strong"/>
    <w:basedOn w:val="DefaultParagraphFont"/>
    <w:uiPriority w:val="99"/>
    <w:qFormat/>
    <w:rsid w:val="00AE333F"/>
    <w:rPr>
      <w:rFonts w:cs="Times New Roman"/>
      <w:b/>
      <w:bCs/>
    </w:rPr>
  </w:style>
  <w:style w:type="character" w:customStyle="1" w:styleId="srch-title">
    <w:name w:val="srch-title"/>
    <w:basedOn w:val="DefaultParagraphFont"/>
    <w:uiPriority w:val="99"/>
    <w:rsid w:val="001750AD"/>
    <w:rPr>
      <w:rFonts w:cs="Times New Roman"/>
    </w:rPr>
  </w:style>
  <w:style w:type="character" w:customStyle="1" w:styleId="highlight1">
    <w:name w:val="highlight1"/>
    <w:basedOn w:val="DefaultParagraphFont"/>
    <w:uiPriority w:val="99"/>
    <w:rsid w:val="001750AD"/>
    <w:rPr>
      <w:rFonts w:cs="Times New Roman"/>
    </w:rPr>
  </w:style>
  <w:style w:type="character" w:styleId="FollowedHyperlink">
    <w:name w:val="FollowedHyperlink"/>
    <w:basedOn w:val="DefaultParagraphFont"/>
    <w:uiPriority w:val="99"/>
    <w:semiHidden/>
    <w:rsid w:val="00465CE4"/>
    <w:rPr>
      <w:rFonts w:cs="Times New Roman"/>
      <w:color w:val="800080"/>
      <w:u w:val="single"/>
    </w:rPr>
  </w:style>
  <w:style w:type="character" w:customStyle="1" w:styleId="cchit">
    <w:name w:val="cchit"/>
    <w:basedOn w:val="DefaultParagraphFont"/>
    <w:uiPriority w:val="99"/>
    <w:rsid w:val="00AE6FA1"/>
    <w:rPr>
      <w:rFonts w:cs="Times New Roman"/>
    </w:rPr>
  </w:style>
  <w:style w:type="paragraph" w:customStyle="1" w:styleId="5normal">
    <w:name w:val="5normal"/>
    <w:basedOn w:val="Normal"/>
    <w:uiPriority w:val="99"/>
    <w:rsid w:val="00AE6FA1"/>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99"/>
    <w:rsid w:val="00AE6FA1"/>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motetext">
    <w:name w:val="emote_text"/>
    <w:basedOn w:val="DefaultParagraphFont"/>
    <w:uiPriority w:val="99"/>
    <w:rsid w:val="00470675"/>
    <w:rPr>
      <w:rFonts w:cs="Times New Roman"/>
    </w:rPr>
  </w:style>
  <w:style w:type="paragraph" w:styleId="BodyText">
    <w:name w:val="Body Text"/>
    <w:basedOn w:val="Normal"/>
    <w:link w:val="BodyTextChar"/>
    <w:uiPriority w:val="99"/>
    <w:semiHidden/>
    <w:rsid w:val="00564A06"/>
    <w:pPr>
      <w:suppressAutoHyphens/>
      <w:spacing w:after="0" w:line="240" w:lineRule="auto"/>
    </w:pPr>
    <w:rPr>
      <w:rFonts w:ascii="Times New Roman" w:eastAsia="Times New Roman" w:hAnsi="Times New Roman" w:cs="Times New Roman"/>
      <w:b/>
      <w:bCs/>
      <w:sz w:val="24"/>
      <w:szCs w:val="24"/>
      <w:lang w:eastAsia="ar-SA"/>
    </w:rPr>
  </w:style>
  <w:style w:type="character" w:customStyle="1" w:styleId="BodyTextChar">
    <w:name w:val="Body Text Char"/>
    <w:basedOn w:val="DefaultParagraphFont"/>
    <w:link w:val="BodyText"/>
    <w:uiPriority w:val="99"/>
    <w:semiHidden/>
    <w:locked/>
    <w:rsid w:val="00564A06"/>
    <w:rPr>
      <w:rFonts w:ascii="Times New Roman" w:hAnsi="Times New Roman" w:cs="Times New Roman"/>
      <w:b/>
      <w:bCs/>
      <w:sz w:val="24"/>
      <w:szCs w:val="24"/>
      <w:lang w:eastAsia="ar-SA" w:bidi="ar-SA"/>
    </w:rPr>
  </w:style>
</w:styles>
</file>

<file path=word/webSettings.xml><?xml version="1.0" encoding="utf-8"?>
<w:webSettings xmlns:r="http://schemas.openxmlformats.org/officeDocument/2006/relationships" xmlns:w="http://schemas.openxmlformats.org/wordprocessingml/2006/main">
  <w:divs>
    <w:div w:id="1610121126">
      <w:marLeft w:val="0"/>
      <w:marRight w:val="0"/>
      <w:marTop w:val="0"/>
      <w:marBottom w:val="0"/>
      <w:divBdr>
        <w:top w:val="none" w:sz="0" w:space="0" w:color="auto"/>
        <w:left w:val="none" w:sz="0" w:space="0" w:color="auto"/>
        <w:bottom w:val="none" w:sz="0" w:space="0" w:color="auto"/>
        <w:right w:val="none" w:sz="0" w:space="0" w:color="auto"/>
      </w:divBdr>
    </w:div>
    <w:div w:id="1610121127">
      <w:marLeft w:val="0"/>
      <w:marRight w:val="0"/>
      <w:marTop w:val="0"/>
      <w:marBottom w:val="0"/>
      <w:divBdr>
        <w:top w:val="none" w:sz="0" w:space="0" w:color="auto"/>
        <w:left w:val="none" w:sz="0" w:space="0" w:color="auto"/>
        <w:bottom w:val="none" w:sz="0" w:space="0" w:color="auto"/>
        <w:right w:val="none" w:sz="0" w:space="0" w:color="auto"/>
      </w:divBdr>
    </w:div>
    <w:div w:id="1610121128">
      <w:marLeft w:val="0"/>
      <w:marRight w:val="0"/>
      <w:marTop w:val="0"/>
      <w:marBottom w:val="0"/>
      <w:divBdr>
        <w:top w:val="none" w:sz="0" w:space="0" w:color="auto"/>
        <w:left w:val="none" w:sz="0" w:space="0" w:color="auto"/>
        <w:bottom w:val="none" w:sz="0" w:space="0" w:color="auto"/>
        <w:right w:val="none" w:sz="0" w:space="0" w:color="auto"/>
      </w:divBdr>
    </w:div>
    <w:div w:id="1610121129">
      <w:marLeft w:val="0"/>
      <w:marRight w:val="0"/>
      <w:marTop w:val="0"/>
      <w:marBottom w:val="0"/>
      <w:divBdr>
        <w:top w:val="none" w:sz="0" w:space="0" w:color="auto"/>
        <w:left w:val="none" w:sz="0" w:space="0" w:color="auto"/>
        <w:bottom w:val="none" w:sz="0" w:space="0" w:color="auto"/>
        <w:right w:val="none" w:sz="0" w:space="0" w:color="auto"/>
      </w:divBdr>
    </w:div>
    <w:div w:id="1610121130">
      <w:marLeft w:val="0"/>
      <w:marRight w:val="0"/>
      <w:marTop w:val="0"/>
      <w:marBottom w:val="0"/>
      <w:divBdr>
        <w:top w:val="none" w:sz="0" w:space="0" w:color="auto"/>
        <w:left w:val="none" w:sz="0" w:space="0" w:color="auto"/>
        <w:bottom w:val="none" w:sz="0" w:space="0" w:color="auto"/>
        <w:right w:val="none" w:sz="0" w:space="0" w:color="auto"/>
      </w:divBdr>
    </w:div>
    <w:div w:id="1610121131">
      <w:marLeft w:val="0"/>
      <w:marRight w:val="0"/>
      <w:marTop w:val="0"/>
      <w:marBottom w:val="0"/>
      <w:divBdr>
        <w:top w:val="none" w:sz="0" w:space="0" w:color="auto"/>
        <w:left w:val="none" w:sz="0" w:space="0" w:color="auto"/>
        <w:bottom w:val="none" w:sz="0" w:space="0" w:color="auto"/>
        <w:right w:val="none" w:sz="0" w:space="0" w:color="auto"/>
      </w:divBdr>
    </w:div>
    <w:div w:id="1610121132">
      <w:marLeft w:val="0"/>
      <w:marRight w:val="0"/>
      <w:marTop w:val="0"/>
      <w:marBottom w:val="0"/>
      <w:divBdr>
        <w:top w:val="none" w:sz="0" w:space="0" w:color="auto"/>
        <w:left w:val="none" w:sz="0" w:space="0" w:color="auto"/>
        <w:bottom w:val="none" w:sz="0" w:space="0" w:color="auto"/>
        <w:right w:val="none" w:sz="0" w:space="0" w:color="auto"/>
      </w:divBdr>
    </w:div>
    <w:div w:id="1610121133">
      <w:marLeft w:val="0"/>
      <w:marRight w:val="0"/>
      <w:marTop w:val="0"/>
      <w:marBottom w:val="0"/>
      <w:divBdr>
        <w:top w:val="none" w:sz="0" w:space="0" w:color="auto"/>
        <w:left w:val="none" w:sz="0" w:space="0" w:color="auto"/>
        <w:bottom w:val="none" w:sz="0" w:space="0" w:color="auto"/>
        <w:right w:val="none" w:sz="0" w:space="0" w:color="auto"/>
      </w:divBdr>
      <w:divsChild>
        <w:div w:id="1610121125">
          <w:marLeft w:val="0"/>
          <w:marRight w:val="0"/>
          <w:marTop w:val="0"/>
          <w:marBottom w:val="0"/>
          <w:divBdr>
            <w:top w:val="none" w:sz="0" w:space="0" w:color="auto"/>
            <w:left w:val="none" w:sz="0" w:space="0" w:color="auto"/>
            <w:bottom w:val="none" w:sz="0" w:space="0" w:color="auto"/>
            <w:right w:val="none" w:sz="0" w:space="0" w:color="auto"/>
          </w:divBdr>
        </w:div>
      </w:divsChild>
    </w:div>
    <w:div w:id="1610121134">
      <w:marLeft w:val="0"/>
      <w:marRight w:val="0"/>
      <w:marTop w:val="0"/>
      <w:marBottom w:val="0"/>
      <w:divBdr>
        <w:top w:val="none" w:sz="0" w:space="0" w:color="auto"/>
        <w:left w:val="none" w:sz="0" w:space="0" w:color="auto"/>
        <w:bottom w:val="none" w:sz="0" w:space="0" w:color="auto"/>
        <w:right w:val="none" w:sz="0" w:space="0" w:color="auto"/>
      </w:divBdr>
    </w:div>
    <w:div w:id="1610121135">
      <w:marLeft w:val="0"/>
      <w:marRight w:val="0"/>
      <w:marTop w:val="0"/>
      <w:marBottom w:val="0"/>
      <w:divBdr>
        <w:top w:val="none" w:sz="0" w:space="0" w:color="auto"/>
        <w:left w:val="none" w:sz="0" w:space="0" w:color="auto"/>
        <w:bottom w:val="none" w:sz="0" w:space="0" w:color="auto"/>
        <w:right w:val="none" w:sz="0" w:space="0" w:color="auto"/>
      </w:divBdr>
    </w:div>
    <w:div w:id="1610121136">
      <w:marLeft w:val="0"/>
      <w:marRight w:val="0"/>
      <w:marTop w:val="0"/>
      <w:marBottom w:val="0"/>
      <w:divBdr>
        <w:top w:val="none" w:sz="0" w:space="0" w:color="auto"/>
        <w:left w:val="none" w:sz="0" w:space="0" w:color="auto"/>
        <w:bottom w:val="none" w:sz="0" w:space="0" w:color="auto"/>
        <w:right w:val="none" w:sz="0" w:space="0" w:color="auto"/>
      </w:divBdr>
    </w:div>
    <w:div w:id="1610121137">
      <w:marLeft w:val="0"/>
      <w:marRight w:val="0"/>
      <w:marTop w:val="0"/>
      <w:marBottom w:val="0"/>
      <w:divBdr>
        <w:top w:val="none" w:sz="0" w:space="0" w:color="auto"/>
        <w:left w:val="none" w:sz="0" w:space="0" w:color="auto"/>
        <w:bottom w:val="none" w:sz="0" w:space="0" w:color="auto"/>
        <w:right w:val="none" w:sz="0" w:space="0" w:color="auto"/>
      </w:divBdr>
    </w:div>
    <w:div w:id="161012113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30242</Words>
  <Characters>172381</Characters>
  <Application>Microsoft Office Word</Application>
  <DocSecurity>0</DocSecurity>
  <Lines>1436</Lines>
  <Paragraphs>404</Paragraphs>
  <ScaleCrop>false</ScaleCrop>
  <Company>HP</Company>
  <LinksUpToDate>false</LinksUpToDate>
  <CharactersWithSpaces>202219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relatie tussen Curaçao en de Europese Unie en het effect van het aangaan van nauwere banden tussen deze twee op de Curaçaose economische zone: Vanuit fiscaal perspectief: handhaven LGO status of overstappen op UPG status?</dc:title>
  <dc:creator>Kapoentje</dc:creator>
  <cp:lastModifiedBy>Astrid C. W. Hamers</cp:lastModifiedBy>
  <cp:revision>2</cp:revision>
  <cp:lastPrinted>2011-08-01T08:38:00Z</cp:lastPrinted>
  <dcterms:created xsi:type="dcterms:W3CDTF">2011-08-02T07:19:00Z</dcterms:created>
  <dcterms:modified xsi:type="dcterms:W3CDTF">2011-08-02T07:19:00Z</dcterms:modified>
</cp:coreProperties>
</file>