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4CCE" w:rsidRPr="00804CCE" w:rsidRDefault="00804CCE" w:rsidP="00804CCE">
      <w:pPr>
        <w:tabs>
          <w:tab w:val="right" w:pos="9026"/>
        </w:tabs>
        <w:suppressAutoHyphens/>
        <w:spacing w:after="200" w:line="360" w:lineRule="auto"/>
        <w:rPr>
          <w:rFonts w:ascii="Times New Roman" w:hAnsi="Times New Roman"/>
          <w:spacing w:val="-2"/>
          <w:sz w:val="22"/>
          <w:u w:val="single"/>
        </w:rPr>
      </w:pPr>
      <w:bookmarkStart w:id="0" w:name="_Toc283807277"/>
      <w:r w:rsidRPr="00804CCE">
        <w:rPr>
          <w:rFonts w:ascii="Times New Roman" w:hAnsi="Times New Roman"/>
          <w:b/>
          <w:spacing w:val="-2"/>
          <w:sz w:val="22"/>
          <w:u w:val="single"/>
        </w:rPr>
        <w:t>ERASMUS UNIVERSITEIT ROTTERDAM</w:t>
      </w:r>
      <w:r w:rsidRPr="00804CCE">
        <w:rPr>
          <w:rFonts w:ascii="Times New Roman" w:hAnsi="Times New Roman"/>
          <w:spacing w:val="-2"/>
          <w:sz w:val="22"/>
        </w:rPr>
        <w:tab/>
      </w:r>
      <w:r w:rsidRPr="00804CCE">
        <w:rPr>
          <w:rFonts w:ascii="Times New Roman" w:hAnsi="Times New Roman"/>
          <w:spacing w:val="-2"/>
          <w:sz w:val="22"/>
          <w:u w:val="single"/>
        </w:rPr>
        <w:t>NADRUK VERBODEN</w:t>
      </w:r>
    </w:p>
    <w:p w:rsidR="00804CCE" w:rsidRPr="00804CCE" w:rsidRDefault="00804CCE" w:rsidP="00804CCE">
      <w:pPr>
        <w:tabs>
          <w:tab w:val="left" w:pos="-720"/>
        </w:tabs>
        <w:suppressAutoHyphens/>
        <w:spacing w:after="200" w:line="360" w:lineRule="auto"/>
        <w:jc w:val="both"/>
        <w:rPr>
          <w:rFonts w:ascii="Times New Roman" w:hAnsi="Times New Roman"/>
          <w:spacing w:val="-2"/>
          <w:sz w:val="22"/>
          <w:u w:val="single"/>
        </w:rPr>
      </w:pPr>
      <w:r w:rsidRPr="00804CCE">
        <w:rPr>
          <w:rFonts w:ascii="Times New Roman" w:hAnsi="Times New Roman"/>
          <w:spacing w:val="-2"/>
          <w:sz w:val="22"/>
          <w:u w:val="single"/>
        </w:rPr>
        <w:t>Faculteit der Economische Wetenschappen</w:t>
      </w:r>
    </w:p>
    <w:p w:rsidR="00804CCE" w:rsidRPr="00804CCE" w:rsidRDefault="00804CCE" w:rsidP="00804CCE">
      <w:pPr>
        <w:tabs>
          <w:tab w:val="left" w:pos="-720"/>
        </w:tabs>
        <w:suppressAutoHyphens/>
        <w:spacing w:after="200" w:line="360" w:lineRule="auto"/>
        <w:jc w:val="both"/>
        <w:rPr>
          <w:rFonts w:ascii="Times New Roman" w:hAnsi="Times New Roman"/>
          <w:spacing w:val="-2"/>
          <w:sz w:val="22"/>
        </w:rPr>
      </w:pPr>
      <w:proofErr w:type="spellStart"/>
      <w:r>
        <w:rPr>
          <w:rFonts w:ascii="Times New Roman" w:hAnsi="Times New Roman"/>
          <w:spacing w:val="-2"/>
          <w:sz w:val="22"/>
          <w:u w:val="single"/>
        </w:rPr>
        <w:t>Masterscriptie</w:t>
      </w:r>
      <w:proofErr w:type="spellEnd"/>
    </w:p>
    <w:p w:rsidR="00804CCE" w:rsidRPr="00804CCE" w:rsidRDefault="00804CCE" w:rsidP="00804CCE">
      <w:pPr>
        <w:tabs>
          <w:tab w:val="left" w:pos="-720"/>
        </w:tabs>
        <w:suppressAutoHyphens/>
        <w:spacing w:after="200" w:line="360" w:lineRule="auto"/>
        <w:jc w:val="both"/>
        <w:rPr>
          <w:rFonts w:ascii="Times New Roman" w:hAnsi="Times New Roman"/>
          <w:spacing w:val="-2"/>
          <w:sz w:val="22"/>
          <w:u w:val="single"/>
        </w:rPr>
      </w:pPr>
    </w:p>
    <w:p w:rsidR="00804CCE" w:rsidRPr="00804CCE" w:rsidRDefault="00804CCE" w:rsidP="00804CCE">
      <w:pPr>
        <w:pStyle w:val="Plattetekst"/>
        <w:spacing w:after="200" w:line="360" w:lineRule="auto"/>
        <w:rPr>
          <w:sz w:val="48"/>
          <w:szCs w:val="48"/>
        </w:rPr>
      </w:pPr>
    </w:p>
    <w:p w:rsidR="00804CCE" w:rsidRPr="000A0CF5" w:rsidRDefault="000A0CF5" w:rsidP="00804CCE">
      <w:pPr>
        <w:pStyle w:val="Plattetekst"/>
        <w:spacing w:after="200" w:line="360" w:lineRule="auto"/>
        <w:rPr>
          <w:sz w:val="60"/>
          <w:szCs w:val="60"/>
        </w:rPr>
      </w:pPr>
      <w:r w:rsidRPr="000A0CF5">
        <w:rPr>
          <w:sz w:val="60"/>
          <w:szCs w:val="60"/>
        </w:rPr>
        <w:t>Neutraal doorschuiven?</w:t>
      </w:r>
    </w:p>
    <w:p w:rsidR="000A0CF5" w:rsidRPr="000A0CF5" w:rsidRDefault="000A0CF5" w:rsidP="00804CCE">
      <w:pPr>
        <w:pStyle w:val="Plattetekst"/>
        <w:spacing w:after="200" w:line="360" w:lineRule="auto"/>
        <w:rPr>
          <w:sz w:val="24"/>
        </w:rPr>
      </w:pPr>
      <w:r w:rsidRPr="000A0CF5">
        <w:rPr>
          <w:sz w:val="24"/>
        </w:rPr>
        <w:t xml:space="preserve">Een onderzoek naar de doorschuiffaciliteiten voor de Inkomstenbelasting </w:t>
      </w:r>
      <w:r>
        <w:rPr>
          <w:sz w:val="24"/>
        </w:rPr>
        <w:br/>
      </w:r>
      <w:r w:rsidRPr="000A0CF5">
        <w:rPr>
          <w:sz w:val="24"/>
        </w:rPr>
        <w:t>ten aanzien van de rechtsvormneutraliteit.</w:t>
      </w:r>
    </w:p>
    <w:p w:rsidR="00804CCE" w:rsidRPr="00804CCE" w:rsidRDefault="00804CCE" w:rsidP="00804CCE">
      <w:pPr>
        <w:spacing w:after="200" w:line="360" w:lineRule="auto"/>
        <w:jc w:val="center"/>
        <w:rPr>
          <w:rFonts w:ascii="Times New Roman" w:hAnsi="Times New Roman"/>
          <w:b/>
          <w:bCs/>
          <w:sz w:val="28"/>
        </w:rPr>
      </w:pPr>
    </w:p>
    <w:p w:rsidR="00804CCE" w:rsidRPr="00804CCE" w:rsidRDefault="00804CCE" w:rsidP="00804CCE">
      <w:pPr>
        <w:spacing w:after="200" w:line="360" w:lineRule="auto"/>
        <w:jc w:val="center"/>
        <w:rPr>
          <w:rFonts w:ascii="Times New Roman" w:hAnsi="Times New Roman"/>
          <w:b/>
          <w:bCs/>
          <w:sz w:val="28"/>
        </w:rPr>
      </w:pPr>
    </w:p>
    <w:p w:rsidR="00804CCE" w:rsidRPr="00804CCE" w:rsidRDefault="00804CCE" w:rsidP="00804CCE">
      <w:pPr>
        <w:spacing w:after="200" w:line="360" w:lineRule="auto"/>
        <w:jc w:val="center"/>
        <w:rPr>
          <w:rFonts w:ascii="Times New Roman" w:hAnsi="Times New Roman"/>
          <w:b/>
          <w:bCs/>
          <w:sz w:val="28"/>
        </w:rPr>
      </w:pPr>
    </w:p>
    <w:p w:rsidR="00804CCE" w:rsidRPr="00804CCE" w:rsidRDefault="00804CCE" w:rsidP="00804CCE">
      <w:pPr>
        <w:spacing w:after="200" w:line="360" w:lineRule="auto"/>
        <w:jc w:val="center"/>
        <w:rPr>
          <w:rFonts w:ascii="Times New Roman" w:hAnsi="Times New Roman"/>
          <w:b/>
          <w:bCs/>
          <w:sz w:val="28"/>
        </w:rPr>
      </w:pPr>
    </w:p>
    <w:p w:rsidR="00804CCE" w:rsidRPr="00804CCE" w:rsidRDefault="00804CCE" w:rsidP="00804CCE">
      <w:pPr>
        <w:spacing w:after="200" w:line="360" w:lineRule="auto"/>
        <w:jc w:val="center"/>
        <w:rPr>
          <w:rFonts w:ascii="Times New Roman" w:hAnsi="Times New Roman"/>
          <w:b/>
          <w:bCs/>
          <w:sz w:val="28"/>
        </w:rPr>
      </w:pPr>
    </w:p>
    <w:p w:rsidR="00804CCE" w:rsidRPr="00804CCE" w:rsidRDefault="00804CCE" w:rsidP="00804CCE">
      <w:pPr>
        <w:spacing w:after="200" w:line="360" w:lineRule="auto"/>
        <w:jc w:val="center"/>
        <w:rPr>
          <w:rFonts w:ascii="Times New Roman" w:hAnsi="Times New Roman"/>
          <w:b/>
          <w:bCs/>
          <w:sz w:val="28"/>
        </w:rPr>
      </w:pPr>
    </w:p>
    <w:p w:rsidR="00804CCE" w:rsidRPr="00804CCE" w:rsidRDefault="00804CCE" w:rsidP="00804CCE">
      <w:pPr>
        <w:spacing w:after="200" w:line="360" w:lineRule="auto"/>
        <w:jc w:val="center"/>
        <w:rPr>
          <w:rFonts w:ascii="Times New Roman" w:hAnsi="Times New Roman"/>
          <w:b/>
          <w:bCs/>
          <w:sz w:val="28"/>
        </w:rPr>
      </w:pPr>
    </w:p>
    <w:p w:rsidR="00804CCE" w:rsidRDefault="00804CCE" w:rsidP="00804CCE">
      <w:pPr>
        <w:spacing w:after="200" w:line="360" w:lineRule="auto"/>
        <w:rPr>
          <w:rFonts w:ascii="Times New Roman" w:hAnsi="Times New Roman"/>
        </w:rPr>
      </w:pPr>
    </w:p>
    <w:p w:rsidR="00804CCE" w:rsidRDefault="00804CCE" w:rsidP="00804CCE">
      <w:pPr>
        <w:spacing w:after="200" w:line="360" w:lineRule="auto"/>
        <w:rPr>
          <w:rFonts w:ascii="Times New Roman" w:hAnsi="Times New Roman"/>
        </w:rPr>
      </w:pPr>
    </w:p>
    <w:p w:rsidR="00804CCE" w:rsidRPr="00804CCE" w:rsidRDefault="00804CCE" w:rsidP="00804CCE">
      <w:pPr>
        <w:spacing w:after="200" w:line="360" w:lineRule="auto"/>
        <w:rPr>
          <w:rFonts w:ascii="Times New Roman" w:hAnsi="Times New Roman"/>
          <w:sz w:val="24"/>
          <w:szCs w:val="24"/>
        </w:rPr>
      </w:pPr>
      <w:r w:rsidRPr="00804CCE">
        <w:rPr>
          <w:rFonts w:ascii="Times New Roman" w:hAnsi="Times New Roman"/>
          <w:sz w:val="24"/>
          <w:szCs w:val="24"/>
        </w:rPr>
        <w:t>Naam:</w:t>
      </w:r>
      <w:r w:rsidRPr="00804CCE">
        <w:rPr>
          <w:rFonts w:ascii="Times New Roman" w:hAnsi="Times New Roman"/>
          <w:sz w:val="24"/>
          <w:szCs w:val="24"/>
        </w:rPr>
        <w:tab/>
      </w:r>
      <w:r w:rsidRPr="00804CCE">
        <w:rPr>
          <w:rFonts w:ascii="Times New Roman" w:hAnsi="Times New Roman"/>
          <w:sz w:val="24"/>
          <w:szCs w:val="24"/>
        </w:rPr>
        <w:tab/>
      </w:r>
      <w:r w:rsidRPr="00804CCE">
        <w:rPr>
          <w:rFonts w:ascii="Times New Roman" w:hAnsi="Times New Roman"/>
          <w:sz w:val="24"/>
          <w:szCs w:val="24"/>
        </w:rPr>
        <w:tab/>
        <w:t xml:space="preserve">Floris </w:t>
      </w:r>
      <w:proofErr w:type="spellStart"/>
      <w:r w:rsidRPr="00804CCE">
        <w:rPr>
          <w:rFonts w:ascii="Times New Roman" w:hAnsi="Times New Roman"/>
          <w:sz w:val="24"/>
          <w:szCs w:val="24"/>
        </w:rPr>
        <w:t>Lensink</w:t>
      </w:r>
      <w:proofErr w:type="spellEnd"/>
    </w:p>
    <w:p w:rsidR="00804CCE" w:rsidRDefault="00804CCE" w:rsidP="00804CCE">
      <w:pPr>
        <w:spacing w:after="200" w:line="360" w:lineRule="auto"/>
        <w:rPr>
          <w:rFonts w:ascii="Times New Roman" w:hAnsi="Times New Roman"/>
          <w:sz w:val="24"/>
          <w:szCs w:val="24"/>
        </w:rPr>
      </w:pPr>
      <w:r w:rsidRPr="00804CCE">
        <w:rPr>
          <w:rFonts w:ascii="Times New Roman" w:hAnsi="Times New Roman"/>
          <w:sz w:val="24"/>
          <w:szCs w:val="24"/>
        </w:rPr>
        <w:t>Studentnummer:</w:t>
      </w:r>
      <w:r w:rsidRPr="00804CCE">
        <w:rPr>
          <w:rFonts w:ascii="Times New Roman" w:hAnsi="Times New Roman"/>
          <w:sz w:val="24"/>
          <w:szCs w:val="24"/>
        </w:rPr>
        <w:tab/>
        <w:t>309703</w:t>
      </w:r>
    </w:p>
    <w:p w:rsidR="00804CCE" w:rsidRPr="00804CCE" w:rsidRDefault="00804CCE" w:rsidP="00804CCE">
      <w:pPr>
        <w:spacing w:after="200" w:line="360" w:lineRule="auto"/>
        <w:rPr>
          <w:rFonts w:ascii="Times New Roman" w:hAnsi="Times New Roman"/>
          <w:sz w:val="24"/>
          <w:szCs w:val="24"/>
        </w:rPr>
      </w:pPr>
      <w:r>
        <w:rPr>
          <w:rFonts w:ascii="Times New Roman" w:hAnsi="Times New Roman"/>
          <w:sz w:val="24"/>
          <w:szCs w:val="24"/>
        </w:rPr>
        <w:t>Begeleider:</w:t>
      </w:r>
      <w:r>
        <w:rPr>
          <w:rFonts w:ascii="Times New Roman" w:hAnsi="Times New Roman"/>
          <w:sz w:val="24"/>
          <w:szCs w:val="24"/>
        </w:rPr>
        <w:tab/>
      </w:r>
      <w:r>
        <w:rPr>
          <w:rFonts w:ascii="Times New Roman" w:hAnsi="Times New Roman"/>
          <w:sz w:val="24"/>
          <w:szCs w:val="24"/>
        </w:rPr>
        <w:tab/>
        <w:t xml:space="preserve">Dr. D.A. </w:t>
      </w:r>
      <w:proofErr w:type="spellStart"/>
      <w:r>
        <w:rPr>
          <w:rFonts w:ascii="Times New Roman" w:hAnsi="Times New Roman"/>
          <w:sz w:val="24"/>
          <w:szCs w:val="24"/>
        </w:rPr>
        <w:t>Albregtse</w:t>
      </w:r>
      <w:proofErr w:type="spellEnd"/>
    </w:p>
    <w:p w:rsidR="00804CCE" w:rsidRPr="00804CCE" w:rsidRDefault="00804CCE" w:rsidP="00804CCE">
      <w:pPr>
        <w:spacing w:after="200" w:line="360" w:lineRule="auto"/>
        <w:rPr>
          <w:rFonts w:ascii="Times New Roman" w:hAnsi="Times New Roman"/>
          <w:sz w:val="24"/>
          <w:szCs w:val="24"/>
        </w:rPr>
      </w:pPr>
      <w:r w:rsidRPr="00804CCE">
        <w:rPr>
          <w:rFonts w:ascii="Times New Roman" w:hAnsi="Times New Roman"/>
          <w:sz w:val="24"/>
          <w:szCs w:val="24"/>
        </w:rPr>
        <w:t>Pl</w:t>
      </w:r>
      <w:r>
        <w:rPr>
          <w:rFonts w:ascii="Times New Roman" w:hAnsi="Times New Roman"/>
          <w:sz w:val="24"/>
          <w:szCs w:val="24"/>
        </w:rPr>
        <w:t>aats: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Rotterdam, Augustus 2011</w:t>
      </w:r>
    </w:p>
    <w:p w:rsidR="00804CCE" w:rsidRDefault="00804CCE" w:rsidP="00804CCE">
      <w:pPr>
        <w:rPr>
          <w:rFonts w:ascii="Times New Roman" w:hAnsi="Times New Roman"/>
          <w:b/>
          <w:sz w:val="44"/>
          <w:szCs w:val="20"/>
        </w:rPr>
      </w:pPr>
    </w:p>
    <w:p w:rsidR="00804CCE" w:rsidRDefault="00804CCE">
      <w:pPr>
        <w:rPr>
          <w:rFonts w:ascii="Times New Roman" w:hAnsi="Times New Roman"/>
          <w:b/>
          <w:sz w:val="44"/>
          <w:szCs w:val="20"/>
        </w:rPr>
      </w:pPr>
      <w:r>
        <w:rPr>
          <w:rFonts w:ascii="Times New Roman" w:hAnsi="Times New Roman"/>
          <w:b/>
          <w:sz w:val="44"/>
          <w:szCs w:val="20"/>
        </w:rPr>
        <w:br w:type="page"/>
      </w:r>
    </w:p>
    <w:p w:rsidR="00FE2E3C" w:rsidRPr="004B519A" w:rsidRDefault="00FE2E3C" w:rsidP="00D556C6">
      <w:pPr>
        <w:pStyle w:val="Scriptie1"/>
        <w:ind w:left="360"/>
      </w:pPr>
      <w:bookmarkStart w:id="1" w:name="_Toc300055391"/>
      <w:r w:rsidRPr="004B519A">
        <w:lastRenderedPageBreak/>
        <w:t>Inhoudsopgave</w:t>
      </w:r>
      <w:bookmarkEnd w:id="0"/>
      <w:bookmarkEnd w:id="1"/>
    </w:p>
    <w:p w:rsidR="00C4774A" w:rsidRDefault="00C4774A">
      <w:pPr>
        <w:pStyle w:val="Inhopg1"/>
      </w:pPr>
    </w:p>
    <w:p w:rsidR="00C4774A" w:rsidRDefault="00C4774A">
      <w:pPr>
        <w:pStyle w:val="Inhopg1"/>
      </w:pPr>
    </w:p>
    <w:p w:rsidR="004B519A" w:rsidRPr="004B519A" w:rsidRDefault="00D6318A">
      <w:pPr>
        <w:pStyle w:val="Inhopg1"/>
        <w:rPr>
          <w:rFonts w:eastAsiaTheme="minorEastAsia"/>
          <w:b w:val="0"/>
          <w:sz w:val="22"/>
          <w:lang w:eastAsia="nl-NL"/>
        </w:rPr>
      </w:pPr>
      <w:r w:rsidRPr="004B519A">
        <w:fldChar w:fldCharType="begin"/>
      </w:r>
      <w:r w:rsidR="00FE2E3C" w:rsidRPr="004B519A">
        <w:instrText xml:space="preserve"> TOC \h \z \t "ZW_Kop 1;1;ZW_Kop 2;2;ZW_Kop 3;3;Scriptie 1;1;Scriptie 2;2;Scriptie 3;3" </w:instrText>
      </w:r>
      <w:r w:rsidRPr="004B519A">
        <w:fldChar w:fldCharType="separate"/>
      </w:r>
      <w:hyperlink w:anchor="_Toc300055392" w:history="1">
        <w:r w:rsidR="004B519A" w:rsidRPr="004B519A">
          <w:rPr>
            <w:rStyle w:val="Hyperlink"/>
          </w:rPr>
          <w:t>1.</w:t>
        </w:r>
        <w:r w:rsidR="004B519A" w:rsidRPr="004B519A">
          <w:rPr>
            <w:rFonts w:eastAsiaTheme="minorEastAsia"/>
            <w:b w:val="0"/>
            <w:sz w:val="22"/>
            <w:lang w:eastAsia="nl-NL"/>
          </w:rPr>
          <w:tab/>
        </w:r>
        <w:r w:rsidR="004B519A" w:rsidRPr="004B519A">
          <w:rPr>
            <w:rStyle w:val="Hyperlink"/>
          </w:rPr>
          <w:t>Inleiding</w:t>
        </w:r>
        <w:r w:rsidR="004B519A" w:rsidRPr="004B519A">
          <w:rPr>
            <w:webHidden/>
          </w:rPr>
          <w:tab/>
        </w:r>
        <w:r w:rsidR="004B519A" w:rsidRPr="004B519A">
          <w:rPr>
            <w:webHidden/>
          </w:rPr>
          <w:fldChar w:fldCharType="begin"/>
        </w:r>
        <w:r w:rsidR="004B519A" w:rsidRPr="004B519A">
          <w:rPr>
            <w:webHidden/>
          </w:rPr>
          <w:instrText xml:space="preserve"> PAGEREF _Toc300055392 \h </w:instrText>
        </w:r>
        <w:r w:rsidR="004B519A" w:rsidRPr="004B519A">
          <w:rPr>
            <w:webHidden/>
          </w:rPr>
        </w:r>
        <w:r w:rsidR="004B519A" w:rsidRPr="004B519A">
          <w:rPr>
            <w:webHidden/>
          </w:rPr>
          <w:fldChar w:fldCharType="separate"/>
        </w:r>
        <w:r w:rsidR="004B519A" w:rsidRPr="004B519A">
          <w:rPr>
            <w:webHidden/>
          </w:rPr>
          <w:t>5</w:t>
        </w:r>
        <w:r w:rsidR="004B519A" w:rsidRPr="004B519A">
          <w:rPr>
            <w:webHidden/>
          </w:rPr>
          <w:fldChar w:fldCharType="end"/>
        </w:r>
      </w:hyperlink>
    </w:p>
    <w:p w:rsidR="004B519A" w:rsidRPr="004B519A" w:rsidRDefault="004B519A">
      <w:pPr>
        <w:pStyle w:val="Inhopg1"/>
        <w:rPr>
          <w:rFonts w:eastAsiaTheme="minorEastAsia"/>
          <w:b w:val="0"/>
          <w:sz w:val="22"/>
          <w:lang w:eastAsia="nl-NL"/>
        </w:rPr>
      </w:pPr>
      <w:hyperlink w:anchor="_Toc300055393" w:history="1">
        <w:r w:rsidRPr="004B519A">
          <w:rPr>
            <w:rStyle w:val="Hyperlink"/>
          </w:rPr>
          <w:t>2.</w:t>
        </w:r>
        <w:r w:rsidRPr="004B519A">
          <w:rPr>
            <w:rFonts w:eastAsiaTheme="minorEastAsia"/>
            <w:b w:val="0"/>
            <w:sz w:val="22"/>
            <w:lang w:eastAsia="nl-NL"/>
          </w:rPr>
          <w:tab/>
        </w:r>
        <w:r w:rsidRPr="004B519A">
          <w:rPr>
            <w:rStyle w:val="Hyperlink"/>
          </w:rPr>
          <w:t>Rechtsvormneutraliteit</w:t>
        </w:r>
        <w:r w:rsidRPr="004B519A">
          <w:rPr>
            <w:webHidden/>
          </w:rPr>
          <w:tab/>
        </w:r>
        <w:r w:rsidRPr="004B519A">
          <w:rPr>
            <w:webHidden/>
          </w:rPr>
          <w:fldChar w:fldCharType="begin"/>
        </w:r>
        <w:r w:rsidRPr="004B519A">
          <w:rPr>
            <w:webHidden/>
          </w:rPr>
          <w:instrText xml:space="preserve"> PAGEREF _Toc300055393 \h </w:instrText>
        </w:r>
        <w:r w:rsidRPr="004B519A">
          <w:rPr>
            <w:webHidden/>
          </w:rPr>
        </w:r>
        <w:r w:rsidRPr="004B519A">
          <w:rPr>
            <w:webHidden/>
          </w:rPr>
          <w:fldChar w:fldCharType="separate"/>
        </w:r>
        <w:r w:rsidRPr="004B519A">
          <w:rPr>
            <w:webHidden/>
          </w:rPr>
          <w:t>7</w:t>
        </w:r>
        <w:r w:rsidRPr="004B519A">
          <w:rPr>
            <w:webHidden/>
          </w:rPr>
          <w:fldChar w:fldCharType="end"/>
        </w:r>
      </w:hyperlink>
    </w:p>
    <w:p w:rsidR="004B519A" w:rsidRPr="004B519A" w:rsidRDefault="004B519A">
      <w:pPr>
        <w:pStyle w:val="Inhopg2"/>
        <w:tabs>
          <w:tab w:val="left" w:pos="880"/>
          <w:tab w:val="right" w:leader="dot" w:pos="9062"/>
        </w:tabs>
        <w:rPr>
          <w:rFonts w:ascii="Times New Roman" w:eastAsiaTheme="minorEastAsia" w:hAnsi="Times New Roman"/>
          <w:noProof/>
          <w:sz w:val="22"/>
          <w:lang w:eastAsia="nl-NL"/>
        </w:rPr>
      </w:pPr>
      <w:hyperlink w:anchor="_Toc300055394" w:history="1">
        <w:r w:rsidRPr="004B519A">
          <w:rPr>
            <w:rStyle w:val="Hyperlink"/>
            <w:rFonts w:ascii="Times New Roman" w:hAnsi="Times New Roman"/>
            <w:noProof/>
          </w:rPr>
          <w:t>2.1</w:t>
        </w:r>
        <w:r w:rsidRPr="004B519A">
          <w:rPr>
            <w:rFonts w:ascii="Times New Roman" w:eastAsiaTheme="minorEastAsia" w:hAnsi="Times New Roman"/>
            <w:noProof/>
            <w:sz w:val="22"/>
            <w:lang w:eastAsia="nl-NL"/>
          </w:rPr>
          <w:tab/>
        </w:r>
        <w:r w:rsidRPr="004B519A">
          <w:rPr>
            <w:rStyle w:val="Hyperlink"/>
            <w:rFonts w:ascii="Times New Roman" w:hAnsi="Times New Roman"/>
            <w:noProof/>
          </w:rPr>
          <w:t>Verschil in rechtsvormen</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_Toc300055394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7</w:t>
        </w:r>
        <w:r w:rsidRPr="004B519A">
          <w:rPr>
            <w:rFonts w:ascii="Times New Roman" w:hAnsi="Times New Roman"/>
            <w:noProof/>
            <w:webHidden/>
          </w:rPr>
          <w:fldChar w:fldCharType="end"/>
        </w:r>
      </w:hyperlink>
    </w:p>
    <w:p w:rsidR="004B519A" w:rsidRPr="004B519A" w:rsidRDefault="004B519A">
      <w:pPr>
        <w:pStyle w:val="Inhopg2"/>
        <w:tabs>
          <w:tab w:val="left" w:pos="880"/>
          <w:tab w:val="right" w:leader="dot" w:pos="9062"/>
        </w:tabs>
        <w:rPr>
          <w:rFonts w:ascii="Times New Roman" w:eastAsiaTheme="minorEastAsia" w:hAnsi="Times New Roman"/>
          <w:noProof/>
          <w:sz w:val="22"/>
          <w:lang w:eastAsia="nl-NL"/>
        </w:rPr>
      </w:pPr>
      <w:hyperlink w:anchor="_Toc300055395" w:history="1">
        <w:r w:rsidRPr="004B519A">
          <w:rPr>
            <w:rStyle w:val="Hyperlink"/>
            <w:rFonts w:ascii="Times New Roman" w:hAnsi="Times New Roman"/>
            <w:noProof/>
          </w:rPr>
          <w:t>2.2</w:t>
        </w:r>
        <w:r w:rsidRPr="004B519A">
          <w:rPr>
            <w:rFonts w:ascii="Times New Roman" w:eastAsiaTheme="minorEastAsia" w:hAnsi="Times New Roman"/>
            <w:noProof/>
            <w:sz w:val="22"/>
            <w:lang w:eastAsia="nl-NL"/>
          </w:rPr>
          <w:tab/>
        </w:r>
        <w:r w:rsidRPr="004B519A">
          <w:rPr>
            <w:rStyle w:val="Hyperlink"/>
            <w:rFonts w:ascii="Times New Roman" w:hAnsi="Times New Roman"/>
            <w:noProof/>
          </w:rPr>
          <w:t>Het belang van rechtsvormneutraliteit</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_Toc300055395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10</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396" w:history="1">
        <w:r w:rsidRPr="004B519A">
          <w:rPr>
            <w:rStyle w:val="Hyperlink"/>
            <w:rFonts w:ascii="Times New Roman" w:hAnsi="Times New Roman"/>
            <w:noProof/>
          </w:rPr>
          <w:t>2.2.1</w:t>
        </w:r>
        <w:r w:rsidRPr="004B519A">
          <w:rPr>
            <w:rFonts w:ascii="Times New Roman" w:eastAsiaTheme="minorEastAsia" w:hAnsi="Times New Roman"/>
            <w:noProof/>
            <w:sz w:val="22"/>
            <w:lang w:eastAsia="nl-NL"/>
          </w:rPr>
          <w:tab/>
        </w:r>
        <w:r w:rsidRPr="004B519A">
          <w:rPr>
            <w:rStyle w:val="Hyperlink"/>
            <w:rFonts w:ascii="Times New Roman" w:hAnsi="Times New Roman"/>
            <w:noProof/>
          </w:rPr>
          <w:t>Neutraliteitsbeginsel</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_Toc300055396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10</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397" w:history="1">
        <w:r w:rsidRPr="004B519A">
          <w:rPr>
            <w:rStyle w:val="Hyperlink"/>
            <w:rFonts w:ascii="Times New Roman" w:hAnsi="Times New Roman"/>
            <w:noProof/>
          </w:rPr>
          <w:t>2.2.2</w:t>
        </w:r>
        <w:r w:rsidRPr="004B519A">
          <w:rPr>
            <w:rFonts w:ascii="Times New Roman" w:eastAsiaTheme="minorEastAsia" w:hAnsi="Times New Roman"/>
            <w:noProof/>
            <w:sz w:val="22"/>
            <w:lang w:eastAsia="nl-NL"/>
          </w:rPr>
          <w:tab/>
        </w:r>
        <w:r w:rsidRPr="004B519A">
          <w:rPr>
            <w:rStyle w:val="Hyperlink"/>
            <w:rFonts w:ascii="Times New Roman" w:hAnsi="Times New Roman"/>
            <w:noProof/>
          </w:rPr>
          <w:t>Concurrentievervalsing</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_Toc300055397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12</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398" w:history="1">
        <w:r w:rsidRPr="004B519A">
          <w:rPr>
            <w:rStyle w:val="Hyperlink"/>
            <w:rFonts w:ascii="Times New Roman" w:hAnsi="Times New Roman"/>
            <w:noProof/>
          </w:rPr>
          <w:t>2.2.3</w:t>
        </w:r>
        <w:r w:rsidRPr="004B519A">
          <w:rPr>
            <w:rFonts w:ascii="Times New Roman" w:eastAsiaTheme="minorEastAsia" w:hAnsi="Times New Roman"/>
            <w:noProof/>
            <w:sz w:val="22"/>
            <w:lang w:eastAsia="nl-NL"/>
          </w:rPr>
          <w:tab/>
        </w:r>
        <w:r w:rsidRPr="004B519A">
          <w:rPr>
            <w:rStyle w:val="Hyperlink"/>
            <w:rFonts w:ascii="Times New Roman" w:hAnsi="Times New Roman"/>
            <w:noProof/>
          </w:rPr>
          <w:t>Gedragsbeïnvloeding</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_Toc300055398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12</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399" w:history="1">
        <w:r w:rsidRPr="004B519A">
          <w:rPr>
            <w:rStyle w:val="Hyperlink"/>
            <w:rFonts w:ascii="Times New Roman" w:hAnsi="Times New Roman"/>
            <w:noProof/>
          </w:rPr>
          <w:t>2.2.4</w:t>
        </w:r>
        <w:r w:rsidRPr="004B519A">
          <w:rPr>
            <w:rFonts w:ascii="Times New Roman" w:eastAsiaTheme="minorEastAsia" w:hAnsi="Times New Roman"/>
            <w:noProof/>
            <w:sz w:val="22"/>
            <w:lang w:eastAsia="nl-NL"/>
          </w:rPr>
          <w:tab/>
        </w:r>
        <w:r w:rsidRPr="004B519A">
          <w:rPr>
            <w:rStyle w:val="Hyperlink"/>
            <w:rFonts w:ascii="Times New Roman" w:hAnsi="Times New Roman"/>
            <w:noProof/>
          </w:rPr>
          <w:t>Evenwichtige doelmatigheid</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_Toc300055399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13</w:t>
        </w:r>
        <w:r w:rsidRPr="004B519A">
          <w:rPr>
            <w:rFonts w:ascii="Times New Roman" w:hAnsi="Times New Roman"/>
            <w:noProof/>
            <w:webHidden/>
          </w:rPr>
          <w:fldChar w:fldCharType="end"/>
        </w:r>
      </w:hyperlink>
    </w:p>
    <w:p w:rsidR="004B519A" w:rsidRPr="004B519A" w:rsidRDefault="004B519A">
      <w:pPr>
        <w:pStyle w:val="Inhopg2"/>
        <w:tabs>
          <w:tab w:val="left" w:pos="880"/>
          <w:tab w:val="right" w:leader="dot" w:pos="9062"/>
        </w:tabs>
        <w:rPr>
          <w:rFonts w:ascii="Times New Roman" w:eastAsiaTheme="minorEastAsia" w:hAnsi="Times New Roman"/>
          <w:noProof/>
          <w:sz w:val="22"/>
          <w:lang w:eastAsia="nl-NL"/>
        </w:rPr>
      </w:pPr>
      <w:hyperlink w:anchor="_Toc300055400" w:history="1">
        <w:r w:rsidRPr="004B519A">
          <w:rPr>
            <w:rStyle w:val="Hyperlink"/>
            <w:rFonts w:ascii="Times New Roman" w:hAnsi="Times New Roman"/>
            <w:noProof/>
          </w:rPr>
          <w:t>2.3</w:t>
        </w:r>
        <w:r w:rsidRPr="004B519A">
          <w:rPr>
            <w:rFonts w:ascii="Times New Roman" w:eastAsiaTheme="minorEastAsia" w:hAnsi="Times New Roman"/>
            <w:noProof/>
            <w:sz w:val="22"/>
            <w:lang w:eastAsia="nl-NL"/>
          </w:rPr>
          <w:tab/>
        </w:r>
        <w:r w:rsidRPr="004B519A">
          <w:rPr>
            <w:rStyle w:val="Hyperlink"/>
            <w:rFonts w:ascii="Times New Roman" w:hAnsi="Times New Roman"/>
            <w:noProof/>
          </w:rPr>
          <w:t>Rechtsvormneutraliteit ten aanzien van de doorschuiffaciliteiten</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_Toc300055400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13</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01" w:history="1">
        <w:r w:rsidRPr="004B519A">
          <w:rPr>
            <w:rStyle w:val="Hyperlink"/>
            <w:rFonts w:ascii="Times New Roman" w:hAnsi="Times New Roman"/>
            <w:noProof/>
          </w:rPr>
          <w:t>2.3.1</w:t>
        </w:r>
        <w:r w:rsidRPr="004B519A">
          <w:rPr>
            <w:rFonts w:ascii="Times New Roman" w:eastAsiaTheme="minorEastAsia" w:hAnsi="Times New Roman"/>
            <w:noProof/>
            <w:sz w:val="22"/>
            <w:lang w:eastAsia="nl-NL"/>
          </w:rPr>
          <w:tab/>
        </w:r>
        <w:r w:rsidRPr="004B519A">
          <w:rPr>
            <w:rStyle w:val="Hyperlink"/>
            <w:rFonts w:ascii="Times New Roman" w:hAnsi="Times New Roman"/>
            <w:noProof/>
          </w:rPr>
          <w:t>De doorschuiffaciliteiten</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_Toc300055401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13</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02" w:history="1">
        <w:r w:rsidRPr="004B519A">
          <w:rPr>
            <w:rStyle w:val="Hyperlink"/>
            <w:rFonts w:ascii="Times New Roman" w:hAnsi="Times New Roman"/>
            <w:noProof/>
          </w:rPr>
          <w:t>2.3.2</w:t>
        </w:r>
        <w:r w:rsidRPr="004B519A">
          <w:rPr>
            <w:rFonts w:ascii="Times New Roman" w:eastAsiaTheme="minorEastAsia" w:hAnsi="Times New Roman"/>
            <w:noProof/>
            <w:sz w:val="22"/>
            <w:lang w:eastAsia="nl-NL"/>
          </w:rPr>
          <w:tab/>
        </w:r>
        <w:r w:rsidRPr="004B519A">
          <w:rPr>
            <w:rStyle w:val="Hyperlink"/>
            <w:rFonts w:ascii="Times New Roman" w:hAnsi="Times New Roman"/>
            <w:noProof/>
          </w:rPr>
          <w:t>Rechtsvormneutraliteit en de doorschuiffaciliteiten</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_Toc300055402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14</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03" w:history="1">
        <w:r w:rsidRPr="004B519A">
          <w:rPr>
            <w:rStyle w:val="Hyperlink"/>
            <w:rFonts w:ascii="Times New Roman" w:hAnsi="Times New Roman"/>
            <w:noProof/>
          </w:rPr>
          <w:t>2.3.3</w:t>
        </w:r>
        <w:r w:rsidRPr="004B519A">
          <w:rPr>
            <w:rFonts w:ascii="Times New Roman" w:eastAsiaTheme="minorEastAsia" w:hAnsi="Times New Roman"/>
            <w:noProof/>
            <w:sz w:val="22"/>
            <w:lang w:eastAsia="nl-NL"/>
          </w:rPr>
          <w:tab/>
        </w:r>
        <w:r w:rsidRPr="004B519A">
          <w:rPr>
            <w:rStyle w:val="Hyperlink"/>
            <w:rFonts w:ascii="Times New Roman" w:hAnsi="Times New Roman"/>
            <w:noProof/>
          </w:rPr>
          <w:t>Toetsingskader rechtsvormneutraliteit</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_Toc300055403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16</w:t>
        </w:r>
        <w:r w:rsidRPr="004B519A">
          <w:rPr>
            <w:rFonts w:ascii="Times New Roman" w:hAnsi="Times New Roman"/>
            <w:noProof/>
            <w:webHidden/>
          </w:rPr>
          <w:fldChar w:fldCharType="end"/>
        </w:r>
      </w:hyperlink>
    </w:p>
    <w:p w:rsidR="004B519A" w:rsidRPr="004B519A" w:rsidRDefault="004B519A">
      <w:pPr>
        <w:pStyle w:val="Inhopg1"/>
        <w:rPr>
          <w:rFonts w:eastAsiaTheme="minorEastAsia"/>
          <w:b w:val="0"/>
          <w:sz w:val="22"/>
          <w:lang w:eastAsia="nl-NL"/>
        </w:rPr>
      </w:pPr>
      <w:hyperlink w:anchor="_Toc300055404" w:history="1">
        <w:r w:rsidRPr="004B519A">
          <w:rPr>
            <w:rStyle w:val="Hyperlink"/>
          </w:rPr>
          <w:t>3.</w:t>
        </w:r>
        <w:r w:rsidRPr="004B519A">
          <w:rPr>
            <w:rFonts w:eastAsiaTheme="minorEastAsia"/>
            <w:b w:val="0"/>
            <w:sz w:val="22"/>
            <w:lang w:eastAsia="nl-NL"/>
          </w:rPr>
          <w:tab/>
        </w:r>
        <w:r w:rsidRPr="004B519A">
          <w:rPr>
            <w:rStyle w:val="Hyperlink"/>
          </w:rPr>
          <w:t>De doorschuiffaciliteiten</w:t>
        </w:r>
        <w:r w:rsidRPr="004B519A">
          <w:rPr>
            <w:webHidden/>
          </w:rPr>
          <w:tab/>
        </w:r>
        <w:r w:rsidRPr="004B519A">
          <w:rPr>
            <w:webHidden/>
          </w:rPr>
          <w:fldChar w:fldCharType="begin"/>
        </w:r>
        <w:r w:rsidRPr="004B519A">
          <w:rPr>
            <w:webHidden/>
          </w:rPr>
          <w:instrText xml:space="preserve"> PAGEREF _Toc300055404 \h </w:instrText>
        </w:r>
        <w:r w:rsidRPr="004B519A">
          <w:rPr>
            <w:webHidden/>
          </w:rPr>
        </w:r>
        <w:r w:rsidRPr="004B519A">
          <w:rPr>
            <w:webHidden/>
          </w:rPr>
          <w:fldChar w:fldCharType="separate"/>
        </w:r>
        <w:r w:rsidRPr="004B519A">
          <w:rPr>
            <w:webHidden/>
          </w:rPr>
          <w:t>20</w:t>
        </w:r>
        <w:r w:rsidRPr="004B519A">
          <w:rPr>
            <w:webHidden/>
          </w:rPr>
          <w:fldChar w:fldCharType="end"/>
        </w:r>
      </w:hyperlink>
    </w:p>
    <w:p w:rsidR="004B519A" w:rsidRPr="004B519A" w:rsidRDefault="004B519A">
      <w:pPr>
        <w:pStyle w:val="Inhopg2"/>
        <w:tabs>
          <w:tab w:val="left" w:pos="880"/>
          <w:tab w:val="right" w:leader="dot" w:pos="9062"/>
        </w:tabs>
        <w:rPr>
          <w:rFonts w:ascii="Times New Roman" w:eastAsiaTheme="minorEastAsia" w:hAnsi="Times New Roman"/>
          <w:noProof/>
          <w:sz w:val="22"/>
          <w:lang w:eastAsia="nl-NL"/>
        </w:rPr>
      </w:pPr>
      <w:hyperlink w:anchor="_Toc300055405" w:history="1">
        <w:r w:rsidRPr="004B519A">
          <w:rPr>
            <w:rStyle w:val="Hyperlink"/>
            <w:rFonts w:ascii="Times New Roman" w:hAnsi="Times New Roman"/>
            <w:noProof/>
          </w:rPr>
          <w:t>3.1</w:t>
        </w:r>
        <w:r w:rsidRPr="004B519A">
          <w:rPr>
            <w:rFonts w:ascii="Times New Roman" w:eastAsiaTheme="minorEastAsia" w:hAnsi="Times New Roman"/>
            <w:noProof/>
            <w:sz w:val="22"/>
            <w:lang w:eastAsia="nl-NL"/>
          </w:rPr>
          <w:tab/>
        </w:r>
        <w:r w:rsidRPr="004B519A">
          <w:rPr>
            <w:rStyle w:val="Hyperlink"/>
            <w:rFonts w:ascii="Times New Roman" w:hAnsi="Times New Roman"/>
            <w:noProof/>
          </w:rPr>
          <w:t>De uitwerking van de doorschuiffaciliteiten</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_Toc300055405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20</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06" w:history="1">
        <w:r w:rsidRPr="004B519A">
          <w:rPr>
            <w:rStyle w:val="Hyperlink"/>
            <w:rFonts w:ascii="Times New Roman" w:hAnsi="Times New Roman"/>
            <w:noProof/>
          </w:rPr>
          <w:t>3.1.1</w:t>
        </w:r>
        <w:r w:rsidRPr="004B519A">
          <w:rPr>
            <w:rFonts w:ascii="Times New Roman" w:eastAsiaTheme="minorEastAsia" w:hAnsi="Times New Roman"/>
            <w:noProof/>
            <w:sz w:val="22"/>
            <w:lang w:eastAsia="nl-NL"/>
          </w:rPr>
          <w:tab/>
        </w:r>
        <w:r w:rsidRPr="004B519A">
          <w:rPr>
            <w:rStyle w:val="Hyperlink"/>
            <w:rFonts w:ascii="Times New Roman" w:hAnsi="Times New Roman"/>
            <w:noProof/>
          </w:rPr>
          <w:t>Faciliteit voor de IB-onderneming</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_Toc300055406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20</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07" w:history="1">
        <w:r w:rsidRPr="004B519A">
          <w:rPr>
            <w:rStyle w:val="Hyperlink"/>
            <w:rFonts w:ascii="Times New Roman" w:hAnsi="Times New Roman"/>
            <w:noProof/>
          </w:rPr>
          <w:t>3.1.2</w:t>
        </w:r>
        <w:r w:rsidRPr="004B519A">
          <w:rPr>
            <w:rFonts w:ascii="Times New Roman" w:eastAsiaTheme="minorEastAsia" w:hAnsi="Times New Roman"/>
            <w:noProof/>
            <w:sz w:val="22"/>
            <w:lang w:eastAsia="nl-NL"/>
          </w:rPr>
          <w:tab/>
        </w:r>
        <w:r w:rsidRPr="004B519A">
          <w:rPr>
            <w:rStyle w:val="Hyperlink"/>
            <w:rFonts w:ascii="Times New Roman" w:hAnsi="Times New Roman"/>
            <w:noProof/>
          </w:rPr>
          <w:t>Faciliteit voor de VPB-onderneming</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_Toc300055407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27</w:t>
        </w:r>
        <w:r w:rsidRPr="004B519A">
          <w:rPr>
            <w:rFonts w:ascii="Times New Roman" w:hAnsi="Times New Roman"/>
            <w:noProof/>
            <w:webHidden/>
          </w:rPr>
          <w:fldChar w:fldCharType="end"/>
        </w:r>
      </w:hyperlink>
    </w:p>
    <w:p w:rsidR="004B519A" w:rsidRPr="004B519A" w:rsidRDefault="004B519A">
      <w:pPr>
        <w:pStyle w:val="Inhopg2"/>
        <w:tabs>
          <w:tab w:val="left" w:pos="880"/>
          <w:tab w:val="right" w:leader="dot" w:pos="9062"/>
        </w:tabs>
        <w:rPr>
          <w:rFonts w:ascii="Times New Roman" w:eastAsiaTheme="minorEastAsia" w:hAnsi="Times New Roman"/>
          <w:noProof/>
          <w:sz w:val="22"/>
          <w:lang w:eastAsia="nl-NL"/>
        </w:rPr>
      </w:pPr>
      <w:hyperlink w:anchor="_Toc300055408" w:history="1">
        <w:r w:rsidRPr="004B519A">
          <w:rPr>
            <w:rStyle w:val="Hyperlink"/>
            <w:rFonts w:ascii="Times New Roman" w:hAnsi="Times New Roman"/>
            <w:noProof/>
          </w:rPr>
          <w:t>3.2</w:t>
        </w:r>
        <w:r w:rsidRPr="004B519A">
          <w:rPr>
            <w:rFonts w:ascii="Times New Roman" w:eastAsiaTheme="minorEastAsia" w:hAnsi="Times New Roman"/>
            <w:noProof/>
            <w:sz w:val="22"/>
            <w:lang w:eastAsia="nl-NL"/>
          </w:rPr>
          <w:tab/>
        </w:r>
        <w:r w:rsidRPr="004B519A">
          <w:rPr>
            <w:rStyle w:val="Hyperlink"/>
            <w:rFonts w:ascii="Times New Roman" w:hAnsi="Times New Roman"/>
            <w:noProof/>
          </w:rPr>
          <w:t>De achtergrond van de doorschuiffaciliteiten</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_Toc300055408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32</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09" w:history="1">
        <w:r w:rsidRPr="004B519A">
          <w:rPr>
            <w:rStyle w:val="Hyperlink"/>
            <w:rFonts w:ascii="Times New Roman" w:hAnsi="Times New Roman"/>
            <w:noProof/>
          </w:rPr>
          <w:t>3.2.1</w:t>
        </w:r>
        <w:r w:rsidRPr="004B519A">
          <w:rPr>
            <w:rFonts w:ascii="Times New Roman" w:eastAsiaTheme="minorEastAsia" w:hAnsi="Times New Roman"/>
            <w:noProof/>
            <w:sz w:val="22"/>
            <w:lang w:eastAsia="nl-NL"/>
          </w:rPr>
          <w:tab/>
        </w:r>
        <w:r w:rsidRPr="004B519A">
          <w:rPr>
            <w:rStyle w:val="Hyperlink"/>
            <w:rFonts w:ascii="Times New Roman" w:hAnsi="Times New Roman"/>
            <w:noProof/>
          </w:rPr>
          <w:t>Faciliteit voor de IB-onderneming</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_Toc300055409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32</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10" w:history="1">
        <w:r w:rsidRPr="004B519A">
          <w:rPr>
            <w:rStyle w:val="Hyperlink"/>
            <w:rFonts w:ascii="Times New Roman" w:hAnsi="Times New Roman"/>
            <w:noProof/>
          </w:rPr>
          <w:t>3.2.2</w:t>
        </w:r>
        <w:r w:rsidRPr="004B519A">
          <w:rPr>
            <w:rFonts w:ascii="Times New Roman" w:eastAsiaTheme="minorEastAsia" w:hAnsi="Times New Roman"/>
            <w:noProof/>
            <w:sz w:val="22"/>
            <w:lang w:eastAsia="nl-NL"/>
          </w:rPr>
          <w:tab/>
        </w:r>
        <w:r w:rsidRPr="004B519A">
          <w:rPr>
            <w:rStyle w:val="Hyperlink"/>
            <w:rFonts w:ascii="Times New Roman" w:hAnsi="Times New Roman"/>
            <w:noProof/>
          </w:rPr>
          <w:t>Faciliteit voor de VPB-onderneming</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_Toc300055410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36</w:t>
        </w:r>
        <w:r w:rsidRPr="004B519A">
          <w:rPr>
            <w:rFonts w:ascii="Times New Roman" w:hAnsi="Times New Roman"/>
            <w:noProof/>
            <w:webHidden/>
          </w:rPr>
          <w:fldChar w:fldCharType="end"/>
        </w:r>
      </w:hyperlink>
    </w:p>
    <w:p w:rsidR="004B519A" w:rsidRPr="004B519A" w:rsidRDefault="004B519A">
      <w:pPr>
        <w:pStyle w:val="Inhopg2"/>
        <w:tabs>
          <w:tab w:val="left" w:pos="880"/>
          <w:tab w:val="right" w:leader="dot" w:pos="9062"/>
        </w:tabs>
        <w:rPr>
          <w:rFonts w:ascii="Times New Roman" w:eastAsiaTheme="minorEastAsia" w:hAnsi="Times New Roman"/>
          <w:noProof/>
          <w:sz w:val="22"/>
          <w:lang w:eastAsia="nl-NL"/>
        </w:rPr>
      </w:pPr>
      <w:hyperlink w:anchor="_Toc300055411" w:history="1">
        <w:r w:rsidRPr="004B519A">
          <w:rPr>
            <w:rStyle w:val="Hyperlink"/>
            <w:rFonts w:ascii="Times New Roman" w:hAnsi="Times New Roman"/>
            <w:noProof/>
          </w:rPr>
          <w:t>3.3</w:t>
        </w:r>
        <w:r w:rsidRPr="004B519A">
          <w:rPr>
            <w:rFonts w:ascii="Times New Roman" w:eastAsiaTheme="minorEastAsia" w:hAnsi="Times New Roman"/>
            <w:noProof/>
            <w:sz w:val="22"/>
            <w:lang w:eastAsia="nl-NL"/>
          </w:rPr>
          <w:tab/>
        </w:r>
        <w:r w:rsidRPr="004B519A">
          <w:rPr>
            <w:rStyle w:val="Hyperlink"/>
            <w:rFonts w:ascii="Times New Roman" w:hAnsi="Times New Roman"/>
            <w:noProof/>
          </w:rPr>
          <w:t>Verschillen in uitwerking tussen de doorschuiffaciliteiten</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_Toc300055411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37</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12" w:history="1">
        <w:r w:rsidRPr="004B519A">
          <w:rPr>
            <w:rStyle w:val="Hyperlink"/>
            <w:rFonts w:ascii="Times New Roman" w:hAnsi="Times New Roman"/>
            <w:noProof/>
          </w:rPr>
          <w:t>3.3.1</w:t>
        </w:r>
        <w:r w:rsidRPr="004B519A">
          <w:rPr>
            <w:rFonts w:ascii="Times New Roman" w:eastAsiaTheme="minorEastAsia" w:hAnsi="Times New Roman"/>
            <w:noProof/>
            <w:sz w:val="22"/>
            <w:lang w:eastAsia="nl-NL"/>
          </w:rPr>
          <w:tab/>
        </w:r>
        <w:r w:rsidRPr="004B519A">
          <w:rPr>
            <w:rStyle w:val="Hyperlink"/>
            <w:rFonts w:ascii="Times New Roman" w:hAnsi="Times New Roman"/>
            <w:noProof/>
          </w:rPr>
          <w:t>Belastingsubject</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_Toc300055412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37</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13" w:history="1">
        <w:r w:rsidRPr="004B519A">
          <w:rPr>
            <w:rStyle w:val="Hyperlink"/>
            <w:rFonts w:ascii="Times New Roman" w:hAnsi="Times New Roman"/>
            <w:noProof/>
          </w:rPr>
          <w:t>3.3.2</w:t>
        </w:r>
        <w:r w:rsidRPr="004B519A">
          <w:rPr>
            <w:rFonts w:ascii="Times New Roman" w:eastAsiaTheme="minorEastAsia" w:hAnsi="Times New Roman"/>
            <w:noProof/>
            <w:sz w:val="22"/>
            <w:lang w:eastAsia="nl-NL"/>
          </w:rPr>
          <w:tab/>
        </w:r>
        <w:r w:rsidRPr="004B519A">
          <w:rPr>
            <w:rStyle w:val="Hyperlink"/>
            <w:rFonts w:ascii="Times New Roman" w:hAnsi="Times New Roman"/>
            <w:noProof/>
          </w:rPr>
          <w:t>Belastingobject</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_Toc300055413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39</w:t>
        </w:r>
        <w:r w:rsidRPr="004B519A">
          <w:rPr>
            <w:rFonts w:ascii="Times New Roman" w:hAnsi="Times New Roman"/>
            <w:noProof/>
            <w:webHidden/>
          </w:rPr>
          <w:fldChar w:fldCharType="end"/>
        </w:r>
      </w:hyperlink>
    </w:p>
    <w:p w:rsidR="004B519A" w:rsidRPr="004B519A" w:rsidRDefault="004B519A">
      <w:pPr>
        <w:pStyle w:val="Inhopg2"/>
        <w:tabs>
          <w:tab w:val="left" w:pos="880"/>
          <w:tab w:val="right" w:leader="dot" w:pos="9062"/>
        </w:tabs>
        <w:rPr>
          <w:rFonts w:ascii="Times New Roman" w:eastAsiaTheme="minorEastAsia" w:hAnsi="Times New Roman"/>
          <w:noProof/>
          <w:sz w:val="22"/>
          <w:lang w:eastAsia="nl-NL"/>
        </w:rPr>
      </w:pPr>
      <w:hyperlink w:anchor="_Toc300055414" w:history="1">
        <w:r w:rsidRPr="004B519A">
          <w:rPr>
            <w:rStyle w:val="Hyperlink"/>
            <w:rFonts w:ascii="Times New Roman" w:hAnsi="Times New Roman"/>
            <w:noProof/>
          </w:rPr>
          <w:t>3.4</w:t>
        </w:r>
        <w:r w:rsidRPr="004B519A">
          <w:rPr>
            <w:rFonts w:ascii="Times New Roman" w:eastAsiaTheme="minorEastAsia" w:hAnsi="Times New Roman"/>
            <w:noProof/>
            <w:sz w:val="22"/>
            <w:lang w:eastAsia="nl-NL"/>
          </w:rPr>
          <w:tab/>
        </w:r>
        <w:r w:rsidRPr="004B519A">
          <w:rPr>
            <w:rStyle w:val="Hyperlink"/>
            <w:rFonts w:ascii="Times New Roman" w:hAnsi="Times New Roman"/>
            <w:noProof/>
          </w:rPr>
          <w:t>Verschillen in doelstellingen tussen de doorschuiffaciliteiten</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_Toc300055414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43</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15" w:history="1">
        <w:r w:rsidRPr="004B519A">
          <w:rPr>
            <w:rStyle w:val="Hyperlink"/>
            <w:rFonts w:ascii="Times New Roman" w:hAnsi="Times New Roman"/>
            <w:noProof/>
          </w:rPr>
          <w:t>3.4.1</w:t>
        </w:r>
        <w:r w:rsidRPr="004B519A">
          <w:rPr>
            <w:rFonts w:ascii="Times New Roman" w:eastAsiaTheme="minorEastAsia" w:hAnsi="Times New Roman"/>
            <w:noProof/>
            <w:sz w:val="22"/>
            <w:lang w:eastAsia="nl-NL"/>
          </w:rPr>
          <w:tab/>
        </w:r>
        <w:r w:rsidRPr="004B519A">
          <w:rPr>
            <w:rStyle w:val="Hyperlink"/>
            <w:rFonts w:ascii="Times New Roman" w:hAnsi="Times New Roman"/>
            <w:noProof/>
          </w:rPr>
          <w:t>Vergelijking doelstellingen doorschuiffaciliteiten</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_Toc300055415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43</w:t>
        </w:r>
        <w:r w:rsidRPr="004B519A">
          <w:rPr>
            <w:rFonts w:ascii="Times New Roman" w:hAnsi="Times New Roman"/>
            <w:noProof/>
            <w:webHidden/>
          </w:rPr>
          <w:fldChar w:fldCharType="end"/>
        </w:r>
      </w:hyperlink>
    </w:p>
    <w:p w:rsidR="004B519A" w:rsidRPr="004B519A" w:rsidRDefault="004B519A">
      <w:pPr>
        <w:pStyle w:val="Inhopg1"/>
        <w:rPr>
          <w:rFonts w:eastAsiaTheme="minorEastAsia"/>
          <w:b w:val="0"/>
          <w:sz w:val="22"/>
          <w:lang w:eastAsia="nl-NL"/>
        </w:rPr>
      </w:pPr>
      <w:hyperlink w:anchor="_Toc300055416" w:history="1">
        <w:r w:rsidRPr="004B519A">
          <w:rPr>
            <w:rStyle w:val="Hyperlink"/>
          </w:rPr>
          <w:t>4.</w:t>
        </w:r>
        <w:r w:rsidRPr="004B519A">
          <w:rPr>
            <w:rFonts w:eastAsiaTheme="minorEastAsia"/>
            <w:b w:val="0"/>
            <w:sz w:val="22"/>
            <w:lang w:eastAsia="nl-NL"/>
          </w:rPr>
          <w:tab/>
        </w:r>
        <w:r w:rsidRPr="004B519A">
          <w:rPr>
            <w:rStyle w:val="Hyperlink"/>
          </w:rPr>
          <w:t>Toetsing rechtvaardigheid</w:t>
        </w:r>
        <w:r w:rsidRPr="004B519A">
          <w:rPr>
            <w:webHidden/>
          </w:rPr>
          <w:tab/>
        </w:r>
        <w:r w:rsidRPr="004B519A">
          <w:rPr>
            <w:webHidden/>
          </w:rPr>
          <w:fldChar w:fldCharType="begin"/>
        </w:r>
        <w:r w:rsidRPr="004B519A">
          <w:rPr>
            <w:webHidden/>
          </w:rPr>
          <w:instrText xml:space="preserve"> PAGEREF _Toc300055416 \h </w:instrText>
        </w:r>
        <w:r w:rsidRPr="004B519A">
          <w:rPr>
            <w:webHidden/>
          </w:rPr>
        </w:r>
        <w:r w:rsidRPr="004B519A">
          <w:rPr>
            <w:webHidden/>
          </w:rPr>
          <w:fldChar w:fldCharType="separate"/>
        </w:r>
        <w:r w:rsidRPr="004B519A">
          <w:rPr>
            <w:webHidden/>
          </w:rPr>
          <w:t>46</w:t>
        </w:r>
        <w:r w:rsidRPr="004B519A">
          <w:rPr>
            <w:webHidden/>
          </w:rPr>
          <w:fldChar w:fldCharType="end"/>
        </w:r>
      </w:hyperlink>
    </w:p>
    <w:p w:rsidR="004B519A" w:rsidRPr="004B519A" w:rsidRDefault="004B519A">
      <w:pPr>
        <w:pStyle w:val="Inhopg2"/>
        <w:tabs>
          <w:tab w:val="left" w:pos="880"/>
          <w:tab w:val="right" w:leader="dot" w:pos="9062"/>
        </w:tabs>
        <w:rPr>
          <w:rFonts w:ascii="Times New Roman" w:eastAsiaTheme="minorEastAsia" w:hAnsi="Times New Roman"/>
          <w:noProof/>
          <w:sz w:val="22"/>
          <w:lang w:eastAsia="nl-NL"/>
        </w:rPr>
      </w:pPr>
      <w:hyperlink w:anchor="_Toc300055417" w:history="1">
        <w:r w:rsidRPr="004B519A">
          <w:rPr>
            <w:rStyle w:val="Hyperlink"/>
            <w:rFonts w:ascii="Times New Roman" w:hAnsi="Times New Roman"/>
            <w:noProof/>
          </w:rPr>
          <w:t>4.1</w:t>
        </w:r>
        <w:r w:rsidRPr="004B519A">
          <w:rPr>
            <w:rFonts w:ascii="Times New Roman" w:eastAsiaTheme="minorEastAsia" w:hAnsi="Times New Roman"/>
            <w:noProof/>
            <w:sz w:val="22"/>
            <w:lang w:eastAsia="nl-NL"/>
          </w:rPr>
          <w:tab/>
        </w:r>
        <w:r w:rsidRPr="004B519A">
          <w:rPr>
            <w:rStyle w:val="Hyperlink"/>
            <w:rFonts w:ascii="Times New Roman" w:hAnsi="Times New Roman"/>
            <w:noProof/>
          </w:rPr>
          <w:t>Belastingsubject</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_Toc300055417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46</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18" w:history="1">
        <w:r w:rsidRPr="004B519A">
          <w:rPr>
            <w:rStyle w:val="Hyperlink"/>
            <w:rFonts w:ascii="Times New Roman" w:hAnsi="Times New Roman"/>
            <w:noProof/>
          </w:rPr>
          <w:t>4.1.1</w:t>
        </w:r>
        <w:r w:rsidRPr="004B519A">
          <w:rPr>
            <w:rFonts w:ascii="Times New Roman" w:eastAsiaTheme="minorEastAsia" w:hAnsi="Times New Roman"/>
            <w:noProof/>
            <w:sz w:val="22"/>
            <w:lang w:eastAsia="nl-NL"/>
          </w:rPr>
          <w:tab/>
        </w:r>
        <w:r w:rsidRPr="004B519A">
          <w:rPr>
            <w:rStyle w:val="Hyperlink"/>
            <w:rFonts w:ascii="Times New Roman" w:hAnsi="Times New Roman"/>
            <w:noProof/>
          </w:rPr>
          <w:t>Kwalificerende ondernemer</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_Toc300055418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46</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19" w:history="1">
        <w:r w:rsidRPr="004B519A">
          <w:rPr>
            <w:rStyle w:val="Hyperlink"/>
            <w:rFonts w:ascii="Times New Roman" w:hAnsi="Times New Roman"/>
            <w:noProof/>
          </w:rPr>
          <w:t>4.1.2</w:t>
        </w:r>
        <w:r w:rsidRPr="004B519A">
          <w:rPr>
            <w:rFonts w:ascii="Times New Roman" w:eastAsiaTheme="minorEastAsia" w:hAnsi="Times New Roman"/>
            <w:noProof/>
            <w:sz w:val="22"/>
            <w:lang w:eastAsia="nl-NL"/>
          </w:rPr>
          <w:tab/>
        </w:r>
        <w:r w:rsidRPr="004B519A">
          <w:rPr>
            <w:rStyle w:val="Hyperlink"/>
            <w:rFonts w:ascii="Times New Roman" w:hAnsi="Times New Roman"/>
            <w:noProof/>
          </w:rPr>
          <w:t>Medegerechtigdheid</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_Toc300055419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48</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20" w:history="1">
        <w:r w:rsidRPr="004B519A">
          <w:rPr>
            <w:rStyle w:val="Hyperlink"/>
            <w:rFonts w:ascii="Times New Roman" w:hAnsi="Times New Roman"/>
            <w:noProof/>
          </w:rPr>
          <w:t>4.1.3</w:t>
        </w:r>
        <w:r w:rsidRPr="004B519A">
          <w:rPr>
            <w:rFonts w:ascii="Times New Roman" w:eastAsiaTheme="minorEastAsia" w:hAnsi="Times New Roman"/>
            <w:noProof/>
            <w:sz w:val="22"/>
            <w:lang w:eastAsia="nl-NL"/>
          </w:rPr>
          <w:tab/>
        </w:r>
        <w:r w:rsidRPr="004B519A">
          <w:rPr>
            <w:rStyle w:val="Hyperlink"/>
            <w:rFonts w:ascii="Times New Roman" w:hAnsi="Times New Roman"/>
            <w:noProof/>
          </w:rPr>
          <w:t>Voortzettingsvereiste</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_Toc300055420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48</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21" w:history="1">
        <w:r w:rsidRPr="004B519A">
          <w:rPr>
            <w:rStyle w:val="Hyperlink"/>
            <w:rFonts w:ascii="Times New Roman" w:hAnsi="Times New Roman"/>
            <w:noProof/>
          </w:rPr>
          <w:t>4.1.4</w:t>
        </w:r>
        <w:r w:rsidRPr="004B519A">
          <w:rPr>
            <w:rFonts w:ascii="Times New Roman" w:eastAsiaTheme="minorEastAsia" w:hAnsi="Times New Roman"/>
            <w:noProof/>
            <w:sz w:val="22"/>
            <w:lang w:eastAsia="nl-NL"/>
          </w:rPr>
          <w:tab/>
        </w:r>
        <w:r w:rsidRPr="004B519A">
          <w:rPr>
            <w:rStyle w:val="Hyperlink"/>
            <w:rFonts w:ascii="Times New Roman" w:hAnsi="Times New Roman"/>
            <w:noProof/>
          </w:rPr>
          <w:t>In de plaats treden</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_Toc300055421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50</w:t>
        </w:r>
        <w:r w:rsidRPr="004B519A">
          <w:rPr>
            <w:rFonts w:ascii="Times New Roman" w:hAnsi="Times New Roman"/>
            <w:noProof/>
            <w:webHidden/>
          </w:rPr>
          <w:fldChar w:fldCharType="end"/>
        </w:r>
      </w:hyperlink>
    </w:p>
    <w:p w:rsidR="004B519A" w:rsidRPr="004B519A" w:rsidRDefault="004B519A">
      <w:pPr>
        <w:pStyle w:val="Inhopg2"/>
        <w:tabs>
          <w:tab w:val="left" w:pos="880"/>
          <w:tab w:val="right" w:leader="dot" w:pos="9062"/>
        </w:tabs>
        <w:rPr>
          <w:rFonts w:ascii="Times New Roman" w:eastAsiaTheme="minorEastAsia" w:hAnsi="Times New Roman"/>
          <w:noProof/>
          <w:sz w:val="22"/>
          <w:lang w:eastAsia="nl-NL"/>
        </w:rPr>
      </w:pPr>
      <w:hyperlink w:anchor="_Toc300055422" w:history="1">
        <w:r w:rsidRPr="004B519A">
          <w:rPr>
            <w:rStyle w:val="Hyperlink"/>
            <w:rFonts w:ascii="Times New Roman" w:hAnsi="Times New Roman"/>
            <w:noProof/>
          </w:rPr>
          <w:t>4.2</w:t>
        </w:r>
        <w:r w:rsidRPr="004B519A">
          <w:rPr>
            <w:rFonts w:ascii="Times New Roman" w:eastAsiaTheme="minorEastAsia" w:hAnsi="Times New Roman"/>
            <w:noProof/>
            <w:sz w:val="22"/>
            <w:lang w:eastAsia="nl-NL"/>
          </w:rPr>
          <w:tab/>
        </w:r>
        <w:r w:rsidRPr="004B519A">
          <w:rPr>
            <w:rStyle w:val="Hyperlink"/>
            <w:rFonts w:ascii="Times New Roman" w:hAnsi="Times New Roman"/>
            <w:noProof/>
          </w:rPr>
          <w:t>Belastingobject</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_Toc300055422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51</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23" w:history="1">
        <w:r w:rsidRPr="004B519A">
          <w:rPr>
            <w:rStyle w:val="Hyperlink"/>
            <w:rFonts w:ascii="Times New Roman" w:hAnsi="Times New Roman"/>
            <w:noProof/>
          </w:rPr>
          <w:t>4.2.1</w:t>
        </w:r>
        <w:r w:rsidRPr="004B519A">
          <w:rPr>
            <w:rFonts w:ascii="Times New Roman" w:eastAsiaTheme="minorEastAsia" w:hAnsi="Times New Roman"/>
            <w:noProof/>
            <w:sz w:val="22"/>
            <w:lang w:eastAsia="nl-NL"/>
          </w:rPr>
          <w:tab/>
        </w:r>
        <w:r w:rsidRPr="004B519A">
          <w:rPr>
            <w:rStyle w:val="Hyperlink"/>
            <w:rFonts w:ascii="Times New Roman" w:hAnsi="Times New Roman"/>
            <w:noProof/>
          </w:rPr>
          <w:t>Uitgesloten reserves</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_Toc300055423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51</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24" w:history="1">
        <w:r w:rsidRPr="004B519A">
          <w:rPr>
            <w:rStyle w:val="Hyperlink"/>
            <w:rFonts w:ascii="Times New Roman" w:hAnsi="Times New Roman"/>
            <w:noProof/>
          </w:rPr>
          <w:t>4.2.2</w:t>
        </w:r>
        <w:r w:rsidRPr="004B519A">
          <w:rPr>
            <w:rFonts w:ascii="Times New Roman" w:eastAsiaTheme="minorEastAsia" w:hAnsi="Times New Roman"/>
            <w:noProof/>
            <w:sz w:val="22"/>
            <w:lang w:eastAsia="nl-NL"/>
          </w:rPr>
          <w:tab/>
        </w:r>
        <w:r w:rsidRPr="004B519A">
          <w:rPr>
            <w:rStyle w:val="Hyperlink"/>
            <w:rFonts w:ascii="Times New Roman" w:hAnsi="Times New Roman"/>
            <w:noProof/>
          </w:rPr>
          <w:t>Uitgesloten beleggingsvermogen</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_Toc300055424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51</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25" w:history="1">
        <w:r w:rsidRPr="004B519A">
          <w:rPr>
            <w:rStyle w:val="Hyperlink"/>
            <w:rFonts w:ascii="Times New Roman" w:hAnsi="Times New Roman"/>
            <w:noProof/>
          </w:rPr>
          <w:t>4.2.3</w:t>
        </w:r>
        <w:r w:rsidRPr="004B519A">
          <w:rPr>
            <w:rFonts w:ascii="Times New Roman" w:eastAsiaTheme="minorEastAsia" w:hAnsi="Times New Roman"/>
            <w:noProof/>
            <w:sz w:val="22"/>
            <w:lang w:eastAsia="nl-NL"/>
          </w:rPr>
          <w:tab/>
        </w:r>
        <w:r w:rsidRPr="004B519A">
          <w:rPr>
            <w:rStyle w:val="Hyperlink"/>
            <w:rFonts w:ascii="Times New Roman" w:hAnsi="Times New Roman"/>
            <w:noProof/>
          </w:rPr>
          <w:t>Invloed overdrachtsprijs</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_Toc300055425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52</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26" w:history="1">
        <w:r w:rsidRPr="004B519A">
          <w:rPr>
            <w:rStyle w:val="Hyperlink"/>
            <w:rFonts w:ascii="Times New Roman" w:hAnsi="Times New Roman"/>
            <w:noProof/>
          </w:rPr>
          <w:t>4.2.4</w:t>
        </w:r>
        <w:r w:rsidRPr="004B519A">
          <w:rPr>
            <w:rFonts w:ascii="Times New Roman" w:eastAsiaTheme="minorEastAsia" w:hAnsi="Times New Roman"/>
            <w:noProof/>
            <w:sz w:val="22"/>
            <w:lang w:eastAsia="nl-NL"/>
          </w:rPr>
          <w:tab/>
        </w:r>
        <w:r w:rsidRPr="004B519A">
          <w:rPr>
            <w:rStyle w:val="Hyperlink"/>
            <w:rFonts w:ascii="Times New Roman" w:hAnsi="Times New Roman"/>
            <w:noProof/>
          </w:rPr>
          <w:t>Preferente aandelen</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_Toc300055426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52</w:t>
        </w:r>
        <w:r w:rsidRPr="004B519A">
          <w:rPr>
            <w:rFonts w:ascii="Times New Roman" w:hAnsi="Times New Roman"/>
            <w:noProof/>
            <w:webHidden/>
          </w:rPr>
          <w:fldChar w:fldCharType="end"/>
        </w:r>
      </w:hyperlink>
    </w:p>
    <w:p w:rsidR="004B519A" w:rsidRPr="004B519A" w:rsidRDefault="004B519A">
      <w:pPr>
        <w:pStyle w:val="Inhopg1"/>
        <w:rPr>
          <w:rFonts w:eastAsiaTheme="minorEastAsia"/>
          <w:b w:val="0"/>
          <w:sz w:val="22"/>
          <w:lang w:eastAsia="nl-NL"/>
        </w:rPr>
      </w:pPr>
      <w:hyperlink w:anchor="_Toc300055427" w:history="1">
        <w:r w:rsidRPr="004B519A">
          <w:rPr>
            <w:rStyle w:val="Hyperlink"/>
          </w:rPr>
          <w:t>5.</w:t>
        </w:r>
        <w:r w:rsidRPr="004B519A">
          <w:rPr>
            <w:rFonts w:eastAsiaTheme="minorEastAsia"/>
            <w:b w:val="0"/>
            <w:sz w:val="22"/>
            <w:lang w:eastAsia="nl-NL"/>
          </w:rPr>
          <w:tab/>
        </w:r>
        <w:r w:rsidRPr="004B519A">
          <w:rPr>
            <w:rStyle w:val="Hyperlink"/>
          </w:rPr>
          <w:t>Toetsing effectiviteit</w:t>
        </w:r>
        <w:r w:rsidRPr="004B519A">
          <w:rPr>
            <w:webHidden/>
          </w:rPr>
          <w:tab/>
        </w:r>
        <w:r w:rsidRPr="004B519A">
          <w:rPr>
            <w:webHidden/>
          </w:rPr>
          <w:fldChar w:fldCharType="begin"/>
        </w:r>
        <w:r w:rsidRPr="004B519A">
          <w:rPr>
            <w:webHidden/>
          </w:rPr>
          <w:instrText xml:space="preserve"> PAGEREF _Toc300055427 \h </w:instrText>
        </w:r>
        <w:r w:rsidRPr="004B519A">
          <w:rPr>
            <w:webHidden/>
          </w:rPr>
        </w:r>
        <w:r w:rsidRPr="004B519A">
          <w:rPr>
            <w:webHidden/>
          </w:rPr>
          <w:fldChar w:fldCharType="separate"/>
        </w:r>
        <w:r w:rsidRPr="004B519A">
          <w:rPr>
            <w:webHidden/>
          </w:rPr>
          <w:t>54</w:t>
        </w:r>
        <w:r w:rsidRPr="004B519A">
          <w:rPr>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28" w:history="1">
        <w:r w:rsidRPr="004B519A">
          <w:rPr>
            <w:rStyle w:val="Hyperlink"/>
            <w:rFonts w:ascii="Times New Roman" w:hAnsi="Times New Roman"/>
            <w:noProof/>
          </w:rPr>
          <w:t>5.1.1</w:t>
        </w:r>
        <w:r w:rsidRPr="004B519A">
          <w:rPr>
            <w:rFonts w:ascii="Times New Roman" w:eastAsiaTheme="minorEastAsia" w:hAnsi="Times New Roman"/>
            <w:noProof/>
            <w:sz w:val="22"/>
            <w:lang w:eastAsia="nl-NL"/>
          </w:rPr>
          <w:tab/>
        </w:r>
        <w:r w:rsidRPr="004B519A">
          <w:rPr>
            <w:rStyle w:val="Hyperlink"/>
            <w:rFonts w:ascii="Times New Roman" w:hAnsi="Times New Roman"/>
            <w:noProof/>
          </w:rPr>
          <w:t>Ondersteuning effectiviteit doorschuiffaciliteiten</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_Toc300055428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55</w:t>
        </w:r>
        <w:r w:rsidRPr="004B519A">
          <w:rPr>
            <w:rFonts w:ascii="Times New Roman" w:hAnsi="Times New Roman"/>
            <w:noProof/>
            <w:webHidden/>
          </w:rPr>
          <w:fldChar w:fldCharType="end"/>
        </w:r>
      </w:hyperlink>
    </w:p>
    <w:p w:rsidR="004B519A" w:rsidRPr="004B519A" w:rsidRDefault="004B519A">
      <w:pPr>
        <w:pStyle w:val="Inhopg2"/>
        <w:tabs>
          <w:tab w:val="left" w:pos="880"/>
          <w:tab w:val="right" w:leader="dot" w:pos="9062"/>
        </w:tabs>
        <w:rPr>
          <w:rFonts w:ascii="Times New Roman" w:eastAsiaTheme="minorEastAsia" w:hAnsi="Times New Roman"/>
          <w:noProof/>
          <w:sz w:val="22"/>
          <w:lang w:eastAsia="nl-NL"/>
        </w:rPr>
      </w:pPr>
      <w:hyperlink w:anchor="_Toc300055429" w:history="1">
        <w:r w:rsidRPr="004B519A">
          <w:rPr>
            <w:rStyle w:val="Hyperlink"/>
            <w:rFonts w:ascii="Times New Roman" w:hAnsi="Times New Roman"/>
            <w:noProof/>
          </w:rPr>
          <w:t>5.2</w:t>
        </w:r>
        <w:r w:rsidRPr="004B519A">
          <w:rPr>
            <w:rFonts w:ascii="Times New Roman" w:eastAsiaTheme="minorEastAsia" w:hAnsi="Times New Roman"/>
            <w:noProof/>
            <w:sz w:val="22"/>
            <w:lang w:eastAsia="nl-NL"/>
          </w:rPr>
          <w:tab/>
        </w:r>
        <w:r w:rsidRPr="004B519A">
          <w:rPr>
            <w:rStyle w:val="Hyperlink"/>
            <w:rFonts w:ascii="Times New Roman" w:hAnsi="Times New Roman"/>
            <w:noProof/>
          </w:rPr>
          <w:t>Belastingsubject</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_Toc300055429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57</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30" w:history="1">
        <w:r w:rsidRPr="004B519A">
          <w:rPr>
            <w:rStyle w:val="Hyperlink"/>
            <w:rFonts w:ascii="Times New Roman" w:hAnsi="Times New Roman"/>
            <w:noProof/>
          </w:rPr>
          <w:t>5.2.1</w:t>
        </w:r>
        <w:r w:rsidRPr="004B519A">
          <w:rPr>
            <w:rFonts w:ascii="Times New Roman" w:eastAsiaTheme="minorEastAsia" w:hAnsi="Times New Roman"/>
            <w:noProof/>
            <w:sz w:val="22"/>
            <w:lang w:eastAsia="nl-NL"/>
          </w:rPr>
          <w:tab/>
        </w:r>
        <w:r w:rsidRPr="004B519A">
          <w:rPr>
            <w:rStyle w:val="Hyperlink"/>
            <w:rFonts w:ascii="Times New Roman" w:hAnsi="Times New Roman"/>
            <w:noProof/>
          </w:rPr>
          <w:t>Kwalificerende ondernemer</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_Toc300055430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57</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31" w:history="1">
        <w:r w:rsidRPr="004B519A">
          <w:rPr>
            <w:rStyle w:val="Hyperlink"/>
            <w:rFonts w:ascii="Times New Roman" w:hAnsi="Times New Roman"/>
            <w:noProof/>
          </w:rPr>
          <w:t>5.2.2</w:t>
        </w:r>
        <w:r w:rsidRPr="004B519A">
          <w:rPr>
            <w:rFonts w:ascii="Times New Roman" w:eastAsiaTheme="minorEastAsia" w:hAnsi="Times New Roman"/>
            <w:noProof/>
            <w:sz w:val="22"/>
            <w:lang w:eastAsia="nl-NL"/>
          </w:rPr>
          <w:tab/>
        </w:r>
        <w:r w:rsidRPr="004B519A">
          <w:rPr>
            <w:rStyle w:val="Hyperlink"/>
            <w:rFonts w:ascii="Times New Roman" w:hAnsi="Times New Roman"/>
            <w:noProof/>
          </w:rPr>
          <w:t>Medegerechtigdheid</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_Toc300055431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58</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32" w:history="1">
        <w:r w:rsidRPr="004B519A">
          <w:rPr>
            <w:rStyle w:val="Hyperlink"/>
            <w:rFonts w:ascii="Times New Roman" w:hAnsi="Times New Roman"/>
            <w:noProof/>
          </w:rPr>
          <w:t>5.2.3</w:t>
        </w:r>
        <w:r w:rsidRPr="004B519A">
          <w:rPr>
            <w:rFonts w:ascii="Times New Roman" w:eastAsiaTheme="minorEastAsia" w:hAnsi="Times New Roman"/>
            <w:noProof/>
            <w:sz w:val="22"/>
            <w:lang w:eastAsia="nl-NL"/>
          </w:rPr>
          <w:tab/>
        </w:r>
        <w:r w:rsidRPr="004B519A">
          <w:rPr>
            <w:rStyle w:val="Hyperlink"/>
            <w:rFonts w:ascii="Times New Roman" w:hAnsi="Times New Roman"/>
            <w:noProof/>
          </w:rPr>
          <w:t>Voortzettingsvereiste</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_Toc300055432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59</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33" w:history="1">
        <w:r w:rsidRPr="004B519A">
          <w:rPr>
            <w:rStyle w:val="Hyperlink"/>
            <w:rFonts w:ascii="Times New Roman" w:hAnsi="Times New Roman"/>
            <w:noProof/>
          </w:rPr>
          <w:t>5.2.4</w:t>
        </w:r>
        <w:r w:rsidRPr="004B519A">
          <w:rPr>
            <w:rFonts w:ascii="Times New Roman" w:eastAsiaTheme="minorEastAsia" w:hAnsi="Times New Roman"/>
            <w:noProof/>
            <w:sz w:val="22"/>
            <w:lang w:eastAsia="nl-NL"/>
          </w:rPr>
          <w:tab/>
        </w:r>
        <w:r w:rsidRPr="004B519A">
          <w:rPr>
            <w:rStyle w:val="Hyperlink"/>
            <w:rFonts w:ascii="Times New Roman" w:hAnsi="Times New Roman"/>
            <w:noProof/>
          </w:rPr>
          <w:t>In de plaats treden</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_Toc300055433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59</w:t>
        </w:r>
        <w:r w:rsidRPr="004B519A">
          <w:rPr>
            <w:rFonts w:ascii="Times New Roman" w:hAnsi="Times New Roman"/>
            <w:noProof/>
            <w:webHidden/>
          </w:rPr>
          <w:fldChar w:fldCharType="end"/>
        </w:r>
      </w:hyperlink>
    </w:p>
    <w:p w:rsidR="004B519A" w:rsidRPr="004B519A" w:rsidRDefault="004B519A">
      <w:pPr>
        <w:pStyle w:val="Inhopg2"/>
        <w:tabs>
          <w:tab w:val="left" w:pos="880"/>
          <w:tab w:val="right" w:leader="dot" w:pos="9062"/>
        </w:tabs>
        <w:rPr>
          <w:rFonts w:ascii="Times New Roman" w:eastAsiaTheme="minorEastAsia" w:hAnsi="Times New Roman"/>
          <w:noProof/>
          <w:sz w:val="22"/>
          <w:lang w:eastAsia="nl-NL"/>
        </w:rPr>
      </w:pPr>
      <w:hyperlink w:anchor="_Toc300055434" w:history="1">
        <w:r w:rsidRPr="004B519A">
          <w:rPr>
            <w:rStyle w:val="Hyperlink"/>
            <w:rFonts w:ascii="Times New Roman" w:hAnsi="Times New Roman"/>
            <w:noProof/>
          </w:rPr>
          <w:t>5.3</w:t>
        </w:r>
        <w:r w:rsidRPr="004B519A">
          <w:rPr>
            <w:rFonts w:ascii="Times New Roman" w:eastAsiaTheme="minorEastAsia" w:hAnsi="Times New Roman"/>
            <w:noProof/>
            <w:sz w:val="22"/>
            <w:lang w:eastAsia="nl-NL"/>
          </w:rPr>
          <w:tab/>
        </w:r>
        <w:r w:rsidRPr="004B519A">
          <w:rPr>
            <w:rStyle w:val="Hyperlink"/>
            <w:rFonts w:ascii="Times New Roman" w:hAnsi="Times New Roman"/>
            <w:noProof/>
          </w:rPr>
          <w:t>Belastingobject</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_Toc300055434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59</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35" w:history="1">
        <w:r w:rsidRPr="004B519A">
          <w:rPr>
            <w:rStyle w:val="Hyperlink"/>
            <w:rFonts w:ascii="Times New Roman" w:hAnsi="Times New Roman"/>
            <w:noProof/>
          </w:rPr>
          <w:t>5.3.1</w:t>
        </w:r>
        <w:r w:rsidRPr="004B519A">
          <w:rPr>
            <w:rFonts w:ascii="Times New Roman" w:eastAsiaTheme="minorEastAsia" w:hAnsi="Times New Roman"/>
            <w:noProof/>
            <w:sz w:val="22"/>
            <w:lang w:eastAsia="nl-NL"/>
          </w:rPr>
          <w:tab/>
        </w:r>
        <w:r w:rsidRPr="004B519A">
          <w:rPr>
            <w:rStyle w:val="Hyperlink"/>
            <w:rFonts w:ascii="Times New Roman" w:hAnsi="Times New Roman"/>
            <w:noProof/>
          </w:rPr>
          <w:t>Uitgesloten reserves</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_Toc300055435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59</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36" w:history="1">
        <w:r w:rsidRPr="004B519A">
          <w:rPr>
            <w:rStyle w:val="Hyperlink"/>
            <w:rFonts w:ascii="Times New Roman" w:hAnsi="Times New Roman"/>
            <w:noProof/>
          </w:rPr>
          <w:t>5.3.2</w:t>
        </w:r>
        <w:r w:rsidRPr="004B519A">
          <w:rPr>
            <w:rFonts w:ascii="Times New Roman" w:eastAsiaTheme="minorEastAsia" w:hAnsi="Times New Roman"/>
            <w:noProof/>
            <w:sz w:val="22"/>
            <w:lang w:eastAsia="nl-NL"/>
          </w:rPr>
          <w:tab/>
        </w:r>
        <w:r w:rsidRPr="004B519A">
          <w:rPr>
            <w:rStyle w:val="Hyperlink"/>
            <w:rFonts w:ascii="Times New Roman" w:hAnsi="Times New Roman"/>
            <w:noProof/>
          </w:rPr>
          <w:t>Uitgesloten beleggingsvermogen</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_Toc300055436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60</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37" w:history="1">
        <w:r w:rsidRPr="004B519A">
          <w:rPr>
            <w:rStyle w:val="Hyperlink"/>
            <w:rFonts w:ascii="Times New Roman" w:hAnsi="Times New Roman"/>
            <w:noProof/>
          </w:rPr>
          <w:t>5.3.3</w:t>
        </w:r>
        <w:r w:rsidRPr="004B519A">
          <w:rPr>
            <w:rFonts w:ascii="Times New Roman" w:eastAsiaTheme="minorEastAsia" w:hAnsi="Times New Roman"/>
            <w:noProof/>
            <w:sz w:val="22"/>
            <w:lang w:eastAsia="nl-NL"/>
          </w:rPr>
          <w:tab/>
        </w:r>
        <w:r w:rsidRPr="004B519A">
          <w:rPr>
            <w:rStyle w:val="Hyperlink"/>
            <w:rFonts w:ascii="Times New Roman" w:hAnsi="Times New Roman"/>
            <w:noProof/>
          </w:rPr>
          <w:t>Invloed overdrachtsprijs</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_Toc300055437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61</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38" w:history="1">
        <w:r w:rsidRPr="004B519A">
          <w:rPr>
            <w:rStyle w:val="Hyperlink"/>
            <w:rFonts w:ascii="Times New Roman" w:hAnsi="Times New Roman"/>
            <w:noProof/>
          </w:rPr>
          <w:t>5.3.4</w:t>
        </w:r>
        <w:r w:rsidRPr="004B519A">
          <w:rPr>
            <w:rFonts w:ascii="Times New Roman" w:eastAsiaTheme="minorEastAsia" w:hAnsi="Times New Roman"/>
            <w:noProof/>
            <w:sz w:val="22"/>
            <w:lang w:eastAsia="nl-NL"/>
          </w:rPr>
          <w:tab/>
        </w:r>
        <w:r w:rsidRPr="004B519A">
          <w:rPr>
            <w:rStyle w:val="Hyperlink"/>
            <w:rFonts w:ascii="Times New Roman" w:hAnsi="Times New Roman"/>
            <w:noProof/>
          </w:rPr>
          <w:t>Preferente aandelen</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_Toc300055438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62</w:t>
        </w:r>
        <w:r w:rsidRPr="004B519A">
          <w:rPr>
            <w:rFonts w:ascii="Times New Roman" w:hAnsi="Times New Roman"/>
            <w:noProof/>
            <w:webHidden/>
          </w:rPr>
          <w:fldChar w:fldCharType="end"/>
        </w:r>
      </w:hyperlink>
    </w:p>
    <w:p w:rsidR="004B519A" w:rsidRPr="004B519A" w:rsidRDefault="004B519A">
      <w:pPr>
        <w:pStyle w:val="Inhopg1"/>
        <w:rPr>
          <w:rFonts w:eastAsiaTheme="minorEastAsia"/>
          <w:b w:val="0"/>
          <w:sz w:val="22"/>
          <w:lang w:eastAsia="nl-NL"/>
        </w:rPr>
      </w:pPr>
      <w:hyperlink w:anchor="_Toc300055439" w:history="1">
        <w:r w:rsidRPr="004B519A">
          <w:rPr>
            <w:rStyle w:val="Hyperlink"/>
          </w:rPr>
          <w:t>6.</w:t>
        </w:r>
        <w:r w:rsidRPr="004B519A">
          <w:rPr>
            <w:rFonts w:eastAsiaTheme="minorEastAsia"/>
            <w:b w:val="0"/>
            <w:sz w:val="22"/>
            <w:lang w:eastAsia="nl-NL"/>
          </w:rPr>
          <w:tab/>
        </w:r>
        <w:r w:rsidRPr="004B519A">
          <w:rPr>
            <w:rStyle w:val="Hyperlink"/>
          </w:rPr>
          <w:t>Toetsing effi</w:t>
        </w:r>
        <w:r w:rsidRPr="004B519A">
          <w:rPr>
            <w:rStyle w:val="Hyperlink"/>
          </w:rPr>
          <w:t>c</w:t>
        </w:r>
        <w:r w:rsidRPr="004B519A">
          <w:rPr>
            <w:rStyle w:val="Hyperlink"/>
          </w:rPr>
          <w:t>iëntie</w:t>
        </w:r>
        <w:r w:rsidRPr="004B519A">
          <w:rPr>
            <w:webHidden/>
          </w:rPr>
          <w:tab/>
        </w:r>
        <w:r w:rsidRPr="004B519A">
          <w:rPr>
            <w:webHidden/>
          </w:rPr>
          <w:fldChar w:fldCharType="begin"/>
        </w:r>
        <w:r w:rsidRPr="004B519A">
          <w:rPr>
            <w:webHidden/>
          </w:rPr>
          <w:instrText xml:space="preserve"> PAGEREF _Toc300055439 \h </w:instrText>
        </w:r>
        <w:r w:rsidRPr="004B519A">
          <w:rPr>
            <w:webHidden/>
          </w:rPr>
        </w:r>
        <w:r w:rsidRPr="004B519A">
          <w:rPr>
            <w:webHidden/>
          </w:rPr>
          <w:fldChar w:fldCharType="separate"/>
        </w:r>
        <w:r w:rsidRPr="004B519A">
          <w:rPr>
            <w:webHidden/>
          </w:rPr>
          <w:t>63</w:t>
        </w:r>
        <w:r w:rsidRPr="004B519A">
          <w:rPr>
            <w:webHidden/>
          </w:rPr>
          <w:fldChar w:fldCharType="end"/>
        </w:r>
      </w:hyperlink>
    </w:p>
    <w:p w:rsidR="004B519A" w:rsidRPr="004B519A" w:rsidRDefault="004B519A">
      <w:pPr>
        <w:pStyle w:val="Inhopg2"/>
        <w:tabs>
          <w:tab w:val="left" w:pos="880"/>
          <w:tab w:val="right" w:leader="dot" w:pos="9062"/>
        </w:tabs>
        <w:rPr>
          <w:rFonts w:ascii="Times New Roman" w:eastAsiaTheme="minorEastAsia" w:hAnsi="Times New Roman"/>
          <w:noProof/>
          <w:sz w:val="22"/>
          <w:lang w:eastAsia="nl-NL"/>
        </w:rPr>
      </w:pPr>
      <w:hyperlink w:anchor="_Toc300055440" w:history="1">
        <w:r w:rsidRPr="004B519A">
          <w:rPr>
            <w:rStyle w:val="Hyperlink"/>
            <w:rFonts w:ascii="Times New Roman" w:hAnsi="Times New Roman"/>
            <w:noProof/>
          </w:rPr>
          <w:t>6.1</w:t>
        </w:r>
        <w:r w:rsidRPr="004B519A">
          <w:rPr>
            <w:rFonts w:ascii="Times New Roman" w:eastAsiaTheme="minorEastAsia" w:hAnsi="Times New Roman"/>
            <w:noProof/>
            <w:sz w:val="22"/>
            <w:lang w:eastAsia="nl-NL"/>
          </w:rPr>
          <w:tab/>
        </w:r>
        <w:r w:rsidRPr="004B519A">
          <w:rPr>
            <w:rStyle w:val="Hyperlink"/>
            <w:rFonts w:ascii="Times New Roman" w:hAnsi="Times New Roman"/>
            <w:noProof/>
          </w:rPr>
          <w:t>Belastingsubject</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_Toc300055440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64</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41" w:history="1">
        <w:r w:rsidRPr="004B519A">
          <w:rPr>
            <w:rStyle w:val="Hyperlink"/>
            <w:rFonts w:ascii="Times New Roman" w:hAnsi="Times New Roman"/>
            <w:noProof/>
          </w:rPr>
          <w:t>6.1.1</w:t>
        </w:r>
        <w:r w:rsidRPr="004B519A">
          <w:rPr>
            <w:rFonts w:ascii="Times New Roman" w:eastAsiaTheme="minorEastAsia" w:hAnsi="Times New Roman"/>
            <w:noProof/>
            <w:sz w:val="22"/>
            <w:lang w:eastAsia="nl-NL"/>
          </w:rPr>
          <w:tab/>
        </w:r>
        <w:r w:rsidRPr="004B519A">
          <w:rPr>
            <w:rStyle w:val="Hyperlink"/>
            <w:rFonts w:ascii="Times New Roman" w:hAnsi="Times New Roman"/>
            <w:noProof/>
          </w:rPr>
          <w:t>Kwalificerende ondernemer</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_Toc300055441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64</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42" w:history="1">
        <w:r w:rsidRPr="004B519A">
          <w:rPr>
            <w:rStyle w:val="Hyperlink"/>
            <w:rFonts w:ascii="Times New Roman" w:hAnsi="Times New Roman"/>
            <w:noProof/>
          </w:rPr>
          <w:t>6.1.2</w:t>
        </w:r>
        <w:r w:rsidRPr="004B519A">
          <w:rPr>
            <w:rFonts w:ascii="Times New Roman" w:eastAsiaTheme="minorEastAsia" w:hAnsi="Times New Roman"/>
            <w:noProof/>
            <w:sz w:val="22"/>
            <w:lang w:eastAsia="nl-NL"/>
          </w:rPr>
          <w:tab/>
        </w:r>
        <w:r w:rsidRPr="004B519A">
          <w:rPr>
            <w:rStyle w:val="Hyperlink"/>
            <w:rFonts w:ascii="Times New Roman" w:hAnsi="Times New Roman"/>
            <w:noProof/>
          </w:rPr>
          <w:t>Medegerechtigdheid</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_Toc300055442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65</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43" w:history="1">
        <w:r w:rsidRPr="004B519A">
          <w:rPr>
            <w:rStyle w:val="Hyperlink"/>
            <w:rFonts w:ascii="Times New Roman" w:hAnsi="Times New Roman"/>
            <w:noProof/>
          </w:rPr>
          <w:t>6.1.3</w:t>
        </w:r>
        <w:r w:rsidRPr="004B519A">
          <w:rPr>
            <w:rFonts w:ascii="Times New Roman" w:eastAsiaTheme="minorEastAsia" w:hAnsi="Times New Roman"/>
            <w:noProof/>
            <w:sz w:val="22"/>
            <w:lang w:eastAsia="nl-NL"/>
          </w:rPr>
          <w:tab/>
        </w:r>
        <w:r w:rsidRPr="004B519A">
          <w:rPr>
            <w:rStyle w:val="Hyperlink"/>
            <w:rFonts w:ascii="Times New Roman" w:hAnsi="Times New Roman"/>
            <w:noProof/>
          </w:rPr>
          <w:t>Voortzettingsvereiste</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_Toc300055443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65</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44" w:history="1">
        <w:r w:rsidRPr="004B519A">
          <w:rPr>
            <w:rStyle w:val="Hyperlink"/>
            <w:rFonts w:ascii="Times New Roman" w:hAnsi="Times New Roman"/>
            <w:noProof/>
          </w:rPr>
          <w:t>6.1.4</w:t>
        </w:r>
        <w:r w:rsidRPr="004B519A">
          <w:rPr>
            <w:rFonts w:ascii="Times New Roman" w:eastAsiaTheme="minorEastAsia" w:hAnsi="Times New Roman"/>
            <w:noProof/>
            <w:sz w:val="22"/>
            <w:lang w:eastAsia="nl-NL"/>
          </w:rPr>
          <w:tab/>
        </w:r>
        <w:r w:rsidRPr="004B519A">
          <w:rPr>
            <w:rStyle w:val="Hyperlink"/>
            <w:rFonts w:ascii="Times New Roman" w:hAnsi="Times New Roman"/>
            <w:noProof/>
          </w:rPr>
          <w:t>In de plaats treden</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_Toc300055444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65</w:t>
        </w:r>
        <w:r w:rsidRPr="004B519A">
          <w:rPr>
            <w:rFonts w:ascii="Times New Roman" w:hAnsi="Times New Roman"/>
            <w:noProof/>
            <w:webHidden/>
          </w:rPr>
          <w:fldChar w:fldCharType="end"/>
        </w:r>
      </w:hyperlink>
    </w:p>
    <w:p w:rsidR="004B519A" w:rsidRPr="004B519A" w:rsidRDefault="004B519A">
      <w:pPr>
        <w:pStyle w:val="Inhopg2"/>
        <w:tabs>
          <w:tab w:val="left" w:pos="880"/>
          <w:tab w:val="right" w:leader="dot" w:pos="9062"/>
        </w:tabs>
        <w:rPr>
          <w:rFonts w:ascii="Times New Roman" w:eastAsiaTheme="minorEastAsia" w:hAnsi="Times New Roman"/>
          <w:noProof/>
          <w:sz w:val="22"/>
          <w:lang w:eastAsia="nl-NL"/>
        </w:rPr>
      </w:pPr>
      <w:hyperlink w:anchor="_Toc300055445" w:history="1">
        <w:r w:rsidRPr="004B519A">
          <w:rPr>
            <w:rStyle w:val="Hyperlink"/>
            <w:rFonts w:ascii="Times New Roman" w:hAnsi="Times New Roman"/>
            <w:noProof/>
          </w:rPr>
          <w:t>6.2</w:t>
        </w:r>
        <w:r w:rsidRPr="004B519A">
          <w:rPr>
            <w:rFonts w:ascii="Times New Roman" w:eastAsiaTheme="minorEastAsia" w:hAnsi="Times New Roman"/>
            <w:noProof/>
            <w:sz w:val="22"/>
            <w:lang w:eastAsia="nl-NL"/>
          </w:rPr>
          <w:tab/>
        </w:r>
        <w:r w:rsidRPr="004B519A">
          <w:rPr>
            <w:rStyle w:val="Hyperlink"/>
            <w:rFonts w:ascii="Times New Roman" w:hAnsi="Times New Roman"/>
            <w:noProof/>
          </w:rPr>
          <w:t>Belastingsubject</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_Toc300055445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66</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46" w:history="1">
        <w:r w:rsidRPr="004B519A">
          <w:rPr>
            <w:rStyle w:val="Hyperlink"/>
            <w:rFonts w:ascii="Times New Roman" w:hAnsi="Times New Roman"/>
            <w:noProof/>
          </w:rPr>
          <w:t>6.2.1</w:t>
        </w:r>
        <w:r w:rsidRPr="004B519A">
          <w:rPr>
            <w:rFonts w:ascii="Times New Roman" w:eastAsiaTheme="minorEastAsia" w:hAnsi="Times New Roman"/>
            <w:noProof/>
            <w:sz w:val="22"/>
            <w:lang w:eastAsia="nl-NL"/>
          </w:rPr>
          <w:tab/>
        </w:r>
        <w:r w:rsidRPr="004B519A">
          <w:rPr>
            <w:rStyle w:val="Hyperlink"/>
            <w:rFonts w:ascii="Times New Roman" w:hAnsi="Times New Roman"/>
            <w:noProof/>
          </w:rPr>
          <w:t>Uitgesloten reserves</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_Toc300055446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66</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47" w:history="1">
        <w:r w:rsidRPr="004B519A">
          <w:rPr>
            <w:rStyle w:val="Hyperlink"/>
            <w:rFonts w:ascii="Times New Roman" w:hAnsi="Times New Roman"/>
            <w:noProof/>
          </w:rPr>
          <w:t>6.2.2</w:t>
        </w:r>
        <w:r w:rsidRPr="004B519A">
          <w:rPr>
            <w:rFonts w:ascii="Times New Roman" w:eastAsiaTheme="minorEastAsia" w:hAnsi="Times New Roman"/>
            <w:noProof/>
            <w:sz w:val="22"/>
            <w:lang w:eastAsia="nl-NL"/>
          </w:rPr>
          <w:tab/>
        </w:r>
        <w:r w:rsidRPr="004B519A">
          <w:rPr>
            <w:rStyle w:val="Hyperlink"/>
            <w:rFonts w:ascii="Times New Roman" w:hAnsi="Times New Roman"/>
            <w:noProof/>
          </w:rPr>
          <w:t>Uitgesloten beleggingsvermogen</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_Toc300055447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66</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48" w:history="1">
        <w:r w:rsidRPr="004B519A">
          <w:rPr>
            <w:rStyle w:val="Hyperlink"/>
            <w:rFonts w:ascii="Times New Roman" w:hAnsi="Times New Roman"/>
            <w:noProof/>
          </w:rPr>
          <w:t>6.2.3</w:t>
        </w:r>
        <w:r w:rsidRPr="004B519A">
          <w:rPr>
            <w:rFonts w:ascii="Times New Roman" w:eastAsiaTheme="minorEastAsia" w:hAnsi="Times New Roman"/>
            <w:noProof/>
            <w:sz w:val="22"/>
            <w:lang w:eastAsia="nl-NL"/>
          </w:rPr>
          <w:tab/>
        </w:r>
        <w:r w:rsidRPr="004B519A">
          <w:rPr>
            <w:rStyle w:val="Hyperlink"/>
            <w:rFonts w:ascii="Times New Roman" w:hAnsi="Times New Roman"/>
            <w:noProof/>
          </w:rPr>
          <w:t>Invloed overdrachtsprijs</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_Toc300055448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67</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49" w:history="1">
        <w:r w:rsidRPr="004B519A">
          <w:rPr>
            <w:rStyle w:val="Hyperlink"/>
            <w:rFonts w:ascii="Times New Roman" w:hAnsi="Times New Roman"/>
            <w:noProof/>
          </w:rPr>
          <w:t>6.2.4</w:t>
        </w:r>
        <w:r w:rsidRPr="004B519A">
          <w:rPr>
            <w:rFonts w:ascii="Times New Roman" w:eastAsiaTheme="minorEastAsia" w:hAnsi="Times New Roman"/>
            <w:noProof/>
            <w:sz w:val="22"/>
            <w:lang w:eastAsia="nl-NL"/>
          </w:rPr>
          <w:tab/>
        </w:r>
        <w:r w:rsidRPr="004B519A">
          <w:rPr>
            <w:rStyle w:val="Hyperlink"/>
            <w:rFonts w:ascii="Times New Roman" w:hAnsi="Times New Roman"/>
            <w:noProof/>
          </w:rPr>
          <w:t>Preferente aandelen</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_Toc300055449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68</w:t>
        </w:r>
        <w:r w:rsidRPr="004B519A">
          <w:rPr>
            <w:rFonts w:ascii="Times New Roman" w:hAnsi="Times New Roman"/>
            <w:noProof/>
            <w:webHidden/>
          </w:rPr>
          <w:fldChar w:fldCharType="end"/>
        </w:r>
      </w:hyperlink>
    </w:p>
    <w:p w:rsidR="004B519A" w:rsidRPr="004B519A" w:rsidRDefault="004B519A">
      <w:pPr>
        <w:pStyle w:val="Inhopg1"/>
        <w:rPr>
          <w:rFonts w:eastAsiaTheme="minorEastAsia"/>
          <w:b w:val="0"/>
          <w:sz w:val="22"/>
          <w:lang w:eastAsia="nl-NL"/>
        </w:rPr>
      </w:pPr>
      <w:hyperlink w:anchor="_Toc300055450" w:history="1">
        <w:r w:rsidRPr="004B519A">
          <w:rPr>
            <w:rStyle w:val="Hyperlink"/>
          </w:rPr>
          <w:t>7.</w:t>
        </w:r>
        <w:r w:rsidRPr="004B519A">
          <w:rPr>
            <w:rFonts w:eastAsiaTheme="minorEastAsia"/>
            <w:b w:val="0"/>
            <w:sz w:val="22"/>
            <w:lang w:eastAsia="nl-NL"/>
          </w:rPr>
          <w:tab/>
        </w:r>
        <w:r w:rsidRPr="004B519A">
          <w:rPr>
            <w:rStyle w:val="Hyperlink"/>
          </w:rPr>
          <w:t>Mogelijke aanpassingen doorschuiffaciliteiten</w:t>
        </w:r>
        <w:r w:rsidRPr="004B519A">
          <w:rPr>
            <w:webHidden/>
          </w:rPr>
          <w:tab/>
        </w:r>
        <w:r w:rsidRPr="004B519A">
          <w:rPr>
            <w:webHidden/>
          </w:rPr>
          <w:fldChar w:fldCharType="begin"/>
        </w:r>
        <w:r w:rsidRPr="004B519A">
          <w:rPr>
            <w:webHidden/>
          </w:rPr>
          <w:instrText xml:space="preserve"> PAGEREF _Toc300055450 \h </w:instrText>
        </w:r>
        <w:r w:rsidRPr="004B519A">
          <w:rPr>
            <w:webHidden/>
          </w:rPr>
        </w:r>
        <w:r w:rsidRPr="004B519A">
          <w:rPr>
            <w:webHidden/>
          </w:rPr>
          <w:fldChar w:fldCharType="separate"/>
        </w:r>
        <w:r w:rsidRPr="004B519A">
          <w:rPr>
            <w:webHidden/>
          </w:rPr>
          <w:t>70</w:t>
        </w:r>
        <w:r w:rsidRPr="004B519A">
          <w:rPr>
            <w:webHidden/>
          </w:rPr>
          <w:fldChar w:fldCharType="end"/>
        </w:r>
      </w:hyperlink>
    </w:p>
    <w:p w:rsidR="004B519A" w:rsidRPr="004B519A" w:rsidRDefault="004B519A">
      <w:pPr>
        <w:pStyle w:val="Inhopg2"/>
        <w:tabs>
          <w:tab w:val="left" w:pos="880"/>
          <w:tab w:val="right" w:leader="dot" w:pos="9062"/>
        </w:tabs>
        <w:rPr>
          <w:rFonts w:ascii="Times New Roman" w:eastAsiaTheme="minorEastAsia" w:hAnsi="Times New Roman"/>
          <w:noProof/>
          <w:sz w:val="22"/>
          <w:lang w:eastAsia="nl-NL"/>
        </w:rPr>
      </w:pPr>
      <w:hyperlink w:anchor="_Toc300055451" w:history="1">
        <w:r w:rsidRPr="004B519A">
          <w:rPr>
            <w:rStyle w:val="Hyperlink"/>
            <w:rFonts w:ascii="Times New Roman" w:hAnsi="Times New Roman"/>
            <w:noProof/>
          </w:rPr>
          <w:t>7.1</w:t>
        </w:r>
        <w:r w:rsidRPr="004B519A">
          <w:rPr>
            <w:rFonts w:ascii="Times New Roman" w:eastAsiaTheme="minorEastAsia" w:hAnsi="Times New Roman"/>
            <w:noProof/>
            <w:sz w:val="22"/>
            <w:lang w:eastAsia="nl-NL"/>
          </w:rPr>
          <w:tab/>
        </w:r>
        <w:r w:rsidRPr="004B519A">
          <w:rPr>
            <w:rStyle w:val="Hyperlink"/>
            <w:rFonts w:ascii="Times New Roman" w:hAnsi="Times New Roman"/>
            <w:noProof/>
          </w:rPr>
          <w:t>Belastingsubject</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_Toc300055451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71</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52" w:history="1">
        <w:r w:rsidRPr="004B519A">
          <w:rPr>
            <w:rStyle w:val="Hyperlink"/>
            <w:rFonts w:ascii="Times New Roman" w:hAnsi="Times New Roman"/>
            <w:noProof/>
          </w:rPr>
          <w:t>7.1.1</w:t>
        </w:r>
        <w:r w:rsidRPr="004B519A">
          <w:rPr>
            <w:rFonts w:ascii="Times New Roman" w:eastAsiaTheme="minorEastAsia" w:hAnsi="Times New Roman"/>
            <w:noProof/>
            <w:sz w:val="22"/>
            <w:lang w:eastAsia="nl-NL"/>
          </w:rPr>
          <w:tab/>
        </w:r>
        <w:r w:rsidRPr="004B519A">
          <w:rPr>
            <w:rStyle w:val="Hyperlink"/>
            <w:rFonts w:ascii="Times New Roman" w:hAnsi="Times New Roman"/>
            <w:noProof/>
          </w:rPr>
          <w:t>Kwalificerende ondernemer</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_Toc300055452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71</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53" w:history="1">
        <w:r w:rsidRPr="004B519A">
          <w:rPr>
            <w:rStyle w:val="Hyperlink"/>
            <w:rFonts w:ascii="Times New Roman" w:hAnsi="Times New Roman"/>
            <w:noProof/>
          </w:rPr>
          <w:t>7.1.2</w:t>
        </w:r>
        <w:r w:rsidRPr="004B519A">
          <w:rPr>
            <w:rFonts w:ascii="Times New Roman" w:eastAsiaTheme="minorEastAsia" w:hAnsi="Times New Roman"/>
            <w:noProof/>
            <w:sz w:val="22"/>
            <w:lang w:eastAsia="nl-NL"/>
          </w:rPr>
          <w:tab/>
        </w:r>
        <w:r w:rsidRPr="004B519A">
          <w:rPr>
            <w:rStyle w:val="Hyperlink"/>
            <w:rFonts w:ascii="Times New Roman" w:hAnsi="Times New Roman"/>
            <w:noProof/>
          </w:rPr>
          <w:t>Medegerechtigdheid</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_Toc300055453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72</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54" w:history="1">
        <w:r w:rsidRPr="004B519A">
          <w:rPr>
            <w:rStyle w:val="Hyperlink"/>
            <w:rFonts w:ascii="Times New Roman" w:hAnsi="Times New Roman"/>
            <w:noProof/>
          </w:rPr>
          <w:t>7.1.3</w:t>
        </w:r>
        <w:r w:rsidRPr="004B519A">
          <w:rPr>
            <w:rFonts w:ascii="Times New Roman" w:eastAsiaTheme="minorEastAsia" w:hAnsi="Times New Roman"/>
            <w:noProof/>
            <w:sz w:val="22"/>
            <w:lang w:eastAsia="nl-NL"/>
          </w:rPr>
          <w:tab/>
        </w:r>
        <w:r w:rsidRPr="004B519A">
          <w:rPr>
            <w:rStyle w:val="Hyperlink"/>
            <w:rFonts w:ascii="Times New Roman" w:hAnsi="Times New Roman"/>
            <w:noProof/>
          </w:rPr>
          <w:t>Voortzettingsvereiste</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_Toc300055454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73</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55" w:history="1">
        <w:r w:rsidRPr="004B519A">
          <w:rPr>
            <w:rStyle w:val="Hyperlink"/>
            <w:rFonts w:ascii="Times New Roman" w:hAnsi="Times New Roman"/>
            <w:noProof/>
          </w:rPr>
          <w:t>7.1.4</w:t>
        </w:r>
        <w:r w:rsidRPr="004B519A">
          <w:rPr>
            <w:rFonts w:ascii="Times New Roman" w:eastAsiaTheme="minorEastAsia" w:hAnsi="Times New Roman"/>
            <w:noProof/>
            <w:sz w:val="22"/>
            <w:lang w:eastAsia="nl-NL"/>
          </w:rPr>
          <w:tab/>
        </w:r>
        <w:r w:rsidRPr="004B519A">
          <w:rPr>
            <w:rStyle w:val="Hyperlink"/>
            <w:rFonts w:ascii="Times New Roman" w:hAnsi="Times New Roman"/>
            <w:noProof/>
          </w:rPr>
          <w:t>In de plaats treden</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_Toc300055455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74</w:t>
        </w:r>
        <w:r w:rsidRPr="004B519A">
          <w:rPr>
            <w:rFonts w:ascii="Times New Roman" w:hAnsi="Times New Roman"/>
            <w:noProof/>
            <w:webHidden/>
          </w:rPr>
          <w:fldChar w:fldCharType="end"/>
        </w:r>
      </w:hyperlink>
    </w:p>
    <w:p w:rsidR="004B519A" w:rsidRPr="004B519A" w:rsidRDefault="004B519A">
      <w:pPr>
        <w:pStyle w:val="Inhopg2"/>
        <w:tabs>
          <w:tab w:val="left" w:pos="880"/>
          <w:tab w:val="right" w:leader="dot" w:pos="9062"/>
        </w:tabs>
        <w:rPr>
          <w:rFonts w:ascii="Times New Roman" w:eastAsiaTheme="minorEastAsia" w:hAnsi="Times New Roman"/>
          <w:noProof/>
          <w:sz w:val="22"/>
          <w:lang w:eastAsia="nl-NL"/>
        </w:rPr>
      </w:pPr>
      <w:hyperlink w:anchor="_Toc300055456" w:history="1">
        <w:r w:rsidRPr="004B519A">
          <w:rPr>
            <w:rStyle w:val="Hyperlink"/>
            <w:rFonts w:ascii="Times New Roman" w:hAnsi="Times New Roman"/>
            <w:noProof/>
          </w:rPr>
          <w:t>7.2</w:t>
        </w:r>
        <w:r w:rsidRPr="004B519A">
          <w:rPr>
            <w:rFonts w:ascii="Times New Roman" w:eastAsiaTheme="minorEastAsia" w:hAnsi="Times New Roman"/>
            <w:noProof/>
            <w:sz w:val="22"/>
            <w:lang w:eastAsia="nl-NL"/>
          </w:rPr>
          <w:tab/>
        </w:r>
        <w:r w:rsidRPr="004B519A">
          <w:rPr>
            <w:rStyle w:val="Hyperlink"/>
            <w:rFonts w:ascii="Times New Roman" w:hAnsi="Times New Roman"/>
            <w:noProof/>
          </w:rPr>
          <w:t>Belastingsubject</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_Toc300055456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75</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57" w:history="1">
        <w:r w:rsidRPr="004B519A">
          <w:rPr>
            <w:rStyle w:val="Hyperlink"/>
            <w:rFonts w:ascii="Times New Roman" w:hAnsi="Times New Roman"/>
            <w:noProof/>
          </w:rPr>
          <w:t>7.2.1</w:t>
        </w:r>
        <w:r w:rsidRPr="004B519A">
          <w:rPr>
            <w:rFonts w:ascii="Times New Roman" w:eastAsiaTheme="minorEastAsia" w:hAnsi="Times New Roman"/>
            <w:noProof/>
            <w:sz w:val="22"/>
            <w:lang w:eastAsia="nl-NL"/>
          </w:rPr>
          <w:tab/>
        </w:r>
        <w:r w:rsidRPr="004B519A">
          <w:rPr>
            <w:rStyle w:val="Hyperlink"/>
            <w:rFonts w:ascii="Times New Roman" w:hAnsi="Times New Roman"/>
            <w:noProof/>
          </w:rPr>
          <w:t>Uitgesloten reserves</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_Toc300055457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75</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58" w:history="1">
        <w:r w:rsidRPr="004B519A">
          <w:rPr>
            <w:rStyle w:val="Hyperlink"/>
            <w:rFonts w:ascii="Times New Roman" w:hAnsi="Times New Roman"/>
            <w:noProof/>
          </w:rPr>
          <w:t>7.2.2</w:t>
        </w:r>
        <w:r w:rsidRPr="004B519A">
          <w:rPr>
            <w:rFonts w:ascii="Times New Roman" w:eastAsiaTheme="minorEastAsia" w:hAnsi="Times New Roman"/>
            <w:noProof/>
            <w:sz w:val="22"/>
            <w:lang w:eastAsia="nl-NL"/>
          </w:rPr>
          <w:tab/>
        </w:r>
        <w:r w:rsidRPr="004B519A">
          <w:rPr>
            <w:rStyle w:val="Hyperlink"/>
            <w:rFonts w:ascii="Times New Roman" w:hAnsi="Times New Roman"/>
            <w:noProof/>
          </w:rPr>
          <w:t>Uitgesloten beleggingsvermogen</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_Toc300055458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75</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59" w:history="1">
        <w:r w:rsidRPr="004B519A">
          <w:rPr>
            <w:rStyle w:val="Hyperlink"/>
            <w:rFonts w:ascii="Times New Roman" w:hAnsi="Times New Roman"/>
            <w:noProof/>
          </w:rPr>
          <w:t>7.2.3</w:t>
        </w:r>
        <w:r w:rsidRPr="004B519A">
          <w:rPr>
            <w:rFonts w:ascii="Times New Roman" w:eastAsiaTheme="minorEastAsia" w:hAnsi="Times New Roman"/>
            <w:noProof/>
            <w:sz w:val="22"/>
            <w:lang w:eastAsia="nl-NL"/>
          </w:rPr>
          <w:tab/>
        </w:r>
        <w:r w:rsidRPr="004B519A">
          <w:rPr>
            <w:rStyle w:val="Hyperlink"/>
            <w:rFonts w:ascii="Times New Roman" w:hAnsi="Times New Roman"/>
            <w:noProof/>
          </w:rPr>
          <w:t>Invloed overdrachtsprijs</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_Toc300055459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77</w:t>
        </w:r>
        <w:r w:rsidRPr="004B519A">
          <w:rPr>
            <w:rFonts w:ascii="Times New Roman" w:hAnsi="Times New Roman"/>
            <w:noProof/>
            <w:webHidden/>
          </w:rPr>
          <w:fldChar w:fldCharType="end"/>
        </w:r>
      </w:hyperlink>
    </w:p>
    <w:p w:rsidR="004B519A" w:rsidRPr="004B519A" w:rsidRDefault="004B519A">
      <w:pPr>
        <w:pStyle w:val="Inhopg3"/>
        <w:tabs>
          <w:tab w:val="left" w:pos="1100"/>
          <w:tab w:val="right" w:leader="dot" w:pos="9062"/>
        </w:tabs>
        <w:rPr>
          <w:rFonts w:ascii="Times New Roman" w:eastAsiaTheme="minorEastAsia" w:hAnsi="Times New Roman"/>
          <w:noProof/>
          <w:sz w:val="22"/>
          <w:lang w:eastAsia="nl-NL"/>
        </w:rPr>
      </w:pPr>
      <w:hyperlink w:anchor="_Toc300055460" w:history="1">
        <w:r w:rsidRPr="004B519A">
          <w:rPr>
            <w:rStyle w:val="Hyperlink"/>
            <w:rFonts w:ascii="Times New Roman" w:hAnsi="Times New Roman"/>
            <w:noProof/>
          </w:rPr>
          <w:t>7.2.4</w:t>
        </w:r>
        <w:r w:rsidRPr="004B519A">
          <w:rPr>
            <w:rFonts w:ascii="Times New Roman" w:eastAsiaTheme="minorEastAsia" w:hAnsi="Times New Roman"/>
            <w:noProof/>
            <w:sz w:val="22"/>
            <w:lang w:eastAsia="nl-NL"/>
          </w:rPr>
          <w:tab/>
        </w:r>
        <w:r w:rsidRPr="004B519A">
          <w:rPr>
            <w:rStyle w:val="Hyperlink"/>
            <w:rFonts w:ascii="Times New Roman" w:hAnsi="Times New Roman"/>
            <w:noProof/>
          </w:rPr>
          <w:t>Preferente aandelen</w:t>
        </w:r>
        <w:r w:rsidRPr="004B519A">
          <w:rPr>
            <w:rFonts w:ascii="Times New Roman" w:hAnsi="Times New Roman"/>
            <w:noProof/>
            <w:webHidden/>
          </w:rPr>
          <w:tab/>
        </w:r>
        <w:r w:rsidRPr="004B519A">
          <w:rPr>
            <w:rFonts w:ascii="Times New Roman" w:hAnsi="Times New Roman"/>
            <w:noProof/>
            <w:webHidden/>
          </w:rPr>
          <w:fldChar w:fldCharType="begin"/>
        </w:r>
        <w:r w:rsidRPr="004B519A">
          <w:rPr>
            <w:rFonts w:ascii="Times New Roman" w:hAnsi="Times New Roman"/>
            <w:noProof/>
            <w:webHidden/>
          </w:rPr>
          <w:instrText xml:space="preserve"> PAGEREF _Toc300055460 \h </w:instrText>
        </w:r>
        <w:r w:rsidRPr="004B519A">
          <w:rPr>
            <w:rFonts w:ascii="Times New Roman" w:hAnsi="Times New Roman"/>
            <w:noProof/>
            <w:webHidden/>
          </w:rPr>
        </w:r>
        <w:r w:rsidRPr="004B519A">
          <w:rPr>
            <w:rFonts w:ascii="Times New Roman" w:hAnsi="Times New Roman"/>
            <w:noProof/>
            <w:webHidden/>
          </w:rPr>
          <w:fldChar w:fldCharType="separate"/>
        </w:r>
        <w:r w:rsidRPr="004B519A">
          <w:rPr>
            <w:rFonts w:ascii="Times New Roman" w:hAnsi="Times New Roman"/>
            <w:noProof/>
            <w:webHidden/>
          </w:rPr>
          <w:t>78</w:t>
        </w:r>
        <w:r w:rsidRPr="004B519A">
          <w:rPr>
            <w:rFonts w:ascii="Times New Roman" w:hAnsi="Times New Roman"/>
            <w:noProof/>
            <w:webHidden/>
          </w:rPr>
          <w:fldChar w:fldCharType="end"/>
        </w:r>
      </w:hyperlink>
    </w:p>
    <w:p w:rsidR="004B519A" w:rsidRPr="004B519A" w:rsidRDefault="004B519A">
      <w:pPr>
        <w:pStyle w:val="Inhopg1"/>
        <w:rPr>
          <w:rFonts w:eastAsiaTheme="minorEastAsia"/>
          <w:b w:val="0"/>
          <w:sz w:val="22"/>
          <w:lang w:eastAsia="nl-NL"/>
        </w:rPr>
      </w:pPr>
      <w:hyperlink w:anchor="_Toc300055461" w:history="1">
        <w:r w:rsidRPr="004B519A">
          <w:rPr>
            <w:rStyle w:val="Hyperlink"/>
          </w:rPr>
          <w:t>8.</w:t>
        </w:r>
        <w:r w:rsidRPr="004B519A">
          <w:rPr>
            <w:rFonts w:eastAsiaTheme="minorEastAsia"/>
            <w:b w:val="0"/>
            <w:sz w:val="22"/>
            <w:lang w:eastAsia="nl-NL"/>
          </w:rPr>
          <w:tab/>
        </w:r>
        <w:r w:rsidRPr="004B519A">
          <w:rPr>
            <w:rStyle w:val="Hyperlink"/>
          </w:rPr>
          <w:t>Conclusie</w:t>
        </w:r>
        <w:r w:rsidRPr="004B519A">
          <w:rPr>
            <w:webHidden/>
          </w:rPr>
          <w:tab/>
        </w:r>
        <w:r w:rsidRPr="004B519A">
          <w:rPr>
            <w:webHidden/>
          </w:rPr>
          <w:fldChar w:fldCharType="begin"/>
        </w:r>
        <w:r w:rsidRPr="004B519A">
          <w:rPr>
            <w:webHidden/>
          </w:rPr>
          <w:instrText xml:space="preserve"> PAGEREF _Toc300055461 \h </w:instrText>
        </w:r>
        <w:r w:rsidRPr="004B519A">
          <w:rPr>
            <w:webHidden/>
          </w:rPr>
        </w:r>
        <w:r w:rsidRPr="004B519A">
          <w:rPr>
            <w:webHidden/>
          </w:rPr>
          <w:fldChar w:fldCharType="separate"/>
        </w:r>
        <w:r w:rsidRPr="004B519A">
          <w:rPr>
            <w:webHidden/>
          </w:rPr>
          <w:t>80</w:t>
        </w:r>
        <w:r w:rsidRPr="004B519A">
          <w:rPr>
            <w:webHidden/>
          </w:rPr>
          <w:fldChar w:fldCharType="end"/>
        </w:r>
      </w:hyperlink>
    </w:p>
    <w:p w:rsidR="004B519A" w:rsidRPr="004B519A" w:rsidRDefault="004B519A">
      <w:pPr>
        <w:pStyle w:val="Inhopg1"/>
        <w:rPr>
          <w:rFonts w:eastAsiaTheme="minorEastAsia"/>
          <w:b w:val="0"/>
          <w:sz w:val="22"/>
          <w:lang w:eastAsia="nl-NL"/>
        </w:rPr>
      </w:pPr>
      <w:hyperlink w:anchor="_Toc300055462" w:history="1">
        <w:r w:rsidRPr="004B519A">
          <w:rPr>
            <w:rStyle w:val="Hyperlink"/>
          </w:rPr>
          <w:t>Literatuurlijst</w:t>
        </w:r>
        <w:r w:rsidRPr="004B519A">
          <w:rPr>
            <w:webHidden/>
          </w:rPr>
          <w:tab/>
        </w:r>
        <w:r w:rsidRPr="004B519A">
          <w:rPr>
            <w:webHidden/>
          </w:rPr>
          <w:fldChar w:fldCharType="begin"/>
        </w:r>
        <w:r w:rsidRPr="004B519A">
          <w:rPr>
            <w:webHidden/>
          </w:rPr>
          <w:instrText xml:space="preserve"> PAGEREF _Toc300055462 \h </w:instrText>
        </w:r>
        <w:r w:rsidRPr="004B519A">
          <w:rPr>
            <w:webHidden/>
          </w:rPr>
        </w:r>
        <w:r w:rsidRPr="004B519A">
          <w:rPr>
            <w:webHidden/>
          </w:rPr>
          <w:fldChar w:fldCharType="separate"/>
        </w:r>
        <w:r w:rsidRPr="004B519A">
          <w:rPr>
            <w:webHidden/>
          </w:rPr>
          <w:t>84</w:t>
        </w:r>
        <w:r w:rsidRPr="004B519A">
          <w:rPr>
            <w:webHidden/>
          </w:rPr>
          <w:fldChar w:fldCharType="end"/>
        </w:r>
      </w:hyperlink>
    </w:p>
    <w:p w:rsidR="00FE2E3C" w:rsidRPr="00C85AE9" w:rsidRDefault="00D6318A" w:rsidP="00E5508D">
      <w:pPr>
        <w:spacing w:line="480" w:lineRule="auto"/>
        <w:rPr>
          <w:rFonts w:ascii="Times New Roman" w:hAnsi="Times New Roman"/>
        </w:rPr>
      </w:pPr>
      <w:r w:rsidRPr="004B519A">
        <w:rPr>
          <w:rFonts w:ascii="Times New Roman" w:hAnsi="Times New Roman"/>
        </w:rPr>
        <w:fldChar w:fldCharType="end"/>
      </w:r>
    </w:p>
    <w:p w:rsidR="00FE2E3C" w:rsidRPr="00676BF6" w:rsidRDefault="00FE2E3C" w:rsidP="00AF3148">
      <w:pPr>
        <w:pStyle w:val="Scriptie1"/>
        <w:numPr>
          <w:ilvl w:val="0"/>
          <w:numId w:val="10"/>
        </w:numPr>
      </w:pPr>
      <w:r w:rsidRPr="00676BF6">
        <w:br w:type="page"/>
      </w:r>
      <w:bookmarkStart w:id="2" w:name="_Toc300055392"/>
      <w:r w:rsidRPr="00676BF6">
        <w:lastRenderedPageBreak/>
        <w:t>Inleiding</w:t>
      </w:r>
      <w:bookmarkEnd w:id="2"/>
    </w:p>
    <w:p w:rsidR="00FE2E3C" w:rsidRPr="00C8620B" w:rsidRDefault="00FE2E3C" w:rsidP="00C15BDB">
      <w:pPr>
        <w:pStyle w:val="Scriptienormaal"/>
      </w:pPr>
      <w:r w:rsidRPr="00676BF6">
        <w:t xml:space="preserve">Sinds 1 januari 2010 is artikel 4.17c, Wet inkomstenbelasting 2001 (Wet IB 2001) </w:t>
      </w:r>
      <w:r>
        <w:t xml:space="preserve">in </w:t>
      </w:r>
      <w:r w:rsidRPr="00676BF6">
        <w:t xml:space="preserve">werking getreden. Hiermee wordt de mogelijkheid geboden om, onder bepaalde voorwaarden, een overdracht van een aanmerkelijk belang krachtens schenking niet te laten aanmerken als vervreemding. </w:t>
      </w:r>
    </w:p>
    <w:p w:rsidR="00FE2E3C" w:rsidRPr="00C8620B" w:rsidRDefault="00FE2E3C" w:rsidP="00C15BDB">
      <w:pPr>
        <w:pStyle w:val="Scriptienormaal"/>
      </w:pPr>
      <w:r w:rsidRPr="00676BF6">
        <w:t xml:space="preserve">Met het invoeren van deze regeling is ruwweg beoogd de reële bedrijfsopvolging niet te laten beïnvloeden door negatieve gevolgen van belastingheffing. Zo zou de tussentijdse afrekening bij de bedrijfsoverdracht gevolgen kunnen hebben voor de continuïteit van de onderneming en zorgen voor eventuele liquiditeitsproblemen. </w:t>
      </w:r>
    </w:p>
    <w:p w:rsidR="00FE2E3C" w:rsidRPr="00C8620B" w:rsidRDefault="00FE2E3C" w:rsidP="00F35AA3">
      <w:pPr>
        <w:pStyle w:val="Scriptienormaal"/>
      </w:pPr>
      <w:r w:rsidRPr="00676BF6">
        <w:t>Sinds 2001 bestaat reeds een bepaling in de inkomstenbelasting om, bij de bedrijfsoverdracht van een IB-onderneming, onder bepaalde voorwaarden de belastingheffing over de overdrachtswinst achterwege te laten. Deze bepaling betreft artikel 3.63, Wet IB 2001. Net als bij artikel 4.17c, Wet IB 2001, wordt getracht ook hier de negatieve gevolgen van belastingheffing in het geval van een reële bedrijfsopvolging tegen te gaan. Ook hier geldt dat dit gebeur</w:t>
      </w:r>
      <w:r>
        <w:t>t</w:t>
      </w:r>
      <w:r w:rsidRPr="00676BF6">
        <w:t xml:space="preserve"> door toepassing van de fictie dat bij de overdracht geen vervreemding wordt veronderstel</w:t>
      </w:r>
      <w:r>
        <w:t>d</w:t>
      </w:r>
      <w:r w:rsidRPr="00676BF6">
        <w:t xml:space="preserve">. Tussen beide artikelen valt een grote mate </w:t>
      </w:r>
      <w:r>
        <w:t>van</w:t>
      </w:r>
      <w:r w:rsidRPr="00676BF6">
        <w:t xml:space="preserve"> gelijkenis in uitwerking en in de achtergrond hiervan te ontdekken.</w:t>
      </w:r>
    </w:p>
    <w:p w:rsidR="00FE2E3C" w:rsidRPr="00C8620B" w:rsidRDefault="00FE2E3C" w:rsidP="002B0D35">
      <w:pPr>
        <w:pStyle w:val="Scriptienormaal"/>
      </w:pPr>
      <w:r w:rsidRPr="00676BF6">
        <w:t>Naar aanleiding van het voorgaande wil ik in mijn onderzoek vaststellen of de wetgeving met betrekking tot de artik</w:t>
      </w:r>
      <w:r w:rsidR="00B83C86">
        <w:t>elen 3.63 en 4.17c, Wet IB 2001</w:t>
      </w:r>
      <w:r w:rsidRPr="00676BF6">
        <w:t xml:space="preserve"> (hierna:</w:t>
      </w:r>
      <w:r w:rsidR="00B83C86">
        <w:t xml:space="preserve"> “</w:t>
      </w:r>
      <w:r w:rsidRPr="00676BF6">
        <w:t xml:space="preserve">de doorschuiffaciliteiten”) in lijn is met het beginsel van rechtsvormneutraliteit. Daarbij wil ik onderzoeken of de mogelijkheid bestaat om de wetgeving zodanig aan te passen dat dit de rechtsvormneutraliteit ten goede komt. Naast de vormgeving van de wetgeving, waar de mate van rechtsvormneutraliteit onder valt, is ook de doelmatigheid van de wetgeving van belang. </w:t>
      </w:r>
      <w:r w:rsidRPr="00B83C86">
        <w:t>Omdat met dit aspect ook rekening gehouden dient te worden om te bepalen of de aanpassingen gerechtvaardigd zijn, dienen deze geen afbreuk te doen aan de doelstellingen die aan de regelgeving ten grondslag liggen.</w:t>
      </w:r>
    </w:p>
    <w:p w:rsidR="00FE2E3C" w:rsidRPr="00C8620B" w:rsidRDefault="00FE2E3C" w:rsidP="00C15BDB">
      <w:pPr>
        <w:pStyle w:val="Scriptienormaal"/>
      </w:pPr>
      <w:r w:rsidRPr="00676BF6">
        <w:br w:type="page"/>
      </w:r>
      <w:r w:rsidRPr="00676BF6">
        <w:lastRenderedPageBreak/>
        <w:t>Ten aanzien van de hiervoor genoemde doelstelling heb ik de volgende probleemstelling geformuleerd:</w:t>
      </w:r>
    </w:p>
    <w:p w:rsidR="00FE2E3C" w:rsidRPr="00C8620B" w:rsidRDefault="00FE2E3C" w:rsidP="008F2D2A">
      <w:pPr>
        <w:pStyle w:val="Scriptienormaal"/>
        <w:rPr>
          <w:i/>
        </w:rPr>
      </w:pPr>
      <w:r w:rsidRPr="00676BF6">
        <w:rPr>
          <w:i/>
        </w:rPr>
        <w:t xml:space="preserve">Zijn de doorschuiffaciliteiten van de artikelen 3.63 en 4.17c, Wet IB 2001 in evenwicht met betrekking tot het beginsel van rechtsvormneutraliteit, en kunnen deze ten bate hiervan worden aangepast zonder dat afbreuk wordt gedaan aan de gemeenschappelijke doelstellingen van de faciliteiten? </w:t>
      </w:r>
    </w:p>
    <w:p w:rsidR="00FE2E3C" w:rsidRPr="00C8620B" w:rsidRDefault="00FE2E3C" w:rsidP="002B0D35">
      <w:pPr>
        <w:pStyle w:val="Scriptienormaal"/>
      </w:pPr>
      <w:r w:rsidRPr="00676BF6">
        <w:t xml:space="preserve">Om tot een beantwoording van mijn probleemstelling te komen wil ik ten eerste het begrip rechtsvormneutraliteit beschrijven. Hierbij ga ik in op de betreffende achtergrond en het belang van rechtsvormneutraliteit. Hierna wil ik tot een beschrijving komen van de grondslagen van de artikelen 3.63 en 4.17c, Wet IB 2001. Vervolgens ga ik de doorschuiffaciliteiten met elkaar vergelijken waardoor ik de verschillen tussen beide identificeer. Aansluitend zal ik onderzoeken in hoeverre de bepalingen in evenwicht zijn met betrekking tot de rechtsvormneutraliteit. Om tot een beoordeling hiervan te komen zal ik ingaan op de effectiviteit, efficiëntie en rechtvaardigheid van de regelingen. Aansluitend wil ik aangeven of er een mogelijkheid bestaat om tot een aanpassing van de hiervoor genoemde wetten te komen zodat de rechtsvormneutraliteit hierbij gebaat is. Hierbij zal ik </w:t>
      </w:r>
      <w:r>
        <w:t>als</w:t>
      </w:r>
      <w:r w:rsidRPr="00C8620B">
        <w:t xml:space="preserve"> </w:t>
      </w:r>
      <w:r w:rsidRPr="00676BF6">
        <w:t xml:space="preserve">voorwaarde hanteren dat geen afbreuk wordt gedaan aan de onderliggende doelstellingen van de regelgeving. Ten slotte sluit ik af met een conclusie. </w:t>
      </w:r>
    </w:p>
    <w:p w:rsidR="00FE2E3C" w:rsidRPr="00C8620B" w:rsidRDefault="00FE2E3C" w:rsidP="00C15BDB">
      <w:pPr>
        <w:pStyle w:val="Scriptienormaal"/>
      </w:pPr>
      <w:r w:rsidRPr="00676BF6">
        <w:t>Mijn onderzoek zal zich beperken tot de gevolgen voor de heffing van inkomstenbelasting naar aanleiding van een bedrijfsoverdracht van een IB-onderneming bij leven en een schenking van aanmerkelijk belang aandelen.</w:t>
      </w:r>
    </w:p>
    <w:p w:rsidR="00FE2E3C" w:rsidRPr="00676BF6" w:rsidRDefault="00FE2E3C" w:rsidP="00AF3148">
      <w:pPr>
        <w:pStyle w:val="Scriptie1"/>
        <w:numPr>
          <w:ilvl w:val="0"/>
          <w:numId w:val="10"/>
        </w:numPr>
      </w:pPr>
      <w:r w:rsidRPr="00676BF6">
        <w:br w:type="page"/>
      </w:r>
      <w:r w:rsidRPr="00676BF6">
        <w:lastRenderedPageBreak/>
        <w:t xml:space="preserve"> </w:t>
      </w:r>
      <w:bookmarkStart w:id="3" w:name="_Toc300055393"/>
      <w:r w:rsidRPr="00676BF6">
        <w:t>Rechtsvormneutraliteit</w:t>
      </w:r>
      <w:bookmarkEnd w:id="3"/>
    </w:p>
    <w:p w:rsidR="00FE2E3C" w:rsidRPr="00C8620B" w:rsidRDefault="00FE2E3C" w:rsidP="00B21914">
      <w:pPr>
        <w:pStyle w:val="Scriptienormaal"/>
        <w:rPr>
          <w:color w:val="FF0000"/>
        </w:rPr>
      </w:pPr>
      <w:r w:rsidRPr="00676BF6">
        <w:t>In de inleiding is reeds het begrip rechtsvormneutraliteit naar voren gekomen. Dit betreft een begrip dat enkel in de fiscale literatuur w</w:t>
      </w:r>
      <w:r w:rsidR="00B83C86">
        <w:t>ordt gebruikt en dat voort</w:t>
      </w:r>
      <w:r w:rsidRPr="00676BF6">
        <w:t>komt uit de manier van het heffen van belasting met betrekking tot de verschillende rechtsvormen waarin een onderneming kan worden gedreven. Er bestaan in de fiscale literatuur zowel voorstan</w:t>
      </w:r>
      <w:r w:rsidR="00B83C86">
        <w:t xml:space="preserve">ders als tegenstanders van een </w:t>
      </w:r>
      <w:r w:rsidRPr="00676BF6">
        <w:t>rechtsvormneutrale belastingheffing over ondernemingswinsten.</w:t>
      </w:r>
      <w:r w:rsidRPr="00676BF6">
        <w:rPr>
          <w:rStyle w:val="Voetnootmarkering"/>
        </w:rPr>
        <w:footnoteReference w:id="1"/>
      </w:r>
      <w:r w:rsidRPr="00676BF6">
        <w:t xml:space="preserve"> In dit hoofdstuk zal ik tot een beschrijving van het begrip rechtsvormneutraliteit komen en ook aangeven wat het belang hiervan is voor de belastingheffing. Hierna bespreek ik wat het belang is van rechtsvormneutraliteit voor de doorschuiffaciliteiten. Afsluitend zal ik aangeven hoe ik in het vervolg van deze scriptie ga toetsen of de doorschuiffaciliteiten in evenwicht met elkaar zijn met betrekking tot rechtsvormneutraliteit.</w:t>
      </w:r>
    </w:p>
    <w:p w:rsidR="00FE2E3C" w:rsidRPr="00676BF6" w:rsidRDefault="00FE2E3C" w:rsidP="00B21914">
      <w:pPr>
        <w:pStyle w:val="Scriptie2"/>
        <w:numPr>
          <w:ilvl w:val="1"/>
          <w:numId w:val="10"/>
        </w:numPr>
      </w:pPr>
      <w:bookmarkStart w:id="4" w:name="_Toc300055394"/>
      <w:r w:rsidRPr="00676BF6">
        <w:t>Verschil in rechtsvormen</w:t>
      </w:r>
      <w:bookmarkEnd w:id="4"/>
    </w:p>
    <w:p w:rsidR="00FE2E3C" w:rsidRPr="00C8620B" w:rsidRDefault="00FE2E3C" w:rsidP="007D6527">
      <w:pPr>
        <w:pStyle w:val="Scriptienormaal"/>
      </w:pPr>
      <w:bookmarkStart w:id="5" w:name="_Toc282012937"/>
      <w:r w:rsidRPr="00676BF6">
        <w:t xml:space="preserve">Het verschil tussen de rechtsvormen waarmee een onderneming kan worden gedreven komt voort uit de civielrechtelijke benadering. Ook voor de Nederlandse belastingheffing is het verschil in rechtsvormen van belang. Wanneer men zich beperkt tot de belasting over de ondernemingswinsten, dan heeft dit betrekking op de tweedeling tussen inkomsten- en vennootschapsbelasting. Zo is de natuurlijk persoon die voor eigen rekening en risico een als zodanig voldoende kwalificerende onderneming drijft, belastingplichtig voor </w:t>
      </w:r>
      <w:r w:rsidR="00B83C86">
        <w:t>de inkomstenbelasting (hierna: “</w:t>
      </w:r>
      <w:r w:rsidRPr="00676BF6">
        <w:t>IB-ondernemer”).</w:t>
      </w:r>
      <w:r w:rsidRPr="00676BF6">
        <w:rPr>
          <w:rStyle w:val="Voetnootmarkering"/>
        </w:rPr>
        <w:footnoteReference w:id="2"/>
      </w:r>
      <w:r w:rsidRPr="00676BF6">
        <w:t xml:space="preserve"> De onderneming kan hier verschillende gedaantes aannemen. Zo kan er bijvoorbeeld gebruik worden gemaakt van een eenmanszaak, een commanditaire vennootschap of een vennootschap onder firma. In het vervolg zal ik een voor de inkomstenbelasting belastingplichtige onderneming aanduiden als een IB-onderneming.</w:t>
      </w:r>
    </w:p>
    <w:p w:rsidR="00FE2E3C" w:rsidRPr="00C8620B" w:rsidRDefault="00FE2E3C" w:rsidP="00FA6C6E">
      <w:pPr>
        <w:pStyle w:val="Scriptienormaal"/>
      </w:pPr>
      <w:r w:rsidRPr="00676BF6">
        <w:t xml:space="preserve">Een onderneming kan ook in vorm van een rechtspersoon gedreven worden. Dit betreft in de meest voorkomende gevallen een besloten vennootschap </w:t>
      </w:r>
      <w:r w:rsidR="00B83C86">
        <w:t xml:space="preserve">met beperkte aansprakelijkheid </w:t>
      </w:r>
      <w:r w:rsidRPr="00676BF6">
        <w:t xml:space="preserve">of </w:t>
      </w:r>
      <w:r w:rsidRPr="00676BF6">
        <w:lastRenderedPageBreak/>
        <w:t>een naamloze vennootschap.</w:t>
      </w:r>
      <w:r w:rsidRPr="00676BF6">
        <w:rPr>
          <w:rStyle w:val="Voetnootmarkering"/>
        </w:rPr>
        <w:footnoteReference w:id="3"/>
      </w:r>
      <w:r w:rsidRPr="00676BF6">
        <w:t xml:space="preserve"> </w:t>
      </w:r>
      <w:r w:rsidRPr="00676BF6">
        <w:rPr>
          <w:rStyle w:val="Voetnootmarkering"/>
        </w:rPr>
        <w:footnoteReference w:id="4"/>
      </w:r>
      <w:r w:rsidRPr="00676BF6">
        <w:t xml:space="preserve"> Hier is dan sprake van een belastingplicht voor de vennootschapsbelasting.</w:t>
      </w:r>
      <w:r w:rsidRPr="00676BF6">
        <w:rPr>
          <w:rStyle w:val="Voetnootmarkering"/>
        </w:rPr>
        <w:footnoteReference w:id="5"/>
      </w:r>
      <w:r w:rsidRPr="00676BF6">
        <w:t xml:space="preserve"> In beginsel wordt hierbij de onderneming voor rekening en risico van de vennootschap gedreven. De rol van de aandeelhouder (hierna: “VPB-ondernemer”) beperkt zich dan juridisch feitelijk tot geldverstrekker. In het vervolg zal ik een voor de vennootschapsbelasting belastingplichtige onderneming aanduiden als een VPB-onderneming.</w:t>
      </w:r>
    </w:p>
    <w:p w:rsidR="00FE2E3C" w:rsidRPr="00C8620B" w:rsidRDefault="00FE2E3C" w:rsidP="003B69CB">
      <w:pPr>
        <w:pStyle w:val="Scriptienormaal"/>
      </w:pPr>
      <w:r w:rsidRPr="00676BF6">
        <w:t>Voor de natuurlijk persoon brengt het onderscheid tussen de verschillende rechtsvormen met zich mee dat de ondernemingswinsten verschillend belast worden. Dit komt door zowel een verschillende benaderi</w:t>
      </w:r>
      <w:r w:rsidR="00B83C86">
        <w:t>ng van het belastingsubject en belasting</w:t>
      </w:r>
      <w:r w:rsidRPr="00676BF6">
        <w:t xml:space="preserve">object als door toepassing van een ander tarief. </w:t>
      </w:r>
    </w:p>
    <w:p w:rsidR="00FE2E3C" w:rsidRPr="00C8620B" w:rsidRDefault="00FE2E3C" w:rsidP="003B69CB">
      <w:pPr>
        <w:pStyle w:val="Scriptienormaal"/>
      </w:pPr>
      <w:r w:rsidRPr="00676BF6">
        <w:t>Zo wordt een IB-ondernemer belast in box 1 over de winst uit onderneming. De te belasten grondslag wordt bepaald aan de hand van de totaalwinst en de jaarwinst.</w:t>
      </w:r>
      <w:r w:rsidRPr="00676BF6">
        <w:rPr>
          <w:rStyle w:val="Voetnootmarkering"/>
        </w:rPr>
        <w:footnoteReference w:id="6"/>
      </w:r>
      <w:r w:rsidRPr="00676BF6">
        <w:t xml:space="preserve"> De ondernemingswinst wordt op deze manier in box 1 belast volgens de toe te passen schijven en bijbehorende tarieven tot het maximale tarief van 52%.</w:t>
      </w:r>
      <w:r w:rsidRPr="00676BF6">
        <w:rPr>
          <w:rStyle w:val="Voetnootmarkering"/>
        </w:rPr>
        <w:footnoteReference w:id="7"/>
      </w:r>
    </w:p>
    <w:p w:rsidR="00FE2E3C" w:rsidRPr="00C8620B" w:rsidRDefault="00FE2E3C" w:rsidP="00FA6C6E">
      <w:pPr>
        <w:pStyle w:val="Scriptienormaal"/>
      </w:pPr>
      <w:r w:rsidRPr="00676BF6">
        <w:t>Indien de ondernemingswinst door een VPB-onderneming behaald wordt, zal deze hiervoor belastingplichtig zijn voor de vennootschapsbelasting. De winst wordt net als bij de IB-onderneming bepaald aan de hand van de totaal- en jaarwinst. De bepaling hiervan is in beide situaties voor een groot deel gelijk.</w:t>
      </w:r>
      <w:r w:rsidRPr="00676BF6">
        <w:rPr>
          <w:rStyle w:val="Voetnootmarkering"/>
        </w:rPr>
        <w:footnoteReference w:id="8"/>
      </w:r>
      <w:r w:rsidRPr="00676BF6">
        <w:t xml:space="preserve"> Het tarief van de vennootschapsbelasting is 20% over een belastbare winst tot € 200.000. Daarboven geldt het tarief van 25%. Op het moment dat ondernemingswinst, al dan niet fictief, buiten de ondernemingssfeer in handen van een natuurlijk persoon valt wordt er aanvullend inkomstenbelasting geheven. Deze belastingheffing verschilt per soort aandeelhouder.</w:t>
      </w:r>
    </w:p>
    <w:p w:rsidR="00FE2E3C" w:rsidRPr="00C8620B" w:rsidRDefault="00FE2E3C" w:rsidP="003B69CB">
      <w:pPr>
        <w:pStyle w:val="Scriptienormaal"/>
      </w:pPr>
      <w:r w:rsidRPr="00676BF6">
        <w:t>Ten eerste geldt dat in het geval de aandeelhouder van de VPB-onderneming een belang van meer dan 5% houdt, er voor de inkomstenbelasting sprake is van een aanmerkelijk belang. Wanneer er reguliere voordelen, zoals winstuitkeringen, of vervreemdingsvoordelen worden behaald, zijn deze belast in box 2</w:t>
      </w:r>
      <w:r>
        <w:t xml:space="preserve"> Wet IB 2001</w:t>
      </w:r>
      <w:r w:rsidRPr="00676BF6">
        <w:t xml:space="preserve"> tegen het tarief van 25%.</w:t>
      </w:r>
      <w:r w:rsidRPr="00676BF6">
        <w:rPr>
          <w:rStyle w:val="Voetnootmarkering"/>
        </w:rPr>
        <w:footnoteReference w:id="9"/>
      </w:r>
    </w:p>
    <w:p w:rsidR="00FE2E3C" w:rsidRPr="00C8620B" w:rsidRDefault="00FE2E3C" w:rsidP="00FA6C6E">
      <w:pPr>
        <w:pStyle w:val="Scriptienormaal"/>
      </w:pPr>
      <w:r w:rsidRPr="00676BF6">
        <w:lastRenderedPageBreak/>
        <w:t>Indien de betreffende aandeelhouder een belang houdt dat kleiner is da</w:t>
      </w:r>
      <w:r w:rsidR="007C126C">
        <w:t xml:space="preserve">n 5%, is hij hierover belast </w:t>
      </w:r>
      <w:r w:rsidRPr="00676BF6">
        <w:t>in box 3</w:t>
      </w:r>
      <w:r>
        <w:t xml:space="preserve"> Wet IB 2001</w:t>
      </w:r>
      <w:r w:rsidRPr="00676BF6">
        <w:t>. Bij deze heffing wordt fictief een rendement verondersteld van 4% waarover 30% belasting wordt geheven. Aangezien volgens de achtergrond van box 3 is beoogd de gehouden aandelen niet als onderneming maar als belegging te belasten, is de wijze van heffing niet te vergelijken met de belastingheffing over ondernemingswinsten in box 1 en box 2. Hierdoor is het ook niet verwonderlijk dat ten aanzien van het bepalen van het belastbaar bedrag en het toe te passen tarief geen aansluiting is gezocht bij de heffing van box 1 en box 2.</w:t>
      </w:r>
    </w:p>
    <w:p w:rsidR="00FE2E3C" w:rsidRPr="00C8620B" w:rsidRDefault="00FE2E3C" w:rsidP="005D6883">
      <w:pPr>
        <w:pStyle w:val="Scriptienormaal"/>
      </w:pPr>
      <w:r w:rsidRPr="00676BF6">
        <w:t>Daarentegen is bij het vaststellen van het tarief van box 2 rekening gehouden met de belasting die wordt geheven over de winst uit onderneming in box 1.</w:t>
      </w:r>
      <w:r w:rsidRPr="00676BF6">
        <w:rPr>
          <w:rStyle w:val="Voetnootmarkering"/>
        </w:rPr>
        <w:footnoteReference w:id="10"/>
      </w:r>
      <w:r w:rsidRPr="00676BF6">
        <w:t xml:space="preserve"> D</w:t>
      </w:r>
      <w:r>
        <w:t>oor middel van onder meer d</w:t>
      </w:r>
      <w:r w:rsidRPr="00676BF6">
        <w:t xml:space="preserve">e tarieven </w:t>
      </w:r>
      <w:r>
        <w:t>wordt ge</w:t>
      </w:r>
      <w:r w:rsidRPr="00676BF6">
        <w:t>tracht een zogenoemd “globaal evenwicht” te benaderen tussen het belasten van ondernemingswinsten uit een IB- en een VPB-onderneming.</w:t>
      </w:r>
      <w:r w:rsidRPr="00676BF6">
        <w:rPr>
          <w:rStyle w:val="Voetnootmarkering"/>
        </w:rPr>
        <w:footnoteReference w:id="11"/>
      </w:r>
      <w:r w:rsidRPr="00676BF6">
        <w:t xml:space="preserve"> Het maximale tarief in box 1 betreft hierbij 52% en het gecombineerde maximale tarief van de vennootschapsbelasting en box 2 komt uit op 43,75%. Echter, bij het bepalen van de te belasten winst bestaat er voor de IB-onderneming de MKB-winstvrijstelling. Hierdoor is 12% van de winst vrijgesteld. Deze maatregel is met ingang van 2007 ingevoerd als tegenhanger van de lastenverlichtingen in de vennootschapsbelasting.</w:t>
      </w:r>
      <w:r w:rsidRPr="00676BF6">
        <w:rPr>
          <w:rStyle w:val="Voetnootmarkering"/>
        </w:rPr>
        <w:footnoteReference w:id="12"/>
      </w:r>
      <w:r w:rsidRPr="00676BF6">
        <w:t xml:space="preserve"> Ondanks dat deze maatregel is vormgegeven als een objectieve vermindering, kan hier worden gesproken van een verkapte tariefsmaatregel.</w:t>
      </w:r>
      <w:r w:rsidRPr="00676BF6">
        <w:rPr>
          <w:rStyle w:val="Voetnootmarkering"/>
        </w:rPr>
        <w:footnoteReference w:id="13"/>
      </w:r>
      <w:r w:rsidRPr="00676BF6">
        <w:t xml:space="preserve"> Indien hiermee rekening wordt gehouden is de ondernemingswinst in box 1 belast tegen het maximale tarief van 45,76%.</w:t>
      </w:r>
    </w:p>
    <w:p w:rsidR="00FE2E3C" w:rsidRPr="00C8620B" w:rsidRDefault="00FE2E3C" w:rsidP="005D6883">
      <w:pPr>
        <w:pStyle w:val="Scriptienormaal"/>
      </w:pPr>
      <w:r w:rsidRPr="00676BF6">
        <w:t xml:space="preserve">De mate van globaal evenwicht tussen het heffen van belasting over IB- en VPB-ondernemingswinsten hangt niet alleen af van het toegepaste tarief. Zo zijn onder meer factoren als het gebruikelijk loon, de ondernemersfaciliteiten en de behoefte aan gelden in privé ook van belang. Het voert te ver om in deze scriptie alle afzonderlijke elementen te beschrijven. In de praktijk is er over het algemeen sprake van dat hoge ondernemingswinsten minder belast worden wanneer deze zijn behaald door een VPB-onderneming dan wanneer </w:t>
      </w:r>
      <w:r>
        <w:t>ze</w:t>
      </w:r>
      <w:r w:rsidRPr="00676BF6">
        <w:t xml:space="preserve"> </w:t>
      </w:r>
      <w:r>
        <w:lastRenderedPageBreak/>
        <w:t xml:space="preserve">worden behaald door </w:t>
      </w:r>
      <w:r w:rsidRPr="00676BF6">
        <w:t>een IB-onderneming. Omgekeerd zijn lagere ondernemingswinsten vaak minder hoog belast wanneer deze zijn behaald door een IB-onderneming.</w:t>
      </w:r>
      <w:r w:rsidRPr="00676BF6">
        <w:rPr>
          <w:rStyle w:val="Voetnootmarkering"/>
        </w:rPr>
        <w:footnoteReference w:id="14"/>
      </w:r>
      <w:r w:rsidRPr="00676BF6">
        <w:t xml:space="preserve"> </w:t>
      </w:r>
      <w:r w:rsidRPr="00676BF6">
        <w:rPr>
          <w:rStyle w:val="Voetnootmarkering"/>
        </w:rPr>
        <w:footnoteReference w:id="15"/>
      </w:r>
      <w:r w:rsidRPr="00676BF6">
        <w:t xml:space="preserve"> </w:t>
      </w:r>
      <w:bookmarkEnd w:id="5"/>
    </w:p>
    <w:p w:rsidR="00FE2E3C" w:rsidRPr="00676BF6" w:rsidRDefault="00FE2E3C" w:rsidP="001845D7">
      <w:pPr>
        <w:pStyle w:val="Scriptie2"/>
        <w:numPr>
          <w:ilvl w:val="1"/>
          <w:numId w:val="10"/>
        </w:numPr>
      </w:pPr>
      <w:bookmarkStart w:id="6" w:name="_Toc300055395"/>
      <w:r w:rsidRPr="00676BF6">
        <w:t>Het belang van rechtsvormneutraliteit</w:t>
      </w:r>
      <w:bookmarkEnd w:id="6"/>
    </w:p>
    <w:p w:rsidR="00FE2E3C" w:rsidRPr="00C8620B" w:rsidRDefault="00FE2E3C" w:rsidP="00776A66">
      <w:pPr>
        <w:pStyle w:val="Scriptienormaal"/>
      </w:pPr>
      <w:r w:rsidRPr="00676BF6">
        <w:t>In de voorgaande paragraaf is de fiscale behandeling van ondernemingswinsten ten aanzien van verschillende rechtsvormen besproken. Zo heeft de keuze hiertussen gevolgen voor de manier waarop het inkomen dat hieruit voortvloeit wordt belast. Naast deze factoren van fiscale aard zal de keuze voor een bepaalde rechtsvorm ook afhankelijk zijn van niet-fiscale factoren.</w:t>
      </w:r>
      <w:r w:rsidRPr="00676BF6">
        <w:rPr>
          <w:rStyle w:val="Voetnootmarkering"/>
        </w:rPr>
        <w:footnoteReference w:id="16"/>
      </w:r>
      <w:r w:rsidRPr="00676BF6">
        <w:t xml:space="preserve"> </w:t>
      </w:r>
    </w:p>
    <w:p w:rsidR="00FE2E3C" w:rsidRPr="00C8620B" w:rsidRDefault="00FE2E3C" w:rsidP="00790EE4">
      <w:pPr>
        <w:pStyle w:val="Scriptienormaal"/>
      </w:pPr>
      <w:r w:rsidRPr="00676BF6">
        <w:t>Het principe van rechtsvormneutrale belastingheffing komt voort uit de fiscale factoren die de gevolgen voor de behandeling van de rechtsvormen beïnvloeden. In de literatuur wordt verdedigd dat deze factoren ten gunste van de rechtsvormneutraliteit dienen te verdwijnen.</w:t>
      </w:r>
      <w:r w:rsidRPr="00676BF6">
        <w:rPr>
          <w:rStyle w:val="Voetnootmarkering"/>
        </w:rPr>
        <w:footnoteReference w:id="17"/>
      </w:r>
      <w:r w:rsidRPr="00676BF6">
        <w:t xml:space="preserve"> De mate van rechtsvormneutraliteit hangt af van de grootte van het verschil in fiscale behandeling ten aanzien van de verschillende rechtsvormen. In deze scriptie zal ik hierbij een IB-onderneming vergelijken met een VPB-onderneming. </w:t>
      </w:r>
    </w:p>
    <w:p w:rsidR="00FE2E3C" w:rsidRPr="00676BF6" w:rsidRDefault="00FE2E3C" w:rsidP="00FF1535">
      <w:pPr>
        <w:pStyle w:val="Scriptienormaal"/>
      </w:pPr>
      <w:r w:rsidRPr="00676BF6">
        <w:t>De gedachte dat het niet wenselijk is om bij verschillende rechtsvormen ondernemingswinsten in vergelijkbare omstandigheden verschillend te behandelen, kan vanuit meerdere principes worden ondersteund. In de volgende paragrafen ga ik hier op in.</w:t>
      </w:r>
    </w:p>
    <w:p w:rsidR="00FE2E3C" w:rsidRPr="00676BF6" w:rsidRDefault="00FE2E3C" w:rsidP="00C84022">
      <w:pPr>
        <w:pStyle w:val="Scriptie3"/>
        <w:numPr>
          <w:ilvl w:val="2"/>
          <w:numId w:val="10"/>
        </w:numPr>
      </w:pPr>
      <w:bookmarkStart w:id="7" w:name="_Toc300055396"/>
      <w:r w:rsidRPr="00676BF6">
        <w:t>Neutraliteitsbeginsel</w:t>
      </w:r>
      <w:bookmarkEnd w:id="7"/>
    </w:p>
    <w:p w:rsidR="00FE2E3C" w:rsidRPr="00C8620B" w:rsidRDefault="00FE2E3C" w:rsidP="00A91AF0">
      <w:pPr>
        <w:pStyle w:val="Scriptienormaal"/>
      </w:pPr>
      <w:r w:rsidRPr="00676BF6">
        <w:t>Bij het ontbreken van een hoge mate van rechtsvormneutraliteit kan het economisch neutraliteitsbeginsel in gedrang komen. Dit beginsel houdt in dat enkel de economische realiteit van belang is bij het heffen van belasting. Zo wordt ook wel gesteld dat in het belastingrecht de maatschappelijke werkelijkheid belangrijker is dan de schijn en het wezen.</w:t>
      </w:r>
      <w:r w:rsidRPr="00676BF6">
        <w:rPr>
          <w:rStyle w:val="Voetnootmarkering"/>
        </w:rPr>
        <w:footnoteReference w:id="18"/>
      </w:r>
      <w:r w:rsidRPr="00676BF6">
        <w:t xml:space="preserve"> Als maatschappelijke werkelijkheid kan worden gezien dat er in wezen geen verschil bestaat tussen een actieve onderneming die in de vorm van een eenmanszaak of in de vorm van een </w:t>
      </w:r>
      <w:r w:rsidRPr="00676BF6">
        <w:lastRenderedPageBreak/>
        <w:t>besloten vennootschap wordt gedreven. Het is dan ook niet rechtvaardig deze op een zodanige verschillende wijze te behandelen dat deze de keuze hiertussen beïnvloedt.</w:t>
      </w:r>
    </w:p>
    <w:p w:rsidR="00FE2E3C" w:rsidRPr="00C8620B" w:rsidRDefault="00FE2E3C" w:rsidP="001845D7">
      <w:pPr>
        <w:pStyle w:val="Scriptienormaal"/>
      </w:pPr>
      <w:r w:rsidRPr="00676BF6">
        <w:t>Hier kan worden betoogd dat een IB-onderneming en een VPB-onderneming nu eenmaal van elkaar verschillen en dat daarom een verschillende fiscale behandeling gerechtvaardigd zou kunnen zijn.</w:t>
      </w:r>
      <w:r w:rsidRPr="00676BF6">
        <w:rPr>
          <w:rStyle w:val="Voetnootmarkering"/>
        </w:rPr>
        <w:footnoteReference w:id="19"/>
      </w:r>
      <w:r w:rsidRPr="00676BF6">
        <w:t xml:space="preserve"> Zo is het belangrijkste juridische verschil tussen beide rechtsvormen de aansprakelijkheid. In beginsel is de natuurlijk persoon bij een IB-onderneming hoofdelijk aansprakelijk terwijl deze aansprakelijkheid zich bij een VPB-onderneming beperkt tot de rechtspersoon.</w:t>
      </w:r>
      <w:r w:rsidRPr="00676BF6">
        <w:rPr>
          <w:rStyle w:val="Voetnootmarkering"/>
        </w:rPr>
        <w:footnoteReference w:id="20"/>
      </w:r>
      <w:r w:rsidRPr="00676BF6">
        <w:t xml:space="preserve"> Met andere woorden, er is geen sprake van gelijke situaties waardoor het neutraliteitsbeginsel hier geen stand hoeft te houden. </w:t>
      </w:r>
    </w:p>
    <w:p w:rsidR="00FE2E3C" w:rsidRPr="00C8620B" w:rsidRDefault="00FE2E3C" w:rsidP="00901B5C">
      <w:pPr>
        <w:pStyle w:val="Scriptienormaal"/>
      </w:pPr>
      <w:r w:rsidRPr="00676BF6">
        <w:t>Feit is dat de vorm van aansprakelijkheid bepalend kan zijn of er sprake is van een vergelijkbare situatie. De mate van aansprakelijkheid is in beginsel afhan</w:t>
      </w:r>
      <w:r>
        <w:t>k</w:t>
      </w:r>
      <w:r w:rsidRPr="00676BF6">
        <w:t>elijk van de gehanteerde rechtsvorm. Zo kan gesteld worden dat een aanmerkelijk belanghoude</w:t>
      </w:r>
      <w:r>
        <w:t>r</w:t>
      </w:r>
      <w:r w:rsidRPr="00676BF6">
        <w:t xml:space="preserve"> in zijn hoedanigheid geen echte ondernemer is. Echter, dit hoeft niet altijd het geval te zijn. Zo is bij het tot stand komen van het aanmerkelijkbelangtarief ook gesteld dat de aanmerkelijkbelanghouder de positie van ondernemer en belegger kan innemen.</w:t>
      </w:r>
      <w:r w:rsidRPr="00676BF6">
        <w:rPr>
          <w:rStyle w:val="Voetnootmarkering"/>
        </w:rPr>
        <w:footnoteReference w:id="21"/>
      </w:r>
      <w:r w:rsidRPr="00676BF6">
        <w:t xml:space="preserve"> Er </w:t>
      </w:r>
      <w:r w:rsidR="007C126C">
        <w:t xml:space="preserve">zijn dan ook talloze situaties </w:t>
      </w:r>
      <w:r w:rsidRPr="00676BF6">
        <w:t xml:space="preserve">te </w:t>
      </w:r>
      <w:r>
        <w:t>be</w:t>
      </w:r>
      <w:r w:rsidRPr="00676BF6">
        <w:t>denken die het gehele spectrum tussen ondernemer en belegger benaderen. Zo is een belang in een vennootschap waartoe alleen beleggingen behoren goed vergelijkbaar met de situatie dat deze beleggingen door een natuurlijk persoon gehouden worden. Aan de andere kant is een VPB-ondernemer die zich ten behoeve van financiers hoofdelijk aansprakelijk heeft gesteld voor de schulden van de onderneming sterk vergelijkbaar met een IB-ondernemer. Of het neutraliteitsbeginsel in gedrang komt hangt af van de specifieke situatie waarin de aanmerkelijkbelanghouder in relatie tot de vennootschap zich bevind</w:t>
      </w:r>
      <w:r>
        <w:t>t</w:t>
      </w:r>
      <w:r w:rsidRPr="00676BF6">
        <w:t xml:space="preserve"> ten opzichte van de IB-ondernemer. Hoe groter d</w:t>
      </w:r>
      <w:r>
        <w:t>e situatie tussen beiden</w:t>
      </w:r>
      <w:r w:rsidRPr="00676BF6">
        <w:t xml:space="preserve"> verschil</w:t>
      </w:r>
      <w:r>
        <w:t>t</w:t>
      </w:r>
      <w:r w:rsidRPr="00676BF6">
        <w:t>, des te groter het verschil in fiscale behandeling</w:t>
      </w:r>
      <w:r>
        <w:t xml:space="preserve"> volgens het neutraliteitsbeginsel</w:t>
      </w:r>
      <w:r w:rsidRPr="00676BF6">
        <w:t xml:space="preserve"> kan </w:t>
      </w:r>
      <w:r>
        <w:t>bestaan</w:t>
      </w:r>
      <w:r w:rsidRPr="00676BF6">
        <w:t xml:space="preserve"> </w:t>
      </w:r>
      <w:r>
        <w:t xml:space="preserve">omdat er ook in een grotere mate </w:t>
      </w:r>
      <w:r w:rsidR="0092779E">
        <w:t>een ongelijke</w:t>
      </w:r>
      <w:r>
        <w:t xml:space="preserve"> situatie bestaat.</w:t>
      </w:r>
      <w:r>
        <w:rPr>
          <w:rStyle w:val="Voetnootmarkering"/>
        </w:rPr>
        <w:footnoteReference w:id="22"/>
      </w:r>
      <w:r>
        <w:t xml:space="preserve"> </w:t>
      </w:r>
      <w:r w:rsidRPr="00676BF6">
        <w:t>Echter, indien de verschillen verwaarloosbaar zijn, tast het neutraliteitsbeginsel de rechtvaardigheid van een verschillende behandeling en daarmee ook de legitimiteit van de betreffende regeling aan.</w:t>
      </w:r>
    </w:p>
    <w:p w:rsidR="00FE2E3C" w:rsidRPr="00676BF6" w:rsidRDefault="00FE2E3C" w:rsidP="00C84022">
      <w:pPr>
        <w:pStyle w:val="Scriptie3"/>
        <w:numPr>
          <w:ilvl w:val="2"/>
          <w:numId w:val="10"/>
        </w:numPr>
      </w:pPr>
      <w:r w:rsidRPr="00676BF6">
        <w:br w:type="page"/>
      </w:r>
      <w:bookmarkStart w:id="8" w:name="_Toc300055397"/>
      <w:r w:rsidRPr="00676BF6">
        <w:lastRenderedPageBreak/>
        <w:t>Concurrentievervalsing</w:t>
      </w:r>
      <w:bookmarkEnd w:id="8"/>
    </w:p>
    <w:p w:rsidR="00FE2E3C" w:rsidRPr="00C8620B" w:rsidRDefault="00FE2E3C" w:rsidP="00933307">
      <w:pPr>
        <w:pStyle w:val="Scriptienormaal"/>
      </w:pPr>
      <w:r w:rsidRPr="00676BF6">
        <w:t>Naast het hiervoor genoemde argument van rechtvaardiging kan het ontbreken van een grote mate van rechtsvormneutraliteit belemmeringen opwerpen bij de optimalisering van de economische markt.</w:t>
      </w:r>
      <w:r w:rsidRPr="00676BF6">
        <w:rPr>
          <w:rStyle w:val="Voetnootmarkering"/>
        </w:rPr>
        <w:footnoteReference w:id="23"/>
      </w:r>
      <w:r w:rsidRPr="00676BF6">
        <w:t xml:space="preserve"> Zo zal een verschil in het belasten van ondernemingswinsten bij verschillende rechtsvormen ook een verschil in kosten en liquiditeit betekenen. Het netto resultaat uit een onderneming zal doorgaans bepalend zijn bij het aanvaarden van een bepaald ondernemingsrendement door de ondernemer. Een lager bedrag aan te betalen belasting zal het nettoresultaat hoger doen uitvallen. Hierdoor wordt het te accepteren rendement bij een lager winstniveau behaald waardoor concurrerende prijsstellingen kunnen worden gekozen. Daarnaast kan een verschillende manier van het heffen van belasting leiden tot het bevoordelen van een rechtsvorm. Zo is het bij een VPB-onderneming mogelijk om de inkomstenbelasting ten aanzien van het aanmerkelijk belang uit te stellen. Bij een IB-onderneming bestaat deze mogelijkheid tot belastinguitstel niet. Hierdoor kan beargumenteerd worden dat het drijven van een onderneming in de vorm van een rechtspersoon een financieringsvoordeel kan geven. Deze verschillen tussen de manier van heffen z</w:t>
      </w:r>
      <w:r>
        <w:t>ul</w:t>
      </w:r>
      <w:r w:rsidRPr="00676BF6">
        <w:t>l</w:t>
      </w:r>
      <w:r>
        <w:t>en</w:t>
      </w:r>
      <w:r w:rsidRPr="00676BF6">
        <w:t xml:space="preserve"> er uiteindelijk zorgen dat </w:t>
      </w:r>
      <w:r>
        <w:t xml:space="preserve">er </w:t>
      </w:r>
      <w:r w:rsidRPr="00676BF6">
        <w:t>concurrentieverstoringen optreden tussen de ondernemingen die in verschillende rechtsvormen gedreven worden.</w:t>
      </w:r>
    </w:p>
    <w:p w:rsidR="00FE2E3C" w:rsidRPr="00676BF6" w:rsidRDefault="00FE2E3C" w:rsidP="00C84022">
      <w:pPr>
        <w:pStyle w:val="Scriptie3"/>
        <w:numPr>
          <w:ilvl w:val="2"/>
          <w:numId w:val="10"/>
        </w:numPr>
      </w:pPr>
      <w:bookmarkStart w:id="9" w:name="_Toc300055398"/>
      <w:r w:rsidRPr="00676BF6">
        <w:t>Gedragsbeïnvloeding</w:t>
      </w:r>
      <w:bookmarkEnd w:id="9"/>
    </w:p>
    <w:p w:rsidR="00FE2E3C" w:rsidRPr="00C8620B" w:rsidRDefault="00FE2E3C" w:rsidP="00FD6285">
      <w:pPr>
        <w:pStyle w:val="Scriptienormaal"/>
      </w:pPr>
      <w:r w:rsidRPr="00676BF6">
        <w:t>Een gebrek aan fiscale rechtsvormneutraliteit kan ervoor zorgen dat een bepaalde keuze voor een rechtsvorm gunstiger uitpakt. Het is dan ook logisch dat de fiscaliteit een bepalende rol speelt bij deze keuze en dat hierbij rekening wordt gehouden met de hiervoor besproken punten. Indien enkel de fiscaliteit een rol speelt, dan bestaat hier geen ondernemingsrechtelijke en bedrijfseconomische rechtvaardiging voor. Indien de fiscale gevolgen de doorslag ge</w:t>
      </w:r>
      <w:r>
        <w:t>v</w:t>
      </w:r>
      <w:r w:rsidRPr="00676BF6">
        <w:t>e</w:t>
      </w:r>
      <w:r>
        <w:t>n</w:t>
      </w:r>
      <w:r w:rsidRPr="00676BF6">
        <w:t xml:space="preserve"> bij de keuze voor een rechtsvorm, zal deze rechtsvorm op basis van ondernemingsrechtelijke en bedrijfseconomische argumenten in de verkeerde vorm gedreven worden. De fiscaliteit is hiermee van invloed op de bedrijfsvoering.</w:t>
      </w:r>
      <w:r w:rsidRPr="00676BF6">
        <w:rPr>
          <w:rStyle w:val="Voetnootmarkering"/>
        </w:rPr>
        <w:footnoteReference w:id="24"/>
      </w:r>
      <w:r w:rsidRPr="00676BF6">
        <w:t xml:space="preserve"> In dit geval worden de impulsen van de markt door de fiscaliteit overstem</w:t>
      </w:r>
      <w:r>
        <w:t>d</w:t>
      </w:r>
      <w:r w:rsidRPr="00676BF6">
        <w:t xml:space="preserve"> waardoor de economische efficiëntie aangetast wordt.</w:t>
      </w:r>
    </w:p>
    <w:p w:rsidR="00FE2E3C" w:rsidRPr="00676BF6" w:rsidRDefault="00FE2E3C" w:rsidP="00790EE4">
      <w:pPr>
        <w:pStyle w:val="Scriptie3"/>
        <w:numPr>
          <w:ilvl w:val="2"/>
          <w:numId w:val="10"/>
        </w:numPr>
      </w:pPr>
      <w:r>
        <w:br w:type="page"/>
      </w:r>
      <w:bookmarkStart w:id="10" w:name="_Toc300055399"/>
      <w:r w:rsidRPr="00676BF6">
        <w:lastRenderedPageBreak/>
        <w:t>Evenwichtige doelmatigheid</w:t>
      </w:r>
      <w:bookmarkEnd w:id="10"/>
    </w:p>
    <w:p w:rsidR="00FE2E3C" w:rsidRPr="00C8620B" w:rsidRDefault="00FE2E3C" w:rsidP="001845D7">
      <w:pPr>
        <w:pStyle w:val="Scriptienormaal"/>
      </w:pPr>
      <w:r w:rsidRPr="00676BF6">
        <w:t>Vanuit de optiek van de wetgever bestaat er het belang om belasting te heffen over ondernemingswinsten.</w:t>
      </w:r>
      <w:r w:rsidRPr="00676BF6">
        <w:rPr>
          <w:rStyle w:val="Voetnootmarkering"/>
        </w:rPr>
        <w:footnoteReference w:id="25"/>
      </w:r>
      <w:r w:rsidRPr="00676BF6">
        <w:t xml:space="preserve"> Daarnaast is het ook aan de wetgever om te bepalen op welke manier de belastingheffing op een juiste manier verdeeld wordt. Hierbij moeten de verschillende grondbeginselen van het belastingrecht in acht worden genomen. Deze bestaan uit de verschillende rechts- of verdelingsbeginselen en doelmatigheidsbeginselen.</w:t>
      </w:r>
      <w:r w:rsidRPr="00676BF6">
        <w:rPr>
          <w:rStyle w:val="Voetnootmarkering"/>
        </w:rPr>
        <w:footnoteReference w:id="26"/>
      </w:r>
      <w:r w:rsidRPr="00676BF6">
        <w:t xml:space="preserve"> </w:t>
      </w:r>
    </w:p>
    <w:p w:rsidR="00FE2E3C" w:rsidRPr="00C8620B" w:rsidRDefault="00FE2E3C" w:rsidP="0068353C">
      <w:pPr>
        <w:pStyle w:val="Scriptienormaal"/>
      </w:pPr>
      <w:r w:rsidRPr="00676BF6">
        <w:t>Gezien de achterliggende redenen van de belastingheffing zouden gelijke situaties op een gelijke manier belast moeten worden omdat hier</w:t>
      </w:r>
      <w:r>
        <w:t>op</w:t>
      </w:r>
      <w:r w:rsidRPr="00676BF6">
        <w:t xml:space="preserve"> de toepassing van de grondbeginselen dezelfde uitwerking hebben. Aldus, voor deze gelijke situaties zou de wetgever dezelfde doelstellingen moeten willen bereiken. Om zo tot een evenwichtige doelmatigheid te komen ten aanzien van het belasten van ondernemingswinsten, is de rechtsvormneutraliteit van belang. De keuze voor een rechtsvorm door een belastingplichtige kan van invloed zijn op het behalen van de door de wetgever gestelde doelen indien verschillen in de fiscale behandeling zorg</w:t>
      </w:r>
      <w:r>
        <w:t>en</w:t>
      </w:r>
      <w:r w:rsidRPr="00676BF6">
        <w:t xml:space="preserve"> voor een verschillende mate van doelmatigheid. Wanneer deze verschillen tussen de wetgeving geneutraliseerd worden, dan zal dit ten goede kunnen komen aan een door de wetgever beoogde doelmatigheid van de wetgeving. </w:t>
      </w:r>
    </w:p>
    <w:p w:rsidR="00FE2E3C" w:rsidRPr="00C8620B" w:rsidRDefault="00FE2E3C" w:rsidP="00B34B41">
      <w:pPr>
        <w:pStyle w:val="Scriptie2"/>
        <w:numPr>
          <w:ilvl w:val="1"/>
          <w:numId w:val="10"/>
        </w:numPr>
      </w:pPr>
      <w:bookmarkStart w:id="11" w:name="_Toc300055400"/>
      <w:r w:rsidRPr="00676BF6">
        <w:t>Rechtsvormneutraliteit ten aanzien van de doorschuiffaciliteiten</w:t>
      </w:r>
      <w:bookmarkEnd w:id="11"/>
    </w:p>
    <w:p w:rsidR="00FE2E3C" w:rsidRPr="00C8620B" w:rsidRDefault="00FE2E3C" w:rsidP="00B34B41">
      <w:pPr>
        <w:pStyle w:val="Scriptienormaal"/>
      </w:pPr>
      <w:r w:rsidRPr="00676BF6">
        <w:t>In de voorgaande paragrafen is naar voren gekomen wat rechtsvormneutraliteit inhoudt en wat het belang hiervan is. Het Nederlandse stelsel van belastingheffing maakt onderscheid tussen verschillende rechtsvormen waardoor deze per definitie niet volledig rechtsvormneutraal van aard is. In deze paragraaf zal de werking van de doorschuifregeling kort weergegeven worden waarna zal worden ingegaan op het belang van rechtsvormneutraliteit ten aanzien van deze regeling.</w:t>
      </w:r>
    </w:p>
    <w:p w:rsidR="00FE2E3C" w:rsidRPr="00676BF6" w:rsidRDefault="00FE2E3C" w:rsidP="00B14C13">
      <w:pPr>
        <w:pStyle w:val="Scriptie3"/>
        <w:numPr>
          <w:ilvl w:val="2"/>
          <w:numId w:val="10"/>
        </w:numPr>
      </w:pPr>
      <w:bookmarkStart w:id="12" w:name="_Toc300055401"/>
      <w:r w:rsidRPr="00676BF6">
        <w:t>De doorschuiffaciliteiten</w:t>
      </w:r>
      <w:bookmarkEnd w:id="12"/>
    </w:p>
    <w:p w:rsidR="00FE2E3C" w:rsidRPr="00C8620B" w:rsidRDefault="0092779E" w:rsidP="00B34B41">
      <w:pPr>
        <w:pStyle w:val="Scriptienormaal"/>
      </w:pPr>
      <w:r>
        <w:t xml:space="preserve">Met </w:t>
      </w:r>
      <w:r w:rsidR="00FE2E3C" w:rsidRPr="00676BF6">
        <w:t xml:space="preserve">ingang van het jaar 2010 is er nieuwe wetgeving geïntroduceerd met betrekking tot de bedrijfsopvolgingsfaciliteiten. Een verandering hierbij is dat het mogelijk is om gefaciliteerd een aanmerkelijk belang over te dragen. Door toepassing van artikel 4.17c, Wet IB 2001 kan bij het bepalen van de vervreemdingswinst van een aanmerkelijk belang een gedeelte van de </w:t>
      </w:r>
      <w:r w:rsidR="00FE2E3C" w:rsidRPr="00676BF6">
        <w:lastRenderedPageBreak/>
        <w:t>(fic</w:t>
      </w:r>
      <w:r>
        <w:t xml:space="preserve">tieve) overdrachtsprijs worden </w:t>
      </w:r>
      <w:r w:rsidR="00FE2E3C" w:rsidRPr="00676BF6">
        <w:t xml:space="preserve">vrijgesteld. Kort gezegd, het is zo mogelijk om een VPB-onderneming onder fiscaal gunstige omstandigheden middels schenking over te dragen aan een opvolgende ondernemer. Hierdoor wordt de aanmerkelijk belangclaim doorgeschoven naar de verkrijger. Ten aanzien van de onderneming en de verkrijger worden hierbij aanvullende eisen gesteld. Zo is alleen het gedeelte van de verkrijgingsprijs vrijgesteld voor zover deze ziet op een materiële onderneming. Daarbij dient de verkrijger minimaal 36 maanden in dienst te zijn geweest ten tijde van de overdracht. </w:t>
      </w:r>
    </w:p>
    <w:p w:rsidR="00FE2E3C" w:rsidRPr="00C8620B" w:rsidRDefault="00FE2E3C" w:rsidP="00B34B41">
      <w:pPr>
        <w:pStyle w:val="Scriptienormaal"/>
      </w:pPr>
      <w:r w:rsidRPr="00676BF6">
        <w:t>Wanneer  de onderneming een IB-onderneming betreft, bestaat ook de mogelijkheid om deze gefaciliteerd door te schuiven. In dit verband is artikel 3.63, Wet IB 2001 van belang. Ook hier geldt de eis dat de verkrijger minimaal 36 maanden in dienst moet zijn geweest ten tijde van de overdracht om voor de faciliteit in aanmerking te komen. Hier kan ook volstaan dat de voortzettende partij 36 maanden als mede</w:t>
      </w:r>
      <w:r w:rsidR="0092779E">
        <w:t>-</w:t>
      </w:r>
      <w:r w:rsidRPr="00676BF6">
        <w:t>ondernemer heeft gekwalificeerd. Ook dient de overnemer in de plaats treden van de overdragende ondernemer. Als beperking voor de over te dragen objectieve onderneming geldt dat een eventuele oudedagsreserve uitsluitend naar de partner kan worden doorgeschoven.</w:t>
      </w:r>
    </w:p>
    <w:p w:rsidR="00FE2E3C" w:rsidRPr="00C8620B" w:rsidRDefault="00FE2E3C" w:rsidP="00B34B41">
      <w:pPr>
        <w:pStyle w:val="Scriptienormaal"/>
      </w:pPr>
      <w:r w:rsidRPr="00676BF6">
        <w:t>In het vervolg van deze scriptie zal ik de artikelen 4.17c en 3.6</w:t>
      </w:r>
      <w:r w:rsidR="0092779E">
        <w:t>3, Wet IB 2001 benoemen als de “</w:t>
      </w:r>
      <w:r w:rsidRPr="00676BF6">
        <w:t>doorschuiffaciliteiten”.</w:t>
      </w:r>
    </w:p>
    <w:p w:rsidR="00FE2E3C" w:rsidRPr="00676BF6" w:rsidRDefault="00FE2E3C" w:rsidP="00B14C13">
      <w:pPr>
        <w:pStyle w:val="Scriptie3"/>
        <w:numPr>
          <w:ilvl w:val="2"/>
          <w:numId w:val="10"/>
        </w:numPr>
      </w:pPr>
      <w:bookmarkStart w:id="13" w:name="_Toc300055402"/>
      <w:r w:rsidRPr="00676BF6">
        <w:t>Rechtsvormneutraliteit en de doorschuiffaciliteiten</w:t>
      </w:r>
      <w:bookmarkEnd w:id="13"/>
    </w:p>
    <w:p w:rsidR="00FE2E3C" w:rsidRPr="00C8620B" w:rsidRDefault="00FE2E3C" w:rsidP="00C2120C">
      <w:pPr>
        <w:pStyle w:val="Scriptienormaal"/>
      </w:pPr>
      <w:r w:rsidRPr="00676BF6">
        <w:t xml:space="preserve">De twee hiervoor genoemde doorschuiffaciliteiten hebben beide betrekking op het doorschuiven van een onderneming. Het primaire verschil hiertussen is dat de rechtsvorm van de onderneming waarop de faciliteiten kunnen </w:t>
      </w:r>
      <w:r w:rsidR="0092779E">
        <w:t>worden toegepast,</w:t>
      </w:r>
      <w:r w:rsidRPr="00676BF6">
        <w:t xml:space="preserve"> verschilt. Daarbij zijn de artikelen los van elkaar ingevoerd en zijn deze in verschillende belastingwetten opgenomen. Logischerwijs bestaan hierdoor verschillen in vormgeving en uitwerking tussen beide regelingen. De vraag kan worden opgeworpen of een verschil tussen de regelingen een vermindering van rechtsvormneutraliteit tot gevolg heeft. </w:t>
      </w:r>
    </w:p>
    <w:p w:rsidR="00FE2E3C" w:rsidRPr="00C8620B" w:rsidRDefault="00FE2E3C" w:rsidP="00C2120C">
      <w:pPr>
        <w:pStyle w:val="Scriptienormaal"/>
      </w:pPr>
      <w:r w:rsidRPr="00676BF6">
        <w:t xml:space="preserve">Indien het doorschuiven van een onderneming die in de vorm van een IB- of VPB-onderneming gedreven wordt in vergelijking met de andere rechtsvorm </w:t>
      </w:r>
      <w:r w:rsidR="003534D7">
        <w:t>tot andere gevolgen leid</w:t>
      </w:r>
      <w:r w:rsidRPr="00676BF6">
        <w:t xml:space="preserve">t, dan zal dit de rechtsvormneutraliteit kunnen ondermijnen indien sprake is van vergelijkbare situaties. Vanwege de gelijkenissen ten aanzien van het doel en de uitwerking van de regelingen, zijn de situaties waar de faciliteiten toegepast worden in grote mate </w:t>
      </w:r>
      <w:r w:rsidRPr="00676BF6">
        <w:lastRenderedPageBreak/>
        <w:t>vergelijkbaar. Hierdoor zal een verschil in uitwerking van de faciliteiten de volgende gevolgen kunnen hebben.</w:t>
      </w:r>
    </w:p>
    <w:p w:rsidR="00FE2E3C" w:rsidRPr="00C8620B" w:rsidRDefault="00FE2E3C" w:rsidP="00C2120C">
      <w:pPr>
        <w:pStyle w:val="Scriptienormaal"/>
      </w:pPr>
      <w:r w:rsidRPr="00676BF6">
        <w:t xml:space="preserve">Ten eerste zullen de regelingen aan rechtvaardigheid kunnen verliezen door toetsing aan het economisch neutraliteitsbeginsel. De wetgeving hoeft immers geen fiscaal neutrale uitwerking te hebben bij de vergelijking tussen een vergelijkbare ondernemingsoverdracht van enkel verschillende rechtsvormen. Zo kan er een onrechtvaardigheid ontstaan indien een doorgeschoven IB-onderneming fiscaal (minder) gunstig wordt behandeld dan </w:t>
      </w:r>
      <w:r w:rsidR="003534D7">
        <w:t xml:space="preserve">dat </w:t>
      </w:r>
      <w:r w:rsidRPr="00676BF6">
        <w:t>dit bij een doorgeschoven VPB-onderneming het geval is. Volgens het neutraliteitsbeginsel is hier dan alleen sprake van een onrechtvaardigheid indien het doorschuiven van de IB- en de VPB-onderneming vergelijkbare situaties betreffen.</w:t>
      </w:r>
    </w:p>
    <w:p w:rsidR="00FE2E3C" w:rsidRPr="00C8620B" w:rsidRDefault="00FE2E3C" w:rsidP="00363E01">
      <w:pPr>
        <w:pStyle w:val="Scriptienormaal"/>
      </w:pPr>
      <w:r w:rsidRPr="00676BF6">
        <w:t>Het ontbreken van rechtsvormneutrale gevolgen voor de</w:t>
      </w:r>
      <w:r w:rsidR="003534D7">
        <w:t xml:space="preserve"> overdracht van een onderneming</w:t>
      </w:r>
      <w:r w:rsidRPr="00676BF6">
        <w:t xml:space="preserve"> kan de keuze voor het voeren van de rechtsvorm beïnvloeden. Juist een ingrijpende ontwikkeling zoals een bedrijfsoverdracht zal in de praktijk een reden kunnen zijn om de structuur van de onderneming te evalueren en eventueel aan te passen. Omdat de fiscaliteit hier een rol zal spelen is deze keuze niet meer enkel gebaseerd op ondernemingsrechtelijke en bedrijfseconomische redenen. Hierdoor kan de economische efficiëntie aangetast worden.</w:t>
      </w:r>
    </w:p>
    <w:p w:rsidR="00FE2E3C" w:rsidRPr="00C8620B" w:rsidRDefault="00FE2E3C" w:rsidP="00901B5C">
      <w:pPr>
        <w:pStyle w:val="Scriptienormaal"/>
      </w:pPr>
      <w:r w:rsidRPr="00676BF6">
        <w:t xml:space="preserve">Ook kan een verschillende behandeling van een bedrijfsoverdracht leiden tot concurrentievervalsing. Zo kan een onderneming, nadat deze is overgedragen, een betere financiële positie innemen ten opzichte van een onderneming die in een andere rechtsvorm wordt gedreven en zich in een vergelijkbare situatie bevindt, indien één van de faciliteiten gunstiger uitpakt. </w:t>
      </w:r>
      <w:r>
        <w:t>Zoals ik al eerder heb aangegeven zal een</w:t>
      </w:r>
      <w:r w:rsidRPr="00676BF6">
        <w:t xml:space="preserve"> betere financiële positie een positieve uitwerking hebben op de manier van het uitvoeren van het ondernemingsbeleid en op de concurrentiepositie.</w:t>
      </w:r>
    </w:p>
    <w:p w:rsidR="00FE2E3C" w:rsidRPr="00C8620B" w:rsidRDefault="00FE2E3C" w:rsidP="00363E01">
      <w:pPr>
        <w:pStyle w:val="Scriptienormaal"/>
      </w:pPr>
      <w:r w:rsidRPr="00676BF6">
        <w:t>Vervolgens kan het zijn dat de doelstellingen van de wetgever in verschillende mate door de doorschuiffaciliteiten word</w:t>
      </w:r>
      <w:r>
        <w:t>en</w:t>
      </w:r>
      <w:r w:rsidRPr="00676BF6">
        <w:t xml:space="preserve"> ondersteund. Indien hier sprake van is, zal de keuze van de belastingplichtige voor één van de rechtsvormen bij toepassing van een doorschuiffaciliteit ook bepalen in hoeverre aan de doelstellingen van de wetgever wordt voldaan. Omdat de wetgever geacht kan worden om dezelfde doelstellingen te hanteren bij vergelijkbare gevallen, kan dit gevolg als ongewenst worden gezien. </w:t>
      </w:r>
    </w:p>
    <w:p w:rsidR="00F7341E" w:rsidRDefault="00F7341E">
      <w:pPr>
        <w:rPr>
          <w:rFonts w:ascii="Times New Roman" w:hAnsi="Times New Roman"/>
          <w:b/>
          <w:sz w:val="24"/>
          <w:szCs w:val="20"/>
        </w:rPr>
      </w:pPr>
      <w:r>
        <w:br w:type="page"/>
      </w:r>
    </w:p>
    <w:p w:rsidR="00FE2E3C" w:rsidRPr="00676BF6" w:rsidRDefault="00FE2E3C" w:rsidP="00B14C13">
      <w:pPr>
        <w:pStyle w:val="Scriptie3"/>
        <w:numPr>
          <w:ilvl w:val="2"/>
          <w:numId w:val="10"/>
        </w:numPr>
      </w:pPr>
      <w:bookmarkStart w:id="14" w:name="_Toc300055403"/>
      <w:r w:rsidRPr="00676BF6">
        <w:lastRenderedPageBreak/>
        <w:t>Toetsingskader rechtsvormneutraliteit</w:t>
      </w:r>
      <w:bookmarkEnd w:id="14"/>
    </w:p>
    <w:p w:rsidR="00FE2E3C" w:rsidRPr="00C8620B" w:rsidRDefault="00FE2E3C" w:rsidP="005D720D">
      <w:pPr>
        <w:pStyle w:val="Scriptienormaal"/>
      </w:pPr>
      <w:r w:rsidRPr="00676BF6">
        <w:t>Als onderdeel van mijn primaire probleemstelling ben ik op zoek naar het antwoord op de vraag of de doorschuiffaciliteiten in evenwicht zijn met betrekking tot rechtsvormneutraliteit. Om tot een uitkomst te komen zal ik zicht moeten krijgen op factoren die invloed hebben op het karakter van de doorschuiffaciliteiten. Hiertoe worden beide doorschuiffaciliteiten met elkaar vergeleken. De vergelijking tussen de doorschuifregelingen zal ik maken op basis van de verschillende criteria waaraan een belastingstelsel moet voldoen.</w:t>
      </w:r>
      <w:r w:rsidRPr="00676BF6">
        <w:rPr>
          <w:rStyle w:val="Voetnootmarkering"/>
        </w:rPr>
        <w:footnoteReference w:id="27"/>
      </w:r>
      <w:r w:rsidRPr="00676BF6">
        <w:t xml:space="preserve"> Deze criteria zijn rechtvaardigheid, effectiviteit en efficiëntie. Ik zal bij de toetsing niet op zoek gaan naar de mate waarin door de doorschuiffaciliteiten aan deze criteria voldaan wordt, maar de doorschuiffaciliteiten juist met elkaar vergelijken ten aanzien van deze criteria. Ik zal dus voorbij gaan aan een antwoord op de vraag of de doorschuiffaciliteiten los van elkaar voldoen aan een bepaalde standaard. In het vervolg van deze paragraaf zal ik kort ingaan op de hiervoor genoemde drie criteria.</w:t>
      </w:r>
    </w:p>
    <w:p w:rsidR="00FE2E3C" w:rsidRPr="00C8620B" w:rsidRDefault="00FE2E3C" w:rsidP="009255BD">
      <w:pPr>
        <w:pStyle w:val="scriptie4"/>
      </w:pPr>
      <w:r w:rsidRPr="00676BF6">
        <w:t>Rechtvaardigheid</w:t>
      </w:r>
    </w:p>
    <w:p w:rsidR="00FE2E3C" w:rsidRPr="00C8620B" w:rsidRDefault="00FE2E3C" w:rsidP="009255BD">
      <w:pPr>
        <w:pStyle w:val="Scriptienormaal"/>
      </w:pPr>
      <w:r w:rsidRPr="00676BF6">
        <w:t>De rechtvaardigheid van een goed belastingstelsel houdt volgens Stevens in dat deze gedragen wordt door de rechtvaardigheidsbeginselen van de samenleving.</w:t>
      </w:r>
      <w:r w:rsidRPr="00676BF6">
        <w:rPr>
          <w:rStyle w:val="Voetnootmarkering"/>
        </w:rPr>
        <w:footnoteReference w:id="28"/>
      </w:r>
      <w:r w:rsidRPr="00676BF6">
        <w:t xml:space="preserve"> Dit begrip wordt derhalve bepaald door principes die algemeen geaccepteerd zijn. Net als Van Strien maak ik hieruit op  dat een belastingstelsel rechtvaardig is wanneer gelijke gevallen gelijk behandeld worden.</w:t>
      </w:r>
      <w:r w:rsidRPr="00676BF6">
        <w:rPr>
          <w:rStyle w:val="Voetnootmarkering"/>
        </w:rPr>
        <w:footnoteReference w:id="29"/>
      </w:r>
      <w:r w:rsidRPr="00676BF6">
        <w:t xml:space="preserve"> </w:t>
      </w:r>
    </w:p>
    <w:p w:rsidR="00FE2E3C" w:rsidRPr="00C8620B" w:rsidRDefault="00FE2E3C" w:rsidP="00915CD5">
      <w:pPr>
        <w:pStyle w:val="Scriptienormaal"/>
      </w:pPr>
      <w:r w:rsidRPr="00676BF6">
        <w:t>De rechtvaardigheid is voor de rechtsvormneutraliteit van belang om ervoor te zorgen dat het neutraliteitsbeginsel wordt gerespecteerd, aldus</w:t>
      </w:r>
      <w:r>
        <w:t xml:space="preserve"> dat</w:t>
      </w:r>
      <w:r w:rsidR="003534D7">
        <w:t xml:space="preserve"> gelijke gevallen</w:t>
      </w:r>
      <w:r w:rsidRPr="00676BF6">
        <w:t xml:space="preserve"> gelijk behandeld worden. Indien dit niet het geval is, kan het kiezen van een rechtsvo</w:t>
      </w:r>
      <w:r>
        <w:t>rm boven een andere ten behoeve</w:t>
      </w:r>
      <w:r w:rsidRPr="00676BF6">
        <w:t xml:space="preserve"> van het drijven van een onderneming</w:t>
      </w:r>
      <w:r>
        <w:t xml:space="preserve"> een gunstigere fiscale uit</w:t>
      </w:r>
      <w:r w:rsidRPr="00676BF6">
        <w:t>werking hebben. Dit zal de keuze van de ondernemer beïnvloeden waardoor de fiscaliteit zelfs de doorslag kan geven. Zoals ik eerder in dit hoofdstuk al uiteen heb gezet, brengt dit bezwaren met zich mee.</w:t>
      </w:r>
    </w:p>
    <w:p w:rsidR="00FE2E3C" w:rsidRPr="00C8620B" w:rsidRDefault="00FE2E3C" w:rsidP="00831190">
      <w:pPr>
        <w:pStyle w:val="Scriptienormaal"/>
      </w:pPr>
      <w:r w:rsidRPr="00676BF6">
        <w:t xml:space="preserve">Omdat ik in mijn onderzoek enkel de gevolgen van toepassing van de doorschuiffaciliteiten met elkaar ga vergelijken, moet ik bij deze vergelijking het verschil in het belastingregime voor de inkomsten- en vennootschapsbelasting niet meenemen. Namelijk, bepaald zal moeten worden hoe de doorschuiffaciliteiten zich tot elkaar verhouden ten aanzien van de uitwerking die deze regelingen hebben op het belastingstelsel. Hierbij is niet van belang welke </w:t>
      </w:r>
      <w:r w:rsidRPr="00676BF6">
        <w:lastRenderedPageBreak/>
        <w:t>uitwerkingen het belastingstelsel zelf heeft op de rechtvaardigheid van de doorschuifregelingen. Zo zullen verschillen in rechtvaardiging die in de aard van de belastingregimes besloten liggen ook invloed hebben op de situatie waarop de doorschuiffaciliteiten toegepast kunnen worden. Deze verschillen dienen bij de toetsing geëlimineerd te worden. Hierbij kan bijvoorbeeld gedacht worden aan tariefsverschillen of het feit dat een IB-onderneming, in tegenstelling tot een VPB-onderneming, in haar aard geen overtollig beleggingsvermogen kan aanhouden.</w:t>
      </w:r>
    </w:p>
    <w:p w:rsidR="00FE2E3C" w:rsidRPr="00C8620B" w:rsidRDefault="00FE2E3C" w:rsidP="00831190">
      <w:pPr>
        <w:pStyle w:val="Scriptienormaal"/>
      </w:pPr>
      <w:r w:rsidRPr="00676BF6">
        <w:t>In eerste instantie is van belang wat de regeling faciliteert. Daarnaast moet gekeken worden aan welke voorwaarden moet worden voldaan voordat de regeling kan worden toegepast. Wanneer bij de vergelijking van deze twee aspecten een verschil zichtbaar is, hoeft niet direct sprake te zijn van een gebrek aan rechtvaardigheid. Eerst moet gekeken worden of het verschil een rechtvaardige achtergrond heeft omdat geen sprake is van gelijke gevallen. Dit kan bijvoorbeeld liggen in aspecten die ontstaan door een verschil tussen de IB- en de VPB-onderneming. Indien dit niet het geval is</w:t>
      </w:r>
      <w:r w:rsidR="003534D7">
        <w:t>,</w:t>
      </w:r>
      <w:r w:rsidRPr="00676BF6">
        <w:t xml:space="preserve"> zullen de doorschuiffaciliteiten zorgen voor een bevoordeelde situatie van een IB- of een VPB-onderneming. Dan zal sprake zijn van een onrechtvaardig verschil in behandeling van gelijke gevallen.</w:t>
      </w:r>
    </w:p>
    <w:p w:rsidR="00FE2E3C" w:rsidRPr="00C8620B" w:rsidRDefault="00FE2E3C" w:rsidP="00831190">
      <w:pPr>
        <w:pStyle w:val="Scriptienormaal"/>
      </w:pPr>
      <w:r w:rsidRPr="00676BF6">
        <w:t xml:space="preserve">Bij het vergelijken van de doorschuifregelingen </w:t>
      </w:r>
      <w:r w:rsidRPr="00C8620B">
        <w:t>ten aanzien van</w:t>
      </w:r>
      <w:r w:rsidRPr="00676BF6">
        <w:t xml:space="preserve"> de mate van rechtvaardigheid, zal ik </w:t>
      </w:r>
      <w:r>
        <w:t>slechts</w:t>
      </w:r>
      <w:r w:rsidRPr="00676BF6">
        <w:t xml:space="preserve"> kijken naar een verschil in de fiscaal theoretische uitwerking. Z</w:t>
      </w:r>
      <w:r w:rsidR="003534D7">
        <w:t>o zal ik bij dit aspect niet in</w:t>
      </w:r>
      <w:r w:rsidRPr="00676BF6">
        <w:t xml:space="preserve">gaan op de uitwerking op de effectiviteit en de efficiëntie. </w:t>
      </w:r>
    </w:p>
    <w:p w:rsidR="00FE2E3C" w:rsidRPr="00C8620B" w:rsidRDefault="00FE2E3C" w:rsidP="000629DA">
      <w:pPr>
        <w:pStyle w:val="scriptie4"/>
      </w:pPr>
      <w:r w:rsidRPr="00676BF6">
        <w:t>Effectiviteit</w:t>
      </w:r>
    </w:p>
    <w:p w:rsidR="00FE2E3C" w:rsidRPr="00C8620B" w:rsidRDefault="00FE2E3C" w:rsidP="006A6463">
      <w:pPr>
        <w:pStyle w:val="Scriptienormaal"/>
      </w:pPr>
      <w:r w:rsidRPr="00676BF6">
        <w:t>De eff</w:t>
      </w:r>
      <w:r w:rsidR="003534D7">
        <w:t>ectiviteit van een belastingwet</w:t>
      </w:r>
      <w:r w:rsidRPr="00676BF6">
        <w:t xml:space="preserve"> hangt af van de mate waarin gestelde doelstellingen van de wetgeving ook daadwerkelijk worden gerealiseerd.</w:t>
      </w:r>
      <w:r w:rsidRPr="00676BF6">
        <w:rPr>
          <w:rStyle w:val="Voetnootmarkering"/>
        </w:rPr>
        <w:footnoteReference w:id="30"/>
      </w:r>
      <w:r w:rsidRPr="00676BF6">
        <w:t xml:space="preserve"> Indien voor een wet een meetbare doelstelling is vastgesteld, zal deze ook als zodanig getoetst moeten worden om de mate van effectiviteit te bepalen. Ten aanzien van de doorschuiffaciliteiten kan hier bijvoorbeeld gedacht worden aan de doelstelling om tot een bepaald aantal gefaciliteerde bedrijfsoverdrachten te komen. Echter, indien geen meetbare doelstelling geformuleerd is, kan de mate van effectiviteit moeilijker bepaald worden. Dit geldt des te meer indien er geen cijfermatige resultaten bestaan met betrekking tot de uitwerking van de betreffende wetgeving.</w:t>
      </w:r>
    </w:p>
    <w:p w:rsidR="00FE2E3C" w:rsidRPr="00C8620B" w:rsidRDefault="00FE2E3C" w:rsidP="006A6463">
      <w:pPr>
        <w:pStyle w:val="Scriptienormaal"/>
      </w:pPr>
      <w:r w:rsidRPr="00676BF6">
        <w:lastRenderedPageBreak/>
        <w:t>De effectiviteit is van belang om ervoor te zorgen dat er een evenwichtigheid bestaat ten aanzien van de doelmatigheid van de wetgeving. De wetgever dient voor ogen te hebben welke doelen met de belastingwetgeving dienen te worden behaald. Voor gelijke situaties kan de wetgever geacht worden hier ook gelijke doelstellingen voor ogen te hebben. Indien bij de doorschuifr</w:t>
      </w:r>
      <w:r>
        <w:t>e</w:t>
      </w:r>
      <w:r w:rsidRPr="00676BF6">
        <w:t>gelingen geen sprake is van evenwicht ten aanzien van de effectiviteit, kan de keuze van de belastingplichtige gevolgen hebben voor het al dan niet benaderen van de door de wetgever gestelde doelstellingen.</w:t>
      </w:r>
    </w:p>
    <w:p w:rsidR="00FE2E3C" w:rsidRPr="00C8620B" w:rsidRDefault="00FE2E3C" w:rsidP="006A6463">
      <w:pPr>
        <w:pStyle w:val="Scriptienormaal"/>
      </w:pPr>
      <w:r w:rsidRPr="00676BF6">
        <w:t xml:space="preserve">Voor de doorschuiffaciliteiten geldt dat er voor beide regelingen geen meetbare doelstellingen zijn bepaald. Een uitkomst van de mate van effectiviteit van de faciliteiten is hierdoor moeilijk vast te stellen. Echter, omdat ik beide faciliteiten </w:t>
      </w:r>
      <w:r>
        <w:t xml:space="preserve">alleen </w:t>
      </w:r>
      <w:r w:rsidRPr="00676BF6">
        <w:t xml:space="preserve">met elkaar ga vergelijken is een meetbare uitkomst hier ook niet van belang. Zo is van belang of de doorschuiffaciliteiten op het gebied van effectiviteit met elkaar vergelijkbaar zijn en waar de eventuele verschillen tussen beide door ontstaan. Deze directe vergelijking kan alleen gemaakt worden ten aanzien van de doelstellingen die voor beide faciliteiten vergelijkbaar zijn. Immers, indien de faciliteiten één of meerdere verschillende doelstellingen hebben, is er ten aanzien hiervan geen sprake van een gelijke situatie. Wanneer hier sprake van is, zal hier bij de beoordeling van de effectiviteit rekening </w:t>
      </w:r>
      <w:r w:rsidR="003A23AC">
        <w:t>mee moeten worden gehouden.</w:t>
      </w:r>
    </w:p>
    <w:p w:rsidR="00FE2E3C" w:rsidRPr="00C8620B" w:rsidRDefault="00FE2E3C" w:rsidP="0006481B">
      <w:pPr>
        <w:pStyle w:val="scriptie4"/>
      </w:pPr>
      <w:r w:rsidRPr="00676BF6">
        <w:t>Efficiëntie</w:t>
      </w:r>
    </w:p>
    <w:p w:rsidR="00FE2E3C" w:rsidRPr="00C8620B" w:rsidRDefault="00FE2E3C" w:rsidP="00777447">
      <w:pPr>
        <w:pStyle w:val="Scriptienormaal"/>
      </w:pPr>
      <w:r w:rsidRPr="00676BF6">
        <w:t>Stevens stelt dat een belastingstelsel als efficiënt gezien kan worden indien de gestelde doelstellingen met zo weinig mogelijk uitvoeringskosten worden gerealiseerd.</w:t>
      </w:r>
      <w:r w:rsidRPr="00676BF6">
        <w:rPr>
          <w:rStyle w:val="Voetnootmarkering"/>
        </w:rPr>
        <w:footnoteReference w:id="31"/>
      </w:r>
      <w:r w:rsidRPr="00676BF6">
        <w:t xml:space="preserve"> Dit betreffen uitvoeringskosten voor de belastingplichtigen en de overheid zelf. Onder deze uitvoeringskosten versta ik alle uit te voeren handelingen en administratieve lasten die verband houden met de betreffende wetgeving. </w:t>
      </w:r>
    </w:p>
    <w:p w:rsidR="00FE2E3C" w:rsidRPr="00C8620B" w:rsidRDefault="00FE2E3C" w:rsidP="009F5F08">
      <w:pPr>
        <w:pStyle w:val="Scriptienormaal"/>
      </w:pPr>
      <w:r w:rsidRPr="00676BF6">
        <w:t>Ten aanzien van de toetsing van rechtsvormneutraliteit is de efficiëntie van belang omdat deze de keuze voor een rechtsvorm door de belastingplichtige kan beïnvloeden. Voor de rechtsvormneutraliteit zijn dan ook alleen de uitvoeringskosten voor de belastingplichtige van belang. Zo zal de belastingplichtige eerder voor een bepaalde rechtsvorm kiezen indien het belastingregime dat als gevolg hiervan van toepassing is</w:t>
      </w:r>
      <w:r w:rsidR="003A23AC">
        <w:t>,</w:t>
      </w:r>
      <w:r w:rsidRPr="00676BF6">
        <w:t xml:space="preserve"> lagere uitvoeringskosten met zich meebrengt dan bij de keuze voor een andere rechtsvorm het geval is. Deze kosten kunnen bijvoorbeeld ontstaan indien administratieve eise</w:t>
      </w:r>
      <w:r w:rsidR="003A23AC">
        <w:t xml:space="preserve">n worden gesteld waardoor de </w:t>
      </w:r>
      <w:r w:rsidRPr="00676BF6">
        <w:t>uit</w:t>
      </w:r>
      <w:r w:rsidR="003A23AC">
        <w:t xml:space="preserve"> te </w:t>
      </w:r>
      <w:r w:rsidRPr="00676BF6">
        <w:t>voeren handelingen toene</w:t>
      </w:r>
      <w:r>
        <w:t>men</w:t>
      </w:r>
      <w:r w:rsidRPr="00676BF6">
        <w:t xml:space="preserve"> of ingewikkelder word</w:t>
      </w:r>
      <w:r>
        <w:t>en</w:t>
      </w:r>
      <w:r w:rsidRPr="00676BF6">
        <w:t xml:space="preserve">. Ook kunnen de uitvoeringskosten stijgen </w:t>
      </w:r>
      <w:r w:rsidRPr="00676BF6">
        <w:lastRenderedPageBreak/>
        <w:t xml:space="preserve">naarmate de wetgeving onduidelijker is. Of wetgeving al dan niet onduidelijk is, </w:t>
      </w:r>
      <w:r w:rsidRPr="00C8620B">
        <w:t xml:space="preserve">heeft gevolgen voor </w:t>
      </w:r>
      <w:r w:rsidRPr="00676BF6">
        <w:t>de rechtszekerheid. Een gebrek aan rechtszekerheid zal met zich meebrengen dat bepaalde situaties nader onderzocht moeten worden of dat hieromtrent sneller discussie kan ontstaan tussen de Belastingdienst en de belastingplichtige. Ook het vooruitzicht van mogelijke discussies brengt met zich mee dat de belastingplichtige sneller geneigd is om een situatie aan de Belastingdienst voor te leggen wat de uitvoeringskosten zal verhogen in de vorm van te besteden arbeid door de belastingplichtig</w:t>
      </w:r>
      <w:r w:rsidR="003A23AC">
        <w:t>e</w:t>
      </w:r>
      <w:r w:rsidRPr="00676BF6">
        <w:t xml:space="preserve"> of het uitbesteden hiervan aan een adviseur. </w:t>
      </w:r>
    </w:p>
    <w:p w:rsidR="00FE2E3C" w:rsidRPr="00C8620B" w:rsidRDefault="00FE2E3C" w:rsidP="005D6883">
      <w:pPr>
        <w:pStyle w:val="Scriptienormaal"/>
      </w:pPr>
      <w:r w:rsidRPr="00676BF6">
        <w:t xml:space="preserve">Uit de verschillen in de uitvoeringskosten van de doorschuiffaciliteiten kan </w:t>
      </w:r>
      <w:r w:rsidR="003A23AC">
        <w:t xml:space="preserve">eveneens </w:t>
      </w:r>
      <w:r w:rsidRPr="00676BF6">
        <w:t>opgemaakt word</w:t>
      </w:r>
      <w:r w:rsidR="003A23AC">
        <w:t xml:space="preserve">en of deze voor beide faciliteiten </w:t>
      </w:r>
      <w:r w:rsidRPr="00676BF6">
        <w:t>met elkaar vergelijkbaar zijn. Om hiertoe te komen, zal bekeken moeten worden of de faciliteit bij vergelijkbare situaties gelijke uitvo</w:t>
      </w:r>
      <w:r w:rsidR="003A23AC">
        <w:t xml:space="preserve">eringskosten met zich meebrengt. De uitkomst hiervan is </w:t>
      </w:r>
      <w:r w:rsidRPr="00676BF6">
        <w:t xml:space="preserve">bepalend </w:t>
      </w:r>
      <w:r>
        <w:t xml:space="preserve">voor de beantwoording van de vraag </w:t>
      </w:r>
      <w:r w:rsidRPr="00676BF6">
        <w:t>of de doorschuiffaciliteiten ten aanzien van de efficiëntie met elkaar in evenwicht zijn.</w:t>
      </w:r>
    </w:p>
    <w:p w:rsidR="00FE2E3C" w:rsidRPr="00C8620B" w:rsidRDefault="00FE2E3C" w:rsidP="00302EC1">
      <w:pPr>
        <w:pStyle w:val="Scriptie3"/>
      </w:pPr>
      <w:r w:rsidRPr="00676BF6">
        <w:br w:type="page"/>
      </w:r>
    </w:p>
    <w:p w:rsidR="00FE2E3C" w:rsidRPr="00676BF6" w:rsidRDefault="00FE2E3C" w:rsidP="00F372C1">
      <w:pPr>
        <w:pStyle w:val="Scriptie1"/>
        <w:numPr>
          <w:ilvl w:val="0"/>
          <w:numId w:val="10"/>
        </w:numPr>
      </w:pPr>
      <w:bookmarkStart w:id="15" w:name="_Toc287953653"/>
      <w:bookmarkStart w:id="16" w:name="_Toc300055404"/>
      <w:r w:rsidRPr="00676BF6">
        <w:lastRenderedPageBreak/>
        <w:t>De doorschuiffaciliteiten</w:t>
      </w:r>
      <w:bookmarkEnd w:id="15"/>
      <w:bookmarkEnd w:id="16"/>
    </w:p>
    <w:p w:rsidR="00FE2E3C" w:rsidRPr="00C8620B" w:rsidRDefault="00FE2E3C" w:rsidP="00F372C1">
      <w:pPr>
        <w:pStyle w:val="Scriptienormaal"/>
      </w:pPr>
      <w:r w:rsidRPr="00676BF6">
        <w:t>In het vorige hoofdstuk heb ik aandacht besteed aan het begrip rechtsvormneutraliteit. Ook ben ik kort ingegaan op het belang van rechtsvormneutraliteit ten aanzien van de doorschuiffaciliteiten. In dit hoofdstuk kom ik tot een verdere analyse van de doorschuiffaciliteiten. Zo zal ik ten eerste de uitwerking van de regelingen uiteenzetten waarna de achtergrond va</w:t>
      </w:r>
      <w:r w:rsidR="003A23AC">
        <w:t>n beide regelingen aan bod komt</w:t>
      </w:r>
      <w:r w:rsidRPr="00676BF6">
        <w:t>.</w:t>
      </w:r>
    </w:p>
    <w:p w:rsidR="00FE2E3C" w:rsidRPr="00676BF6" w:rsidRDefault="00FE2E3C" w:rsidP="00F372C1">
      <w:pPr>
        <w:pStyle w:val="Scriptie2"/>
        <w:numPr>
          <w:ilvl w:val="1"/>
          <w:numId w:val="10"/>
        </w:numPr>
      </w:pPr>
      <w:bookmarkStart w:id="17" w:name="_Toc287953655"/>
      <w:bookmarkStart w:id="18" w:name="_Toc300055405"/>
      <w:r w:rsidRPr="00676BF6">
        <w:t>De uitwerking van de doorschuiffaciliteiten</w:t>
      </w:r>
      <w:bookmarkEnd w:id="17"/>
      <w:bookmarkEnd w:id="18"/>
    </w:p>
    <w:p w:rsidR="00FE2E3C" w:rsidRPr="00C8620B" w:rsidRDefault="00FE2E3C" w:rsidP="00A9226E">
      <w:pPr>
        <w:pStyle w:val="Scriptienormaal"/>
      </w:pPr>
      <w:r w:rsidRPr="00676BF6">
        <w:t>In deze paragraaf zal worden besproken hoe de doorschuiffaciliteiten uitwerken. Zo zal ik ingaan op de tekst en de uitwerking met</w:t>
      </w:r>
      <w:r w:rsidR="00E057BA">
        <w:t xml:space="preserve"> betrekking tot de artikelen 3.</w:t>
      </w:r>
      <w:r w:rsidRPr="00676BF6">
        <w:t>6</w:t>
      </w:r>
      <w:r w:rsidR="00E057BA">
        <w:t>3</w:t>
      </w:r>
      <w:r w:rsidRPr="00676BF6">
        <w:t xml:space="preserve"> en 4.17c, Wet IB 2001 en de door de wetgever gepubliceerde besluiten. Zoals ik al eerder heb aangegeven zullen de overige doorschuiffaciliteiten binnen de inkomstenbelastingsfeer niet worden besproken.</w:t>
      </w:r>
    </w:p>
    <w:p w:rsidR="00FE2E3C" w:rsidRPr="00676BF6" w:rsidRDefault="00FE2E3C" w:rsidP="00F372C1">
      <w:pPr>
        <w:pStyle w:val="Scriptie3"/>
        <w:numPr>
          <w:ilvl w:val="2"/>
          <w:numId w:val="10"/>
        </w:numPr>
      </w:pPr>
      <w:bookmarkStart w:id="19" w:name="_Toc287953656"/>
      <w:bookmarkStart w:id="20" w:name="_Toc300055406"/>
      <w:r w:rsidRPr="00676BF6">
        <w:t>Faciliteit voor de IB-onderneming</w:t>
      </w:r>
      <w:bookmarkEnd w:id="19"/>
      <w:bookmarkEnd w:id="20"/>
    </w:p>
    <w:p w:rsidR="00FE2E3C" w:rsidRPr="00C8620B" w:rsidRDefault="00FE2E3C" w:rsidP="00F372C1">
      <w:pPr>
        <w:pStyle w:val="Scriptienormaal"/>
      </w:pPr>
      <w:r>
        <w:t>Hiervoor bleek al dat</w:t>
      </w:r>
      <w:r w:rsidRPr="00676BF6">
        <w:t xml:space="preserve"> de doorschuifregeling voor de IB-onderneming wettelijk </w:t>
      </w:r>
      <w:r>
        <w:t xml:space="preserve">wordt </w:t>
      </w:r>
      <w:r w:rsidRPr="00676BF6">
        <w:t>vormgegeven door artikel 3.63, Wet IB 2001. Het artikel valt hierdoor onder de bepalingen omtrent de winst uit onderneming. Kort weergegeven, kan met toepassing van deze doorschuifregeling belastingheffing over stakingswinst worden uitgesteld indien de onderneming aan een mede</w:t>
      </w:r>
      <w:r w:rsidR="003A23AC">
        <w:t>-</w:t>
      </w:r>
      <w:r w:rsidRPr="00676BF6">
        <w:t>ondernemer wordt doorgeschoven. Hieronder zal ik ieder lid van het artikel apart toelichten.</w:t>
      </w:r>
    </w:p>
    <w:p w:rsidR="00FE2E3C" w:rsidRPr="00C8620B" w:rsidRDefault="00FE2E3C" w:rsidP="00F372C1">
      <w:pPr>
        <w:pStyle w:val="scriptie4"/>
      </w:pPr>
      <w:r w:rsidRPr="00676BF6">
        <w:t>Eerste lid</w:t>
      </w:r>
    </w:p>
    <w:p w:rsidR="00FE2E3C" w:rsidRPr="00C8620B" w:rsidRDefault="00FE2E3C" w:rsidP="00F372C1">
      <w:pPr>
        <w:pStyle w:val="Scriptienormaal"/>
        <w:rPr>
          <w:i/>
        </w:rPr>
      </w:pPr>
      <w:r w:rsidRPr="00676BF6">
        <w:t xml:space="preserve">Het eerste lid van artikel 3.63, Wet IB 2001 bestaat uit de volgende volzin. </w:t>
      </w:r>
      <w:r w:rsidRPr="00676BF6">
        <w:rPr>
          <w:i/>
        </w:rPr>
        <w:t xml:space="preserve">‘Indien de belastingplichtige een onderneming waaruit hij als ondernemer of als belastingplichtige als bedoeld in </w:t>
      </w:r>
      <w:hyperlink r:id="rId7" w:history="1">
        <w:r w:rsidRPr="00676BF6">
          <w:rPr>
            <w:rStyle w:val="Hyperlink"/>
            <w:i/>
            <w:color w:val="auto"/>
            <w:u w:val="none"/>
          </w:rPr>
          <w:t>artikel 3.3, eerste lid</w:t>
        </w:r>
      </w:hyperlink>
      <w:r w:rsidRPr="00676BF6">
        <w:rPr>
          <w:i/>
        </w:rPr>
        <w:t xml:space="preserve">, onderdeel a, winst geniet, overdraagt in een geval als bedoeld in het vierde of vijfde lid, wordt voor het bepalen van de uit de onderneming in het kalenderjaar van overdracht genoten winst de onderneming, behalve voor de toepassing van </w:t>
      </w:r>
      <w:hyperlink r:id="rId8" w:history="1">
        <w:r w:rsidRPr="00676BF6">
          <w:rPr>
            <w:rStyle w:val="Hyperlink"/>
            <w:i/>
            <w:color w:val="auto"/>
            <w:u w:val="none"/>
          </w:rPr>
          <w:t>artikel 3.54a</w:t>
        </w:r>
      </w:hyperlink>
      <w:r w:rsidRPr="00676BF6">
        <w:rPr>
          <w:i/>
        </w:rPr>
        <w:t xml:space="preserve">, geacht niet te zijn gestaakt, mits zowel de belastingplichtige als degene die de onderneming voortzet dit bij de aangifte van </w:t>
      </w:r>
      <w:r w:rsidR="003A23AC">
        <w:rPr>
          <w:i/>
        </w:rPr>
        <w:t>de belastingplichtige verzoeken.</w:t>
      </w:r>
      <w:r w:rsidRPr="00676BF6">
        <w:rPr>
          <w:i/>
        </w:rPr>
        <w:t>’</w:t>
      </w:r>
    </w:p>
    <w:p w:rsidR="00FE2E3C" w:rsidRPr="00C8620B" w:rsidRDefault="00FE2E3C" w:rsidP="00F372C1">
      <w:pPr>
        <w:pStyle w:val="Scriptienormaal"/>
      </w:pPr>
      <w:r w:rsidRPr="00676BF6">
        <w:lastRenderedPageBreak/>
        <w:t>In het eerste lid wordt ruwweg de hiervoor besproken korte weergave van de doorschuifregeling beschreven. Zonder toepassing van de doorschuifregeling zou bij het doorschuiven van een onderneming een stakingswinst kunnen worden gerealiseerd door het verschil tussen de fiscale boekwaarde van de onderneming en de waarde hiervan in het economische verkeer. De winst die hierdoor behaald wordt, is volgens de wetssystematiek belast als winst uit onderneming in box 1. Echter, deze belastingheffing kan volgens het eerste lid worden uitgesteld doordat onder voorwaarde</w:t>
      </w:r>
      <w:r w:rsidR="00540304">
        <w:t>n de winst wordt bepaald met in</w:t>
      </w:r>
      <w:r w:rsidRPr="00676BF6">
        <w:t>achtneming van de fictie dat de onderneming niet is gestaakt. Zo vindt door toepassing van de faciliteit geen afrekening plaats over stille en fiscale reserves (met uitzondering van de oudedagsreserve) en is er geen sprake van een mogelijke desinvesteringsbijtelling.</w:t>
      </w:r>
    </w:p>
    <w:p w:rsidR="00FE2E3C" w:rsidRPr="00C8620B" w:rsidRDefault="00540304" w:rsidP="00F372C1">
      <w:pPr>
        <w:pStyle w:val="Scriptienormaal"/>
      </w:pPr>
      <w:r>
        <w:t>Als eerste van de</w:t>
      </w:r>
      <w:r w:rsidR="00FE2E3C" w:rsidRPr="00676BF6">
        <w:t xml:space="preserve"> verschillende voorwaarden tot toepassing van de regeling</w:t>
      </w:r>
      <w:r>
        <w:t xml:space="preserve">, komt </w:t>
      </w:r>
      <w:r w:rsidR="00FE2E3C" w:rsidRPr="00676BF6">
        <w:t xml:space="preserve">naar voren dat </w:t>
      </w:r>
      <w:r>
        <w:t xml:space="preserve">er </w:t>
      </w:r>
      <w:r w:rsidR="00FE2E3C" w:rsidRPr="00676BF6">
        <w:t xml:space="preserve">sprake moet zijn van een ondernemer volgens artikel 3.2, Wet IB 2001 (ook wel IB-ondernemer genoemd), of van een medegerechtigde die onder onderdeel a van eerste lid van artikel 3.3, Wet IB 2001 valt. </w:t>
      </w:r>
    </w:p>
    <w:p w:rsidR="00FE2E3C" w:rsidRPr="00C8620B" w:rsidRDefault="00FE2E3C" w:rsidP="00F372C1">
      <w:pPr>
        <w:pStyle w:val="Scriptienormaal"/>
      </w:pPr>
      <w:r w:rsidRPr="00676BF6">
        <w:t>Om vervolgens te bepalen wie als IB-ondernemer moet worden aangemerkt, wordt gekeken naar artikel 3.4, Wet IB 2001. Volgens de hierin aangegeven definitie drijft een IB-ondernemer voor zijn rekening een onderneming en wordt hij rechtstreeks verbonden voor verbintenissen betreffende die onderneming. Ten eerste zal dan sprake moeten zijn van een onderneming. Volgens Essers kunnen als een onderneming worden gezien</w:t>
      </w:r>
      <w:r w:rsidRPr="00676BF6">
        <w:rPr>
          <w:i/>
        </w:rPr>
        <w:t>, 'zelfstandige duurzaam bedoelde activiteiten, gericht op een risicodragende deelneming aan het economische verkeer'</w:t>
      </w:r>
      <w:r w:rsidRPr="00676BF6">
        <w:t>.</w:t>
      </w:r>
      <w:r w:rsidRPr="00676BF6">
        <w:rPr>
          <w:rStyle w:val="Voetnootmarkering"/>
        </w:rPr>
        <w:footnoteReference w:id="32"/>
      </w:r>
      <w:r w:rsidRPr="00676BF6">
        <w:t xml:space="preserve"> Deze definitie is</w:t>
      </w:r>
      <w:r w:rsidR="00540304">
        <w:t>,</w:t>
      </w:r>
      <w:r w:rsidRPr="00676BF6">
        <w:t xml:space="preserve"> net als de uitleg of voldaan wordt aan de eis van rechtstreekse verbondenheid</w:t>
      </w:r>
      <w:r w:rsidR="00540304">
        <w:t>,</w:t>
      </w:r>
      <w:r w:rsidRPr="00676BF6">
        <w:t xml:space="preserve"> ontleend aan de jurisprudentie.</w:t>
      </w:r>
      <w:r w:rsidRPr="00676BF6">
        <w:rPr>
          <w:rStyle w:val="Voetnootmarkering"/>
        </w:rPr>
        <w:footnoteReference w:id="33"/>
      </w:r>
      <w:r w:rsidRPr="00676BF6">
        <w:t xml:space="preserve"> Het voert echter te ver om in deze scriptie hier uitvoerig op in te gaan. Onder het begrip medegerechtigde vallen belastingplichtigen die niet als aandeelhouder participeren in een onderneming en ook niet rechtstreeks verbonden zijn met de onderneming.</w:t>
      </w:r>
      <w:r w:rsidRPr="00676BF6">
        <w:rPr>
          <w:rStyle w:val="Voetnootmarkering"/>
        </w:rPr>
        <w:footnoteReference w:id="34"/>
      </w:r>
      <w:r w:rsidRPr="00676BF6">
        <w:t xml:space="preserve"> In de praktijk is de meest voorkomende medegerechtigde de commanditaire vennoot. </w:t>
      </w:r>
    </w:p>
    <w:p w:rsidR="00FE2E3C" w:rsidRPr="00C8620B" w:rsidRDefault="00FE2E3C" w:rsidP="00F372C1">
      <w:pPr>
        <w:pStyle w:val="Scriptienormaal"/>
      </w:pPr>
      <w:r w:rsidRPr="00676BF6">
        <w:t xml:space="preserve">Een volgend vereiste voor het toepassen van de doorschuiffaciliteit voor een IB-ondernemer is dat er sprake moet zijn van een overdracht van de onderneming in de zin van het vierde of het vijfde lid van artikel 3.63, Wet IB 2001. Met de onderneming wordt hier de gehele </w:t>
      </w:r>
      <w:r w:rsidRPr="00676BF6">
        <w:lastRenderedPageBreak/>
        <w:t>onderneming bedoeld.</w:t>
      </w:r>
      <w:r w:rsidRPr="00676BF6">
        <w:rPr>
          <w:rStyle w:val="Voetnootmarkering"/>
        </w:rPr>
        <w:footnoteReference w:id="35"/>
      </w:r>
      <w:r w:rsidRPr="00676BF6">
        <w:t xml:space="preserve"> Echter</w:t>
      </w:r>
      <w:r w:rsidR="00540304">
        <w:t>,</w:t>
      </w:r>
      <w:r w:rsidRPr="00676BF6">
        <w:t xml:space="preserve"> door invoering van het derde lid is dit voor de doorschuifregeling niet van belang. Op he</w:t>
      </w:r>
      <w:r w:rsidR="00540304">
        <w:t>tgeen in de leden 3, 4 en 5 is</w:t>
      </w:r>
      <w:r w:rsidRPr="00676BF6">
        <w:t xml:space="preserve"> bepaald, kom ik later terug. Als uitzondering op de onder de faciliteit over te dragen onderneming wordt de terugkeerreserve van artikel 3.54a, Wet IB 2001 genoemd. Deze reserve kan worden gevormd wanneer een VPB-onderneming wordt omgezet in een IB-onderneming. Hiermee wordt beoogd de belastingclaim ten aanzien van de gecombineerde belastingdruk van de inkomsten- en de vennootschapsbelasting om te zetten in een gelijkwaardige belastingclaim voor enkel de inkomstenbelasting.</w:t>
      </w:r>
      <w:r w:rsidRPr="00676BF6">
        <w:rPr>
          <w:rStyle w:val="Voetnootmarkering"/>
        </w:rPr>
        <w:footnoteReference w:id="36"/>
      </w:r>
      <w:r w:rsidRPr="00676BF6">
        <w:t xml:space="preserve"> Vanwege het persoonlijke karakter van deze reserve, wordt het door de wetgever niet wenselijk geacht dat de op de reserve rustende belastingclaim naar een andere belastingplichtige wordt overgedragen.</w:t>
      </w:r>
      <w:r w:rsidRPr="00676BF6">
        <w:rPr>
          <w:rStyle w:val="Voetnootmarkering"/>
        </w:rPr>
        <w:footnoteReference w:id="37"/>
      </w:r>
    </w:p>
    <w:p w:rsidR="00FE2E3C" w:rsidRPr="00C8620B" w:rsidRDefault="00FE2E3C" w:rsidP="00A9226E">
      <w:pPr>
        <w:pStyle w:val="Scriptienormaal"/>
      </w:pPr>
      <w:r w:rsidRPr="00676BF6">
        <w:t xml:space="preserve">Het laatste vereiste dat naar voren komt in het eerste lid, is dat de overdrager en de overnemer die de onderneming voortzet </w:t>
      </w:r>
      <w:r>
        <w:t>b</w:t>
      </w:r>
      <w:r w:rsidRPr="00676BF6">
        <w:t xml:space="preserve">eiden moeten verzoeken om toepassing van de doorschuiffaciliteit. Hieruit kan, vanwege de eis ten aanzien van een voortzetter, geconcludeerd worden dat de overnemer de onderneming dient voort te zetten. </w:t>
      </w:r>
    </w:p>
    <w:p w:rsidR="00FE2E3C" w:rsidRPr="00C8620B" w:rsidRDefault="00FE2E3C" w:rsidP="00A9226E">
      <w:pPr>
        <w:pStyle w:val="Scriptienormaal"/>
      </w:pPr>
      <w:r w:rsidRPr="00676BF6">
        <w:t>Uit de parlementaire geschiedenis blijkt dat ‘</w:t>
      </w:r>
      <w:r w:rsidRPr="00676BF6">
        <w:rPr>
          <w:i/>
        </w:rPr>
        <w:t>niet aan het voortzettingsvereiste wordt voldaan indien de overdracht onderdeel uitmaakte van een geheel van rechtshandelingen gericht op de overdracht of liquidatie van de onderneming’</w:t>
      </w:r>
      <w:r w:rsidRPr="00676BF6">
        <w:t>.</w:t>
      </w:r>
      <w:r w:rsidRPr="00676BF6">
        <w:rPr>
          <w:rStyle w:val="Voetnootmarkering"/>
        </w:rPr>
        <w:footnoteReference w:id="38"/>
      </w:r>
      <w:r w:rsidRPr="00676BF6">
        <w:t xml:space="preserve"> De gestelde eis is een open eis. Hierdoor zal bij toetsing hieraan, anders dan naar de uitwerking van de rechtshandelingen, gekeken moeten worden naar het oogmerk van het geheel van rechtshandelingen. </w:t>
      </w:r>
    </w:p>
    <w:p w:rsidR="00FE2E3C" w:rsidRPr="00C8620B" w:rsidRDefault="00FE2E3C" w:rsidP="005A2120">
      <w:pPr>
        <w:pStyle w:val="Scriptienormaal"/>
      </w:pPr>
      <w:r w:rsidRPr="00676BF6">
        <w:t>Voorts is voor het verzoek tot toepassing van de faciliteit nog van belang dat deze gedaan kan worden tot het moment dat het achterwege laten hiervan onherroepelijke gevolgen heeft meegebracht.</w:t>
      </w:r>
      <w:r w:rsidRPr="00676BF6">
        <w:rPr>
          <w:rStyle w:val="Voetnootmarkering"/>
        </w:rPr>
        <w:footnoteReference w:id="39"/>
      </w:r>
    </w:p>
    <w:p w:rsidR="00FE2E3C" w:rsidRPr="00C8620B" w:rsidRDefault="00FE2E3C" w:rsidP="00F372C1">
      <w:pPr>
        <w:pStyle w:val="scriptie4"/>
      </w:pPr>
      <w:r w:rsidRPr="00676BF6">
        <w:t>Tweede lid</w:t>
      </w:r>
    </w:p>
    <w:p w:rsidR="00FE2E3C" w:rsidRPr="00C8620B" w:rsidRDefault="00FE2E3C" w:rsidP="00F372C1">
      <w:pPr>
        <w:pStyle w:val="Scriptienormaal"/>
      </w:pPr>
      <w:r w:rsidRPr="00676BF6">
        <w:t xml:space="preserve">Het tweede lid van artikel 3.63, Wet IB 2001 bestaat uit de volgende volzin. </w:t>
      </w:r>
      <w:r w:rsidRPr="00676BF6">
        <w:rPr>
          <w:i/>
        </w:rPr>
        <w:t>‘In dat geval wordt degene aan wie de onderneming is overgedragen, voor het bepalen van de winst van de onderneming geacht in de plaats te zijn getreden van degene die de onderneming heeft overgedragen’.</w:t>
      </w:r>
      <w:r w:rsidRPr="00676BF6">
        <w:t xml:space="preserve"> </w:t>
      </w:r>
    </w:p>
    <w:p w:rsidR="009B0BC2" w:rsidRPr="00C8620B" w:rsidRDefault="00FE2E3C" w:rsidP="00F372C1">
      <w:pPr>
        <w:pStyle w:val="Scriptienormaal"/>
      </w:pPr>
      <w:r w:rsidRPr="00676BF6">
        <w:lastRenderedPageBreak/>
        <w:t>Deze zin geeft ruwweg de essentie van de regeling aan. Omdat de overnemer dezelfde positie inneemt als de overdrager, blijft de belastingheffing ten aanzien van de overdracht achterwege. De uitwerking van deze regeling brengt</w:t>
      </w:r>
      <w:r w:rsidR="009B0BC2">
        <w:t xml:space="preserve"> met zich mee dat alle factoren</w:t>
      </w:r>
      <w:r w:rsidRPr="00676BF6">
        <w:t xml:space="preserve"> die van belang waren v</w:t>
      </w:r>
      <w:r w:rsidRPr="00C8620B">
        <w:t>oor</w:t>
      </w:r>
      <w:r w:rsidRPr="00676BF6">
        <w:t xml:space="preserve"> de overdrager van de onderneming, ongewijzigd overgaan op de voortzetter. Zo blijft ook de</w:t>
      </w:r>
      <w:r w:rsidR="009B0BC2">
        <w:t>,</w:t>
      </w:r>
      <w:r w:rsidRPr="00676BF6">
        <w:t xml:space="preserve"> volgens door goed koopmansgebruik te hanteren</w:t>
      </w:r>
      <w:r w:rsidR="009B0BC2">
        <w:t>,</w:t>
      </w:r>
      <w:r w:rsidRPr="00676BF6">
        <w:t xml:space="preserve"> bestendige gedragslijn toepassing vinden. Dit zorgt er bijvoorbeeld voor dat het door de doorschuivende ondernemer gekozen waarderingsstelsel met betrekking tot de activa niet zonder meer gewijzigd mag worden door de voortzetter. Ook zullen de voorschriften inzake investeringsaftrek en desinvesteringsbijtelling voor de voortzetter blijven gelden zoals deze ook op de overdrager van toepassing waren. Hetzelfde geldt hier met betrekking tot gevormde reserves en overige, al dan niet boekhoudkundige, aspecten die per ondernemer kunnen verschillen.</w:t>
      </w:r>
      <w:r w:rsidRPr="00676BF6">
        <w:rPr>
          <w:rStyle w:val="Voetnootmarkering"/>
        </w:rPr>
        <w:footnoteReference w:id="40"/>
      </w:r>
      <w:r w:rsidRPr="00676BF6">
        <w:t xml:space="preserve"> In beginsel geldt het standpunt dat de onderneming door de overdracht niet verander</w:t>
      </w:r>
      <w:r>
        <w:t>t</w:t>
      </w:r>
      <w:r w:rsidRPr="00676BF6">
        <w:t xml:space="preserve">, maar dat de ondernemer enkel een andere natuurlijk persoon betreft. </w:t>
      </w:r>
    </w:p>
    <w:p w:rsidR="00FE2E3C" w:rsidRPr="00C8620B" w:rsidRDefault="00FE2E3C" w:rsidP="00F372C1">
      <w:pPr>
        <w:pStyle w:val="scriptie4"/>
      </w:pPr>
      <w:r w:rsidRPr="00676BF6">
        <w:t>Derde lid</w:t>
      </w:r>
    </w:p>
    <w:p w:rsidR="00FE2E3C" w:rsidRPr="00C8620B" w:rsidRDefault="00FE2E3C" w:rsidP="00F372C1">
      <w:pPr>
        <w:pStyle w:val="Scriptienormaal"/>
        <w:rPr>
          <w:i/>
        </w:rPr>
      </w:pPr>
      <w:r w:rsidRPr="00676BF6">
        <w:t xml:space="preserve">Het derde lid van artikel 3.63, Wet IB 2001 bestaat uit de volgende volzin. </w:t>
      </w:r>
      <w:r w:rsidRPr="00676BF6">
        <w:rPr>
          <w:i/>
        </w:rPr>
        <w:t>‘Voor toepassing van dit artikel wordt onder overdracht van een onderneming mede begrepen de overdracht van een gedeelte van een onderneming, ongeacht of bij degene die overdraagt een eventueel niet overgedragen gedeelte van de onderneming nog een onderneming is.’</w:t>
      </w:r>
    </w:p>
    <w:p w:rsidR="00FE2E3C" w:rsidRPr="00C8620B" w:rsidRDefault="00FE2E3C" w:rsidP="00843B2E">
      <w:pPr>
        <w:pStyle w:val="Scriptienormaal"/>
      </w:pPr>
      <w:r w:rsidRPr="00676BF6">
        <w:t xml:space="preserve">Hiervoor is al aangekaart </w:t>
      </w:r>
      <w:r>
        <w:t xml:space="preserve">dat </w:t>
      </w:r>
      <w:r w:rsidRPr="00676BF6">
        <w:t>met de komst van het derde lid het niet meer noodzakelijk is om een onderneming in zijn geheel over</w:t>
      </w:r>
      <w:r>
        <w:t xml:space="preserve"> t</w:t>
      </w:r>
      <w:r w:rsidRPr="00676BF6">
        <w:t>e</w:t>
      </w:r>
      <w:r>
        <w:t xml:space="preserve"> </w:t>
      </w:r>
      <w:r w:rsidRPr="00676BF6">
        <w:t>dragen om voor de doorschuiffaciliteit in aanmerking te komen. Bij de introductie van de bepaling was de Staatssecretaris van mening dat het doorschuiven van een gedeelte van de onderneming alleen mogelijk was indien het overige deel ook zelfstandig als een onderneming kan worden aangemerkt. Echter, de Hoge Raad heeft hieromtrent anders beslist.</w:t>
      </w:r>
      <w:r w:rsidRPr="00676BF6">
        <w:rPr>
          <w:rStyle w:val="Voetnootmarkering"/>
        </w:rPr>
        <w:footnoteReference w:id="41"/>
      </w:r>
      <w:r w:rsidRPr="00676BF6">
        <w:t xml:space="preserve"> Met haar arrest van 20 februari 2009 stond de Hoge Raad toe dat een onderneming gefaciliteerd werd overgedragen met uitzondering van het bedrijfspand dat onderdeel uitmaakte van de door de overdragende ondernemer gedreven onderneming.</w:t>
      </w:r>
    </w:p>
    <w:p w:rsidR="00FE2E3C" w:rsidRPr="00C8620B" w:rsidRDefault="00FE2E3C" w:rsidP="00F372C1">
      <w:pPr>
        <w:pStyle w:val="Scriptienormaal"/>
      </w:pPr>
      <w:r w:rsidRPr="00676BF6">
        <w:t xml:space="preserve">Sinds 2005 is ook wettelijk vastgelegd dat het in deze situatie niet is vereist dat het achtergebleven deel van de onderneming ook als onderneming kan worden aangemerkt om voor de faciliteit in aanmerking te komen. In beginsel is het niet mogelijk dat de overdracht </w:t>
      </w:r>
      <w:r w:rsidRPr="00676BF6">
        <w:lastRenderedPageBreak/>
        <w:t>van de onderneming gefaseerd plaats vindt. Hier bestaat echter een uitzondering op in de situatie waarin buitenvennootschappelijk ondernemingsvermogen of voorbehouden stille reserves in samenhang met en in het kader van een overdracht van een deel van de onderneming worden overgedragen.</w:t>
      </w:r>
      <w:r w:rsidRPr="00676BF6">
        <w:rPr>
          <w:rStyle w:val="Voetnootmarkering"/>
        </w:rPr>
        <w:footnoteReference w:id="42"/>
      </w:r>
      <w:r w:rsidRPr="00676BF6">
        <w:t xml:space="preserve"> </w:t>
      </w:r>
    </w:p>
    <w:p w:rsidR="00FE2E3C" w:rsidRPr="00C8620B" w:rsidRDefault="00FE2E3C" w:rsidP="00F372C1">
      <w:pPr>
        <w:pStyle w:val="Scriptienormaal"/>
      </w:pPr>
      <w:r w:rsidRPr="00676BF6">
        <w:t>Ook is het mogelijk om bij het doorschuiven van een onderneming naar twee opvolgers gedeeltelijk af te rekenen en gedeeltelijk geruisloos door te schuiven.</w:t>
      </w:r>
      <w:r w:rsidRPr="00676BF6">
        <w:rPr>
          <w:rStyle w:val="Voetnootmarkering"/>
        </w:rPr>
        <w:footnoteReference w:id="43"/>
      </w:r>
      <w:r w:rsidRPr="00676BF6">
        <w:t xml:space="preserve"> In dat geval dient er wel sprake van te zijn dat de delen van het gesplitste overgedragen ondernemingsvermogen los van elkaar een onderneming vormen. Om te beoordelen of hier sprake van is, wordt gekeken naar de situatie bij de overdragende</w:t>
      </w:r>
      <w:r w:rsidR="00C26874">
        <w:t>,</w:t>
      </w:r>
      <w:r w:rsidRPr="00676BF6">
        <w:t xml:space="preserve"> en niet bij de voortzettende ondernemer.</w:t>
      </w:r>
      <w:r w:rsidRPr="00676BF6">
        <w:rPr>
          <w:rStyle w:val="Voetnootmarkering"/>
        </w:rPr>
        <w:footnoteReference w:id="44"/>
      </w:r>
    </w:p>
    <w:p w:rsidR="00FE2E3C" w:rsidRPr="00C8620B" w:rsidRDefault="00FE2E3C" w:rsidP="00F372C1">
      <w:pPr>
        <w:pStyle w:val="scriptie4"/>
      </w:pPr>
      <w:r w:rsidRPr="00676BF6">
        <w:t>Vierde lid</w:t>
      </w:r>
    </w:p>
    <w:p w:rsidR="00FE2E3C" w:rsidRPr="00C8620B" w:rsidRDefault="00FE2E3C" w:rsidP="00F372C1">
      <w:pPr>
        <w:pStyle w:val="Scriptienormaal"/>
      </w:pPr>
      <w:r w:rsidRPr="00676BF6">
        <w:t xml:space="preserve">In het vierde lid van artikel 3.63, </w:t>
      </w:r>
      <w:r w:rsidR="00AC271E">
        <w:t xml:space="preserve">Wet </w:t>
      </w:r>
      <w:r w:rsidRPr="00676BF6">
        <w:t>IB 2001 staat de volgende volzin: ‘</w:t>
      </w:r>
      <w:r w:rsidRPr="00676BF6">
        <w:rPr>
          <w:i/>
        </w:rPr>
        <w:t>Het eerste lid is slechts van toepassing indien de over te dragen onderneming gedurende de 36 maanden die onmiddellijk voorafgaan aan het tijdstip van de overdracht deel uitmaakte van een samenwerkingsverband met degene die de onderneming gaat voortzetten en degene die voortzet met betrekking tot dat samenwerkingsverband gedurende die 36 maanden als ondernemer winst heeft genoten</w:t>
      </w:r>
      <w:r w:rsidRPr="00676BF6">
        <w:t>’.</w:t>
      </w:r>
    </w:p>
    <w:p w:rsidR="00FE2E3C" w:rsidRPr="00C8620B" w:rsidRDefault="00FE2E3C" w:rsidP="00F372C1">
      <w:pPr>
        <w:pStyle w:val="Scriptienormaal"/>
      </w:pPr>
      <w:r w:rsidRPr="00676BF6">
        <w:t xml:space="preserve">Zoals ook in het eerste lid verwezen wordt naar het vierde lid, wordt hierin ook weer terug verwezen. De bepaling geeft aan dat het eerste lid van toepassing is wanneer voldaan wordt aan de eis van samenwerking. </w:t>
      </w:r>
    </w:p>
    <w:p w:rsidR="00FE2E3C" w:rsidRPr="00C8620B" w:rsidRDefault="00FE2E3C" w:rsidP="00076859">
      <w:pPr>
        <w:pStyle w:val="Scriptienormaal"/>
      </w:pPr>
      <w:r w:rsidRPr="00676BF6">
        <w:t xml:space="preserve">Ten eerste moet er sprake van zijn dat de voortzettende ondernemer als ondernemer een samenwerkingsverband is aangegaan met de overdragende ondernemer om de doorschuiffaciliteit toe te kunnen passen. Als samenwerkingsverband kan hier gedacht worden aan een maatschap, vennootschap onder firma of een commanditaire vennootschap. Hierbij kan worden opgemerkt dat de faciliteit ook kan worden toegepast wanneer de overdragende partij als medegerechtigde en de voortzettende partij als ondernemer wordt aangemerkt. Andersom is dit niet mogelijk. Verder dient voor een gefaciliteerde overdracht de over te dragen onderneming deel </w:t>
      </w:r>
      <w:r>
        <w:t>te</w:t>
      </w:r>
      <w:r w:rsidRPr="00676BF6">
        <w:t xml:space="preserve"> hebben </w:t>
      </w:r>
      <w:r>
        <w:t>uit</w:t>
      </w:r>
      <w:r w:rsidRPr="00676BF6">
        <w:t xml:space="preserve">gemaakt van het samenwerkingsverband tussen de overdrager en de voortzetter. </w:t>
      </w:r>
    </w:p>
    <w:p w:rsidR="00FE2E3C" w:rsidRPr="00C8620B" w:rsidRDefault="00FE2E3C" w:rsidP="00F372C1">
      <w:pPr>
        <w:pStyle w:val="Scriptienormaal"/>
      </w:pPr>
      <w:r w:rsidRPr="00676BF6">
        <w:lastRenderedPageBreak/>
        <w:t xml:space="preserve">Een volgende eis bepaalt dat voor toepassing van de faciliteit het samenwerkingsverband tussen de overdragende en de voortzettende onderneming minimaal drie jaar moet hebben geduurd. Echter, hier is door de wetgever een uitzondering op gemaakt. Indien de voortzettende ondernemer voorafgaand aan het aangaan van het samenwerkingsverband in loondienst is geweest bij de over te dragen onderneming, dan valt deze periode ook onder </w:t>
      </w:r>
      <w:r>
        <w:t>de</w:t>
      </w:r>
      <w:r w:rsidRPr="00676BF6">
        <w:t xml:space="preserve"> gestelde termijn van drie jaar.</w:t>
      </w:r>
      <w:r w:rsidRPr="00676BF6">
        <w:rPr>
          <w:rStyle w:val="Voetnootmarkering"/>
        </w:rPr>
        <w:footnoteReference w:id="45"/>
      </w:r>
      <w:r w:rsidRPr="00676BF6">
        <w:t xml:space="preserve"> </w:t>
      </w:r>
    </w:p>
    <w:p w:rsidR="00FE2E3C" w:rsidRPr="00C8620B" w:rsidRDefault="00FE2E3C" w:rsidP="00F372C1">
      <w:pPr>
        <w:pStyle w:val="scriptie4"/>
      </w:pPr>
      <w:r w:rsidRPr="00676BF6">
        <w:t>Vijfde lid</w:t>
      </w:r>
    </w:p>
    <w:p w:rsidR="00FE2E3C" w:rsidRPr="00C8620B" w:rsidRDefault="00FE2E3C" w:rsidP="00F372C1">
      <w:pPr>
        <w:pStyle w:val="Scriptienormaal"/>
      </w:pPr>
      <w:r w:rsidRPr="00676BF6">
        <w:t xml:space="preserve">Het vijfde lid van artikel 3.63, </w:t>
      </w:r>
      <w:r w:rsidR="00AC271E">
        <w:t xml:space="preserve">Wet </w:t>
      </w:r>
      <w:r w:rsidRPr="00676BF6">
        <w:t>IB 2001 bestaat uit de volgende volzin:</w:t>
      </w:r>
      <w:r w:rsidRPr="00676BF6">
        <w:rPr>
          <w:i/>
        </w:rPr>
        <w:t>’Het eerste lid is voorts slechts van toepassing indien de onderneming wordt overgedragen aan een natuurlijk persoon die gedurende de 36 maanden die onmiddellijk voorafgaand aan het tijdstip van de overdracht als werknemer in die onderneming werkzaam is geweest’</w:t>
      </w:r>
      <w:r w:rsidRPr="00676BF6">
        <w:t>.</w:t>
      </w:r>
    </w:p>
    <w:p w:rsidR="00FE2E3C" w:rsidRPr="00C8620B" w:rsidRDefault="00FE2E3C" w:rsidP="00F372C1">
      <w:pPr>
        <w:pStyle w:val="Scriptienormaal"/>
      </w:pPr>
      <w:r w:rsidRPr="00676BF6">
        <w:t>Voorgaande eis heeft veel gelijkenis met het vierde lid. Ook hier wordt aangegeven onder welke voorwaarde het eerste lid van toepassing is zodat gebruik kan worden gemaakt van de doorschuiffaciliteit. Indien niet wordt voldaan aan het vierde lid</w:t>
      </w:r>
      <w:r w:rsidR="00C26874">
        <w:t>,</w:t>
      </w:r>
      <w:r w:rsidRPr="00676BF6">
        <w:t xml:space="preserve"> kan ook worden voldaan aan het vijfde lid om ervoor te zorgen dat de doorschuiffaciliteit alsnog van toepassing kan zijn. </w:t>
      </w:r>
    </w:p>
    <w:p w:rsidR="00FE2E3C" w:rsidRPr="00C8620B" w:rsidRDefault="00FE2E3C" w:rsidP="00F372C1">
      <w:pPr>
        <w:pStyle w:val="Scriptienormaal"/>
      </w:pPr>
      <w:r w:rsidRPr="00676BF6">
        <w:t>Ten eerste dient de overnemende natuurlijk persoon voorafgaand aan het overdrachtstijdstip werkzaam te zijn geweest bij de onderneming die wordt overgedragen. Bij het beoordelen of iemand werknemer is, wordt aangesloten bij het werknemersbegrip van de loonbelasting.</w:t>
      </w:r>
      <w:r w:rsidRPr="00676BF6">
        <w:rPr>
          <w:rStyle w:val="Voetnootmarkering"/>
        </w:rPr>
        <w:footnoteReference w:id="46"/>
      </w:r>
      <w:r w:rsidRPr="00676BF6">
        <w:t xml:space="preserve"> Aansluitend worden geen nadere eisen gesteld omtrent de functie of het aantal uren dat de overnemer werkzaam is geweest. Het verrichten van arbeid is hier ook niet in alle gevallen verplicht waardoor de overnemende ondernemer ten tijde van, al dan niet onbetaald, verlof de kwalificatie van werknemer niet verliest.</w:t>
      </w:r>
      <w:r w:rsidRPr="00676BF6">
        <w:rPr>
          <w:rStyle w:val="Voetnootmarkering"/>
        </w:rPr>
        <w:footnoteReference w:id="47"/>
      </w:r>
    </w:p>
    <w:p w:rsidR="00FE2E3C" w:rsidRPr="00C8620B" w:rsidRDefault="00FE2E3C" w:rsidP="008F7508">
      <w:pPr>
        <w:pStyle w:val="Scriptienormaal"/>
      </w:pPr>
      <w:r w:rsidRPr="00676BF6">
        <w:t xml:space="preserve">Net als bij het vierde lid wordt ook hier een termijn gesteld van drie jaar. Ook ten aanzien van deze termijn heeft de wetgever uitzonderende bepalingen opgenomen. Hiervoor is al opgemerkt dat wanneer het werknemerschap opgevolgd wordt door ondernemerschap, zoals genoemd in het vierde lid, beide perioden meetellen voor toepassing van de 36-maandeneis. Verder wordt een uitzondering gemaakt indien er geen formeel dienstverband bestaat bij de over te dragen onderneming zelf, maar wel bij een onderneming die tot hetzelfde concern behoort. Tevens moeten in dit geval de feitelijke werkzaamheden bij deze laatst genoemde </w:t>
      </w:r>
      <w:r w:rsidRPr="00676BF6">
        <w:lastRenderedPageBreak/>
        <w:t>onderneming plaatsvinden.</w:t>
      </w:r>
      <w:r w:rsidRPr="00676BF6">
        <w:rPr>
          <w:rStyle w:val="Voetnootmarkering"/>
        </w:rPr>
        <w:footnoteReference w:id="48"/>
      </w:r>
      <w:r w:rsidRPr="00676BF6">
        <w:t xml:space="preserve"> Vervolgens staat de wetgever ook toe dat wanneer </w:t>
      </w:r>
      <w:r w:rsidR="00C26874">
        <w:t xml:space="preserve">er </w:t>
      </w:r>
      <w:r w:rsidRPr="00676BF6">
        <w:t>sprake is van seizoensgebonden dienstverband, de periode waarin de werkzaamheden zijn uitgevoerd niet aaneengesloten hoeft te zijn. Daarbij geldt wel de voorwaarde dat de totale periode waarin werkzaamheden worden uitgevoerd 36 maanden moet bestrijken.</w:t>
      </w:r>
      <w:r w:rsidRPr="00676BF6">
        <w:rPr>
          <w:rStyle w:val="Voetnootmarkering"/>
        </w:rPr>
        <w:footnoteReference w:id="49"/>
      </w:r>
    </w:p>
    <w:p w:rsidR="00FE2E3C" w:rsidRPr="00C8620B" w:rsidRDefault="00FE2E3C" w:rsidP="00F372C1">
      <w:pPr>
        <w:pStyle w:val="scriptie4"/>
      </w:pPr>
      <w:r w:rsidRPr="00676BF6">
        <w:t>Zesde lid</w:t>
      </w:r>
    </w:p>
    <w:p w:rsidR="00FE2E3C" w:rsidRPr="00C8620B" w:rsidRDefault="00FE2E3C" w:rsidP="00F372C1">
      <w:pPr>
        <w:pStyle w:val="Scriptienormaal"/>
      </w:pPr>
      <w:r w:rsidRPr="00676BF6">
        <w:t xml:space="preserve">Het zesde lid van artikel 3.63, </w:t>
      </w:r>
      <w:r w:rsidR="00AC271E">
        <w:t xml:space="preserve">Wet </w:t>
      </w:r>
      <w:r w:rsidRPr="00676BF6">
        <w:t>IB 2001 bestaat uit de volgende volzin:’</w:t>
      </w:r>
      <w:r w:rsidRPr="00676BF6">
        <w:rPr>
          <w:i/>
        </w:rPr>
        <w:t>Bij ministeriële regeling kan onder nader te stellen voorwaarden worden bepaald dat in bij die regeling te bepalen gevallen de in het vierde lid en vijfde lid bedoelde termijn tot een bij die regeling te bepalen periode wordt verkort</w:t>
      </w:r>
      <w:r w:rsidRPr="00676BF6">
        <w:t>’.</w:t>
      </w:r>
    </w:p>
    <w:p w:rsidR="00FE2E3C" w:rsidRPr="00C8620B" w:rsidRDefault="00FE2E3C" w:rsidP="00F372C1">
      <w:pPr>
        <w:pStyle w:val="Scriptienormaal"/>
      </w:pPr>
      <w:r w:rsidRPr="00676BF6">
        <w:t xml:space="preserve">In het voorgaande lid wordt verwezen naar aanvullende uitzonderingsbepalingen op de gestelde 3-jaarseis in het vierde en het vijfde lid. Deze uitzonderingen zijn beschreven in artikel 13a van de Uitvoeringsregeling, IB 2001. Hierin wordt aangegeven dat de termijn van 36 maanden kan worden verkort indien na het aangaan van het ondernemingsverband of de dienstbetrekking van de voortzettende ondernemer, bij de overdragende ondernemer sprake is van een verklaring van faillissement, een aanvraag van surséance van betaling, het instellen van curatele of overlijden. Ook geldt de termijnverkorting indien voor het aangaan van het samenwerkingsverband of de dienstbetrekking </w:t>
      </w:r>
      <w:r w:rsidR="00AC271E">
        <w:t>blijkt</w:t>
      </w:r>
      <w:r w:rsidRPr="00676BF6">
        <w:t xml:space="preserve"> dat de voortzettende ondernemer de partner van de overdrager is, en deze relatie tijdens het termijn is verbroken.</w:t>
      </w:r>
    </w:p>
    <w:p w:rsidR="00FE2E3C" w:rsidRPr="00C8620B" w:rsidRDefault="00FE2E3C" w:rsidP="00F372C1">
      <w:pPr>
        <w:pStyle w:val="scriptie4"/>
      </w:pPr>
      <w:r w:rsidRPr="00676BF6">
        <w:t>Zevende lid</w:t>
      </w:r>
    </w:p>
    <w:p w:rsidR="00FE2E3C" w:rsidRPr="00C8620B" w:rsidRDefault="00FE2E3C" w:rsidP="00F372C1">
      <w:pPr>
        <w:pStyle w:val="Scriptienormaal"/>
      </w:pPr>
      <w:r w:rsidRPr="00676BF6">
        <w:t>Het zevende en laatste lid van artikel 3.63,</w:t>
      </w:r>
      <w:r w:rsidR="00AC271E">
        <w:t xml:space="preserve"> Wet</w:t>
      </w:r>
      <w:r w:rsidRPr="00676BF6">
        <w:t xml:space="preserve"> IB 2001 luidt:</w:t>
      </w:r>
      <w:r w:rsidRPr="00676BF6">
        <w:rPr>
          <w:i/>
        </w:rPr>
        <w:t>’Het eerste en tweede lid zijn van overeenkomstige toepassing op de oudedagsreserve voor zover deze overgaat op de partner en niet uitgaat boven het ondernemingsvermogen -in de zin van artikel 3.71- waarmee deze de onderneming voortzet of mede voortzet’</w:t>
      </w:r>
      <w:r w:rsidRPr="00676BF6">
        <w:t>.</w:t>
      </w:r>
    </w:p>
    <w:p w:rsidR="00FE2E3C" w:rsidRPr="00C8620B" w:rsidRDefault="00FE2E3C" w:rsidP="00F372C1">
      <w:pPr>
        <w:pStyle w:val="Scriptienormaal"/>
      </w:pPr>
      <w:r w:rsidRPr="00676BF6">
        <w:t xml:space="preserve">Het voorgaande lid bepaalt dat de oudedagsreserve niet over kan gaan naar de voortzettende ondernemer tenzij deze </w:t>
      </w:r>
      <w:r w:rsidR="00AC271E">
        <w:t xml:space="preserve">persoon </w:t>
      </w:r>
      <w:r w:rsidRPr="00676BF6">
        <w:t xml:space="preserve">de partner van de overdragende ondernemer is. Voor de te hanteren definitie van partner wordt het partnerbegrip uit artikel 1.2, Wet IB 2001 aangehouden. </w:t>
      </w:r>
    </w:p>
    <w:p w:rsidR="00FE2E3C" w:rsidRPr="00C8620B" w:rsidRDefault="00FE2E3C" w:rsidP="00F372C1">
      <w:pPr>
        <w:pStyle w:val="Scriptienormaal"/>
      </w:pPr>
      <w:r w:rsidRPr="00676BF6">
        <w:t xml:space="preserve">Voorts wordt het geruisloos doorschuiven van de oudedagsreserve naar de partner beperkt tot het gedeelte dat niet boven het ondernemingsvermogen uitkomt. Voor het bepalen van het </w:t>
      </w:r>
      <w:r w:rsidRPr="00676BF6">
        <w:lastRenderedPageBreak/>
        <w:t xml:space="preserve">ondernemingsvermogen dient gekeken te worden naar de bepaling van artikel 3.71, Wet IB 2001. Het betreft hier de boekwaarde van het vermogen van de onderneming verminderd met de fiscale reserves (niet de oudedagsreserve) uit artikel 3.53, Wet IB 2001. Tevens moeten de terugkeerreserve en </w:t>
      </w:r>
      <w:r w:rsidR="00AC271E">
        <w:t xml:space="preserve">het </w:t>
      </w:r>
      <w:r w:rsidRPr="00676BF6">
        <w:t>vermogen waarop een regeling ter voorkoming van dubbele belasting van toepassing is</w:t>
      </w:r>
      <w:r w:rsidR="00AC271E">
        <w:t>,</w:t>
      </w:r>
      <w:r w:rsidRPr="00676BF6">
        <w:t xml:space="preserve"> geëlimineerd worden. </w:t>
      </w:r>
    </w:p>
    <w:p w:rsidR="00FE2E3C" w:rsidRPr="00676BF6" w:rsidRDefault="00FE2E3C" w:rsidP="00F372C1">
      <w:pPr>
        <w:pStyle w:val="Scriptie3"/>
        <w:numPr>
          <w:ilvl w:val="2"/>
          <w:numId w:val="10"/>
        </w:numPr>
      </w:pPr>
      <w:bookmarkStart w:id="21" w:name="_Toc287953657"/>
      <w:bookmarkStart w:id="22" w:name="_Toc300055407"/>
      <w:r w:rsidRPr="00676BF6">
        <w:t>Faciliteit voor de VPB-onderneming</w:t>
      </w:r>
      <w:bookmarkEnd w:id="21"/>
      <w:bookmarkEnd w:id="22"/>
    </w:p>
    <w:p w:rsidR="00FE2E3C" w:rsidRPr="00C8620B" w:rsidRDefault="00FE2E3C" w:rsidP="00F372C1">
      <w:pPr>
        <w:pStyle w:val="Scriptienormaal"/>
      </w:pPr>
      <w:r w:rsidRPr="00676BF6">
        <w:t>De doorschuiffaciliteit voor de VPB-onderneming komt voort uit artikel 4.17c, Wet IB 2001. Dit artikel is in de Wet</w:t>
      </w:r>
      <w:r w:rsidR="00AC271E">
        <w:t xml:space="preserve"> IB 2001</w:t>
      </w:r>
      <w:r w:rsidRPr="00676BF6">
        <w:t xml:space="preserve"> geplaatst onder de paragraaf </w:t>
      </w:r>
      <w:r w:rsidR="00AC271E">
        <w:t>‘</w:t>
      </w:r>
      <w:r w:rsidRPr="00676BF6">
        <w:t>vervreemdingsvoordelen</w:t>
      </w:r>
      <w:r w:rsidR="00AC271E">
        <w:t>’</w:t>
      </w:r>
      <w:r w:rsidRPr="00676BF6">
        <w:t xml:space="preserve">, en ingedeeld bij de heffingsgrondslag van het aanmerkelijk belang. In beknopte zin wordt met het artikel en daarmee ook </w:t>
      </w:r>
      <w:r w:rsidR="00AC271E">
        <w:t xml:space="preserve">met </w:t>
      </w:r>
      <w:r w:rsidRPr="00676BF6">
        <w:t>de faciliteit bewerkstelligd dat een aanmerkelijk belang bij schenking geruisloos kan worden doorgeschoven.</w:t>
      </w:r>
    </w:p>
    <w:p w:rsidR="00FE2E3C" w:rsidRPr="00C8620B" w:rsidRDefault="00FE2E3C" w:rsidP="00F372C1">
      <w:pPr>
        <w:pStyle w:val="scriptie4"/>
      </w:pPr>
      <w:r w:rsidRPr="00676BF6">
        <w:t>Eerste lid</w:t>
      </w:r>
    </w:p>
    <w:p w:rsidR="00FE2E3C" w:rsidRPr="00C8620B" w:rsidRDefault="00FE2E3C" w:rsidP="00F372C1">
      <w:pPr>
        <w:pStyle w:val="Scriptienormaal"/>
      </w:pPr>
      <w:r w:rsidRPr="00676BF6">
        <w:t>Het eerste lid van artikel 4.17c, Wet IB 2001 bestaat uit verschillende onderdelen waarvan het eerste gedeelte als volgt luidt: ’</w:t>
      </w:r>
      <w:r w:rsidRPr="00676BF6">
        <w:rPr>
          <w:i/>
        </w:rPr>
        <w:t>De overdracht tijdens het leven waarbij artikel 4.22 toepassing vindt, wordt op verzoek van de gezamenlijke belanghebbenden niet als vervreemding aangemerkt voor het in het tweede lid omschreven deel van de overdrachtsprijs, indien</w:t>
      </w:r>
      <w:r w:rsidRPr="00676BF6">
        <w:t>:’.</w:t>
      </w:r>
    </w:p>
    <w:p w:rsidR="00FE2E3C" w:rsidRPr="00C8620B" w:rsidRDefault="00FE2E3C" w:rsidP="00F372C1">
      <w:pPr>
        <w:pStyle w:val="Scriptienormaal"/>
      </w:pPr>
      <w:r w:rsidRPr="00676BF6">
        <w:t xml:space="preserve">Als eerste komt in deze wettekst naar voren dat de doorschuiffaciliteit betrekking heeft op een overdracht van een aanmerkelijk belang waarbij sprake is van de toepassing van artikel 4.22, Wet IB 2001. Indien een aanmerkelijk belang wordt overgedragen zal ten aanzien hiervan volgens artikel 4.19, Wet IB 2001 het vervreemdingsvoordeel worden bepaald. Vervolgens wordt door artikel 4.20, Wet IB 2001 bepaald dat als overdrachtsprijs de tegenprestatie wordt aangemerkt. Artikel 4.22, Wet IB 2001 geeft hierbij aan dat wanneer bij de overdracht een lagere tegenprestatie gehanteerd wordt dan in het economische verkeer gebruikelijk is, deze wordt gesteld op de waarde in het economische verkeer van het overgedragen aanmerkelijk belang. Dit artikel zal dus in werking treden wanneer een aanmerkelijk belang, al dan niet gedeeltelijk, wordt geschonken. </w:t>
      </w:r>
    </w:p>
    <w:p w:rsidR="00FE2E3C" w:rsidRPr="00C8620B" w:rsidRDefault="00FE2E3C" w:rsidP="00F372C1">
      <w:pPr>
        <w:pStyle w:val="Scriptienormaal"/>
      </w:pPr>
      <w:r w:rsidRPr="00676BF6">
        <w:t xml:space="preserve">Vervolgens is bepaald dat in de voorgaande situatie een deel van de waarde van het overgedragen aanmerkelijk belang niet als vervreemding kan worden aangemerkt waardoor ten aanzien hiervan geen vervreemdingsvoordeel kan worden behaald. Om hiervoor in </w:t>
      </w:r>
      <w:r w:rsidRPr="00676BF6">
        <w:lastRenderedPageBreak/>
        <w:t>aanmerking te komen moet aan bepaalde voorwaarden worden voldaan. Deze voorwaarden staan genoemd in de onderdelen a tot en met d van het eerste lid.</w:t>
      </w:r>
    </w:p>
    <w:p w:rsidR="00FE2E3C" w:rsidRPr="00C8620B" w:rsidRDefault="00FE2E3C" w:rsidP="00F372C1">
      <w:pPr>
        <w:pStyle w:val="Scriptienormaal"/>
      </w:pPr>
      <w:r w:rsidRPr="00676BF6">
        <w:t>Ten eerste geldt de faciliteit indien ‘</w:t>
      </w:r>
      <w:r w:rsidRPr="00676BF6">
        <w:rPr>
          <w:i/>
        </w:rPr>
        <w:t>de vennootschap waarop de aandelen of winstbewijzen betrekking hebben, een onderneming als bedoeld in artikel 3.2 drijft, of een medegerechtigdheid als bedoeld in artikel 3.3, eerste lid, onderdeel a, houdt</w:t>
      </w:r>
      <w:r w:rsidRPr="00676BF6">
        <w:t>’.</w:t>
      </w:r>
    </w:p>
    <w:p w:rsidR="00FE2E3C" w:rsidRPr="00C8620B" w:rsidRDefault="00FE2E3C" w:rsidP="00F372C1">
      <w:pPr>
        <w:pStyle w:val="Scriptienormaal"/>
      </w:pPr>
      <w:r w:rsidRPr="00676BF6">
        <w:t>Voor een korte beschrijving van een onderneming en een medegerechtigheid volgens artikel 3.2 respectievelijk 3.3, Wet IB 2001 verwijs ik naar paragraaf 3.2.1 bij hetgeen ik heb besproken ten aanzien van het eerste lid van artikel 3.63, Wet IB 2001.</w:t>
      </w:r>
    </w:p>
    <w:p w:rsidR="00FE2E3C" w:rsidRPr="00C8620B" w:rsidRDefault="00FE2E3C" w:rsidP="00F372C1">
      <w:pPr>
        <w:pStyle w:val="Scriptienormaal"/>
      </w:pPr>
      <w:r w:rsidRPr="00676BF6">
        <w:t>De tweede voorwaarde, onder onderdeel b genoemd, houdt in dat ‘</w:t>
      </w:r>
      <w:r w:rsidRPr="00676BF6">
        <w:rPr>
          <w:i/>
        </w:rPr>
        <w:t>de aandelen of winstbewijzen bij de vervreemder niet tot een aanmerkelijk belang op grond van artikel 4.10 behoren</w:t>
      </w:r>
      <w:r w:rsidRPr="00676BF6">
        <w:t>’.</w:t>
      </w:r>
    </w:p>
    <w:p w:rsidR="00FE2E3C" w:rsidRPr="00C8620B" w:rsidRDefault="00FE2E3C" w:rsidP="00F372C1">
      <w:pPr>
        <w:pStyle w:val="Scriptienormaal"/>
      </w:pPr>
      <w:r w:rsidRPr="00676BF6">
        <w:t>De verwijzing naar artikel 4.10, Wet IB 2001 heeft betrekking op de aldaar genoemde meetrekregeling. Hiermee wordt wettelijk geregeld dat de belastingplichtige een aanmerkelijk belang heeft wanneer een belang van minder dan 5% gehouden wordt in een vennootschap en diens partner, aanverwanten in rechte lijn of de partner van deze aanverwanten een belang van meer dan 5% houdt in deze vennootschap (hierna:</w:t>
      </w:r>
      <w:r w:rsidR="00980402">
        <w:t xml:space="preserve"> “</w:t>
      </w:r>
      <w:r w:rsidRPr="00676BF6">
        <w:t xml:space="preserve">meetrek-aanmerkelijk belang”). Derhalve kan de VPB-faciliteit niet worden toegepast indien een aanmerkelijk belang wordt overgedragen dat </w:t>
      </w:r>
      <w:r>
        <w:t>slechts</w:t>
      </w:r>
      <w:r w:rsidRPr="00676BF6">
        <w:t xml:space="preserve"> door toepassing van de meetrekregeling als een aanmerkelijk belang wordt aangemerkt.</w:t>
      </w:r>
    </w:p>
    <w:p w:rsidR="00FE2E3C" w:rsidRPr="00C8620B" w:rsidRDefault="00FE2E3C" w:rsidP="00F372C1">
      <w:pPr>
        <w:pStyle w:val="Scriptienormaal"/>
      </w:pPr>
      <w:r w:rsidRPr="00676BF6">
        <w:t>Een volgende vereiste voor toepassing van het eerste lid van artikel 4.17c, Wet IB 2001 is dat ‘</w:t>
      </w:r>
      <w:r w:rsidRPr="00676BF6">
        <w:rPr>
          <w:i/>
        </w:rPr>
        <w:t>de verkrijger binnenlands belastingplichtige is en de verkregen aandelen of winstbewijzen geen deel uitmaken van het vermogen van een voor zijn rekening gedreven onderneming en niet tot het resultaat uit een werkzaamheid van hem behoren</w:t>
      </w:r>
      <w:r w:rsidRPr="00676BF6">
        <w:t xml:space="preserve">’. </w:t>
      </w:r>
    </w:p>
    <w:p w:rsidR="00FE2E3C" w:rsidRPr="00C8620B" w:rsidRDefault="00FE2E3C" w:rsidP="00F372C1">
      <w:pPr>
        <w:pStyle w:val="Scriptienormaal"/>
      </w:pPr>
      <w:r w:rsidRPr="00676BF6">
        <w:t xml:space="preserve">De bovenstaande bepaling geeft aan dat de doorschuiffaciliteit alleen toegepast kan worden wanneer de verkrijgende VPB-ondernemer binnenlands belastingplichtig is. Echter, indien dit niet het geval is, zal niet direct hoeven te worden afgerekend. Zo zal door toepassing van het zevende lid van artikel 2.8, Wet IB 2001 te conserveren inkomen in acht worden genomen. Vervolgens kan tien jaar uitstel worden verleend op grond van het achtste lid van artikel 25, Invorderingswet 1990. Tevens is in de voorgaande wettekst bepaald dat het door te schuiven </w:t>
      </w:r>
      <w:r w:rsidRPr="00676BF6">
        <w:lastRenderedPageBreak/>
        <w:t>aanmerkelijk belang bij de overdrager in box 2 behoort en geen onderdeel uitmaakt van een IB-onderneming.</w:t>
      </w:r>
    </w:p>
    <w:p w:rsidR="00FE2E3C" w:rsidRPr="00C8620B" w:rsidRDefault="00FE2E3C" w:rsidP="00F372C1">
      <w:pPr>
        <w:pStyle w:val="Scriptienormaal"/>
      </w:pPr>
      <w:r w:rsidRPr="00676BF6">
        <w:t>Vervolgens geeft onderdeel d, het laatste onderdeel van het eerste lid, aan dat de doorschuiffaciliteit alleen toegepast kan worden indien ‘</w:t>
      </w:r>
      <w:r w:rsidRPr="00676BF6">
        <w:rPr>
          <w:i/>
        </w:rPr>
        <w:t>de verkrijger reeds gedurende 36 maanden die onmiddellijk voorafgaan aan het tijdstip van de vervreemding in dienstbetrekking is van de vennootschap waarop de aandelen of winstbewijzen betrekking hebben</w:t>
      </w:r>
      <w:r w:rsidRPr="00676BF6">
        <w:t xml:space="preserve">’. </w:t>
      </w:r>
    </w:p>
    <w:p w:rsidR="00FE2E3C" w:rsidRPr="00C8620B" w:rsidRDefault="00FE2E3C" w:rsidP="00F372C1">
      <w:pPr>
        <w:pStyle w:val="Scriptienormaal"/>
      </w:pPr>
      <w:r w:rsidRPr="00C8620B">
        <w:t xml:space="preserve">Blijkens </w:t>
      </w:r>
      <w:r w:rsidRPr="00676BF6">
        <w:t>de parlementaire geschiedenis is nadrukkelijk verwezen naar artikel 3.63, Wet IB 2001.</w:t>
      </w:r>
      <w:r w:rsidRPr="00676BF6">
        <w:rPr>
          <w:rStyle w:val="Voetnootmarkering"/>
        </w:rPr>
        <w:footnoteReference w:id="50"/>
      </w:r>
      <w:r w:rsidRPr="00676BF6">
        <w:t xml:space="preserve"> In het vierde lid van dit artikel is onder andere ook de eis gesteld dat de overnemende partij in dienstbetrekking is van de over te dragen onderneming. Ten aanzien van de eis zoals deze is gesteld in de voorgenoemde wettekst ben ik dan ook van mening dat aangesloten kan worden bij de uitwerking van het vergelijkbare onderdeel van artikel 3.63, Wet IB 2001. Voor een toelichting hierop verwijs ik naar hetgeen ik bij het vierde lid van artikel 3.63, Wet IB 2001</w:t>
      </w:r>
      <w:r w:rsidR="00833053">
        <w:t xml:space="preserve"> heb toegelicht in paragraaf 3.1</w:t>
      </w:r>
      <w:r w:rsidRPr="00676BF6">
        <w:t>.1.</w:t>
      </w:r>
    </w:p>
    <w:p w:rsidR="00FE2E3C" w:rsidRPr="00C8620B" w:rsidRDefault="00FE2E3C" w:rsidP="00F372C1">
      <w:pPr>
        <w:pStyle w:val="scriptie4"/>
      </w:pPr>
      <w:r w:rsidRPr="00676BF6">
        <w:t>Tweede lid</w:t>
      </w:r>
    </w:p>
    <w:p w:rsidR="00FE2E3C" w:rsidRPr="00C8620B" w:rsidRDefault="00FE2E3C" w:rsidP="00F372C1">
      <w:pPr>
        <w:pStyle w:val="Scriptienormaal"/>
      </w:pPr>
      <w:r w:rsidRPr="00676BF6">
        <w:t>Het tweede lid van artikel 4.17c, Wet IB 2001 bestaat uit de volgende volzin: ’</w:t>
      </w:r>
      <w:r w:rsidRPr="00676BF6">
        <w:rPr>
          <w:i/>
        </w:rPr>
        <w:t>Indien het eerste lid toepassing vindt, wordt niet als vervreemding aangemerkt het deel van de overdrachtsprijs dat toerekenbaar is aan het ondernemingsvermogen van de vennootschap waarop de aandelen of winstbewijzen betrekking hebben, doch nooit meer dan de overdrachtsprijs verminderd met de tegenprestatie</w:t>
      </w:r>
      <w:r w:rsidRPr="00676BF6">
        <w:t xml:space="preserve">’. </w:t>
      </w:r>
    </w:p>
    <w:p w:rsidR="00FE2E3C" w:rsidRPr="00C8620B" w:rsidRDefault="00FE2E3C" w:rsidP="00F372C1">
      <w:pPr>
        <w:pStyle w:val="Scriptienormaal"/>
      </w:pPr>
      <w:r w:rsidRPr="00676BF6">
        <w:t xml:space="preserve">In het hiervoor genoemde tweede lid staat weergegeven op welk gedeelte van de overdrachtsprijs de vrijstelling, zoals benoemd in het eerste lid, betrekking heeft. Zo kan de vervreemding van beleggingsvermogen niet onder de faciliteit vallen waardoor alleen het gedeelte van de materiële onderneming niet als vervreemding kan worden aangemerkt. Vervolgens wordt hooguit het verschil tussen de waarde in het economische verkeer van het aanmerkelijk belang minus hetgeen daadwerkelijk als tegenprestatie is geleverd voor de faciliteit in aanmerking genomen. Voor het gedeelte waarover afgerekend dient te worden moet een verkrijgingsprijs in acht worden genomen. Deze hoeft niet evenredig </w:t>
      </w:r>
      <w:r>
        <w:t xml:space="preserve">te </w:t>
      </w:r>
      <w:r w:rsidRPr="00676BF6">
        <w:t>worden bepaald maar kan naar wens van de overdrager worden toegerekend</w:t>
      </w:r>
      <w:r w:rsidR="00980402">
        <w:t>,</w:t>
      </w:r>
      <w:r w:rsidRPr="00676BF6">
        <w:t xml:space="preserve"> mits deze niet hoger is </w:t>
      </w:r>
      <w:r w:rsidRPr="00676BF6">
        <w:lastRenderedPageBreak/>
        <w:t>dan de betreffende overdrachtsprijs. Het gedeelte van de verkrijgingsprijs dat bij de overdragende partij niet is meegenomen wordt meegegeven aan de verkrijgende partij.</w:t>
      </w:r>
      <w:r w:rsidRPr="00676BF6">
        <w:rPr>
          <w:rStyle w:val="Voetnootmarkering"/>
        </w:rPr>
        <w:footnoteReference w:id="51"/>
      </w:r>
    </w:p>
    <w:p w:rsidR="00FE2E3C" w:rsidRPr="00C8620B" w:rsidRDefault="00FE2E3C" w:rsidP="00980402">
      <w:pPr>
        <w:pStyle w:val="scriptie4"/>
      </w:pPr>
      <w:r w:rsidRPr="00676BF6">
        <w:t>Derde lid</w:t>
      </w:r>
    </w:p>
    <w:p w:rsidR="00FE2E3C" w:rsidRPr="00C8620B" w:rsidRDefault="00FE2E3C" w:rsidP="00F372C1">
      <w:pPr>
        <w:pStyle w:val="Scriptienormaal"/>
      </w:pPr>
      <w:r w:rsidRPr="00676BF6">
        <w:t>Het derde lid van artikel 4.17c, Wet IB 2001 luidt als volgt: ‘</w:t>
      </w:r>
      <w:r w:rsidRPr="00676BF6">
        <w:rPr>
          <w:i/>
        </w:rPr>
        <w:t>Artikel 4.17a, derde tot en met zesde lid, is van overeenkomstige toepassing</w:t>
      </w:r>
      <w:r w:rsidRPr="00676BF6">
        <w:t xml:space="preserve">’. </w:t>
      </w:r>
    </w:p>
    <w:p w:rsidR="00FE2E3C" w:rsidRPr="00C8620B" w:rsidRDefault="00FE2E3C" w:rsidP="00F372C1">
      <w:pPr>
        <w:pStyle w:val="Scriptienormaal"/>
      </w:pPr>
      <w:r w:rsidRPr="00676BF6">
        <w:t>Volgens bovenstaande wettekst is een aantal bepalinge</w:t>
      </w:r>
      <w:r w:rsidR="00FC4CE8">
        <w:t>n die betrekking heeft op de IB-</w:t>
      </w:r>
      <w:r w:rsidRPr="00676BF6">
        <w:t>faciliteit bij overgang van een aanmerkelijk belang krachtens erfrecht ook van toepassing op de doorschuiffaciliteit van artikel 4.17c, Wet IB 2001.</w:t>
      </w:r>
    </w:p>
    <w:p w:rsidR="00FE2E3C" w:rsidRPr="00C8620B" w:rsidRDefault="00FE2E3C" w:rsidP="00F372C1">
      <w:pPr>
        <w:pStyle w:val="Scriptienormaal"/>
      </w:pPr>
      <w:r w:rsidRPr="00676BF6">
        <w:t xml:space="preserve">Het gaat hier ten eerste om een bepaling met betrekking tot preferente aandelen, genoemd in het derde lid van artikel 4.17a, Wet IB 2001. Hierin worden eisen gesteld </w:t>
      </w:r>
      <w:r>
        <w:t xml:space="preserve">op </w:t>
      </w:r>
      <w:proofErr w:type="spellStart"/>
      <w:r>
        <w:t>gond</w:t>
      </w:r>
      <w:proofErr w:type="spellEnd"/>
      <w:r>
        <w:t xml:space="preserve"> waarvan </w:t>
      </w:r>
      <w:r w:rsidRPr="00676BF6">
        <w:t>preferente aandelen onder de betreffende faciliteit vallen. Zo wordt hier bepaald dat de doorschuifregeling alleen van toepassing is op preferente aandelen indien deze eerder als zodanig zijn omgezet vanuit een door de overdrager gehouden regulier aanmerkelijk belang. Daarbij dienen er bij deze omzetting ook reguliere aandelen te zijn uitgegeven aan een ander persoon dan de overdrager zelf. Tevens dient de vennootschap waarop het aanmerkelijk belang betrekking had tijdens de omzetting</w:t>
      </w:r>
      <w:r w:rsidR="00980402">
        <w:t>,</w:t>
      </w:r>
      <w:r w:rsidRPr="00676BF6">
        <w:t xml:space="preserve"> een onderneming of een medegerechtigdheid uit te oefenen zoals bedoeld is in onderdeel a van het eerste lid van artikel 4.17c, Wet IB 2001. Als laatste complementaire eis geldt dat de verkrijger op het moment van verkrijging van de preferente aandelen reeds aanmerkelijk belanghouder is.</w:t>
      </w:r>
    </w:p>
    <w:p w:rsidR="00FE2E3C" w:rsidRPr="00C8620B" w:rsidRDefault="00FE2E3C" w:rsidP="00F372C1">
      <w:pPr>
        <w:pStyle w:val="Scriptienormaal"/>
      </w:pPr>
      <w:r w:rsidRPr="00676BF6">
        <w:t xml:space="preserve">Het vierde lid van artikel 4.17a, Wet IB 2001 stelt eisen aan medegerechtigdheid die de over te dragen onderneming houdt voordat de faciliteit ten aanzien hiervan toegepast kan worden. </w:t>
      </w:r>
      <w:r>
        <w:t>H</w:t>
      </w:r>
      <w:r w:rsidRPr="00676BF6">
        <w:t xml:space="preserve">ier </w:t>
      </w:r>
      <w:r>
        <w:t xml:space="preserve">kan </w:t>
      </w:r>
      <w:r w:rsidRPr="00676BF6">
        <w:t>alleen sprake van zijn indien deze medegerechtigdheid is ontstaan in het kader van een gefaseerde bedrijfsopvolging</w:t>
      </w:r>
      <w:r w:rsidRPr="00C8620B">
        <w:t>. Ook</w:t>
      </w:r>
      <w:r>
        <w:t xml:space="preserve"> </w:t>
      </w:r>
      <w:r w:rsidRPr="00676BF6">
        <w:t xml:space="preserve">wordt de eis gesteld dat de medegerechtigdheid is ontstaan uit een eerder door de vennootschap gedreven onderneming als bedoeld in artikel 3.2, Wet IB 2001. Daarbij dient de verkrijger op het moment van verkrijging reeds beherend vennoot te zijn van de onderneming waar de medegerechtigdheid verband mee houdt. </w:t>
      </w:r>
    </w:p>
    <w:p w:rsidR="00FE2E3C" w:rsidRPr="00C8620B" w:rsidRDefault="00FE2E3C" w:rsidP="002B15BA">
      <w:pPr>
        <w:pStyle w:val="Scriptienormaal"/>
      </w:pPr>
      <w:r w:rsidRPr="00676BF6">
        <w:t xml:space="preserve">Het vijfde lid van artikel 4.17a, Wet IB 2001 ziet op de situatie dat een holdingvennootschap met een deelneming in een andere vennootschap wordt overgedragen. Voor de faciliteit van artikel 4.17a en dus ook van 4.17c, Wet IB 2001 is van belang of er sprake is van beleggingsvermogen of ondernemingsvermogen. Omdat de deelneming van de </w:t>
      </w:r>
      <w:r w:rsidRPr="00676BF6">
        <w:lastRenderedPageBreak/>
        <w:t xml:space="preserve">holdingvennootschap een belegging betreft zou zonder nadere regels de betreffende faciliteit niet van toepassing kunnen zijn. Echter in het geval de deelneming een, voor de faciliteit kwalificerende, onderneming drijft, kan door de bepaling uit het vijfde lid de toepassing van de faciliteit toch doorgang vinden omdat de bezittingen en de schulden van de deelneming toegerekend moeten worden aan de holdingvennootschap. Voorwaarde hierbij is dat de overdragende partij ook een indirect aanmerkelijk belang heeft in de dochtervennootschap. Indien dit niet het geval is moet de overdragende partij ten minste een belang van 0,5% hebben. Aanvullend dient dit belang te zijn voortgekomen vanuit een aanmerkelijk belang en door toepassing van erfrecht, huwelijksvermogensrecht of een schenking </w:t>
      </w:r>
      <w:r w:rsidR="00980402">
        <w:t xml:space="preserve">te </w:t>
      </w:r>
      <w:r w:rsidRPr="00676BF6">
        <w:t>zijn verwaterd. Tevens moet op het tijdstip van verkrijging van het belang door de deelneming een onderneming zijn gedreven.</w:t>
      </w:r>
    </w:p>
    <w:p w:rsidR="00FE2E3C" w:rsidRPr="00C8620B" w:rsidRDefault="00FE2E3C" w:rsidP="00F372C1">
      <w:pPr>
        <w:pStyle w:val="Scriptienormaal"/>
      </w:pPr>
      <w:r w:rsidRPr="00676BF6">
        <w:t>Het zesde lid van artikel 4.17a, Wet IB 2001 geeft aan hoe het ondernemingsvermogen bepaald moet worden. Ten eerste betreft dit de bezittingen en de schulden die aan de door de vennootschap gedreven onderneming of medegerechtigdheid toegerekend kunnen worden. Daarbij mag maximaal 5% van de waarde in het economische verkeer van de onderneming aan beleggingsvermogen worden meegenomen met het ondernemingsvermogen waarop de faciliteit volgens het tweede lid van artikel 4.17c, Wet IB 2001 kan worden toegepast.</w:t>
      </w:r>
    </w:p>
    <w:p w:rsidR="00FE2E3C" w:rsidRPr="00C8620B" w:rsidRDefault="00FE2E3C" w:rsidP="00F372C1">
      <w:pPr>
        <w:pStyle w:val="scriptie4"/>
      </w:pPr>
      <w:r w:rsidRPr="00676BF6">
        <w:t>Vierde lid</w:t>
      </w:r>
    </w:p>
    <w:p w:rsidR="00FE2E3C" w:rsidRPr="00C8620B" w:rsidRDefault="00FE2E3C" w:rsidP="00F372C1">
      <w:pPr>
        <w:pStyle w:val="Scriptienormaal"/>
      </w:pPr>
      <w:r w:rsidRPr="00676BF6">
        <w:t>Het vierde en laatste lid van artikel 4.17c, Wet IB 2001 luidt als volgt:’</w:t>
      </w:r>
      <w:r w:rsidRPr="00676BF6">
        <w:rPr>
          <w:i/>
        </w:rPr>
        <w:t>Bij ministeriële regeling kunnen nadere regels worden gesteld met betrekking tot de toepassing van dit artikel en kan onder nader te stellen voorwaarden worden bepaald dat in bij die regeling te bepalen gevallen de in het eerste lid, onderdeel d, bedoelde termijn tot een bij die regeling te bepalen periode wordt verkort</w:t>
      </w:r>
      <w:r w:rsidRPr="00676BF6">
        <w:t>’.</w:t>
      </w:r>
    </w:p>
    <w:p w:rsidR="00FE2E3C" w:rsidRPr="00C8620B" w:rsidRDefault="00FE2E3C" w:rsidP="00F372C1">
      <w:pPr>
        <w:pStyle w:val="Scriptienormaal"/>
      </w:pPr>
      <w:r w:rsidRPr="00676BF6">
        <w:t>Met de voorgenoemde bepaling wordt verwezen naar de artikelen 26a, 26c en 26d van de Uitvoeringsregeling IB 2001. Hierin is het volgende bepaald.</w:t>
      </w:r>
    </w:p>
    <w:p w:rsidR="00FE2E3C" w:rsidRPr="00C8620B" w:rsidRDefault="00FE2E3C" w:rsidP="00F372C1">
      <w:pPr>
        <w:pStyle w:val="Scriptienormaal"/>
      </w:pPr>
      <w:r w:rsidRPr="00676BF6">
        <w:t xml:space="preserve">In artikel 26a, Uitvoeringsregeling IB 2001 staat de eis beschreven dat voor toepassing van de faciliteit een schriftelijk verzoek moet worden gedaan. </w:t>
      </w:r>
    </w:p>
    <w:p w:rsidR="00FE2E3C" w:rsidRPr="00C8620B" w:rsidRDefault="00FE2E3C" w:rsidP="00F372C1">
      <w:pPr>
        <w:pStyle w:val="Scriptienormaal"/>
      </w:pPr>
      <w:r w:rsidRPr="00676BF6">
        <w:t xml:space="preserve">Artikel 26c, Uitvoeringsregeling IB 2001 geeft de mogelijkheid om de termijn van drie jaar die is genoemd in onderdeel d van het eerste lid te verkorten. Dit artikel heeft dezelfde strekking als artikel 13a, Uitvoeringsregeling IB 2001 waarnaar in het zesde lid van artikel </w:t>
      </w:r>
      <w:r w:rsidRPr="00676BF6">
        <w:lastRenderedPageBreak/>
        <w:t>3.63, Wet IB 2001 wordt verwezen. Voor een nadere uitleg verwijs ik naar hetgeen ik bij deze wettekst heb opgemerkt in paragraaf 3.2.1.</w:t>
      </w:r>
      <w:r w:rsidRPr="00676BF6">
        <w:rPr>
          <w:rStyle w:val="Voetnootmarkering"/>
        </w:rPr>
        <w:footnoteReference w:id="52"/>
      </w:r>
    </w:p>
    <w:p w:rsidR="00FE2E3C" w:rsidRPr="00C8620B" w:rsidRDefault="00FE2E3C" w:rsidP="00F372C1">
      <w:pPr>
        <w:pStyle w:val="Scriptienormaal"/>
      </w:pPr>
      <w:r w:rsidRPr="00676BF6">
        <w:t>Als laatste uitvoeringsregeling wordt in artikel 26d</w:t>
      </w:r>
      <w:r w:rsidR="007E165D">
        <w:t>,</w:t>
      </w:r>
      <w:r w:rsidRPr="00676BF6">
        <w:t xml:space="preserve"> </w:t>
      </w:r>
      <w:r w:rsidR="007E165D" w:rsidRPr="00676BF6">
        <w:t>Uitvoeringsregeling IB 2001</w:t>
      </w:r>
      <w:r w:rsidR="007E165D">
        <w:t xml:space="preserve"> </w:t>
      </w:r>
      <w:r w:rsidRPr="00676BF6">
        <w:t xml:space="preserve">aangegeven dat voldaan wordt aan de 3-jaarseis indien de betreffende dienstbetrekking bestaat </w:t>
      </w:r>
      <w:r w:rsidR="007E165D">
        <w:t>bij</w:t>
      </w:r>
      <w:r w:rsidRPr="00676BF6">
        <w:t xml:space="preserve"> een dochtervennootschap van de vennootschap die wordt overgedragen. Deze dochtervennootschap moet hierbij een onderneming drijven of een medegerechtigdheid houden.</w:t>
      </w:r>
    </w:p>
    <w:p w:rsidR="00FE2E3C" w:rsidRPr="00676BF6" w:rsidRDefault="00FE2E3C" w:rsidP="00F372C1">
      <w:pPr>
        <w:pStyle w:val="Scriptie2"/>
        <w:numPr>
          <w:ilvl w:val="1"/>
          <w:numId w:val="10"/>
        </w:numPr>
      </w:pPr>
      <w:bookmarkStart w:id="23" w:name="_Toc287953658"/>
      <w:bookmarkStart w:id="24" w:name="_Toc300055408"/>
      <w:r w:rsidRPr="00676BF6">
        <w:t>De achtergrond van de doorschuiffaciliteiten</w:t>
      </w:r>
      <w:bookmarkEnd w:id="23"/>
      <w:bookmarkEnd w:id="24"/>
    </w:p>
    <w:p w:rsidR="00FE2E3C" w:rsidRPr="00C8620B" w:rsidRDefault="00FE2E3C" w:rsidP="0051637C">
      <w:pPr>
        <w:pStyle w:val="Scriptienormaal"/>
      </w:pPr>
      <w:r w:rsidRPr="00676BF6">
        <w:t>In de vorige paragraaf is uiteengezet hoe de doorschuiffaciliteiten eruit zien volgens de wettelijke bepalingen. In deze paragraaf zal ik vervolgens uiteenzetten wat de achtergrond is van beide faciliteiten. Hierbij zal ik eerst ingaan op de faciliteit voor de IB-onderneming die voortkomt uit artikel 3.63, Wet IB 2001. Vervolgens bespreek ik de faciliteit voor de VPB-onderneming die voort komt uit artikel 4.17c, Wet IB 2001.</w:t>
      </w:r>
    </w:p>
    <w:p w:rsidR="00FE2E3C" w:rsidRPr="00676BF6" w:rsidRDefault="00FE2E3C" w:rsidP="00F372C1">
      <w:pPr>
        <w:pStyle w:val="Scriptie3"/>
        <w:numPr>
          <w:ilvl w:val="2"/>
          <w:numId w:val="10"/>
        </w:numPr>
      </w:pPr>
      <w:bookmarkStart w:id="25" w:name="_Toc287953659"/>
      <w:bookmarkStart w:id="26" w:name="_Toc300055409"/>
      <w:r w:rsidRPr="00676BF6">
        <w:t>Faciliteit voor de IB-onderneming</w:t>
      </w:r>
      <w:bookmarkEnd w:id="25"/>
      <w:bookmarkEnd w:id="26"/>
    </w:p>
    <w:p w:rsidR="00FE2E3C" w:rsidRPr="00C8620B" w:rsidRDefault="00FE2E3C" w:rsidP="002B15BA">
      <w:pPr>
        <w:pStyle w:val="Scriptienormaal"/>
      </w:pPr>
      <w:r w:rsidRPr="00676BF6">
        <w:t>Artikel 3.63, Wet IB 2001 is ingevoerd met het aannemen van het wetsvoorstel ondernemerspakket 2001 en is ingegaan op 1 januari 2001. Dit artikel is ingevoerd als verruiming op het hiervoor geldende artikel 17 van de Wet op de inkomstenbelasting 1964 (hierna:</w:t>
      </w:r>
      <w:r w:rsidR="007E165D">
        <w:t xml:space="preserve"> “</w:t>
      </w:r>
      <w:r w:rsidRPr="00676BF6">
        <w:t>Wet IB 1964”). Dit artikel bood een faciliteit om tot een geruisloze overdracht van een IB-onderneming te komen binnen de familiesfeer. Alvorens ik de achtergrond van artikel 3.63, Wet IB 2001 ga beschrijven, zal ik eerst ingaan op het ontstaan van artikel 17, Wet IB 1964.</w:t>
      </w:r>
    </w:p>
    <w:p w:rsidR="00FE2E3C" w:rsidRPr="00C8620B" w:rsidRDefault="00FE2E3C" w:rsidP="00F372C1">
      <w:pPr>
        <w:pStyle w:val="scriptie4"/>
      </w:pPr>
      <w:r w:rsidRPr="00676BF6">
        <w:t>Geruisloze overdracht onderneming binnen de familiesfeer</w:t>
      </w:r>
    </w:p>
    <w:p w:rsidR="00FE2E3C" w:rsidRPr="00C8620B" w:rsidRDefault="00FE2E3C" w:rsidP="00F372C1">
      <w:pPr>
        <w:pStyle w:val="Scriptienormaal"/>
      </w:pPr>
      <w:r w:rsidRPr="00676BF6">
        <w:t xml:space="preserve">Door de invoering van artikel 17, Wet IB 1964 is de mogelijkheid geïntroduceerd om gefaciliteerd een onderneming door te schuiven binnen de familiesfeer. In het begin van de betreffende parlementaire geschiedenis van het artikel, valt de doorschuifregeling nog onder het </w:t>
      </w:r>
      <w:proofErr w:type="spellStart"/>
      <w:r w:rsidRPr="00676BF6">
        <w:t>concept</w:t>
      </w:r>
      <w:r w:rsidR="00FC4CE8">
        <w:t>-</w:t>
      </w:r>
      <w:r w:rsidRPr="00676BF6">
        <w:t>artikel</w:t>
      </w:r>
      <w:proofErr w:type="spellEnd"/>
      <w:r w:rsidRPr="00676BF6">
        <w:t xml:space="preserve"> 16a, Wet IB 1964.</w:t>
      </w:r>
      <w:r w:rsidRPr="00676BF6">
        <w:rPr>
          <w:rStyle w:val="Voetnootmarkering"/>
        </w:rPr>
        <w:footnoteReference w:id="53"/>
      </w:r>
      <w:r w:rsidRPr="00676BF6">
        <w:t xml:space="preserve"> Later is dit door vernummering artikel 17, Wet IB 1964 geworden. Het toenmalige eerste voorstel van artikel 16a, Wet IB 1964 voorzag in een </w:t>
      </w:r>
      <w:r w:rsidRPr="00676BF6">
        <w:lastRenderedPageBreak/>
        <w:t xml:space="preserve">doorschuifregeling waardoor een overdracht van een onderneming door de ouders aan de kinderen geruisloos plaats kon vinden, onder de voorwaarde dat de onderneming werd voortgezet. Er vond bij toepassing hiervan geen afrekening plaats over de stille en fiscale reserves. Bij de toelichting hierop was het voorgestelde artikel 15, Wet IB 1964 ook van belang. Dit artikel voorzag in een vergelijkbare faciliteit bij de overdracht van een onderneming krachtens erf- </w:t>
      </w:r>
      <w:r w:rsidR="007E165D">
        <w:t>of</w:t>
      </w:r>
      <w:r w:rsidRPr="00676BF6">
        <w:t xml:space="preserve"> huwelijksvermogensrecht.</w:t>
      </w:r>
    </w:p>
    <w:p w:rsidR="00FE2E3C" w:rsidRPr="00C8620B" w:rsidRDefault="00FE2E3C" w:rsidP="00F372C1">
      <w:pPr>
        <w:pStyle w:val="Scriptienormaal"/>
      </w:pPr>
      <w:r w:rsidRPr="00676BF6">
        <w:t xml:space="preserve">In de Memorie van Antwoord wordt allereerst stilgestaan bij het belang van de faciliteit van artikel 15, Wet IB 1964. Namelijk, </w:t>
      </w:r>
      <w:r w:rsidRPr="00676BF6">
        <w:rPr>
          <w:i/>
        </w:rPr>
        <w:t>“het economische belang van de continuïteit van de onderneming”</w:t>
      </w:r>
      <w:r w:rsidRPr="00676BF6">
        <w:t xml:space="preserve"> en ook wordt tegemoet gekomen aan </w:t>
      </w:r>
      <w:r w:rsidRPr="00676BF6">
        <w:rPr>
          <w:i/>
        </w:rPr>
        <w:t>“de noodzaak om in geval van overlijden van de ondernemer een onereuze belastingdruk te vermijden”</w:t>
      </w:r>
      <w:r w:rsidRPr="00676BF6">
        <w:t>.</w:t>
      </w:r>
      <w:r w:rsidRPr="00676BF6">
        <w:rPr>
          <w:rStyle w:val="Voetnootmarkering"/>
        </w:rPr>
        <w:footnoteReference w:id="54"/>
      </w:r>
      <w:r w:rsidRPr="00676BF6">
        <w:t xml:space="preserve"> Vervolgens ontstaat hieruit de aanleiding om ook een geruisloze doorschuifmogelijkheid te creëren in het geval dat de onderneming bij leven wordt overgedragen door een ouder, met een leeftijd van minimaal 65 jaar, aan diens kind(eren). Hiermee wordt beoogd dat het overdragen van de onderneming op een voor de bedrijfsvoering passend tijdstip plaatsvindt.</w:t>
      </w:r>
      <w:r w:rsidRPr="00676BF6">
        <w:rPr>
          <w:rStyle w:val="Voetnootmarkering"/>
        </w:rPr>
        <w:footnoteReference w:id="55"/>
      </w:r>
      <w:r w:rsidRPr="00676BF6">
        <w:t xml:space="preserve"> Dit laatste punt wordt ondersteund door</w:t>
      </w:r>
      <w:r w:rsidR="00807BF0">
        <w:t xml:space="preserve"> het feit </w:t>
      </w:r>
      <w:r w:rsidRPr="00676BF6">
        <w:t xml:space="preserve">dat met deze faciliteit niet langer gewacht hoeft te worden op het overlijden van de ondernemer voordat een onderneming geruisloos doorgeschoven kan worden. </w:t>
      </w:r>
    </w:p>
    <w:p w:rsidR="00FE2E3C" w:rsidRPr="00C8620B" w:rsidRDefault="00FE2E3C" w:rsidP="00F372C1">
      <w:pPr>
        <w:pStyle w:val="Scriptienormaal"/>
      </w:pPr>
      <w:r w:rsidRPr="00676BF6">
        <w:t xml:space="preserve">Als toelichting op het doorschuiven van de fiscale claim werd verwezen naar de </w:t>
      </w:r>
      <w:r w:rsidR="00807BF0">
        <w:t>M</w:t>
      </w:r>
      <w:r w:rsidRPr="00676BF6">
        <w:t xml:space="preserve">emorie van </w:t>
      </w:r>
      <w:r w:rsidR="00807BF0">
        <w:t>T</w:t>
      </w:r>
      <w:r w:rsidRPr="00676BF6">
        <w:t>oelichting op het derde lid van artikel 15, Wet IB 1964.</w:t>
      </w:r>
      <w:r w:rsidRPr="00676BF6">
        <w:rPr>
          <w:rStyle w:val="Voetnootmarkering"/>
        </w:rPr>
        <w:footnoteReference w:id="56"/>
      </w:r>
      <w:r w:rsidRPr="00676BF6">
        <w:t xml:space="preserve"> Hier is vermeld dat de regeling een voorziening is op punten </w:t>
      </w:r>
      <w:r w:rsidRPr="00676BF6">
        <w:rPr>
          <w:i/>
        </w:rPr>
        <w:t>“welke blijkens de talrijke bezwaren die tegen het bestaande regime zowel in als buiten de Staten-Generaal bij herhaling zijn geuit in de maatschappij als knelpunten worden aangevoeld”</w:t>
      </w:r>
      <w:r w:rsidRPr="00676BF6">
        <w:t>.</w:t>
      </w:r>
      <w:r w:rsidRPr="00676BF6">
        <w:rPr>
          <w:rStyle w:val="Voetnootmarkering"/>
        </w:rPr>
        <w:footnoteReference w:id="57"/>
      </w:r>
      <w:r w:rsidRPr="00676BF6">
        <w:t xml:space="preserve"> Daarbij wordt aangegeven dat het doorschuiven van een claim op de stille reserves van de voortzetter van de onderneming niet bezwaarlijk is. Al in 1941 is eerder naar de mogelijkheid gekeken om aan de noodzaak van een fiscale afrekening te ontkomen.</w:t>
      </w:r>
      <w:r w:rsidRPr="00676BF6">
        <w:rPr>
          <w:rStyle w:val="Voetnootmarkering"/>
        </w:rPr>
        <w:t xml:space="preserve"> </w:t>
      </w:r>
      <w:r w:rsidRPr="00676BF6">
        <w:rPr>
          <w:rStyle w:val="Voetnootmarkering"/>
        </w:rPr>
        <w:footnoteReference w:id="58"/>
      </w:r>
      <w:r w:rsidRPr="00676BF6">
        <w:t xml:space="preserve"> Met het invoeren van de regeling wordt hier invulling aan gegeven om zo knelpunten in de fiscale regelgeving tegen te gaan. </w:t>
      </w:r>
    </w:p>
    <w:p w:rsidR="00FE2E3C" w:rsidRPr="00C8620B" w:rsidRDefault="00FE2E3C" w:rsidP="00F372C1">
      <w:pPr>
        <w:pStyle w:val="Scriptienormaal"/>
      </w:pPr>
      <w:r w:rsidRPr="00676BF6">
        <w:t>Op een later tijdstip gedurende de parlementaire geschiedenis is de doorschuifregeling ook opengesteld voor de ondernemer die wegens invaliditeit de onderneming overdraagt. Na aanvankelijk het voorstel hiertoe te hebben afgewezen, is de wetgever toch overstag gegaan.</w:t>
      </w:r>
      <w:r w:rsidRPr="00676BF6">
        <w:rPr>
          <w:rStyle w:val="Voetnootmarkering"/>
        </w:rPr>
        <w:footnoteReference w:id="59"/>
      </w:r>
      <w:r w:rsidRPr="00676BF6">
        <w:t xml:space="preserve"> </w:t>
      </w:r>
      <w:r w:rsidRPr="00676BF6">
        <w:lastRenderedPageBreak/>
        <w:t>Ook is sinds 1 juli 1983 de in het artikel genoemde leeftijd van 65 jaar verlaagd naar 55 jaar. Dit is gedaan omdat zo meer wordt aangesloten bij de, in het maatschappelijke verkeer beschouwde, leeftijd waarop men stopt met de uitoefening van de actieve werkzaamheden.</w:t>
      </w:r>
      <w:r w:rsidRPr="00676BF6">
        <w:rPr>
          <w:rStyle w:val="Voetnootmarkering"/>
        </w:rPr>
        <w:footnoteReference w:id="60"/>
      </w:r>
      <w:r w:rsidRPr="00676BF6">
        <w:t xml:space="preserve"> </w:t>
      </w:r>
    </w:p>
    <w:p w:rsidR="00FE2E3C" w:rsidRPr="00C8620B" w:rsidRDefault="00FE2E3C" w:rsidP="00F372C1">
      <w:pPr>
        <w:pStyle w:val="Scriptienormaal"/>
      </w:pPr>
      <w:r w:rsidRPr="00676BF6">
        <w:t>Deze wijzigingen benadrukken nogmaals de achterliggende gedachte dat de fiscale wetgeving niet voor belemmeringen moet zorgen bij een overdracht van de onderneming op een passend tijdstip.</w:t>
      </w:r>
    </w:p>
    <w:p w:rsidR="00FE2E3C" w:rsidRPr="00C8620B" w:rsidRDefault="00FE2E3C" w:rsidP="00F372C1">
      <w:pPr>
        <w:pStyle w:val="scriptie4"/>
      </w:pPr>
      <w:r w:rsidRPr="00676BF6">
        <w:t>Doorschuiven naar ondernemers</w:t>
      </w:r>
    </w:p>
    <w:p w:rsidR="00FE2E3C" w:rsidRPr="00C8620B" w:rsidRDefault="00FE2E3C" w:rsidP="00F372C1">
      <w:pPr>
        <w:pStyle w:val="Scriptienormaal"/>
      </w:pPr>
      <w:r w:rsidRPr="00676BF6">
        <w:t xml:space="preserve">Zoals ik al eerder naar voren heb gebracht </w:t>
      </w:r>
      <w:r w:rsidR="00E057BA">
        <w:t>is de faciliteit van artikel 3.</w:t>
      </w:r>
      <w:r w:rsidRPr="00676BF6">
        <w:t>6</w:t>
      </w:r>
      <w:r w:rsidR="00E057BA">
        <w:t>3</w:t>
      </w:r>
      <w:r w:rsidRPr="00676BF6">
        <w:t xml:space="preserve">, Wet IB 2001 voortgekomen uit het vroegere artikel 17, Wet IB 1964. Beide artikelen delen hierdoor, al dan niet geheel, dezelfde achtergrond. </w:t>
      </w:r>
    </w:p>
    <w:p w:rsidR="00FE2E3C" w:rsidRPr="00C8620B" w:rsidRDefault="00FE2E3C" w:rsidP="00F372C1">
      <w:pPr>
        <w:pStyle w:val="Scriptienormaal"/>
      </w:pPr>
      <w:r w:rsidRPr="00676BF6">
        <w:t xml:space="preserve">Artikel 3.63, Wet IB 2001 is geïntroduceerd bij het wetsvoorstel ‘Wijzigingen van enkele belastingwetten c.a. in verband met de tweede tranche van het ondernemerspakket 2001’, kortweg aangeduid als ‘Wet ondernemingspakket 2001’. Met de invoering van deze wet zijn verschillende wijzigingen </w:t>
      </w:r>
      <w:r w:rsidR="001E3D17">
        <w:t>door</w:t>
      </w:r>
      <w:r w:rsidRPr="00676BF6">
        <w:t xml:space="preserve">gevoerd met betrekking tot uiteenlopende onderwerpen. Uit de Memorie van Toelichting kan worden opgemaakt wat de hoofdgedachte </w:t>
      </w:r>
      <w:r w:rsidR="001E3D17">
        <w:t xml:space="preserve">was </w:t>
      </w:r>
      <w:r w:rsidRPr="00676BF6">
        <w:t xml:space="preserve">achter </w:t>
      </w:r>
      <w:r w:rsidR="001E3D17">
        <w:t xml:space="preserve">invoering van </w:t>
      </w:r>
      <w:r w:rsidRPr="00676BF6">
        <w:t xml:space="preserve">deze wet. </w:t>
      </w:r>
      <w:r w:rsidRPr="00C8620B">
        <w:t xml:space="preserve">Er </w:t>
      </w:r>
      <w:r w:rsidRPr="00676BF6">
        <w:t>werd getracht het klimaat voor het ondernemerschap verder te optimaliseren.</w:t>
      </w:r>
      <w:r w:rsidRPr="00676BF6">
        <w:rPr>
          <w:rStyle w:val="Voetnootmarkering"/>
        </w:rPr>
        <w:footnoteReference w:id="61"/>
      </w:r>
      <w:r w:rsidRPr="00676BF6">
        <w:t xml:space="preserve"> Zo is onder andere geïntroduceerd dat de faciliteit niet alleen toepassing kan vinden indien deze wordt doorgeschoven binnen de familiesfeer. Hiertoe bestaat de noodzaak omdat ondernemerschap verschillende economische en sociale ontwikkelingen bevordert. De basis van het wetsvoorstel is geleg</w:t>
      </w:r>
      <w:r>
        <w:t>en</w:t>
      </w:r>
      <w:r w:rsidRPr="00676BF6">
        <w:t xml:space="preserve"> in het rapport “</w:t>
      </w:r>
      <w:r w:rsidR="001E3D17">
        <w:t>E</w:t>
      </w:r>
      <w:r w:rsidRPr="00676BF6">
        <w:t>en duwtje in de rug” van de werkgroep “Oort II”.</w:t>
      </w:r>
      <w:r w:rsidRPr="00676BF6">
        <w:rPr>
          <w:rStyle w:val="Voetnootmarkering"/>
        </w:rPr>
        <w:footnoteReference w:id="62"/>
      </w:r>
      <w:r w:rsidRPr="00676BF6">
        <w:t xml:space="preserve"> In dit rapport is getracht de tegemoetkomingen en faciliteiten voor ondernemers op doeltreffendheid en doelmatigheid te beoordelen.</w:t>
      </w:r>
      <w:r w:rsidRPr="00676BF6">
        <w:rPr>
          <w:rStyle w:val="Voetnootmarkering"/>
        </w:rPr>
        <w:footnoteReference w:id="63"/>
      </w:r>
      <w:r w:rsidRPr="00676BF6">
        <w:t xml:space="preserve"> Aldus</w:t>
      </w:r>
      <w:r>
        <w:t xml:space="preserve"> heeft</w:t>
      </w:r>
      <w:r w:rsidRPr="00676BF6">
        <w:t xml:space="preserve"> het stimuleren van het ondernemerschap ten grondslag gelegen bij het invoeren van de Wet ondernemerspakket 2001. </w:t>
      </w:r>
    </w:p>
    <w:p w:rsidR="00FE2E3C" w:rsidRPr="00C8620B" w:rsidRDefault="00FE2E3C" w:rsidP="00F779BA">
      <w:pPr>
        <w:pStyle w:val="Scriptienormaal"/>
      </w:pPr>
      <w:r w:rsidRPr="00676BF6">
        <w:t xml:space="preserve">In de toelichting op het voorgestelde artikel 3.63, Wet IB 2001 wordt verwezen naar het rapport van de werkgroep Oort II. Zo wordt gerefereerd aan het voorstel van deze werkgroep om de doorschuiffaciliteit een generiek karakter te geven. Een fiscale begeleiding van een algemene verkoop van de onderneming </w:t>
      </w:r>
      <w:r w:rsidR="001E3D17">
        <w:t>werd</w:t>
      </w:r>
      <w:r w:rsidRPr="00676BF6">
        <w:t xml:space="preserve"> hierbij niet beoogd. De bedoeling </w:t>
      </w:r>
      <w:r w:rsidR="001E3D17">
        <w:t>was</w:t>
      </w:r>
      <w:r w:rsidRPr="00676BF6">
        <w:t xml:space="preserve"> om </w:t>
      </w:r>
      <w:r w:rsidRPr="00676BF6">
        <w:lastRenderedPageBreak/>
        <w:t>knelpunten weg te nemen bij de overdracht van de onderneming naar een mede</w:t>
      </w:r>
      <w:r w:rsidR="001E3D17">
        <w:t>-</w:t>
      </w:r>
      <w:r w:rsidRPr="00676BF6">
        <w:t>ondernemer.</w:t>
      </w:r>
      <w:r w:rsidRPr="00676BF6">
        <w:rPr>
          <w:rStyle w:val="Voetnootmarkering"/>
        </w:rPr>
        <w:footnoteReference w:id="64"/>
      </w:r>
      <w:r w:rsidRPr="00676BF6">
        <w:t xml:space="preserve"> Hiermee w</w:t>
      </w:r>
      <w:r w:rsidR="001E3D17">
        <w:t>erd</w:t>
      </w:r>
      <w:r w:rsidRPr="00676BF6">
        <w:t xml:space="preserve"> beoogd de continuïteit van de onderneming te verbeteren</w:t>
      </w:r>
      <w:r w:rsidR="00A53091">
        <w:t>. Ook</w:t>
      </w:r>
      <w:r w:rsidRPr="00676BF6">
        <w:t xml:space="preserve"> </w:t>
      </w:r>
      <w:r w:rsidR="001E3D17">
        <w:t xml:space="preserve">werd beoogd dat </w:t>
      </w:r>
      <w:r w:rsidRPr="00676BF6">
        <w:t xml:space="preserve"> de specifieke eisen bij</w:t>
      </w:r>
      <w:r w:rsidR="001E3D17">
        <w:t xml:space="preserve"> zouden </w:t>
      </w:r>
      <w:r w:rsidRPr="00676BF6">
        <w:t xml:space="preserve">dragen aan de kennisoverdracht op de voortzettende ondernemer. </w:t>
      </w:r>
      <w:r w:rsidRPr="00676BF6">
        <w:rPr>
          <w:rStyle w:val="Voetnootmarkering"/>
        </w:rPr>
        <w:footnoteReference w:id="65"/>
      </w:r>
    </w:p>
    <w:p w:rsidR="00FE2E3C" w:rsidRPr="00C8620B" w:rsidRDefault="00FE2E3C" w:rsidP="00F372C1">
      <w:pPr>
        <w:pStyle w:val="Scriptienormaal"/>
      </w:pPr>
      <w:r w:rsidRPr="00676BF6">
        <w:t>In het rapport van de werkgroep zelf wordt bij een toelichting op de aanbeveling om de doorschuifregeling een meer generiek karakter te geven</w:t>
      </w:r>
      <w:r>
        <w:t>,</w:t>
      </w:r>
      <w:r w:rsidRPr="00676BF6">
        <w:t xml:space="preserve"> gesteld dat dit in het belang is van het voortbestaan van de onderneming. De afrekening over de belastingclaim zou de liquiditeitspositie van de onderneming in gevaar kunnen brengen.</w:t>
      </w:r>
      <w:r w:rsidRPr="00676BF6">
        <w:rPr>
          <w:rStyle w:val="Voetnootmarkering"/>
        </w:rPr>
        <w:footnoteReference w:id="66"/>
      </w:r>
      <w:r w:rsidRPr="00676BF6">
        <w:t xml:space="preserve"> In het belang van de continuïteit van de onderneming zullen de financieringslasten door toepassing van de faciliteit voor de overnemende ondernemer dalen.</w:t>
      </w:r>
      <w:r w:rsidRPr="00676BF6">
        <w:rPr>
          <w:rStyle w:val="Voetnootmarkering"/>
        </w:rPr>
        <w:footnoteReference w:id="67"/>
      </w:r>
    </w:p>
    <w:p w:rsidR="00FE2E3C" w:rsidRPr="00C8620B" w:rsidRDefault="00FE2E3C" w:rsidP="00C8620B">
      <w:pPr>
        <w:pStyle w:val="Scriptienormaal"/>
      </w:pPr>
      <w:r w:rsidRPr="00676BF6">
        <w:t>In de nota naar aanleiding van het verslag word</w:t>
      </w:r>
      <w:r>
        <w:t>en</w:t>
      </w:r>
      <w:r w:rsidRPr="00676BF6">
        <w:t xml:space="preserve"> nog een keer enkele overwegingen van de wetgever herhaald ter verruiming van de doorschuifregeling. Zo wordt de duurzame samenwerking, voorafgaand aan de bedrijfsopvolging gestimuleerd. Hierdoor zal de continuïteit van de onderneming ondersteund worden. De faciliteit kan een rente- en liquiditeitsvoordeel opleveren voor de koper. </w:t>
      </w:r>
      <w:r>
        <w:t>Als gevolg hiervan</w:t>
      </w:r>
      <w:r w:rsidRPr="00676BF6">
        <w:t xml:space="preserve"> wordt de bedrijfsopvolging vergemakkelijkt, dit in lijn met de doelstelling van het wetsvoorstel. Deze doelstelling wordt hier aangehaald als de doelstelling om bestaande fiscale belemmeringen voor (startende) ondernemers zoveel mogelijk weg te nemen. Hiermee worden de kansen voor het ondernemerschap vergroot.</w:t>
      </w:r>
      <w:r w:rsidRPr="00676BF6">
        <w:rPr>
          <w:rStyle w:val="Voetnootmarkering"/>
        </w:rPr>
        <w:footnoteReference w:id="68"/>
      </w:r>
    </w:p>
    <w:p w:rsidR="00FE2E3C" w:rsidRPr="00C8620B" w:rsidRDefault="00FE2E3C" w:rsidP="002B15BA">
      <w:pPr>
        <w:pStyle w:val="Scriptienormaal"/>
      </w:pPr>
      <w:r w:rsidRPr="00676BF6">
        <w:t>Het doel dat de faciliteit gedurende de ruime bestaansperiode heeft gehad, is niet altijd hetzelfde uitgesproken. In de literatuur is ook wel gemeend dat het doel van de regeling is verwaterd.</w:t>
      </w:r>
      <w:r w:rsidRPr="00676BF6">
        <w:rPr>
          <w:rStyle w:val="Voetnootmarkering"/>
        </w:rPr>
        <w:footnoteReference w:id="69"/>
      </w:r>
      <w:r w:rsidRPr="00676BF6">
        <w:t xml:space="preserve"> Ik ben het met deze stelling niet eens. Met de regeling is altijd getracht aansluiting te zoeken bij de economische realiteit bij het doorschuiven van een onderneming. Ook heeft de continuïteit van het ondernemerschap meegespeeld. Later in de parlementaire geschiedenis is benadrukt dat specifiek het ondernemerschap met de faciliteit gestimuleerd wordt. Doordat de veranderingen van de faciliteit sinds het ontstaan hiervan grotendeels </w:t>
      </w:r>
      <w:r w:rsidRPr="00676BF6">
        <w:lastRenderedPageBreak/>
        <w:t>uitbreidingen betreffen, ben ik van mening dat eerdere bedoelingen niet verwaterd zijn</w:t>
      </w:r>
      <w:r w:rsidR="001E3D17">
        <w:t>,</w:t>
      </w:r>
      <w:r w:rsidRPr="00676BF6">
        <w:t xml:space="preserve"> maar dat deze met andere zijn aangevuld.</w:t>
      </w:r>
    </w:p>
    <w:p w:rsidR="00FE2E3C" w:rsidRPr="00676BF6" w:rsidRDefault="00FE2E3C" w:rsidP="00F372C1">
      <w:pPr>
        <w:pStyle w:val="Scriptie3"/>
        <w:numPr>
          <w:ilvl w:val="2"/>
          <w:numId w:val="10"/>
        </w:numPr>
      </w:pPr>
      <w:bookmarkStart w:id="27" w:name="_Toc287953660"/>
      <w:bookmarkStart w:id="28" w:name="_Toc300055410"/>
      <w:r w:rsidRPr="00676BF6">
        <w:t>Faciliteit voor de VPB-onderneming</w:t>
      </w:r>
      <w:bookmarkEnd w:id="27"/>
      <w:bookmarkEnd w:id="28"/>
    </w:p>
    <w:p w:rsidR="00FE2E3C" w:rsidRPr="00C8620B" w:rsidRDefault="00FE2E3C" w:rsidP="00A55B64">
      <w:pPr>
        <w:pStyle w:val="Scriptienormaal"/>
      </w:pPr>
      <w:r w:rsidRPr="00676BF6">
        <w:t xml:space="preserve">Artikel 4.17c, Wet IB 2001 is ingevoerd onder het wetsvoorstel </w:t>
      </w:r>
      <w:r w:rsidR="001E3D17">
        <w:t>‘O</w:t>
      </w:r>
      <w:r w:rsidRPr="00676BF6">
        <w:t>verige fiscale maatregelen 2010</w:t>
      </w:r>
      <w:r w:rsidR="001E3D17">
        <w:t>’</w:t>
      </w:r>
      <w:r w:rsidRPr="00676BF6">
        <w:t>. Dit wetsvoorstel behelst de toevoeging en wijziging van verschillende fiscale wetten. De toevoeging van artikel 4.17c, Wet IB 2001 is net als een aantal andere voorstellen geplaatst onder het hoofdstuk ‘</w:t>
      </w:r>
      <w:r w:rsidR="001E3D17">
        <w:t>V</w:t>
      </w:r>
      <w:r w:rsidRPr="00676BF6">
        <w:t>erbeteren fiscale positie directeur-grootaandeelhouder’. Volgens de Memorie van Toelichting is de directeur-grootaandeelhouder (hierna</w:t>
      </w:r>
      <w:r w:rsidR="001E3D17">
        <w:t>: “</w:t>
      </w:r>
      <w:proofErr w:type="spellStart"/>
      <w:r w:rsidRPr="00676BF6">
        <w:t>dga</w:t>
      </w:r>
      <w:proofErr w:type="spellEnd"/>
      <w:r w:rsidR="001E3D17">
        <w:t>”</w:t>
      </w:r>
      <w:r w:rsidRPr="00676BF6">
        <w:t>) net als de IB-ondernemer van groot belang voor de Nederlandse economie.</w:t>
      </w:r>
      <w:r w:rsidRPr="00676BF6">
        <w:rPr>
          <w:rStyle w:val="Voetnootmarkering"/>
        </w:rPr>
        <w:footnoteReference w:id="70"/>
      </w:r>
      <w:r w:rsidRPr="00676BF6">
        <w:t xml:space="preserve"> In het kader hiervan wordt de aanleiding gevonden om de positie van de </w:t>
      </w:r>
      <w:proofErr w:type="spellStart"/>
      <w:r w:rsidRPr="00676BF6">
        <w:t>dga</w:t>
      </w:r>
      <w:proofErr w:type="spellEnd"/>
      <w:r w:rsidRPr="00676BF6">
        <w:t xml:space="preserve"> </w:t>
      </w:r>
      <w:r w:rsidR="001E3D17">
        <w:t>te</w:t>
      </w:r>
      <w:r w:rsidRPr="00676BF6">
        <w:t xml:space="preserve"> verbeteren en als onderdeel hiervan is onder andere de doorschuiffaciliteit van artikel 4.17c, Wet IB 2001 geïntroduceerd.</w:t>
      </w:r>
    </w:p>
    <w:p w:rsidR="00FE2E3C" w:rsidRPr="00C8620B" w:rsidRDefault="00FE2E3C" w:rsidP="00A55B64">
      <w:pPr>
        <w:pStyle w:val="Scriptienormaal"/>
      </w:pPr>
      <w:r w:rsidRPr="00676BF6">
        <w:t xml:space="preserve">De specifieke achtergrond van de doorschuiffaciliteit betreft het idee dat de voortzetting van de onderneming niet belemmerd dient te worden door de fiscale </w:t>
      </w:r>
      <w:proofErr w:type="spellStart"/>
      <w:r w:rsidRPr="00676BF6">
        <w:t>aanmerkelijkbelangclaim</w:t>
      </w:r>
      <w:proofErr w:type="spellEnd"/>
      <w:r w:rsidRPr="00676BF6">
        <w:t>. Hierover dient in eerste instantie afgerekend te worden indien er sprake is van het schenken van een aanmerkelijk belang. Als toevoeging hierop wordt gesteld dat de belemmering van afrekening voor de economische bedrijvigheid geen bedreiging mag vormen bij reële bedrijfsopvolgingen. Tevens wordt gesteld dat er geen bedrijfseconomische reden bestaat om de faciliteit van toepassing te laten zijn op de overdracht van beleggingsvermogen. Hierdoor wordt de bedrijfseconomische achtergrond van de regeling nogmaals benadrukt.</w:t>
      </w:r>
      <w:r w:rsidRPr="00676BF6">
        <w:rPr>
          <w:rStyle w:val="Voetnootmarkering"/>
        </w:rPr>
        <w:footnoteReference w:id="71"/>
      </w:r>
      <w:r w:rsidRPr="00676BF6">
        <w:t xml:space="preserve"> </w:t>
      </w:r>
    </w:p>
    <w:p w:rsidR="00FE2E3C" w:rsidRPr="00C8620B" w:rsidRDefault="00FE2E3C" w:rsidP="00A55B64">
      <w:pPr>
        <w:pStyle w:val="Scriptienormaal"/>
      </w:pPr>
      <w:r w:rsidRPr="00676BF6">
        <w:t>Vervolgens wordt onder andere de materiële ondernemingstoets nader besproken. De achtergrond van deze toets is, naast hetgeen hiervoor is besproken, dat zoveel mogelijk eenduidigheid in de wetgeving wordt bereikt. Hier wordt de koppeling gemaakt met de faciliteiten in de Successiewet 1956</w:t>
      </w:r>
      <w:r w:rsidR="001E3D17">
        <w:t>,</w:t>
      </w:r>
      <w:r w:rsidRPr="00676BF6">
        <w:t xml:space="preserve"> maar ook met die in de Wet IB 2001. Zo wordt gesteld dat de doorschuiffaciliteit ook rechtsvormneutraal zal zijn en ook wordt hiermee de eenvoud in de uitvoering van de faciliteiten ondersteund.</w:t>
      </w:r>
      <w:r w:rsidRPr="00676BF6">
        <w:rPr>
          <w:rStyle w:val="Voetnootmarkering"/>
        </w:rPr>
        <w:footnoteReference w:id="72"/>
      </w:r>
      <w:r w:rsidRPr="00676BF6">
        <w:t xml:space="preserve"> Zo zal bij toepassing van de faciliteiten in de inkomstenbelasting vaak </w:t>
      </w:r>
      <w:r>
        <w:t xml:space="preserve">een </w:t>
      </w:r>
      <w:r w:rsidRPr="00676BF6">
        <w:t>beroep worden gedaan op de faciliteit in de successiewet. Indien deze faciliteiten gelijksoortige bepalingen hebben, hoeft maar eenmaal bekeken te worden of en in hoeverre aan de gestelde voorwaarden wordt voldaan.</w:t>
      </w:r>
    </w:p>
    <w:p w:rsidR="00FE2E3C" w:rsidRPr="00C8620B" w:rsidRDefault="00FE2E3C" w:rsidP="00EF51C9">
      <w:pPr>
        <w:pStyle w:val="Scriptienormaal"/>
      </w:pPr>
      <w:r w:rsidRPr="00676BF6">
        <w:lastRenderedPageBreak/>
        <w:t>Blijkens de toelichting op de 3-jaarseis van artikel 4.17</w:t>
      </w:r>
      <w:r w:rsidR="001E3D17">
        <w:t>c</w:t>
      </w:r>
      <w:r w:rsidRPr="00676BF6">
        <w:t xml:space="preserve">, Wet IB 2001 werd in eerste instantie </w:t>
      </w:r>
      <w:r w:rsidR="00332B3B">
        <w:t>vereist</w:t>
      </w:r>
      <w:r w:rsidRPr="00676BF6">
        <w:t xml:space="preserve"> dat sprake was van een dienstbetrekking van </w:t>
      </w:r>
      <w:r w:rsidR="00332B3B">
        <w:t xml:space="preserve">een </w:t>
      </w:r>
      <w:r w:rsidRPr="00676BF6">
        <w:t>bestuurder.</w:t>
      </w:r>
      <w:r w:rsidRPr="00676BF6">
        <w:rPr>
          <w:rStyle w:val="Voetnootmarkering"/>
        </w:rPr>
        <w:footnoteReference w:id="73"/>
      </w:r>
      <w:r w:rsidRPr="00676BF6">
        <w:t xml:space="preserve"> Later is hiermee een koppeling met de faciliteit voor de overdracht van een IB-onderneming gemaakt.</w:t>
      </w:r>
      <w:r w:rsidRPr="00676BF6">
        <w:rPr>
          <w:rStyle w:val="Voetnootmarkering"/>
        </w:rPr>
        <w:footnoteReference w:id="74"/>
      </w:r>
      <w:r w:rsidRPr="00676BF6">
        <w:t xml:space="preserve"> Tevens werd met de eis getracht een duurzame overdracht te stimuleren. Zo wordt met de eis naast de onderneming ook de overdracht van kennis tussen de overdrager en de voortzetter gestimuleerd.</w:t>
      </w:r>
      <w:r w:rsidRPr="00676BF6">
        <w:rPr>
          <w:rStyle w:val="Voetnootmarkering"/>
        </w:rPr>
        <w:footnoteReference w:id="75"/>
      </w:r>
    </w:p>
    <w:p w:rsidR="00FE2E3C" w:rsidRPr="00C8620B" w:rsidRDefault="00FE2E3C" w:rsidP="00EF51C9">
      <w:pPr>
        <w:pStyle w:val="Scriptie2"/>
        <w:numPr>
          <w:ilvl w:val="1"/>
          <w:numId w:val="10"/>
        </w:numPr>
      </w:pPr>
      <w:bookmarkStart w:id="29" w:name="_Toc300055411"/>
      <w:r w:rsidRPr="00676BF6">
        <w:t>Verschillen in uitwerking tussen de doorschuiffaciliteiten</w:t>
      </w:r>
      <w:bookmarkEnd w:id="29"/>
    </w:p>
    <w:p w:rsidR="00FE2E3C" w:rsidRPr="00C8620B" w:rsidRDefault="00FE2E3C" w:rsidP="00F372C1">
      <w:pPr>
        <w:pStyle w:val="Scriptienormaal"/>
      </w:pPr>
      <w:r w:rsidRPr="00676BF6">
        <w:t xml:space="preserve">In de voorgaande paragrafen heb ik de uitwerking van de IB- en de VPB-faciliteit beschreven. In deze paragraaf beschrijf ik in het kort op welke punten de belangrijkste verschillen liggen tussen beide doorschuiffaciliteiten </w:t>
      </w:r>
      <w:r w:rsidR="00332B3B">
        <w:t xml:space="preserve">ten aanzien van </w:t>
      </w:r>
      <w:r w:rsidRPr="00676BF6">
        <w:t xml:space="preserve"> de manier waarop eisen worden gesteld aan de belastingplichtige en aan het vrij te stellen belastingobject. Deze verschillen zijn relevant voor de toetsing aan recht</w:t>
      </w:r>
      <w:r>
        <w:t>s</w:t>
      </w:r>
      <w:r w:rsidRPr="00676BF6">
        <w:t xml:space="preserve">vormneutraliteit. De verschillen die ik hierna zal identificeren zullen dienen als basis van waaruit ik in het vervolg van deze scriptie de toetsing aan rechtvaardigheid, effectiviteit en efficiëntie ga uitvoeren. </w:t>
      </w:r>
    </w:p>
    <w:p w:rsidR="00FE2E3C" w:rsidRPr="00C8620B" w:rsidRDefault="00FE2E3C" w:rsidP="00EF51C9">
      <w:pPr>
        <w:pStyle w:val="Scriptienormaal"/>
      </w:pPr>
      <w:r w:rsidRPr="00676BF6">
        <w:t>Hierna zal ik de doorschuiffaciliteiten per onderdeel analyseren. Hierbij zal ik een verdeling maken tussen onderdelen met betrekking tot het belastingsubject en het belastingobject.</w:t>
      </w:r>
      <w:r w:rsidRPr="00676BF6">
        <w:rPr>
          <w:rStyle w:val="Voetnootmarkering"/>
        </w:rPr>
        <w:footnoteReference w:id="76"/>
      </w:r>
      <w:r w:rsidRPr="00676BF6">
        <w:t xml:space="preserve"> Verder zal ik alleen tot een beschrijving van een onderdeel komen indien ten aanzien hiervan een materieel verschil tussen de IB- en de VPB-faciliteit op te merken is. </w:t>
      </w:r>
    </w:p>
    <w:p w:rsidR="00FE2E3C" w:rsidRPr="00676BF6" w:rsidRDefault="00FE2E3C" w:rsidP="00EF51C9">
      <w:pPr>
        <w:pStyle w:val="Scriptie3"/>
        <w:numPr>
          <w:ilvl w:val="2"/>
          <w:numId w:val="10"/>
        </w:numPr>
      </w:pPr>
      <w:bookmarkStart w:id="30" w:name="_Toc300055412"/>
      <w:r w:rsidRPr="00676BF6">
        <w:t>Belastingsubject</w:t>
      </w:r>
      <w:bookmarkEnd w:id="30"/>
    </w:p>
    <w:p w:rsidR="00FE2E3C" w:rsidRPr="00C8620B" w:rsidRDefault="00FE2E3C" w:rsidP="00A841F6">
      <w:pPr>
        <w:pStyle w:val="Scriptienormaal"/>
        <w:rPr>
          <w:color w:val="FF0000"/>
        </w:rPr>
      </w:pPr>
      <w:r w:rsidRPr="00676BF6">
        <w:t xml:space="preserve">Voordat de IB-faciliteit kan worden toegepast moet er sprake zijn van een hiervoor kwalificerende overdragende ondernemer en </w:t>
      </w:r>
      <w:r w:rsidR="004C6AE9">
        <w:t xml:space="preserve">een </w:t>
      </w:r>
      <w:r w:rsidRPr="00676BF6">
        <w:t>voortzettende ondernemer. De eisen die worden gesteld om hieraan te voldoen zijn voor beide doorschuifregelingen niet hetzelfde vormgegeven. Hierna zal ik ten aanzien hiervan de doorschuiffaciliteiten met elkaar vergelijken en een weergave geven van de verschillen tussen beide faciliteiten.</w:t>
      </w:r>
    </w:p>
    <w:p w:rsidR="00FE2E3C" w:rsidRPr="00C8620B" w:rsidRDefault="00FE2E3C" w:rsidP="00A841F6">
      <w:pPr>
        <w:pStyle w:val="scriptie4"/>
      </w:pPr>
      <w:r w:rsidRPr="00676BF6">
        <w:t>Kwalificerende ondernemer</w:t>
      </w:r>
    </w:p>
    <w:p w:rsidR="00FE2E3C" w:rsidRPr="00C8620B" w:rsidRDefault="00FE2E3C" w:rsidP="00A841F6">
      <w:pPr>
        <w:pStyle w:val="Scriptienormaal"/>
      </w:pPr>
      <w:r w:rsidRPr="00676BF6">
        <w:t>Bij toepassing van de IB-faciliteit betreft het belastingsubject een overdragende IB-ondernemer of medegerechtigde. De specifieke eisen die worden gesteld om als IB-</w:t>
      </w:r>
      <w:r w:rsidRPr="00676BF6">
        <w:lastRenderedPageBreak/>
        <w:t xml:space="preserve">ondernemer aangemerkt te worden komen voort uit artikel 3.4 Wet IB 2001. Voorwaarde hierbij is dat er sprake moet zijn van een onderneming volgens artikel 3.2, Wet IB 2001.  Voorts is de ondernemer zelf niet onderworpen aan verdere eisen om voor de faciliteit in aanmerking te komen. Zo zal een persoon als IB-ondernemer worden aangemerkt indien de onderneming voor zijn rekening wordt gedreven en hij rechtstreeks is verbonden voor verbintenissen betreffende de onderneming. Indien aan deze eisen niet wordt voldaan, kan hij </w:t>
      </w:r>
      <w:r w:rsidR="004C6AE9">
        <w:t xml:space="preserve">alsnog </w:t>
      </w:r>
      <w:r w:rsidRPr="00676BF6">
        <w:t>als medegerechtigde  in aanmerking komen voor de faciliteit.</w:t>
      </w:r>
    </w:p>
    <w:p w:rsidR="00FE2E3C" w:rsidRPr="00C8620B" w:rsidRDefault="00FE2E3C" w:rsidP="00A841F6">
      <w:pPr>
        <w:pStyle w:val="Scriptienormaal"/>
      </w:pPr>
      <w:r w:rsidRPr="00676BF6">
        <w:t>Om voor toepassing van de VPB-faciliteit in aanmerking te komen</w:t>
      </w:r>
      <w:r w:rsidR="004C6AE9">
        <w:t>,</w:t>
      </w:r>
      <w:r w:rsidRPr="00676BF6">
        <w:t xml:space="preserve"> moet er sprake van zijn dat de vennootschap waarin de VPB-ondernemer een belang houdt, een onderneming drijft volgens artikel 3.2, Wet IB 2001. Indien de vennootschap een medegerechtigdheid houdt, volstaat dit onder voorwaarden ook.</w:t>
      </w:r>
      <w:r w:rsidRPr="00676BF6">
        <w:rPr>
          <w:rStyle w:val="Voetnootmarkering"/>
        </w:rPr>
        <w:footnoteReference w:id="77"/>
      </w:r>
      <w:r w:rsidRPr="00676BF6">
        <w:t xml:space="preserve"> Daarnaast wordt aan de ondernemer de eis gesteld dat de gehouden aandelen als een aanmerkelijk belang aangemerkt</w:t>
      </w:r>
      <w:r w:rsidR="004C6AE9">
        <w:t xml:space="preserve"> kunnen</w:t>
      </w:r>
      <w:r w:rsidRPr="00676BF6">
        <w:t xml:space="preserve"> worden volgens hoofdstuk 4 van de Wet IB 2001. Een meetrek-aanmerkelijk belang telt echter niet mee.</w:t>
      </w:r>
    </w:p>
    <w:p w:rsidR="00FE2E3C" w:rsidRPr="00C8620B" w:rsidRDefault="00FE2E3C" w:rsidP="00A841F6">
      <w:pPr>
        <w:pStyle w:val="Scriptienormaal"/>
      </w:pPr>
      <w:r w:rsidRPr="00676BF6">
        <w:t>Bij een vergelijking tussen voornoemde eisen voor de IB- en de VPB-onderneming komen de voorwaarden dat sprake moet zijn van een onderneming of de medegerechtigdheid hierin met elkaar overeen. Echter, voor toepassing van de VPB-faciliteit worden er extra eisen gesteld, dit in tegenstelling tot de IB-faciliteit. Zo dient voor toegang tot de VPB-faciliteit in ieder geval sprake te zijn van een aanmerkelijk belang in de vennootschap. Als uitzondering hierop kan een meetrek-aanmerkelijk belang niet gefaciliteerd worden.</w:t>
      </w:r>
    </w:p>
    <w:p w:rsidR="00FE2E3C" w:rsidRPr="00C8620B" w:rsidRDefault="00FE2E3C" w:rsidP="00A841F6">
      <w:pPr>
        <w:pStyle w:val="scriptie4"/>
      </w:pPr>
      <w:r w:rsidRPr="00676BF6">
        <w:t>Medegerechtigdheid</w:t>
      </w:r>
    </w:p>
    <w:p w:rsidR="00FE2E3C" w:rsidRPr="00C8620B" w:rsidRDefault="00FE2E3C" w:rsidP="00A841F6">
      <w:pPr>
        <w:pStyle w:val="Scriptienormaal"/>
      </w:pPr>
      <w:r w:rsidRPr="00676BF6">
        <w:t>Zoals in de voorgaande paragraaf al is vermeld, kunnen de IB- en de VPB-faciliteit ook toegepast worden indien de IB-onderneming een medegerechtigdheid betreft, respectievelijk de vennootschap waarin het aanmerkelijk belang wordt gehouden een medegerechtigdheid houdt.</w:t>
      </w:r>
      <w:r w:rsidRPr="00676BF6">
        <w:rPr>
          <w:rStyle w:val="Voetnootmarkering"/>
        </w:rPr>
        <w:footnoteReference w:id="78"/>
      </w:r>
      <w:r w:rsidRPr="00676BF6">
        <w:t xml:space="preserve"> De medegerechtigde voor de inkomstenbelasting kan de medegerechtigdheid gefaciliteerd doorschuiven zonder dat aanvullende eisen worden gesteld. Echter, indien een vennootschap d</w:t>
      </w:r>
      <w:r>
        <w:t>ie</w:t>
      </w:r>
      <w:r w:rsidRPr="00676BF6">
        <w:t xml:space="preserve"> een medegerechtigdheid houdt wordt doorgeschoven, zijn wel aanvullende eisen van toepassing. Zo is de VPB-faciliteit alleen van toepassing indien de medegerechtigdheid een rechtstreekse voortzetting vormt van een eerder door de vennootschap gedreven onderneming en de voortzettende ondernemer op het moment van de </w:t>
      </w:r>
      <w:r w:rsidRPr="00676BF6">
        <w:lastRenderedPageBreak/>
        <w:t>verkrijging reeds beherend vennoot is van de onderneming waar de medegerechtigdheid betrekking op heeft.</w:t>
      </w:r>
    </w:p>
    <w:p w:rsidR="00FE2E3C" w:rsidRPr="00C8620B" w:rsidRDefault="00FE2E3C" w:rsidP="00A841F6">
      <w:pPr>
        <w:pStyle w:val="scriptie4"/>
      </w:pPr>
      <w:r w:rsidRPr="00676BF6">
        <w:t>Voortzettingsvereiste</w:t>
      </w:r>
    </w:p>
    <w:p w:rsidR="00FE2E3C" w:rsidRPr="00C8620B" w:rsidRDefault="00FC4CE8" w:rsidP="00A841F6">
      <w:pPr>
        <w:pStyle w:val="Scriptienormaal"/>
      </w:pPr>
      <w:r>
        <w:t>Zoals ik in paragraaf 3.1</w:t>
      </w:r>
      <w:r w:rsidR="00FE2E3C" w:rsidRPr="00676BF6">
        <w:t xml:space="preserve">.1 reeds heb aangegeven, geldt voor toepassing van de IB-faciliteit een voortzettingsvereiste. Bij de vraag of er bij een bedrijfsoverdracht wordt voldaan aan deze eis zijn alle relevante rechtshandelingen van belang. Verder is aangegeven dat in ieder geval niet aan deze eis wordt voldaan indien het geheel van rechtshandelingen is gericht op de dooroverdracht of liquidatie van de onderneming. Voor toepassing van de VPB-faciliteit is een dergelijke eis niet opgenomen in de wettelijke bepalingen. </w:t>
      </w:r>
    </w:p>
    <w:p w:rsidR="00FE2E3C" w:rsidRPr="00C8620B" w:rsidRDefault="00FE2E3C" w:rsidP="00F8338C">
      <w:pPr>
        <w:pStyle w:val="scriptie4"/>
      </w:pPr>
      <w:r w:rsidRPr="00676BF6">
        <w:t>In de plaats treden</w:t>
      </w:r>
    </w:p>
    <w:p w:rsidR="00FE2E3C" w:rsidRPr="00C8620B" w:rsidRDefault="00FE2E3C" w:rsidP="00F8338C">
      <w:pPr>
        <w:pStyle w:val="Scriptienormaal"/>
      </w:pPr>
      <w:r w:rsidRPr="00676BF6">
        <w:t>In het tweede lid van artikel 3.63, Wet IB 2001, wordt aangegeven dat de voorzettende ondernemer geacht wordt in de plaats te zijn getreden van de overdragende ondernemer. Hiermee wordt beoogd het drijven van de IB-onderneming niet te laten beïnvloeden door de overdracht omdat de voortzetter de fiscale positie van de overdrager continueert. Zo vindt er bijvoorbeeld geen verandering plaats ten aanzien van de gehanteerde stille reserves en de te hanteren bestendige gedragslijn. Bij de overdracht van een VPB-onderneming wordt geen specifieke eis gesteld ten aanzien van het al dan niet in de plaats treden van de overdragende</w:t>
      </w:r>
      <w:r w:rsidR="004C6AE9">
        <w:t xml:space="preserve"> overnemer</w:t>
      </w:r>
      <w:r w:rsidRPr="00676BF6">
        <w:t xml:space="preserve"> door de voorzettende VPB-ondernemer.</w:t>
      </w:r>
    </w:p>
    <w:p w:rsidR="00FE2E3C" w:rsidRPr="00676BF6" w:rsidRDefault="00FE2E3C" w:rsidP="00EF51C9">
      <w:pPr>
        <w:pStyle w:val="Scriptie3"/>
        <w:numPr>
          <w:ilvl w:val="2"/>
          <w:numId w:val="10"/>
        </w:numPr>
      </w:pPr>
      <w:bookmarkStart w:id="31" w:name="_Toc300055413"/>
      <w:r w:rsidRPr="00676BF6">
        <w:t>Belastingobject</w:t>
      </w:r>
      <w:bookmarkEnd w:id="31"/>
    </w:p>
    <w:p w:rsidR="00FE2E3C" w:rsidRPr="00C8620B" w:rsidRDefault="00FE2E3C" w:rsidP="009A5559">
      <w:pPr>
        <w:pStyle w:val="Scriptienormaal"/>
      </w:pPr>
      <w:r w:rsidRPr="00676BF6">
        <w:t>Indien de IB-faciliteit wordt toegepast, is in beginsel de door de overdracht genoten winst objectief vrijgesteld. Deze vrijstelling zorgt per saldo voor het verschil in belastingheffing tussen het ruisend staken en het geruisloos doorschuiven van de onderneming. Dit betreft in beginsel de belastingheffing over te realiseren fiscale en stille reserves die aan de over te dragen onderneming kunnen worden toegerekend. De objectieve vrijstelling bij toepassing van de VPB-faciliteit betreft een gedeelte van de overdrachtsprijs van de aandelen. Hierdoor hoeft over de stille reserve ten aanzien van het aanmerkelijk belang, al dan niet gedeeltelijk, niet te worden afgerekend. De gedreven onderneming van de vennootschap zelf is onderworpen aan vennootschapsbelasting. Echter, de stille reserves met betrekking tot de onderneming zelf worden</w:t>
      </w:r>
      <w:r>
        <w:t xml:space="preserve"> in eerste instantie</w:t>
      </w:r>
      <w:r w:rsidRPr="00676BF6">
        <w:t xml:space="preserve"> door de overdracht van de aandelen niet beïnvloed</w:t>
      </w:r>
      <w:r w:rsidR="00A23240">
        <w:t>,</w:t>
      </w:r>
      <w:r w:rsidRPr="00676BF6">
        <w:t xml:space="preserve"> waardoor ten aanzien hiervan per definitie geen </w:t>
      </w:r>
      <w:r>
        <w:t xml:space="preserve">belastingheffing plaatsvindt. Als uitzondering hierop worden deze stille reserves indirect wel belast in de inkomstenbelasting indien de VPB-faciliteit niet volledig kan worden toegepast. Het vervreemdingsvoordeel dat </w:t>
      </w:r>
      <w:r>
        <w:lastRenderedPageBreak/>
        <w:t>hierdoor ontstaat is afhankelijk van de waarde in het economische verkeer waarin de stille reserves zijn meegenomen.</w:t>
      </w:r>
    </w:p>
    <w:p w:rsidR="00FE2E3C" w:rsidRPr="00C8620B" w:rsidRDefault="00FE2E3C" w:rsidP="00F8338C">
      <w:pPr>
        <w:pStyle w:val="Scriptienormaal"/>
      </w:pPr>
      <w:r w:rsidRPr="00676BF6">
        <w:t>Belastingheffing die ontstaat door de overdracht van de onderneming kan zowel door de IB- als de VPB-faciliteit worden vrijgesteld. Echter, de mate waarin hiervan sprake is hangt bij beide faciliteiten van verschillende factoren af. Deze factoren zullen hierna voor beide faciliteiten worden besproken voor zover er verschillen tussen de uitwerking van beide faciliteiten aan te wijzen zijn.</w:t>
      </w:r>
    </w:p>
    <w:p w:rsidR="00FE2E3C" w:rsidRPr="00C8620B" w:rsidRDefault="00FE2E3C" w:rsidP="00F8338C">
      <w:pPr>
        <w:pStyle w:val="scriptie4"/>
      </w:pPr>
      <w:r w:rsidRPr="00676BF6">
        <w:t>Uitgesloten reserves</w:t>
      </w:r>
    </w:p>
    <w:p w:rsidR="00FE2E3C" w:rsidRPr="00C8620B" w:rsidRDefault="00FE2E3C" w:rsidP="00F8338C">
      <w:pPr>
        <w:pStyle w:val="Scriptienormaal"/>
      </w:pPr>
      <w:r w:rsidRPr="00676BF6">
        <w:t>Voor toepassing van de IB-faciliteit is het geruisloos doorschuiven ten aanzien van de terugkeerreserve uitgesloten en ten aanzien van de oudedagsreserve beperkt. Aangezien een oudedags- en terugkeerreserve niet kan worden overgedragen aan een voortzettende ondernemer, zal hierdoor een stakingswinst ontstaan. In beginsel zal hierover moeten worden afgerekend in box 1.</w:t>
      </w:r>
      <w:r w:rsidRPr="00676BF6">
        <w:rPr>
          <w:rStyle w:val="Voetnootmarkering"/>
        </w:rPr>
        <w:footnoteReference w:id="79"/>
      </w:r>
    </w:p>
    <w:p w:rsidR="00FE2E3C" w:rsidRPr="00C8620B" w:rsidRDefault="00FE2E3C" w:rsidP="00F8338C">
      <w:pPr>
        <w:pStyle w:val="Scriptienormaal"/>
      </w:pPr>
      <w:r w:rsidRPr="00676BF6">
        <w:t xml:space="preserve">Beide reserves bestaan </w:t>
      </w:r>
      <w:r>
        <w:t>slechts</w:t>
      </w:r>
      <w:r w:rsidRPr="00676BF6">
        <w:t xml:space="preserve"> voor de inkomstenbelasting en kunnen bij een vennootschap niet op de balans staan. Toch bestaat de mogelijkheid om ten aanzien van de oudedagsreserve een vergelijking te maken met een VPB-onderneming. Zo is het voor een vennootschap mogelijk om een vergelijkbare pensioenvoorziening te vormen. Voor zowel de oudedagsreserve als de pensioenvoorziening geldt dat deze gevormd worden door aftrekbare toevoegingen hieraan en een uiteindelijke uitkering hieruit zal bij de ontvanger worden belast in box 1. </w:t>
      </w:r>
    </w:p>
    <w:p w:rsidR="00FE2E3C" w:rsidRPr="00C8620B" w:rsidRDefault="00FE2E3C" w:rsidP="00F8338C">
      <w:pPr>
        <w:pStyle w:val="Scriptienormaal"/>
        <w:rPr>
          <w:color w:val="FF0000"/>
        </w:rPr>
      </w:pPr>
      <w:r w:rsidRPr="00676BF6">
        <w:t>Het verschil tussen beide doorschuiffaciliteiten bestaat hier doordat de pensioenvoorziening niet wordt aangetast door een gefaciliteerde overdracht. Volgens de systematiek van de wetgeving verandert er door de overdracht niets aan de onderneming van de vennootschap maar zal enkel het belang hierin overgedragen worden. Daarbij wordt de pensioenvoorziening, al dan niet gedeeltelijk, tot het ondernemingsvermogen gerekend waardoor deze onder de VPB-faciliteit valt.</w:t>
      </w:r>
      <w:r w:rsidRPr="00676BF6">
        <w:rPr>
          <w:rStyle w:val="Voetnootmarkering"/>
        </w:rPr>
        <w:footnoteReference w:id="80"/>
      </w:r>
      <w:r w:rsidRPr="00676BF6">
        <w:t xml:space="preserve"> </w:t>
      </w:r>
    </w:p>
    <w:p w:rsidR="00F7341E" w:rsidRDefault="00F7341E">
      <w:pPr>
        <w:rPr>
          <w:rFonts w:ascii="Times New Roman" w:hAnsi="Times New Roman"/>
          <w:sz w:val="24"/>
          <w:szCs w:val="20"/>
          <w:u w:val="single"/>
        </w:rPr>
      </w:pPr>
      <w:r>
        <w:br w:type="page"/>
      </w:r>
    </w:p>
    <w:p w:rsidR="00FE2E3C" w:rsidRPr="00C8620B" w:rsidRDefault="00FE2E3C" w:rsidP="00F8338C">
      <w:pPr>
        <w:pStyle w:val="scriptie4"/>
      </w:pPr>
      <w:r w:rsidRPr="00676BF6">
        <w:lastRenderedPageBreak/>
        <w:t>Uitgesloten beleggingsvermogen</w:t>
      </w:r>
    </w:p>
    <w:p w:rsidR="00FE2E3C" w:rsidRPr="00C8620B" w:rsidRDefault="00FE2E3C" w:rsidP="00F8338C">
      <w:pPr>
        <w:pStyle w:val="Scriptienormaal"/>
      </w:pPr>
      <w:r w:rsidRPr="00676BF6">
        <w:t>De objectieve vrijstelling wordt bij toepassing van de VPB-faciliteit beperkt door de aanwezigheid van beleggingsvermogen. Zo wordt alleen het gedeelte van de overdrachtsprijs gefaciliteerd voor zover deze ziet op het ondernemingsvermogen. Dit is het vermogen dat toegerekend kan worden aan de onderneming (volgens artikel 3.2, Wet IB 2001) die door de vennootschap gedreven wordt. Hier bestaat echter een uitzondering op. Omwille van doelmatigheid is ervoor gekozen om maximaal 5% beleggingsvermogen toe te laten tot de faciliteit door dit voor de faciliteit ook als ondernemingsvermogen aan te merken.</w:t>
      </w:r>
      <w:r w:rsidRPr="00676BF6">
        <w:rPr>
          <w:rStyle w:val="Voetnootmarkering"/>
        </w:rPr>
        <w:footnoteReference w:id="81"/>
      </w:r>
      <w:r w:rsidRPr="00676BF6">
        <w:t xml:space="preserve"> </w:t>
      </w:r>
    </w:p>
    <w:p w:rsidR="00FE2E3C" w:rsidRPr="00C8620B" w:rsidRDefault="00FE2E3C" w:rsidP="005D6883">
      <w:pPr>
        <w:pStyle w:val="Scriptienormaal"/>
      </w:pPr>
      <w:r w:rsidRPr="00676BF6">
        <w:t>Wanneer dit vergeleken wordt met  de objectieve vrijstelling bij toepassing van de IB-faciliteit, kan hier een parallel getrokken worden. Immers, het vermogen van een IB-onderneming is per definitie toe te rekenen aan de onderneming volgens artikel 3.2, Wet IB 2001. Een IB-onderneming kan zodoende geen beleggingen aanhouden die niet tot het ondernemingsvermogen kunnen worden gerekend vanwege de toepassing van vermogensetiketteringsregels.</w:t>
      </w:r>
      <w:r w:rsidRPr="00676BF6">
        <w:rPr>
          <w:rStyle w:val="Voetnootmarkering"/>
        </w:rPr>
        <w:footnoteReference w:id="82"/>
      </w:r>
      <w:r w:rsidRPr="00676BF6">
        <w:t xml:space="preserve"> Bij een VPB-onderneming is dit niet het geval. Voor de vennootschapsbelasting wordt de vennootschap geacht een onderneming te drijven met behulp van </w:t>
      </w:r>
      <w:r>
        <w:t>haar</w:t>
      </w:r>
      <w:r w:rsidRPr="00676BF6">
        <w:t xml:space="preserve"> gehele vermogen.</w:t>
      </w:r>
      <w:r w:rsidRPr="00676BF6">
        <w:rPr>
          <w:rStyle w:val="Voetnootmarkering"/>
        </w:rPr>
        <w:footnoteReference w:id="83"/>
      </w:r>
      <w:r w:rsidRPr="00676BF6">
        <w:t xml:space="preserve"> Met de verwijzing naar artikel 3.2, Wet IB 2001 voor toepassing van de VPB-faciliteit wordt voor de toepassing van beide doorschuiffaciliteiten een vergelijkbaar vrij te stellen belastingobject benaderd.</w:t>
      </w:r>
    </w:p>
    <w:p w:rsidR="00FE2E3C" w:rsidRPr="00C8620B" w:rsidRDefault="00FE2E3C" w:rsidP="00F8338C">
      <w:pPr>
        <w:pStyle w:val="Scriptienormaal"/>
      </w:pPr>
      <w:r w:rsidRPr="00676BF6">
        <w:t xml:space="preserve">Een uitzondering hierop geldt ten aanzien van het keuzevermogen. </w:t>
      </w:r>
      <w:r w:rsidR="00A23240">
        <w:t>Bij</w:t>
      </w:r>
      <w:r w:rsidRPr="00676BF6">
        <w:t xml:space="preserve"> het bepalen van het ondernemingsvermogen van een IB-onderneming, kan </w:t>
      </w:r>
      <w:r w:rsidR="00A23240">
        <w:t xml:space="preserve">er </w:t>
      </w:r>
      <w:r w:rsidRPr="00676BF6">
        <w:t>sprake zijn van een vermogensbestanddeel dat deels voor de onderneming en deels voor privégebruik in aanmerking genomen kan worden. Ten aanzien hiervan bestaat voor de ondernemer de keuze om dit vermogen in zijn geheel als ondernemingsvermogen dan wel als privévermogen aan te merken.</w:t>
      </w:r>
      <w:r w:rsidRPr="00676BF6">
        <w:rPr>
          <w:rStyle w:val="Voetnootmarkering"/>
        </w:rPr>
        <w:footnoteReference w:id="84"/>
      </w:r>
      <w:r w:rsidRPr="00676BF6">
        <w:t xml:space="preserve"> Voor een vennootschap bestaat deze mogelijkheid niet. Zo wordt in de parlementaire geschiedenis aangehaald dat ‘</w:t>
      </w:r>
      <w:r w:rsidRPr="00676BF6">
        <w:rPr>
          <w:i/>
        </w:rPr>
        <w:t>een bv naar haar aard die keuze niet maakt</w:t>
      </w:r>
      <w:r w:rsidRPr="00676BF6">
        <w:t>.</w:t>
      </w:r>
      <w:r w:rsidRPr="00676BF6">
        <w:rPr>
          <w:rFonts w:ascii="Arial Unicode MS" w:eastAsia="Arial Unicode MS" w:hAnsi="Arial Unicode MS" w:cs="Arial Unicode MS"/>
          <w:color w:val="333333"/>
          <w:sz w:val="17"/>
          <w:szCs w:val="17"/>
        </w:rPr>
        <w:t xml:space="preserve"> </w:t>
      </w:r>
      <w:r w:rsidRPr="00676BF6">
        <w:rPr>
          <w:i/>
        </w:rPr>
        <w:t>In dit verband wordt dan ook zowel verplicht ondernemingsvermogen als keuzevermogen aangemerkt als ondernemingsvermogen’.</w:t>
      </w:r>
      <w:r w:rsidRPr="00676BF6">
        <w:rPr>
          <w:rStyle w:val="Voetnootmarkering"/>
          <w:i/>
        </w:rPr>
        <w:footnoteReference w:id="85"/>
      </w:r>
      <w:r w:rsidRPr="00676BF6">
        <w:t xml:space="preserve"> Naar mijn mening brengt de aard van een vennootschap niet mee dat een dergelijke keuze niet gemaakt kan worden maar dat een </w:t>
      </w:r>
      <w:r w:rsidRPr="00676BF6">
        <w:lastRenderedPageBreak/>
        <w:t>dergelijke keuze door de VPB-ondernemer al is gemaakt door het vermogensbestanddeel aan de vennootschap te laten toebehoren. Namelijk, het vermogensbestanddeel zou ook gedeeltelijk het eigendom kunnen worden van de natuurlijk persoon zelf. Net als bij een IB-ondernemer bestaat de “keuze” van vermogensetikettering ook waardoor er ten aanzien van het keuzevermogen niet van een onevenwichtige behandeling gesproken kan worden.</w:t>
      </w:r>
    </w:p>
    <w:p w:rsidR="00FE2E3C" w:rsidRPr="00C8620B" w:rsidRDefault="00FE2E3C" w:rsidP="00F8338C">
      <w:pPr>
        <w:pStyle w:val="scriptie4"/>
      </w:pPr>
      <w:r w:rsidRPr="00676BF6">
        <w:t>Invloed overdrachtsprijs</w:t>
      </w:r>
    </w:p>
    <w:p w:rsidR="00FE2E3C" w:rsidRPr="00C8620B" w:rsidRDefault="00FE2E3C" w:rsidP="00F8338C">
      <w:pPr>
        <w:pStyle w:val="Scriptienormaal"/>
      </w:pPr>
      <w:r w:rsidRPr="00676BF6">
        <w:t>Een volgende beperking van de objectieve vrijstelling bij de VPB-faciliteit is dat deze vrijstelling maximaal de overdrachtsprijs verminderd met de tegenprestatie bedraagt. Hierdoor kan, zonder dat sprake is van beleggingsvermogen, bij een gedeeltelijke schenking van een VPB-onderneming de overdrachtswinst op een gedeelte van het aanmerkelijk belang belast zijn. Bij de toepassing van de IB-faciliteit is een ontvangen tegenprestatie niet van belang, het totale vermogen van de onderneming valt hier alsnog binnen de vrijstelling.</w:t>
      </w:r>
    </w:p>
    <w:p w:rsidR="00FE2E3C" w:rsidRPr="00C8620B" w:rsidRDefault="00FE2E3C" w:rsidP="00F8338C">
      <w:pPr>
        <w:pStyle w:val="scriptie4"/>
      </w:pPr>
      <w:r w:rsidRPr="00676BF6">
        <w:t>Preferente aandelen</w:t>
      </w:r>
    </w:p>
    <w:p w:rsidR="00FE2E3C" w:rsidRPr="00C8620B" w:rsidRDefault="00FE2E3C" w:rsidP="00894275">
      <w:pPr>
        <w:pStyle w:val="Scriptienormaal"/>
      </w:pPr>
      <w:r w:rsidRPr="00676BF6">
        <w:t>Uit het, voor artikel 4.17c</w:t>
      </w:r>
      <w:r w:rsidR="00FC4CE8">
        <w:t>,</w:t>
      </w:r>
      <w:r w:rsidRPr="00676BF6">
        <w:t xml:space="preserve"> </w:t>
      </w:r>
      <w:r w:rsidR="00A23240">
        <w:t xml:space="preserve">Wet IB 2001 </w:t>
      </w:r>
      <w:r w:rsidRPr="00676BF6">
        <w:t xml:space="preserve">eveneens van belang zijnde, artikel 4.17a, Wet IB 2001 </w:t>
      </w:r>
      <w:r w:rsidR="00A23240">
        <w:t>vloeit</w:t>
      </w:r>
      <w:r w:rsidRPr="00676BF6">
        <w:t xml:space="preserve"> voort dat de VPB-faciliteit voor het doorschuiven van preferente aandelen wordt beperkt. Net als bij een vennootschap die een medegerechtigheid houdt, wil de wetgever de faciliteit beperken tot de situaties </w:t>
      </w:r>
      <w:r w:rsidR="00A23240">
        <w:t>die zien op</w:t>
      </w:r>
      <w:r w:rsidRPr="00676BF6">
        <w:t xml:space="preserve"> een reële bedrijfsopvolging. Zo dient de achtergrond van de overdracht van de preferente aandelen ook hier een gefaseerde bedrijfsopvolging te zijn. Om als zodanig te kwalificeren dient er </w:t>
      </w:r>
      <w:r>
        <w:t xml:space="preserve">aan </w:t>
      </w:r>
      <w:r w:rsidRPr="00676BF6">
        <w:t>een aantal voorwaarden te worden voldaan. Voor uitleg omtrent deze voorwaarden verwijs ik naar het gedeelte waarin ik in ga op de bepalingen van het derde lid van artikel 4.1</w:t>
      </w:r>
      <w:r w:rsidR="00365199">
        <w:t>7c, Wet IB 2001 in paragraaf 3.1</w:t>
      </w:r>
      <w:r w:rsidRPr="00676BF6">
        <w:t xml:space="preserve">.2. </w:t>
      </w:r>
    </w:p>
    <w:p w:rsidR="00FE2E3C" w:rsidRPr="00C8620B" w:rsidRDefault="00FE2E3C" w:rsidP="00E668C4">
      <w:pPr>
        <w:pStyle w:val="Scriptienormaal"/>
      </w:pPr>
      <w:r w:rsidRPr="00676BF6">
        <w:t>Om de behandeling van de preferente aandelen voor de VPB-faciliteit te vergelijken met een soortgelijke omstandigheid bij de IB-faciliteit, moet eerst gekeken worden of een dergelijke vergelijkbare situatie is aan te wijzen.</w:t>
      </w:r>
    </w:p>
    <w:p w:rsidR="00FE2E3C" w:rsidRPr="00C8620B" w:rsidRDefault="00FE2E3C" w:rsidP="00E668C4">
      <w:pPr>
        <w:pStyle w:val="Scriptienormaal"/>
      </w:pPr>
      <w:r w:rsidRPr="00676BF6">
        <w:t xml:space="preserve">In de parlementaire geschiedenis is bewust geen specifieke definitie is opgenomen. Wel is aangegeven dat het over het algemeen gaat om </w:t>
      </w:r>
      <w:r w:rsidRPr="00676BF6">
        <w:rPr>
          <w:i/>
        </w:rPr>
        <w:t>‘aandelen die alleen recht geven op een, al dan niet cumulatief, vast dividend en niet, ook niet gedeeltelijk, op waardevermeerdering van de aandelen.’</w:t>
      </w:r>
      <w:r w:rsidRPr="00676BF6">
        <w:rPr>
          <w:rStyle w:val="Voetnootmarkering"/>
          <w:i/>
        </w:rPr>
        <w:footnoteReference w:id="86"/>
      </w:r>
      <w:r w:rsidRPr="00676BF6">
        <w:t xml:space="preserve"> Volgens de beredenering van de wetgever lijken de preferente aandelen door deze eigenschappen op een belegging. Zo zullen de werkzaamheden van de preferente </w:t>
      </w:r>
      <w:r w:rsidRPr="00676BF6">
        <w:lastRenderedPageBreak/>
        <w:t xml:space="preserve">aandeelhouder als ondernemer niet bijdragen aan extra inkomsten. Er wordt immers een vast rendement behaald op de aandelen. </w:t>
      </w:r>
    </w:p>
    <w:p w:rsidR="00FE2E3C" w:rsidRPr="00C8620B" w:rsidRDefault="00FE2E3C" w:rsidP="00E668C4">
      <w:pPr>
        <w:pStyle w:val="Scriptienormaal"/>
      </w:pPr>
      <w:r w:rsidRPr="00676BF6">
        <w:t>In vergelijking met de IB-faciliteit kan hier naar mijn mening een parallel getrokken worden met bijvoorbeeld een medegerechtigdheid. Ook hier zijn in eerste instantie niet de ondernemersactiviteiten van belang, maar meer de financiering en het te behalen rendement hierop. Zo is in artikel 3.3, tweede lid, Wet IB 2001 aangegeven dat ook</w:t>
      </w:r>
      <w:r w:rsidR="00070A90">
        <w:t xml:space="preserve"> </w:t>
      </w:r>
      <w:r w:rsidRPr="00676BF6">
        <w:t xml:space="preserve">sprake is van een medegerechtigdheid indien deze zich niet uit strekt tot een eventueel liquidatiesaldo. Daarbij stelt de wetgever gelijkluidende eisen aan een door de vennootschap gehouden medegerechtigdheid voor toepassing van de VPB-faciliteit. Hieruit kan </w:t>
      </w:r>
      <w:r w:rsidR="00070A90">
        <w:t>ten aanzien van</w:t>
      </w:r>
      <w:r w:rsidRPr="00676BF6">
        <w:t xml:space="preserve"> de gedachte van de wetgever een zekere parallel getrokken worden.</w:t>
      </w:r>
    </w:p>
    <w:p w:rsidR="00FE2E3C" w:rsidRPr="00C8620B" w:rsidRDefault="00FE2E3C" w:rsidP="00E0150C">
      <w:pPr>
        <w:pStyle w:val="Scriptie2"/>
        <w:numPr>
          <w:ilvl w:val="1"/>
          <w:numId w:val="10"/>
        </w:numPr>
      </w:pPr>
      <w:bookmarkStart w:id="32" w:name="_Toc300055414"/>
      <w:r w:rsidRPr="00676BF6">
        <w:t>Verschillen in doelstellingen tussen de doorschuiffaciliteiten</w:t>
      </w:r>
      <w:bookmarkEnd w:id="32"/>
    </w:p>
    <w:p w:rsidR="00FE2E3C" w:rsidRPr="00C8620B" w:rsidRDefault="00FE2E3C" w:rsidP="00E0150C">
      <w:pPr>
        <w:pStyle w:val="Scriptienormaal"/>
      </w:pPr>
      <w:r w:rsidRPr="00676BF6">
        <w:t xml:space="preserve">In deze paragraaf zal ik kort weergeven wat de essentiële doelstellingen zijn van de IB- en de VPB-faciliteit. Hierna zal ik nader bespreken of en tot op welke hoogte er een parallel kan worden getrokken tussen beide faciliteiten met betrekking tot de bijbehorende doelstellingen. Hieruit vloeit het toetsingskader voort waarmee de doorschuiffaciliteiten met elkaar vergeleken kunnen worden om tot een vergelijking van de mate van effectiviteit te komen. </w:t>
      </w:r>
    </w:p>
    <w:p w:rsidR="00FE2E3C" w:rsidRPr="00676BF6" w:rsidRDefault="00FE2E3C" w:rsidP="00E0150C">
      <w:pPr>
        <w:pStyle w:val="Scriptie3"/>
        <w:numPr>
          <w:ilvl w:val="2"/>
          <w:numId w:val="10"/>
        </w:numPr>
      </w:pPr>
      <w:bookmarkStart w:id="33" w:name="_Toc300055415"/>
      <w:r w:rsidRPr="00676BF6">
        <w:t>Vergelijking doelstellingen doorschuiffaciliteiten</w:t>
      </w:r>
      <w:bookmarkEnd w:id="33"/>
    </w:p>
    <w:p w:rsidR="00FE2E3C" w:rsidRPr="00676BF6" w:rsidRDefault="00FE2E3C" w:rsidP="00E0150C">
      <w:pPr>
        <w:pStyle w:val="scriptie4"/>
      </w:pPr>
      <w:r w:rsidRPr="00676BF6">
        <w:t>IB-faciliteit</w:t>
      </w:r>
    </w:p>
    <w:p w:rsidR="00FE2E3C" w:rsidRPr="00C8620B" w:rsidRDefault="00FE2E3C" w:rsidP="00E0150C">
      <w:pPr>
        <w:pStyle w:val="Scriptienormaal"/>
      </w:pPr>
      <w:r w:rsidRPr="00676BF6">
        <w:t xml:space="preserve">Met de invoering van de voorloper van de huidige doorschuifregeling voor de IB-onderneming is beoogd om de fiscaliteit minder van belang te laten zijn bij het overdragen van de onderneming. Zo kan ten eerste belastingheffing op een overdrachtstijdstip de continuïteit aantasten. Door het invoeren van een faciliteit wordt dit tegengegaan. Daarnaast wordt, door een parallel te trekken met de faciliteit bij de overdracht krachtens erfrecht, een fiscale stimulans geëlimineerd om met de overdracht te wachten tot het moment van overlijden van de ondernemer. Zo wordt getracht de overdracht van de onderneming op een passender tijdstip plaats te laten vinden. </w:t>
      </w:r>
    </w:p>
    <w:p w:rsidR="00FE2E3C" w:rsidRPr="00C8620B" w:rsidRDefault="00FE2E3C" w:rsidP="00E0150C">
      <w:pPr>
        <w:pStyle w:val="Scriptienormaal"/>
      </w:pPr>
      <w:r w:rsidRPr="00676BF6">
        <w:t xml:space="preserve">Met het uitbreiden van de faciliteit in artikel 3.63, Wet IB 2001 is gedeeltelijk juist weer getracht fiscaal invloed uit te oefenen op de overdracht van de onderneming. Zo wordt gesteld dat de regeling zal bijdragen aan de overdracht van kennis tussen de overdragende en de </w:t>
      </w:r>
      <w:r w:rsidRPr="00676BF6">
        <w:lastRenderedPageBreak/>
        <w:t>voortzettende ondernemer door de gestelde ondernemers- en werknemerseis. Ook is het de bedoeling geweest om met de verruiming fiscale aspecten bij de overdracht te verminderen doordat het karakter meer generiek is geworden als gevolg van het feit dat eisen voor toepassing van de faciliteit zijn versoepeld. Het primaire doel hierbij is het stimuleren van ondernemerschap.</w:t>
      </w:r>
    </w:p>
    <w:p w:rsidR="00FE2E3C" w:rsidRPr="00C8620B" w:rsidRDefault="00FE2E3C" w:rsidP="00E0150C">
      <w:pPr>
        <w:pStyle w:val="scriptie4"/>
      </w:pPr>
      <w:r w:rsidRPr="00676BF6">
        <w:t>VPB-faciliteit</w:t>
      </w:r>
    </w:p>
    <w:p w:rsidR="00FE2E3C" w:rsidRPr="00C8620B" w:rsidRDefault="00FE2E3C" w:rsidP="00E0150C">
      <w:pPr>
        <w:pStyle w:val="Scriptienormaal"/>
      </w:pPr>
      <w:r w:rsidRPr="00676BF6">
        <w:t>De doorschuiffaciliteit van artikel 4.17c, Wet IB 2001 is ontstaan vanuit de analyse van de positie van het ondernemerschap in Nederland. Hierbij is de gedachte opgekomen om het ondernemerschap te stimuleren door onder andere de VPB-faciliteit in de voeren. Zo kan door de faciliteit fiscale afrekening voorkomen worden waardoor de continuïteit en de duurzaamheid van de onderneming door een reële bedrijfsopvolging niet nadelig wordt beïnvloed.</w:t>
      </w:r>
    </w:p>
    <w:p w:rsidR="00FE2E3C" w:rsidRPr="00C8620B" w:rsidRDefault="00FE2E3C" w:rsidP="00E0150C">
      <w:pPr>
        <w:pStyle w:val="Scriptienormaal"/>
      </w:pPr>
      <w:r w:rsidRPr="00676BF6">
        <w:t>Verder wordt beoogd om met de introductie van de faciliteit bij schenking meer eenduidigheid te bereiken ten aanzien van de faciliteit bij vererving. Hierdoor zal tegengegaan worden dat de fiscaliteit invloed uitoefent op het overdrachtstijdstip omdat het niet aantrekkelijker is om hiermee te wachten tot h</w:t>
      </w:r>
      <w:r>
        <w:t>et moment van overlijden. Ook</w:t>
      </w:r>
      <w:r w:rsidRPr="00676BF6">
        <w:t xml:space="preserve"> is tijdens het wetgevingsproces specifiek aangegeven dat ook meer eenduidigheid wordt beoogd omdat dit de eenvou</w:t>
      </w:r>
      <w:r w:rsidR="006D1812">
        <w:t>d</w:t>
      </w:r>
      <w:r w:rsidRPr="00676BF6">
        <w:t xml:space="preserve"> en rechtsvormneutraliteit ten goede komt doordat bepaalde criteria van de doorschuiffaciliteiten gedeeld worden.</w:t>
      </w:r>
    </w:p>
    <w:p w:rsidR="00FE2E3C" w:rsidRPr="00C8620B" w:rsidRDefault="00FE2E3C" w:rsidP="00E0150C">
      <w:pPr>
        <w:pStyle w:val="scriptie4"/>
      </w:pPr>
      <w:r w:rsidRPr="00676BF6">
        <w:t>Gemeenschappelijke doelstellingen</w:t>
      </w:r>
    </w:p>
    <w:p w:rsidR="00FE2E3C" w:rsidRPr="00C8620B" w:rsidRDefault="00FE2E3C" w:rsidP="00E0150C">
      <w:pPr>
        <w:pStyle w:val="Scriptienormaal"/>
      </w:pPr>
      <w:r w:rsidRPr="00676BF6">
        <w:t xml:space="preserve">Wanneer de achtergronden van de IB- en de VPB-faciliteit met elkaar vergeleken worden, kunnen </w:t>
      </w:r>
      <w:r w:rsidR="006D1812">
        <w:t>meerdere</w:t>
      </w:r>
      <w:r w:rsidRPr="00676BF6">
        <w:t xml:space="preserve"> overeenkomsten gevonden worden. </w:t>
      </w:r>
    </w:p>
    <w:p w:rsidR="00FE2E3C" w:rsidRPr="00C8620B" w:rsidRDefault="00FE2E3C" w:rsidP="00E0150C">
      <w:pPr>
        <w:pStyle w:val="Scriptienormaal"/>
      </w:pPr>
      <w:r w:rsidRPr="00676BF6">
        <w:t>Bij beide faciliteiten is, al dan niet beperkt, aansluiting gezocht bij de faciliteiten bij overlijden waardoor de fiscale invloed op het tijdstip van overdracht verminder</w:t>
      </w:r>
      <w:r w:rsidR="006D1812">
        <w:t>d</w:t>
      </w:r>
      <w:r w:rsidR="00070A90">
        <w:t xml:space="preserve">. </w:t>
      </w:r>
      <w:r w:rsidRPr="00676BF6">
        <w:t xml:space="preserve">Primair wordt hierbij beoogd de invloed van een fiscale afrekening bij de overdracht van een onderneming tegen te gaan. Hierdoor dient de faciliteit de continuïteit van de onderneming te bevorderen. </w:t>
      </w:r>
    </w:p>
    <w:p w:rsidR="00FE2E3C" w:rsidRPr="00C8620B" w:rsidRDefault="00FE2E3C" w:rsidP="00E0150C">
      <w:pPr>
        <w:pStyle w:val="Scriptienormaal"/>
      </w:pPr>
      <w:r w:rsidRPr="00676BF6">
        <w:t xml:space="preserve">Ook is voor beide faciliteiten van belang dat een overdracht op duurzaamheid ondersteund wordt. Ten aanzien van de werknemerseis van de VPB-faciliteit is specifiek aansluiting gezocht bij de vergelijkbare eis van de IB-faciliteit. </w:t>
      </w:r>
    </w:p>
    <w:p w:rsidR="00FE2E3C" w:rsidRPr="00C8620B" w:rsidRDefault="00FE2E3C" w:rsidP="00E0150C">
      <w:pPr>
        <w:pStyle w:val="Scriptienormaal"/>
      </w:pPr>
      <w:r w:rsidRPr="00676BF6">
        <w:lastRenderedPageBreak/>
        <w:t>Aldus, er bestaan tussen bovenstaande doelstellingen van beide faciliteiten in essentie geen verschillen. Dat met betrekking tot de primaire doelstellingen van beide faciliteiten weinig verschillen bestaan wordt ondersteund door het feit dat bij de totstandkoming van de VPB-faciliteit specifiek wordt verwezen naar de doorschuiffaciliteiten voor de IB-onderneming om tot een evenwichtige en eenduidige wetgeving te komen.</w:t>
      </w:r>
    </w:p>
    <w:p w:rsidR="00FE2E3C" w:rsidRPr="00C8620B" w:rsidRDefault="00FE2E3C" w:rsidP="00E0150C">
      <w:pPr>
        <w:pStyle w:val="Scriptienormaal"/>
      </w:pPr>
      <w:r w:rsidRPr="00676BF6">
        <w:t xml:space="preserve">Bij de toetsing of de doorschuiffaciliteiten in evenwicht zijn met betrekking tot de effectiviteit, zijn de overeenkomstige doelstellingen van belang. Ten aanzien van deze doelstellingen zullen beide faciliteiten aan elkaar getoetst worden. Kortweg kan gesteld worden dat het gemeenschappelijke doel van de doorschuiffaciliteiten als volgt kan worden weergegeven: </w:t>
      </w:r>
      <w:r w:rsidRPr="00676BF6">
        <w:rPr>
          <w:i/>
          <w:iCs/>
        </w:rPr>
        <w:t>met de doorschuiffaciliteiten wordt beoogd om de continuïteit van de onderneming en het tijdstip van overdracht naar aanleiding van een duurzame bedrijfsoverdracht niet door de fiscale afrekening te laten beïnvloeden</w:t>
      </w:r>
      <w:r w:rsidRPr="00676BF6">
        <w:t xml:space="preserve">. </w:t>
      </w:r>
      <w:r>
        <w:t xml:space="preserve">Hieruit kan de </w:t>
      </w:r>
      <w:r w:rsidRPr="00676BF6">
        <w:t>continuïteitsgedachte en het streven naar een duurzame overdracht worden ontlee</w:t>
      </w:r>
      <w:r>
        <w:t>n</w:t>
      </w:r>
      <w:r w:rsidRPr="00676BF6">
        <w:t xml:space="preserve">d. </w:t>
      </w:r>
      <w:r w:rsidR="00070A90">
        <w:t>I</w:t>
      </w:r>
      <w:r w:rsidRPr="00676BF6">
        <w:t>n het vervolg</w:t>
      </w:r>
      <w:r w:rsidR="00070A90">
        <w:t xml:space="preserve"> </w:t>
      </w:r>
      <w:r w:rsidR="00070A90" w:rsidRPr="00676BF6">
        <w:t>verwijs ik</w:t>
      </w:r>
      <w:r w:rsidR="00070A90">
        <w:t xml:space="preserve"> hiernaar</w:t>
      </w:r>
      <w:r w:rsidRPr="00676BF6">
        <w:t xml:space="preserve"> indien ik spreek over de doelstelling van één of beide faciliteiten.</w:t>
      </w:r>
    </w:p>
    <w:p w:rsidR="00FE2E3C" w:rsidRPr="00676BF6" w:rsidRDefault="00FE2E3C" w:rsidP="00D22C4F">
      <w:pPr>
        <w:pStyle w:val="Scriptie1"/>
        <w:numPr>
          <w:ilvl w:val="0"/>
          <w:numId w:val="10"/>
        </w:numPr>
      </w:pPr>
      <w:r w:rsidRPr="00676BF6">
        <w:br w:type="page"/>
      </w:r>
      <w:bookmarkStart w:id="34" w:name="_Toc300055416"/>
      <w:r w:rsidRPr="00676BF6">
        <w:lastRenderedPageBreak/>
        <w:t>Toetsing rechtvaardigheid</w:t>
      </w:r>
      <w:bookmarkEnd w:id="34"/>
    </w:p>
    <w:p w:rsidR="00FE2E3C" w:rsidRPr="00C8620B" w:rsidRDefault="00FE2E3C" w:rsidP="00DE10DC">
      <w:pPr>
        <w:pStyle w:val="Scriptienormaal"/>
      </w:pPr>
      <w:r w:rsidRPr="00676BF6">
        <w:t xml:space="preserve">In hoofdstuk twee zijn drie criteria gegeven waaraan de doorschuiffaciliteiten zullen worden getoetst om tot een vergelijking tussen deze regelingen te komen. Een van deze criteria betreft de rechtvaardigheid. Ten aanzien hiervan heb ik kort beschreven wat het criterium rechtvaardigheid inhoudt. Zo luidt de strekking hiervan dat economisch gelijke gevallen gelijk behandeld dienen te worden. </w:t>
      </w:r>
    </w:p>
    <w:p w:rsidR="00FE2E3C" w:rsidRPr="00C8620B" w:rsidRDefault="00FE2E3C" w:rsidP="0009530F">
      <w:pPr>
        <w:pStyle w:val="Scriptienormaal"/>
      </w:pPr>
      <w:r w:rsidRPr="00676BF6">
        <w:t xml:space="preserve">In dit hoofdstuk zal ik de doorschuiffaciliteiten toetsen aan </w:t>
      </w:r>
      <w:r w:rsidR="007B6C12" w:rsidRPr="00676BF6">
        <w:t>D</w:t>
      </w:r>
      <w:r w:rsidR="007B6C12">
        <w:t>it beginsel van</w:t>
      </w:r>
      <w:r w:rsidRPr="00676BF6">
        <w:t xml:space="preserve"> rechtvaardigheid. Dit zal ik doen door de verschillen in de uitwerking van de doorschuiffaciliteiten, zoals ik deze heb beschreven in paragaaf 3.3, met elkaar te vergelijken. </w:t>
      </w:r>
      <w:r w:rsidR="00BB1F01">
        <w:t>Aan de hand van deze vergelijking</w:t>
      </w:r>
      <w:r w:rsidRPr="00676BF6">
        <w:t xml:space="preserve"> zal ik beoordelen of er voor deze verschillen</w:t>
      </w:r>
      <w:r w:rsidR="00BB1F01">
        <w:t xml:space="preserve"> in</w:t>
      </w:r>
      <w:r w:rsidRPr="00676BF6">
        <w:t xml:space="preserve"> behandeling een rechtvaardiging bestaat.  </w:t>
      </w:r>
      <w:r>
        <w:t xml:space="preserve">Hier is </w:t>
      </w:r>
      <w:r w:rsidRPr="00676BF6">
        <w:t>sprake van indien de IB- en de VPB-onderneming, op het punt waar het verschil op ziet, zodanig niet met elkaar vergelijkbaar zijn dat niet meer kan worden gesproken over economisch gelijke gevallen. Indien een rechtvaardiging niet bestaat, zal er op dit specifieke punt onevenwichtigheid bestaan ten aanzien van de rechtvaardigheid van de doorschuifregelingen.</w:t>
      </w:r>
    </w:p>
    <w:p w:rsidR="00FE2E3C" w:rsidRPr="00C8620B" w:rsidRDefault="00FE2E3C" w:rsidP="000952B5">
      <w:pPr>
        <w:pStyle w:val="Scriptienormaal"/>
        <w:rPr>
          <w:color w:val="FF0000"/>
        </w:rPr>
      </w:pPr>
      <w:r w:rsidRPr="00676BF6">
        <w:t>Hierna zal ik de doorschuiffaciliteiten per onderdeel analyseren. Hierbij zal ik een onderverdeling maken tussen onderdelen met betrekking tot het belastingsubject en</w:t>
      </w:r>
      <w:r>
        <w:t xml:space="preserve"> met betrekking tot</w:t>
      </w:r>
      <w:r w:rsidRPr="00676BF6">
        <w:t xml:space="preserve"> het belastingobject.</w:t>
      </w:r>
      <w:r w:rsidRPr="00676BF6">
        <w:rPr>
          <w:rStyle w:val="Voetnootmarkering"/>
        </w:rPr>
        <w:footnoteReference w:id="87"/>
      </w:r>
      <w:r w:rsidRPr="00676BF6">
        <w:t xml:space="preserve"> Verder zal ik alleen tot een beschrijving van een onderdeel komen voor zover deze van belang zijn ten aanzien van de mate van rechtvaardigheid. In dit hoofdstuk zal ik de verschillen in uitwerking van de doorschuiffaciliteiten niet gedetailleerd beschrijven, hiervoor verwijs ik naar paragraaf 3.3. </w:t>
      </w:r>
    </w:p>
    <w:p w:rsidR="00FE2E3C" w:rsidRPr="00676BF6" w:rsidRDefault="00422DF9" w:rsidP="00EF51C9">
      <w:pPr>
        <w:pStyle w:val="Scriptie2"/>
        <w:numPr>
          <w:ilvl w:val="1"/>
          <w:numId w:val="10"/>
        </w:numPr>
      </w:pPr>
      <w:bookmarkStart w:id="35" w:name="_Toc300055417"/>
      <w:r>
        <w:t>B</w:t>
      </w:r>
      <w:r w:rsidR="00FE2E3C" w:rsidRPr="00676BF6">
        <w:t>elastingsubject</w:t>
      </w:r>
      <w:bookmarkEnd w:id="35"/>
    </w:p>
    <w:p w:rsidR="00FE2E3C" w:rsidRPr="00676BF6" w:rsidRDefault="00FE2E3C" w:rsidP="00EF51C9">
      <w:pPr>
        <w:pStyle w:val="Scriptie3"/>
        <w:numPr>
          <w:ilvl w:val="2"/>
          <w:numId w:val="10"/>
        </w:numPr>
      </w:pPr>
      <w:bookmarkStart w:id="36" w:name="_Toc300055418"/>
      <w:r w:rsidRPr="00676BF6">
        <w:t>Kwalificerende ondernemer</w:t>
      </w:r>
      <w:bookmarkEnd w:id="36"/>
    </w:p>
    <w:p w:rsidR="00FE2E3C" w:rsidRPr="00C8620B" w:rsidRDefault="00FE2E3C" w:rsidP="00DE10DC">
      <w:pPr>
        <w:pStyle w:val="Scriptienormaal"/>
        <w:rPr>
          <w:color w:val="FF0000"/>
        </w:rPr>
      </w:pPr>
      <w:r w:rsidRPr="00676BF6">
        <w:t xml:space="preserve">De keuze van de wetgever om een aandelenbezit als een aanmerkelijk belang aan te merken indien het bezit voor meer dan 5% gehouden wordt, is arbitrair te noemen. Echter, omdat in het huidige belastingstelsel de splitsing voor de inkomstenbelasting tussen box 2 en box 3 gemaakt wordt, dient ergens een grens getrokken te worden. Aldus, het verschil komt voort </w:t>
      </w:r>
      <w:r w:rsidRPr="00676BF6">
        <w:lastRenderedPageBreak/>
        <w:t>uit het belastingregime dat een onderscheid maakt tussen box 2 en box 3 en niet door een verschil tussen de doorschuiffaciliteiten. Voorts kan worden gesteld dat het een logisch gevolg is dat enkel een doorschuifregeling voor de box-2-heffing van belang is. Een vervreemding van een aandelenbelang dat tot het box 3 vermogen behoort, zorgt immers niet voor extra te betalen belasting. Er wordt in de situatie van een overdracht geen extra belasting geheven vergeleken met de situatie dat de onderneming niet wordt overgedragen.</w:t>
      </w:r>
      <w:r w:rsidRPr="00676BF6">
        <w:rPr>
          <w:rStyle w:val="Voetnootmarkering"/>
        </w:rPr>
        <w:footnoteReference w:id="88"/>
      </w:r>
      <w:r w:rsidRPr="00676BF6">
        <w:t xml:space="preserve"> Geconcludeerd kan worden dat voor de aanvullende eis dat er sprake moet zijn van een (fictief) aanmerkelijk belang een rechtvaardiging bestaat.</w:t>
      </w:r>
    </w:p>
    <w:p w:rsidR="00FE2E3C" w:rsidRPr="00C8620B" w:rsidRDefault="00FE2E3C" w:rsidP="00DE10DC">
      <w:pPr>
        <w:pStyle w:val="Scriptienormaal"/>
      </w:pPr>
      <w:r w:rsidRPr="00676BF6">
        <w:t xml:space="preserve">De vraag of er voor het uitsluiten van een aanmerkelijk belang als gevolg van de meetrekregeling voor toepassing van de VPB-faciliteit ook een rechtvaardiging bestaat, is hiermee nog niet beantwoord. Om een voor een IB-onderneming vergelijkbare situatie aan te geven, kan er gekeken worden naar </w:t>
      </w:r>
      <w:r>
        <w:t xml:space="preserve">de </w:t>
      </w:r>
      <w:r w:rsidRPr="00676BF6">
        <w:t xml:space="preserve">mogelijkheid dat een klein belang gehouden wordt in een IB-onderneming of een medegerechtigdheid. De inkomsten hieruit zullen belast worden in box 1 en voor de overdracht hiervan kan in beginsel de IB-faciliteit toegepast worden. Indien volgens de meetrekregeling een aanmerkelijk belang gehouden wordt, zullen de inkomsten hieruit wel belast worden in box 2 maar toepassing van de VPB-faciliteit is hiervoor uitgesloten. </w:t>
      </w:r>
    </w:p>
    <w:p w:rsidR="00FE2E3C" w:rsidRPr="00C8620B" w:rsidRDefault="00FE2E3C" w:rsidP="005D6883">
      <w:pPr>
        <w:pStyle w:val="Scriptienormaal"/>
      </w:pPr>
      <w:r w:rsidRPr="00676BF6">
        <w:t>De reden dat de VPB-faciliteit ten aanzien van een meetrek-aanmerkelijk belang niet toegepast kan worden, vindt zijn oorsprong in het voorkomen van misbruik. De wetgever acht het niet wenselijk om een dergelijk aanmerkelijkbelanghouder een faciliteit te laten toepassen omdat deze door het ger</w:t>
      </w:r>
      <w:r>
        <w:t>inge belang niet als ondernemer</w:t>
      </w:r>
      <w:r w:rsidRPr="00676BF6">
        <w:t xml:space="preserve"> k</w:t>
      </w:r>
      <w:r>
        <w:t>a</w:t>
      </w:r>
      <w:r w:rsidRPr="00676BF6">
        <w:t>n worden aangemerkt.</w:t>
      </w:r>
      <w:r w:rsidRPr="00676BF6">
        <w:rPr>
          <w:rStyle w:val="Voetnootmarkering"/>
        </w:rPr>
        <w:footnoteReference w:id="89"/>
      </w:r>
      <w:r w:rsidRPr="00676BF6">
        <w:t xml:space="preserve"> </w:t>
      </w:r>
    </w:p>
    <w:p w:rsidR="00FE2E3C" w:rsidRPr="00C8620B" w:rsidRDefault="00FE2E3C" w:rsidP="00DE10DC">
      <w:pPr>
        <w:pStyle w:val="Scriptienormaal"/>
      </w:pPr>
      <w:r w:rsidRPr="00676BF6">
        <w:t>Tegen voor</w:t>
      </w:r>
      <w:r w:rsidR="00070A90">
        <w:t>ge</w:t>
      </w:r>
      <w:r w:rsidRPr="00676BF6">
        <w:t>noemd argument kan worden ingebracht dat een aandelenbezit van 100% ook geen “ondernemerschap” garandeert waardoor de regeling in principe geen invloed heeft op het tegengaan van dit misbruik. Zo kan het verschil in behandeling tussen de IB- en de VPB-faciliteit niet gerechtvaardigd worden. Namelijk in vergelijkbare omstandigheden zal voor toepassing van de IB-faciliteit geen eis worden gesteld aan de grootte van het belang in de IB-onderneming of het belang van de medegerechtigdheid. Voor de afwijkende behandeling van een meetrek-aanmerkelijk belang bestaat geen rechtvaardiging.</w:t>
      </w:r>
    </w:p>
    <w:p w:rsidR="00FE2E3C" w:rsidRPr="00676BF6" w:rsidRDefault="00FE2E3C" w:rsidP="00EF51C9">
      <w:pPr>
        <w:pStyle w:val="Scriptie3"/>
        <w:numPr>
          <w:ilvl w:val="2"/>
          <w:numId w:val="10"/>
        </w:numPr>
      </w:pPr>
      <w:r>
        <w:br w:type="page"/>
      </w:r>
      <w:bookmarkStart w:id="37" w:name="_Toc300055419"/>
      <w:r w:rsidRPr="00676BF6">
        <w:lastRenderedPageBreak/>
        <w:t>Medegerechtigdheid</w:t>
      </w:r>
      <w:bookmarkEnd w:id="37"/>
    </w:p>
    <w:p w:rsidR="00FE2E3C" w:rsidRPr="00C8620B" w:rsidRDefault="00FE2E3C" w:rsidP="00AC6F4C">
      <w:pPr>
        <w:pStyle w:val="Scriptienormaal"/>
      </w:pPr>
      <w:r w:rsidRPr="00676BF6">
        <w:t>De reden dat de VPB-faciliteit aanvullende eisen stelt met betrekking tot de medegerechtigdheid ziet op de wens van de wetgever om hier enkel gefaseerde bedrijfsoverdrachten te faciliteren. De overdracht van een medegerechtigdheid kan volgens de Memorie van Toelichting gezien worden als een reële bedrijfsoverdracht als aan de gestelde voorwaarden wordt voldaan.</w:t>
      </w:r>
      <w:r w:rsidRPr="00676BF6">
        <w:rPr>
          <w:rStyle w:val="Voetnootmarkering"/>
        </w:rPr>
        <w:footnoteReference w:id="90"/>
      </w:r>
      <w:r w:rsidRPr="00676BF6">
        <w:t xml:space="preserve">  De gedachten hierachter komen voort uit de bedrijfsopvolgingsfaciliteiten van de successiewet.</w:t>
      </w:r>
      <w:r w:rsidRPr="00676BF6">
        <w:rPr>
          <w:rStyle w:val="Voetnootmarkering"/>
        </w:rPr>
        <w:footnoteReference w:id="91"/>
      </w:r>
      <w:r w:rsidRPr="00676BF6">
        <w:t xml:space="preserve"> Zo heeft de Staatssecretaris nogmaals toegelicht wat moet worden verstaan onder een reële bedrijfsoverdracht. Hier is sprake van indien een overdracht “</w:t>
      </w:r>
      <w:r w:rsidRPr="00676BF6">
        <w:rPr>
          <w:i/>
        </w:rPr>
        <w:t>van een «onderneming» door een «ondernemer», die de onderneming enige tijd heeft gedreven, aan een bedrijfsopvolger, die de onderneming «als ondernemer voortzet». Hierbij maakt het niet uit of de onderneming rechtstreeks of door middel van bijvoorbeeld een BV wordt gedreven.</w:t>
      </w:r>
      <w:r w:rsidRPr="00676BF6">
        <w:t>”</w:t>
      </w:r>
      <w:r w:rsidRPr="00676BF6">
        <w:rPr>
          <w:rStyle w:val="Voetnootmarkering"/>
        </w:rPr>
        <w:t xml:space="preserve"> </w:t>
      </w:r>
      <w:r w:rsidRPr="00676BF6">
        <w:rPr>
          <w:rStyle w:val="Voetnootmarkering"/>
        </w:rPr>
        <w:footnoteReference w:id="92"/>
      </w:r>
    </w:p>
    <w:p w:rsidR="00FE2E3C" w:rsidRPr="00C8620B" w:rsidRDefault="00BB1F01" w:rsidP="00E40959">
      <w:pPr>
        <w:pStyle w:val="Scriptienormaal"/>
      </w:pPr>
      <w:r>
        <w:t>Deze argumenten kunnen</w:t>
      </w:r>
      <w:r w:rsidR="00FE2E3C" w:rsidRPr="00676BF6">
        <w:t xml:space="preserve"> niet alleen toegepast worden op een gehouden vennootschap. Ook een medegerechtigdheid voor de inkomstenbelasting zal volgens de definitie van de Staatssecretaris niet onder een reële bedrijfsoverdracht vallen. Ik zie dan ook geen reden om  een medegerechtigdheid die door een vennootschap gehouden wordt anders te behandelen dan een medegerechtigdheid voor de inkomstenbelasting indien deze wor</w:t>
      </w:r>
      <w:r>
        <w:t>dt</w:t>
      </w:r>
      <w:r w:rsidR="00FE2E3C" w:rsidRPr="00676BF6">
        <w:t xml:space="preserve"> overgedragen. Derhalve is sprake van gelijke gevallen waarbij een onderscheid in behandeling niet gerechtvaardigd kan worden.</w:t>
      </w:r>
    </w:p>
    <w:p w:rsidR="00FE2E3C" w:rsidRPr="00676BF6" w:rsidRDefault="00FE2E3C" w:rsidP="00EF51C9">
      <w:pPr>
        <w:pStyle w:val="Scriptie3"/>
        <w:numPr>
          <w:ilvl w:val="2"/>
          <w:numId w:val="10"/>
        </w:numPr>
      </w:pPr>
      <w:bookmarkStart w:id="38" w:name="_Toc300055420"/>
      <w:r w:rsidRPr="00676BF6">
        <w:t>Voortzettingsvereiste</w:t>
      </w:r>
      <w:bookmarkEnd w:id="38"/>
    </w:p>
    <w:p w:rsidR="00FE2E3C" w:rsidRPr="00C8620B" w:rsidRDefault="00FE2E3C" w:rsidP="00DE10DC">
      <w:pPr>
        <w:pStyle w:val="Scriptienormaal"/>
      </w:pPr>
      <w:r w:rsidRPr="00676BF6">
        <w:t>Ten aanzien van het voortzettingsvereiste van de IB-faciliteit is in de parlementaire geschiedenis niet direct verwoord waarom het voortzettingsvereiste in het leven is geroepen. Wel wordt verwezen naar een gelijkluidend vereiste voor de faciliteiten met betrekking tot de geruisloze omzetting en de geruisloze terugkeer. Het vereiste bij de geruisloze omzetting moet voorkomen dat hiervan oneigenlijk gebruik kan worden gemaakt door kort na het toepassen van de faciliteit de onderneming of een wezenlijk onderdeel hiervan te vervreemden.</w:t>
      </w:r>
      <w:r w:rsidRPr="00676BF6">
        <w:rPr>
          <w:rStyle w:val="Voetnootmarkering"/>
        </w:rPr>
        <w:footnoteReference w:id="93"/>
      </w:r>
      <w:r w:rsidRPr="00676BF6">
        <w:t xml:space="preserve"> De wetgever heeft aangegeven dat deze constructie ook het gebruik van de IB-faciliteit in de weg staat.</w:t>
      </w:r>
      <w:r w:rsidRPr="00676BF6">
        <w:rPr>
          <w:rStyle w:val="Voetnootmarkering"/>
        </w:rPr>
        <w:footnoteReference w:id="94"/>
      </w:r>
      <w:r w:rsidRPr="00676BF6">
        <w:t xml:space="preserve"> </w:t>
      </w:r>
    </w:p>
    <w:p w:rsidR="00FE2E3C" w:rsidRPr="00C8620B" w:rsidRDefault="00BB1F01" w:rsidP="00DE10DC">
      <w:pPr>
        <w:pStyle w:val="Scriptienormaal"/>
      </w:pPr>
      <w:r>
        <w:lastRenderedPageBreak/>
        <w:t xml:space="preserve">Dit vereiste kan verduidelijkt worden aan de hand van </w:t>
      </w:r>
      <w:r w:rsidR="00FE2E3C" w:rsidRPr="00676BF6">
        <w:t>een passage uit de parlementaire geschiedenis. In de algemene toelichting op de voorgestelde verruiming van de doorschuifregeling wordt gesproken over de gedachte dat de faciliteit geen generiek karakter moet krijgen. Immers, het uitgangspunt moet blijven gelden dat een normale verkoop dient te leiden tot afrekening.</w:t>
      </w:r>
      <w:r w:rsidR="00FE2E3C" w:rsidRPr="00676BF6">
        <w:rPr>
          <w:rStyle w:val="Voetnootmarkering"/>
        </w:rPr>
        <w:footnoteReference w:id="95"/>
      </w:r>
      <w:r w:rsidR="00FE2E3C" w:rsidRPr="00676BF6">
        <w:t xml:space="preserve"> De faciliteit dient daarom alleen toegepast te worden indien sprake is van een duurzame overdracht naar een voor de faciliteit kwalificerende ondernemer. Met het “verbod” op een direct opvolgende verkoop of liquidatie wordt getracht aan te sluiten bij de realiteit om zo het gebruik in andere situaties te voorkomen. Indien de overdracht naar een mede</w:t>
      </w:r>
      <w:r>
        <w:t>-</w:t>
      </w:r>
      <w:r w:rsidR="00FE2E3C" w:rsidRPr="00676BF6">
        <w:t>ondernemer enkel dient als tussenstap zonder dat hier een zakelijke</w:t>
      </w:r>
      <w:r>
        <w:t>,</w:t>
      </w:r>
      <w:r w:rsidR="00FE2E3C" w:rsidRPr="00676BF6">
        <w:t xml:space="preserve"> niet-fiscale reden voor bestaat, dient de faciliteit niet toegepast te worden.</w:t>
      </w:r>
    </w:p>
    <w:p w:rsidR="00FE2E3C" w:rsidRPr="00C8620B" w:rsidRDefault="00FE2E3C" w:rsidP="00DE10DC">
      <w:pPr>
        <w:pStyle w:val="Scriptienormaal"/>
      </w:pPr>
      <w:r w:rsidRPr="00676BF6">
        <w:t xml:space="preserve">Nu kan de vraag gesteld worden of het voortzettingsvereiste ook van belang is voor de VPB-faciliteit. De onderneming zelf zal in beginsel niet afhankelijk zijn van de overdracht omdat enkel het belang in de onderneming wordt overgedragen en de onderneming onderdeel blijft van de vennootschap. </w:t>
      </w:r>
    </w:p>
    <w:p w:rsidR="00FE2E3C" w:rsidRPr="00C8620B" w:rsidRDefault="00FE2E3C" w:rsidP="00DE10DC">
      <w:pPr>
        <w:pStyle w:val="Scriptienormaal"/>
      </w:pPr>
      <w:r w:rsidRPr="00676BF6">
        <w:t xml:space="preserve">Wanneer er gekeken wordt naar het beoogde doel van het voortzettingsvereiste, dan kan worden gesteld dat hiermee wordt bereikt dat de faciliteit alleen kan worden toegepast indien de intentie bestaat om de situatie die na de overdracht ontstaat voort te zetten. De voortzettende ondernemer zal ten tijde van de overdracht </w:t>
      </w:r>
      <w:r>
        <w:t>d</w:t>
      </w:r>
      <w:r w:rsidRPr="00676BF6">
        <w:t xml:space="preserve">e intentie moeten hebben om de onderneming voort te zetten. </w:t>
      </w:r>
    </w:p>
    <w:p w:rsidR="00FE2E3C" w:rsidRPr="00C8620B" w:rsidRDefault="00FE2E3C" w:rsidP="005D6883">
      <w:pPr>
        <w:pStyle w:val="Scriptienormaal"/>
      </w:pPr>
      <w:r w:rsidRPr="00676BF6">
        <w:t xml:space="preserve">Ook voor toepassing van de VPB-faciliteit is het voorgenoemde vereiste relevant. Ook hier kan een overdracht van een vennootschap onderdeel zijn van een geheel van rechtshandelingen die </w:t>
      </w:r>
      <w:r w:rsidR="00BB1F01">
        <w:t>zijn</w:t>
      </w:r>
      <w:r w:rsidRPr="00676BF6">
        <w:t xml:space="preserve"> gericht op de dooroverdracht of liquidatie van</w:t>
      </w:r>
      <w:r w:rsidR="00070A90">
        <w:t xml:space="preserve"> de onderneming. Net als bij </w:t>
      </w:r>
      <w:r w:rsidRPr="00676BF6">
        <w:t xml:space="preserve">toepassing van de </w:t>
      </w:r>
      <w:r>
        <w:t>IB-</w:t>
      </w:r>
      <w:r w:rsidRPr="00676BF6">
        <w:t xml:space="preserve">faciliteit ben ik van mening dat ook voor de toepassing van de VPB-faciliteit van belang kan zijn dat aangesloten wordt bij de realiteit om alleen de toepassing hiervan toe te staan indien sprake is van een duurzame overdracht. Echter, een voortzettingvereiste ten aanzien van de onderneming is voor een VPB-faciliteit niet van belang. Hiervan is immers in beginsel altijd sprake omdat bij een overdracht van een aanmerkelijk belang de door de vennootschap gedreven onderneming nog steeds gedreven zal worden. Echter, naar mijn mening gaat het bij het voortzettingsvereiste in essentie niet om het vereiste tot het voortzetten van een onderneming, maar om het voortzetten van de situatie die ontstaat na de overdracht van de onderneming. Zo zal hier een voor de VPB-faciliteit </w:t>
      </w:r>
      <w:r w:rsidRPr="00676BF6">
        <w:lastRenderedPageBreak/>
        <w:t xml:space="preserve">vergelijkbaar vereiste anders luiden. Hier kan gedacht worden aan </w:t>
      </w:r>
      <w:r>
        <w:t>het</w:t>
      </w:r>
      <w:r w:rsidRPr="00676BF6">
        <w:t xml:space="preserve"> vereiste tot het gezamenlijk aanhouden van een aanmerkelijk belang door de VPB-ondernemer en de materiële onderneming door de vennootschap.</w:t>
      </w:r>
      <w:r>
        <w:t xml:space="preserve"> Daaraan kan de eis worden gesteld </w:t>
      </w:r>
      <w:r w:rsidRPr="00A50A36">
        <w:t xml:space="preserve">dat indien de overdracht onderdeel uitmaakte van een geheel van rechtshandelingen gericht op de overdracht of liquidatie van de </w:t>
      </w:r>
      <w:r>
        <w:t xml:space="preserve">materiële </w:t>
      </w:r>
      <w:r w:rsidRPr="00A50A36">
        <w:t>onderneming</w:t>
      </w:r>
      <w:r>
        <w:t xml:space="preserve"> of het aanmerkelijk belang, de faciliteit niet kan worden toegepast. </w:t>
      </w:r>
      <w:r w:rsidRPr="00676BF6">
        <w:t>Hiermee wordt net als bij het voortzettingsvereiste bereikt dat de situatie van voor de overdracht, waarbij een aanmerkelijk belang in een vennootschap waarin een onderneming wordt gedreven bestaat, ook na de overdracht wordt voortgezet door de voortzettende ondernemer.</w:t>
      </w:r>
    </w:p>
    <w:p w:rsidR="00FE2E3C" w:rsidRPr="00C8620B" w:rsidRDefault="00FE2E3C" w:rsidP="00DE10DC">
      <w:pPr>
        <w:pStyle w:val="Scriptienormaal"/>
      </w:pPr>
      <w:r w:rsidRPr="00676BF6">
        <w:t xml:space="preserve">Aldus </w:t>
      </w:r>
      <w:r>
        <w:t xml:space="preserve">is </w:t>
      </w:r>
      <w:r w:rsidRPr="00676BF6">
        <w:t xml:space="preserve">het belang van het voortzettingsvereiste voor de IB-faciliteit met een soortgelijk vereiste tot voortzetting van de situatie voor de VPB-faciliteit gelijk te stellen. Omdat een dergelijk vereiste voor de VPB-faciliteit ontbreekt, kan voor het verschil in behandeling geen rechtvaardiging worden gevonden. </w:t>
      </w:r>
    </w:p>
    <w:p w:rsidR="00FE2E3C" w:rsidRPr="00676BF6" w:rsidRDefault="00FE2E3C" w:rsidP="00EF51C9">
      <w:pPr>
        <w:pStyle w:val="Scriptie3"/>
        <w:numPr>
          <w:ilvl w:val="2"/>
          <w:numId w:val="10"/>
        </w:numPr>
      </w:pPr>
      <w:bookmarkStart w:id="39" w:name="_Toc300055421"/>
      <w:r w:rsidRPr="00676BF6">
        <w:t>In de plaats treden</w:t>
      </w:r>
      <w:bookmarkEnd w:id="39"/>
    </w:p>
    <w:p w:rsidR="00FE2E3C" w:rsidRPr="00C8620B" w:rsidRDefault="00FE2E3C" w:rsidP="00AC6F4C">
      <w:pPr>
        <w:pStyle w:val="Scriptienormaal"/>
      </w:pPr>
      <w:r w:rsidRPr="00676BF6">
        <w:t xml:space="preserve">Voor de IB-onderneming is een voortzettingsvereiste van belang omdat deze onderneming wordt gedreven door de ondernemer zelf. Zo verandert de (subjectieve) onderneming per definitie door een overdracht naar een andere ondernemer. De fictie dat de voortzettende ondernemer in de plaats treedt van de overdragende ondernemer is dan nodig om dit tegen te gaan. </w:t>
      </w:r>
    </w:p>
    <w:p w:rsidR="00FE2E3C" w:rsidRPr="00C8620B" w:rsidRDefault="00FE2E3C" w:rsidP="00DE10DC">
      <w:pPr>
        <w:pStyle w:val="Scriptienormaal"/>
      </w:pPr>
      <w:r w:rsidRPr="00676BF6">
        <w:t xml:space="preserve">Bij de overdracht van een VPB-onderneming wordt de onderneming hierdoor niet direct beïnvloed omdat de onderneming niet afhankelijk is van de aandeelhouder. </w:t>
      </w:r>
      <w:r>
        <w:t>De enkele</w:t>
      </w:r>
      <w:r w:rsidRPr="00676BF6">
        <w:t xml:space="preserve"> overdracht van het aandelenbezit zal in eerste instantie geen aanleiding geven om de fiscale positie niet voort te zetten.</w:t>
      </w:r>
      <w:r w:rsidRPr="00676BF6">
        <w:rPr>
          <w:rStyle w:val="Voetnootmarkering"/>
        </w:rPr>
        <w:footnoteReference w:id="96"/>
      </w:r>
      <w:r w:rsidRPr="00676BF6">
        <w:t xml:space="preserve"> Derhalve is voor de VPB-faciliteit niet van belang of vereist is dat de voortzettende VPB-ondernemer in de plaats treedt van de overdragende VPB-ondernemer.</w:t>
      </w:r>
      <w:r>
        <w:t xml:space="preserve"> Er is geen sprake van een fiscaal andere uitwerking.</w:t>
      </w:r>
      <w:r w:rsidRPr="00676BF6">
        <w:t xml:space="preserve"> De voor de IB-onderneming gestelde extra eis is hierdoor gerechtvaardigd.</w:t>
      </w:r>
    </w:p>
    <w:p w:rsidR="00FE2E3C" w:rsidRPr="004947E2" w:rsidRDefault="00422DF9" w:rsidP="00EF51C9">
      <w:pPr>
        <w:pStyle w:val="Scriptie2"/>
        <w:numPr>
          <w:ilvl w:val="1"/>
          <w:numId w:val="10"/>
        </w:numPr>
      </w:pPr>
      <w:r>
        <w:br w:type="page"/>
      </w:r>
      <w:bookmarkStart w:id="40" w:name="_Toc300055422"/>
      <w:r w:rsidR="00FE2E3C" w:rsidRPr="00676BF6">
        <w:lastRenderedPageBreak/>
        <w:t>Belastingobject</w:t>
      </w:r>
      <w:bookmarkEnd w:id="40"/>
    </w:p>
    <w:p w:rsidR="00FE2E3C" w:rsidRPr="004947E2" w:rsidRDefault="00FE2E3C" w:rsidP="00EF51C9">
      <w:pPr>
        <w:pStyle w:val="Scriptie3"/>
        <w:numPr>
          <w:ilvl w:val="2"/>
          <w:numId w:val="10"/>
        </w:numPr>
      </w:pPr>
      <w:bookmarkStart w:id="41" w:name="_Toc300055423"/>
      <w:r w:rsidRPr="00676BF6">
        <w:t>Uitgesloten reserves</w:t>
      </w:r>
      <w:bookmarkEnd w:id="41"/>
    </w:p>
    <w:p w:rsidR="00FE2E3C" w:rsidRPr="00C8620B" w:rsidRDefault="00FE2E3C" w:rsidP="00DE10DC">
      <w:pPr>
        <w:pStyle w:val="Scriptienormaal"/>
      </w:pPr>
      <w:r w:rsidRPr="00676BF6">
        <w:t>De reden dat de oudedagsreserve niet kan worden doorgeschoven komt voort uit de gedachte van de wetgever dat deze reserve dermate gebonden is aan de ondernemer waardoor deze niet aan de onderneming van een ander natuurlijk persoon kan worden toegerekend. Er zal dus uitgemaakt moeten worden of dit het verschil in behandeling tussen de doorschuiffaciliteiten rechtvaardigt.</w:t>
      </w:r>
    </w:p>
    <w:p w:rsidR="00FE2E3C" w:rsidRPr="00C8620B" w:rsidRDefault="00FE2E3C" w:rsidP="00DE10DC">
      <w:pPr>
        <w:pStyle w:val="Scriptienormaal"/>
      </w:pPr>
      <w:r w:rsidRPr="00676BF6">
        <w:t xml:space="preserve">De IB-onderneming is door de wetsystematiek verbonden aan minimaal één natuurlijk persoon. Dit </w:t>
      </w:r>
      <w:r>
        <w:t xml:space="preserve">brengt </w:t>
      </w:r>
      <w:r w:rsidRPr="00676BF6">
        <w:t xml:space="preserve">ook met zich </w:t>
      </w:r>
      <w:r w:rsidR="008E1C9D">
        <w:t xml:space="preserve">mee </w:t>
      </w:r>
      <w:r w:rsidRPr="00676BF6">
        <w:t>dat de oudedagsreserve alleen gevormd kan worden door</w:t>
      </w:r>
      <w:r w:rsidR="008E1C9D">
        <w:t>,</w:t>
      </w:r>
      <w:r w:rsidRPr="00676BF6">
        <w:t xml:space="preserve"> en ten behoeve van de IB-ondernemer/natuurlijk persoon zelf. De oudedagsreserve kan alleen bestaan voor de IB-onderneming van de ondernemer waartoe deze behoort. Dit is een wezenlijk verschil ten aanzien van de pensioenvoorziening. Deze staat op de balans bij een vennootschap en wordt gevormd ten behoeve van de werknemer(s) en is niet gebonden aan de aandeelhouder als belegger. Het verschil wordt hier veroorzaakt door een verschil in het belastingregime van de inkomsten- en de vennootschapsbelasting en niet door een verschil tussen de doorschuiffaciliteiten. Het feit dat de overdracht van de onderneming de voorziening niet aantast en dit bij de overdracht van de IB-onderneming wel gebeurt ten aanzien van de oudedagsreserve, geeft aan dat er geen sprake is van gelijke gevallen. </w:t>
      </w:r>
    </w:p>
    <w:p w:rsidR="00FE2E3C" w:rsidRPr="00C8620B" w:rsidRDefault="00FE2E3C" w:rsidP="00DE10DC">
      <w:pPr>
        <w:pStyle w:val="Scriptienormaal"/>
      </w:pPr>
      <w:r w:rsidRPr="00676BF6">
        <w:t>Gezien het bovenstaande is het gerechtvaardigd dat een verschillende behandeling tussen de oudedagsreserve en de pensioenvoorziening bestaat bij de overdracht van een onderneming.</w:t>
      </w:r>
    </w:p>
    <w:p w:rsidR="00FE2E3C" w:rsidRPr="00676BF6" w:rsidRDefault="00FE2E3C" w:rsidP="00EF51C9">
      <w:pPr>
        <w:pStyle w:val="Scriptie3"/>
        <w:numPr>
          <w:ilvl w:val="2"/>
          <w:numId w:val="10"/>
        </w:numPr>
      </w:pPr>
      <w:bookmarkStart w:id="42" w:name="_Toc300055424"/>
      <w:r w:rsidRPr="00676BF6">
        <w:t>Uitgesloten beleggingsvermogen</w:t>
      </w:r>
      <w:bookmarkEnd w:id="42"/>
    </w:p>
    <w:p w:rsidR="00FE2E3C" w:rsidRPr="00C8620B" w:rsidRDefault="00FE2E3C" w:rsidP="00DE10DC">
      <w:pPr>
        <w:pStyle w:val="Scriptienormaal"/>
      </w:pPr>
      <w:r w:rsidRPr="00676BF6">
        <w:t>In paragraaf 3.3.2 is reeds beschreven dat met het uitsluiten van beleggingsvermogen voor toepassing van de VPB-faciliteit een vergelijkbaar belastingobject wordt benaderd. Ten aanzien hiervan bestaat derhalve geen verschil in uitwerking dat van belang is voor de mate van rechtvaardigheid. Echter ten aanzien van de uitzondering op de beperking geldt dit niet.</w:t>
      </w:r>
    </w:p>
    <w:p w:rsidR="00FE2E3C" w:rsidRPr="00C8620B" w:rsidRDefault="00FE2E3C" w:rsidP="00DE10DC">
      <w:pPr>
        <w:pStyle w:val="Scriptienormaal"/>
        <w:rPr>
          <w:color w:val="FF0000"/>
        </w:rPr>
      </w:pPr>
      <w:r w:rsidRPr="00676BF6">
        <w:t xml:space="preserve">Ten aanzien van het “toelaten” van 5% aan beleggingsvermogen bij toepassing van de VPB-faciliteit kan alleen een argument gegeven worden ten aanzien van doelmatigheid. Zo is ook tijdens de parlementaire behandeling benadrukt dat situaties waarbij in één opslag duidelijk is </w:t>
      </w:r>
      <w:r w:rsidRPr="00676BF6">
        <w:lastRenderedPageBreak/>
        <w:t>dat weinig beleggingsvermogen aanwezig is hiermee gebaat zijn.</w:t>
      </w:r>
      <w:r w:rsidRPr="00676BF6">
        <w:rPr>
          <w:rStyle w:val="Voetnootmarkering"/>
        </w:rPr>
        <w:footnoteReference w:id="97"/>
      </w:r>
      <w:r w:rsidRPr="00676BF6">
        <w:t xml:space="preserve"> Echter, de situatie dat een VPB-onderneming wordt doorgeschoven verschilt niet zodanig van eenzelfde situatie bij een IB-onderneming, waardoor het gerechtvaardigd zou zijn om een onvergelijkbare fiscale uitwerking toe te staan door de overdracht van beleggingsvermogen bij de door de VPB-faciliteit te faciliteren. Aldus, de uitzonderingsregel waardoor beleggingsvermogen tot 5% van het ondernemingsvermogen door de VPB-faciliteit kan worden gefaciliteerd, kan niet worden gerechtvaardigd.</w:t>
      </w:r>
    </w:p>
    <w:p w:rsidR="00FE2E3C" w:rsidRPr="00676BF6" w:rsidRDefault="00FE2E3C" w:rsidP="00EF51C9">
      <w:pPr>
        <w:pStyle w:val="Scriptie3"/>
        <w:numPr>
          <w:ilvl w:val="2"/>
          <w:numId w:val="10"/>
        </w:numPr>
      </w:pPr>
      <w:bookmarkStart w:id="43" w:name="_Toc300055425"/>
      <w:r w:rsidRPr="00676BF6">
        <w:t>Invloed overdrachtsprijs</w:t>
      </w:r>
      <w:bookmarkEnd w:id="43"/>
    </w:p>
    <w:p w:rsidR="00FE2E3C" w:rsidRPr="00C8620B" w:rsidRDefault="00FE2E3C" w:rsidP="00E668C4">
      <w:pPr>
        <w:pStyle w:val="Scriptienormaal"/>
      </w:pPr>
      <w:r w:rsidRPr="00676BF6">
        <w:t>De toepassing van de VPB-faciliteit wordt beperkt indien er sprake is van een overdrachtsprijs. De reden hierachter is dat beredeneerd wordt dat het mogelijk is om de ontvangen tegenprestatie aan te wenden om de te betalen inkomstenbelasting te voldoen.</w:t>
      </w:r>
      <w:r w:rsidRPr="00676BF6">
        <w:rPr>
          <w:rStyle w:val="Voetnootmarkering"/>
        </w:rPr>
        <w:footnoteReference w:id="98"/>
      </w:r>
      <w:r w:rsidRPr="00676BF6">
        <w:t xml:space="preserve"> Zo zou bij een gedeeltelijke afrekening minder belemmering ontstaa</w:t>
      </w:r>
      <w:r>
        <w:t>n</w:t>
      </w:r>
      <w:r w:rsidRPr="00676BF6">
        <w:t xml:space="preserve"> ten aanzien van de continuïteit van de onderneming omdat er sprake is van een kleiner liquiditeitsprobleem indien er een bedrag is ontvangen.</w:t>
      </w:r>
    </w:p>
    <w:p w:rsidR="00FE2E3C" w:rsidRPr="00C8620B" w:rsidRDefault="00FE2E3C" w:rsidP="00161906">
      <w:pPr>
        <w:pStyle w:val="Scriptienormaal"/>
      </w:pPr>
      <w:r w:rsidRPr="00676BF6">
        <w:t xml:space="preserve">Ondanks dat bij de IB- en VPB-faciliteit het belastingobject van nature verschillend is, kan beredeneerd worden dat beide situaties niet zodanig verschillen om voorgaande onevenwichtigheid tussen beide faciliteiten te rechtvaardigen. Indien de overdragende VPB-ondernemer geacht wordt het ontvangen bedrag te kunnen besteden aan de te betalen inkomstenbelasting, kan hetzelfde gezegd worden over de IB-ondernemer. </w:t>
      </w:r>
      <w:r>
        <w:t>Het</w:t>
      </w:r>
      <w:r w:rsidRPr="00676BF6">
        <w:t xml:space="preserve"> idee dat de continuïteit van de IB-onderneming hierdoor aangetast zou worden, kan worden doorgetrokken naar de situatie van de overdracht van een VPB-onderneming die zich in een zelfde situatie verkeert.</w:t>
      </w:r>
    </w:p>
    <w:p w:rsidR="00FE2E3C" w:rsidRPr="00C8620B" w:rsidRDefault="00FE2E3C" w:rsidP="00DE10DC">
      <w:pPr>
        <w:pStyle w:val="Scriptienormaal"/>
        <w:rPr>
          <w:color w:val="FF0000"/>
        </w:rPr>
      </w:pPr>
      <w:r w:rsidRPr="00676BF6">
        <w:t>Omdat de VPB-ondernemer hier niet in een andere situatie verkeert dan de IB-ondernemer, bestaat er geen rechtvaardiging voor het verschil in behandeling.</w:t>
      </w:r>
    </w:p>
    <w:p w:rsidR="00FE2E3C" w:rsidRPr="00676BF6" w:rsidRDefault="00FE2E3C" w:rsidP="00EF51C9">
      <w:pPr>
        <w:pStyle w:val="Scriptie3"/>
        <w:numPr>
          <w:ilvl w:val="2"/>
          <w:numId w:val="10"/>
        </w:numPr>
      </w:pPr>
      <w:bookmarkStart w:id="44" w:name="_Toc300055426"/>
      <w:r w:rsidRPr="00676BF6">
        <w:t>Preferente aandelen</w:t>
      </w:r>
      <w:bookmarkEnd w:id="44"/>
    </w:p>
    <w:p w:rsidR="00FE2E3C" w:rsidRPr="00C8620B" w:rsidRDefault="00FE2E3C" w:rsidP="004C0B92">
      <w:pPr>
        <w:pStyle w:val="Scriptienormaal"/>
      </w:pPr>
      <w:r w:rsidRPr="00676BF6">
        <w:t xml:space="preserve">De reden dat de VPB-faciliteit aanvullende eisen stelt met betrekking tot preferente aandelen ziet op de wens van de wetgever om hier </w:t>
      </w:r>
      <w:r>
        <w:t>alleen</w:t>
      </w:r>
      <w:r w:rsidRPr="00676BF6">
        <w:t xml:space="preserve"> gefaseerde bedrijfsoverdrachten te faciliteren. Ten aanzien hiervan kan een parallel gevonden worden met de beperkingen van de VPB-faciliteit te aanzien van het overdragen van </w:t>
      </w:r>
      <w:r w:rsidR="008E1C9D">
        <w:t xml:space="preserve">een </w:t>
      </w:r>
      <w:r w:rsidRPr="00676BF6">
        <w:t>vennootschap waar</w:t>
      </w:r>
      <w:r w:rsidR="008E1C9D">
        <w:t>in</w:t>
      </w:r>
      <w:r w:rsidRPr="00676BF6">
        <w:t xml:space="preserve"> een medegerechtigdheid </w:t>
      </w:r>
      <w:r w:rsidRPr="00676BF6">
        <w:lastRenderedPageBreak/>
        <w:t>wordt gehouden. Zo kan de overdracht van een preferent aandelenbelang volgens de Memorie van Toelichting pas als een reële bedrijfsoverdracht gezien worden als aan de gestelde voorwaarden wordt voldaan.</w:t>
      </w:r>
      <w:r w:rsidRPr="00676BF6">
        <w:rPr>
          <w:rStyle w:val="Voetnootmarkering"/>
        </w:rPr>
        <w:footnoteReference w:id="99"/>
      </w:r>
      <w:r w:rsidRPr="00676BF6">
        <w:t xml:space="preserve"> </w:t>
      </w:r>
      <w:r w:rsidR="008E1C9D">
        <w:t>Als</w:t>
      </w:r>
      <w:r w:rsidRPr="00676BF6">
        <w:t xml:space="preserve"> toelichting van de gedachte hierachter herhaal ik nogmaals de toelichting van de Staatssecretaris op de definitie van een reële bedrijfsoverdracht. Hier is namelijk sprake van indien een overdracht “</w:t>
      </w:r>
      <w:r w:rsidRPr="00676BF6">
        <w:rPr>
          <w:i/>
        </w:rPr>
        <w:t>van een «onderneming» door een «ondernemer», die de onderneming enige tijd heeft gedreven, aan een bedrijfsopvolger, die de onderneming «als ondernemer voortzet». Hierbij maakt het niet uit of de onderneming rechtstreeks of door middel van bijvoorbeeld een BV wordt gedreven.</w:t>
      </w:r>
      <w:r w:rsidRPr="00676BF6">
        <w:t>”</w:t>
      </w:r>
      <w:r w:rsidRPr="00676BF6">
        <w:rPr>
          <w:rStyle w:val="Voetnootmarkering"/>
        </w:rPr>
        <w:t xml:space="preserve"> </w:t>
      </w:r>
      <w:r w:rsidRPr="00676BF6">
        <w:rPr>
          <w:rStyle w:val="Voetnootmarkering"/>
        </w:rPr>
        <w:footnoteReference w:id="100"/>
      </w:r>
    </w:p>
    <w:p w:rsidR="00FE2E3C" w:rsidRPr="00C8620B" w:rsidRDefault="00FE2E3C" w:rsidP="004C0B92">
      <w:pPr>
        <w:pStyle w:val="Scriptienormaal"/>
      </w:pPr>
      <w:r w:rsidRPr="00676BF6">
        <w:t xml:space="preserve">Voorgaande argumentatie kan niet alleen toegepast worden </w:t>
      </w:r>
      <w:r w:rsidR="00F06EBE">
        <w:t>ten aanzien van</w:t>
      </w:r>
      <w:r w:rsidRPr="00676BF6">
        <w:t xml:space="preserve"> een preferent aandelenbelang. In paragraaf 3.3.2 heb ik re</w:t>
      </w:r>
      <w:r w:rsidR="00F06EBE">
        <w:t>eds besproken dat een parallel</w:t>
      </w:r>
      <w:r w:rsidRPr="00676BF6">
        <w:t xml:space="preserve"> kan worden </w:t>
      </w:r>
      <w:r w:rsidR="00F06EBE">
        <w:t xml:space="preserve">getrokken </w:t>
      </w:r>
      <w:r w:rsidRPr="00676BF6">
        <w:t>tussen een preferent aandelenbelang en een door een IB-ondernemer gehouden medegerechtigdheid. In vergelijking hiermee kunnen de aanvullende eisen van de VPB-faciliteit niet gerechtvaardigd worden. Namelijk, een medegerechtigdheid voor de inkomstenbelasting zal volgens de definitie van de Staatssecretaris ook niet onder een reële bedrijfsoverdracht vallen. Ik zie dan ook geen reden om de toepassing van de VPB-faciliteit voor een overgedragen preferent belang te beperken. Derhalve is sprake van gelijke gevallen waarbij een onderscheid in behandeling niet gerechtvaardigd kan worden.</w:t>
      </w:r>
    </w:p>
    <w:p w:rsidR="00FE2E3C" w:rsidRPr="00C8620B" w:rsidRDefault="00FE2E3C" w:rsidP="00DE10DC">
      <w:pPr>
        <w:pStyle w:val="Scriptie3"/>
      </w:pPr>
    </w:p>
    <w:p w:rsidR="00FE2E3C" w:rsidRPr="00C8620B" w:rsidRDefault="00FE2E3C" w:rsidP="00DE10DC">
      <w:pPr>
        <w:pStyle w:val="Scriptienormaal"/>
      </w:pPr>
    </w:p>
    <w:p w:rsidR="00FE2E3C" w:rsidRPr="00676BF6" w:rsidRDefault="00FE2E3C" w:rsidP="00EF51C9">
      <w:pPr>
        <w:pStyle w:val="Scriptie1"/>
        <w:numPr>
          <w:ilvl w:val="0"/>
          <w:numId w:val="10"/>
        </w:numPr>
      </w:pPr>
      <w:r w:rsidRPr="00676BF6">
        <w:br w:type="page"/>
      </w:r>
      <w:bookmarkStart w:id="45" w:name="_Toc300055427"/>
      <w:r w:rsidRPr="00676BF6">
        <w:lastRenderedPageBreak/>
        <w:t>Toetsing effectiviteit</w:t>
      </w:r>
      <w:bookmarkEnd w:id="45"/>
    </w:p>
    <w:p w:rsidR="00FE2E3C" w:rsidRPr="00C8620B" w:rsidRDefault="00F06EBE" w:rsidP="00E56D59">
      <w:pPr>
        <w:pStyle w:val="Scriptienormaal"/>
        <w:rPr>
          <w:color w:val="FF0000"/>
        </w:rPr>
      </w:pPr>
      <w:r>
        <w:t>In paragraaf 2.3</w:t>
      </w:r>
      <w:r w:rsidR="00FE2E3C" w:rsidRPr="00676BF6">
        <w:t xml:space="preserve">.3 heb ik reeds een beschrijving gegeven van de effectiviteit van de doorschuiffaciliteiten. Net als ten aanzien van rechtvaardigheid, zal ik ook met betrekking tot de effectiviteit van de doorschuifregelingen tot een toetsing komen. Hiertoe zal ik de mate waarop de doelstellingen van de doorschuiffaciliteit ook daadwerkelijk worden ondersteund door de regelgeving zelf weergeven. Daarbij kan de vergelijking tussen de effectiviteit van beide faciliteiten alleen gemaakt worden ten aanzien van de gemeenschappelijke doelstellingen. Immers, dit zijn de punten waarop de doelstellingen eenzelfde effectiviteit nastreven. </w:t>
      </w:r>
    </w:p>
    <w:p w:rsidR="00FE2E3C" w:rsidRPr="00C8620B" w:rsidRDefault="00FE2E3C" w:rsidP="00FE5ECB">
      <w:pPr>
        <w:pStyle w:val="Scriptienormaal"/>
      </w:pPr>
      <w:r w:rsidRPr="00676BF6">
        <w:t>Om tot de uiteindelijke toetsing van de mate van effectiviteit te komen, zal ik gebruik maken van de overeenkomstige doelstellingen van de faciliteiten zoals deze zijn beschreven in paragraaf 3.3.</w:t>
      </w:r>
    </w:p>
    <w:p w:rsidR="00FE2E3C" w:rsidRPr="00C8620B" w:rsidRDefault="00FE2E3C" w:rsidP="00FE5ECB">
      <w:pPr>
        <w:pStyle w:val="Scriptienormaal"/>
      </w:pPr>
      <w:r w:rsidRPr="00676BF6">
        <w:t>Hiertoe zal ik de fiscaal theoretische uitwerking van de faciliteiten naast elkaar leggen. Vervolgens ga ik de relevante verschillen die hierbij naar boven komen beoordelen op hun uitwerking op de te vergelijken doelstellingen van de faciliteiten. Indien ik hierbij ook een verschil in uitwerking op de effectiviteit identificeer en deze niet door andere bepalingen wordt opgeheven, zal er sprake zijn van een onevenwichtigheid ten aanzien hiervan tussen de doorschuiffaciliteiten. Als gevolg hiervan kan een faciliteit in vergelijking met de andere faciliteit als effectiever worden gezien wanneer deze tot een nadere realisatie van de aanverwante gemeenschappelijke doelstelling komt.</w:t>
      </w:r>
    </w:p>
    <w:p w:rsidR="00FE2E3C" w:rsidRPr="00C8620B" w:rsidRDefault="00FE2E3C" w:rsidP="00161881">
      <w:pPr>
        <w:pStyle w:val="Scriptienormaal"/>
      </w:pPr>
      <w:r w:rsidRPr="00676BF6">
        <w:t>Allereerst zal ik weergeven op welke manier de hoofdregels van de doorschuiffaciliteiten de gemeenschappelijke doelstelling ondersteunen. Hiermee zal de toetsing van de afzonderlijke onderdelen van de doorschuiffaciliteiten ten aanzien van de effectiviteit ondersteund worden. Hierna zal bekeken worden op welke punten de faciliteiten van elkaar verschillen. Vervolgens zullen deze verschillen ten aanzien van hun uitwerking op de hierboven geformuleerde doelstelling beoordeeld worden. Evenals in hoofdstuk 4, zullen de doorschuiffaciliteiten per onderdeel getoetst worden. Eveneens zal een onderverdeling worden gemaakt tussen onderdelen met betrekking tot het belastingsubject en het belastingobject.</w:t>
      </w:r>
      <w:r w:rsidRPr="00676BF6">
        <w:rPr>
          <w:rStyle w:val="Voetnootmarkering"/>
        </w:rPr>
        <w:footnoteReference w:id="101"/>
      </w:r>
      <w:r w:rsidRPr="00676BF6">
        <w:t xml:space="preserve"> Verder zal ik </w:t>
      </w:r>
      <w:r w:rsidRPr="00676BF6">
        <w:lastRenderedPageBreak/>
        <w:t>alleen tot een beschrijving van  een onderdeel komen voor zover d</w:t>
      </w:r>
      <w:r w:rsidR="00793FD7">
        <w:t>it van belang is voor</w:t>
      </w:r>
      <w:r w:rsidRPr="00676BF6">
        <w:t xml:space="preserve">de mate van effectiviteit. Bij de toetsing aan de mate van effectiviteit zal ik de verschillen in uitwerking van de doorschuiffaciliteiten niet gedetailleerd beschrijven, hiervoor verwijs ik naar paragraaf 3.3. </w:t>
      </w:r>
    </w:p>
    <w:p w:rsidR="00FE2E3C" w:rsidRPr="00676BF6" w:rsidRDefault="00FE2E3C" w:rsidP="00EF51C9">
      <w:pPr>
        <w:pStyle w:val="Scriptie3"/>
        <w:numPr>
          <w:ilvl w:val="2"/>
          <w:numId w:val="10"/>
        </w:numPr>
      </w:pPr>
      <w:bookmarkStart w:id="46" w:name="_Toc300055428"/>
      <w:r w:rsidRPr="00676BF6">
        <w:t>Ondersteuning effectiviteit doorschuiffaciliteiten</w:t>
      </w:r>
      <w:bookmarkEnd w:id="46"/>
    </w:p>
    <w:p w:rsidR="00FE2E3C" w:rsidRPr="00C8620B" w:rsidRDefault="00FE2E3C" w:rsidP="00231B9F">
      <w:pPr>
        <w:pStyle w:val="Scriptienormaal"/>
      </w:pPr>
      <w:r w:rsidRPr="00676BF6">
        <w:t>Voordat ik tot een vergelijking kan komen van de specifieke onderdelen van de doorschuiffaciliteiten, zal ik eerst beknopt weergeven op welke manier de hoofdregels van de afzonderlijke doorschuiffaciliteiten de gemeenschappelijke doelstelling ondersteunen. Dit overzicht zal als referentie dienen bij de vergelijking van de afzonderlijke onderdelen van de doorschuiffaciliteiten ten aanzien van de mate van effectiviteit. Zo zal het afwijken van de hoofdregel van een doorschuiffaciliteit een gevolg hebben voor het al dan niet benaderen van de doelstelling en hiermee ook voor de effectiviteit van de regeling.</w:t>
      </w:r>
    </w:p>
    <w:p w:rsidR="00FE2E3C" w:rsidRPr="00C8620B" w:rsidRDefault="00FE2E3C" w:rsidP="00FF2BB7">
      <w:pPr>
        <w:pStyle w:val="scriptie4"/>
      </w:pPr>
      <w:r w:rsidRPr="00676BF6">
        <w:t>IB-faciliteit</w:t>
      </w:r>
    </w:p>
    <w:p w:rsidR="00FE2E3C" w:rsidRPr="00C8620B" w:rsidRDefault="00FE2E3C" w:rsidP="00FD6285">
      <w:pPr>
        <w:pStyle w:val="Scriptienormaal"/>
      </w:pPr>
      <w:r w:rsidRPr="00676BF6">
        <w:t xml:space="preserve">Zoals eerder naar voren is gekomen stelt de doorschuiffaciliteit voor de IB-onderneming bij toepassing hiervan de </w:t>
      </w:r>
      <w:r w:rsidR="0058494B">
        <w:t xml:space="preserve">ontstane </w:t>
      </w:r>
      <w:r w:rsidRPr="00676BF6">
        <w:t>overdrachtswinst vrij van belasting. De IB-onderneming kan door de regels van vermogensetikettering zelf geen overtollige liquide middelen aanhouden. Indien geen gebruik</w:t>
      </w:r>
      <w:r w:rsidR="0058494B">
        <w:t xml:space="preserve"> </w:t>
      </w:r>
      <w:r w:rsidRPr="00676BF6">
        <w:t xml:space="preserve">kan worden gemaakt van de IB-faciliteit, zal hierdoor de te betalen belasting in eerste instantie ten koste gaan van het privévermogen van de IB-ondernemer. Echter, in het geval dat de IB-onderneming zijn privévermogen niet kan of wil aanspreken, zal de belasting voldaan </w:t>
      </w:r>
      <w:r>
        <w:t xml:space="preserve">moeten </w:t>
      </w:r>
      <w:r w:rsidRPr="00676BF6">
        <w:t>worden ten koste van het vermogen van de onderneming met als gevolg dat de onderneming en hiermee diens continuïteit wordt aangetast.</w:t>
      </w:r>
      <w:r w:rsidRPr="00676BF6">
        <w:rPr>
          <w:rStyle w:val="Voetnootmarkering"/>
        </w:rPr>
        <w:footnoteReference w:id="102"/>
      </w:r>
      <w:r w:rsidRPr="00676BF6">
        <w:t xml:space="preserve"> </w:t>
      </w:r>
    </w:p>
    <w:p w:rsidR="00FE2E3C" w:rsidRPr="00C8620B" w:rsidRDefault="00FE2E3C" w:rsidP="009A5559">
      <w:pPr>
        <w:pStyle w:val="Scriptienormaal"/>
      </w:pPr>
      <w:r w:rsidRPr="00676BF6">
        <w:t>De wetgever heeft beoogd dat de hiervoor genoemde gevolgen aanleiding geven om door invoering van de IB-faciliteit de continuïteit van de onderneming niet te laten beïnvloeden door een fiscale afrekening. Er kan betoogd worden dat de toepassing van de IB-faciliteit niet altijd hoeft te leiden tot het voorkomen van fiscale invloed op de financiële positie van de onderneming. Hier zal in eerste instantie alleen sprake van zijn indien het alternatief van het toepassen van de faciliteit leidt tot het aantasten van de onderneming.</w:t>
      </w:r>
      <w:r w:rsidRPr="00676BF6">
        <w:rPr>
          <w:color w:val="FF0000"/>
        </w:rPr>
        <w:t xml:space="preserve"> </w:t>
      </w:r>
      <w:r w:rsidRPr="00676BF6">
        <w:t xml:space="preserve">Hiervan is sprake indien de te betalen belasting, die anders door toepassing van de IB-faciliteit zou zijn voorkomen, wordt voldaan met gelden die uit de overgedragen onderneming worden gehaald. Hierdoor zal de onderneming worden aangetast. </w:t>
      </w:r>
    </w:p>
    <w:p w:rsidR="00FE2E3C" w:rsidRPr="00C8620B" w:rsidRDefault="00FE2E3C" w:rsidP="00FD62D6">
      <w:pPr>
        <w:pStyle w:val="Scriptienormaal"/>
      </w:pPr>
      <w:r w:rsidRPr="00676BF6">
        <w:lastRenderedPageBreak/>
        <w:t xml:space="preserve">Bijkomend wordt door de mogelijkheid van het toepassen van de IB-faciliteit bereikt dat het tijdstip van overdracht in mindere mate door de fiscaliteit wordt beïnvloed. Voorheen bestond voor de inkomstenbelasting </w:t>
      </w:r>
      <w:r>
        <w:t>slechts</w:t>
      </w:r>
      <w:r w:rsidRPr="00676BF6">
        <w:t xml:space="preserve"> een faciliteit bij het doorschuiven van een onderneming als gevolg van het overlijden van de IB-ondernemer. Dit bracht met zich mee dat er een stimulans bestond voor het uitstellen van de overdracht tot het moment van overlijden. Ter compensatie hiervan is de invoering van de gehele IB-faciliteit van belang geweest waardoor een alternatief is ontstaan in de vorm van een geruisloze overdracht bij leven.</w:t>
      </w:r>
    </w:p>
    <w:p w:rsidR="00FE2E3C" w:rsidRPr="00C8620B" w:rsidRDefault="00FE2E3C" w:rsidP="00843B2E">
      <w:pPr>
        <w:pStyle w:val="Scriptienormaal"/>
        <w:rPr>
          <w:color w:val="FF0000"/>
        </w:rPr>
      </w:pPr>
      <w:r w:rsidRPr="00676BF6">
        <w:t>De ondernemers- en werknemerseis die onderdeel zijn van de IB-faciliteit kunnen in tegenstelling tot het voorgaande wel invloed uitoefenen op het overdrachtstijdstip van de onderneming. Omdat een termijn van 36 maanden geldt voordat aan één van de eisen kan worden voldaan, zal dit een stimulans geven om een overdracht uit te stellen tot het moment dat hiervan sprake is. Ondanks de toename van de fiscale invloed op het overgangstijdstip, wordt hiermee beoogd de faciliteit alleen voor duurzame overdrachten van een onderneming toe te laten passen. De toename van de duurzaamheid wordt gestimuleerd door de gelijktijdige verbondenheid van de overdragende en overnemende ondernemer ten aanzien van de onderneming waardoor een extra basis voor kennisoverdracht wordt gecreëerd.</w:t>
      </w:r>
      <w:r w:rsidRPr="00676BF6">
        <w:rPr>
          <w:rStyle w:val="Voetnootmarkering"/>
        </w:rPr>
        <w:footnoteReference w:id="103"/>
      </w:r>
      <w:r w:rsidRPr="00676BF6">
        <w:t xml:space="preserve"> Ondanks dat in eerste instantie de continuïteitsgedachte niet wordt ondersteund, wordt in lijn met de gemeenschappelijke doelstelling wel de duurzaamheid van de overdracht bevorderd.</w:t>
      </w:r>
    </w:p>
    <w:p w:rsidR="00FE2E3C" w:rsidRPr="00C8620B" w:rsidRDefault="00FE2E3C" w:rsidP="00F8711D">
      <w:pPr>
        <w:pStyle w:val="scriptie4"/>
      </w:pPr>
      <w:r w:rsidRPr="00676BF6">
        <w:t>VPB-faciliteit</w:t>
      </w:r>
    </w:p>
    <w:p w:rsidR="00FE2E3C" w:rsidRPr="00C8620B" w:rsidRDefault="00FE2E3C" w:rsidP="00287BBC">
      <w:pPr>
        <w:pStyle w:val="Scriptienormaal"/>
      </w:pPr>
      <w:r w:rsidRPr="00676BF6">
        <w:t>De vrijstelling die door toepassing van de VPB-faciliteit wordt verleend, ziet niet direct op de onderneming zelf. Zo wordt enkel de stille reserve op de overgedragen aandelen van inkomstenbelasting vrijgesteld. Net als bij de IB-faciliteit heeft de belastingheffing die bij toepassing van de VPB-faciliteit zou zijn voorkomen, geen directe invloed op het ondernemingsvermogen van de vennootschap. De faciliteit zal daarom alleen de continuïteit van de VPB-onderneming ondersteunen indien de VPB-ondernemer de belastingclaim niet ten laste van zijn privévermogen kan of wil laten gaan. Omdat alleen de mogelijkheid bestaat om de VPB-faciliteit toe te passen indien de onderneming of een gedeelte hiervan aan de voortzettende ondernemer wordt geschonken, zal deze situatie zich sneller voordoen dan bij toepassing van de IB-faciliteit.</w:t>
      </w:r>
    </w:p>
    <w:p w:rsidR="00FE2E3C" w:rsidRPr="00C8620B" w:rsidRDefault="00FE2E3C" w:rsidP="00FD6285">
      <w:pPr>
        <w:pStyle w:val="Scriptienormaal"/>
        <w:rPr>
          <w:color w:val="FF0000"/>
        </w:rPr>
      </w:pPr>
      <w:r w:rsidRPr="00676BF6">
        <w:t xml:space="preserve">Net als bij de IB-faciliteit kan gesteld worden dat niet per definitie fiscale inmenging ten aanzien van de continuïteit van de onderneming bestaat indien de VPB-faciliteit niet zal </w:t>
      </w:r>
      <w:r w:rsidRPr="00676BF6">
        <w:lastRenderedPageBreak/>
        <w:t>worden toegepast. Ook hier geldt dat hier alleen sprake van is indien het alternatief van het toepassen van de faciliteit leidt tot het aantasten van de onderneming. De omstandigheden die bepalen of hier sprake van zal zijn, zijn afhankelijk van de situatie waarin de IB-ondernemer zich bevind</w:t>
      </w:r>
      <w:r>
        <w:t>t</w:t>
      </w:r>
      <w:r w:rsidRPr="00676BF6">
        <w:t xml:space="preserve"> en is niet beïnvloedbaar door de VPB-faciliteit. Echter, indien de VPB-faciliteit kan worden toegepast zal </w:t>
      </w:r>
      <w:r>
        <w:t xml:space="preserve">dit </w:t>
      </w:r>
      <w:r w:rsidRPr="00676BF6">
        <w:t>de kans dat de continuïteit van de onderneming wordt aangetast door de overdracht wel verminderen.</w:t>
      </w:r>
    </w:p>
    <w:p w:rsidR="00FE2E3C" w:rsidRPr="00C8620B" w:rsidRDefault="00FE2E3C" w:rsidP="0093794D">
      <w:pPr>
        <w:pStyle w:val="Scriptienormaal"/>
      </w:pPr>
      <w:r w:rsidRPr="00676BF6">
        <w:t>Ten aanzien van het wegnemen van de stimulans om met de overdracht van de onderneming te wachten tot het moment van overlijden en het stimuleren van een duurzame overdracht van de onderneming bij leven, verwijs ik naar hetgeen ik hierover stel met betrekking tot de IB-faciliteit. Voor de IB- en de VPB-faciliteit geldt namelijk dat deze dezelfde uitwerking hebben op de aanverwante te behalen doelstellingen.</w:t>
      </w:r>
    </w:p>
    <w:p w:rsidR="00FE2E3C" w:rsidRPr="00676BF6" w:rsidRDefault="00FE2E3C" w:rsidP="00EF51C9">
      <w:pPr>
        <w:pStyle w:val="Scriptie2"/>
        <w:numPr>
          <w:ilvl w:val="1"/>
          <w:numId w:val="10"/>
        </w:numPr>
      </w:pPr>
      <w:bookmarkStart w:id="47" w:name="_Toc300055429"/>
      <w:r w:rsidRPr="00676BF6">
        <w:t>Belastingsubject</w:t>
      </w:r>
      <w:bookmarkEnd w:id="47"/>
    </w:p>
    <w:p w:rsidR="00FE2E3C" w:rsidRPr="00676BF6" w:rsidRDefault="00FE2E3C" w:rsidP="00EF51C9">
      <w:pPr>
        <w:pStyle w:val="Scriptie3"/>
        <w:numPr>
          <w:ilvl w:val="2"/>
          <w:numId w:val="10"/>
        </w:numPr>
      </w:pPr>
      <w:bookmarkStart w:id="48" w:name="_Toc300055430"/>
      <w:r w:rsidRPr="00676BF6">
        <w:t>Kwalificerende ondernemer</w:t>
      </w:r>
      <w:bookmarkEnd w:id="48"/>
    </w:p>
    <w:p w:rsidR="00FE2E3C" w:rsidRPr="00C8620B" w:rsidRDefault="00FE2E3C" w:rsidP="001720A7">
      <w:pPr>
        <w:pStyle w:val="Scriptienormaal"/>
        <w:rPr>
          <w:color w:val="FF0000"/>
        </w:rPr>
      </w:pPr>
      <w:r w:rsidRPr="00676BF6">
        <w:t>De voorwaarden om een aandelenbezit als aanmerkelijk belang aan te merken zijn voor toepassing van de IB-faciliteit niet van belang. Het gevolg</w:t>
      </w:r>
      <w:r>
        <w:t>,</w:t>
      </w:r>
      <w:r w:rsidRPr="00676BF6">
        <w:t xml:space="preserve"> dat een aandelenbelang, waarmee minder dan 5% van het geplaatste kapitaal gehouden wordt, niet in aanmerking kan komen voor een doorschuiffaciliteit, kan in eerste instantie gezien worden als een regel die de effectiviteit vermindert. </w:t>
      </w:r>
      <w:r w:rsidR="0058494B">
        <w:t>H</w:t>
      </w:r>
      <w:r w:rsidRPr="00676BF6">
        <w:t>ierdoor is het</w:t>
      </w:r>
      <w:r w:rsidR="0058494B">
        <w:t xml:space="preserve"> namelijk</w:t>
      </w:r>
      <w:r w:rsidRPr="00676BF6">
        <w:t xml:space="preserve"> mogelijk dat een aandelenbezit in een onderneming niet voor toepassing van de VPB-faciliteit in aanmerking komt. Omdat de kwalificatie van het aandelenbezit van een vennootschap niets zegt over de onderneming die deze drijft, bestaat </w:t>
      </w:r>
      <w:r>
        <w:t xml:space="preserve">er </w:t>
      </w:r>
      <w:r w:rsidRPr="00676BF6">
        <w:t>geen reden om op basis van het aandelenbezit een ander belang aan de continuïteit van de onderneming toe te wijzen. Echter, omdat in dit geval het alternatief een belastbaarheid voor box 3 betreft, zal bij vervreemding effectief geen inkomstenbelasting geheven worden over de stille reserve van het aandelenbelang.</w:t>
      </w:r>
      <w:r w:rsidRPr="00676BF6">
        <w:rPr>
          <w:rStyle w:val="Voetnootmarkering"/>
        </w:rPr>
        <w:footnoteReference w:id="104"/>
      </w:r>
      <w:r w:rsidRPr="00676BF6">
        <w:t xml:space="preserve"> Het verschil in de mate van effectiviteit tussen de doorschuiffaciliteiten wordt hierdoor opgeheven.</w:t>
      </w:r>
    </w:p>
    <w:p w:rsidR="00FE2E3C" w:rsidRPr="00C8620B" w:rsidRDefault="00FE2E3C" w:rsidP="00015E93">
      <w:pPr>
        <w:pStyle w:val="Scriptienormaal"/>
      </w:pPr>
      <w:r w:rsidRPr="00676BF6">
        <w:t xml:space="preserve">Dezelfde analyse als hiervoor kan ook toegepast worden op een volgend verschil tussen de IB- en de VPB-faciliteit. Dit verschil betreft een onderdeel van artikel 4.17c, Wet IB 2001 waardoor een meetrek-aanmerkelijk belang niet in aanmerking kan komen voor de vrijstelling van de VPB-faciliteit. Ook hier ontstaat voor de VPB-faciliteit in eerste instantie een mindere mate van effectiviteit ten opzichte van de IB-faciliteit omdat voor een dergelijk </w:t>
      </w:r>
      <w:r w:rsidRPr="00676BF6">
        <w:lastRenderedPageBreak/>
        <w:t>aandelenbelang in een vennootschap met een onderneming geen doorschuiffaciliteit toegepast kan worden. In tegenstelling tot een regulier aandelenbelang van minder dan 5% zal een fictief aanmerkelijk belang niet belast zijn in box 3, maar alsnog in box 2. Indien het belang wordt overgedragen zal daarom inkomstenbelasting worden geheven waardoor in deze situatie het gevolg voor de effectiviteit niet zal worden geneutraliseerd. Derhalve leidt dit tot een mindere mate van effectiviteit van de VPB-faciliteit in vergelijking met de IB-faciliteit.</w:t>
      </w:r>
    </w:p>
    <w:p w:rsidR="00FE2E3C" w:rsidRPr="00676BF6" w:rsidRDefault="00FE2E3C" w:rsidP="00EF51C9">
      <w:pPr>
        <w:pStyle w:val="Scriptie3"/>
        <w:numPr>
          <w:ilvl w:val="2"/>
          <w:numId w:val="10"/>
        </w:numPr>
      </w:pPr>
      <w:bookmarkStart w:id="49" w:name="_Toc300055431"/>
      <w:r w:rsidRPr="00676BF6">
        <w:t>Medegerechtigdheid</w:t>
      </w:r>
      <w:bookmarkEnd w:id="49"/>
    </w:p>
    <w:p w:rsidR="00FE2E3C" w:rsidRPr="00C8620B" w:rsidRDefault="00FE2E3C" w:rsidP="00161881">
      <w:pPr>
        <w:pStyle w:val="Scriptienormaal"/>
      </w:pPr>
      <w:r w:rsidRPr="00676BF6">
        <w:t>De aanvullende voorwaarden die de VPB-faciliteit stelt ten aanzien van de overdracht van een over te dragen vennootschap die een medegerechtigdheid houdt, brengt met zich mee dat de VPB-faciliteit in mindere mate de overdracht hiervan faciliteert in vergelijking met de overdracht van een medegerechtigdheid bij toepassing van de IB-faciliteit. Nu kan de vraag worden gesteld of de aanvullende belemmeringen ten aanzien van het overdragen van een door een vennootschap gehouden medegerechtigdheid ook de continuïteit van de onderneming waar de medegerechtigdheid betrekking op heeft k</w:t>
      </w:r>
      <w:r>
        <w:t>un</w:t>
      </w:r>
      <w:r w:rsidRPr="00676BF6">
        <w:t>n</w:t>
      </w:r>
      <w:r>
        <w:t>en</w:t>
      </w:r>
      <w:r w:rsidRPr="00676BF6">
        <w:t xml:space="preserve"> aantasten. </w:t>
      </w:r>
    </w:p>
    <w:p w:rsidR="00FE2E3C" w:rsidRPr="00C8620B" w:rsidRDefault="00FE2E3C" w:rsidP="00071EB7">
      <w:pPr>
        <w:pStyle w:val="Scriptienormaal"/>
      </w:pPr>
      <w:r w:rsidRPr="00676BF6">
        <w:t>De wetgever beredeneert dat de medegerechtigde moet worden gezien als een kapitaalverschaffer.</w:t>
      </w:r>
      <w:r w:rsidRPr="00676BF6">
        <w:rPr>
          <w:rStyle w:val="Voetnootmarkering"/>
        </w:rPr>
        <w:footnoteReference w:id="105"/>
      </w:r>
      <w:r w:rsidRPr="00676BF6">
        <w:t xml:space="preserve"> Ondanks het beheersverbod van artikel 20, W</w:t>
      </w:r>
      <w:r w:rsidR="00F06EBE">
        <w:t xml:space="preserve">etboek </w:t>
      </w:r>
      <w:r w:rsidRPr="00676BF6">
        <w:t>v</w:t>
      </w:r>
      <w:r w:rsidR="00F06EBE">
        <w:t xml:space="preserve">an </w:t>
      </w:r>
      <w:r w:rsidRPr="00676BF6">
        <w:t>K</w:t>
      </w:r>
      <w:r w:rsidR="00F06EBE">
        <w:t>oophandel</w:t>
      </w:r>
      <w:r w:rsidRPr="00676BF6">
        <w:t xml:space="preserve"> is  niet uitgesloten dat een commanditaire vennoot zeggenschap heeft over de onderneming. Het beheersverbod ziet namelijk alleen op het uitdragen van bevoegdheden tegenover derden en niet o</w:t>
      </w:r>
      <w:r w:rsidR="00827FF8">
        <w:t>p</w:t>
      </w:r>
      <w:r w:rsidRPr="00676BF6">
        <w:t xml:space="preserve"> het al dan niet aanwezig zijn van deze bevoegdheden.</w:t>
      </w:r>
      <w:r w:rsidRPr="00676BF6">
        <w:rPr>
          <w:rStyle w:val="Voetnootmarkering"/>
        </w:rPr>
        <w:footnoteReference w:id="106"/>
      </w:r>
      <w:r w:rsidRPr="00676BF6">
        <w:t xml:space="preserve"> De situatie kan dus voorkomen waarin een commanditaire vennoot de mogelijkheid heeft om in het zicht van de overdracht financiële middelen uit de onderneming vrij te maken </w:t>
      </w:r>
      <w:r w:rsidR="00827FF8">
        <w:t>waardoor</w:t>
      </w:r>
      <w:r w:rsidRPr="00676BF6">
        <w:t xml:space="preserve"> de onderneming en ook de continuïteit hiervan </w:t>
      </w:r>
      <w:r w:rsidR="00827FF8">
        <w:t xml:space="preserve">wordt </w:t>
      </w:r>
      <w:r w:rsidRPr="00676BF6">
        <w:t>aan</w:t>
      </w:r>
      <w:r w:rsidR="00827FF8">
        <w:t>ge</w:t>
      </w:r>
      <w:r w:rsidRPr="00676BF6">
        <w:t>tast.</w:t>
      </w:r>
    </w:p>
    <w:p w:rsidR="008C741D" w:rsidRPr="00C8620B" w:rsidRDefault="00FE2E3C" w:rsidP="00015E93">
      <w:pPr>
        <w:pStyle w:val="Scriptienormaal"/>
      </w:pPr>
      <w:r w:rsidRPr="00676BF6">
        <w:t xml:space="preserve">De VPB-faciliteit zal in vergelijking met de IB-faciliteit de continuïteit van een onderneming waarin een medegerechtigdheid wordt gehouden in grotere mate kunnen beïnvloeden. De extra eisen die de VPB-faciliteit stelt ten aanzien van een gehouden medegerechtigdheid zijn niet in lijn met de gezamenlijke doelstelling van de faciliteiten. Dit zorgt voor een mindere mate van effectiviteit ten opzichte van de IB-faciliteit. </w:t>
      </w:r>
    </w:p>
    <w:p w:rsidR="00FE2E3C" w:rsidRPr="00676BF6" w:rsidRDefault="00FE2E3C" w:rsidP="00EF51C9">
      <w:pPr>
        <w:pStyle w:val="Scriptie3"/>
        <w:numPr>
          <w:ilvl w:val="2"/>
          <w:numId w:val="10"/>
        </w:numPr>
      </w:pPr>
      <w:r>
        <w:br w:type="page"/>
      </w:r>
      <w:bookmarkStart w:id="50" w:name="_Toc300055432"/>
      <w:r w:rsidRPr="00676BF6">
        <w:lastRenderedPageBreak/>
        <w:t>Voortzettingsvereiste</w:t>
      </w:r>
      <w:bookmarkEnd w:id="50"/>
    </w:p>
    <w:p w:rsidR="00FE2E3C" w:rsidRPr="00C8620B" w:rsidRDefault="00FE2E3C" w:rsidP="00161881">
      <w:pPr>
        <w:pStyle w:val="Scriptienormaal"/>
      </w:pPr>
      <w:r w:rsidRPr="00676BF6">
        <w:t>In tegenstelling tot de VPB-faciliteit, kan de IB-faciliteit niet worden toegepast indien niet aan een voortzettingsvereiste wordt voldaan. Het niet kunnen toepassen van de IB-faciliteit voor een dergelijke situatie, zorgt ervoor dat een heffing over de stakingswinst bij de overdragende o</w:t>
      </w:r>
      <w:r w:rsidR="008C741D">
        <w:t>ndernemer</w:t>
      </w:r>
      <w:r w:rsidRPr="00676BF6">
        <w:t xml:space="preserve"> terecht komt omdat de stille reserve van de onderneming niet kan worden doorgeschoven naar de voortzettende ondernemer. Omdat er in dit geval geen sprake is van een duurzame bedrijfsoverdracht wordt door het niet toepassen van de faciliteit de doelstelling van de faciliteiten nagestreefd. Ondanks dat in eerste instantie de continuïteitsgedachte niet wordt ondersteund, wordt in lijn met de gemeenschappelijke doelstelling wel de duurzaamheid van de overdracht bevorderd. </w:t>
      </w:r>
    </w:p>
    <w:p w:rsidR="00FE2E3C" w:rsidRPr="00C8620B" w:rsidRDefault="00FE2E3C" w:rsidP="004947E2">
      <w:pPr>
        <w:pStyle w:val="Scriptienormaal"/>
        <w:rPr>
          <w:color w:val="FF0000"/>
        </w:rPr>
      </w:pPr>
      <w:r w:rsidRPr="00676BF6">
        <w:t xml:space="preserve">Omdat een met het voortzettingsvereiste vergelijkbare eis voor de VPB-faciliteit niet bestaat, wordt hiermee geen ondersteuning geboden aan de duurzaamheid van de </w:t>
      </w:r>
      <w:r>
        <w:t>overdracht van de onderneming</w:t>
      </w:r>
      <w:r w:rsidRPr="00676BF6">
        <w:t>. Hierdoor benadert deze faciliteit in mindere mate de bepaalde doelstelling. Dit verschil leidt dit tot een hogere mate van effectiviteit van de IB-faciliteit ten opzichte van de VPB-faciliteit.</w:t>
      </w:r>
    </w:p>
    <w:p w:rsidR="00FE2E3C" w:rsidRPr="00676BF6" w:rsidRDefault="00FE2E3C" w:rsidP="00EF51C9">
      <w:pPr>
        <w:pStyle w:val="Scriptie3"/>
        <w:numPr>
          <w:ilvl w:val="2"/>
          <w:numId w:val="10"/>
        </w:numPr>
      </w:pPr>
      <w:bookmarkStart w:id="51" w:name="_Toc300055433"/>
      <w:r w:rsidRPr="00676BF6">
        <w:t>In de plaats treden</w:t>
      </w:r>
      <w:bookmarkEnd w:id="51"/>
    </w:p>
    <w:p w:rsidR="00FE2E3C" w:rsidRPr="00C8620B" w:rsidRDefault="00FE2E3C" w:rsidP="00C8620B">
      <w:pPr>
        <w:pStyle w:val="Scriptienormaal"/>
      </w:pPr>
      <w:r w:rsidRPr="00676BF6">
        <w:t xml:space="preserve">Omdat het verschil tussen </w:t>
      </w:r>
      <w:r>
        <w:t>de doorschuiffaciliteiten</w:t>
      </w:r>
      <w:r w:rsidRPr="00676BF6">
        <w:t xml:space="preserve"> met betrekking tot het vereiste van het in de plaats treden, niet leidt tot een fiscaal andere uitwerking, heeft dit geen gevolgen voor de mate van effectiviteit in een vergelijking tussen de IB- en de VPB-faciliteit onderling.</w:t>
      </w:r>
      <w:r>
        <w:t xml:space="preserve"> Voor een nadere beschrijving hieromtrent, verwijs ik naar paragraaf 4.1.4.</w:t>
      </w:r>
    </w:p>
    <w:p w:rsidR="00FE2E3C" w:rsidRPr="00676BF6" w:rsidRDefault="00FE2E3C" w:rsidP="00EF51C9">
      <w:pPr>
        <w:pStyle w:val="Scriptie2"/>
        <w:numPr>
          <w:ilvl w:val="1"/>
          <w:numId w:val="10"/>
        </w:numPr>
      </w:pPr>
      <w:bookmarkStart w:id="52" w:name="_Toc300055434"/>
      <w:r w:rsidRPr="00676BF6">
        <w:t>Belastingobject</w:t>
      </w:r>
      <w:bookmarkEnd w:id="52"/>
    </w:p>
    <w:p w:rsidR="00FE2E3C" w:rsidRPr="00676BF6" w:rsidRDefault="00FE2E3C" w:rsidP="00EF51C9">
      <w:pPr>
        <w:pStyle w:val="Scriptie3"/>
        <w:numPr>
          <w:ilvl w:val="2"/>
          <w:numId w:val="10"/>
        </w:numPr>
      </w:pPr>
      <w:bookmarkStart w:id="53" w:name="_Toc296947168"/>
      <w:bookmarkStart w:id="54" w:name="_Toc300055435"/>
      <w:r w:rsidRPr="00676BF6">
        <w:t>Uitgesloten reserves</w:t>
      </w:r>
      <w:bookmarkEnd w:id="53"/>
      <w:bookmarkEnd w:id="54"/>
    </w:p>
    <w:p w:rsidR="00FE2E3C" w:rsidRPr="00C8620B" w:rsidRDefault="00FE2E3C" w:rsidP="00B968D8">
      <w:pPr>
        <w:pStyle w:val="Scriptienormaal"/>
      </w:pPr>
      <w:r w:rsidRPr="00676BF6">
        <w:t xml:space="preserve">De overdracht van een onderneming met toepassing van de IB-faciliteit leidt er alsnog toe dat een stakingswinst ontstaat met betrekking tot de oudedagsreserve. Hierdoor is het mogelijk dat de overdragende ondernemer als gevolg hiervan benodigde de financiële middelen voor de belastingheffing uit zijn onderneming haalt. Dit zal dan gevolgen hebben voor de continuïteit van deze onderneming. Omdat voor toepassing van de VPB-faciliteit de vergelijkbare </w:t>
      </w:r>
      <w:r w:rsidRPr="00676BF6">
        <w:lastRenderedPageBreak/>
        <w:t>pensioenvoorziening als ondernemingsvermogen wordt aangemerkt, zal in deze situatie ten aanzien hiervan geen afrekening plaatsvinden.</w:t>
      </w:r>
      <w:r w:rsidRPr="00676BF6">
        <w:rPr>
          <w:rStyle w:val="Voetnootmarkering"/>
        </w:rPr>
        <w:footnoteReference w:id="107"/>
      </w:r>
      <w:r w:rsidRPr="00676BF6">
        <w:t xml:space="preserve"> </w:t>
      </w:r>
    </w:p>
    <w:p w:rsidR="00FE2E3C" w:rsidRPr="00C8620B" w:rsidRDefault="00FE2E3C" w:rsidP="00343785">
      <w:pPr>
        <w:pStyle w:val="Scriptienormaal"/>
      </w:pPr>
      <w:r w:rsidRPr="00676BF6">
        <w:t xml:space="preserve">De voorgaande vergelijking leidt tot de conclusie dat de IB-faciliteit volgens de continuïteitsgedachte van de doelstelling als minder effectief kan worden gezien dan de VPB-faciliteit. Echter, artikel 3.129, Wet IB 2001 biedt de mogelijkheid </w:t>
      </w:r>
      <w:r w:rsidR="00D6662E">
        <w:t xml:space="preserve">om </w:t>
      </w:r>
      <w:r w:rsidRPr="00676BF6">
        <w:t>de stakingswinst om te zetten in een lijfrente waardoor alsnog geen afrekening plaatsvindt. Omdat artikel 3.129, Wet IB 2001 een maximum kent en een medegerechtigdheid alleen onder bepaalde voorwaarde</w:t>
      </w:r>
      <w:r w:rsidR="00AF59EE">
        <w:t>n</w:t>
      </w:r>
      <w:r w:rsidRPr="00676BF6">
        <w:t xml:space="preserve"> hiervoor in aanmerking komt, wordt hiermee een gedeelte van het verschil in de mate van effectiviteit geëlimineerd, doch niet geheel. </w:t>
      </w:r>
    </w:p>
    <w:p w:rsidR="00FE2E3C" w:rsidRPr="00676BF6" w:rsidRDefault="00FE2E3C" w:rsidP="00EF51C9">
      <w:pPr>
        <w:pStyle w:val="Scriptie3"/>
        <w:numPr>
          <w:ilvl w:val="2"/>
          <w:numId w:val="10"/>
        </w:numPr>
      </w:pPr>
      <w:bookmarkStart w:id="55" w:name="_Toc300055436"/>
      <w:r w:rsidRPr="00676BF6">
        <w:t>Uitgesloten beleggingsvermogen</w:t>
      </w:r>
      <w:bookmarkEnd w:id="55"/>
    </w:p>
    <w:p w:rsidR="00FE2E3C" w:rsidRPr="00C8620B" w:rsidRDefault="00AF59EE" w:rsidP="003F0EA3">
      <w:pPr>
        <w:pStyle w:val="Scriptienormaal"/>
      </w:pPr>
      <w:r>
        <w:t>Ondanks h</w:t>
      </w:r>
      <w:r w:rsidR="00FE2E3C" w:rsidRPr="00676BF6">
        <w:t xml:space="preserve">et feit dat de VPB-faciliteit in eerste instantie niet kan worden toegepast ten aanzien van het beleggingsvermogen, leidt </w:t>
      </w:r>
      <w:r w:rsidR="00FE2E3C">
        <w:t xml:space="preserve">dit </w:t>
      </w:r>
      <w:r w:rsidR="00FE2E3C" w:rsidRPr="00676BF6">
        <w:t>niet tot een verschil in effectiviteit. Hiermee wordt namelijk door de VPB-faciliteit het belastingobject waarop de IB-faciliteit van toepassing is benaderd waardoor dit ook geldt voor de fiscale uitwerking.</w:t>
      </w:r>
      <w:r w:rsidR="00FE2E3C">
        <w:t xml:space="preserve"> Ook kan beredeneerd worden dat de ondernemer bij te betalen inkomstenbelasting ten aanzien van beleggingsvermogen, dit vermogen liquide kan maken om deze te voldoen. </w:t>
      </w:r>
      <w:r w:rsidR="00FE2E3C" w:rsidRPr="00676BF6">
        <w:t>De aantasting van het beleggingsvermogen dat hiermee gepaard gaat, zal dan geen gevolgen hebben voor het ondernemingsvermogen.</w:t>
      </w:r>
      <w:r w:rsidR="00FE2E3C">
        <w:t xml:space="preserve">  Het voorgaande</w:t>
      </w:r>
      <w:r w:rsidR="00FE2E3C" w:rsidRPr="00676BF6">
        <w:t xml:space="preserve"> geldt niet ten aanzien van de uitzonderingsregel waardoor wel beleggingsvermogen kan worden gefaciliteerd tot maximaal 5% van het ondernemingsvermogen.</w:t>
      </w:r>
    </w:p>
    <w:p w:rsidR="00FE2E3C" w:rsidRPr="00C8620B" w:rsidRDefault="00FE2E3C" w:rsidP="001B5D1B">
      <w:pPr>
        <w:pStyle w:val="Scriptienormaal"/>
      </w:pPr>
      <w:r w:rsidRPr="00676BF6">
        <w:t xml:space="preserve">Het gevolg van de uitzonderingsregel is dat de VPB-faciliteit in vergelijking met de IB-faciliteit een vrijstelling verleent voor een groter belastingobject. </w:t>
      </w:r>
      <w:r>
        <w:t xml:space="preserve">Echter, dit voordeel voor de VPB- tegenover de IB-ondernemer heeft geen gevolgen voor het aantasten van het ondernemingsvermogen. De “extra” vrijstelling kan gezien worden als overkill, maar dit heeft geen gevolg voor het al dan niet benaderen van de gestelde doelstellingen. </w:t>
      </w:r>
      <w:r w:rsidRPr="00676BF6">
        <w:t>Aldus, het betreffende verschil in behandeling heeft geen gevolgen voor de onderlinge verhouding van de mate van effectiviteit tussen de doorschuiffaciliteiten.</w:t>
      </w:r>
    </w:p>
    <w:p w:rsidR="00FE2E3C" w:rsidRPr="00676BF6" w:rsidRDefault="00FE2E3C" w:rsidP="00EF51C9">
      <w:pPr>
        <w:pStyle w:val="Scriptie3"/>
        <w:numPr>
          <w:ilvl w:val="2"/>
          <w:numId w:val="10"/>
        </w:numPr>
      </w:pPr>
      <w:r>
        <w:br w:type="page"/>
      </w:r>
      <w:bookmarkStart w:id="56" w:name="_Toc300055437"/>
      <w:r w:rsidRPr="00676BF6">
        <w:lastRenderedPageBreak/>
        <w:t>Invloed overdrachtsprijs</w:t>
      </w:r>
      <w:bookmarkEnd w:id="56"/>
    </w:p>
    <w:p w:rsidR="00FE2E3C" w:rsidRPr="00C8620B" w:rsidRDefault="00FE2E3C" w:rsidP="00B968D8">
      <w:pPr>
        <w:pStyle w:val="Scriptienormaal"/>
      </w:pPr>
      <w:r w:rsidRPr="00676BF6">
        <w:t>Indien de voortzettende onderne</w:t>
      </w:r>
      <w:r>
        <w:t>mer een overdrachtsprijs betaalt</w:t>
      </w:r>
      <w:r w:rsidRPr="00676BF6">
        <w:t xml:space="preserve"> aan de overdragende IB- of VPB-ondernemer, zal de betaling niet beïnvloed worden door een eventuele toepassing van de IB- of de VPB-faciliteit. Namelijk, de waarde van de overgedragen onderneming wordt negatief beïnvloed omdat een fiscale claim van de overdragende naar de voortzettende ondernemer zal worden doorgeschoven. Hierdoor zal een bijpassende overdrachtsprijs lager uitvallen. In beginsel betekent dit echter niet dat de financieringsbehoefte van de voortzettende partij zal verbeteren. Omdat de contante waarde van de toekomstige fiscale claim de contante waarde van de toekomstige belastingbetalingen zal benaderen, betekent dit dat dit ook geldt voor het liquiditeitsvoordeel door een lagere overdrachtsprijs en het contante liquiditeitsnadeel van de fiscale claim. De fiscale claim die met de onderneming mee overgedragen wordt, heft in feite het voordeel op dat de overdragende onderneming heeft omdat een lagere overdrachtsprijs betaald hoeft te worden.</w:t>
      </w:r>
    </w:p>
    <w:p w:rsidR="00FE2E3C" w:rsidRPr="00C8620B" w:rsidRDefault="00FE2E3C" w:rsidP="00B968D8">
      <w:pPr>
        <w:pStyle w:val="Scriptienormaal"/>
      </w:pPr>
      <w:r w:rsidRPr="00676BF6">
        <w:t>Omdat de financiële situatie van de voortzettende onderneming niet door de eventuele toepassing van een doorschuiffaciliteit beïnvloed wordt, zal dit indirect  geen gevolgen hebben voor de continuïteit van de overgedragen onderneming. Voor de voortzettende onderneming ontstaat namelijk niet de behoefte om meer ondernemingsvermogen uit de onderneming te onttrekken.</w:t>
      </w:r>
    </w:p>
    <w:p w:rsidR="00FE2E3C" w:rsidRPr="00C8620B" w:rsidRDefault="00FE2E3C" w:rsidP="00A91D98">
      <w:pPr>
        <w:pStyle w:val="Scriptienormaal"/>
      </w:pPr>
      <w:r w:rsidRPr="00676BF6">
        <w:t xml:space="preserve">Indien de overdragende ondernemer geconfronteerd wordt met te betalen belasting over de ontvangen overdrachtsprijs omdat geen doorschuiffaciliteit kan worden toegepast, zal dit geen extra gevolgen hebben voor de overgedragen onderneming. De overdragende ondernemer zal met de ontvangen tegenprestatie de te betalen belasting kunnen voldoen. Voor deze betaling hoeft geen ondernemingvermogen te worden onttrokken uit de onderneming.  </w:t>
      </w:r>
    </w:p>
    <w:p w:rsidR="00FE2E3C" w:rsidRPr="00C8620B" w:rsidRDefault="00FE2E3C" w:rsidP="00FD6285">
      <w:pPr>
        <w:pStyle w:val="Scriptienormaal"/>
      </w:pPr>
      <w:r w:rsidRPr="00676BF6">
        <w:t xml:space="preserve">De toepassing van een doorschuiffaciliteit over het gedeelte van de onderneming waarvoor door de overdragende ondernemer een overdrachtsprijs wordt ontvangen, zal de continuïteit van de onderneming niet beïnvloeden. Namelijk, </w:t>
      </w:r>
      <w:r>
        <w:t xml:space="preserve">het antwoord op </w:t>
      </w:r>
      <w:r w:rsidRPr="00676BF6">
        <w:t xml:space="preserve">de vraag of zowel de betaling van de overdrachtsprijs door de voortzettende ondernemer </w:t>
      </w:r>
      <w:r>
        <w:t>als</w:t>
      </w:r>
      <w:r w:rsidRPr="00676BF6">
        <w:t xml:space="preserve"> de betaling van de inkomstenbelasting door de overdragende ondernemer ten koste gaa</w:t>
      </w:r>
      <w:r w:rsidR="00AF59EE">
        <w:t>t</w:t>
      </w:r>
      <w:r w:rsidRPr="00676BF6">
        <w:t xml:space="preserve"> van de onderneming, is niet afhankelijk van de eventuele toepassing van een doorschuiffaciliteit. Als gevolg hiervan bestaat </w:t>
      </w:r>
      <w:r w:rsidR="0070130E">
        <w:t>ten opzichte van</w:t>
      </w:r>
      <w:r w:rsidRPr="00676BF6">
        <w:t xml:space="preserve"> de invloed van de overdrachtsprijs geen verschil in de mate van effectiviteit tussen beide doorschuiffaciliteiten.  </w:t>
      </w:r>
    </w:p>
    <w:p w:rsidR="00FE2E3C" w:rsidRPr="00676BF6" w:rsidRDefault="00FE2E3C" w:rsidP="00EF51C9">
      <w:pPr>
        <w:pStyle w:val="Scriptie3"/>
        <w:numPr>
          <w:ilvl w:val="2"/>
          <w:numId w:val="10"/>
        </w:numPr>
      </w:pPr>
      <w:bookmarkStart w:id="57" w:name="_Toc296947171"/>
      <w:bookmarkStart w:id="58" w:name="_Toc300055438"/>
      <w:r w:rsidRPr="00676BF6">
        <w:lastRenderedPageBreak/>
        <w:t>Preferente aandelen</w:t>
      </w:r>
      <w:bookmarkEnd w:id="57"/>
      <w:bookmarkEnd w:id="58"/>
    </w:p>
    <w:p w:rsidR="00FE2E3C" w:rsidRPr="00C8620B" w:rsidRDefault="00FE2E3C" w:rsidP="00161881">
      <w:pPr>
        <w:pStyle w:val="Scriptienormaal"/>
      </w:pPr>
      <w:r w:rsidRPr="00676BF6">
        <w:t>De aanvullende eisen die volgens de VPB-faciliteit gesteld worden ten aanzien van een preferent aanmerkelijk belang breng</w:t>
      </w:r>
      <w:r>
        <w:t>en</w:t>
      </w:r>
      <w:r w:rsidRPr="00676BF6">
        <w:t xml:space="preserve"> met zich </w:t>
      </w:r>
      <w:r w:rsidR="0070130E">
        <w:t xml:space="preserve">mee </w:t>
      </w:r>
      <w:r w:rsidRPr="00676BF6">
        <w:t xml:space="preserve">dat de VPB-faciliteit in mindere mate de overdracht van een preferent aanmerkelijk belang zal faciliteren dan </w:t>
      </w:r>
      <w:r w:rsidR="0070130E">
        <w:t xml:space="preserve">dat </w:t>
      </w:r>
      <w:r w:rsidRPr="00676BF6">
        <w:t>de IB-faciliteit in een vergelijkbare situatie</w:t>
      </w:r>
      <w:r w:rsidR="00D6662E">
        <w:t xml:space="preserve"> </w:t>
      </w:r>
      <w:r w:rsidRPr="00676BF6">
        <w:t xml:space="preserve">zou faciliteren. Nu kan de vraag worden gesteld of de aanvullende belemmeringen die dit voor het overdragen van een dergelijk aanmerkelijk belang </w:t>
      </w:r>
      <w:r w:rsidR="00D6662E">
        <w:t>opwerpt,</w:t>
      </w:r>
      <w:r w:rsidRPr="00676BF6">
        <w:t xml:space="preserve"> ook de continuïteit van de onderneming waar het belang betrekking op heeft kan aantasten. </w:t>
      </w:r>
    </w:p>
    <w:p w:rsidR="00FE2E3C" w:rsidRPr="00C8620B" w:rsidRDefault="00FE2E3C" w:rsidP="00B76B50">
      <w:pPr>
        <w:pStyle w:val="Scriptienormaal"/>
      </w:pPr>
      <w:r w:rsidRPr="00676BF6">
        <w:t>De wetgever beredeneert dat de preferent aandeelhouder net als de medegerechtigde in eerste instantie moet worden gezien als een kapitaalverschaffer.</w:t>
      </w:r>
      <w:r w:rsidRPr="00676BF6">
        <w:rPr>
          <w:rStyle w:val="Voetnootmarkering"/>
        </w:rPr>
        <w:footnoteReference w:id="108"/>
      </w:r>
      <w:r w:rsidRPr="00676BF6">
        <w:t xml:space="preserve"> Net zoals dit bij de medegerechtigde het geval is, is ook voor de preferent aandeelhouder niet uitgesloten dat deze zeggenschap heeft over de onderneming waardoor deze kwalificatie niet altijd terecht hoeft te zijn. Het is dus mogelijk dat een preferent aandeelhouder de zeggenschap heeft om in het zicht van de overdracht financiële middelen uit de onderneming vrij </w:t>
      </w:r>
      <w:r>
        <w:t>te</w:t>
      </w:r>
      <w:r w:rsidRPr="00676BF6">
        <w:t xml:space="preserve"> maken </w:t>
      </w:r>
      <w:r w:rsidR="0070130E">
        <w:t>waardoor</w:t>
      </w:r>
      <w:r w:rsidRPr="00676BF6">
        <w:t xml:space="preserve"> de onderneming </w:t>
      </w:r>
      <w:r>
        <w:t xml:space="preserve">wordt </w:t>
      </w:r>
      <w:r w:rsidRPr="00676BF6">
        <w:t>aan</w:t>
      </w:r>
      <w:r>
        <w:t>ge</w:t>
      </w:r>
      <w:r w:rsidRPr="00676BF6">
        <w:t>tast.</w:t>
      </w:r>
    </w:p>
    <w:p w:rsidR="00FE2E3C" w:rsidRPr="00C8620B" w:rsidRDefault="00FE2E3C" w:rsidP="00B76B50">
      <w:pPr>
        <w:pStyle w:val="Scriptienormaal"/>
      </w:pPr>
      <w:r w:rsidRPr="00676BF6">
        <w:t xml:space="preserve">Hierdoor zal de VPB-faciliteit in vergelijking met de IB-faciliteit de continuïteit van een onderneming </w:t>
      </w:r>
      <w:r w:rsidR="00D6662E">
        <w:t>(</w:t>
      </w:r>
      <w:r w:rsidRPr="00676BF6">
        <w:t>waarvan een preferent aanmerkelijk belang wordt overgedragen</w:t>
      </w:r>
      <w:r w:rsidR="00D6662E">
        <w:t>)</w:t>
      </w:r>
      <w:r w:rsidRPr="00676BF6">
        <w:t xml:space="preserve"> in grotere mate kunnen beïnvloeden. De extra eisen die de VPB-faciliteit stelt ten aanzien van het overdragen van een dergelijk belang zijn niet in lijn met de gezamenlijke doelstelling van de faciliteiten. Dit zorgt voor een mindere mate van effectiviteit ten opzichte van de IB-faciliteit.</w:t>
      </w:r>
    </w:p>
    <w:p w:rsidR="00FE2E3C" w:rsidRPr="00C8620B" w:rsidRDefault="00FE2E3C" w:rsidP="00702CE6">
      <w:pPr>
        <w:pStyle w:val="Scriptienormaal"/>
      </w:pPr>
    </w:p>
    <w:p w:rsidR="00FE2E3C" w:rsidRPr="00676BF6" w:rsidRDefault="00FE2E3C" w:rsidP="00EF51C9">
      <w:pPr>
        <w:pStyle w:val="Scriptie1"/>
        <w:numPr>
          <w:ilvl w:val="0"/>
          <w:numId w:val="10"/>
        </w:numPr>
      </w:pPr>
      <w:r w:rsidRPr="00676BF6">
        <w:br w:type="page"/>
      </w:r>
      <w:bookmarkStart w:id="59" w:name="_Toc300055439"/>
      <w:r w:rsidRPr="00676BF6">
        <w:lastRenderedPageBreak/>
        <w:t>Toetsing efficiëntie</w:t>
      </w:r>
      <w:bookmarkEnd w:id="59"/>
    </w:p>
    <w:p w:rsidR="00FE2E3C" w:rsidRPr="00C8620B" w:rsidRDefault="00FE2E3C" w:rsidP="00831455">
      <w:pPr>
        <w:pStyle w:val="Scriptienormaal"/>
      </w:pPr>
      <w:r w:rsidRPr="00676BF6">
        <w:t xml:space="preserve">In hoofdstuk 2 zijn drie criteria gegeven waaraan de doorschuiffaciliteiten zullen worden getoetst. Hiermee wordt tot een vergelijking tussen deze regelingen gekomen ten aanzien van de mate van rechtsvormneutraliteit. Nadat ik in de voorgaande twee hoofdstukken de faciliteiten aan rechtvaardigheid en effectiviteit heb getoetst, zal ik in dit hoofdstuk tot een toetsing aan de mate van efficiëntie komen. Ik heb al eerder beschreven wat onder het criterium efficiëntie moet worden verstaan. Zo luidt de strekking hiervan dat de gestelde doelstellingen met zo weinig mogelijk uitvoeringskosten dienen te worden gerealiseerd om als efficiënt te worden gezien. </w:t>
      </w:r>
    </w:p>
    <w:p w:rsidR="00FE2E3C" w:rsidRPr="00C8620B" w:rsidRDefault="00FE2E3C" w:rsidP="00FE5ECB">
      <w:pPr>
        <w:pStyle w:val="Scriptienormaal"/>
      </w:pPr>
      <w:r w:rsidRPr="00676BF6">
        <w:t xml:space="preserve">In dit hoofdstuk zal ik tot de toetsing komen door de gevolgen voor de uitvoeringskosten, die het toepassen van de faciliteiten met zich meebrengen, met elkaar te vergelijken. Hierbij zal </w:t>
      </w:r>
      <w:r w:rsidR="0070130E">
        <w:t>aan de orde komen</w:t>
      </w:r>
      <w:r w:rsidR="00D6662E">
        <w:t xml:space="preserve"> </w:t>
      </w:r>
      <w:r w:rsidRPr="00676BF6">
        <w:t>waardoor het verschil in uitvoeringskosten, en hiermee ook in de mate van efficiëntie, veroorzaakt wordt. Net als bij de toetsing aan rechtvaardigheid en effectiviteit zal ik wederom de verschillen tussen de faciliteiten die ik in paragraaf 3.3 heb beschreven als basis gebruiken. Vanuit deze verschillen zal ik bekijken wat hiervan de gevolgen zijn voor de uitvoeringskosten bij de vergelijking tussen beide doorschuiffaciliteiten.</w:t>
      </w:r>
    </w:p>
    <w:p w:rsidR="00FE2E3C" w:rsidRDefault="00FE2E3C" w:rsidP="00857891">
      <w:pPr>
        <w:pStyle w:val="Scriptienormaal"/>
      </w:pPr>
      <w:r w:rsidRPr="00676BF6">
        <w:t>In paragraaf 2.3.3 heb ik al aangegeven dat uitvoeringskosten voor de belastingplichtige toenemen doordat deze bepaalde handelingen moet (laten) verrichten, deze handelingen ingewikkelder worden of wanneer de wetgeving niet duidelijk is waardoor de fiscale gevolgen voor bepaalde situaties niet zeker zijn. Omdat niet objectief is vast te stellen hoe ingewikkeld wetgeving is, zal ik bij de toetsing alleen de toename van de te verrichten handelingen en de afname van de rechtszekerheid meenemen.</w:t>
      </w:r>
      <w:r w:rsidRPr="00676BF6">
        <w:rPr>
          <w:rStyle w:val="Voetnootmarkering"/>
        </w:rPr>
        <w:footnoteReference w:id="109"/>
      </w:r>
      <w:r>
        <w:t xml:space="preserve"> </w:t>
      </w:r>
      <w:r w:rsidRPr="00E2733B">
        <w:t>Ook  kan gesteld worden dat de ingewikkeldheid van de wetgeving (gedeeltelijk) teniet kan worden gedaan door het uitbesteden van het werk aan adviseurs die de regelgeving inmiddels kennen. Voor de extra handelingen is dit niet het geval, deze zullen altijd moeten worden uitgevoerd.</w:t>
      </w:r>
    </w:p>
    <w:p w:rsidR="00FE2E3C" w:rsidRPr="00C8620B" w:rsidRDefault="00FE2E3C" w:rsidP="00857891">
      <w:pPr>
        <w:pStyle w:val="Scriptienormaal"/>
        <w:rPr>
          <w:color w:val="FF0000"/>
        </w:rPr>
      </w:pPr>
      <w:r w:rsidRPr="00676BF6">
        <w:t xml:space="preserve">Er zal sprake zijn van een toename aan uit te voeren handelingen indien informatie nodig is die niet reeds voorhanden </w:t>
      </w:r>
      <w:r w:rsidR="0070130E">
        <w:t>is</w:t>
      </w:r>
      <w:r w:rsidRPr="00676BF6">
        <w:t xml:space="preserve"> bij de belastingplichtige.</w:t>
      </w:r>
      <w:r w:rsidRPr="00857891">
        <w:t xml:space="preserve"> </w:t>
      </w:r>
      <w:r w:rsidRPr="00E2733B">
        <w:t xml:space="preserve">Hierbij ga ik er vanuit dat wanneer voor extra handelingen de benodigde informatie reeds aanwezig is, dit de uitvoeringskosten niet substantieel verhoogt. </w:t>
      </w:r>
      <w:r w:rsidRPr="00676BF6">
        <w:t xml:space="preserve">Voorts zal er sprake zijn van een afname van de rechtszekerheid indien </w:t>
      </w:r>
      <w:r w:rsidRPr="00676BF6">
        <w:lastRenderedPageBreak/>
        <w:t>fiscale gevolgen in mindere mate objectief vastgesteld kunnen worden. Omdat voor de recht</w:t>
      </w:r>
      <w:r>
        <w:t>s</w:t>
      </w:r>
      <w:r w:rsidRPr="00676BF6">
        <w:t>vormneutraliteit alleen de efficiëntiegevolgen voor de belastingplichtige van belang zijn, zal ik niet in gaan op de uitvoeringskosten voor de overheid.</w:t>
      </w:r>
    </w:p>
    <w:p w:rsidR="00FE2E3C" w:rsidRPr="00C8620B" w:rsidRDefault="00FE2E3C" w:rsidP="000952B5">
      <w:pPr>
        <w:pStyle w:val="Scriptienormaal"/>
      </w:pPr>
      <w:r w:rsidRPr="00676BF6">
        <w:t>Omdat geen cijfermatige informatie beschikbaar is over de uitvoeringskosten van de doorschuiffaciliteiten, kan een vergelijking op basis hiervan niet uitgevoerd worden. Derhalve zal ik om tot de toetsing van de faciliteiten te komen</w:t>
      </w:r>
      <w:r>
        <w:t>,</w:t>
      </w:r>
      <w:r w:rsidRPr="00676BF6">
        <w:t xml:space="preserve"> nagaan of er een verschil in het opwerpen van uitvoeringskosten </w:t>
      </w:r>
      <w:r w:rsidR="0070130E">
        <w:t>bestaat</w:t>
      </w:r>
      <w:r w:rsidRPr="00676BF6">
        <w:t xml:space="preserve">. Hiervoor zal ik de eisen die uit de wettelijke bepalingen volgen nader bekijken. </w:t>
      </w:r>
    </w:p>
    <w:p w:rsidR="00FE2E3C" w:rsidRPr="00C8620B" w:rsidRDefault="00FE2E3C" w:rsidP="000952B5">
      <w:pPr>
        <w:pStyle w:val="Scriptienormaal"/>
      </w:pPr>
      <w:r w:rsidRPr="00676BF6">
        <w:t>Er zal sprake zijn van een verschil indien een bepaling van één van de doorschuiffaciliteiten zorgt voor meer te (laten) verrichten handelingen of een afname van rechtszekerheid dan bij de andere doorschuiffaciliteit in een vergelijkbare situatie het geval is. Het gevolg hiervan is dat er dan een onevenwichtigheid bestaat tussen de doorschuiffaciliteiten ten aanzien van de efficiëntie. Verder zal ik alleen tot een beschrijving van een onderdeel komen voor zover d</w:t>
      </w:r>
      <w:r w:rsidR="00D15F98">
        <w:t>it</w:t>
      </w:r>
      <w:r w:rsidRPr="00676BF6">
        <w:t xml:space="preserve"> van belang </w:t>
      </w:r>
      <w:r w:rsidR="00D15F98">
        <w:t>is</w:t>
      </w:r>
      <w:r w:rsidRPr="00676BF6">
        <w:t xml:space="preserve"> ten aanzien van de mate van efficiëntie. In dit hoofdstuk zal ik de verschillen in uitwerking van de doorschuiffaciliteiten niet gedetailleerd beschrijven, hiervoor verwijs ik naar paragraaf 3.3.</w:t>
      </w:r>
    </w:p>
    <w:p w:rsidR="00FE2E3C" w:rsidRPr="00676BF6" w:rsidRDefault="00FE2E3C" w:rsidP="00EF51C9">
      <w:pPr>
        <w:pStyle w:val="Scriptie2"/>
        <w:numPr>
          <w:ilvl w:val="1"/>
          <w:numId w:val="10"/>
        </w:numPr>
      </w:pPr>
      <w:bookmarkStart w:id="60" w:name="_Toc300055440"/>
      <w:r w:rsidRPr="00676BF6">
        <w:t>Belastingsubject</w:t>
      </w:r>
      <w:bookmarkEnd w:id="60"/>
    </w:p>
    <w:p w:rsidR="00FE2E3C" w:rsidRPr="00676BF6" w:rsidRDefault="00FE2E3C" w:rsidP="00EF51C9">
      <w:pPr>
        <w:pStyle w:val="Scriptie3"/>
        <w:numPr>
          <w:ilvl w:val="2"/>
          <w:numId w:val="10"/>
        </w:numPr>
      </w:pPr>
      <w:bookmarkStart w:id="61" w:name="_Toc300055441"/>
      <w:r w:rsidRPr="00676BF6">
        <w:t>Kwalificerende ondernemer</w:t>
      </w:r>
      <w:bookmarkEnd w:id="61"/>
    </w:p>
    <w:p w:rsidR="00FE2E3C" w:rsidRPr="00C8620B" w:rsidRDefault="00FE2E3C" w:rsidP="00C807C9">
      <w:pPr>
        <w:pStyle w:val="Scriptienormaal"/>
      </w:pPr>
      <w:r w:rsidRPr="00676BF6">
        <w:t>Het feit dat de VPB-faciliteit aanvullende eisen stelt om hiervoor in aanmerking te komen zal in vergelijking met de IB-faciliteit geen invloed hebben op de efficiëntie. Namelijk, de extra informatie die nodig is om te bepalen of de ondernemer kan kwalificeren voor de faciliteit, zal reeds voor de bedrijfsoverdracht al bekend zijn bij de belastingplichtige. Deze moet namelijk al eerder, ten behoeve van het indienen van zijn aangifte inkomstenbelasting, kennis hebben genomen van het feit dat hij een aanmerkelijk belang bezit en of deze al dan niet op basis van de meetrekregeling als zodanig wordt aangemerkt. Ook geeft de regelgeving weinig ruimte om over het bestaan van het aanmerkelijk belang te discussiëren waardoor het verschil de rechtszekerheid ten aanzien van de VPB-faciliteit in vergelijking met de IB-faciliteit niet vermindert.</w:t>
      </w:r>
    </w:p>
    <w:p w:rsidR="00F7341E" w:rsidRDefault="00F7341E">
      <w:pPr>
        <w:rPr>
          <w:rFonts w:ascii="Times New Roman" w:hAnsi="Times New Roman"/>
          <w:b/>
          <w:sz w:val="24"/>
          <w:szCs w:val="20"/>
        </w:rPr>
      </w:pPr>
      <w:r>
        <w:br w:type="page"/>
      </w:r>
    </w:p>
    <w:p w:rsidR="00FE2E3C" w:rsidRPr="00676BF6" w:rsidRDefault="00FE2E3C" w:rsidP="00EF51C9">
      <w:pPr>
        <w:pStyle w:val="Scriptie3"/>
        <w:numPr>
          <w:ilvl w:val="2"/>
          <w:numId w:val="10"/>
        </w:numPr>
      </w:pPr>
      <w:bookmarkStart w:id="62" w:name="_Toc300055442"/>
      <w:r w:rsidRPr="00676BF6">
        <w:lastRenderedPageBreak/>
        <w:t>Medegerechtigdheid</w:t>
      </w:r>
      <w:bookmarkEnd w:id="62"/>
    </w:p>
    <w:p w:rsidR="00FE2E3C" w:rsidRPr="00C8620B" w:rsidRDefault="00FE2E3C" w:rsidP="00685878">
      <w:pPr>
        <w:pStyle w:val="Scriptienormaal"/>
      </w:pPr>
      <w:r w:rsidRPr="00676BF6">
        <w:t xml:space="preserve">Net als bij de kwalificerende ondernemer zal de benodigde informatie die voor toepassing van de VPB-faciliteit voor het overdragen van een (indirect) gehouden medegerechtigdheid worden </w:t>
      </w:r>
      <w:r w:rsidR="00A53091">
        <w:t>benodigd is</w:t>
      </w:r>
      <w:r w:rsidRPr="00676BF6">
        <w:t>, reeds aanwezig zijn bij de belastingplichtige. Zo zal bij de belastingplichtige bekend zijn of de mede</w:t>
      </w:r>
      <w:r>
        <w:t>ge</w:t>
      </w:r>
      <w:r w:rsidRPr="00676BF6">
        <w:t>rechtigdheid een rechtstreekse voortzetting vormt van een eerder door de vennootschap gedreven onderneming. Dit geldt ook voor het gegeven of de voortzettende ondernemer op het moment van de overdracht van het aanmerkelijk belang (indirect) beherend vennoot is van de onderneming waar de medegerechtigdheid betrekking op heeft. Ook hier brengt de aanvullende regelgeving van de VPB-faciliteit niet met zich mee dat onduidelijkheid bestaat over de toepassing hiervan waardoor de rechtszekerheid niet wordt aangetast. Omdat de aanvullende regelgeving bij de toepassing van de VPB-faciliteit voor de situatie dat een door een vennootschap gehouden medegerechtigdheid wordt overgedragen in vergelijking met de IB-faciliteit niet zorgt voor hogere uitvoeringskosten, kunnen ook geen gevolgen ten aanzien van de efficiëntie worden geïdentificeerd.</w:t>
      </w:r>
    </w:p>
    <w:p w:rsidR="00FE2E3C" w:rsidRPr="00676BF6" w:rsidRDefault="00FE2E3C" w:rsidP="006255CE">
      <w:pPr>
        <w:pStyle w:val="Scriptie3"/>
        <w:numPr>
          <w:ilvl w:val="2"/>
          <w:numId w:val="10"/>
        </w:numPr>
      </w:pPr>
      <w:bookmarkStart w:id="63" w:name="_Toc300055443"/>
      <w:r w:rsidRPr="00676BF6">
        <w:t>Voortzettingsvereiste</w:t>
      </w:r>
      <w:bookmarkEnd w:id="63"/>
    </w:p>
    <w:p w:rsidR="00FE2E3C" w:rsidRPr="00C8620B" w:rsidRDefault="00FE2E3C" w:rsidP="00592702">
      <w:pPr>
        <w:pStyle w:val="Scriptienormaal"/>
      </w:pPr>
      <w:r w:rsidRPr="00676BF6">
        <w:t>Het voortzettingsvereiste kan een rol gaan spelen indien de IB-onderneming kort na de overdracht wordt vervreemd of geliquideerd. Bij deze situatie kan bij de Belastingdienst twijfel ontstaan of een geplande dooroverdracht of liquidatie bij de overdragende en voortzettende ondernemer reeds voor de eerste overdracht bekend was. Indien dit het geval is, kan de (eerste) overdracht gezien worden als onderdeel van een geheel van rechtshandelingen dat is gericht op de overdracht of liquidatie van de onderneming. Het ontstaan van een eventuele discussie hieromtrent kan ertoe leiden dat de uitvoeringskosten voor de belastingplichtige toenemen omdat deze zijn positie in de discussie moet kunnen verdedigen. Omdat het voortzettingsvereiste een open eis is, zal niet in alle gevallen duidelijk zijn hoe deze beoordeeld moeten worden ten aanzien hiervan. Dit zal de rechtszekerheid doen verminderen. Aldus, het hanteren van het voortzettingsvereiste heeft voor de IB-faciliteit als gevolg dat de mate van efficiëntie hiervan meer wordt aangetast dan bij toepassing van de VPB-faciliteit.</w:t>
      </w:r>
    </w:p>
    <w:p w:rsidR="00FE2E3C" w:rsidRPr="00676BF6" w:rsidRDefault="00FE2E3C" w:rsidP="000E7260">
      <w:pPr>
        <w:pStyle w:val="Scriptie3"/>
        <w:numPr>
          <w:ilvl w:val="2"/>
          <w:numId w:val="10"/>
        </w:numPr>
      </w:pPr>
      <w:bookmarkStart w:id="64" w:name="_Toc300055444"/>
      <w:r w:rsidRPr="00676BF6">
        <w:t>In de plaats treden</w:t>
      </w:r>
      <w:bookmarkEnd w:id="64"/>
    </w:p>
    <w:p w:rsidR="00FE2E3C" w:rsidRPr="00C8620B" w:rsidRDefault="00FE2E3C" w:rsidP="00FD6285">
      <w:pPr>
        <w:pStyle w:val="Scriptienormaal"/>
      </w:pPr>
      <w:r w:rsidRPr="00676BF6">
        <w:t xml:space="preserve">Omdat het verschil tussen </w:t>
      </w:r>
      <w:r>
        <w:t>de doorschuiffaciliteiten</w:t>
      </w:r>
      <w:r w:rsidRPr="00676BF6">
        <w:t xml:space="preserve">, met betrekking tot het vereiste van het in de plaats treden, niet leidt tot een fiscaal andere uitwerking, heeft dit geen gevolgen voor de </w:t>
      </w:r>
      <w:r w:rsidRPr="00676BF6">
        <w:lastRenderedPageBreak/>
        <w:t>mate van e</w:t>
      </w:r>
      <w:r>
        <w:t>fficiën</w:t>
      </w:r>
      <w:r w:rsidRPr="00676BF6">
        <w:t>t</w:t>
      </w:r>
      <w:r>
        <w:t>ie</w:t>
      </w:r>
      <w:r w:rsidRPr="00676BF6">
        <w:t xml:space="preserve"> in een vergelijking tussen de IB- en de VPB-faciliteit onderling.</w:t>
      </w:r>
      <w:r>
        <w:t xml:space="preserve"> Voor een nadere beschrijving hieromtrent, verwijs ik naar paragraaf 4.1.4.</w:t>
      </w:r>
    </w:p>
    <w:p w:rsidR="00FE2E3C" w:rsidRPr="00676BF6" w:rsidRDefault="00FE2E3C" w:rsidP="006255CE">
      <w:pPr>
        <w:pStyle w:val="Scriptie2"/>
        <w:numPr>
          <w:ilvl w:val="1"/>
          <w:numId w:val="10"/>
        </w:numPr>
      </w:pPr>
      <w:bookmarkStart w:id="65" w:name="_Toc300055445"/>
      <w:r w:rsidRPr="00676BF6">
        <w:t>Belastingsubject</w:t>
      </w:r>
      <w:bookmarkEnd w:id="65"/>
    </w:p>
    <w:p w:rsidR="00FE2E3C" w:rsidRPr="00676BF6" w:rsidRDefault="00FE2E3C" w:rsidP="00281BF0">
      <w:pPr>
        <w:pStyle w:val="Scriptie3"/>
        <w:numPr>
          <w:ilvl w:val="2"/>
          <w:numId w:val="10"/>
        </w:numPr>
      </w:pPr>
      <w:bookmarkStart w:id="66" w:name="_Toc300055446"/>
      <w:r w:rsidRPr="00676BF6">
        <w:t>Uitgesloten reserves</w:t>
      </w:r>
      <w:bookmarkEnd w:id="66"/>
    </w:p>
    <w:p w:rsidR="00FE2E3C" w:rsidRPr="00C8620B" w:rsidRDefault="00FE2E3C" w:rsidP="00592702">
      <w:pPr>
        <w:pStyle w:val="Scriptienormaal"/>
      </w:pPr>
      <w:r w:rsidRPr="00676BF6">
        <w:t>Het niet toe kunnen passen van de IB-faciliteit voor de overdracht van een oudedagsreserve zal er niet toe leiden dat voor de belastingplichtige informatie nodig is die tijdens de overdracht niet reeds voorhanden zal zijn. De ondernemer heeft namelijk in het verleden al in zijn aangifte inkomstenbelasting aan moeten geven of een oudedagsreserve bestaat en voor welk bedrag deze op de balans staat. Ten tijde van de overdracht van de onderneming zal direct bekend zijn voor welk bedrag de reserve niet onder toepassing van de IB-faciliteit valt. Ook bestaat er weinig ruimte met betrekking tot de uitleg van de regelgeving waardoor de rechtszekerheid niet lijkt te worden aangetast. Aldus kan er geen grond worden gevonden waarop de efficiëntie van de IB-faciliteit wordt aangetast in vergelijking met de VPB-faciliteit.</w:t>
      </w:r>
    </w:p>
    <w:p w:rsidR="00FE2E3C" w:rsidRPr="00676BF6" w:rsidRDefault="00FE2E3C" w:rsidP="00592702">
      <w:pPr>
        <w:pStyle w:val="Scriptie3"/>
        <w:numPr>
          <w:ilvl w:val="2"/>
          <w:numId w:val="10"/>
        </w:numPr>
      </w:pPr>
      <w:bookmarkStart w:id="67" w:name="_Toc300055447"/>
      <w:r w:rsidRPr="00676BF6">
        <w:t>Uitgesloten beleggingsvermogen</w:t>
      </w:r>
      <w:bookmarkEnd w:id="67"/>
    </w:p>
    <w:p w:rsidR="00FE2E3C" w:rsidRPr="00C8620B" w:rsidRDefault="00FE2E3C" w:rsidP="00CD7976">
      <w:pPr>
        <w:pStyle w:val="Scriptienormaal"/>
      </w:pPr>
      <w:r w:rsidRPr="00676BF6">
        <w:t>De beperking van de VPB-faciliteit waardoor beleggingsvermogen wordt uitgesloten voor toepassing van de faciliteit brengt met zich mee dat aanvullende informatie nodig is om te beoordelen of en in hoeverre hier rekening mee gehouden dient te worden. Zo zal bekeken moeten worden hoeveel het ondernemingsvermogen en het beleggingsvermogen bedra</w:t>
      </w:r>
      <w:r w:rsidR="00D15F98">
        <w:t>agt</w:t>
      </w:r>
      <w:r w:rsidRPr="00676BF6">
        <w:t xml:space="preserve"> dat de over te dragen vennootschap op het moment van de overdracht aanhoudt. Hierbij moet uitgegaan worden van de waarde in het economische verkeer.</w:t>
      </w:r>
      <w:r w:rsidRPr="00676BF6">
        <w:rPr>
          <w:rStyle w:val="Voetnootmarkering"/>
        </w:rPr>
        <w:footnoteReference w:id="110"/>
      </w:r>
      <w:r w:rsidRPr="00676BF6">
        <w:t xml:space="preserve"> Verder wordt door toepassing van het zesde lid van artikel 4.17c, Wet IB 2001 bepaald dat bezittingen en schulden als ondernemingsvermogen moet</w:t>
      </w:r>
      <w:r>
        <w:t>en</w:t>
      </w:r>
      <w:r w:rsidRPr="00676BF6">
        <w:t xml:space="preserve"> worden aangemerkt voor zover deze toerekenbaar zijn aan de onderneming of de medegerechtigdheid van de vennootschap. </w:t>
      </w:r>
    </w:p>
    <w:p w:rsidR="00FE2E3C" w:rsidRPr="00C8620B" w:rsidRDefault="00FE2E3C" w:rsidP="009136EA">
      <w:pPr>
        <w:pStyle w:val="Scriptienormaal"/>
      </w:pPr>
      <w:r w:rsidRPr="00676BF6">
        <w:t xml:space="preserve">Ten aanzien van de voorgenoemde </w:t>
      </w:r>
      <w:r w:rsidR="00D15F98">
        <w:t>be</w:t>
      </w:r>
      <w:r w:rsidRPr="00676BF6">
        <w:t>nodig</w:t>
      </w:r>
      <w:r w:rsidR="00D15F98">
        <w:t>d</w:t>
      </w:r>
      <w:r w:rsidRPr="00676BF6">
        <w:t xml:space="preserve">e informatie zal een overzicht van de bezittingen en de schulden direct voorhanden zijn. Namelijk, voor het indienen van de aangifte vennootschapsbelasting door de over te dragen vennootschap is een jaarrekening van belang waarin de informatie staat vermeld. Echter, hieruit kan niet direct de waarde in het economische verkeer worden bepaald omdat bij het opstellen van de jaarrekening deze </w:t>
      </w:r>
      <w:r w:rsidRPr="00676BF6">
        <w:lastRenderedPageBreak/>
        <w:t xml:space="preserve">waarderingsmethode veelal niet wordt gebruikt. Zo zal bijvoorbeeld bij het aanhouden van onroerend goed de waarde hiervan in het economische verkeer alleen door middel van taxatie kunnen worden vastgesteld. Dit probleem kan zich bij tal van bezittingen en schulden voordoen waardoor de uitvoeringskosten sterk kunnen oplopen in vergelijking met de situatie waarbij de IB-faciliteit wordt toegepast. </w:t>
      </w:r>
    </w:p>
    <w:p w:rsidR="00FE2E3C" w:rsidRPr="00C8620B" w:rsidRDefault="00FE2E3C" w:rsidP="00AE2574">
      <w:pPr>
        <w:pStyle w:val="Scriptienormaal"/>
      </w:pPr>
      <w:r w:rsidRPr="00676BF6">
        <w:t>Nadat de waarde in het economische verkeer aan de bezittingen en de schulden</w:t>
      </w:r>
      <w:r w:rsidR="00D15F98">
        <w:t xml:space="preserve"> is</w:t>
      </w:r>
      <w:r w:rsidRPr="00676BF6">
        <w:t xml:space="preserve"> toegerekend, moet bekeken worden in welke mate deze dienstbaar zijn aan de materiële onderneming. Of sprake is van een materiële onderneming en of bezittingen en schulden hieraan moeten worden toegerekend is een feitelijke kwestie zodat de vraag of hiervan sprake is zal moeten worden beantwoord aan de hand van de feiten en omstandigheden.</w:t>
      </w:r>
      <w:r w:rsidRPr="00676BF6">
        <w:rPr>
          <w:rStyle w:val="Voetnootmarkering"/>
        </w:rPr>
        <w:footnoteReference w:id="111"/>
      </w:r>
      <w:r w:rsidRPr="00676BF6">
        <w:t xml:space="preserve"> Omdat hierbij een subjectieve beoordeling plaatsvindt, kan hierdoor de rechtszekerheid worden aangetast omdat de uitkomst niet altijd duidelijk zal zijn. Het gevolg hiervan is dat sneller discussie zal ontstaan tussen de belastingplichtige en de Belasting</w:t>
      </w:r>
      <w:r>
        <w:t>dienst</w:t>
      </w:r>
      <w:r w:rsidRPr="00676BF6">
        <w:t xml:space="preserve">, mede omdat de partijen hier een tegenstrijdig belang bij hebben. Het voeren van deze discussie of het voorkomen hiervan door overleg tussen beide partijen zal een stijging van de uitvoeringskosten met zich meebrengen. </w:t>
      </w:r>
    </w:p>
    <w:p w:rsidR="00FE2E3C" w:rsidRPr="00C8620B" w:rsidRDefault="00FE2E3C" w:rsidP="00107D66">
      <w:pPr>
        <w:pStyle w:val="Scriptienormaal"/>
      </w:pPr>
      <w:r w:rsidRPr="00676BF6">
        <w:t>Een tegemoetkoming op de voorgenoemde effecten voor de uitvoeringskosten is de mogelijkheid dat beleggingsvermogen tot de faciliteit wordt toegelaten voor</w:t>
      </w:r>
      <w:r w:rsidR="00A53091">
        <w:t xml:space="preserve"> </w:t>
      </w:r>
      <w:r w:rsidRPr="00676BF6">
        <w:t xml:space="preserve">zover dit niet meer bedraagt dan 5% van het ondernemingsvermogen. In de situatie dat in één opslag duidelijk is dat het beleggingsvermogen van de vennootschap onder deze grens valt, zal deze uitzondering een gedeelte van de aanvullende uitvoeringskosten elimineren. In dit geval zal niet tot op de euro af berekend hoeven te worden wat de waarde van het beleggingsvermogen is. </w:t>
      </w:r>
    </w:p>
    <w:p w:rsidR="00FE2E3C" w:rsidRPr="00C8620B" w:rsidRDefault="00FE2E3C" w:rsidP="00AE2574">
      <w:pPr>
        <w:pStyle w:val="Scriptienormaal"/>
      </w:pPr>
      <w:r w:rsidRPr="00676BF6">
        <w:t>Ondanks de uitzonderingsregel zal het uitsluiten van beleggingsvermogen voor de VPB-faciliteit met zich meebrengen dat de uitvoeringskosten</w:t>
      </w:r>
      <w:r>
        <w:t xml:space="preserve"> stijgen,</w:t>
      </w:r>
      <w:r w:rsidRPr="00676BF6">
        <w:t xml:space="preserve"> en hiermee </w:t>
      </w:r>
      <w:r>
        <w:t>de mate van efficiëntie daalt,</w:t>
      </w:r>
      <w:r w:rsidRPr="00676BF6">
        <w:t xml:space="preserve"> in vergelijking met de toepassing van de IB-faciliteit. </w:t>
      </w:r>
    </w:p>
    <w:p w:rsidR="00FE2E3C" w:rsidRPr="00676BF6" w:rsidRDefault="00FE2E3C" w:rsidP="00695169">
      <w:pPr>
        <w:pStyle w:val="Scriptie3"/>
        <w:numPr>
          <w:ilvl w:val="2"/>
          <w:numId w:val="10"/>
        </w:numPr>
      </w:pPr>
      <w:bookmarkStart w:id="68" w:name="_Toc300055448"/>
      <w:r w:rsidRPr="00676BF6">
        <w:t>Invloed overdrachtsprijs</w:t>
      </w:r>
      <w:bookmarkEnd w:id="68"/>
    </w:p>
    <w:p w:rsidR="00FE2E3C" w:rsidRPr="00C8620B" w:rsidRDefault="00FE2E3C" w:rsidP="00EB4494">
      <w:pPr>
        <w:pStyle w:val="Scriptienormaal"/>
      </w:pPr>
      <w:r w:rsidRPr="00676BF6">
        <w:t xml:space="preserve">Om te bepalen of er sprake is van een schenking, zal bekeken moeten worden of artikel 4.22, Wet IB 2001 van toepassing is. Dit is het geval indien bij de verkrijging van een aanmerkelijk belang de tegenprestatie ontbreekt of lager is dan de waarde in het economische verkeer. Zo </w:t>
      </w:r>
      <w:r w:rsidRPr="00676BF6">
        <w:lastRenderedPageBreak/>
        <w:t>z</w:t>
      </w:r>
      <w:r>
        <w:t>ul</w:t>
      </w:r>
      <w:r w:rsidRPr="00676BF6">
        <w:t>l</w:t>
      </w:r>
      <w:r>
        <w:t>en</w:t>
      </w:r>
      <w:r w:rsidRPr="00676BF6">
        <w:t xml:space="preserve"> de tegenprestatie en het overgedragen aandelenbelang moeten worden gewaardeerd naar de waarde in het economische verkeer. Net als bij de bepaling van de waarde in het economische verkeer </w:t>
      </w:r>
      <w:r w:rsidR="00D15F98">
        <w:t>(</w:t>
      </w:r>
      <w:r w:rsidRPr="00676BF6">
        <w:t>zoals ik heb beschreven in de voorgaande paragraaf</w:t>
      </w:r>
      <w:r w:rsidR="00D15F98">
        <w:t>)</w:t>
      </w:r>
      <w:r w:rsidRPr="00676BF6">
        <w:t xml:space="preserve">, zal deze informatie niet direct bij de belastingplichtige aanwezig zijn. Het gevolg is dat hierdoor voor de belastingplichtige extra uitvoeringskosten kunnen ontstaan om de benodigde informatie te bemachtigen. </w:t>
      </w:r>
    </w:p>
    <w:p w:rsidR="00FE2E3C" w:rsidRPr="00C8620B" w:rsidRDefault="00FE2E3C" w:rsidP="00EB4494">
      <w:pPr>
        <w:pStyle w:val="Scriptienormaal"/>
      </w:pPr>
      <w:r w:rsidRPr="00676BF6">
        <w:t xml:space="preserve">De waardering van de onderneming naar de maatstaven die in het economische verkeer gelden, kan niet altijd objectief uitgevoerd worden. Dit kan het gevolg zijn van het feit dat voor bezittingen of schulden geen markt bestaat. Dit is bijvoorbeeld het geval bij specifieke machines die alleen voor een enkele onderneming waarde kunnen toevoegen. Daarbij speelt mee dat de beoordeling naar feiten en omstandigheden kan verschillen waardoor de objectiviteit hiervan in gevaar komt. Dit heeft tot gevolg dat, net als bij de bepaling van het ondernemingsvermogen, de rechtszekerheid kan dalen waardoor de uitvoeringskosten kunnen stijgen. </w:t>
      </w:r>
    </w:p>
    <w:p w:rsidR="00FE2E3C" w:rsidRPr="00C8620B" w:rsidRDefault="00FE2E3C" w:rsidP="00A16214">
      <w:pPr>
        <w:pStyle w:val="Scriptienormaal"/>
      </w:pPr>
      <w:r w:rsidRPr="00676BF6">
        <w:t>Voorts kan geconcludeerd worden dat het belang van de overdracht</w:t>
      </w:r>
      <w:r w:rsidR="00D15F98">
        <w:t>s</w:t>
      </w:r>
      <w:r w:rsidRPr="00676BF6">
        <w:t xml:space="preserve">prijs voor de VPB-faciliteit in vergelijking met de IB-faciliteit meer uitvoeringskosten met zich meebrengt </w:t>
      </w:r>
      <w:r w:rsidR="00D15F98">
        <w:t>waardoor</w:t>
      </w:r>
      <w:r w:rsidRPr="00676BF6">
        <w:t xml:space="preserve"> de mate van efficiëntie </w:t>
      </w:r>
      <w:r w:rsidR="00D15F98">
        <w:t xml:space="preserve">wordt </w:t>
      </w:r>
      <w:r w:rsidRPr="00676BF6">
        <w:t>beïnvloed.</w:t>
      </w:r>
    </w:p>
    <w:p w:rsidR="00FE2E3C" w:rsidRPr="00676BF6" w:rsidRDefault="00FE2E3C" w:rsidP="001748A7">
      <w:pPr>
        <w:pStyle w:val="Scriptie3"/>
        <w:numPr>
          <w:ilvl w:val="2"/>
          <w:numId w:val="10"/>
        </w:numPr>
      </w:pPr>
      <w:bookmarkStart w:id="69" w:name="_Toc300055449"/>
      <w:r w:rsidRPr="00676BF6">
        <w:t>Preferente aandelen</w:t>
      </w:r>
      <w:bookmarkEnd w:id="69"/>
    </w:p>
    <w:p w:rsidR="00FE2E3C" w:rsidRPr="00C8620B" w:rsidRDefault="00FE2E3C" w:rsidP="00F05792">
      <w:pPr>
        <w:pStyle w:val="Scriptienormaal"/>
      </w:pPr>
      <w:r w:rsidRPr="00676BF6">
        <w:t>De VPB-faciliteit stelt aanvullende eisen aan een overgedragen preferent aanmerkelijk belang. Voordat bepaald kan worden of deze eisen van toepassing zijn, moet eerst bekeken worden of er sprake is van een preferent aandelenbelang. Hiervan is volgens de wetgever in ieder geval sprake indien de aandelen alleen recht geven op een, al dan niet cumulatief, vast dividend en niet, ook niet gedeeltelijk, op de waardevermeerdering van de aandelen. Daarbij is aangegeven dat in ieder geval geen sprake is van een preferent aandelenbelang indien de aandelen alleen jur</w:t>
      </w:r>
      <w:r>
        <w:t>i</w:t>
      </w:r>
      <w:r w:rsidRPr="00676BF6">
        <w:t>disch preferent genoemd kunnen worden omdat de houder hiervan recht heeft op een bijzonder stemrecht.</w:t>
      </w:r>
      <w:r w:rsidRPr="00676BF6">
        <w:rPr>
          <w:rStyle w:val="Voetnootmarkering"/>
        </w:rPr>
        <w:footnoteReference w:id="112"/>
      </w:r>
      <w:r w:rsidRPr="00676BF6">
        <w:t xml:space="preserve"> Hieruit wordt niet duidelijk welke van de vormen die tussen deze twee situaties vallen kunnen kwalificeren als een preferente aandelenbelang. Het begrip preferent aandelenbelang is door de wetgever met opzet vaag gehouden om ervoor te zorgen dat belastingplichtigen niet de grens gaan opzoeken.</w:t>
      </w:r>
      <w:r w:rsidRPr="00676BF6">
        <w:rPr>
          <w:rStyle w:val="Voetnootmarkering"/>
        </w:rPr>
        <w:footnoteReference w:id="113"/>
      </w:r>
      <w:r w:rsidRPr="00676BF6">
        <w:t xml:space="preserve"> </w:t>
      </w:r>
    </w:p>
    <w:p w:rsidR="00FE2E3C" w:rsidRPr="00C8620B" w:rsidRDefault="00FE2E3C" w:rsidP="00F05792">
      <w:pPr>
        <w:pStyle w:val="Scriptienormaal"/>
      </w:pPr>
      <w:r w:rsidRPr="00676BF6">
        <w:lastRenderedPageBreak/>
        <w:t xml:space="preserve">Omdat de uitleg die de wetgever geeft aan het begrip preferent aandeel niet duidelijk is omschreven, zorgt dit voor een verlaging van de rechtszekerheid. Zoals al eerder naar voren is gekomen, leidt dit tot een toename van de uitvoeringskosten en hierdoor tot een afname van de mate van efficiëntie in vergelijking met de IB-faciliteit. </w:t>
      </w:r>
    </w:p>
    <w:p w:rsidR="00FE2E3C" w:rsidRPr="00C8620B" w:rsidRDefault="00FE2E3C" w:rsidP="00C8620B">
      <w:pPr>
        <w:pStyle w:val="Scriptienormaal"/>
      </w:pPr>
      <w:r w:rsidRPr="00676BF6">
        <w:t>Indien bekend is dat er sprake is van een over te dragen preferent aandelenbelang, moet aan aanvullende eisen worden voldaan om voor toepassing van de VPB-faciliteit in aanmerking te komen. Ten eerste dient het belang gevormd te zijn vanuit een omzetting van een eerder door de overdragende ondernemer gehouden normaal aanmerkelijk belang. Ten tweede moet de omzetting gepaard zijn gegaan met het toekennen van gewone aandelen aan een ander en moet de vennootschap een onderneming drijven of een medegerechtigdheid houden. Vervolgens moet de verkrijger van het preferent aandelenbelang ten tijde hiervan een regulier aanmerkelijk belang houden.</w:t>
      </w:r>
    </w:p>
    <w:p w:rsidR="00FE2E3C" w:rsidRPr="00C8620B" w:rsidRDefault="00FE2E3C" w:rsidP="001B5115">
      <w:pPr>
        <w:pStyle w:val="Scriptienormaal"/>
      </w:pPr>
      <w:r w:rsidRPr="00676BF6">
        <w:t xml:space="preserve">De bovenstaande eisen brengen niet met zich mee dat voor de toetsing hieraan informatie nodig is die niet reeds bij de belastingplichtige voorhanden is. Voor alle informatie geldt dat deze ook in het verleden van belang </w:t>
      </w:r>
      <w:r>
        <w:t>is</w:t>
      </w:r>
      <w:r w:rsidRPr="00676BF6">
        <w:t xml:space="preserve"> geweest voor de belastingheffing ten aanzien van de overdragende of voortzettende ondernemer. Ook geven de bepalingen geen ruimte voor onduidelijkheid over de toepassing van de feiten. Aldus leiden de aanvullende eisen op zichzelf niet tot een toename van de uitvoeringskosten en wordt de mate van efficiëntie tussen beide doorschuiffaciliteiten ook niet beïnvloed.</w:t>
      </w:r>
    </w:p>
    <w:p w:rsidR="00FE2E3C" w:rsidRPr="00676BF6" w:rsidRDefault="00FE2E3C" w:rsidP="00A86D96">
      <w:pPr>
        <w:pStyle w:val="Scriptie1"/>
        <w:numPr>
          <w:ilvl w:val="0"/>
          <w:numId w:val="10"/>
        </w:numPr>
      </w:pPr>
      <w:r w:rsidRPr="00676BF6">
        <w:br w:type="page"/>
      </w:r>
      <w:bookmarkStart w:id="70" w:name="_Toc300055450"/>
      <w:r w:rsidRPr="00676BF6">
        <w:lastRenderedPageBreak/>
        <w:t xml:space="preserve">Mogelijke aanpassingen </w:t>
      </w:r>
      <w:r w:rsidR="003A29ED">
        <w:t>d</w:t>
      </w:r>
      <w:r w:rsidRPr="00676BF6">
        <w:t>oorschuiffaciliteiten</w:t>
      </w:r>
      <w:bookmarkEnd w:id="70"/>
    </w:p>
    <w:p w:rsidR="00FE2E3C" w:rsidRPr="00C8620B" w:rsidRDefault="00FE2E3C" w:rsidP="00F30C3B">
      <w:pPr>
        <w:pStyle w:val="Scriptienormaal"/>
      </w:pPr>
      <w:r w:rsidRPr="00676BF6">
        <w:t xml:space="preserve">In de voorgaande hoofdstukken heb ik de doorschuiffaciliteiten aan elkaar getoetst ten aanzien van de rechtvaardigheid, effectiviteit en efficiëntie. Uit de verschillende toetsingen is gebleken dat voor ieder van de drie criteria de doorschuiffaciliteiten niet volledig met elkaar in evenwicht zijn. Aldus, er kan geconcludeerd worden dat er ook geen evenwicht bestaat ten aanzien van de rechtsvormneutraliteit. Met deze conclusie kan de eerste deelvraag van mijn primaire probleemstelling ontkennend worden beantwoord. </w:t>
      </w:r>
    </w:p>
    <w:p w:rsidR="00FE2E3C" w:rsidRPr="00C8620B" w:rsidRDefault="00FE2E3C" w:rsidP="00E2733B">
      <w:pPr>
        <w:pStyle w:val="Scriptienormaal"/>
      </w:pPr>
      <w:r w:rsidRPr="00676BF6">
        <w:t>Voor de beantwoording van de tweede deelvraag van mijn primaire probleemstelling, moet gekeken worden of het mogelijk is om de doorschuiffaciliteiten zodanig aan te passen zodat hiermee meer recht wordt gedaan aan het beginsel van rechtsvormneutraliteit. Een beperkende voorwaarde hierbij is dat deze aanpassingen niet mogen leiden tot afbreuk aan de gemeenschappelijke doelstellingen die aan de faciliteiten ten grondslag liggen. Met deze voorwaarde wordt getracht de mogelijke aanpassingen alleen als gewenst aan te merken indien deze ook bijdragen aan het doel van de faciliteiten. Deze voorwaarde zal alleen voor de wetgever van belang zijn omdat hiervoor, naast de vormgeving van de wetgeving waaronder de mate van rechtsvormneutraliteit, juist ook de doelmatigheid van belang is.</w:t>
      </w:r>
    </w:p>
    <w:p w:rsidR="00FE2E3C" w:rsidRPr="00C8620B" w:rsidRDefault="00FE2E3C" w:rsidP="00AE2574">
      <w:pPr>
        <w:pStyle w:val="Scriptienormaal"/>
      </w:pPr>
      <w:r w:rsidRPr="00676BF6">
        <w:t>In dit hoofdstuk zal ik beschrijven of boven</w:t>
      </w:r>
      <w:r>
        <w:t>bedoelde</w:t>
      </w:r>
      <w:r w:rsidRPr="00676BF6">
        <w:t xml:space="preserve"> aanpassingen mogelijk zijn. Als uitgangspunt hierbij neem ik de geïdentificeerde verschillen tussen de doorschuiffaciliteiten zoals deze zijn beschreven in paragraaf 3.3. Ten aanzien hiervan zal ik per verschil bekijken of het mogelijk is om de doorschuiffaciliteiten zodanig aan te passen zodat een verschil tussen beide wordt opgeheven. Hierbij zal ik de mogelijkheden aangeven om beide wetgeving</w:t>
      </w:r>
      <w:r>
        <w:t>en</w:t>
      </w:r>
      <w:r w:rsidRPr="00676BF6">
        <w:t xml:space="preserve"> wat de uitwerking hiervan betreft naar elkaar toe te laten bewegen. Er zal dan sprake zijn van een vooruitgang met betrekking tot de rechtsvormneutraliteit indien de aanpassing ertoe leidt dat de doorschuiffaciliteiten meer in evenwicht zijn ten aanzien van één of meerdere van de criteria rechtvaardigheid, effectiviteit en efficiëntie.</w:t>
      </w:r>
      <w:r w:rsidRPr="00676BF6">
        <w:rPr>
          <w:rStyle w:val="Voetnootmarkering"/>
        </w:rPr>
        <w:footnoteReference w:id="114"/>
      </w:r>
      <w:r w:rsidRPr="00676BF6">
        <w:t xml:space="preserve"> </w:t>
      </w:r>
    </w:p>
    <w:p w:rsidR="00FE2E3C" w:rsidRPr="00C8620B" w:rsidRDefault="00FE2E3C" w:rsidP="00FB6F7D">
      <w:pPr>
        <w:pStyle w:val="Scriptienormaal"/>
      </w:pPr>
      <w:r w:rsidRPr="00676BF6">
        <w:lastRenderedPageBreak/>
        <w:t>Vervolgens zal getoetst worden of de voorgestelde aanpassingen in strijd zijn met de gemeenschappelijke doelstellingen van de faciliteit.</w:t>
      </w:r>
      <w:r w:rsidRPr="00676BF6">
        <w:rPr>
          <w:rStyle w:val="Voetnootmarkering"/>
        </w:rPr>
        <w:footnoteReference w:id="115"/>
      </w:r>
      <w:r w:rsidRPr="00676BF6">
        <w:t xml:space="preserve"> Er is sprake van een aantasting indien met de aanpassing afbreuk wordt ge</w:t>
      </w:r>
      <w:r>
        <w:t>daan aan de effectiviteit van</w:t>
      </w:r>
      <w:r w:rsidRPr="00676BF6">
        <w:t xml:space="preserve"> één of beide doorschuiffaciliteiten ten opzichte van de effectiviteit zonder de aanpassing. Met de effectiviteit wordt immers getoetst in hoeverre de gemeenschappelijke doelstellingen worden ondersteund. Indien de aanpassing niet zorgt voor een aantasting van de gemeenschappelijke doelstellingen, dan zal de aanpassing al</w:t>
      </w:r>
      <w:r>
        <w:t>s</w:t>
      </w:r>
      <w:r w:rsidRPr="00676BF6">
        <w:t xml:space="preserve"> gewenst worden gezien om de doorschuiffaciliteit ten bate van de rechtsvormneutraliteit aan te passen.</w:t>
      </w:r>
    </w:p>
    <w:p w:rsidR="00FE2E3C" w:rsidRPr="00C8620B" w:rsidRDefault="00FE2E3C" w:rsidP="00C8620B">
      <w:pPr>
        <w:pStyle w:val="Scriptienormaal"/>
      </w:pPr>
      <w:r w:rsidRPr="00676BF6">
        <w:t xml:space="preserve">In het vervolg van dit hoofdstuk zal ik per verschil, zoals ik deze in paragraaf 3.3 heb geïdentificeerd, </w:t>
      </w:r>
      <w:r>
        <w:t>aangeven of er een mogelijke aanpassing bestaat</w:t>
      </w:r>
      <w:r w:rsidRPr="00676BF6">
        <w:t xml:space="preserve">. Conform de indeling van deze paragraaf zal ik een splitsing maken tussen de onderdelen met betrekking tot het belastingsubject en </w:t>
      </w:r>
      <w:r w:rsidR="00082DBC">
        <w:t>belasting</w:t>
      </w:r>
      <w:r w:rsidRPr="00676BF6">
        <w:t>object. Hierbij zal ik de verschillen in uitwerking van de doorschuiffaciliteiten niet gedetailleerd beschrijven,</w:t>
      </w:r>
      <w:r>
        <w:t xml:space="preserve"> </w:t>
      </w:r>
      <w:r w:rsidR="00082DBC">
        <w:t>daar</w:t>
      </w:r>
      <w:r>
        <w:t>voor verwijs ik naar voor</w:t>
      </w:r>
      <w:r w:rsidRPr="00676BF6">
        <w:t>noemde paragraaf.</w:t>
      </w:r>
    </w:p>
    <w:p w:rsidR="00FE2E3C" w:rsidRPr="00676BF6" w:rsidRDefault="00FE2E3C" w:rsidP="00FE7F3F">
      <w:pPr>
        <w:pStyle w:val="Scriptie2"/>
        <w:numPr>
          <w:ilvl w:val="1"/>
          <w:numId w:val="10"/>
        </w:numPr>
      </w:pPr>
      <w:bookmarkStart w:id="71" w:name="_Toc300055451"/>
      <w:r w:rsidRPr="00676BF6">
        <w:t>Belastingsubject</w:t>
      </w:r>
      <w:bookmarkEnd w:id="71"/>
    </w:p>
    <w:p w:rsidR="00FE2E3C" w:rsidRPr="00676BF6" w:rsidRDefault="00FE2E3C" w:rsidP="00FE7F3F">
      <w:pPr>
        <w:pStyle w:val="Scriptie3"/>
        <w:numPr>
          <w:ilvl w:val="2"/>
          <w:numId w:val="10"/>
        </w:numPr>
      </w:pPr>
      <w:bookmarkStart w:id="72" w:name="_Toc300055452"/>
      <w:r w:rsidRPr="00676BF6">
        <w:t>Kwalificerende ondernemer</w:t>
      </w:r>
      <w:bookmarkEnd w:id="72"/>
    </w:p>
    <w:p w:rsidR="00FE2E3C" w:rsidRPr="00C8620B" w:rsidRDefault="00FE2E3C" w:rsidP="000D17DF">
      <w:pPr>
        <w:pStyle w:val="Scriptienormaal"/>
      </w:pPr>
      <w:r w:rsidRPr="00676BF6">
        <w:t>Ik heb reeds beschreven dat als onrechtvaardig kan worden gezien dat de VPB-faciliteit niet kan worden toegepast indien een meetrek-aanmerkelijk belang wordt overgedragen. Ook beperkt deze maatregel de effectiviteit van de faciliteit ten aanzien van de IB-faciliteit. Ten aanzien van de efficiëntie kan geen effect worden geconstateerd. Voor een verdere ondersteuning van deze conclusies verwijs ik naar de paragrafen 4.1.1, 5.2.1 en 6.1.1.</w:t>
      </w:r>
    </w:p>
    <w:p w:rsidR="00FE2E3C" w:rsidRPr="00C8620B" w:rsidRDefault="00FE2E3C" w:rsidP="000D17DF">
      <w:pPr>
        <w:pStyle w:val="Scriptienormaal"/>
      </w:pPr>
      <w:r w:rsidRPr="00676BF6">
        <w:t>Om het verschil in de mate van rechtvaardigheid te elimineren, kan de VPB-faciliteit ook opengesteld worden voor de overdracht van een meetrek-aanmerkelijk belang. De mogelijkheid om tot eenzelfde uitwerking te komen door de IB-faciliteit aan te passen is niet mogelijk omdat een meetrek-aanmerkelijk belang een begrip is dat specifiek voor de toepassing van box 2</w:t>
      </w:r>
      <w:r w:rsidR="00082DBC">
        <w:t>-</w:t>
      </w:r>
      <w:r w:rsidRPr="00676BF6">
        <w:t xml:space="preserve">inkomen is ontstaan. Een vergelijkbaar begrip kan niet voor de heffing in box 1 worden ingevoerd om </w:t>
      </w:r>
      <w:r>
        <w:t xml:space="preserve">zo </w:t>
      </w:r>
      <w:r w:rsidRPr="00676BF6">
        <w:t>de faciliteiten in evenwicht te brengen. De eerstgenoemde aanpassing zal daarom als de enig mogelijke moeten worden gezien.</w:t>
      </w:r>
    </w:p>
    <w:p w:rsidR="00FE2E3C" w:rsidRPr="00C8620B" w:rsidRDefault="00FE2E3C" w:rsidP="000D17DF">
      <w:pPr>
        <w:pStyle w:val="Scriptienormaal"/>
      </w:pPr>
      <w:r w:rsidRPr="00676BF6">
        <w:lastRenderedPageBreak/>
        <w:t xml:space="preserve">Deze aanpassing zal tevens gevolgen hebben voor de mate van evenwicht ten aanzien van de effectiviteit. </w:t>
      </w:r>
      <w:r>
        <w:t>Hierdoor</w:t>
      </w:r>
      <w:r w:rsidRPr="00676BF6">
        <w:t xml:space="preserve"> zal het </w:t>
      </w:r>
      <w:r>
        <w:t xml:space="preserve">namelijk </w:t>
      </w:r>
      <w:r w:rsidRPr="00676BF6">
        <w:t xml:space="preserve">mogelijk zijn om in meer gevallen de VPB-faciliteit toe te passen waarmee de continuïteit voor de ondernemingen </w:t>
      </w:r>
      <w:r>
        <w:t>in grotere mate</w:t>
      </w:r>
      <w:r w:rsidRPr="00676BF6">
        <w:t xml:space="preserve"> zal worden ondersteund. Daarbij heeft de aanpassing geen negatieve invloed op de duurzaamheid van de overdracht. </w:t>
      </w:r>
    </w:p>
    <w:p w:rsidR="00FE2E3C" w:rsidRPr="00C8620B" w:rsidRDefault="00FE2E3C" w:rsidP="000D17DF">
      <w:pPr>
        <w:pStyle w:val="Scriptienormaal"/>
      </w:pPr>
      <w:r w:rsidRPr="00676BF6">
        <w:t>Omdat het verschil ten aanzien van de kwalificerende ondernemer geen verschil met zich mee brengt voor de mate van efficiëntie, zal de voorgenoemde aanpassing hiervoor geen gevolgen hebben.</w:t>
      </w:r>
    </w:p>
    <w:p w:rsidR="00FE2E3C" w:rsidRPr="00C8620B" w:rsidRDefault="00FE2E3C" w:rsidP="00D81B9A">
      <w:pPr>
        <w:pStyle w:val="Scriptienormaal"/>
      </w:pPr>
      <w:r w:rsidRPr="00676BF6">
        <w:t xml:space="preserve">Zoals hiervoor al naar voren is gekomen doet de voorgenoemde aanpassing niets af aan de mate van effectiviteit en hierdoor ook niet aan de gemeenschappelijke doelstellingen van de faciliteiten. Derhalve is </w:t>
      </w:r>
      <w:r>
        <w:t>een</w:t>
      </w:r>
      <w:r w:rsidRPr="00676BF6">
        <w:t xml:space="preserve"> aanpassing</w:t>
      </w:r>
      <w:r w:rsidR="00082DBC">
        <w:t>,</w:t>
      </w:r>
      <w:r w:rsidRPr="00676BF6">
        <w:t xml:space="preserve"> waardoor de VPB-faciliteit ook open wordt gesteld voor het overdragen van een meetr</w:t>
      </w:r>
      <w:r>
        <w:t>e</w:t>
      </w:r>
      <w:r w:rsidRPr="00676BF6">
        <w:t>k-aanmerkelijk belang</w:t>
      </w:r>
      <w:r w:rsidR="00082DBC">
        <w:t>,</w:t>
      </w:r>
      <w:r w:rsidRPr="00676BF6">
        <w:t xml:space="preserve"> gewenst.</w:t>
      </w:r>
    </w:p>
    <w:p w:rsidR="00FE2E3C" w:rsidRPr="00676BF6" w:rsidRDefault="00FE2E3C" w:rsidP="00FE7F3F">
      <w:pPr>
        <w:pStyle w:val="Scriptie3"/>
        <w:numPr>
          <w:ilvl w:val="2"/>
          <w:numId w:val="10"/>
        </w:numPr>
      </w:pPr>
      <w:bookmarkStart w:id="73" w:name="_Toc300055453"/>
      <w:r w:rsidRPr="00676BF6">
        <w:t>Medegerechtigdheid</w:t>
      </w:r>
      <w:bookmarkEnd w:id="73"/>
    </w:p>
    <w:p w:rsidR="00FE2E3C" w:rsidRPr="00C8620B" w:rsidRDefault="00FE2E3C" w:rsidP="00C35F1B">
      <w:pPr>
        <w:pStyle w:val="Scriptienormaal"/>
      </w:pPr>
      <w:r w:rsidRPr="00676BF6">
        <w:t>De VPB-faciliteit werpt extra drempels op voor het doorschuiven van een door een vennootschap gehouden medegerechtigdheid in vergelijking met eenzelfde situatie bij toepassing van de IB-faciliteit. Dit verschil kan niet worden gerechtvaardigd. Ook brengt dit met zich mee dat de VPB-faciliteit in mindere mate effectief is in vergelijking met de IB-faciliteit. Voor een verdere ondersteuning van deze conclusies verwijs ik naar de paragrafen 4.1.1, 5.2.1 en 6.1.1.</w:t>
      </w:r>
    </w:p>
    <w:p w:rsidR="00FE2E3C" w:rsidRPr="00C8620B" w:rsidRDefault="00FE2E3C" w:rsidP="00C35F1B">
      <w:pPr>
        <w:pStyle w:val="Scriptienormaal"/>
      </w:pPr>
      <w:r w:rsidRPr="00676BF6">
        <w:t>Net als in de voorgaande paragraaf kan het verschil in uitwerking tussen de doorschuiffaciliteiten ten aanzien van een medegerechtigdheid worden verminderd door de aanvullende voorwaarden die de VPB-faciliteit stelt te schrappen. Ook is het mogelijk om eenzelfde effect te bereiken door soortgelijke aanvullende voorwaarden van to</w:t>
      </w:r>
      <w:r>
        <w:t xml:space="preserve">epassing te laten zijn voor de </w:t>
      </w:r>
      <w:r w:rsidRPr="00676BF6">
        <w:t xml:space="preserve">IB-faciliteit. Beide aanpassingen </w:t>
      </w:r>
      <w:r>
        <w:t xml:space="preserve">zullen </w:t>
      </w:r>
      <w:r w:rsidRPr="00676BF6">
        <w:t>leiden tot eenzelfde behandeling door de faciliteiten van de situatie dat een (indirect) gehouden medegerechtigdheid wordt overgedragen.</w:t>
      </w:r>
    </w:p>
    <w:p w:rsidR="00FE2E3C" w:rsidRPr="00C8620B" w:rsidRDefault="00FE2E3C" w:rsidP="00C35F1B">
      <w:pPr>
        <w:pStyle w:val="Scriptienormaal"/>
      </w:pPr>
      <w:r>
        <w:t>Ook brengen b</w:t>
      </w:r>
      <w:r w:rsidRPr="00676BF6">
        <w:t xml:space="preserve">eide mogelijke aanpassingen met zich mee dat eenzelfde mate van effectiviteit voor beide doorschuiffaciliteiten wordt bereikt. Dit komt doordat eenzelfde behandeling de continuïteit van een onderneming waarin een medegerechtigdheid wordt gehouden op eenzelfde manier zal ondersteunen. Een aanpassing van de IB-faciliteit aan de uitwerking van </w:t>
      </w:r>
      <w:r w:rsidRPr="00676BF6">
        <w:lastRenderedPageBreak/>
        <w:t xml:space="preserve">de VPB-faciliteit zal leiden tot een vergelijkbare lagere mate van effectiviteit omdat in mindere mate de continuïteit van de overgedragen onderneming wordt ondersteund. </w:t>
      </w:r>
      <w:proofErr w:type="spellStart"/>
      <w:r w:rsidRPr="00676BF6">
        <w:t>Vi</w:t>
      </w:r>
      <w:r w:rsidRPr="00C8620B">
        <w:t>ce</w:t>
      </w:r>
      <w:proofErr w:type="spellEnd"/>
      <w:r w:rsidRPr="00676BF6">
        <w:t xml:space="preserve"> versa zal een aanpassing van de VPB-faciliteit aan de IB-faciliteit leiden tot een vergelijkbare hogere mate van effectiviteit. </w:t>
      </w:r>
    </w:p>
    <w:p w:rsidR="00FE2E3C" w:rsidRPr="00C8620B" w:rsidRDefault="00FE2E3C" w:rsidP="00C35F1B">
      <w:pPr>
        <w:pStyle w:val="Scriptienormaal"/>
      </w:pPr>
      <w:r w:rsidRPr="00676BF6">
        <w:t>Omdat het verschil ten aanzien van een medegerechtigdheid geen verschil met zich mee brengt voor de mate van efficiëntie, zal de voorgenoemde aanpassing hiervoor geen gevolgen hebben.</w:t>
      </w:r>
    </w:p>
    <w:p w:rsidR="00FE2E3C" w:rsidRPr="00C8620B" w:rsidRDefault="00FE2E3C" w:rsidP="006A7FD1">
      <w:pPr>
        <w:pStyle w:val="Scriptienormaal"/>
      </w:pPr>
      <w:r w:rsidRPr="00676BF6">
        <w:t>Indien de IB-faciliteit zal worden aang</w:t>
      </w:r>
      <w:r>
        <w:t xml:space="preserve">epast aan de VPB-faciliteit, </w:t>
      </w:r>
      <w:r w:rsidRPr="00676BF6">
        <w:t xml:space="preserve">zal de mate van effectiviteit </w:t>
      </w:r>
      <w:r>
        <w:t>ten aanzien hiervan</w:t>
      </w:r>
      <w:r w:rsidRPr="00676BF6">
        <w:t xml:space="preserve"> verminderen doordat de continuïteit van de onderneming in mindere mate wordt ondersteund</w:t>
      </w:r>
      <w:r w:rsidR="00D6318A" w:rsidRPr="00A53091">
        <w:t>. Derhalve leidt enkel de aanpassing waarbij de VPB-faciliteit wordt aangepast naar de uitwerking van de IB-faciliteit</w:t>
      </w:r>
      <w:r w:rsidRPr="00676BF6">
        <w:t xml:space="preserve"> niet tot een aantasting van de gemeenschappelijke doelstellingen van de faciliteiten omdat deze in lijn </w:t>
      </w:r>
      <w:r w:rsidR="00A53091">
        <w:t>is</w:t>
      </w:r>
      <w:r w:rsidRPr="00676BF6">
        <w:t xml:space="preserve"> met de continuïteitsgedachte. Deze aanpassing</w:t>
      </w:r>
      <w:r w:rsidR="00082DBC">
        <w:t>,</w:t>
      </w:r>
      <w:r w:rsidRPr="00676BF6">
        <w:t xml:space="preserve"> waardoor geen aanvullend</w:t>
      </w:r>
      <w:r w:rsidR="00082DBC">
        <w:t>e</w:t>
      </w:r>
      <w:r w:rsidRPr="00676BF6">
        <w:t xml:space="preserve"> voorwaarden worden gesteld voor toepassing van de VPB-faciliteit ten aanzien van een medegerechtigdheid, </w:t>
      </w:r>
      <w:r>
        <w:t>ka</w:t>
      </w:r>
      <w:r w:rsidRPr="00676BF6">
        <w:t>n als gewenst worden</w:t>
      </w:r>
      <w:r w:rsidR="00082DBC">
        <w:t xml:space="preserve"> gezien</w:t>
      </w:r>
      <w:r w:rsidRPr="00676BF6">
        <w:t xml:space="preserve">. </w:t>
      </w:r>
    </w:p>
    <w:p w:rsidR="00FE2E3C" w:rsidRPr="00676BF6" w:rsidRDefault="00FE2E3C" w:rsidP="00FE7F3F">
      <w:pPr>
        <w:pStyle w:val="Scriptie3"/>
        <w:numPr>
          <w:ilvl w:val="2"/>
          <w:numId w:val="10"/>
        </w:numPr>
      </w:pPr>
      <w:bookmarkStart w:id="74" w:name="_Toc300055454"/>
      <w:r w:rsidRPr="00676BF6">
        <w:t>Voortzettingsvereiste</w:t>
      </w:r>
      <w:bookmarkEnd w:id="74"/>
    </w:p>
    <w:p w:rsidR="00FE2E3C" w:rsidRPr="00C8620B" w:rsidRDefault="00FE2E3C" w:rsidP="009E3741">
      <w:pPr>
        <w:pStyle w:val="Scriptienormaal"/>
      </w:pPr>
      <w:r w:rsidRPr="00676BF6">
        <w:t>Zoals eerder al naar voren is gekomen, bestaat er bij de IB-faciliteit een voortzettingsvereiste. Voor de VPB-faciliteit bestaat een dergelijke eis niet. Dit verschil leidt tot een onevenwichtigheid ten aanzien van de mate van rechtvaardigheid, effectiviteit en efficiëntie. Voor een verdere ondersteuning van deze conclusies verwijs ik naar de paragra</w:t>
      </w:r>
      <w:r>
        <w:t>f</w:t>
      </w:r>
      <w:r w:rsidRPr="00676BF6">
        <w:t>en 4.1.3, 5.2.3 en 6.1.3.</w:t>
      </w:r>
    </w:p>
    <w:p w:rsidR="00FE2E3C" w:rsidRPr="00C8620B" w:rsidRDefault="00FE2E3C" w:rsidP="00A50A36">
      <w:pPr>
        <w:pStyle w:val="Scriptienormaal"/>
      </w:pPr>
      <w:r w:rsidRPr="00676BF6">
        <w:t>Om het verschil in rechtvaardigheid weg te nemen, kan een met het voortzettingsvereiste vergelijkbaar vereiste voor de toepassing van de VPB-faciliteit worden ingevoerd.</w:t>
      </w:r>
      <w:r>
        <w:t xml:space="preserve"> </w:t>
      </w:r>
      <w:r w:rsidRPr="00E2733B">
        <w:t xml:space="preserve">Hier kan gedacht worden aan </w:t>
      </w:r>
      <w:r w:rsidR="00082DBC">
        <w:t>het</w:t>
      </w:r>
      <w:r w:rsidRPr="00E2733B">
        <w:t xml:space="preserve"> vereiste tot het gezamenlijk aanhouden van een aanmerkelijk belang door de VPB-ondernemer en de materiële onderneming door de vennootschap zoals ik dit in paragraaf 4.1.3 reeds heb besproken.</w:t>
      </w:r>
      <w:r w:rsidRPr="00676BF6">
        <w:t xml:space="preserve"> Ook is het mogelijk om het voortzettingsvereiste voor toepassing van de IB-faciliteit te laten </w:t>
      </w:r>
      <w:r w:rsidR="00A53091">
        <w:t>ver</w:t>
      </w:r>
      <w:r w:rsidRPr="00676BF6">
        <w:t xml:space="preserve">vallen. Het gevolg van beide aanpassingen is dat door beide faciliteiten vergelijkbare eisen worden gesteld ten aanzien van het voortzetten van de overgedragen onderneming na de overdracht. </w:t>
      </w:r>
    </w:p>
    <w:p w:rsidR="00FE2E3C" w:rsidRPr="00C8620B" w:rsidRDefault="00FE2E3C" w:rsidP="00EF0C51">
      <w:pPr>
        <w:pStyle w:val="Scriptienormaal"/>
      </w:pPr>
      <w:r w:rsidRPr="00676BF6">
        <w:lastRenderedPageBreak/>
        <w:t>Bovenstaande aanpassingen leiden door vergelijkbare uitwerkingen ook tot een evenwichtige mate van effectiviteit. Zo zal op een vergelijkbare manier de doelstellingen van de faciliteiten worden ondersteund. Indien de VPB-faciliteit wordt aangepast naar de uitwerking van de IB-faciliteit, zal tussen de faciliteiten een hogere mate van vergelijkbare effectiviteit ontstaan omdat in grotere mate de duurzaamheid van de overdracht van de on</w:t>
      </w:r>
      <w:r w:rsidR="00A53091">
        <w:t xml:space="preserve">derneming wordt ondersteund. </w:t>
      </w:r>
      <w:proofErr w:type="spellStart"/>
      <w:r w:rsidR="00A53091">
        <w:t>v</w:t>
      </w:r>
      <w:r w:rsidRPr="00C8620B">
        <w:t>ice</w:t>
      </w:r>
      <w:proofErr w:type="spellEnd"/>
      <w:r w:rsidRPr="00676BF6">
        <w:t xml:space="preserve"> versa zal een aanpassing van de VPB-faciliteit aan de IB-faciliteit leiden tot een vergelijkbare lagere mate van effectiviteit.</w:t>
      </w:r>
    </w:p>
    <w:p w:rsidR="00FE2E3C" w:rsidRPr="00C8620B" w:rsidRDefault="00FE2E3C" w:rsidP="007E217F">
      <w:pPr>
        <w:pStyle w:val="Scriptienormaal"/>
      </w:pPr>
      <w:r w:rsidRPr="00676BF6">
        <w:t xml:space="preserve">De twee mogelijke aanpassingen zullen ook een effect hebben op de onevenwichtigheid ten aanzien van de efficiëntie zoals deze nu bestaat. Indien een vergelijkbaar voortzettingsvereiste zal worden ingevoerd voor toepassing van de VPB-faciliteit, zal de belastingplichtige bij het toepassen hiervan met vergelijkbare uitvoeringskosten worden geconfronteerd als bij de IB-faciliteit. Wanneer het voortzettingsvereiste voor toepassing van de IB-faciliteit zou verdwijnen, is er eveneens sprake van een vergelijkbare (hogere) mate van efficiëntie. Beide aanpassingen zullen daarom de faciliteiten meer in evenwicht brengen ten aanzien van de efficiëntie. </w:t>
      </w:r>
    </w:p>
    <w:p w:rsidR="00FE2E3C" w:rsidRPr="00C8620B" w:rsidRDefault="00FE2E3C" w:rsidP="007E217F">
      <w:pPr>
        <w:pStyle w:val="Scriptienormaal"/>
      </w:pPr>
      <w:r w:rsidRPr="00676BF6">
        <w:t xml:space="preserve">Er kan geconcludeerd worden dat beide voorgestelde aanpassingen evenwicht brengen tussen de doorschuifregelingen ten aanzien van de </w:t>
      </w:r>
      <w:r w:rsidR="009B51D6">
        <w:t>r</w:t>
      </w:r>
      <w:r w:rsidRPr="00676BF6">
        <w:t xml:space="preserve">echtvaardigheid, effectiviteit en efficiëntie en dus ook ten aanzien van de rechtsvormneutraliteit. Echter, het laten wegvallen van het voortzettingsvereiste voor toepassing van de IB-faciliteit zal ervoor zorgen dat de gemeenschappelijke doelstellingen ten aanzien hiervan worden aangetast. Namelijk, de IB-faciliteit zal hierdoor de duurzaamheid van de overdracht van de onderneming minder ondersteunen. Hierdoor kan alleen de aanpassing waarbij een vergelijkbaar voortzettingsvereiste wordt ingevoerd bij toepassing van de VPB-faciliteit als gewenst worden </w:t>
      </w:r>
      <w:r w:rsidR="009B51D6">
        <w:t>gezien</w:t>
      </w:r>
      <w:r w:rsidRPr="00676BF6">
        <w:t>.</w:t>
      </w:r>
    </w:p>
    <w:p w:rsidR="00FE2E3C" w:rsidRPr="00676BF6" w:rsidRDefault="00FE2E3C" w:rsidP="00FE7F3F">
      <w:pPr>
        <w:pStyle w:val="Scriptie3"/>
        <w:numPr>
          <w:ilvl w:val="2"/>
          <w:numId w:val="10"/>
        </w:numPr>
      </w:pPr>
      <w:bookmarkStart w:id="75" w:name="_Toc300055455"/>
      <w:r w:rsidRPr="00676BF6">
        <w:t>In de plaats treden</w:t>
      </w:r>
      <w:bookmarkEnd w:id="75"/>
    </w:p>
    <w:p w:rsidR="00FE2E3C" w:rsidRPr="00C8620B" w:rsidRDefault="00FE2E3C" w:rsidP="00D81B9A">
      <w:pPr>
        <w:pStyle w:val="Scriptienormaal"/>
      </w:pPr>
      <w:r w:rsidRPr="00676BF6">
        <w:t>Zoals in paragraaf 3.3.1 is aangegeven bestaat er voor de IB-faciliteit, in tegenstelling tot voor de VPB-faciliteit, het vereiste van het in de plaats treden. Echter, dit verschil leidt niet tot een verschil in de mate van rechtvaardigheid, effectiviteit en efficiëntie. Ten aanzien hiervan bestaat er dan ook geen verschil in de mate van rechtsvormneutraliteit waardoor geen aanpassingen nodig zijn.</w:t>
      </w:r>
    </w:p>
    <w:p w:rsidR="003A29ED" w:rsidRDefault="003A29ED">
      <w:pPr>
        <w:rPr>
          <w:rFonts w:ascii="Times New Roman" w:hAnsi="Times New Roman"/>
          <w:b/>
          <w:sz w:val="32"/>
          <w:szCs w:val="20"/>
        </w:rPr>
      </w:pPr>
      <w:r>
        <w:br w:type="page"/>
      </w:r>
    </w:p>
    <w:p w:rsidR="00FE2E3C" w:rsidRPr="00676BF6" w:rsidRDefault="00FE2E3C" w:rsidP="00FE7F3F">
      <w:pPr>
        <w:pStyle w:val="Scriptie2"/>
        <w:numPr>
          <w:ilvl w:val="1"/>
          <w:numId w:val="10"/>
        </w:numPr>
      </w:pPr>
      <w:bookmarkStart w:id="76" w:name="_Toc300055456"/>
      <w:r w:rsidRPr="00676BF6">
        <w:lastRenderedPageBreak/>
        <w:t>Belastingsubject</w:t>
      </w:r>
      <w:bookmarkEnd w:id="76"/>
    </w:p>
    <w:p w:rsidR="00FE2E3C" w:rsidRPr="00676BF6" w:rsidRDefault="00FE2E3C" w:rsidP="00FE7F3F">
      <w:pPr>
        <w:pStyle w:val="Scriptie3"/>
        <w:numPr>
          <w:ilvl w:val="2"/>
          <w:numId w:val="10"/>
        </w:numPr>
      </w:pPr>
      <w:bookmarkStart w:id="77" w:name="_Toc300055457"/>
      <w:r w:rsidRPr="00676BF6">
        <w:t>Uitgesloten reserves</w:t>
      </w:r>
      <w:bookmarkEnd w:id="77"/>
    </w:p>
    <w:p w:rsidR="00FE2E3C" w:rsidRPr="00C8620B" w:rsidRDefault="00FE2E3C" w:rsidP="0011466F">
      <w:pPr>
        <w:pStyle w:val="Scriptienormaal"/>
      </w:pPr>
      <w:r w:rsidRPr="00676BF6">
        <w:t>Het verschil tussen de doorschuiffaciliteiten dat ontstaat omdat de oudedagsreserve niet gefaciliteerd kan worden doorgeschoven, leidt niet tot een verschil in de mate van rechtvaardigheid en efficiëntie.</w:t>
      </w:r>
      <w:r w:rsidRPr="00676BF6">
        <w:rPr>
          <w:rStyle w:val="Voetnootmarkering"/>
        </w:rPr>
        <w:footnoteReference w:id="116"/>
      </w:r>
      <w:r w:rsidRPr="00676BF6">
        <w:t xml:space="preserve"> Zoals in paragraaf 5.3.1 is beschreven ontstaat er hierdoor wel een verschil in de mate van effectiviteit. </w:t>
      </w:r>
    </w:p>
    <w:p w:rsidR="00FE2E3C" w:rsidRPr="00C8620B" w:rsidRDefault="00FE2E3C" w:rsidP="00EC2A1E">
      <w:pPr>
        <w:pStyle w:val="Scriptienormaal"/>
      </w:pPr>
      <w:r w:rsidRPr="00676BF6">
        <w:t>Het is niet mogelijk om de IB-faciliteit zodanig aan te passen zodat de b</w:t>
      </w:r>
      <w:r>
        <w:t>eperking hiervan niet geldt ten aanzien van</w:t>
      </w:r>
      <w:r w:rsidRPr="00676BF6">
        <w:t xml:space="preserve"> de oudedagsreserve. De reserve is namelijk volgens het inkomstenbelastingregime zodanig verknocht aan de IB-ondernemer dat deze niet kan worden overgedragen op een andere IB-ondernemer. Hierdoor blijft als enige m</w:t>
      </w:r>
      <w:r>
        <w:t>ogelijke aanpassing over dat voor</w:t>
      </w:r>
      <w:r w:rsidRPr="00676BF6">
        <w:t xml:space="preserve"> de VPB-faciliteit eenzelfde beperking wordt geïntroduceerd. Zo zou de faciliteit beperkt kunnen worden ten aanzien van een pensioenvoorziening die door de over te dragen vennootschap wordt aangehouden. Hierdoor zal de uitwerking van de VPB-faciliteit de uitwerking van de IB-faciliteit meer benaderen. De VPB-faciliteit zal dan net als de IB-faciliteit de continuïteit van de overgedragen onderneming minder ondersteunen waardoor eenzelfde lagere mate van effectiviteit wordt bereikt. </w:t>
      </w:r>
    </w:p>
    <w:p w:rsidR="00FE2E3C" w:rsidRPr="00C8620B" w:rsidRDefault="00FE2E3C" w:rsidP="00BE6F51">
      <w:pPr>
        <w:pStyle w:val="Scriptienormaal"/>
      </w:pPr>
      <w:r w:rsidRPr="00676BF6">
        <w:t>Echter, bovenstaande aanpassing zal met zich meebrengen dat de gezamenlijke doelstelling door de VPB-faciliteit minder wordt bereikt dan zonder de aanpassing het geval zou zijn. Hierdoor kan de aanpassing niet als gewenst worden aangemerkt. Ten aanzien van het verschil met betrekking tot de door de IB-faciliteit uitgesloten reserves, kan ten behoeve van de rechtsvormneutraliteit geen</w:t>
      </w:r>
      <w:r>
        <w:t xml:space="preserve"> aanpassing worden aangedragen.</w:t>
      </w:r>
    </w:p>
    <w:p w:rsidR="00FE2E3C" w:rsidRPr="00676BF6" w:rsidRDefault="00FE2E3C" w:rsidP="00FE7F3F">
      <w:pPr>
        <w:pStyle w:val="Scriptie3"/>
        <w:numPr>
          <w:ilvl w:val="2"/>
          <w:numId w:val="10"/>
        </w:numPr>
      </w:pPr>
      <w:bookmarkStart w:id="78" w:name="_Toc300055458"/>
      <w:r w:rsidRPr="00676BF6">
        <w:t>Uitgesloten beleggingsvermogen</w:t>
      </w:r>
      <w:bookmarkEnd w:id="78"/>
    </w:p>
    <w:p w:rsidR="00FE2E3C" w:rsidRPr="00C8620B" w:rsidRDefault="00FE2E3C" w:rsidP="00C910A7">
      <w:pPr>
        <w:pStyle w:val="Scriptienormaal"/>
      </w:pPr>
      <w:r w:rsidRPr="00676BF6">
        <w:t>In paragraaf 3.3.2 heb ik beschreven dat een verschil tussen de doorschuiffaciliteiten ontstaat doordat de VPB-faciliteit niet kan worden toegepast ten aanzien van door de vennootschap gehouden beleggingsvermogen en de uitzondering hierop voor zover het beleggingsvermogen niet meer bedraagt dan 5% van het ondernemingsvermogen. Omdat dit verschil tweeledig is zal ik hierna een splitsing maken tussen de het uitgesloten beleggingsvermogen en de uitzonderingsregel.</w:t>
      </w:r>
    </w:p>
    <w:p w:rsidR="00FE2E3C" w:rsidRPr="00C8620B" w:rsidRDefault="00FE2E3C" w:rsidP="00A86CED">
      <w:pPr>
        <w:pStyle w:val="scriptie4"/>
      </w:pPr>
      <w:r w:rsidRPr="00676BF6">
        <w:lastRenderedPageBreak/>
        <w:t>Het uitgesloten beleggingsvermogen</w:t>
      </w:r>
    </w:p>
    <w:p w:rsidR="00FE2E3C" w:rsidRPr="00C8620B" w:rsidRDefault="00FE2E3C" w:rsidP="001646DF">
      <w:pPr>
        <w:pStyle w:val="Scriptienormaal"/>
      </w:pPr>
      <w:r w:rsidRPr="00676BF6">
        <w:t>Het feit dat de VPB-faciliteit in eerste instantie niet kan worden toegepast ten aanzien van het beleggingsvermogen, leidt niet tot een verschil in de mate rechtvaardigheid en effectiviteit. Echter, er kan wel een verschil gevonden worden ten aanzien van de mate van efficiëntie. Dit verschil wordt verminderd door toepassing van de uitzonderingsregel. Voor een nadere uitleg hieromtrent verwijs ik naar de paragraven 4.2.2, 5.3.2 en 6.2.2.</w:t>
      </w:r>
    </w:p>
    <w:p w:rsidR="00FE2E3C" w:rsidRPr="00C8620B" w:rsidRDefault="00FE2E3C" w:rsidP="007C1665">
      <w:pPr>
        <w:pStyle w:val="Scriptienormaal"/>
      </w:pPr>
      <w:r w:rsidRPr="00676BF6">
        <w:t xml:space="preserve">Er bestaat de mogelijkheid om het verschil in de mate van effectiviteit te verminderen door de VPB-faciliteit ook open te stellen voor beleggingsvermogen. Hierdoor zullen de extra handelingen en de mindere mate van rechtszekerheid die bij de VPB-faciliteit ten aanzien van de IB-faciliteit bestaan, worden verminderd. </w:t>
      </w:r>
    </w:p>
    <w:p w:rsidR="00FE2E3C" w:rsidRPr="00C8620B" w:rsidRDefault="00FE2E3C" w:rsidP="007C1665">
      <w:pPr>
        <w:pStyle w:val="Scriptienormaal"/>
      </w:pPr>
      <w:r w:rsidRPr="00676BF6">
        <w:t>Deze aanpassing leidt echter tot een verschil in de mate van rechtvaardigheid. Dit ontstaat doordat hierdoor de VPB-faciliteit kan worden toegepast op een groter belastingobject dan bij de IB-faciliteit het geval zal zijn.</w:t>
      </w:r>
      <w:r w:rsidRPr="00676BF6">
        <w:rPr>
          <w:rStyle w:val="Voetnootmarkering"/>
        </w:rPr>
        <w:footnoteReference w:id="117"/>
      </w:r>
      <w:r w:rsidRPr="00676BF6">
        <w:t xml:space="preserve"> Met mijn onderzoek kan niet worden vastgesteld of het ontstaan van dit verschil in de mate van rechtvaardigheid samen met het wegwerken van het verschil in de mate van efficiëntie per saldo leidt tot een vooruitgang of achteruitgang van rechtsvormneutraliteit.</w:t>
      </w:r>
      <w:r>
        <w:t xml:space="preserve"> Het is namelijk niet mogelijk om een inschatting te maken of het verschil in rechtvaardigheid of in efficiëntie een groter effect heeft op het evenwicht ten aanzien van de rechtsvormneutraliteit.</w:t>
      </w:r>
      <w:r w:rsidRPr="00676BF6">
        <w:t xml:space="preserve"> Om tot een oordeel te komen of de voorgestelde aanpassing leidt tot een hogere rechtsvormneutraliteit, zal nader onderzoek nodig zijn waaruit duidelijk wordt welke van de twee factoren hierop de meeste invloed uitoefe</w:t>
      </w:r>
      <w:r w:rsidR="009B51D6">
        <w:t>nt</w:t>
      </w:r>
      <w:r w:rsidRPr="00676BF6">
        <w:t xml:space="preserve">. </w:t>
      </w:r>
    </w:p>
    <w:p w:rsidR="00FE2E3C" w:rsidRPr="00C8620B" w:rsidRDefault="00FE2E3C" w:rsidP="00BE6F51">
      <w:pPr>
        <w:pStyle w:val="Scriptienormaal"/>
      </w:pPr>
      <w:r w:rsidRPr="00676BF6">
        <w:t>Omdat de voorgestelde aanpassing geen effect heeft op de effectiviteit, zal hierdoor ook geen achteruitgang ontstaan ten aanzien van de mate waarin de gemeenschappelijke doelstellingen worden ondersteund. De aanpassing kan</w:t>
      </w:r>
      <w:r>
        <w:t xml:space="preserve"> door de beperkende voorwaarde in mijn probleemstelling ten aanzien van mogelijke aanpassingen niet </w:t>
      </w:r>
      <w:r w:rsidR="009B51D6">
        <w:t xml:space="preserve">als </w:t>
      </w:r>
      <w:r>
        <w:t>gediskwalificeerd, en ook niet als onwenselijk aangemerkt worden.</w:t>
      </w:r>
    </w:p>
    <w:p w:rsidR="00FE2E3C" w:rsidRPr="00C8620B" w:rsidRDefault="00FE2E3C" w:rsidP="00A86CED">
      <w:pPr>
        <w:pStyle w:val="scriptie4"/>
      </w:pPr>
      <w:r w:rsidRPr="00676BF6">
        <w:t>De uitzonderingsregel</w:t>
      </w:r>
    </w:p>
    <w:p w:rsidR="00FE2E3C" w:rsidRPr="00C8620B" w:rsidRDefault="00FE2E3C" w:rsidP="00A86CED">
      <w:pPr>
        <w:pStyle w:val="Scriptienormaal"/>
      </w:pPr>
      <w:r w:rsidRPr="00676BF6">
        <w:t>Doordat voor de VPB-faciliteit een beperkte hoeveelheid aan beleggingsvermogen kan worden gefaciliteerd, ontstaat een verschil ten aanzien van de rechtvaardigheid. Voor een nadere beschrijving hiervan, verwijs ik naar paragraaf 4.2.2.</w:t>
      </w:r>
    </w:p>
    <w:p w:rsidR="00FE2E3C" w:rsidRPr="00C8620B" w:rsidRDefault="00FE2E3C" w:rsidP="00521097">
      <w:pPr>
        <w:pStyle w:val="Scriptienormaal"/>
      </w:pPr>
      <w:r w:rsidRPr="00676BF6">
        <w:lastRenderedPageBreak/>
        <w:t>Een mogelijkheid om het verschil in rechtvaardigheid tegen te gaan is door de uitzonderingsregel uit de VPB-faciliteit te schrappen. De uitzonderingsregel heeft e</w:t>
      </w:r>
      <w:r>
        <w:t>en tegenovergestelde werking op</w:t>
      </w:r>
      <w:r w:rsidRPr="00676BF6">
        <w:t xml:space="preserve"> de hoofdregel waar</w:t>
      </w:r>
      <w:r>
        <w:t>over</w:t>
      </w:r>
      <w:r w:rsidRPr="00676BF6">
        <w:t xml:space="preserve"> ik hiervoor </w:t>
      </w:r>
      <w:r>
        <w:t>heb</w:t>
      </w:r>
      <w:r w:rsidRPr="00676BF6">
        <w:t xml:space="preserve"> gesproken. Hierdoor kan op eenzelfde manier beredeneerd worden dat met het sch</w:t>
      </w:r>
      <w:r>
        <w:t>r</w:t>
      </w:r>
      <w:r w:rsidRPr="00676BF6">
        <w:t xml:space="preserve">appen van de uitzonderingsregel voor </w:t>
      </w:r>
      <w:r>
        <w:t xml:space="preserve">de </w:t>
      </w:r>
      <w:r w:rsidRPr="00676BF6">
        <w:t xml:space="preserve">toepassing van de VPB-faciliteit eenzelfde belastingobject wordt benaderd als bij de IB-faciliteit wat ten goede komt aan het evenwicht ten aanzien van de mate van rechtvaardigheid. </w:t>
      </w:r>
    </w:p>
    <w:p w:rsidR="00FE2E3C" w:rsidRPr="00C8620B" w:rsidRDefault="00FE2E3C" w:rsidP="00BE6F51">
      <w:pPr>
        <w:pStyle w:val="Scriptienormaal"/>
      </w:pPr>
      <w:r w:rsidRPr="00676BF6">
        <w:t>Echter, met de bovenstaande aanpassing zal een groter verschil in de mate van efficiëntie ont</w:t>
      </w:r>
      <w:r>
        <w:t>staan. De uitzonderingsregel brengt</w:t>
      </w:r>
      <w:r w:rsidRPr="00676BF6">
        <w:t xml:space="preserve"> namelijk met zich mee </w:t>
      </w:r>
      <w:r>
        <w:t>dat het verschil in efficiëntie</w:t>
      </w:r>
      <w:r w:rsidRPr="00676BF6">
        <w:t>,</w:t>
      </w:r>
      <w:r>
        <w:t xml:space="preserve"> </w:t>
      </w:r>
      <w:r w:rsidRPr="00676BF6">
        <w:t xml:space="preserve">dat ontstaat doordat de VPB-faciliteit niet kan worden toegepast ten aanzien van het beleggingsvermogen, wordt verkleind. Net als hiervoor het geval is, kan met dit onderzoek niet worden aangetoond of de aanpassing per saldo leidt tot een vooruitgang van rechtsvormneutraliteit. Om hierop een antwoord te geven is aanvullend onderzoek nodig. </w:t>
      </w:r>
    </w:p>
    <w:p w:rsidR="00FE2E3C" w:rsidRPr="00BE6F51" w:rsidRDefault="00FE2E3C" w:rsidP="00631556">
      <w:pPr>
        <w:pStyle w:val="Scriptienormaal"/>
      </w:pPr>
      <w:r w:rsidRPr="00676BF6">
        <w:t xml:space="preserve">Evenals bij het uitgesloten beleggingsvermogen heeft de voorgestelde aanpassing van de uitzonderingsregel geen gevolgen voor de mate waarin de gemeenschappelijke doelstellingen worden behaald. De aanpassing kan hierdoor </w:t>
      </w:r>
      <w:r>
        <w:t xml:space="preserve">eveneens </w:t>
      </w:r>
      <w:r w:rsidRPr="00676BF6">
        <w:t>niet als onwenselijk worden aangemerkt.</w:t>
      </w:r>
    </w:p>
    <w:p w:rsidR="00FE2E3C" w:rsidRPr="00676BF6" w:rsidRDefault="00FE2E3C" w:rsidP="00FE7F3F">
      <w:pPr>
        <w:pStyle w:val="Scriptie3"/>
        <w:numPr>
          <w:ilvl w:val="2"/>
          <w:numId w:val="10"/>
        </w:numPr>
      </w:pPr>
      <w:bookmarkStart w:id="79" w:name="_Toc300055459"/>
      <w:r w:rsidRPr="00676BF6">
        <w:t>Invloed overdrachtsprijs</w:t>
      </w:r>
      <w:bookmarkEnd w:id="79"/>
    </w:p>
    <w:p w:rsidR="00FE2E3C" w:rsidRPr="00C8620B" w:rsidRDefault="00FE2E3C" w:rsidP="00AA27A4">
      <w:pPr>
        <w:pStyle w:val="Scriptienormaal"/>
      </w:pPr>
      <w:r w:rsidRPr="00676BF6">
        <w:t xml:space="preserve">Voor toepassing van de IB-faciliteit is niet van belang of er een overdrachtsprijs wordt betaald door de voortzettende ondernemer aan de overdragende ondernemer. Voor de VPB-faciliteit is dit wel het geval. Namelijk, de VPB-faciliteit is alleen van toepassing voor het gedeelte van het ondernemingsvermogen dat door de overdragende ondernemer wordt geschonken aan de voortzettende ondernemer. Hierdoor ontstaat er een verschil ten aanzien van de mate van rechtvaardigheid en efficiëntie. Voor een nadere beschrijving hieromtrent, verwijs ik naar de paragrafen 4.2.3, 5.3.3 en 6.2.3.  </w:t>
      </w:r>
    </w:p>
    <w:p w:rsidR="00FE2E3C" w:rsidRPr="00C8620B" w:rsidRDefault="00FE2E3C" w:rsidP="00BE6F51">
      <w:pPr>
        <w:pStyle w:val="Scriptienormaal"/>
      </w:pPr>
      <w:r w:rsidRPr="00676BF6">
        <w:t xml:space="preserve">Het verschil in de mate van rechtvaardigheid kan worden geëlimineerd door de IB- of de VPB-faciliteit aan te passen. Indien de IB-faciliteit wordt beperkt tot het vermogen dat wordt geschonken, zal deze </w:t>
      </w:r>
      <w:r w:rsidR="009B51D6">
        <w:t xml:space="preserve">meer </w:t>
      </w:r>
      <w:r w:rsidRPr="00676BF6">
        <w:t>eenzelfde uitwerking als de VPB-faciliteit heeft</w:t>
      </w:r>
      <w:r w:rsidR="009B51D6">
        <w:t>,</w:t>
      </w:r>
      <w:r>
        <w:t xml:space="preserve"> benaderen</w:t>
      </w:r>
      <w:r w:rsidRPr="00676BF6">
        <w:t xml:space="preserve">. Hetzelfde geldt indien de beperking voor de VPB-faciliteit komt te vervallen waardoor de overdracht gefaciliteerd kan plaatsvinden ongeacht of de voortzettende ondernemer een overdrachtsprijs betaalt. </w:t>
      </w:r>
    </w:p>
    <w:p w:rsidR="00FE2E3C" w:rsidRPr="00C8620B" w:rsidRDefault="00FE2E3C" w:rsidP="00CA0769">
      <w:pPr>
        <w:pStyle w:val="Scriptienormaal"/>
      </w:pPr>
      <w:r w:rsidRPr="00676BF6">
        <w:lastRenderedPageBreak/>
        <w:t>Omdat het verschil ten aanzien van de overdrachtsprijs geen verschil met zich meebrengt voor de mate van effectiviteit, zullen de voorgenoemde aanpassingen hiervoor geen gevolgen hebben.</w:t>
      </w:r>
    </w:p>
    <w:p w:rsidR="00FE2E3C" w:rsidRPr="00C8620B" w:rsidRDefault="00FE2E3C" w:rsidP="00CA0769">
      <w:pPr>
        <w:pStyle w:val="Scriptienormaal"/>
      </w:pPr>
      <w:r w:rsidRPr="00676BF6">
        <w:t>Beide mogelijke aanpassingen brengen ook met zich mee dat eenzelfde mate van efficiëntie voor beide doorschuiffaciliteiten wordt bereikt. Wanneer beide faciliteiten zijn beperkt tot het ondernemingsvermogen dat wordt geschonken, zullen ten aanzien hiervan gelijke uitvoeringskosten gemaakt worden als gevolg van extra handelingen en</w:t>
      </w:r>
      <w:r>
        <w:t xml:space="preserve"> zal er sprake zijn van</w:t>
      </w:r>
      <w:r w:rsidRPr="00676BF6">
        <w:t xml:space="preserve"> een mindere mate van rechtszekerheid. Voorts, wanneer beide faciliteiten kunnen worden toegepast</w:t>
      </w:r>
      <w:r>
        <w:t>,</w:t>
      </w:r>
      <w:r w:rsidRPr="00676BF6">
        <w:t xml:space="preserve"> ongeacht of er sprake is van een schenking, z</w:t>
      </w:r>
      <w:r w:rsidR="009B51D6">
        <w:t>ul</w:t>
      </w:r>
      <w:r w:rsidRPr="00676BF6">
        <w:t>l</w:t>
      </w:r>
      <w:r w:rsidR="009B51D6">
        <w:t>en</w:t>
      </w:r>
      <w:r w:rsidRPr="00676BF6">
        <w:t xml:space="preserve"> er ten aanzien hiervan voor beide faciliteiten geen extra uitvoeringskosten bestaan. Zo geldt hier dat een aanpassing van de IB-faciliteit aan de uitwerking van de VPB-faciliteit zal leiden tot een vergelijkbare </w:t>
      </w:r>
      <w:r>
        <w:t xml:space="preserve">lagere mate van efficiëntie. </w:t>
      </w:r>
      <w:proofErr w:type="spellStart"/>
      <w:r>
        <w:t>Vice</w:t>
      </w:r>
      <w:proofErr w:type="spellEnd"/>
      <w:r w:rsidRPr="00676BF6">
        <w:t xml:space="preserve"> versa zal een aanpassing van de VPB-faciliteit aan de IB-faciliteit leiden tot een vergelijkbare hogere mate van efficiëntie. </w:t>
      </w:r>
    </w:p>
    <w:p w:rsidR="00FE2E3C" w:rsidRPr="00C8620B" w:rsidRDefault="00FE2E3C" w:rsidP="00BE6F51">
      <w:pPr>
        <w:pStyle w:val="Scriptienormaal"/>
      </w:pPr>
      <w:r>
        <w:t>Omdat beid</w:t>
      </w:r>
      <w:r w:rsidRPr="00676BF6">
        <w:t>e voorgestelde aanpassingen geen effect hebben op de effectiviteit, zal hierdoor ook geen achteruitgang ontstaan ten aanzien van de mate waarin de gemeenschappelijke doelstellingen worden ondersteund. Beide aanpassingen kunnen hierdoor als wenselijk worden aangemerkt. De keuze voor één van de voorgestelde aanpassingen z</w:t>
      </w:r>
      <w:r>
        <w:t>a</w:t>
      </w:r>
      <w:r w:rsidRPr="00676BF6">
        <w:t>l gemaakt moeten worden op basis van een voorkeur voor één van de uitwerkingen die deze hebben. Voor de mate van rechtsvormneutraliteit zal een keuze hiertussen geen gevolgen hebben.</w:t>
      </w:r>
    </w:p>
    <w:p w:rsidR="00FE2E3C" w:rsidRPr="00676BF6" w:rsidRDefault="00FE2E3C" w:rsidP="00FE7F3F">
      <w:pPr>
        <w:pStyle w:val="Scriptie3"/>
        <w:numPr>
          <w:ilvl w:val="2"/>
          <w:numId w:val="10"/>
        </w:numPr>
      </w:pPr>
      <w:bookmarkStart w:id="80" w:name="_Toc300055460"/>
      <w:r w:rsidRPr="00676BF6">
        <w:t>Preferente aandelen</w:t>
      </w:r>
      <w:bookmarkEnd w:id="80"/>
    </w:p>
    <w:p w:rsidR="00FE2E3C" w:rsidRPr="00C8620B" w:rsidRDefault="00FE2E3C" w:rsidP="00ED002A">
      <w:pPr>
        <w:pStyle w:val="Scriptienormaal"/>
      </w:pPr>
      <w:r w:rsidRPr="00676BF6">
        <w:t>De VPB-faciliteit stelt extra voorwaarden voor het doorschuiven van een preferent aandelenbelang in vergelijking met eenzelfde situatie bij toepassing van de IB-faciliteit. Dit verschil kan niet worden gerechtvaardigd. Ook brengt dit met zich mee dat de VPB-faciliteit in mindere mate effectief is in vergelijking met de IB-faciliteit. Voor een nadere beschrijving hiervan verwijs ik naar de paragrafen 4.2.4, 5.3.4 en 6.2.4.</w:t>
      </w:r>
    </w:p>
    <w:p w:rsidR="00FE2E3C" w:rsidRPr="00C8620B" w:rsidRDefault="00FE2E3C" w:rsidP="00BE503D">
      <w:pPr>
        <w:pStyle w:val="Scriptienormaal"/>
      </w:pPr>
      <w:r w:rsidRPr="00676BF6">
        <w:t xml:space="preserve">Net als bij de medegerechtigdheid kan het verschil in uitwerking tussen de doorschuiffaciliteiten ten aanzien van een medegerechtigdheid worden verminderd door de aanvullende voorwaarden die de VPB-faciliteit stelt te schrappen. Deze aanpassing leidt ertoe dat de VPB-faciliteit een preferent </w:t>
      </w:r>
      <w:r>
        <w:t>aandelen</w:t>
      </w:r>
      <w:r w:rsidRPr="00676BF6">
        <w:t>belang op eenzelfde manier faciliteert als de IB-faciliteit in een vergelijkbare situatie zou doen.</w:t>
      </w:r>
    </w:p>
    <w:p w:rsidR="00FE2E3C" w:rsidRPr="00C8620B" w:rsidRDefault="00FE2E3C" w:rsidP="00B065AF">
      <w:pPr>
        <w:pStyle w:val="Scriptienormaal"/>
      </w:pPr>
      <w:r w:rsidRPr="00676BF6">
        <w:lastRenderedPageBreak/>
        <w:t xml:space="preserve">De aanpassing brengt ook met zich mee dat eenzelfde mate van effectiviteit voor beide doorschuiffaciliteiten wordt bereikt. Dit komt doordat eenzelfde behandeling de continuïteit van een onderneming waarin een preferent of hiermee vergelijkbaar (aandelen)belang wordt gehouden op eenzelfde manier zal ondersteunen. </w:t>
      </w:r>
    </w:p>
    <w:p w:rsidR="00FE2E3C" w:rsidRPr="00C8620B" w:rsidRDefault="00FE2E3C" w:rsidP="00BB420A">
      <w:pPr>
        <w:pStyle w:val="Scriptienormaal"/>
      </w:pPr>
      <w:r w:rsidRPr="00676BF6">
        <w:t>Omdat het verschil ten aanzien van een medegerechtigdheid geen verschil met zich mee brengt voor de mate van efficiëntie, zal de voorgenoemde aanpassing hiervoor geen gevolgen hebben.</w:t>
      </w:r>
    </w:p>
    <w:p w:rsidR="00FE2E3C" w:rsidRPr="00C8620B" w:rsidRDefault="00FE2E3C" w:rsidP="00B065AF">
      <w:pPr>
        <w:pStyle w:val="Scriptienormaal"/>
      </w:pPr>
      <w:r w:rsidRPr="00676BF6">
        <w:t xml:space="preserve">De bovengenoemde aanpassing zal beide doorschuiffaciliteiten in evenwicht brengen ten aanzien van rechtsvormneutraliteit. Ook zal hierdoor de mate waarop de gezamenlijke doelstellingen worden behaald niet worden aangetast. De aanpassing zorgt er enkel voor dat de VPB-faciliteit </w:t>
      </w:r>
      <w:r w:rsidR="00A53091">
        <w:t xml:space="preserve">in meer gevallen </w:t>
      </w:r>
      <w:r w:rsidRPr="00676BF6">
        <w:t xml:space="preserve">kan worden toegepast waardoor de continuïteitsgedachte </w:t>
      </w:r>
      <w:r>
        <w:t xml:space="preserve">in grotere mate </w:t>
      </w:r>
      <w:r w:rsidRPr="00676BF6">
        <w:t>wordt ondersteund. Deze aanpassing</w:t>
      </w:r>
      <w:r w:rsidR="00A53091">
        <w:t>,</w:t>
      </w:r>
      <w:r w:rsidRPr="00676BF6">
        <w:t xml:space="preserve"> waardoor geen aanvullend</w:t>
      </w:r>
      <w:r>
        <w:t>e</w:t>
      </w:r>
      <w:r w:rsidRPr="00676BF6">
        <w:t xml:space="preserve"> voorwaarden worden gesteld voor toepassing van de VPB-faciliteit ten aanzien van een preferent aandelenbelang, kan daarom als gewenst worden aangemerkt.</w:t>
      </w:r>
    </w:p>
    <w:p w:rsidR="00FE2E3C" w:rsidRPr="00676BF6" w:rsidRDefault="00FE2E3C" w:rsidP="00BE503D">
      <w:pPr>
        <w:pStyle w:val="Scriptie1"/>
        <w:numPr>
          <w:ilvl w:val="0"/>
          <w:numId w:val="10"/>
        </w:numPr>
      </w:pPr>
      <w:r w:rsidRPr="00676BF6">
        <w:br w:type="page"/>
      </w:r>
      <w:bookmarkStart w:id="81" w:name="_Toc300055461"/>
      <w:r w:rsidRPr="00676BF6">
        <w:lastRenderedPageBreak/>
        <w:t>Conclusie</w:t>
      </w:r>
      <w:bookmarkEnd w:id="81"/>
    </w:p>
    <w:p w:rsidR="00FE2E3C" w:rsidRPr="00C8620B" w:rsidRDefault="00FE2E3C" w:rsidP="00BE503D">
      <w:pPr>
        <w:pStyle w:val="Scriptienormaal"/>
      </w:pPr>
      <w:r w:rsidRPr="00676BF6">
        <w:t>In deze scriptie heb ik de volgende onderzoeksvraag willen beantwoorden:</w:t>
      </w:r>
    </w:p>
    <w:p w:rsidR="00FE2E3C" w:rsidRPr="00C8620B" w:rsidRDefault="00FE2E3C" w:rsidP="005B17D9">
      <w:pPr>
        <w:pStyle w:val="Scriptienormaal"/>
        <w:rPr>
          <w:i/>
        </w:rPr>
      </w:pPr>
      <w:r w:rsidRPr="00676BF6">
        <w:rPr>
          <w:i/>
        </w:rPr>
        <w:t xml:space="preserve">Zijn de doorschuiffaciliteiten van de artikelen 3.63 en 4.17c, Wet IB 2001 in evenwicht met betrekking tot het beginsel van rechtsvormneutraliteit, en kunnen deze ten bate hiervan worden aangepast zonder dat afbreuk wordt gedaan aan de gemeenschappelijke doelstellingen van de faciliteiten? </w:t>
      </w:r>
    </w:p>
    <w:p w:rsidR="00FE2E3C" w:rsidRPr="00C8620B" w:rsidRDefault="00FE2E3C" w:rsidP="00BE503D">
      <w:pPr>
        <w:pStyle w:val="Scriptienormaal"/>
      </w:pPr>
      <w:r w:rsidRPr="00676BF6">
        <w:t xml:space="preserve">Om </w:t>
      </w:r>
      <w:r>
        <w:t>bovenstaande probleemstelling te kunnen beantwoorden,</w:t>
      </w:r>
      <w:r w:rsidRPr="00676BF6">
        <w:t xml:space="preserve"> heb ik ten </w:t>
      </w:r>
      <w:r>
        <w:t>eerste onderzocht</w:t>
      </w:r>
      <w:r w:rsidRPr="00676BF6">
        <w:t xml:space="preserve"> of de doorsch</w:t>
      </w:r>
      <w:r>
        <w:t>uiffaciliteiten van artikel 3.63</w:t>
      </w:r>
      <w:r w:rsidRPr="00676BF6">
        <w:t xml:space="preserve"> en 4.17c, Wet IB 2001 met elkaar in evenwicht zijn met betrekking tot de rechtsvormneutraliteit. </w:t>
      </w:r>
    </w:p>
    <w:p w:rsidR="00FE2E3C" w:rsidRPr="00C8620B" w:rsidRDefault="00FE2E3C" w:rsidP="00D24867">
      <w:pPr>
        <w:pStyle w:val="Scriptienormaal"/>
      </w:pPr>
      <w:r>
        <w:t>Om deze vraag te kunnen beantwoorden,</w:t>
      </w:r>
      <w:r w:rsidRPr="00676BF6">
        <w:t xml:space="preserve"> heb ik allereerst aangegeven wat </w:t>
      </w:r>
      <w:r>
        <w:t xml:space="preserve">het belang is </w:t>
      </w:r>
      <w:r w:rsidRPr="00676BF6">
        <w:t>van rechtsvormneutraliteit in het algemeen en</w:t>
      </w:r>
      <w:r>
        <w:t xml:space="preserve"> in het bijzonder ten aanzien van</w:t>
      </w:r>
      <w:r w:rsidRPr="00676BF6">
        <w:t xml:space="preserve"> de doorschuiffaciliteiten. </w:t>
      </w:r>
      <w:r>
        <w:t xml:space="preserve">Gebleken is dat rechtsvormneutraliteit meerdere doelen dient. Ten eerste ondersteunt rechtsvormneutraliteit </w:t>
      </w:r>
      <w:r w:rsidRPr="00676BF6">
        <w:t>het neutr</w:t>
      </w:r>
      <w:r>
        <w:t>aliteitsbeginsel</w:t>
      </w:r>
      <w:r w:rsidRPr="00676BF6">
        <w:t xml:space="preserve">. </w:t>
      </w:r>
      <w:r>
        <w:t xml:space="preserve">Verder </w:t>
      </w:r>
      <w:r w:rsidRPr="00676BF6">
        <w:t xml:space="preserve">kan een gebrek aan rechtsvormneutraliteit </w:t>
      </w:r>
      <w:r>
        <w:t xml:space="preserve">leiden tot beïnvloeding  van </w:t>
      </w:r>
      <w:r w:rsidRPr="00676BF6">
        <w:t>het gedrag van de ondernemer</w:t>
      </w:r>
      <w:r>
        <w:t xml:space="preserve">. De ondernemer kan in zoverre gestuurd worden door fiscale overwegingen. Hierdoor bestaat de mogelijkheid dat ongewenste </w:t>
      </w:r>
      <w:r w:rsidRPr="00676BF6">
        <w:t>juridische en bedrijfseconomische</w:t>
      </w:r>
      <w:r>
        <w:t xml:space="preserve"> gevolgen door de ondernemer op de koop toe </w:t>
      </w:r>
      <w:r w:rsidRPr="00676BF6">
        <w:t>worden aan</w:t>
      </w:r>
      <w:r>
        <w:t xml:space="preserve">vaard. Een tweede gevolg van het gebrek aan rechtsvormneutraliteit is de mogelijkheid van </w:t>
      </w:r>
      <w:r w:rsidRPr="00676BF6">
        <w:t>concurrentievervalsing</w:t>
      </w:r>
      <w:r>
        <w:t xml:space="preserve"> doordat er sprake kan zijn van</w:t>
      </w:r>
      <w:r w:rsidRPr="00676BF6">
        <w:t xml:space="preserve"> de bevoordeling van een bepaalde rechtsvorm. Als laatste kan de doelmatigheid van de wetgeving worden beïnvloed door de keuze van de ondernemer ondanks dat er tussen de keuzes sprake is van gelijke gevallen.</w:t>
      </w:r>
    </w:p>
    <w:p w:rsidR="00FE2E3C" w:rsidRPr="00C8620B" w:rsidRDefault="00FE2E3C" w:rsidP="005B17D9">
      <w:pPr>
        <w:pStyle w:val="Scriptienormaal"/>
      </w:pPr>
      <w:r w:rsidRPr="00676BF6">
        <w:t xml:space="preserve">Om tot een toetsing van de doorschuiffaciliteiten aan de rechtsvormneutraliteit te komen, heb ik de </w:t>
      </w:r>
      <w:r>
        <w:t xml:space="preserve">uitwerking van beide faciliteiten </w:t>
      </w:r>
      <w:r w:rsidRPr="00676BF6">
        <w:t xml:space="preserve">beschreven. Hierna heb ik deze met elkaar vergeleken om zo de </w:t>
      </w:r>
      <w:r>
        <w:t xml:space="preserve">voor dit onderzoek </w:t>
      </w:r>
      <w:r w:rsidRPr="00676BF6">
        <w:t>relevante verschillen tussen</w:t>
      </w:r>
      <w:r>
        <w:t xml:space="preserve"> de toepassing van</w:t>
      </w:r>
      <w:r w:rsidRPr="00676BF6">
        <w:t xml:space="preserve"> beide</w:t>
      </w:r>
      <w:r>
        <w:t xml:space="preserve"> faciliteiten</w:t>
      </w:r>
      <w:r w:rsidRPr="00676BF6">
        <w:t xml:space="preserve"> te identificeren. De verschillen die hieruit naar voren zijn gekomen heb ik </w:t>
      </w:r>
      <w:r>
        <w:t xml:space="preserve">vervolgens </w:t>
      </w:r>
      <w:r w:rsidRPr="00676BF6">
        <w:t xml:space="preserve">onderverdeeld </w:t>
      </w:r>
      <w:r>
        <w:t xml:space="preserve">in </w:t>
      </w:r>
      <w:r w:rsidRPr="00676BF6">
        <w:t xml:space="preserve">verschillen ten aanzien van het belastingsubject en </w:t>
      </w:r>
      <w:r>
        <w:t xml:space="preserve">verschillen </w:t>
      </w:r>
      <w:r w:rsidRPr="00676BF6">
        <w:t xml:space="preserve">ten aanzien van het belastingobject. Deze verschillen </w:t>
      </w:r>
      <w:r>
        <w:t>hebben betrekking op het volgende: de kwalificerende ondernemer, de medegerechtigdheid, het voortzettingsvereiste,</w:t>
      </w:r>
      <w:r w:rsidRPr="00676BF6">
        <w:t xml:space="preserve"> het vereiste </w:t>
      </w:r>
      <w:r w:rsidRPr="00676BF6">
        <w:lastRenderedPageBreak/>
        <w:t xml:space="preserve">van in de </w:t>
      </w:r>
      <w:r>
        <w:t>plaats treden, de uitgesloten reserves,</w:t>
      </w:r>
      <w:r w:rsidRPr="00676BF6">
        <w:t xml:space="preserve"> het</w:t>
      </w:r>
      <w:r>
        <w:t xml:space="preserve"> uitgesloten beleggingsvermogen,</w:t>
      </w:r>
      <w:r w:rsidRPr="00676BF6">
        <w:t xml:space="preserve"> de invloed van de overdrachtsprijs en de preferente aandelen.</w:t>
      </w:r>
    </w:p>
    <w:p w:rsidR="00FE2E3C" w:rsidRPr="00C8620B" w:rsidRDefault="00FE2E3C" w:rsidP="00AB7EE8">
      <w:pPr>
        <w:pStyle w:val="Scriptienormaal"/>
        <w:rPr>
          <w:rStyle w:val="st1"/>
        </w:rPr>
      </w:pPr>
      <w:r w:rsidRPr="00676BF6">
        <w:t xml:space="preserve">De bovengenoemde verschillen heb ik vervolgens getoetst aan de drie criteria </w:t>
      </w:r>
      <w:r>
        <w:t>waaraan de wetgeving moet worden beoordeeld</w:t>
      </w:r>
      <w:r w:rsidRPr="00676BF6">
        <w:t>, namelijk: rechtvaardigheid, effectiviteit en efficiëntie. Ik heb gekeken of de geïdentificeerde verschillen ook zorgen voor een verschil in de mate waarop aan de drie criteria wordt voldaan. Hieronder heb ik een diagram opgenomen waarin per verschil is aangegeven of er van het voorgaande sprake is. Een “</w:t>
      </w:r>
      <w:r w:rsidRPr="00676BF6">
        <w:rPr>
          <w:rStyle w:val="st1"/>
        </w:rPr>
        <w:t>Δ” betekent dat er sprake is van een verschil ten aanzien van het corresponderende criterium.</w:t>
      </w:r>
    </w:p>
    <w:tbl>
      <w:tblPr>
        <w:tblW w:w="9215" w:type="dxa"/>
        <w:tblInd w:w="93" w:type="dxa"/>
        <w:tblLook w:val="0000"/>
      </w:tblPr>
      <w:tblGrid>
        <w:gridCol w:w="1066"/>
        <w:gridCol w:w="1066"/>
        <w:gridCol w:w="1062"/>
        <w:gridCol w:w="261"/>
        <w:gridCol w:w="1922"/>
        <w:gridCol w:w="261"/>
        <w:gridCol w:w="1658"/>
        <w:gridCol w:w="261"/>
        <w:gridCol w:w="1658"/>
      </w:tblGrid>
      <w:tr w:rsidR="00FE2E3C" w:rsidRPr="00676BF6" w:rsidTr="00676BF6">
        <w:trPr>
          <w:trHeight w:val="332"/>
        </w:trPr>
        <w:tc>
          <w:tcPr>
            <w:tcW w:w="1066"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066"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062"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922" w:type="dxa"/>
            <w:tcBorders>
              <w:top w:val="nil"/>
              <w:left w:val="nil"/>
              <w:bottom w:val="nil"/>
              <w:right w:val="nil"/>
            </w:tcBorders>
            <w:noWrap/>
            <w:vAlign w:val="bottom"/>
          </w:tcPr>
          <w:p w:rsidR="00FE2E3C" w:rsidRPr="00676BF6" w:rsidRDefault="00FE2E3C" w:rsidP="00020386">
            <w:pPr>
              <w:rPr>
                <w:rFonts w:ascii="Times New Roman" w:hAnsi="Times New Roman"/>
                <w:b/>
                <w:bCs/>
                <w:szCs w:val="20"/>
              </w:rPr>
            </w:pPr>
            <w:r w:rsidRPr="00676BF6">
              <w:rPr>
                <w:rFonts w:ascii="Times New Roman" w:hAnsi="Times New Roman"/>
                <w:b/>
                <w:bCs/>
                <w:szCs w:val="20"/>
              </w:rPr>
              <w:t>Rechtvaardigheid</w:t>
            </w: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658" w:type="dxa"/>
            <w:tcBorders>
              <w:top w:val="nil"/>
              <w:left w:val="nil"/>
              <w:bottom w:val="nil"/>
              <w:right w:val="nil"/>
            </w:tcBorders>
            <w:noWrap/>
            <w:vAlign w:val="bottom"/>
          </w:tcPr>
          <w:p w:rsidR="00FE2E3C" w:rsidRPr="00676BF6" w:rsidRDefault="00FE2E3C" w:rsidP="00020386">
            <w:pPr>
              <w:rPr>
                <w:rFonts w:ascii="Times New Roman" w:hAnsi="Times New Roman"/>
                <w:b/>
                <w:bCs/>
                <w:szCs w:val="20"/>
              </w:rPr>
            </w:pPr>
            <w:r w:rsidRPr="00676BF6">
              <w:rPr>
                <w:rFonts w:ascii="Times New Roman" w:hAnsi="Times New Roman"/>
                <w:b/>
                <w:bCs/>
                <w:szCs w:val="20"/>
              </w:rPr>
              <w:t>Effectiviteit</w:t>
            </w: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658" w:type="dxa"/>
            <w:tcBorders>
              <w:top w:val="nil"/>
              <w:left w:val="nil"/>
              <w:bottom w:val="nil"/>
              <w:right w:val="nil"/>
            </w:tcBorders>
            <w:noWrap/>
            <w:vAlign w:val="bottom"/>
          </w:tcPr>
          <w:p w:rsidR="00FE2E3C" w:rsidRPr="00676BF6" w:rsidRDefault="00FE2E3C" w:rsidP="00020386">
            <w:pPr>
              <w:rPr>
                <w:rFonts w:ascii="Times New Roman" w:hAnsi="Times New Roman"/>
                <w:b/>
                <w:bCs/>
                <w:szCs w:val="20"/>
              </w:rPr>
            </w:pPr>
            <w:r w:rsidRPr="00676BF6">
              <w:rPr>
                <w:rFonts w:ascii="Times New Roman" w:hAnsi="Times New Roman"/>
                <w:b/>
                <w:bCs/>
                <w:szCs w:val="20"/>
              </w:rPr>
              <w:t>Efficiëntie</w:t>
            </w:r>
          </w:p>
        </w:tc>
      </w:tr>
      <w:tr w:rsidR="00FE2E3C" w:rsidRPr="00676BF6" w:rsidTr="00676BF6">
        <w:trPr>
          <w:trHeight w:val="197"/>
        </w:trPr>
        <w:tc>
          <w:tcPr>
            <w:tcW w:w="1066"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066"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062"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922"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658"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658"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r>
      <w:tr w:rsidR="00FE2E3C" w:rsidRPr="00676BF6" w:rsidTr="00676BF6">
        <w:trPr>
          <w:trHeight w:val="411"/>
        </w:trPr>
        <w:tc>
          <w:tcPr>
            <w:tcW w:w="3194" w:type="dxa"/>
            <w:gridSpan w:val="3"/>
            <w:tcBorders>
              <w:top w:val="nil"/>
              <w:left w:val="nil"/>
              <w:bottom w:val="nil"/>
              <w:right w:val="nil"/>
            </w:tcBorders>
            <w:noWrap/>
            <w:vAlign w:val="bottom"/>
          </w:tcPr>
          <w:p w:rsidR="00FE2E3C" w:rsidRPr="00676BF6" w:rsidRDefault="00FE2E3C" w:rsidP="00020386">
            <w:pPr>
              <w:rPr>
                <w:rFonts w:ascii="Times New Roman" w:hAnsi="Times New Roman"/>
                <w:szCs w:val="20"/>
              </w:rPr>
            </w:pPr>
            <w:r w:rsidRPr="00676BF6">
              <w:rPr>
                <w:rFonts w:ascii="Times New Roman" w:hAnsi="Times New Roman"/>
                <w:szCs w:val="20"/>
              </w:rPr>
              <w:t>Kwalificerende ondernemer</w:t>
            </w: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922" w:type="dxa"/>
            <w:tcBorders>
              <w:top w:val="nil"/>
              <w:left w:val="nil"/>
              <w:bottom w:val="nil"/>
              <w:right w:val="nil"/>
            </w:tcBorders>
            <w:noWrap/>
            <w:vAlign w:val="bottom"/>
          </w:tcPr>
          <w:p w:rsidR="00FE2E3C" w:rsidRPr="00676BF6" w:rsidRDefault="00FE2E3C" w:rsidP="00020386">
            <w:pPr>
              <w:jc w:val="center"/>
              <w:rPr>
                <w:rFonts w:ascii="Times New Roman" w:hAnsi="Times New Roman"/>
                <w:color w:val="000000"/>
                <w:sz w:val="24"/>
                <w:szCs w:val="24"/>
              </w:rPr>
            </w:pPr>
            <w:r w:rsidRPr="00676BF6">
              <w:rPr>
                <w:rFonts w:ascii="Times New Roman" w:hAnsi="Times New Roman"/>
                <w:color w:val="000000"/>
                <w:sz w:val="24"/>
                <w:szCs w:val="24"/>
              </w:rPr>
              <w:t>Δ</w:t>
            </w: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658" w:type="dxa"/>
            <w:tcBorders>
              <w:top w:val="nil"/>
              <w:left w:val="nil"/>
              <w:bottom w:val="nil"/>
              <w:right w:val="nil"/>
            </w:tcBorders>
            <w:noWrap/>
            <w:vAlign w:val="bottom"/>
          </w:tcPr>
          <w:p w:rsidR="00FE2E3C" w:rsidRPr="00676BF6" w:rsidRDefault="00FE2E3C" w:rsidP="00020386">
            <w:pPr>
              <w:jc w:val="center"/>
              <w:rPr>
                <w:rFonts w:ascii="Times New Roman" w:hAnsi="Times New Roman"/>
                <w:color w:val="000000"/>
                <w:sz w:val="24"/>
                <w:szCs w:val="24"/>
              </w:rPr>
            </w:pPr>
            <w:r w:rsidRPr="00676BF6">
              <w:rPr>
                <w:rFonts w:ascii="Times New Roman" w:hAnsi="Times New Roman"/>
                <w:color w:val="000000"/>
                <w:sz w:val="24"/>
                <w:szCs w:val="24"/>
              </w:rPr>
              <w:t>Δ</w:t>
            </w: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658" w:type="dxa"/>
            <w:tcBorders>
              <w:top w:val="nil"/>
              <w:left w:val="nil"/>
              <w:bottom w:val="nil"/>
              <w:right w:val="nil"/>
            </w:tcBorders>
            <w:noWrap/>
            <w:vAlign w:val="bottom"/>
          </w:tcPr>
          <w:p w:rsidR="00FE2E3C" w:rsidRPr="00676BF6" w:rsidRDefault="00FE2E3C" w:rsidP="00020386">
            <w:pPr>
              <w:jc w:val="center"/>
              <w:rPr>
                <w:rFonts w:ascii="Times New Roman" w:hAnsi="Times New Roman"/>
                <w:szCs w:val="20"/>
              </w:rPr>
            </w:pPr>
            <w:r w:rsidRPr="00676BF6">
              <w:rPr>
                <w:rFonts w:ascii="Times New Roman" w:hAnsi="Times New Roman"/>
                <w:szCs w:val="20"/>
              </w:rPr>
              <w:t>-</w:t>
            </w:r>
          </w:p>
        </w:tc>
      </w:tr>
      <w:tr w:rsidR="00FE2E3C" w:rsidRPr="00676BF6" w:rsidTr="00676BF6">
        <w:trPr>
          <w:trHeight w:val="411"/>
        </w:trPr>
        <w:tc>
          <w:tcPr>
            <w:tcW w:w="2132" w:type="dxa"/>
            <w:gridSpan w:val="2"/>
            <w:tcBorders>
              <w:top w:val="nil"/>
              <w:left w:val="nil"/>
              <w:bottom w:val="nil"/>
              <w:right w:val="nil"/>
            </w:tcBorders>
            <w:noWrap/>
            <w:vAlign w:val="bottom"/>
          </w:tcPr>
          <w:p w:rsidR="00FE2E3C" w:rsidRPr="00676BF6" w:rsidRDefault="00FE2E3C" w:rsidP="00020386">
            <w:pPr>
              <w:rPr>
                <w:rFonts w:ascii="Times New Roman" w:hAnsi="Times New Roman"/>
                <w:szCs w:val="20"/>
              </w:rPr>
            </w:pPr>
            <w:r w:rsidRPr="00676BF6">
              <w:rPr>
                <w:rFonts w:ascii="Times New Roman" w:hAnsi="Times New Roman"/>
                <w:szCs w:val="20"/>
              </w:rPr>
              <w:t>Medegerechtigdheid</w:t>
            </w:r>
          </w:p>
        </w:tc>
        <w:tc>
          <w:tcPr>
            <w:tcW w:w="1062"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922" w:type="dxa"/>
            <w:tcBorders>
              <w:top w:val="nil"/>
              <w:left w:val="nil"/>
              <w:bottom w:val="nil"/>
              <w:right w:val="nil"/>
            </w:tcBorders>
            <w:noWrap/>
            <w:vAlign w:val="bottom"/>
          </w:tcPr>
          <w:p w:rsidR="00FE2E3C" w:rsidRPr="00676BF6" w:rsidRDefault="00FE2E3C" w:rsidP="00020386">
            <w:pPr>
              <w:jc w:val="center"/>
              <w:rPr>
                <w:rFonts w:ascii="Times New Roman" w:hAnsi="Times New Roman"/>
                <w:color w:val="000000"/>
                <w:sz w:val="24"/>
                <w:szCs w:val="24"/>
              </w:rPr>
            </w:pPr>
            <w:r w:rsidRPr="00676BF6">
              <w:rPr>
                <w:rFonts w:ascii="Times New Roman" w:hAnsi="Times New Roman"/>
                <w:color w:val="000000"/>
                <w:sz w:val="24"/>
                <w:szCs w:val="24"/>
              </w:rPr>
              <w:t>Δ</w:t>
            </w: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color w:val="000000"/>
                <w:sz w:val="24"/>
                <w:szCs w:val="24"/>
              </w:rPr>
            </w:pPr>
          </w:p>
        </w:tc>
        <w:tc>
          <w:tcPr>
            <w:tcW w:w="1658" w:type="dxa"/>
            <w:tcBorders>
              <w:top w:val="nil"/>
              <w:left w:val="nil"/>
              <w:bottom w:val="nil"/>
              <w:right w:val="nil"/>
            </w:tcBorders>
            <w:noWrap/>
            <w:vAlign w:val="bottom"/>
          </w:tcPr>
          <w:p w:rsidR="00FE2E3C" w:rsidRPr="00676BF6" w:rsidRDefault="00FE2E3C" w:rsidP="00020386">
            <w:pPr>
              <w:jc w:val="center"/>
              <w:rPr>
                <w:rFonts w:ascii="Times New Roman" w:hAnsi="Times New Roman"/>
                <w:color w:val="000000"/>
                <w:sz w:val="24"/>
                <w:szCs w:val="24"/>
              </w:rPr>
            </w:pPr>
            <w:r w:rsidRPr="00676BF6">
              <w:rPr>
                <w:rFonts w:ascii="Times New Roman" w:hAnsi="Times New Roman"/>
                <w:color w:val="000000"/>
                <w:sz w:val="24"/>
                <w:szCs w:val="24"/>
              </w:rPr>
              <w:t>Δ</w:t>
            </w: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658" w:type="dxa"/>
            <w:tcBorders>
              <w:top w:val="nil"/>
              <w:left w:val="nil"/>
              <w:bottom w:val="nil"/>
              <w:right w:val="nil"/>
            </w:tcBorders>
            <w:noWrap/>
            <w:vAlign w:val="bottom"/>
          </w:tcPr>
          <w:p w:rsidR="00FE2E3C" w:rsidRPr="00676BF6" w:rsidRDefault="00FE2E3C" w:rsidP="00020386">
            <w:pPr>
              <w:jc w:val="center"/>
              <w:rPr>
                <w:rFonts w:ascii="Times New Roman" w:hAnsi="Times New Roman"/>
                <w:szCs w:val="20"/>
              </w:rPr>
            </w:pPr>
            <w:r w:rsidRPr="00676BF6">
              <w:rPr>
                <w:rFonts w:ascii="Times New Roman" w:hAnsi="Times New Roman"/>
                <w:szCs w:val="20"/>
              </w:rPr>
              <w:t>-</w:t>
            </w:r>
          </w:p>
        </w:tc>
      </w:tr>
      <w:tr w:rsidR="00FE2E3C" w:rsidRPr="00676BF6" w:rsidTr="00676BF6">
        <w:trPr>
          <w:trHeight w:val="411"/>
        </w:trPr>
        <w:tc>
          <w:tcPr>
            <w:tcW w:w="2132" w:type="dxa"/>
            <w:gridSpan w:val="2"/>
            <w:tcBorders>
              <w:top w:val="nil"/>
              <w:left w:val="nil"/>
              <w:bottom w:val="nil"/>
              <w:right w:val="nil"/>
            </w:tcBorders>
            <w:noWrap/>
            <w:vAlign w:val="bottom"/>
          </w:tcPr>
          <w:p w:rsidR="00FE2E3C" w:rsidRPr="00676BF6" w:rsidRDefault="00FE2E3C" w:rsidP="00020386">
            <w:pPr>
              <w:rPr>
                <w:rFonts w:ascii="Times New Roman" w:hAnsi="Times New Roman"/>
                <w:szCs w:val="20"/>
              </w:rPr>
            </w:pPr>
            <w:r w:rsidRPr="00676BF6">
              <w:rPr>
                <w:rFonts w:ascii="Times New Roman" w:hAnsi="Times New Roman"/>
                <w:szCs w:val="20"/>
              </w:rPr>
              <w:t>Voortzettingsvereiste</w:t>
            </w:r>
          </w:p>
        </w:tc>
        <w:tc>
          <w:tcPr>
            <w:tcW w:w="1062"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922" w:type="dxa"/>
            <w:tcBorders>
              <w:top w:val="nil"/>
              <w:left w:val="nil"/>
              <w:bottom w:val="nil"/>
              <w:right w:val="nil"/>
            </w:tcBorders>
            <w:noWrap/>
            <w:vAlign w:val="bottom"/>
          </w:tcPr>
          <w:p w:rsidR="00FE2E3C" w:rsidRPr="00676BF6" w:rsidRDefault="00FE2E3C" w:rsidP="00020386">
            <w:pPr>
              <w:jc w:val="center"/>
              <w:rPr>
                <w:rFonts w:ascii="Times New Roman" w:hAnsi="Times New Roman"/>
                <w:color w:val="000000"/>
                <w:sz w:val="24"/>
                <w:szCs w:val="24"/>
              </w:rPr>
            </w:pPr>
            <w:r w:rsidRPr="00676BF6">
              <w:rPr>
                <w:rFonts w:ascii="Times New Roman" w:hAnsi="Times New Roman"/>
                <w:color w:val="000000"/>
                <w:sz w:val="24"/>
                <w:szCs w:val="24"/>
              </w:rPr>
              <w:t>Δ</w:t>
            </w: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color w:val="000000"/>
                <w:sz w:val="24"/>
                <w:szCs w:val="24"/>
              </w:rPr>
            </w:pPr>
          </w:p>
        </w:tc>
        <w:tc>
          <w:tcPr>
            <w:tcW w:w="1658" w:type="dxa"/>
            <w:tcBorders>
              <w:top w:val="nil"/>
              <w:left w:val="nil"/>
              <w:bottom w:val="nil"/>
              <w:right w:val="nil"/>
            </w:tcBorders>
            <w:noWrap/>
            <w:vAlign w:val="bottom"/>
          </w:tcPr>
          <w:p w:rsidR="00FE2E3C" w:rsidRPr="00676BF6" w:rsidRDefault="00FE2E3C" w:rsidP="00020386">
            <w:pPr>
              <w:jc w:val="center"/>
              <w:rPr>
                <w:rFonts w:ascii="Times New Roman" w:hAnsi="Times New Roman"/>
                <w:color w:val="000000"/>
                <w:sz w:val="24"/>
                <w:szCs w:val="24"/>
              </w:rPr>
            </w:pPr>
            <w:r w:rsidRPr="00676BF6">
              <w:rPr>
                <w:rFonts w:ascii="Times New Roman" w:hAnsi="Times New Roman"/>
                <w:color w:val="000000"/>
                <w:sz w:val="24"/>
                <w:szCs w:val="24"/>
              </w:rPr>
              <w:t>Δ</w:t>
            </w: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658" w:type="dxa"/>
            <w:tcBorders>
              <w:top w:val="nil"/>
              <w:left w:val="nil"/>
              <w:bottom w:val="nil"/>
              <w:right w:val="nil"/>
            </w:tcBorders>
            <w:noWrap/>
            <w:vAlign w:val="bottom"/>
          </w:tcPr>
          <w:p w:rsidR="00FE2E3C" w:rsidRPr="00676BF6" w:rsidRDefault="00FE2E3C" w:rsidP="00020386">
            <w:pPr>
              <w:jc w:val="center"/>
              <w:rPr>
                <w:rFonts w:ascii="Times New Roman" w:hAnsi="Times New Roman"/>
                <w:color w:val="000000"/>
                <w:sz w:val="24"/>
                <w:szCs w:val="24"/>
              </w:rPr>
            </w:pPr>
            <w:r w:rsidRPr="00676BF6">
              <w:rPr>
                <w:rFonts w:ascii="Times New Roman" w:hAnsi="Times New Roman"/>
                <w:color w:val="000000"/>
                <w:sz w:val="24"/>
                <w:szCs w:val="24"/>
              </w:rPr>
              <w:t>Δ</w:t>
            </w:r>
          </w:p>
        </w:tc>
      </w:tr>
      <w:tr w:rsidR="00FE2E3C" w:rsidRPr="00676BF6" w:rsidTr="00676BF6">
        <w:trPr>
          <w:trHeight w:val="332"/>
        </w:trPr>
        <w:tc>
          <w:tcPr>
            <w:tcW w:w="2132" w:type="dxa"/>
            <w:gridSpan w:val="2"/>
            <w:tcBorders>
              <w:top w:val="nil"/>
              <w:left w:val="nil"/>
              <w:bottom w:val="nil"/>
              <w:right w:val="nil"/>
            </w:tcBorders>
            <w:noWrap/>
            <w:vAlign w:val="bottom"/>
          </w:tcPr>
          <w:p w:rsidR="00FE2E3C" w:rsidRPr="00676BF6" w:rsidRDefault="00FE2E3C" w:rsidP="00020386">
            <w:pPr>
              <w:rPr>
                <w:rFonts w:ascii="Times New Roman" w:hAnsi="Times New Roman"/>
                <w:szCs w:val="20"/>
              </w:rPr>
            </w:pPr>
            <w:r w:rsidRPr="00676BF6">
              <w:rPr>
                <w:rFonts w:ascii="Times New Roman" w:hAnsi="Times New Roman"/>
                <w:szCs w:val="20"/>
              </w:rPr>
              <w:t>In de plaats treden</w:t>
            </w:r>
          </w:p>
        </w:tc>
        <w:tc>
          <w:tcPr>
            <w:tcW w:w="1062"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922" w:type="dxa"/>
            <w:tcBorders>
              <w:top w:val="nil"/>
              <w:left w:val="nil"/>
              <w:bottom w:val="nil"/>
              <w:right w:val="nil"/>
            </w:tcBorders>
            <w:noWrap/>
            <w:vAlign w:val="bottom"/>
          </w:tcPr>
          <w:p w:rsidR="00FE2E3C" w:rsidRPr="00676BF6" w:rsidRDefault="00FE2E3C" w:rsidP="00020386">
            <w:pPr>
              <w:jc w:val="center"/>
              <w:rPr>
                <w:rFonts w:ascii="Times New Roman" w:hAnsi="Times New Roman"/>
                <w:szCs w:val="20"/>
              </w:rPr>
            </w:pPr>
            <w:r w:rsidRPr="00676BF6">
              <w:rPr>
                <w:rFonts w:ascii="Times New Roman" w:hAnsi="Times New Roman"/>
                <w:szCs w:val="20"/>
              </w:rPr>
              <w:t>-</w:t>
            </w: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658" w:type="dxa"/>
            <w:tcBorders>
              <w:top w:val="nil"/>
              <w:left w:val="nil"/>
              <w:bottom w:val="nil"/>
              <w:right w:val="nil"/>
            </w:tcBorders>
            <w:noWrap/>
            <w:vAlign w:val="bottom"/>
          </w:tcPr>
          <w:p w:rsidR="00FE2E3C" w:rsidRPr="00676BF6" w:rsidRDefault="00FE2E3C" w:rsidP="00020386">
            <w:pPr>
              <w:jc w:val="center"/>
              <w:rPr>
                <w:rFonts w:ascii="Times New Roman" w:hAnsi="Times New Roman"/>
                <w:szCs w:val="20"/>
              </w:rPr>
            </w:pPr>
            <w:r w:rsidRPr="00676BF6">
              <w:rPr>
                <w:rFonts w:ascii="Times New Roman" w:hAnsi="Times New Roman"/>
                <w:szCs w:val="20"/>
              </w:rPr>
              <w:t>-</w:t>
            </w: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658" w:type="dxa"/>
            <w:tcBorders>
              <w:top w:val="nil"/>
              <w:left w:val="nil"/>
              <w:bottom w:val="nil"/>
              <w:right w:val="nil"/>
            </w:tcBorders>
            <w:noWrap/>
            <w:vAlign w:val="bottom"/>
          </w:tcPr>
          <w:p w:rsidR="00FE2E3C" w:rsidRPr="00676BF6" w:rsidRDefault="00FE2E3C" w:rsidP="00020386">
            <w:pPr>
              <w:jc w:val="center"/>
              <w:rPr>
                <w:rFonts w:ascii="Times New Roman" w:hAnsi="Times New Roman"/>
                <w:szCs w:val="20"/>
              </w:rPr>
            </w:pPr>
            <w:r w:rsidRPr="00676BF6">
              <w:rPr>
                <w:rFonts w:ascii="Times New Roman" w:hAnsi="Times New Roman"/>
                <w:szCs w:val="20"/>
              </w:rPr>
              <w:t>-</w:t>
            </w:r>
          </w:p>
        </w:tc>
      </w:tr>
      <w:tr w:rsidR="00FE2E3C" w:rsidRPr="00676BF6" w:rsidTr="00676BF6">
        <w:trPr>
          <w:trHeight w:val="332"/>
        </w:trPr>
        <w:tc>
          <w:tcPr>
            <w:tcW w:w="1066"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066"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062"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922"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658"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658"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r>
      <w:tr w:rsidR="00FE2E3C" w:rsidRPr="00676BF6" w:rsidTr="00676BF6">
        <w:trPr>
          <w:trHeight w:val="411"/>
        </w:trPr>
        <w:tc>
          <w:tcPr>
            <w:tcW w:w="2132" w:type="dxa"/>
            <w:gridSpan w:val="2"/>
            <w:tcBorders>
              <w:top w:val="nil"/>
              <w:left w:val="nil"/>
              <w:bottom w:val="nil"/>
              <w:right w:val="nil"/>
            </w:tcBorders>
            <w:noWrap/>
            <w:vAlign w:val="bottom"/>
          </w:tcPr>
          <w:p w:rsidR="00FE2E3C" w:rsidRPr="00676BF6" w:rsidRDefault="00FE2E3C" w:rsidP="00020386">
            <w:pPr>
              <w:rPr>
                <w:rFonts w:ascii="Times New Roman" w:hAnsi="Times New Roman"/>
                <w:szCs w:val="20"/>
              </w:rPr>
            </w:pPr>
            <w:r w:rsidRPr="00676BF6">
              <w:rPr>
                <w:rFonts w:ascii="Times New Roman" w:hAnsi="Times New Roman"/>
                <w:szCs w:val="20"/>
              </w:rPr>
              <w:t>Uitgesloten reserve</w:t>
            </w:r>
          </w:p>
        </w:tc>
        <w:tc>
          <w:tcPr>
            <w:tcW w:w="1062"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922" w:type="dxa"/>
            <w:tcBorders>
              <w:top w:val="nil"/>
              <w:left w:val="nil"/>
              <w:bottom w:val="nil"/>
              <w:right w:val="nil"/>
            </w:tcBorders>
            <w:noWrap/>
            <w:vAlign w:val="bottom"/>
          </w:tcPr>
          <w:p w:rsidR="00FE2E3C" w:rsidRPr="00676BF6" w:rsidRDefault="00FE2E3C" w:rsidP="00020386">
            <w:pPr>
              <w:jc w:val="center"/>
              <w:rPr>
                <w:rFonts w:ascii="Times New Roman" w:hAnsi="Times New Roman"/>
                <w:szCs w:val="20"/>
              </w:rPr>
            </w:pPr>
            <w:r w:rsidRPr="00676BF6">
              <w:rPr>
                <w:rFonts w:ascii="Times New Roman" w:hAnsi="Times New Roman"/>
                <w:szCs w:val="20"/>
              </w:rPr>
              <w:t>-</w:t>
            </w:r>
          </w:p>
        </w:tc>
        <w:tc>
          <w:tcPr>
            <w:tcW w:w="261" w:type="dxa"/>
            <w:tcBorders>
              <w:top w:val="nil"/>
              <w:left w:val="nil"/>
              <w:bottom w:val="nil"/>
              <w:right w:val="nil"/>
            </w:tcBorders>
            <w:noWrap/>
            <w:vAlign w:val="bottom"/>
          </w:tcPr>
          <w:p w:rsidR="00FE2E3C" w:rsidRPr="00676BF6" w:rsidRDefault="00FE2E3C" w:rsidP="00020386">
            <w:pPr>
              <w:rPr>
                <w:rFonts w:ascii="Arial" w:hAnsi="Arial" w:cs="Arial"/>
                <w:szCs w:val="20"/>
              </w:rPr>
            </w:pPr>
          </w:p>
        </w:tc>
        <w:tc>
          <w:tcPr>
            <w:tcW w:w="1658" w:type="dxa"/>
            <w:tcBorders>
              <w:top w:val="nil"/>
              <w:left w:val="nil"/>
              <w:bottom w:val="nil"/>
              <w:right w:val="nil"/>
            </w:tcBorders>
            <w:noWrap/>
            <w:vAlign w:val="bottom"/>
          </w:tcPr>
          <w:p w:rsidR="00FE2E3C" w:rsidRPr="00676BF6" w:rsidRDefault="00FE2E3C" w:rsidP="00020386">
            <w:pPr>
              <w:jc w:val="center"/>
              <w:rPr>
                <w:rFonts w:ascii="Times New Roman" w:hAnsi="Times New Roman"/>
                <w:color w:val="000000"/>
                <w:sz w:val="24"/>
                <w:szCs w:val="24"/>
              </w:rPr>
            </w:pPr>
            <w:r w:rsidRPr="00676BF6">
              <w:rPr>
                <w:rFonts w:ascii="Times New Roman" w:hAnsi="Times New Roman"/>
                <w:color w:val="000000"/>
                <w:sz w:val="24"/>
                <w:szCs w:val="24"/>
              </w:rPr>
              <w:t>Δ</w:t>
            </w:r>
          </w:p>
        </w:tc>
        <w:tc>
          <w:tcPr>
            <w:tcW w:w="261" w:type="dxa"/>
            <w:tcBorders>
              <w:top w:val="nil"/>
              <w:left w:val="nil"/>
              <w:bottom w:val="nil"/>
              <w:right w:val="nil"/>
            </w:tcBorders>
            <w:noWrap/>
            <w:vAlign w:val="bottom"/>
          </w:tcPr>
          <w:p w:rsidR="00FE2E3C" w:rsidRPr="00676BF6" w:rsidRDefault="00FE2E3C" w:rsidP="00020386">
            <w:pPr>
              <w:rPr>
                <w:rFonts w:ascii="Arial" w:hAnsi="Arial" w:cs="Arial"/>
                <w:szCs w:val="20"/>
              </w:rPr>
            </w:pPr>
          </w:p>
        </w:tc>
        <w:tc>
          <w:tcPr>
            <w:tcW w:w="1658" w:type="dxa"/>
            <w:tcBorders>
              <w:top w:val="nil"/>
              <w:left w:val="nil"/>
              <w:bottom w:val="nil"/>
              <w:right w:val="nil"/>
            </w:tcBorders>
            <w:noWrap/>
            <w:vAlign w:val="bottom"/>
          </w:tcPr>
          <w:p w:rsidR="00FE2E3C" w:rsidRPr="00676BF6" w:rsidRDefault="00FE2E3C" w:rsidP="00020386">
            <w:pPr>
              <w:jc w:val="center"/>
              <w:rPr>
                <w:rFonts w:ascii="Arial" w:hAnsi="Arial" w:cs="Arial"/>
                <w:szCs w:val="20"/>
              </w:rPr>
            </w:pPr>
            <w:r w:rsidRPr="00676BF6">
              <w:rPr>
                <w:rFonts w:ascii="Arial" w:hAnsi="Arial" w:cs="Arial"/>
                <w:szCs w:val="20"/>
              </w:rPr>
              <w:t>-</w:t>
            </w:r>
          </w:p>
        </w:tc>
      </w:tr>
      <w:tr w:rsidR="00FE2E3C" w:rsidRPr="00676BF6" w:rsidTr="00676BF6">
        <w:trPr>
          <w:trHeight w:val="411"/>
        </w:trPr>
        <w:tc>
          <w:tcPr>
            <w:tcW w:w="3194" w:type="dxa"/>
            <w:gridSpan w:val="3"/>
            <w:tcBorders>
              <w:top w:val="nil"/>
              <w:left w:val="nil"/>
              <w:bottom w:val="nil"/>
              <w:right w:val="nil"/>
            </w:tcBorders>
            <w:noWrap/>
            <w:vAlign w:val="bottom"/>
          </w:tcPr>
          <w:p w:rsidR="00FE2E3C" w:rsidRPr="00676BF6" w:rsidRDefault="00FE2E3C" w:rsidP="00020386">
            <w:pPr>
              <w:rPr>
                <w:rFonts w:ascii="Times New Roman" w:hAnsi="Times New Roman"/>
                <w:szCs w:val="20"/>
              </w:rPr>
            </w:pPr>
            <w:r w:rsidRPr="00676BF6">
              <w:rPr>
                <w:rFonts w:ascii="Times New Roman" w:hAnsi="Times New Roman"/>
                <w:szCs w:val="20"/>
              </w:rPr>
              <w:t>Uitgesloten beleggingsvermogen</w:t>
            </w: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922" w:type="dxa"/>
            <w:tcBorders>
              <w:top w:val="nil"/>
              <w:left w:val="nil"/>
              <w:bottom w:val="nil"/>
              <w:right w:val="nil"/>
            </w:tcBorders>
            <w:noWrap/>
            <w:vAlign w:val="bottom"/>
          </w:tcPr>
          <w:p w:rsidR="00FE2E3C" w:rsidRPr="00676BF6" w:rsidRDefault="00FE2E3C" w:rsidP="00020386">
            <w:pPr>
              <w:jc w:val="center"/>
              <w:rPr>
                <w:rFonts w:ascii="Times New Roman" w:hAnsi="Times New Roman"/>
                <w:color w:val="000000"/>
                <w:sz w:val="24"/>
                <w:szCs w:val="24"/>
              </w:rPr>
            </w:pPr>
            <w:r w:rsidRPr="00676BF6">
              <w:rPr>
                <w:rFonts w:ascii="Times New Roman" w:hAnsi="Times New Roman"/>
                <w:color w:val="000000"/>
                <w:sz w:val="24"/>
                <w:szCs w:val="24"/>
              </w:rPr>
              <w:t>Δ</w:t>
            </w:r>
          </w:p>
        </w:tc>
        <w:tc>
          <w:tcPr>
            <w:tcW w:w="261" w:type="dxa"/>
            <w:tcBorders>
              <w:top w:val="nil"/>
              <w:left w:val="nil"/>
              <w:bottom w:val="nil"/>
              <w:right w:val="nil"/>
            </w:tcBorders>
            <w:noWrap/>
            <w:vAlign w:val="bottom"/>
          </w:tcPr>
          <w:p w:rsidR="00FE2E3C" w:rsidRPr="00676BF6" w:rsidRDefault="00FE2E3C" w:rsidP="00020386">
            <w:pPr>
              <w:rPr>
                <w:rFonts w:ascii="Arial" w:hAnsi="Arial" w:cs="Arial"/>
                <w:szCs w:val="20"/>
              </w:rPr>
            </w:pPr>
          </w:p>
        </w:tc>
        <w:tc>
          <w:tcPr>
            <w:tcW w:w="1658" w:type="dxa"/>
            <w:tcBorders>
              <w:top w:val="nil"/>
              <w:left w:val="nil"/>
              <w:bottom w:val="nil"/>
              <w:right w:val="nil"/>
            </w:tcBorders>
            <w:noWrap/>
            <w:vAlign w:val="bottom"/>
          </w:tcPr>
          <w:p w:rsidR="00FE2E3C" w:rsidRPr="00676BF6" w:rsidRDefault="00FE2E3C" w:rsidP="00020386">
            <w:pPr>
              <w:jc w:val="center"/>
              <w:rPr>
                <w:rFonts w:ascii="Arial" w:hAnsi="Arial" w:cs="Arial"/>
                <w:szCs w:val="20"/>
              </w:rPr>
            </w:pPr>
            <w:r w:rsidRPr="00676BF6">
              <w:rPr>
                <w:rFonts w:ascii="Arial" w:hAnsi="Arial" w:cs="Arial"/>
                <w:szCs w:val="20"/>
              </w:rPr>
              <w:t>-</w:t>
            </w:r>
          </w:p>
        </w:tc>
        <w:tc>
          <w:tcPr>
            <w:tcW w:w="261" w:type="dxa"/>
            <w:tcBorders>
              <w:top w:val="nil"/>
              <w:left w:val="nil"/>
              <w:bottom w:val="nil"/>
              <w:right w:val="nil"/>
            </w:tcBorders>
            <w:noWrap/>
            <w:vAlign w:val="bottom"/>
          </w:tcPr>
          <w:p w:rsidR="00FE2E3C" w:rsidRPr="00676BF6" w:rsidRDefault="00FE2E3C" w:rsidP="00020386">
            <w:pPr>
              <w:rPr>
                <w:rFonts w:ascii="Arial" w:hAnsi="Arial" w:cs="Arial"/>
                <w:szCs w:val="20"/>
              </w:rPr>
            </w:pPr>
          </w:p>
        </w:tc>
        <w:tc>
          <w:tcPr>
            <w:tcW w:w="1658" w:type="dxa"/>
            <w:tcBorders>
              <w:top w:val="nil"/>
              <w:left w:val="nil"/>
              <w:bottom w:val="nil"/>
              <w:right w:val="nil"/>
            </w:tcBorders>
            <w:noWrap/>
            <w:vAlign w:val="bottom"/>
          </w:tcPr>
          <w:p w:rsidR="00FE2E3C" w:rsidRPr="00676BF6" w:rsidRDefault="00FE2E3C" w:rsidP="00020386">
            <w:pPr>
              <w:jc w:val="center"/>
              <w:rPr>
                <w:rFonts w:ascii="Times New Roman" w:hAnsi="Times New Roman"/>
                <w:color w:val="000000"/>
                <w:sz w:val="24"/>
                <w:szCs w:val="24"/>
              </w:rPr>
            </w:pPr>
            <w:r w:rsidRPr="00676BF6">
              <w:rPr>
                <w:rFonts w:ascii="Times New Roman" w:hAnsi="Times New Roman"/>
                <w:color w:val="000000"/>
                <w:sz w:val="24"/>
                <w:szCs w:val="24"/>
              </w:rPr>
              <w:t>Δ</w:t>
            </w:r>
          </w:p>
        </w:tc>
      </w:tr>
      <w:tr w:rsidR="00FE2E3C" w:rsidRPr="00676BF6" w:rsidTr="00676BF6">
        <w:trPr>
          <w:trHeight w:val="411"/>
        </w:trPr>
        <w:tc>
          <w:tcPr>
            <w:tcW w:w="3194" w:type="dxa"/>
            <w:gridSpan w:val="3"/>
            <w:tcBorders>
              <w:top w:val="nil"/>
              <w:left w:val="nil"/>
              <w:bottom w:val="nil"/>
              <w:right w:val="nil"/>
            </w:tcBorders>
            <w:noWrap/>
            <w:vAlign w:val="bottom"/>
          </w:tcPr>
          <w:p w:rsidR="00FE2E3C" w:rsidRPr="00676BF6" w:rsidRDefault="00FE2E3C" w:rsidP="00020386">
            <w:pPr>
              <w:rPr>
                <w:rFonts w:ascii="Times New Roman" w:hAnsi="Times New Roman"/>
                <w:szCs w:val="20"/>
              </w:rPr>
            </w:pPr>
            <w:r w:rsidRPr="00676BF6">
              <w:rPr>
                <w:rFonts w:ascii="Times New Roman" w:hAnsi="Times New Roman"/>
                <w:szCs w:val="20"/>
              </w:rPr>
              <w:t>Invloed overdrachtsprijs</w:t>
            </w: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922" w:type="dxa"/>
            <w:tcBorders>
              <w:top w:val="nil"/>
              <w:left w:val="nil"/>
              <w:bottom w:val="nil"/>
              <w:right w:val="nil"/>
            </w:tcBorders>
            <w:noWrap/>
            <w:vAlign w:val="bottom"/>
          </w:tcPr>
          <w:p w:rsidR="00FE2E3C" w:rsidRPr="00676BF6" w:rsidRDefault="00FE2E3C" w:rsidP="00020386">
            <w:pPr>
              <w:jc w:val="center"/>
              <w:rPr>
                <w:rFonts w:ascii="Times New Roman" w:hAnsi="Times New Roman"/>
                <w:color w:val="000000"/>
                <w:sz w:val="24"/>
                <w:szCs w:val="24"/>
              </w:rPr>
            </w:pPr>
            <w:r w:rsidRPr="00676BF6">
              <w:rPr>
                <w:rFonts w:ascii="Times New Roman" w:hAnsi="Times New Roman"/>
                <w:color w:val="000000"/>
                <w:sz w:val="24"/>
                <w:szCs w:val="24"/>
              </w:rPr>
              <w:t>Δ</w:t>
            </w:r>
          </w:p>
        </w:tc>
        <w:tc>
          <w:tcPr>
            <w:tcW w:w="261" w:type="dxa"/>
            <w:tcBorders>
              <w:top w:val="nil"/>
              <w:left w:val="nil"/>
              <w:bottom w:val="nil"/>
              <w:right w:val="nil"/>
            </w:tcBorders>
            <w:noWrap/>
            <w:vAlign w:val="bottom"/>
          </w:tcPr>
          <w:p w:rsidR="00FE2E3C" w:rsidRPr="00676BF6" w:rsidRDefault="00FE2E3C" w:rsidP="00020386">
            <w:pPr>
              <w:rPr>
                <w:rFonts w:ascii="Arial" w:hAnsi="Arial" w:cs="Arial"/>
                <w:szCs w:val="20"/>
              </w:rPr>
            </w:pPr>
          </w:p>
        </w:tc>
        <w:tc>
          <w:tcPr>
            <w:tcW w:w="1658" w:type="dxa"/>
            <w:tcBorders>
              <w:top w:val="nil"/>
              <w:left w:val="nil"/>
              <w:bottom w:val="nil"/>
              <w:right w:val="nil"/>
            </w:tcBorders>
            <w:noWrap/>
            <w:vAlign w:val="bottom"/>
          </w:tcPr>
          <w:p w:rsidR="00FE2E3C" w:rsidRPr="00676BF6" w:rsidRDefault="00FE2E3C" w:rsidP="00020386">
            <w:pPr>
              <w:jc w:val="center"/>
              <w:rPr>
                <w:rFonts w:ascii="Arial" w:hAnsi="Arial" w:cs="Arial"/>
                <w:szCs w:val="20"/>
              </w:rPr>
            </w:pPr>
            <w:r w:rsidRPr="00676BF6">
              <w:rPr>
                <w:rFonts w:ascii="Arial" w:hAnsi="Arial" w:cs="Arial"/>
                <w:szCs w:val="20"/>
              </w:rPr>
              <w:t>-</w:t>
            </w:r>
          </w:p>
        </w:tc>
        <w:tc>
          <w:tcPr>
            <w:tcW w:w="261" w:type="dxa"/>
            <w:tcBorders>
              <w:top w:val="nil"/>
              <w:left w:val="nil"/>
              <w:bottom w:val="nil"/>
              <w:right w:val="nil"/>
            </w:tcBorders>
            <w:noWrap/>
            <w:vAlign w:val="bottom"/>
          </w:tcPr>
          <w:p w:rsidR="00FE2E3C" w:rsidRPr="00676BF6" w:rsidRDefault="00FE2E3C" w:rsidP="00020386">
            <w:pPr>
              <w:rPr>
                <w:rFonts w:ascii="Arial" w:hAnsi="Arial" w:cs="Arial"/>
                <w:szCs w:val="20"/>
              </w:rPr>
            </w:pPr>
          </w:p>
        </w:tc>
        <w:tc>
          <w:tcPr>
            <w:tcW w:w="1658" w:type="dxa"/>
            <w:tcBorders>
              <w:top w:val="nil"/>
              <w:left w:val="nil"/>
              <w:bottom w:val="nil"/>
              <w:right w:val="nil"/>
            </w:tcBorders>
            <w:noWrap/>
            <w:vAlign w:val="bottom"/>
          </w:tcPr>
          <w:p w:rsidR="00FE2E3C" w:rsidRPr="00676BF6" w:rsidRDefault="00FE2E3C" w:rsidP="00020386">
            <w:pPr>
              <w:jc w:val="center"/>
              <w:rPr>
                <w:rFonts w:ascii="Times New Roman" w:hAnsi="Times New Roman"/>
                <w:color w:val="000000"/>
                <w:sz w:val="24"/>
                <w:szCs w:val="24"/>
              </w:rPr>
            </w:pPr>
            <w:r w:rsidRPr="00676BF6">
              <w:rPr>
                <w:rFonts w:ascii="Times New Roman" w:hAnsi="Times New Roman"/>
                <w:color w:val="000000"/>
                <w:sz w:val="24"/>
                <w:szCs w:val="24"/>
              </w:rPr>
              <w:t>Δ</w:t>
            </w:r>
          </w:p>
        </w:tc>
      </w:tr>
      <w:tr w:rsidR="00FE2E3C" w:rsidRPr="00676BF6" w:rsidTr="00676BF6">
        <w:trPr>
          <w:trHeight w:val="411"/>
        </w:trPr>
        <w:tc>
          <w:tcPr>
            <w:tcW w:w="2132" w:type="dxa"/>
            <w:gridSpan w:val="2"/>
            <w:tcBorders>
              <w:top w:val="nil"/>
              <w:left w:val="nil"/>
              <w:bottom w:val="nil"/>
              <w:right w:val="nil"/>
            </w:tcBorders>
            <w:noWrap/>
            <w:vAlign w:val="bottom"/>
          </w:tcPr>
          <w:p w:rsidR="00FE2E3C" w:rsidRPr="00676BF6" w:rsidRDefault="00FE2E3C" w:rsidP="00020386">
            <w:pPr>
              <w:rPr>
                <w:rFonts w:ascii="Times New Roman" w:hAnsi="Times New Roman"/>
                <w:szCs w:val="20"/>
              </w:rPr>
            </w:pPr>
            <w:r w:rsidRPr="00676BF6">
              <w:rPr>
                <w:rFonts w:ascii="Times New Roman" w:hAnsi="Times New Roman"/>
                <w:szCs w:val="20"/>
              </w:rPr>
              <w:t>Preferente aandelen</w:t>
            </w:r>
          </w:p>
        </w:tc>
        <w:tc>
          <w:tcPr>
            <w:tcW w:w="1062"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261" w:type="dxa"/>
            <w:tcBorders>
              <w:top w:val="nil"/>
              <w:left w:val="nil"/>
              <w:bottom w:val="nil"/>
              <w:right w:val="nil"/>
            </w:tcBorders>
            <w:noWrap/>
            <w:vAlign w:val="bottom"/>
          </w:tcPr>
          <w:p w:rsidR="00FE2E3C" w:rsidRPr="00676BF6" w:rsidRDefault="00FE2E3C" w:rsidP="00020386">
            <w:pPr>
              <w:rPr>
                <w:rFonts w:ascii="Times New Roman" w:hAnsi="Times New Roman"/>
                <w:szCs w:val="20"/>
              </w:rPr>
            </w:pPr>
          </w:p>
        </w:tc>
        <w:tc>
          <w:tcPr>
            <w:tcW w:w="1922" w:type="dxa"/>
            <w:tcBorders>
              <w:top w:val="nil"/>
              <w:left w:val="nil"/>
              <w:bottom w:val="nil"/>
              <w:right w:val="nil"/>
            </w:tcBorders>
            <w:noWrap/>
            <w:vAlign w:val="bottom"/>
          </w:tcPr>
          <w:p w:rsidR="00FE2E3C" w:rsidRPr="00676BF6" w:rsidRDefault="00FE2E3C" w:rsidP="00020386">
            <w:pPr>
              <w:jc w:val="center"/>
              <w:rPr>
                <w:rFonts w:ascii="Times New Roman" w:hAnsi="Times New Roman"/>
                <w:color w:val="000000"/>
                <w:sz w:val="24"/>
                <w:szCs w:val="24"/>
              </w:rPr>
            </w:pPr>
            <w:r w:rsidRPr="00676BF6">
              <w:rPr>
                <w:rFonts w:ascii="Times New Roman" w:hAnsi="Times New Roman"/>
                <w:color w:val="000000"/>
                <w:sz w:val="24"/>
                <w:szCs w:val="24"/>
              </w:rPr>
              <w:t>Δ</w:t>
            </w:r>
          </w:p>
        </w:tc>
        <w:tc>
          <w:tcPr>
            <w:tcW w:w="261" w:type="dxa"/>
            <w:tcBorders>
              <w:top w:val="nil"/>
              <w:left w:val="nil"/>
              <w:bottom w:val="nil"/>
              <w:right w:val="nil"/>
            </w:tcBorders>
            <w:noWrap/>
            <w:vAlign w:val="bottom"/>
          </w:tcPr>
          <w:p w:rsidR="00FE2E3C" w:rsidRPr="00676BF6" w:rsidRDefault="00FE2E3C" w:rsidP="00020386">
            <w:pPr>
              <w:rPr>
                <w:rFonts w:ascii="Arial" w:hAnsi="Arial" w:cs="Arial"/>
                <w:szCs w:val="20"/>
              </w:rPr>
            </w:pPr>
          </w:p>
        </w:tc>
        <w:tc>
          <w:tcPr>
            <w:tcW w:w="1658" w:type="dxa"/>
            <w:tcBorders>
              <w:top w:val="nil"/>
              <w:left w:val="nil"/>
              <w:bottom w:val="nil"/>
              <w:right w:val="nil"/>
            </w:tcBorders>
            <w:noWrap/>
            <w:vAlign w:val="bottom"/>
          </w:tcPr>
          <w:p w:rsidR="00FE2E3C" w:rsidRPr="00676BF6" w:rsidRDefault="00FE2E3C" w:rsidP="00020386">
            <w:pPr>
              <w:jc w:val="center"/>
              <w:rPr>
                <w:rFonts w:ascii="Times New Roman" w:hAnsi="Times New Roman"/>
                <w:color w:val="000000"/>
                <w:sz w:val="24"/>
                <w:szCs w:val="24"/>
              </w:rPr>
            </w:pPr>
            <w:r w:rsidRPr="00676BF6">
              <w:rPr>
                <w:rFonts w:ascii="Times New Roman" w:hAnsi="Times New Roman"/>
                <w:color w:val="000000"/>
                <w:sz w:val="24"/>
                <w:szCs w:val="24"/>
              </w:rPr>
              <w:t>Δ</w:t>
            </w:r>
          </w:p>
        </w:tc>
        <w:tc>
          <w:tcPr>
            <w:tcW w:w="261" w:type="dxa"/>
            <w:tcBorders>
              <w:top w:val="nil"/>
              <w:left w:val="nil"/>
              <w:bottom w:val="nil"/>
              <w:right w:val="nil"/>
            </w:tcBorders>
            <w:noWrap/>
            <w:vAlign w:val="bottom"/>
          </w:tcPr>
          <w:p w:rsidR="00FE2E3C" w:rsidRPr="00676BF6" w:rsidRDefault="00FE2E3C" w:rsidP="00020386">
            <w:pPr>
              <w:rPr>
                <w:rFonts w:ascii="Arial" w:hAnsi="Arial" w:cs="Arial"/>
                <w:szCs w:val="20"/>
              </w:rPr>
            </w:pPr>
          </w:p>
        </w:tc>
        <w:tc>
          <w:tcPr>
            <w:tcW w:w="1658" w:type="dxa"/>
            <w:tcBorders>
              <w:top w:val="nil"/>
              <w:left w:val="nil"/>
              <w:bottom w:val="nil"/>
              <w:right w:val="nil"/>
            </w:tcBorders>
            <w:noWrap/>
            <w:vAlign w:val="bottom"/>
          </w:tcPr>
          <w:p w:rsidR="00FE2E3C" w:rsidRPr="00676BF6" w:rsidRDefault="00FE2E3C" w:rsidP="00020386">
            <w:pPr>
              <w:jc w:val="center"/>
              <w:rPr>
                <w:rFonts w:ascii="Arial" w:hAnsi="Arial" w:cs="Arial"/>
                <w:szCs w:val="20"/>
              </w:rPr>
            </w:pPr>
            <w:r w:rsidRPr="00676BF6">
              <w:rPr>
                <w:rFonts w:ascii="Arial" w:hAnsi="Arial" w:cs="Arial"/>
                <w:szCs w:val="20"/>
              </w:rPr>
              <w:t>-</w:t>
            </w:r>
          </w:p>
        </w:tc>
      </w:tr>
    </w:tbl>
    <w:p w:rsidR="00FE2E3C" w:rsidRPr="00676BF6" w:rsidRDefault="00FE2E3C" w:rsidP="00A95780">
      <w:pPr>
        <w:pStyle w:val="Scriptienormaal"/>
      </w:pPr>
    </w:p>
    <w:p w:rsidR="00FE2E3C" w:rsidRPr="00C8620B" w:rsidRDefault="00FE2E3C" w:rsidP="00A95780">
      <w:pPr>
        <w:pStyle w:val="Scriptienormaal"/>
      </w:pPr>
      <w:r w:rsidRPr="00676BF6">
        <w:t>De bovenstaande resultaten geven aan dat er ten aanzien van de doorschuiffaciliteiten geen sprake is van rechtsvormneutraliteit. Ten aanzien van de drie criteria hebben verschillende onderdelen van deze faciliteiten geen vergelijkbare uitwerking. Met deze conclusie is het eerste gedeelte van mijn probleemstelling beantwoord.</w:t>
      </w:r>
    </w:p>
    <w:p w:rsidR="00FE2E3C" w:rsidRPr="00C8620B" w:rsidRDefault="00FE2E3C" w:rsidP="00D77472">
      <w:pPr>
        <w:pStyle w:val="Scriptienormaal"/>
      </w:pPr>
      <w:r w:rsidRPr="00676BF6">
        <w:t>Vervolgens heb ik gekeken of de doorschuiffaciliteiten kunnen worden aangepast om hiermee tot een hogere mate van rechtsvormneutraliteit te komen</w:t>
      </w:r>
      <w:r w:rsidR="00A53091">
        <w:t>,</w:t>
      </w:r>
      <w:r w:rsidRPr="00676BF6">
        <w:t xml:space="preserve"> zonder dat afbreuk wordt gedaan aan de gemeenschappelijke doelstelling van de faciliteiten. Uit mijn onderzoek is gebleken dat het mogelijk is om de volgende aanpassingen door te voeren. Deze aanpassingen zal ik hierna per onderdeel kort weergeven.</w:t>
      </w:r>
    </w:p>
    <w:p w:rsidR="00FE2E3C" w:rsidRPr="00C8620B" w:rsidRDefault="00FE2E3C" w:rsidP="00D77472">
      <w:pPr>
        <w:pStyle w:val="scriptie4"/>
      </w:pPr>
      <w:r w:rsidRPr="00676BF6">
        <w:t>Kwalificerende ondernemer</w:t>
      </w:r>
    </w:p>
    <w:p w:rsidR="00FE2E3C" w:rsidRPr="00C8620B" w:rsidRDefault="00FE2E3C" w:rsidP="00D77472">
      <w:pPr>
        <w:pStyle w:val="Scriptienormaal"/>
      </w:pPr>
      <w:r w:rsidRPr="00676BF6">
        <w:t>Om het verschil in de mate van rechtvaardigheid en effectiviteit te elimineren, kan de VPB-faciliteit ook opengesteld worden voor de overdracht van een meetrek-aanmerkelijk belang.</w:t>
      </w:r>
    </w:p>
    <w:p w:rsidR="00FE2E3C" w:rsidRPr="00C8620B" w:rsidRDefault="00FE2E3C" w:rsidP="00D77472">
      <w:pPr>
        <w:pStyle w:val="scriptie4"/>
      </w:pPr>
      <w:r w:rsidRPr="00676BF6">
        <w:lastRenderedPageBreak/>
        <w:t>Medegerechtigdheid</w:t>
      </w:r>
    </w:p>
    <w:p w:rsidR="00FE2E3C" w:rsidRPr="00C8620B" w:rsidRDefault="00FE2E3C" w:rsidP="00D77472">
      <w:pPr>
        <w:pStyle w:val="Scriptienormaal"/>
      </w:pPr>
      <w:r w:rsidRPr="00676BF6">
        <w:t>De VPB-faciliteit kan zodanig worden aangepast zodat geen aanvullend</w:t>
      </w:r>
      <w:r>
        <w:t>e</w:t>
      </w:r>
      <w:r w:rsidRPr="00676BF6">
        <w:t xml:space="preserve"> voorwaarden worden gesteld voor toepassing hiervan ten aanzien van een medegerechtigdheid. Hierdoor zal het verschil in de mate van rechtvaardigheid en effectiviteit worden weggenomen.</w:t>
      </w:r>
    </w:p>
    <w:p w:rsidR="00FE2E3C" w:rsidRPr="00C8620B" w:rsidRDefault="00FE2E3C" w:rsidP="00D77472">
      <w:pPr>
        <w:pStyle w:val="scriptie4"/>
      </w:pPr>
      <w:r w:rsidRPr="00676BF6">
        <w:t>Voortzettingsvereiste</w:t>
      </w:r>
    </w:p>
    <w:p w:rsidR="00FE2E3C" w:rsidRPr="00C8620B" w:rsidRDefault="00FE2E3C" w:rsidP="00676BF6">
      <w:pPr>
        <w:pStyle w:val="Scriptienormaal"/>
      </w:pPr>
      <w:r w:rsidRPr="00676BF6">
        <w:t>Voor toepassing van de VPB-faciliteit</w:t>
      </w:r>
      <w:r>
        <w:t xml:space="preserve"> kan</w:t>
      </w:r>
      <w:r w:rsidRPr="00676BF6">
        <w:t xml:space="preserve"> een voortzettingsvereiste word</w:t>
      </w:r>
      <w:r>
        <w:t>en</w:t>
      </w:r>
      <w:r w:rsidRPr="00676BF6">
        <w:t xml:space="preserve"> ingevoerd om hiermee het verschil in rechtvaardigheid, effectiviteit en efficiëntie te doen verminderen.</w:t>
      </w:r>
    </w:p>
    <w:p w:rsidR="00FE2E3C" w:rsidRPr="00C8620B" w:rsidRDefault="00FE2E3C" w:rsidP="00D77472">
      <w:pPr>
        <w:pStyle w:val="scriptie4"/>
      </w:pPr>
      <w:r w:rsidRPr="00676BF6">
        <w:t>Uitgesloten reserve</w:t>
      </w:r>
    </w:p>
    <w:p w:rsidR="00FE2E3C" w:rsidRPr="00C8620B" w:rsidRDefault="00FE2E3C" w:rsidP="00676BF6">
      <w:pPr>
        <w:pStyle w:val="Scriptienormaal"/>
      </w:pPr>
      <w:r w:rsidRPr="00C8620B">
        <w:t>Ten aanzien van het verschil met betrekking tot de door de IB-faciliteit uitgesloten reserves, kan ten behoeve van de rechtsvormneutraliteit geen aanpassing worden aangedragen.</w:t>
      </w:r>
    </w:p>
    <w:p w:rsidR="00FE2E3C" w:rsidRPr="00C8620B" w:rsidRDefault="00FE2E3C" w:rsidP="00D77472">
      <w:pPr>
        <w:pStyle w:val="scriptie4"/>
      </w:pPr>
      <w:r w:rsidRPr="00676BF6">
        <w:t>Uitgesloten beleggingsvermogen</w:t>
      </w:r>
    </w:p>
    <w:p w:rsidR="00FE2E3C" w:rsidRPr="00C8620B" w:rsidRDefault="00FE2E3C" w:rsidP="00676BF6">
      <w:pPr>
        <w:pStyle w:val="Scriptienormaal"/>
      </w:pPr>
      <w:r w:rsidRPr="00C8620B">
        <w:t>Om te bepalen of de mogelijke aanpassingen ten aanzien van het uitgesloten beleggingsvermogen de rechtsvormneutraliteit ten goede komen, zal aanvullend onderzoek moeten worden uitgevoerd.</w:t>
      </w:r>
    </w:p>
    <w:p w:rsidR="00FE2E3C" w:rsidRPr="00C8620B" w:rsidRDefault="00FE2E3C" w:rsidP="00D77472">
      <w:pPr>
        <w:pStyle w:val="scriptie4"/>
      </w:pPr>
      <w:r w:rsidRPr="00676BF6">
        <w:t>Invloed overdrachtsprijs</w:t>
      </w:r>
    </w:p>
    <w:p w:rsidR="00FE2E3C" w:rsidRPr="00C8620B" w:rsidRDefault="00FE2E3C" w:rsidP="00676BF6">
      <w:pPr>
        <w:pStyle w:val="Scriptienormaal"/>
      </w:pPr>
      <w:r>
        <w:t xml:space="preserve">Om het verschil in rechtvaardigheid en efficiëntie ten aanzien van de invloed van de overdrachtsprijs te verminderen, zijn twee aanpassingen mogelijk. Zo kan de IB-faciliteit worden beperkt tot het vermogen dat wordt geschonken. Ook kan de beperking van de VPB-faciliteit tot het geschonken gedeelte van de onderneming komen te vervallen.  </w:t>
      </w:r>
    </w:p>
    <w:p w:rsidR="00FE2E3C" w:rsidRPr="00C8620B" w:rsidRDefault="00FE2E3C" w:rsidP="00D77472">
      <w:pPr>
        <w:pStyle w:val="scriptie4"/>
      </w:pPr>
      <w:r w:rsidRPr="00676BF6">
        <w:t>Preferente aandelen</w:t>
      </w:r>
    </w:p>
    <w:p w:rsidR="00FE2E3C" w:rsidRPr="00C8620B" w:rsidRDefault="00FE2E3C" w:rsidP="00676BF6">
      <w:pPr>
        <w:pStyle w:val="Scriptienormaal"/>
      </w:pPr>
      <w:r w:rsidRPr="00676BF6">
        <w:t>De VPB-faciliteit kan zodanig worden aangepast dat geen aanvullend</w:t>
      </w:r>
      <w:r>
        <w:t>e</w:t>
      </w:r>
      <w:r w:rsidRPr="00676BF6">
        <w:t xml:space="preserve"> voorwaarden worden gesteld voor toepassing hiervan ten aanzien van een </w:t>
      </w:r>
      <w:r>
        <w:t>preferent aandelenbelang.</w:t>
      </w:r>
      <w:r w:rsidRPr="00676BF6">
        <w:t xml:space="preserve"> Hierdoor zal het verschil in de mate van rechtvaardigheid en effectiviteit worden weggenomen.</w:t>
      </w:r>
    </w:p>
    <w:p w:rsidR="00FE2E3C" w:rsidRPr="00C8620B" w:rsidRDefault="00FE2E3C" w:rsidP="00BE6C51">
      <w:pPr>
        <w:pStyle w:val="Scriptienormaal"/>
      </w:pPr>
      <w:r>
        <w:t xml:space="preserve">Met het formuleren van de bovenstaande voorgestelde aanpassingen ben ik tot een conclusie gekomen ten aanzien van mijn gehele probleemstelling. Aldus, het is mogelijk om de doorschuiffaciliteiten ten aanzien van de rechtsvormneutraliteit te verbeteren zonder dat aan de gemeenschappelijke doelstellingen wordt afgedaan. </w:t>
      </w:r>
      <w:r w:rsidR="00412E4E">
        <w:t>Ook kunnen de faciliteiten ten bate van de rechtsvormneutraliteit worden aangepast.</w:t>
      </w:r>
    </w:p>
    <w:p w:rsidR="00FE2E3C" w:rsidRDefault="00FE2E3C" w:rsidP="00AA3B61">
      <w:pPr>
        <w:pStyle w:val="Scriptienormaal"/>
      </w:pPr>
      <w:r>
        <w:t xml:space="preserve">In mijn onderzoek heb ik alleen gekeken hoe de doorschuiffaciliteiten kunnen worden aangepast om tot een hogere mate van rechtsvormneutraliteit te komen. Hierbij heb ik mij </w:t>
      </w:r>
      <w:r>
        <w:lastRenderedPageBreak/>
        <w:t>laten leiden door de huidige vorm die doorschuiffaciliteiten hebben. Echter, om de afwezigheid van rechtsvormneutraliteit bij toepassing van de doorschuiffaciliteiten tegen te gaan, kan er ook gekeken worden naar het karakter van de faciliteiten en het belastingregime.</w:t>
      </w:r>
    </w:p>
    <w:p w:rsidR="00FE2E3C" w:rsidRDefault="00FE2E3C" w:rsidP="003B4396">
      <w:pPr>
        <w:pStyle w:val="Scriptienormaal"/>
      </w:pPr>
      <w:r>
        <w:t>De essentie achter het bestaan van de doorschuiffaciliteiten ligt niet in het feit dat belastingheffing door een bedrijfsoverdracht onrechtvaardig is. Het probleem is echter dat het lastig kan zijn om liquiditeiten uit de onderneming te krijgen</w:t>
      </w:r>
      <w:r w:rsidR="00412E4E" w:rsidRPr="00412E4E">
        <w:t xml:space="preserve"> </w:t>
      </w:r>
      <w:r w:rsidR="00412E4E">
        <w:t>om hiermee de te betalen belasting te voldoen</w:t>
      </w:r>
      <w:r>
        <w:t xml:space="preserve"> zonder de continuïteit </w:t>
      </w:r>
      <w:r w:rsidR="00412E4E">
        <w:t>van de onderneming</w:t>
      </w:r>
      <w:r>
        <w:t xml:space="preserve"> aan te tasten. Een oplossing zou hiervoor gevonden kunnen worden door, in plaats van de huidige faciliteiten, </w:t>
      </w:r>
      <w:r w:rsidR="00412E4E">
        <w:t xml:space="preserve">in de uitvoeringssfeer </w:t>
      </w:r>
      <w:r>
        <w:t>mogelijkheden te bieden door uitstel van betaling te verlenen. Het gevolg hiervan is dat de subjectieve belastingheffing in stand wordt gehouden</w:t>
      </w:r>
      <w:r w:rsidR="00412E4E">
        <w:t xml:space="preserve"> en de wetgeving minder ingewikkeld wordt</w:t>
      </w:r>
      <w:r>
        <w:t>. Ook wordt hiermee bereikt dat er minder sprake zal zijn van een overkill aan vrijstelling.</w:t>
      </w:r>
      <w:r>
        <w:rPr>
          <w:rStyle w:val="Voetnootmarkering"/>
        </w:rPr>
        <w:footnoteReference w:id="118"/>
      </w:r>
      <w:r>
        <w:t xml:space="preserve"> Indien er een gelijkluidende mogelijkheid tot uitstel zou bestaan ten aanzien van een IB- en een VPB-onderneming, zal tevens een hogere mate van rechtsvormneutraliteit worden bereikt</w:t>
      </w:r>
      <w:r w:rsidR="00412E4E">
        <w:t xml:space="preserve"> ten aanzien van dit uitstel</w:t>
      </w:r>
      <w:r w:rsidR="00115DCF">
        <w:t xml:space="preserve"> in vergelijking met de huidige doorschuiffaciliteiten.</w:t>
      </w:r>
    </w:p>
    <w:p w:rsidR="00FE2E3C" w:rsidRDefault="00FE2E3C" w:rsidP="00AA3B61">
      <w:pPr>
        <w:pStyle w:val="Scriptienormaal"/>
      </w:pPr>
      <w:r>
        <w:t>Dit is echter nog toekomstmuziek. Voor nu zou de rechtsvormneutraliteit er bij gebaat zijn indien de doorschuifregelingen ten behoeve hiervan wordt aangepast.</w:t>
      </w:r>
    </w:p>
    <w:p w:rsidR="00FE2E3C" w:rsidRPr="00940F57" w:rsidRDefault="00FE2E3C" w:rsidP="00940F57">
      <w:pPr>
        <w:pStyle w:val="Scriptie1"/>
      </w:pPr>
      <w:r w:rsidRPr="00940F57">
        <w:br w:type="page"/>
      </w:r>
      <w:bookmarkStart w:id="82" w:name="_Toc300055462"/>
      <w:r w:rsidRPr="00940F57">
        <w:lastRenderedPageBreak/>
        <w:t>Literatuurlijst</w:t>
      </w:r>
      <w:bookmarkEnd w:id="82"/>
    </w:p>
    <w:p w:rsidR="00FE2E3C" w:rsidRDefault="00FE2E3C" w:rsidP="00940F57">
      <w:pPr>
        <w:pStyle w:val="Scriptie2"/>
      </w:pPr>
      <w:bookmarkStart w:id="83" w:name="_Toc299992826"/>
      <w:bookmarkStart w:id="84" w:name="_Toc299994337"/>
      <w:bookmarkStart w:id="85" w:name="_Toc300047860"/>
      <w:bookmarkStart w:id="86" w:name="_Toc300055036"/>
      <w:bookmarkStart w:id="87" w:name="_Toc300055463"/>
      <w:r w:rsidRPr="00940F57">
        <w:t>Boeken</w:t>
      </w:r>
      <w:bookmarkEnd w:id="83"/>
      <w:bookmarkEnd w:id="84"/>
      <w:bookmarkEnd w:id="85"/>
      <w:bookmarkEnd w:id="86"/>
      <w:bookmarkEnd w:id="87"/>
    </w:p>
    <w:p w:rsidR="00FE2E3C" w:rsidRDefault="00FE2E3C" w:rsidP="000C13E8">
      <w:pPr>
        <w:pStyle w:val="Scriptienormaal"/>
        <w:spacing w:after="120" w:line="240" w:lineRule="auto"/>
        <w:rPr>
          <w:sz w:val="20"/>
        </w:rPr>
      </w:pPr>
      <w:r w:rsidRPr="00EE14B7">
        <w:rPr>
          <w:sz w:val="20"/>
        </w:rPr>
        <w:t>F.W.G.M. van Brunschot, ‘</w:t>
      </w:r>
      <w:r w:rsidR="00B62A84">
        <w:rPr>
          <w:i/>
          <w:iCs/>
          <w:sz w:val="20"/>
        </w:rPr>
        <w:t>O</w:t>
      </w:r>
      <w:r w:rsidRPr="000C13E8">
        <w:rPr>
          <w:i/>
          <w:iCs/>
          <w:sz w:val="20"/>
        </w:rPr>
        <w:t>ude aandeelhouders aan nieuwe banden</w:t>
      </w:r>
      <w:r>
        <w:rPr>
          <w:sz w:val="20"/>
        </w:rPr>
        <w:t>’, 1970.</w:t>
      </w:r>
    </w:p>
    <w:p w:rsidR="00FE2E3C" w:rsidRPr="00EE14B7" w:rsidRDefault="00FE2E3C" w:rsidP="000C13E8">
      <w:pPr>
        <w:pStyle w:val="Scriptienormaal"/>
        <w:spacing w:after="120" w:line="240" w:lineRule="auto"/>
        <w:rPr>
          <w:sz w:val="20"/>
        </w:rPr>
      </w:pPr>
      <w:r w:rsidRPr="00EE14B7">
        <w:rPr>
          <w:sz w:val="20"/>
        </w:rPr>
        <w:t>P.H.J. Essers, ‘</w:t>
      </w:r>
      <w:r w:rsidRPr="00EE14B7">
        <w:rPr>
          <w:i/>
          <w:sz w:val="20"/>
        </w:rPr>
        <w:t>Personenvennootschappen en aanverwante rechtsvormen</w:t>
      </w:r>
      <w:r w:rsidRPr="00EE14B7">
        <w:rPr>
          <w:sz w:val="20"/>
        </w:rPr>
        <w:t>’, Kluwer Deventer 2004.</w:t>
      </w:r>
    </w:p>
    <w:p w:rsidR="00FE2E3C" w:rsidRPr="00EE14B7" w:rsidRDefault="00FE2E3C" w:rsidP="000C13E8">
      <w:pPr>
        <w:pStyle w:val="Scriptienormaal"/>
        <w:spacing w:after="120" w:line="240" w:lineRule="auto"/>
        <w:rPr>
          <w:sz w:val="20"/>
        </w:rPr>
      </w:pPr>
      <w:r w:rsidRPr="00EE14B7">
        <w:rPr>
          <w:sz w:val="20"/>
        </w:rPr>
        <w:t>F.H.M. Grapperhaus,</w:t>
      </w:r>
      <w:r w:rsidRPr="00EE14B7">
        <w:rPr>
          <w:i/>
          <w:sz w:val="20"/>
        </w:rPr>
        <w:t>‘De besloten NV fiscaal vergeleken met de persoonlijke ondernemer en met de open BV’</w:t>
      </w:r>
      <w:r w:rsidRPr="00EE14B7">
        <w:rPr>
          <w:sz w:val="20"/>
        </w:rPr>
        <w:t>, FED, Amsterdam, 1967.</w:t>
      </w:r>
    </w:p>
    <w:p w:rsidR="00FE2E3C" w:rsidRDefault="00FE2E3C" w:rsidP="00EE14B7">
      <w:pPr>
        <w:pStyle w:val="Scriptienormaal"/>
        <w:spacing w:after="120" w:line="240" w:lineRule="auto"/>
        <w:rPr>
          <w:sz w:val="20"/>
        </w:rPr>
      </w:pPr>
      <w:r w:rsidRPr="00EE14B7">
        <w:rPr>
          <w:sz w:val="20"/>
        </w:rPr>
        <w:t xml:space="preserve">E.J.W. Heithuis, </w:t>
      </w:r>
      <w:r w:rsidRPr="00EE14B7">
        <w:rPr>
          <w:i/>
          <w:sz w:val="20"/>
        </w:rPr>
        <w:t>‘Zonder aanziens des (rechts)persoons’</w:t>
      </w:r>
      <w:r w:rsidRPr="00EE14B7">
        <w:rPr>
          <w:sz w:val="20"/>
        </w:rPr>
        <w:t>, 2005, Kluwer, Deventer.</w:t>
      </w:r>
    </w:p>
    <w:p w:rsidR="00FE2E3C" w:rsidRDefault="00FE2E3C" w:rsidP="000C13E8">
      <w:pPr>
        <w:pStyle w:val="Scriptienormaal"/>
        <w:spacing w:after="120" w:line="240" w:lineRule="auto"/>
        <w:rPr>
          <w:sz w:val="20"/>
        </w:rPr>
      </w:pPr>
      <w:r w:rsidRPr="00EE14B7">
        <w:rPr>
          <w:sz w:val="20"/>
        </w:rPr>
        <w:t xml:space="preserve">A.O. Lubbers, G.T.K. Meussen, </w:t>
      </w:r>
      <w:r w:rsidRPr="00EE14B7">
        <w:rPr>
          <w:i/>
          <w:sz w:val="20"/>
        </w:rPr>
        <w:t>‘Hoofdzaken winst uit onderneming’</w:t>
      </w:r>
      <w:r w:rsidRPr="00EE14B7">
        <w:rPr>
          <w:sz w:val="20"/>
        </w:rPr>
        <w:t>, Kluwer, Deventer, 2008</w:t>
      </w:r>
      <w:r>
        <w:rPr>
          <w:sz w:val="20"/>
        </w:rPr>
        <w:t>.</w:t>
      </w:r>
    </w:p>
    <w:p w:rsidR="00FE2E3C" w:rsidRPr="00EE14B7" w:rsidRDefault="00FE2E3C" w:rsidP="000C13E8">
      <w:pPr>
        <w:pStyle w:val="Scriptienormaal"/>
        <w:spacing w:after="120" w:line="240" w:lineRule="auto"/>
        <w:rPr>
          <w:sz w:val="20"/>
        </w:rPr>
      </w:pPr>
      <w:r w:rsidRPr="000C13E8">
        <w:rPr>
          <w:sz w:val="20"/>
        </w:rPr>
        <w:t xml:space="preserve">J.H. Nieuwenhuis, C.J.J.M. </w:t>
      </w:r>
      <w:proofErr w:type="spellStart"/>
      <w:r w:rsidRPr="000C13E8">
        <w:rPr>
          <w:sz w:val="20"/>
        </w:rPr>
        <w:t>Stolker</w:t>
      </w:r>
      <w:proofErr w:type="spellEnd"/>
      <w:r w:rsidRPr="000C13E8">
        <w:rPr>
          <w:sz w:val="20"/>
        </w:rPr>
        <w:t xml:space="preserve">, W.L. Valk, S.H.M.A. </w:t>
      </w:r>
      <w:proofErr w:type="spellStart"/>
      <w:r w:rsidRPr="000C13E8">
        <w:rPr>
          <w:sz w:val="20"/>
        </w:rPr>
        <w:t>Dumoulin</w:t>
      </w:r>
      <w:proofErr w:type="spellEnd"/>
      <w:r w:rsidRPr="000C13E8">
        <w:rPr>
          <w:sz w:val="20"/>
        </w:rPr>
        <w:t xml:space="preserve">, J.D.A. Den </w:t>
      </w:r>
      <w:proofErr w:type="spellStart"/>
      <w:r w:rsidRPr="000C13E8">
        <w:rPr>
          <w:sz w:val="20"/>
        </w:rPr>
        <w:t>Tonkelaar</w:t>
      </w:r>
      <w:proofErr w:type="spellEnd"/>
      <w:r w:rsidRPr="000C13E8">
        <w:rPr>
          <w:sz w:val="20"/>
        </w:rPr>
        <w:t xml:space="preserve"> </w:t>
      </w:r>
      <w:r w:rsidRPr="000C13E8">
        <w:rPr>
          <w:i/>
          <w:sz w:val="20"/>
        </w:rPr>
        <w:t>‘Ondernemingsrecht, tekst &amp; commentaar’</w:t>
      </w:r>
      <w:r w:rsidRPr="000C13E8">
        <w:rPr>
          <w:sz w:val="20"/>
        </w:rPr>
        <w:t>, Kluwer, Deventer, 2004</w:t>
      </w:r>
      <w:r>
        <w:rPr>
          <w:sz w:val="20"/>
        </w:rPr>
        <w:t>.</w:t>
      </w:r>
    </w:p>
    <w:p w:rsidR="00FE2E3C" w:rsidRPr="00EE14B7" w:rsidRDefault="00FE2E3C" w:rsidP="00EE14B7">
      <w:pPr>
        <w:pStyle w:val="Scriptienormaal"/>
        <w:spacing w:after="120" w:line="240" w:lineRule="auto"/>
        <w:rPr>
          <w:sz w:val="20"/>
        </w:rPr>
      </w:pPr>
      <w:r w:rsidRPr="00EE14B7">
        <w:rPr>
          <w:sz w:val="20"/>
        </w:rPr>
        <w:t xml:space="preserve">H.M.N. Schonis, </w:t>
      </w:r>
      <w:r w:rsidRPr="00EE14B7">
        <w:rPr>
          <w:i/>
          <w:sz w:val="20"/>
        </w:rPr>
        <w:t>‘Rapport en bespreking van het rapport Samenwerkingsverbanden en ondernemingswinst’</w:t>
      </w:r>
      <w:r w:rsidRPr="00EE14B7">
        <w:rPr>
          <w:sz w:val="20"/>
        </w:rPr>
        <w:t>, Kluwer, Deventer, 2004.</w:t>
      </w:r>
    </w:p>
    <w:p w:rsidR="00FE2E3C" w:rsidRPr="00EE14B7" w:rsidRDefault="00FE2E3C" w:rsidP="00EE14B7">
      <w:pPr>
        <w:pStyle w:val="Scriptienormaal"/>
        <w:spacing w:after="120" w:line="240" w:lineRule="auto"/>
        <w:rPr>
          <w:sz w:val="20"/>
          <w:lang w:val="fr-FR"/>
        </w:rPr>
      </w:pPr>
      <w:r w:rsidRPr="00EE14B7">
        <w:rPr>
          <w:sz w:val="20"/>
          <w:lang w:val="fr-FR"/>
        </w:rPr>
        <w:t xml:space="preserve">L.G.M. Stevens, </w:t>
      </w:r>
      <w:r w:rsidRPr="00EE14B7">
        <w:rPr>
          <w:i/>
          <w:sz w:val="20"/>
          <w:lang w:val="fr-FR"/>
        </w:rPr>
        <w:t>‘</w:t>
      </w:r>
      <w:r w:rsidR="00B62A84">
        <w:rPr>
          <w:i/>
          <w:sz w:val="20"/>
          <w:lang w:val="fr-FR"/>
        </w:rPr>
        <w:t>F</w:t>
      </w:r>
      <w:r w:rsidRPr="00EE14B7">
        <w:rPr>
          <w:i/>
          <w:sz w:val="20"/>
          <w:lang w:val="fr-FR"/>
        </w:rPr>
        <w:t xml:space="preserve">iscale </w:t>
      </w:r>
      <w:proofErr w:type="spellStart"/>
      <w:r w:rsidR="00B62A84">
        <w:rPr>
          <w:i/>
          <w:sz w:val="20"/>
          <w:lang w:val="fr-FR"/>
        </w:rPr>
        <w:t>f</w:t>
      </w:r>
      <w:r w:rsidRPr="00EE14B7">
        <w:rPr>
          <w:i/>
          <w:sz w:val="20"/>
          <w:lang w:val="fr-FR"/>
        </w:rPr>
        <w:t>ascinatie</w:t>
      </w:r>
      <w:proofErr w:type="spellEnd"/>
      <w:r w:rsidRPr="00EE14B7">
        <w:rPr>
          <w:i/>
          <w:sz w:val="20"/>
          <w:lang w:val="fr-FR"/>
        </w:rPr>
        <w:t>’</w:t>
      </w:r>
      <w:r w:rsidRPr="00EE14B7">
        <w:rPr>
          <w:sz w:val="20"/>
          <w:lang w:val="fr-FR"/>
        </w:rPr>
        <w:t>, Kluwer, Deventer, 2006.</w:t>
      </w:r>
    </w:p>
    <w:p w:rsidR="00FE2E3C" w:rsidRPr="00EE14B7" w:rsidRDefault="00FE2E3C" w:rsidP="00EE14B7">
      <w:pPr>
        <w:pStyle w:val="Scriptienormaal"/>
        <w:spacing w:after="120" w:line="240" w:lineRule="auto"/>
        <w:rPr>
          <w:sz w:val="20"/>
        </w:rPr>
      </w:pPr>
      <w:r w:rsidRPr="00EE14B7">
        <w:rPr>
          <w:sz w:val="20"/>
        </w:rPr>
        <w:t>J. van Strien, ‘</w:t>
      </w:r>
      <w:r w:rsidRPr="00EE14B7">
        <w:rPr>
          <w:i/>
          <w:sz w:val="20"/>
        </w:rPr>
        <w:t>Renteaftrekbeperkingen in de vennootschapsbelasting</w:t>
      </w:r>
      <w:r w:rsidRPr="00EE14B7">
        <w:rPr>
          <w:sz w:val="20"/>
        </w:rPr>
        <w:t>’, Jeroen van Strien, 2006.</w:t>
      </w:r>
    </w:p>
    <w:p w:rsidR="00FE2E3C" w:rsidRDefault="00FE2E3C" w:rsidP="00EE14B7">
      <w:pPr>
        <w:pStyle w:val="Scriptienormaal"/>
        <w:spacing w:after="120" w:line="240" w:lineRule="auto"/>
        <w:rPr>
          <w:sz w:val="20"/>
        </w:rPr>
      </w:pPr>
      <w:r w:rsidRPr="00EE14B7">
        <w:rPr>
          <w:sz w:val="20"/>
        </w:rPr>
        <w:t xml:space="preserve">B.F. </w:t>
      </w:r>
      <w:proofErr w:type="spellStart"/>
      <w:r w:rsidRPr="00EE14B7">
        <w:rPr>
          <w:sz w:val="20"/>
        </w:rPr>
        <w:t>Schuver</w:t>
      </w:r>
      <w:proofErr w:type="spellEnd"/>
      <w:r w:rsidRPr="00EE14B7">
        <w:rPr>
          <w:sz w:val="20"/>
        </w:rPr>
        <w:t>, ‘</w:t>
      </w:r>
      <w:r w:rsidRPr="00EE14B7">
        <w:rPr>
          <w:i/>
          <w:iCs/>
          <w:sz w:val="20"/>
        </w:rPr>
        <w:t>Doorschuiffaciliteiten in de inkomstenbelasting’</w:t>
      </w:r>
      <w:r w:rsidRPr="00EE14B7">
        <w:rPr>
          <w:sz w:val="20"/>
        </w:rPr>
        <w:t xml:space="preserve"> (Fiscale Geschriften nr. 17), Amersfoort: </w:t>
      </w:r>
      <w:proofErr w:type="spellStart"/>
      <w:r w:rsidRPr="00EE14B7">
        <w:rPr>
          <w:sz w:val="20"/>
        </w:rPr>
        <w:t>Sdu</w:t>
      </w:r>
      <w:proofErr w:type="spellEnd"/>
      <w:r w:rsidRPr="00EE14B7">
        <w:rPr>
          <w:sz w:val="20"/>
        </w:rPr>
        <w:t xml:space="preserve"> 2005.</w:t>
      </w:r>
    </w:p>
    <w:p w:rsidR="00FE2E3C" w:rsidRPr="00EE14B7" w:rsidRDefault="00FE2E3C" w:rsidP="000C13E8">
      <w:pPr>
        <w:pStyle w:val="Scriptienormaal"/>
        <w:spacing w:after="120" w:line="240" w:lineRule="auto"/>
        <w:rPr>
          <w:sz w:val="20"/>
        </w:rPr>
      </w:pPr>
      <w:r w:rsidRPr="00EE14B7">
        <w:rPr>
          <w:sz w:val="20"/>
        </w:rPr>
        <w:t xml:space="preserve">S.J. Verver, </w:t>
      </w:r>
      <w:r w:rsidRPr="00EE14B7">
        <w:rPr>
          <w:i/>
          <w:sz w:val="20"/>
        </w:rPr>
        <w:t>‘De ondernemingswinstbelasting’</w:t>
      </w:r>
      <w:r w:rsidRPr="00EE14B7">
        <w:rPr>
          <w:sz w:val="20"/>
        </w:rPr>
        <w:t>, proefschrift UvA, Amsterdam, 2008.</w:t>
      </w:r>
    </w:p>
    <w:p w:rsidR="00FE2E3C" w:rsidRPr="000C13E8" w:rsidRDefault="00FE2E3C" w:rsidP="00940F57">
      <w:pPr>
        <w:pStyle w:val="Scriptie2"/>
      </w:pPr>
      <w:bookmarkStart w:id="88" w:name="_Toc299992827"/>
      <w:bookmarkStart w:id="89" w:name="_Toc299994338"/>
      <w:bookmarkStart w:id="90" w:name="_Toc300047861"/>
      <w:bookmarkStart w:id="91" w:name="_Toc300055037"/>
      <w:bookmarkStart w:id="92" w:name="_Toc300055464"/>
      <w:r w:rsidRPr="000C13E8">
        <w:t>Tijdschriften</w:t>
      </w:r>
      <w:bookmarkEnd w:id="88"/>
      <w:bookmarkEnd w:id="89"/>
      <w:bookmarkEnd w:id="90"/>
      <w:bookmarkEnd w:id="91"/>
      <w:bookmarkEnd w:id="92"/>
    </w:p>
    <w:p w:rsidR="00FE2E3C" w:rsidRPr="00D35780" w:rsidRDefault="00FE2E3C" w:rsidP="000C13E8">
      <w:pPr>
        <w:pStyle w:val="Scriptienormaal"/>
        <w:spacing w:after="120" w:line="240" w:lineRule="auto"/>
        <w:rPr>
          <w:sz w:val="20"/>
        </w:rPr>
      </w:pPr>
      <w:r w:rsidRPr="000C13E8">
        <w:rPr>
          <w:bCs/>
          <w:sz w:val="20"/>
        </w:rPr>
        <w:t xml:space="preserve">D.A. </w:t>
      </w:r>
      <w:proofErr w:type="spellStart"/>
      <w:r w:rsidRPr="000C13E8">
        <w:rPr>
          <w:bCs/>
          <w:sz w:val="20"/>
        </w:rPr>
        <w:t>Albregtse</w:t>
      </w:r>
      <w:proofErr w:type="spellEnd"/>
      <w:r w:rsidRPr="000C13E8">
        <w:rPr>
          <w:bCs/>
          <w:sz w:val="20"/>
        </w:rPr>
        <w:t xml:space="preserve"> en E.J. de Vries MSC </w:t>
      </w:r>
      <w:r w:rsidRPr="000C13E8">
        <w:rPr>
          <w:sz w:val="20"/>
        </w:rPr>
        <w:t xml:space="preserve">in </w:t>
      </w:r>
      <w:r w:rsidRPr="000C13E8">
        <w:rPr>
          <w:i/>
          <w:sz w:val="20"/>
        </w:rPr>
        <w:t>‘</w:t>
      </w:r>
      <w:r w:rsidRPr="000C13E8">
        <w:rPr>
          <w:bCs/>
          <w:i/>
          <w:sz w:val="20"/>
        </w:rPr>
        <w:t>Naar een meer rechtsvormneutrale belastingheffing over ondernemingswinsten: de winstbox</w:t>
      </w:r>
      <w:r w:rsidRPr="000C13E8">
        <w:rPr>
          <w:sz w:val="20"/>
        </w:rPr>
        <w:t xml:space="preserve"> </w:t>
      </w:r>
      <w:r w:rsidRPr="000C13E8">
        <w:rPr>
          <w:bCs/>
          <w:iCs/>
          <w:sz w:val="20"/>
        </w:rPr>
        <w:t>WFR</w:t>
      </w:r>
      <w:r w:rsidRPr="000C13E8">
        <w:rPr>
          <w:bCs/>
          <w:sz w:val="20"/>
        </w:rPr>
        <w:t xml:space="preserve"> 2009/381</w:t>
      </w:r>
      <w:r>
        <w:rPr>
          <w:bCs/>
          <w:sz w:val="20"/>
        </w:rPr>
        <w:t>.</w:t>
      </w:r>
    </w:p>
    <w:p w:rsidR="00FE2E3C" w:rsidRDefault="00FE2E3C" w:rsidP="00EE14B7">
      <w:pPr>
        <w:pStyle w:val="Scriptienormaal"/>
        <w:spacing w:after="120" w:line="240" w:lineRule="auto"/>
        <w:rPr>
          <w:bCs/>
          <w:sz w:val="20"/>
        </w:rPr>
      </w:pPr>
      <w:r w:rsidRPr="00D35780">
        <w:rPr>
          <w:sz w:val="20"/>
        </w:rPr>
        <w:t>J.A.G. van Es, ‘</w:t>
      </w:r>
      <w:r w:rsidRPr="00D35780">
        <w:rPr>
          <w:bCs/>
          <w:i/>
          <w:sz w:val="20"/>
        </w:rPr>
        <w:t>Afweging bv of eenmanszaak; tendens in de tijd’</w:t>
      </w:r>
      <w:r w:rsidRPr="00D35780">
        <w:rPr>
          <w:b/>
          <w:bCs/>
          <w:sz w:val="20"/>
        </w:rPr>
        <w:t xml:space="preserve"> </w:t>
      </w:r>
      <w:r w:rsidRPr="00D35780">
        <w:rPr>
          <w:bCs/>
          <w:i/>
          <w:iCs/>
          <w:sz w:val="20"/>
        </w:rPr>
        <w:t>TFO</w:t>
      </w:r>
      <w:r w:rsidRPr="00D35780">
        <w:rPr>
          <w:bCs/>
          <w:sz w:val="20"/>
        </w:rPr>
        <w:t xml:space="preserve"> 2007/94.</w:t>
      </w:r>
    </w:p>
    <w:p w:rsidR="00FE2E3C" w:rsidRDefault="00FE2E3C" w:rsidP="00EE14B7">
      <w:pPr>
        <w:pStyle w:val="Scriptienormaal"/>
        <w:spacing w:after="120" w:line="240" w:lineRule="auto"/>
        <w:rPr>
          <w:bCs/>
          <w:sz w:val="20"/>
        </w:rPr>
      </w:pPr>
      <w:r w:rsidRPr="008E4CE7">
        <w:rPr>
          <w:sz w:val="20"/>
        </w:rPr>
        <w:t xml:space="preserve">S.J. Mol-Verver in </w:t>
      </w:r>
      <w:r w:rsidRPr="008E4CE7">
        <w:rPr>
          <w:i/>
          <w:sz w:val="20"/>
        </w:rPr>
        <w:t>‘</w:t>
      </w:r>
      <w:r w:rsidRPr="008E4CE7">
        <w:rPr>
          <w:bCs/>
          <w:i/>
          <w:sz w:val="20"/>
        </w:rPr>
        <w:t>De winstbox een nuttige of noodzakelijke stap richting een ondernemingswinstbelasting’</w:t>
      </w:r>
      <w:r w:rsidRPr="008E4CE7">
        <w:rPr>
          <w:sz w:val="20"/>
        </w:rPr>
        <w:t xml:space="preserve"> </w:t>
      </w:r>
      <w:r w:rsidRPr="008E4CE7">
        <w:rPr>
          <w:bCs/>
          <w:iCs/>
          <w:sz w:val="20"/>
        </w:rPr>
        <w:t>WFR</w:t>
      </w:r>
      <w:r w:rsidRPr="008E4CE7">
        <w:rPr>
          <w:bCs/>
          <w:sz w:val="20"/>
        </w:rPr>
        <w:t xml:space="preserve"> 2009/625</w:t>
      </w:r>
      <w:r>
        <w:rPr>
          <w:bCs/>
          <w:sz w:val="20"/>
        </w:rPr>
        <w:t>.</w:t>
      </w:r>
    </w:p>
    <w:p w:rsidR="00FE2E3C" w:rsidRDefault="00FE2E3C" w:rsidP="000C13E8">
      <w:pPr>
        <w:pStyle w:val="Scriptienormaal"/>
        <w:spacing w:after="120" w:line="240" w:lineRule="auto"/>
        <w:rPr>
          <w:bCs/>
          <w:sz w:val="20"/>
        </w:rPr>
      </w:pPr>
      <w:r w:rsidRPr="000C13E8">
        <w:rPr>
          <w:sz w:val="20"/>
        </w:rPr>
        <w:t xml:space="preserve">P.A. Pronk in </w:t>
      </w:r>
      <w:r w:rsidR="004B3DF4">
        <w:rPr>
          <w:i/>
          <w:sz w:val="20"/>
        </w:rPr>
        <w:t>‘Waar ligt de eenvoud</w:t>
      </w:r>
      <w:r w:rsidRPr="000C13E8">
        <w:rPr>
          <w:bCs/>
          <w:i/>
          <w:sz w:val="20"/>
        </w:rPr>
        <w:t>’</w:t>
      </w:r>
      <w:r w:rsidRPr="000C13E8">
        <w:rPr>
          <w:sz w:val="20"/>
        </w:rPr>
        <w:t xml:space="preserve"> </w:t>
      </w:r>
      <w:r w:rsidRPr="000C13E8">
        <w:rPr>
          <w:bCs/>
          <w:iCs/>
          <w:sz w:val="20"/>
        </w:rPr>
        <w:t>WFR</w:t>
      </w:r>
      <w:r w:rsidRPr="000C13E8">
        <w:rPr>
          <w:bCs/>
          <w:sz w:val="20"/>
        </w:rPr>
        <w:t xml:space="preserve"> 2008/1605</w:t>
      </w:r>
      <w:r>
        <w:rPr>
          <w:bCs/>
          <w:sz w:val="20"/>
        </w:rPr>
        <w:t>.</w:t>
      </w:r>
    </w:p>
    <w:p w:rsidR="00FE2E3C" w:rsidRDefault="00FE2E3C" w:rsidP="00D35780">
      <w:pPr>
        <w:pStyle w:val="Scriptie2"/>
      </w:pPr>
      <w:bookmarkStart w:id="93" w:name="_Toc299992828"/>
      <w:bookmarkStart w:id="94" w:name="_Toc299994339"/>
      <w:bookmarkStart w:id="95" w:name="_Toc300047862"/>
      <w:bookmarkStart w:id="96" w:name="_Toc300055038"/>
      <w:bookmarkStart w:id="97" w:name="_Toc300055465"/>
      <w:r w:rsidRPr="00940F57">
        <w:t>Kamer</w:t>
      </w:r>
      <w:r>
        <w:t>-</w:t>
      </w:r>
      <w:r w:rsidRPr="00940F57">
        <w:t xml:space="preserve"> en beleids</w:t>
      </w:r>
      <w:r>
        <w:t>stukken</w:t>
      </w:r>
      <w:bookmarkEnd w:id="93"/>
      <w:bookmarkEnd w:id="94"/>
      <w:bookmarkEnd w:id="95"/>
      <w:bookmarkEnd w:id="96"/>
      <w:bookmarkEnd w:id="97"/>
    </w:p>
    <w:p w:rsidR="00FE2E3C" w:rsidRDefault="00FE2E3C" w:rsidP="000C13E8">
      <w:pPr>
        <w:pStyle w:val="Scriptienormaal"/>
        <w:spacing w:after="120" w:line="240" w:lineRule="auto"/>
        <w:rPr>
          <w:sz w:val="20"/>
        </w:rPr>
      </w:pPr>
      <w:r>
        <w:rPr>
          <w:sz w:val="20"/>
        </w:rPr>
        <w:t xml:space="preserve">Memorie van Toelichting, </w:t>
      </w:r>
      <w:r w:rsidRPr="008E4CE7">
        <w:rPr>
          <w:sz w:val="20"/>
        </w:rPr>
        <w:t>Kamerstukken II 1958/59, 5380, nr. 3</w:t>
      </w:r>
      <w:r>
        <w:rPr>
          <w:sz w:val="20"/>
        </w:rPr>
        <w:t>.</w:t>
      </w:r>
    </w:p>
    <w:p w:rsidR="00FE2E3C" w:rsidRDefault="00FE2E3C" w:rsidP="000C13E8">
      <w:pPr>
        <w:pStyle w:val="Scriptienormaal"/>
        <w:spacing w:after="120" w:line="240" w:lineRule="auto"/>
        <w:rPr>
          <w:sz w:val="20"/>
        </w:rPr>
      </w:pPr>
      <w:r>
        <w:rPr>
          <w:sz w:val="20"/>
        </w:rPr>
        <w:t>Memorie van T</w:t>
      </w:r>
      <w:r w:rsidRPr="008E4CE7">
        <w:rPr>
          <w:sz w:val="20"/>
        </w:rPr>
        <w:t>oelichting, Kamers</w:t>
      </w:r>
      <w:r>
        <w:rPr>
          <w:sz w:val="20"/>
        </w:rPr>
        <w:t>tukken II 1962/63, 5380, nr. 19.</w:t>
      </w:r>
    </w:p>
    <w:p w:rsidR="00FE2E3C" w:rsidRDefault="00FE2E3C" w:rsidP="000C13E8">
      <w:pPr>
        <w:pStyle w:val="Scriptienormaal"/>
        <w:spacing w:after="120" w:line="240" w:lineRule="auto"/>
        <w:rPr>
          <w:iCs/>
          <w:sz w:val="20"/>
        </w:rPr>
      </w:pPr>
      <w:r>
        <w:rPr>
          <w:iCs/>
          <w:sz w:val="20"/>
        </w:rPr>
        <w:t xml:space="preserve">Memorie </w:t>
      </w:r>
      <w:r w:rsidRPr="008E4CE7">
        <w:rPr>
          <w:iCs/>
          <w:sz w:val="20"/>
        </w:rPr>
        <w:t>van Antwoord, Kamers</w:t>
      </w:r>
      <w:r>
        <w:rPr>
          <w:iCs/>
          <w:sz w:val="20"/>
        </w:rPr>
        <w:t>tukken II 1962/63, 5380, nr. 19.</w:t>
      </w:r>
    </w:p>
    <w:p w:rsidR="00FE2E3C" w:rsidRDefault="00FE2E3C" w:rsidP="000C13E8">
      <w:pPr>
        <w:pStyle w:val="Scriptienormaal"/>
        <w:spacing w:after="120" w:line="240" w:lineRule="auto"/>
        <w:rPr>
          <w:iCs/>
          <w:sz w:val="20"/>
        </w:rPr>
      </w:pPr>
      <w:r w:rsidRPr="008E4CE7">
        <w:rPr>
          <w:iCs/>
          <w:sz w:val="20"/>
        </w:rPr>
        <w:t>Verslag van het mondeling overleg, Kamerst</w:t>
      </w:r>
      <w:r>
        <w:rPr>
          <w:iCs/>
          <w:sz w:val="20"/>
        </w:rPr>
        <w:t>ukken II 1963/64,  5380, nr. 33.</w:t>
      </w:r>
    </w:p>
    <w:p w:rsidR="00FE2E3C" w:rsidRDefault="00FE2E3C" w:rsidP="000C13E8">
      <w:pPr>
        <w:pStyle w:val="Scriptienormaal"/>
        <w:spacing w:after="120" w:line="240" w:lineRule="auto"/>
        <w:rPr>
          <w:sz w:val="20"/>
        </w:rPr>
      </w:pPr>
      <w:r w:rsidRPr="008E4CE7">
        <w:rPr>
          <w:sz w:val="20"/>
        </w:rPr>
        <w:t>Memorie van Toelichting, Kamerstukken II 1982/83, 17 859, nr. 3</w:t>
      </w:r>
      <w:r>
        <w:rPr>
          <w:sz w:val="20"/>
        </w:rPr>
        <w:t>.</w:t>
      </w:r>
    </w:p>
    <w:p w:rsidR="00FE2E3C" w:rsidRDefault="00FE2E3C" w:rsidP="000C13E8">
      <w:pPr>
        <w:pStyle w:val="Scriptienormaal"/>
        <w:spacing w:after="120" w:line="240" w:lineRule="auto"/>
        <w:rPr>
          <w:iCs/>
          <w:sz w:val="20"/>
        </w:rPr>
      </w:pPr>
      <w:r w:rsidRPr="00D35780">
        <w:rPr>
          <w:sz w:val="20"/>
        </w:rPr>
        <w:t>M</w:t>
      </w:r>
      <w:r>
        <w:rPr>
          <w:sz w:val="20"/>
        </w:rPr>
        <w:t xml:space="preserve">emorie </w:t>
      </w:r>
      <w:r w:rsidRPr="00D35780">
        <w:rPr>
          <w:sz w:val="20"/>
        </w:rPr>
        <w:t>v</w:t>
      </w:r>
      <w:r>
        <w:rPr>
          <w:sz w:val="20"/>
        </w:rPr>
        <w:t xml:space="preserve">an </w:t>
      </w:r>
      <w:r w:rsidRPr="00D35780">
        <w:rPr>
          <w:sz w:val="20"/>
        </w:rPr>
        <w:t>T</w:t>
      </w:r>
      <w:r>
        <w:rPr>
          <w:sz w:val="20"/>
        </w:rPr>
        <w:t>oelichting</w:t>
      </w:r>
      <w:r w:rsidRPr="00D35780">
        <w:rPr>
          <w:sz w:val="20"/>
        </w:rPr>
        <w:t>, Kamerstukken II</w:t>
      </w:r>
      <w:r>
        <w:rPr>
          <w:iCs/>
          <w:sz w:val="20"/>
        </w:rPr>
        <w:t xml:space="preserve"> 1995/96, </w:t>
      </w:r>
      <w:r w:rsidRPr="00D35780">
        <w:rPr>
          <w:iCs/>
          <w:sz w:val="20"/>
        </w:rPr>
        <w:t>24</w:t>
      </w:r>
      <w:r>
        <w:rPr>
          <w:iCs/>
          <w:sz w:val="20"/>
        </w:rPr>
        <w:t xml:space="preserve"> </w:t>
      </w:r>
      <w:r w:rsidRPr="00D35780">
        <w:rPr>
          <w:iCs/>
          <w:sz w:val="20"/>
        </w:rPr>
        <w:t>761, nr. 3</w:t>
      </w:r>
      <w:r>
        <w:rPr>
          <w:iCs/>
          <w:sz w:val="20"/>
        </w:rPr>
        <w:t>.</w:t>
      </w:r>
    </w:p>
    <w:p w:rsidR="00FE2E3C" w:rsidRDefault="00FE2E3C" w:rsidP="000C13E8">
      <w:pPr>
        <w:pStyle w:val="Scriptienormaal"/>
        <w:spacing w:after="120" w:line="240" w:lineRule="auto"/>
        <w:rPr>
          <w:iCs/>
          <w:sz w:val="20"/>
        </w:rPr>
      </w:pPr>
      <w:r w:rsidRPr="00EE14B7">
        <w:rPr>
          <w:iCs/>
          <w:sz w:val="20"/>
        </w:rPr>
        <w:t>Rapport ‘</w:t>
      </w:r>
      <w:r w:rsidRPr="00EE14B7">
        <w:rPr>
          <w:i/>
          <w:iCs/>
          <w:sz w:val="20"/>
        </w:rPr>
        <w:t>Duwtje in de rug</w:t>
      </w:r>
      <w:r w:rsidRPr="00EE14B7">
        <w:rPr>
          <w:iCs/>
          <w:sz w:val="20"/>
        </w:rPr>
        <w:t>’, werkgroep Oort II, AFP98/314M</w:t>
      </w:r>
      <w:r>
        <w:rPr>
          <w:iCs/>
          <w:sz w:val="20"/>
        </w:rPr>
        <w:t>.</w:t>
      </w:r>
    </w:p>
    <w:p w:rsidR="00FE2E3C" w:rsidRDefault="00FE2E3C" w:rsidP="00EE14B7">
      <w:pPr>
        <w:pStyle w:val="Scriptienormaal"/>
        <w:spacing w:after="120" w:line="240" w:lineRule="auto"/>
        <w:rPr>
          <w:iCs/>
          <w:sz w:val="20"/>
        </w:rPr>
      </w:pPr>
      <w:r w:rsidRPr="00D35780">
        <w:rPr>
          <w:sz w:val="20"/>
        </w:rPr>
        <w:t xml:space="preserve">Tweede Memorie van Toelichting, </w:t>
      </w:r>
      <w:r>
        <w:rPr>
          <w:iCs/>
          <w:sz w:val="20"/>
        </w:rPr>
        <w:t>Kamerstukken II 1999/</w:t>
      </w:r>
      <w:r w:rsidRPr="00D35780">
        <w:rPr>
          <w:iCs/>
          <w:sz w:val="20"/>
        </w:rPr>
        <w:t>00, 26 727, nr. 19.</w:t>
      </w:r>
    </w:p>
    <w:p w:rsidR="00FE2E3C" w:rsidRDefault="00FE2E3C" w:rsidP="000C13E8">
      <w:pPr>
        <w:pStyle w:val="Scriptienormaal"/>
        <w:spacing w:after="120" w:line="240" w:lineRule="auto"/>
        <w:rPr>
          <w:iCs/>
          <w:sz w:val="20"/>
        </w:rPr>
      </w:pPr>
      <w:r w:rsidRPr="008E4CE7">
        <w:rPr>
          <w:iCs/>
          <w:sz w:val="20"/>
        </w:rPr>
        <w:t>Memorie van Toel</w:t>
      </w:r>
      <w:r>
        <w:rPr>
          <w:iCs/>
          <w:sz w:val="20"/>
        </w:rPr>
        <w:t>ichting, Kamerstukken II 1999/</w:t>
      </w:r>
      <w:r w:rsidRPr="008E4CE7">
        <w:rPr>
          <w:iCs/>
          <w:sz w:val="20"/>
        </w:rPr>
        <w:t>00, 27 209, nr. 3</w:t>
      </w:r>
      <w:r>
        <w:rPr>
          <w:iCs/>
          <w:sz w:val="20"/>
        </w:rPr>
        <w:t>.</w:t>
      </w:r>
    </w:p>
    <w:p w:rsidR="00FE2E3C" w:rsidRDefault="00FE2E3C" w:rsidP="00CA09B5">
      <w:pPr>
        <w:pStyle w:val="Scriptienormaal"/>
        <w:spacing w:after="120" w:line="240" w:lineRule="auto"/>
        <w:rPr>
          <w:iCs/>
          <w:sz w:val="20"/>
        </w:rPr>
      </w:pPr>
      <w:r w:rsidRPr="008E4CE7">
        <w:rPr>
          <w:iCs/>
          <w:sz w:val="20"/>
        </w:rPr>
        <w:t>Nota n</w:t>
      </w:r>
      <w:r>
        <w:rPr>
          <w:iCs/>
          <w:sz w:val="20"/>
        </w:rPr>
        <w:t xml:space="preserve">aar </w:t>
      </w:r>
      <w:r w:rsidRPr="008E4CE7">
        <w:rPr>
          <w:iCs/>
          <w:sz w:val="20"/>
        </w:rPr>
        <w:t>a</w:t>
      </w:r>
      <w:r>
        <w:rPr>
          <w:iCs/>
          <w:sz w:val="20"/>
        </w:rPr>
        <w:t xml:space="preserve">anleiding </w:t>
      </w:r>
      <w:r w:rsidRPr="008E4CE7">
        <w:rPr>
          <w:iCs/>
          <w:sz w:val="20"/>
        </w:rPr>
        <w:t>v</w:t>
      </w:r>
      <w:r>
        <w:rPr>
          <w:iCs/>
          <w:sz w:val="20"/>
        </w:rPr>
        <w:t>an het</w:t>
      </w:r>
      <w:r w:rsidRPr="008E4CE7">
        <w:rPr>
          <w:iCs/>
          <w:sz w:val="20"/>
        </w:rPr>
        <w:t xml:space="preserve"> Verslag, Kamerstukken II 2000/01,  27</w:t>
      </w:r>
      <w:r>
        <w:rPr>
          <w:iCs/>
          <w:sz w:val="20"/>
        </w:rPr>
        <w:t xml:space="preserve"> </w:t>
      </w:r>
      <w:r w:rsidRPr="008E4CE7">
        <w:rPr>
          <w:iCs/>
          <w:sz w:val="20"/>
        </w:rPr>
        <w:t>209,  nr. 6</w:t>
      </w:r>
      <w:r>
        <w:rPr>
          <w:iCs/>
          <w:sz w:val="20"/>
        </w:rPr>
        <w:t>.</w:t>
      </w:r>
    </w:p>
    <w:p w:rsidR="00FE2E3C" w:rsidRDefault="00FE2E3C" w:rsidP="00CA09B5">
      <w:pPr>
        <w:pStyle w:val="Scriptienormaal"/>
        <w:spacing w:after="120" w:line="240" w:lineRule="auto"/>
        <w:rPr>
          <w:iCs/>
          <w:sz w:val="20"/>
        </w:rPr>
      </w:pPr>
      <w:r w:rsidRPr="008E4CE7">
        <w:rPr>
          <w:iCs/>
          <w:sz w:val="20"/>
        </w:rPr>
        <w:lastRenderedPageBreak/>
        <w:t>Besluit Staatssecretaris 24 mei 2004, BNB 2004/302, onderdeel B2.</w:t>
      </w:r>
    </w:p>
    <w:p w:rsidR="00FE2E3C" w:rsidRDefault="00FE2E3C" w:rsidP="00CA09B5">
      <w:pPr>
        <w:pStyle w:val="Scriptienormaal"/>
        <w:spacing w:after="120" w:line="240" w:lineRule="auto"/>
        <w:rPr>
          <w:sz w:val="20"/>
        </w:rPr>
      </w:pPr>
      <w:r w:rsidRPr="00D35780">
        <w:rPr>
          <w:sz w:val="20"/>
        </w:rPr>
        <w:t>M</w:t>
      </w:r>
      <w:r>
        <w:rPr>
          <w:sz w:val="20"/>
        </w:rPr>
        <w:t>emorie van Toelichting</w:t>
      </w:r>
      <w:r w:rsidRPr="00D35780">
        <w:rPr>
          <w:sz w:val="20"/>
        </w:rPr>
        <w:t>, Kamerstukken II 2005/06, 30 572, nr. 3</w:t>
      </w:r>
      <w:r>
        <w:rPr>
          <w:sz w:val="20"/>
        </w:rPr>
        <w:t>.</w:t>
      </w:r>
    </w:p>
    <w:p w:rsidR="00FE2E3C" w:rsidRDefault="00FE2E3C" w:rsidP="00EE14B7">
      <w:pPr>
        <w:pStyle w:val="Scriptienormaal"/>
        <w:spacing w:after="120" w:line="240" w:lineRule="auto"/>
        <w:rPr>
          <w:sz w:val="20"/>
        </w:rPr>
      </w:pPr>
      <w:r w:rsidRPr="00D35780">
        <w:rPr>
          <w:sz w:val="20"/>
        </w:rPr>
        <w:t>Advies en nader rapport, Kamerstukken II 2005/06, 30 572, nr. 4.</w:t>
      </w:r>
    </w:p>
    <w:p w:rsidR="00FE2E3C" w:rsidRDefault="00FE2E3C" w:rsidP="00EE14B7">
      <w:pPr>
        <w:pStyle w:val="Scriptienormaal"/>
        <w:spacing w:after="120" w:line="240" w:lineRule="auto"/>
        <w:rPr>
          <w:sz w:val="20"/>
        </w:rPr>
      </w:pPr>
      <w:r w:rsidRPr="00D35780">
        <w:rPr>
          <w:sz w:val="20"/>
        </w:rPr>
        <w:t>Brief van de minister van Financiën, Ka</w:t>
      </w:r>
      <w:r>
        <w:rPr>
          <w:sz w:val="20"/>
        </w:rPr>
        <w:t>merstukken I 2006/07, 30 572, E.</w:t>
      </w:r>
    </w:p>
    <w:p w:rsidR="00FE2E3C" w:rsidRDefault="00FE2E3C" w:rsidP="00CA09B5">
      <w:pPr>
        <w:pStyle w:val="Scriptienormaal"/>
        <w:spacing w:after="120" w:line="240" w:lineRule="auto"/>
        <w:rPr>
          <w:iCs/>
          <w:sz w:val="20"/>
        </w:rPr>
      </w:pPr>
      <w:r w:rsidRPr="008E4CE7">
        <w:rPr>
          <w:iCs/>
          <w:sz w:val="20"/>
        </w:rPr>
        <w:t>Besluit Staatssecretaris 18 juli 2008, nr. CPP2008/163M, BNB 2008/235.</w:t>
      </w:r>
    </w:p>
    <w:p w:rsidR="00FE2E3C" w:rsidRDefault="00FE2E3C" w:rsidP="00CA09B5">
      <w:pPr>
        <w:pStyle w:val="Scriptienormaal"/>
        <w:spacing w:after="120" w:line="240" w:lineRule="auto"/>
        <w:rPr>
          <w:iCs/>
          <w:sz w:val="20"/>
        </w:rPr>
      </w:pPr>
      <w:r w:rsidRPr="000C13E8">
        <w:rPr>
          <w:iCs/>
          <w:sz w:val="20"/>
        </w:rPr>
        <w:t>Nota n.a.v. verslag, Kamerstukken II 2008/09,  31 930, nr. 9</w:t>
      </w:r>
      <w:r>
        <w:rPr>
          <w:iCs/>
          <w:sz w:val="20"/>
        </w:rPr>
        <w:t>.</w:t>
      </w:r>
    </w:p>
    <w:p w:rsidR="00FE2E3C" w:rsidRDefault="00FE2E3C" w:rsidP="00EE14B7">
      <w:pPr>
        <w:pStyle w:val="Scriptienormaal"/>
        <w:spacing w:after="120" w:line="240" w:lineRule="auto"/>
        <w:rPr>
          <w:sz w:val="20"/>
        </w:rPr>
      </w:pPr>
      <w:r w:rsidRPr="008E4CE7">
        <w:rPr>
          <w:sz w:val="20"/>
        </w:rPr>
        <w:t>Memorie van Toelichting, Kamerstukken II 2009/10, 32 129, nr. 3</w:t>
      </w:r>
      <w:r>
        <w:rPr>
          <w:sz w:val="20"/>
        </w:rPr>
        <w:t>.</w:t>
      </w:r>
    </w:p>
    <w:p w:rsidR="00FE2E3C" w:rsidRDefault="00FE2E3C" w:rsidP="00EE14B7">
      <w:pPr>
        <w:pStyle w:val="Scriptienormaal"/>
        <w:spacing w:after="120" w:line="240" w:lineRule="auto"/>
        <w:rPr>
          <w:iCs/>
          <w:sz w:val="20"/>
        </w:rPr>
      </w:pPr>
      <w:r>
        <w:rPr>
          <w:iCs/>
          <w:sz w:val="20"/>
        </w:rPr>
        <w:t>Nota naar aanleiding van het V</w:t>
      </w:r>
      <w:r w:rsidRPr="00EE14B7">
        <w:rPr>
          <w:iCs/>
          <w:sz w:val="20"/>
        </w:rPr>
        <w:t xml:space="preserve">erslag, Kamerstukken II 2009/10, 32 129, </w:t>
      </w:r>
      <w:r>
        <w:rPr>
          <w:iCs/>
          <w:sz w:val="20"/>
        </w:rPr>
        <w:t>nr.</w:t>
      </w:r>
      <w:r w:rsidRPr="00EE14B7">
        <w:rPr>
          <w:iCs/>
          <w:sz w:val="20"/>
        </w:rPr>
        <w:t xml:space="preserve"> 8</w:t>
      </w:r>
      <w:r>
        <w:rPr>
          <w:iCs/>
          <w:sz w:val="20"/>
        </w:rPr>
        <w:t>.</w:t>
      </w:r>
    </w:p>
    <w:p w:rsidR="00FE2E3C" w:rsidRDefault="00FE2E3C" w:rsidP="00CA09B5">
      <w:pPr>
        <w:pStyle w:val="Scriptienormaal"/>
        <w:spacing w:after="120" w:line="240" w:lineRule="auto"/>
        <w:rPr>
          <w:iCs/>
          <w:sz w:val="20"/>
        </w:rPr>
      </w:pPr>
      <w:r w:rsidRPr="00EE14B7">
        <w:rPr>
          <w:iCs/>
          <w:sz w:val="20"/>
        </w:rPr>
        <w:t>Nota n.a.v. Verslag</w:t>
      </w:r>
      <w:r>
        <w:rPr>
          <w:iCs/>
          <w:sz w:val="20"/>
        </w:rPr>
        <w:t>, Kamerstukken II 2009/10, 32 129, nr. 9.</w:t>
      </w:r>
    </w:p>
    <w:p w:rsidR="00FE2E3C" w:rsidRDefault="00FE2E3C" w:rsidP="00CA09B5">
      <w:pPr>
        <w:pStyle w:val="Scriptienormaal"/>
        <w:spacing w:after="120" w:line="240" w:lineRule="auto"/>
        <w:rPr>
          <w:iCs/>
          <w:sz w:val="20"/>
        </w:rPr>
      </w:pPr>
      <w:r w:rsidRPr="00EE14B7">
        <w:rPr>
          <w:iCs/>
          <w:sz w:val="20"/>
        </w:rPr>
        <w:t>Derde Nota van Wijziging, Kamerstukken II</w:t>
      </w:r>
      <w:r>
        <w:rPr>
          <w:iCs/>
          <w:sz w:val="20"/>
        </w:rPr>
        <w:t xml:space="preserve"> 2009/10</w:t>
      </w:r>
      <w:r w:rsidRPr="00EE14B7">
        <w:rPr>
          <w:iCs/>
          <w:sz w:val="20"/>
        </w:rPr>
        <w:t>, 32</w:t>
      </w:r>
      <w:r>
        <w:rPr>
          <w:iCs/>
          <w:sz w:val="20"/>
        </w:rPr>
        <w:t xml:space="preserve"> </w:t>
      </w:r>
      <w:r w:rsidRPr="00EE14B7">
        <w:rPr>
          <w:iCs/>
          <w:sz w:val="20"/>
        </w:rPr>
        <w:t>129, nr. 14</w:t>
      </w:r>
      <w:r>
        <w:rPr>
          <w:iCs/>
          <w:sz w:val="20"/>
        </w:rPr>
        <w:t>.</w:t>
      </w:r>
    </w:p>
    <w:p w:rsidR="00FE2E3C" w:rsidRDefault="00FE2E3C" w:rsidP="00EE14B7">
      <w:pPr>
        <w:pStyle w:val="Scriptienormaal"/>
        <w:spacing w:after="120" w:line="240" w:lineRule="auto"/>
        <w:rPr>
          <w:iCs/>
          <w:sz w:val="20"/>
        </w:rPr>
      </w:pPr>
      <w:r w:rsidRPr="008E4CE7">
        <w:rPr>
          <w:iCs/>
          <w:sz w:val="20"/>
        </w:rPr>
        <w:t>Memorie van antwoord, Kamerstukken I 2009/10, 32 128, nr. E</w:t>
      </w:r>
      <w:r>
        <w:rPr>
          <w:iCs/>
          <w:sz w:val="20"/>
        </w:rPr>
        <w:t>.</w:t>
      </w:r>
    </w:p>
    <w:p w:rsidR="00FE2E3C" w:rsidRPr="008E4CE7" w:rsidRDefault="00FE2E3C" w:rsidP="008E4CE7">
      <w:pPr>
        <w:pStyle w:val="Scriptie2"/>
      </w:pPr>
      <w:bookmarkStart w:id="98" w:name="_Toc299992829"/>
      <w:bookmarkStart w:id="99" w:name="_Toc299994340"/>
      <w:bookmarkStart w:id="100" w:name="_Toc300047863"/>
      <w:bookmarkStart w:id="101" w:name="_Toc300055039"/>
      <w:bookmarkStart w:id="102" w:name="_Toc300055466"/>
      <w:r w:rsidRPr="008E4CE7">
        <w:t>Jurisprudentie</w:t>
      </w:r>
      <w:bookmarkEnd w:id="98"/>
      <w:bookmarkEnd w:id="99"/>
      <w:bookmarkEnd w:id="100"/>
      <w:bookmarkEnd w:id="101"/>
      <w:bookmarkEnd w:id="102"/>
    </w:p>
    <w:p w:rsidR="00FE2E3C" w:rsidRDefault="00FE2E3C" w:rsidP="00EE14B7">
      <w:pPr>
        <w:pStyle w:val="Scriptienormaal"/>
        <w:spacing w:after="120" w:line="240" w:lineRule="auto"/>
        <w:rPr>
          <w:sz w:val="20"/>
        </w:rPr>
      </w:pPr>
      <w:r w:rsidRPr="008E4CE7">
        <w:rPr>
          <w:sz w:val="20"/>
        </w:rPr>
        <w:t>Rechtbank Breda, 6 -12-2006, V-N 2007/36.1.</w:t>
      </w:r>
    </w:p>
    <w:p w:rsidR="00FE2E3C" w:rsidRPr="008E4CE7" w:rsidRDefault="00FE2E3C" w:rsidP="00CA09B5">
      <w:pPr>
        <w:pStyle w:val="Scriptienormaal"/>
        <w:spacing w:after="120" w:line="240" w:lineRule="auto"/>
        <w:rPr>
          <w:sz w:val="20"/>
        </w:rPr>
      </w:pPr>
      <w:r w:rsidRPr="008E4CE7">
        <w:rPr>
          <w:sz w:val="20"/>
        </w:rPr>
        <w:t>Hoge Raad,  5 januari 2007, nr. 42 683, BNB 2007/139.</w:t>
      </w:r>
    </w:p>
    <w:p w:rsidR="00FE2E3C" w:rsidRPr="000C13E8" w:rsidRDefault="00FE2E3C" w:rsidP="00EE14B7">
      <w:pPr>
        <w:pStyle w:val="Scriptienormaal"/>
        <w:spacing w:after="120" w:line="240" w:lineRule="auto"/>
        <w:rPr>
          <w:sz w:val="20"/>
        </w:rPr>
      </w:pPr>
      <w:r w:rsidRPr="008E4CE7">
        <w:rPr>
          <w:iCs/>
          <w:sz w:val="20"/>
        </w:rPr>
        <w:t>Hoge Raad, 20 februari 2009, nr</w:t>
      </w:r>
      <w:r w:rsidRPr="000C13E8">
        <w:rPr>
          <w:iCs/>
          <w:sz w:val="20"/>
        </w:rPr>
        <w:t xml:space="preserve">. 10 313, </w:t>
      </w:r>
      <w:hyperlink r:id="rId9" w:history="1">
        <w:r w:rsidRPr="000C13E8">
          <w:rPr>
            <w:rStyle w:val="Hyperlink"/>
            <w:iCs/>
            <w:color w:val="auto"/>
            <w:sz w:val="20"/>
            <w:u w:val="none"/>
          </w:rPr>
          <w:t>BNB 2009/117</w:t>
        </w:r>
      </w:hyperlink>
      <w:r w:rsidRPr="000C13E8">
        <w:rPr>
          <w:sz w:val="20"/>
        </w:rPr>
        <w:t>.</w:t>
      </w:r>
    </w:p>
    <w:p w:rsidR="00FE2E3C" w:rsidRDefault="00FE2E3C" w:rsidP="00D35780">
      <w:pPr>
        <w:pStyle w:val="Scriptie2"/>
      </w:pPr>
      <w:bookmarkStart w:id="103" w:name="_Toc299992830"/>
      <w:bookmarkStart w:id="104" w:name="_Toc299994341"/>
      <w:bookmarkStart w:id="105" w:name="_Toc300047864"/>
      <w:bookmarkStart w:id="106" w:name="_Toc300055040"/>
      <w:bookmarkStart w:id="107" w:name="_Toc300055467"/>
      <w:r>
        <w:t>Online geraadpleegd</w:t>
      </w:r>
      <w:bookmarkEnd w:id="103"/>
      <w:bookmarkEnd w:id="104"/>
      <w:bookmarkEnd w:id="105"/>
      <w:bookmarkEnd w:id="106"/>
      <w:bookmarkEnd w:id="107"/>
    </w:p>
    <w:p w:rsidR="00FE2E3C" w:rsidRDefault="00FE2E3C" w:rsidP="00CA09B5">
      <w:pPr>
        <w:pStyle w:val="Scriptienormaal"/>
        <w:spacing w:after="120" w:line="240" w:lineRule="auto"/>
        <w:rPr>
          <w:sz w:val="20"/>
        </w:rPr>
      </w:pPr>
      <w:r w:rsidRPr="008E4CE7">
        <w:rPr>
          <w:sz w:val="20"/>
        </w:rPr>
        <w:t>Cursus Belastingrecht, IB.3.2.2.Aa Algemeen</w:t>
      </w:r>
      <w:r>
        <w:rPr>
          <w:sz w:val="20"/>
        </w:rPr>
        <w:t>.</w:t>
      </w:r>
    </w:p>
    <w:p w:rsidR="00FE2E3C" w:rsidRDefault="00FE2E3C" w:rsidP="00CA09B5">
      <w:pPr>
        <w:pStyle w:val="Scriptienormaal"/>
        <w:spacing w:after="120" w:line="240" w:lineRule="auto"/>
        <w:rPr>
          <w:sz w:val="20"/>
        </w:rPr>
      </w:pPr>
      <w:r w:rsidRPr="008E4CE7">
        <w:rPr>
          <w:sz w:val="20"/>
        </w:rPr>
        <w:t xml:space="preserve">Artikelsgewijs commentaar </w:t>
      </w:r>
      <w:r w:rsidRPr="00EE14B7">
        <w:rPr>
          <w:sz w:val="20"/>
        </w:rPr>
        <w:t>Vakstudie, commentaar bij artikel 3.8, Wet IB 2001</w:t>
      </w:r>
      <w:r>
        <w:rPr>
          <w:sz w:val="20"/>
        </w:rPr>
        <w:t>.</w:t>
      </w:r>
    </w:p>
    <w:p w:rsidR="00FE2E3C" w:rsidRDefault="00FE2E3C" w:rsidP="00CA09B5">
      <w:pPr>
        <w:pStyle w:val="Scriptienormaal"/>
        <w:spacing w:after="120" w:line="240" w:lineRule="auto"/>
        <w:rPr>
          <w:sz w:val="20"/>
        </w:rPr>
      </w:pPr>
      <w:r w:rsidRPr="008E4CE7">
        <w:rPr>
          <w:sz w:val="20"/>
        </w:rPr>
        <w:t>Artikelsgewijs commentaar Vakstudie, commentaar bij artikel 3.54a, Wet IB 2001</w:t>
      </w:r>
      <w:r w:rsidR="00A223C1">
        <w:rPr>
          <w:sz w:val="20"/>
        </w:rPr>
        <w:t>.</w:t>
      </w:r>
    </w:p>
    <w:p w:rsidR="00FE2E3C" w:rsidRDefault="00FE2E3C" w:rsidP="00CA09B5">
      <w:pPr>
        <w:pStyle w:val="Scriptienormaal"/>
        <w:spacing w:after="120" w:line="240" w:lineRule="auto"/>
        <w:rPr>
          <w:sz w:val="20"/>
        </w:rPr>
      </w:pPr>
      <w:r w:rsidRPr="008E4CE7">
        <w:rPr>
          <w:sz w:val="20"/>
        </w:rPr>
        <w:t>Artikelsgewijs commentaar Vakstudie, commentaar bij artikel 3.63, Wet IB 2001</w:t>
      </w:r>
      <w:r w:rsidR="00A223C1">
        <w:rPr>
          <w:sz w:val="20"/>
        </w:rPr>
        <w:t>.</w:t>
      </w:r>
    </w:p>
    <w:p w:rsidR="00FE2E3C" w:rsidRDefault="00FE2E3C" w:rsidP="00CA09B5">
      <w:pPr>
        <w:pStyle w:val="Scriptienormaal"/>
        <w:spacing w:after="120" w:line="240" w:lineRule="auto"/>
        <w:rPr>
          <w:sz w:val="20"/>
        </w:rPr>
      </w:pPr>
      <w:r>
        <w:rPr>
          <w:sz w:val="20"/>
        </w:rPr>
        <w:t>A</w:t>
      </w:r>
      <w:r w:rsidRPr="00EE14B7">
        <w:rPr>
          <w:sz w:val="20"/>
        </w:rPr>
        <w:t>rtikelsgewi</w:t>
      </w:r>
      <w:r>
        <w:rPr>
          <w:sz w:val="20"/>
        </w:rPr>
        <w:t xml:space="preserve">js commentaar </w:t>
      </w:r>
      <w:r w:rsidRPr="008E4CE7">
        <w:rPr>
          <w:sz w:val="20"/>
        </w:rPr>
        <w:t xml:space="preserve">Vakstudie, commentaar bij artikel </w:t>
      </w:r>
      <w:r>
        <w:rPr>
          <w:sz w:val="20"/>
        </w:rPr>
        <w:t>3.65, Wet IB 2001.</w:t>
      </w:r>
    </w:p>
    <w:p w:rsidR="00FE2E3C" w:rsidRDefault="00FE2E3C" w:rsidP="00EE14B7">
      <w:pPr>
        <w:pStyle w:val="Scriptienormaal"/>
        <w:spacing w:after="120" w:line="240" w:lineRule="auto"/>
        <w:rPr>
          <w:sz w:val="20"/>
        </w:rPr>
      </w:pPr>
      <w:r w:rsidRPr="008E4CE7">
        <w:rPr>
          <w:sz w:val="20"/>
        </w:rPr>
        <w:t xml:space="preserve">Artikelsgewijs commentaar </w:t>
      </w:r>
      <w:r w:rsidRPr="00D35780">
        <w:rPr>
          <w:sz w:val="20"/>
        </w:rPr>
        <w:t>Vakstudie, commentaar bij artikel 3.79a, Wet IB 2001</w:t>
      </w:r>
      <w:r>
        <w:rPr>
          <w:sz w:val="20"/>
        </w:rPr>
        <w:t>.</w:t>
      </w:r>
    </w:p>
    <w:p w:rsidR="00FE2E3C" w:rsidRPr="00D35780" w:rsidRDefault="00FE2E3C" w:rsidP="000C13E8">
      <w:pPr>
        <w:pStyle w:val="Scriptienormaal"/>
        <w:spacing w:after="120" w:line="240" w:lineRule="auto"/>
        <w:rPr>
          <w:sz w:val="20"/>
        </w:rPr>
      </w:pPr>
      <w:r w:rsidRPr="000C13E8">
        <w:rPr>
          <w:sz w:val="20"/>
        </w:rPr>
        <w:t>Vakstudienieuws 2011/22, §2.4</w:t>
      </w:r>
      <w:r>
        <w:rPr>
          <w:sz w:val="20"/>
        </w:rPr>
        <w:t>.</w:t>
      </w:r>
    </w:p>
    <w:p w:rsidR="00FE2E3C" w:rsidRPr="00C8620B" w:rsidRDefault="00FE2E3C" w:rsidP="00387DE7">
      <w:pPr>
        <w:pStyle w:val="Scriptienormaal"/>
      </w:pPr>
    </w:p>
    <w:sectPr w:rsidR="00FE2E3C" w:rsidRPr="00C8620B" w:rsidSect="00613F35">
      <w:footerReference w:type="default" r:id="rId10"/>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503A" w:rsidRDefault="00C8503A" w:rsidP="00831131">
      <w:r>
        <w:separator/>
      </w:r>
    </w:p>
  </w:endnote>
  <w:endnote w:type="continuationSeparator" w:id="0">
    <w:p w:rsidR="00C8503A" w:rsidRDefault="00C8503A" w:rsidP="00831131">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Trebuchet MS Vet">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519A" w:rsidRDefault="004B519A">
    <w:pPr>
      <w:pStyle w:val="Voettekst"/>
      <w:jc w:val="right"/>
    </w:pPr>
    <w:fldSimple w:instr=" PAGE   \* MERGEFORMAT ">
      <w:r w:rsidR="00C4774A">
        <w:rPr>
          <w:noProof/>
        </w:rPr>
        <w:t>1</w:t>
      </w:r>
    </w:fldSimple>
  </w:p>
  <w:p w:rsidR="004B519A" w:rsidRDefault="004B519A">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503A" w:rsidRDefault="00C8503A" w:rsidP="00831131">
      <w:r>
        <w:separator/>
      </w:r>
    </w:p>
  </w:footnote>
  <w:footnote w:type="continuationSeparator" w:id="0">
    <w:p w:rsidR="00C8503A" w:rsidRDefault="00C8503A" w:rsidP="00831131">
      <w:r>
        <w:continuationSeparator/>
      </w:r>
    </w:p>
  </w:footnote>
  <w:footnote w:id="1">
    <w:p w:rsidR="004B519A" w:rsidRPr="00E057BA" w:rsidRDefault="004B519A">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Zie hiervoor onder andere E.J.W. Heithuis, </w:t>
      </w:r>
      <w:r w:rsidRPr="00E2733B">
        <w:rPr>
          <w:rFonts w:ascii="Times New Roman" w:hAnsi="Times New Roman"/>
          <w:i/>
          <w:lang w:val="nl-NL"/>
        </w:rPr>
        <w:t>‘Zonder aanziens des (rechts)persoons’</w:t>
      </w:r>
      <w:r w:rsidRPr="00E2733B">
        <w:rPr>
          <w:rFonts w:ascii="Times New Roman" w:hAnsi="Times New Roman"/>
          <w:lang w:val="nl-NL"/>
        </w:rPr>
        <w:t xml:space="preserve">, 2005, Kluwer, Deventer, blz. 5 en H.M.N. Schonis, </w:t>
      </w:r>
      <w:r w:rsidRPr="00E2733B">
        <w:rPr>
          <w:rFonts w:ascii="Times New Roman" w:hAnsi="Times New Roman"/>
          <w:i/>
          <w:lang w:val="nl-NL"/>
        </w:rPr>
        <w:t>‘Rapport en bespreking van het rapport Samenwerkingsverbanden en ondernemingswinst’</w:t>
      </w:r>
      <w:r w:rsidRPr="00E2733B">
        <w:rPr>
          <w:rFonts w:ascii="Times New Roman" w:hAnsi="Times New Roman"/>
          <w:lang w:val="nl-NL"/>
        </w:rPr>
        <w:t>, Kluwer, Deventer, 2004, blz. 111-112.</w:t>
      </w:r>
    </w:p>
  </w:footnote>
  <w:footnote w:id="2">
    <w:p w:rsidR="004B519A" w:rsidRPr="00E057BA" w:rsidRDefault="004B519A" w:rsidP="007D6527">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Deze subjectieve belastingplicht voor de inkomstenbelasting vloeit voort uit artikel 3.2, Wet IB 2001.</w:t>
      </w:r>
    </w:p>
  </w:footnote>
  <w:footnote w:id="3">
    <w:p w:rsidR="004B519A" w:rsidRPr="00E057BA" w:rsidRDefault="004B519A" w:rsidP="007D6527">
      <w:pPr>
        <w:pStyle w:val="Scriptievoetnoot"/>
        <w:rPr>
          <w:lang w:val="nl-NL"/>
        </w:rPr>
      </w:pPr>
      <w:r w:rsidRPr="00E2733B">
        <w:rPr>
          <w:rStyle w:val="Voetnootmarkering"/>
          <w:vertAlign w:val="baseline"/>
          <w:lang w:val="nl-NL"/>
        </w:rPr>
        <w:footnoteRef/>
      </w:r>
      <w:r w:rsidRPr="00E2733B">
        <w:rPr>
          <w:lang w:val="nl-NL"/>
        </w:rPr>
        <w:t xml:space="preserve"> Hier kan ook gedacht worden aan bijvoorbeeld een stichting of een coöperatie welke, al dan niet gedeeltelijk, belastingplichtig zijn voor de vennootschapsbelasting.</w:t>
      </w:r>
    </w:p>
  </w:footnote>
  <w:footnote w:id="4">
    <w:p w:rsidR="004B519A" w:rsidRPr="00E057BA" w:rsidRDefault="004B519A" w:rsidP="00FA6C6E">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Op dit moment ligt de invoeringswet Titel 7.13 BW ter beoordeling in de Eerste Kamer. Indien deze wet wordt ingevoerd, dan zal het ook voor personenvennootschappen mogelijk zijn om rechtspersoonlijkheid te bezitten.</w:t>
      </w:r>
    </w:p>
  </w:footnote>
  <w:footnote w:id="5">
    <w:p w:rsidR="004B519A" w:rsidRPr="00E057BA" w:rsidRDefault="004B519A" w:rsidP="007D6527">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De subjectieve belastingplicht voor de vennootschapsbelasting wordt bepaald in artikel 2, Wet VPB 1969.</w:t>
      </w:r>
    </w:p>
  </w:footnote>
  <w:footnote w:id="6">
    <w:p w:rsidR="004B519A" w:rsidRPr="00E057BA" w:rsidRDefault="004B519A" w:rsidP="002D094E">
      <w:pPr>
        <w:pStyle w:val="Voetnoottekst"/>
        <w:rPr>
          <w:lang w:val="nl-NL"/>
        </w:rPr>
      </w:pPr>
      <w:r w:rsidRPr="00E2733B">
        <w:rPr>
          <w:rStyle w:val="Voetnootmarkering"/>
          <w:rFonts w:ascii="Times New Roman" w:hAnsi="Times New Roman"/>
          <w:lang w:val="nl-NL"/>
        </w:rPr>
        <w:footnoteRef/>
      </w:r>
      <w:r>
        <w:rPr>
          <w:rFonts w:ascii="Times New Roman" w:hAnsi="Times New Roman"/>
          <w:lang w:val="nl-NL"/>
        </w:rPr>
        <w:t xml:space="preserve"> De bepalingen inzake de totaalwinst en jaarwinst komen</w:t>
      </w:r>
      <w:r w:rsidRPr="00E2733B">
        <w:rPr>
          <w:rFonts w:ascii="Times New Roman" w:hAnsi="Times New Roman"/>
          <w:lang w:val="nl-NL"/>
        </w:rPr>
        <w:t xml:space="preserve"> voort uit artikel 3.8 respectievelijk 3.25, Wet IB 2001.</w:t>
      </w:r>
    </w:p>
  </w:footnote>
  <w:footnote w:id="7">
    <w:p w:rsidR="004B519A" w:rsidRPr="00E057BA" w:rsidRDefault="004B519A">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Voor een overzicht van de tariefschijven verwijs ik naar de artikelen 2.10 en 2.10a, Wet IB 2001.</w:t>
      </w:r>
    </w:p>
  </w:footnote>
  <w:footnote w:id="8">
    <w:p w:rsidR="004B519A" w:rsidRPr="00E057BA" w:rsidRDefault="004B519A" w:rsidP="003871B8">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Artikel 8, Wet VPB 1969 verwijst voor de winstbepaling naar verschillende artikelen in de Wet IB 2001.</w:t>
      </w:r>
    </w:p>
  </w:footnote>
  <w:footnote w:id="9">
    <w:p w:rsidR="004B519A" w:rsidRPr="00E057BA" w:rsidRDefault="004B519A">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Zie artikel 2.12, Wet IB 2001.</w:t>
      </w:r>
    </w:p>
  </w:footnote>
  <w:footnote w:id="10">
    <w:p w:rsidR="004B519A" w:rsidRPr="00E057BA" w:rsidRDefault="004B519A">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Tweede </w:t>
      </w:r>
      <w:r>
        <w:rPr>
          <w:rFonts w:ascii="Times New Roman" w:hAnsi="Times New Roman"/>
          <w:lang w:val="nl-NL"/>
        </w:rPr>
        <w:t>M</w:t>
      </w:r>
      <w:r w:rsidRPr="00E2733B">
        <w:rPr>
          <w:rFonts w:ascii="Times New Roman" w:hAnsi="Times New Roman"/>
          <w:lang w:val="nl-NL"/>
        </w:rPr>
        <w:t>v</w:t>
      </w:r>
      <w:r>
        <w:rPr>
          <w:rFonts w:ascii="Times New Roman" w:hAnsi="Times New Roman"/>
          <w:lang w:val="nl-NL"/>
        </w:rPr>
        <w:t>T</w:t>
      </w:r>
      <w:r w:rsidRPr="00E2733B">
        <w:rPr>
          <w:rFonts w:ascii="Times New Roman" w:hAnsi="Times New Roman"/>
          <w:lang w:val="nl-NL"/>
        </w:rPr>
        <w:t xml:space="preserve">, </w:t>
      </w:r>
      <w:r>
        <w:rPr>
          <w:rFonts w:ascii="Times New Roman" w:hAnsi="Times New Roman"/>
          <w:iCs/>
          <w:lang w:val="nl-NL"/>
        </w:rPr>
        <w:t xml:space="preserve">Kamerstukken II 1999/00, 26 </w:t>
      </w:r>
      <w:r w:rsidRPr="00E2733B">
        <w:rPr>
          <w:rFonts w:ascii="Times New Roman" w:hAnsi="Times New Roman"/>
          <w:iCs/>
          <w:lang w:val="nl-NL"/>
        </w:rPr>
        <w:t>727, nr. 19, blz. 23 en 28. Commentaar VS IB 2001, art. 2.12 (online geraadpleegd).</w:t>
      </w:r>
    </w:p>
  </w:footnote>
  <w:footnote w:id="11">
    <w:p w:rsidR="004B519A" w:rsidRPr="00E057BA" w:rsidRDefault="004B519A">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F.H.M. Grapperhaus wordt als grondlegger van de leer van het globale evenwicht gezien. Zie hiervoor </w:t>
      </w:r>
      <w:r w:rsidRPr="00E2733B">
        <w:rPr>
          <w:rFonts w:ascii="Times New Roman" w:hAnsi="Times New Roman"/>
          <w:i/>
          <w:lang w:val="nl-NL"/>
        </w:rPr>
        <w:t>‘De besloten NV fiscaal vergeleken met de persoonlijke ondernemer en met de open BV’</w:t>
      </w:r>
      <w:r w:rsidRPr="00E2733B">
        <w:rPr>
          <w:rFonts w:ascii="Times New Roman" w:hAnsi="Times New Roman"/>
          <w:lang w:val="nl-NL"/>
        </w:rPr>
        <w:t>, FED, Amsterdam, 1967.</w:t>
      </w:r>
    </w:p>
  </w:footnote>
  <w:footnote w:id="12">
    <w:p w:rsidR="004B519A" w:rsidRPr="00E057BA" w:rsidRDefault="004B519A">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Zie Vakstudie, commentaar bij artikel 3.79a, Wet IB 2001, §1.2.1 (online geraadpleegd).</w:t>
      </w:r>
    </w:p>
  </w:footnote>
  <w:footnote w:id="13">
    <w:p w:rsidR="004B519A" w:rsidRPr="00E057BA" w:rsidRDefault="004B519A">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w:t>
      </w:r>
      <w:r w:rsidRPr="00E2733B">
        <w:rPr>
          <w:rFonts w:ascii="Times New Roman" w:eastAsia="Arial Unicode MS" w:hAnsi="Times New Roman"/>
          <w:color w:val="000000"/>
          <w:lang w:val="nl-NL" w:eastAsia="nl-NL"/>
        </w:rPr>
        <w:t>Mv</w:t>
      </w:r>
      <w:r>
        <w:rPr>
          <w:rFonts w:ascii="Times New Roman" w:eastAsia="Arial Unicode MS" w:hAnsi="Times New Roman"/>
          <w:color w:val="000000"/>
          <w:lang w:val="nl-NL" w:eastAsia="nl-NL"/>
        </w:rPr>
        <w:t>T</w:t>
      </w:r>
      <w:r w:rsidRPr="00E2733B">
        <w:rPr>
          <w:rFonts w:ascii="Times New Roman" w:eastAsia="Arial Unicode MS" w:hAnsi="Times New Roman"/>
          <w:color w:val="000000"/>
          <w:lang w:val="nl-NL" w:eastAsia="nl-NL"/>
        </w:rPr>
        <w:t>, Kamerstukken II 2005/06, 30 572, nr. 3, blz. 33.</w:t>
      </w:r>
    </w:p>
  </w:footnote>
  <w:footnote w:id="14">
    <w:p w:rsidR="004B519A" w:rsidRPr="00E057BA" w:rsidRDefault="004B519A">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Voor een verdere uitleg omtrent de vergelijking van belastingheffing over ondernemingswinsten verwijs ik naar J.A.G. van Es, ‘</w:t>
      </w:r>
      <w:r w:rsidRPr="00E2733B">
        <w:rPr>
          <w:rFonts w:ascii="Times New Roman" w:hAnsi="Times New Roman"/>
          <w:bCs/>
          <w:i/>
          <w:lang w:val="nl-NL"/>
        </w:rPr>
        <w:t>Afweging bv of eenmanszaak; tendens in de tijd’</w:t>
      </w:r>
      <w:r w:rsidRPr="00E2733B">
        <w:rPr>
          <w:rFonts w:ascii="Times New Roman" w:hAnsi="Times New Roman"/>
          <w:b/>
          <w:bCs/>
          <w:lang w:val="nl-NL"/>
        </w:rPr>
        <w:t xml:space="preserve"> </w:t>
      </w:r>
      <w:r w:rsidRPr="00E2733B">
        <w:rPr>
          <w:rFonts w:ascii="Times New Roman" w:hAnsi="Times New Roman"/>
          <w:bCs/>
          <w:i/>
          <w:iCs/>
          <w:lang w:val="nl-NL"/>
        </w:rPr>
        <w:t>TFO</w:t>
      </w:r>
      <w:r w:rsidRPr="00E2733B">
        <w:rPr>
          <w:rFonts w:ascii="Times New Roman" w:hAnsi="Times New Roman"/>
          <w:bCs/>
          <w:lang w:val="nl-NL"/>
        </w:rPr>
        <w:t xml:space="preserve"> 2007/94.</w:t>
      </w:r>
    </w:p>
  </w:footnote>
  <w:footnote w:id="15">
    <w:p w:rsidR="004B519A" w:rsidRPr="00E057BA" w:rsidRDefault="004B519A">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Bij de wetgever bestaat ook de opvatting dat de inkomstenbelasting  passender is voor de ‘kleinere’ ondernemingen terwijl de vennootschapsbelasting meer past bij de ‘grotere’ ondernemingen. Zie hiervoor: Kamerstukken II 2005/06, 30 572, nr. 4, blz. 6, en Kamerstukken I 2006/07, 30 572, E, blz. 2.</w:t>
      </w:r>
    </w:p>
  </w:footnote>
  <w:footnote w:id="16">
    <w:p w:rsidR="004B519A" w:rsidRPr="00E057BA" w:rsidRDefault="004B519A">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Hier kan bijvoorbeeld worden gedacht aan de mate van aansprakelijkheid en de administratieve verplichtingen.</w:t>
      </w:r>
    </w:p>
  </w:footnote>
  <w:footnote w:id="17">
    <w:p w:rsidR="004B519A" w:rsidRPr="00E057BA" w:rsidRDefault="004B519A">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Zie o.a.: F.W.G.M. van Brunschot, ‘</w:t>
      </w:r>
      <w:r w:rsidRPr="007C126C">
        <w:rPr>
          <w:rFonts w:ascii="Times New Roman" w:hAnsi="Times New Roman"/>
          <w:i/>
          <w:lang w:val="nl-NL"/>
        </w:rPr>
        <w:t>Oude aandeelhouders aan nieuwe banden</w:t>
      </w:r>
      <w:r w:rsidRPr="00E2733B">
        <w:rPr>
          <w:rFonts w:ascii="Times New Roman" w:hAnsi="Times New Roman"/>
          <w:lang w:val="nl-NL"/>
        </w:rPr>
        <w:t>’, 19</w:t>
      </w:r>
      <w:r>
        <w:rPr>
          <w:rFonts w:ascii="Times New Roman" w:hAnsi="Times New Roman"/>
          <w:lang w:val="nl-NL"/>
        </w:rPr>
        <w:t>70, blz. 20.; E.J.W. Heithuis, ‘</w:t>
      </w:r>
      <w:r w:rsidRPr="007C126C">
        <w:rPr>
          <w:rFonts w:ascii="Times New Roman" w:hAnsi="Times New Roman"/>
          <w:i/>
          <w:lang w:val="nl-NL"/>
        </w:rPr>
        <w:t>Zonder aanziens des (rechts)persoons</w:t>
      </w:r>
      <w:r w:rsidRPr="00E2733B">
        <w:rPr>
          <w:rFonts w:ascii="Times New Roman" w:hAnsi="Times New Roman"/>
          <w:lang w:val="nl-NL"/>
        </w:rPr>
        <w:t>’, 2005.</w:t>
      </w:r>
    </w:p>
  </w:footnote>
  <w:footnote w:id="18">
    <w:p w:rsidR="004B519A" w:rsidRPr="00E057BA" w:rsidRDefault="004B519A" w:rsidP="00A91AF0">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Zie E.J.W. Heithuis, </w:t>
      </w:r>
      <w:r w:rsidRPr="00E2733B">
        <w:rPr>
          <w:rFonts w:ascii="Times New Roman" w:hAnsi="Times New Roman"/>
          <w:i/>
          <w:lang w:val="nl-NL"/>
        </w:rPr>
        <w:t>‘Zonder aanziens des (rechts)persoons’</w:t>
      </w:r>
      <w:r w:rsidRPr="00E2733B">
        <w:rPr>
          <w:rFonts w:ascii="Times New Roman" w:hAnsi="Times New Roman"/>
          <w:lang w:val="nl-NL"/>
        </w:rPr>
        <w:t>, Kluwer, Deventer, 2005, blz. 6.</w:t>
      </w:r>
    </w:p>
  </w:footnote>
  <w:footnote w:id="19">
    <w:p w:rsidR="004B519A" w:rsidRPr="00E057BA" w:rsidRDefault="004B519A">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Deze mening wordt o.a. aangehangen door H.M.N. Schonis. Zie hiervoor zijn bijdrage in </w:t>
      </w:r>
      <w:r w:rsidRPr="00E2733B">
        <w:rPr>
          <w:rFonts w:ascii="Times New Roman" w:hAnsi="Times New Roman"/>
          <w:i/>
          <w:lang w:val="nl-NL"/>
        </w:rPr>
        <w:t>‘Rapport en bespreking van het rapport Samenwerkingsverbanden en ondernemingswinst’</w:t>
      </w:r>
      <w:r>
        <w:rPr>
          <w:rFonts w:ascii="Times New Roman" w:hAnsi="Times New Roman"/>
          <w:i/>
          <w:lang w:val="nl-NL"/>
        </w:rPr>
        <w:t>,</w:t>
      </w:r>
      <w:r w:rsidRPr="00E2733B">
        <w:rPr>
          <w:rFonts w:ascii="Times New Roman" w:hAnsi="Times New Roman"/>
          <w:i/>
          <w:lang w:val="nl-NL"/>
        </w:rPr>
        <w:t xml:space="preserve"> </w:t>
      </w:r>
      <w:r w:rsidRPr="00E2733B">
        <w:rPr>
          <w:rFonts w:ascii="Times New Roman" w:hAnsi="Times New Roman"/>
          <w:lang w:val="nl-NL"/>
        </w:rPr>
        <w:t>blz</w:t>
      </w:r>
      <w:r>
        <w:rPr>
          <w:rFonts w:ascii="Times New Roman" w:hAnsi="Times New Roman"/>
          <w:lang w:val="nl-NL"/>
        </w:rPr>
        <w:t>.</w:t>
      </w:r>
      <w:r w:rsidRPr="00E2733B">
        <w:rPr>
          <w:rFonts w:ascii="Times New Roman" w:hAnsi="Times New Roman"/>
          <w:lang w:val="nl-NL"/>
        </w:rPr>
        <w:t xml:space="preserve"> 111-112, Kluwer 2004. </w:t>
      </w:r>
    </w:p>
  </w:footnote>
  <w:footnote w:id="20">
    <w:p w:rsidR="004B519A" w:rsidRPr="00E057BA" w:rsidRDefault="004B519A">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Het komt in de praktijk dikwijls voor dat de aansprakelijkheid bij een in de vorm van een rechtspersoon gedreven ondernem</w:t>
      </w:r>
      <w:r>
        <w:rPr>
          <w:rFonts w:ascii="Times New Roman" w:hAnsi="Times New Roman"/>
          <w:lang w:val="nl-NL"/>
        </w:rPr>
        <w:t>ing ook geldt voor de directeur-groot</w:t>
      </w:r>
      <w:r w:rsidRPr="00E2733B">
        <w:rPr>
          <w:rFonts w:ascii="Times New Roman" w:hAnsi="Times New Roman"/>
          <w:lang w:val="nl-NL"/>
        </w:rPr>
        <w:t xml:space="preserve">aandeelhouder. Dit is vaak een eis van een geldschietende partij indien de onderneming een financiering nodig heeft. </w:t>
      </w:r>
    </w:p>
  </w:footnote>
  <w:footnote w:id="21">
    <w:p w:rsidR="004B519A" w:rsidRPr="00E057BA" w:rsidRDefault="004B519A">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w:t>
      </w:r>
      <w:r w:rsidRPr="00E2733B">
        <w:rPr>
          <w:rFonts w:ascii="Times New Roman" w:eastAsia="Arial Unicode MS" w:hAnsi="Times New Roman"/>
          <w:color w:val="000000"/>
          <w:lang w:val="nl-NL" w:eastAsia="nl-NL"/>
        </w:rPr>
        <w:t>MvT, Kamerstukken II</w:t>
      </w:r>
      <w:r>
        <w:rPr>
          <w:rFonts w:ascii="Times New Roman" w:hAnsi="Times New Roman"/>
          <w:iCs/>
          <w:lang w:val="nl-NL"/>
        </w:rPr>
        <w:t xml:space="preserve"> 1995/96,  24 </w:t>
      </w:r>
      <w:r w:rsidRPr="00E2733B">
        <w:rPr>
          <w:rFonts w:ascii="Times New Roman" w:hAnsi="Times New Roman"/>
          <w:iCs/>
          <w:lang w:val="nl-NL"/>
        </w:rPr>
        <w:t>761,  nr. 3, blz. 5.</w:t>
      </w:r>
    </w:p>
  </w:footnote>
  <w:footnote w:id="22">
    <w:p w:rsidR="004B519A" w:rsidRPr="00E057BA" w:rsidRDefault="004B519A">
      <w:pPr>
        <w:pStyle w:val="Voetnoottekst"/>
        <w:rPr>
          <w:lang w:val="nl-NL"/>
        </w:rPr>
      </w:pPr>
      <w:r>
        <w:rPr>
          <w:rStyle w:val="Voetnootmarkering"/>
        </w:rPr>
        <w:footnoteRef/>
      </w:r>
      <w:r w:rsidRPr="00901B5C">
        <w:rPr>
          <w:lang w:val="nl-NL"/>
        </w:rPr>
        <w:t xml:space="preserve"> </w:t>
      </w:r>
      <w:r>
        <w:rPr>
          <w:rFonts w:ascii="Times New Roman" w:hAnsi="Times New Roman"/>
          <w:lang w:val="nl-NL"/>
        </w:rPr>
        <w:t xml:space="preserve">Vanzelfsprekend is hier van belang dat het verschil in fiscale uitwerking ook het gevolg is van het verschil in situatie. </w:t>
      </w:r>
    </w:p>
  </w:footnote>
  <w:footnote w:id="23">
    <w:p w:rsidR="004B519A" w:rsidRPr="00E057BA" w:rsidRDefault="004B519A">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Dit argument wordt o.a. aangehouden door S.J. Mol-Verver in </w:t>
      </w:r>
      <w:r w:rsidRPr="00E2733B">
        <w:rPr>
          <w:rFonts w:ascii="Times New Roman" w:hAnsi="Times New Roman"/>
          <w:i/>
          <w:lang w:val="nl-NL"/>
        </w:rPr>
        <w:t>‘</w:t>
      </w:r>
      <w:r w:rsidRPr="00E2733B">
        <w:rPr>
          <w:rFonts w:ascii="Times New Roman" w:hAnsi="Times New Roman"/>
          <w:bCs/>
          <w:i/>
          <w:lang w:val="nl-NL"/>
        </w:rPr>
        <w:t>De winstbox een nuttige of noodzakelijke stap richting een ondernemingswinstbelasting’</w:t>
      </w:r>
      <w:r w:rsidRPr="00E2733B">
        <w:rPr>
          <w:rFonts w:ascii="Times New Roman" w:hAnsi="Times New Roman"/>
          <w:lang w:val="nl-NL"/>
        </w:rPr>
        <w:t xml:space="preserve"> </w:t>
      </w:r>
      <w:r w:rsidRPr="00E2733B">
        <w:rPr>
          <w:rFonts w:ascii="Times New Roman" w:hAnsi="Times New Roman"/>
          <w:bCs/>
          <w:iCs/>
          <w:lang w:val="nl-NL"/>
        </w:rPr>
        <w:t>WFR</w:t>
      </w:r>
      <w:r w:rsidRPr="00E2733B">
        <w:rPr>
          <w:rFonts w:ascii="Times New Roman" w:hAnsi="Times New Roman"/>
          <w:bCs/>
          <w:lang w:val="nl-NL"/>
        </w:rPr>
        <w:t xml:space="preserve"> 2009/625, §1.</w:t>
      </w:r>
    </w:p>
  </w:footnote>
  <w:footnote w:id="24">
    <w:p w:rsidR="004B519A" w:rsidRPr="00E057BA" w:rsidRDefault="004B519A">
      <w:pPr>
        <w:pStyle w:val="Voetnoottekst"/>
        <w:rPr>
          <w:lang w:val="nl-NL"/>
        </w:rPr>
      </w:pPr>
      <w:r w:rsidRPr="00E2733B">
        <w:rPr>
          <w:rStyle w:val="Voetnootmarkering"/>
          <w:lang w:val="nl-NL"/>
        </w:rPr>
        <w:footnoteRef/>
      </w:r>
      <w:r w:rsidRPr="00E2733B">
        <w:rPr>
          <w:lang w:val="nl-NL"/>
        </w:rPr>
        <w:t xml:space="preserve"> </w:t>
      </w:r>
      <w:r>
        <w:rPr>
          <w:rFonts w:ascii="Times New Roman" w:hAnsi="Times New Roman"/>
          <w:lang w:val="nl-NL"/>
        </w:rPr>
        <w:t xml:space="preserve">Zie </w:t>
      </w:r>
      <w:r w:rsidRPr="00E2733B">
        <w:rPr>
          <w:rFonts w:ascii="Times New Roman" w:hAnsi="Times New Roman"/>
          <w:lang w:val="nl-NL"/>
        </w:rPr>
        <w:t xml:space="preserve">S.J. Verver, </w:t>
      </w:r>
      <w:r w:rsidRPr="00E2733B">
        <w:rPr>
          <w:rFonts w:ascii="Times New Roman" w:hAnsi="Times New Roman"/>
          <w:i/>
          <w:lang w:val="nl-NL"/>
        </w:rPr>
        <w:t>‘De ondernemingswinstbelasting’</w:t>
      </w:r>
      <w:r w:rsidRPr="00E2733B">
        <w:rPr>
          <w:rFonts w:ascii="Times New Roman" w:hAnsi="Times New Roman"/>
          <w:lang w:val="nl-NL"/>
        </w:rPr>
        <w:t>, proefschrift UvA, Amsterdam, 2008, blz. 89.</w:t>
      </w:r>
    </w:p>
  </w:footnote>
  <w:footnote w:id="25">
    <w:p w:rsidR="004B519A" w:rsidRPr="00E057BA" w:rsidRDefault="004B519A" w:rsidP="00073BAB">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 xml:space="preserve">Zie mr. S.J. Verver, </w:t>
      </w:r>
      <w:r w:rsidRPr="00E2733B">
        <w:rPr>
          <w:rFonts w:ascii="Times New Roman" w:hAnsi="Times New Roman"/>
          <w:i/>
          <w:lang w:val="nl-NL"/>
        </w:rPr>
        <w:t>‘De ondernemingswinstbelasting’</w:t>
      </w:r>
      <w:r w:rsidRPr="00E2733B">
        <w:rPr>
          <w:rFonts w:ascii="Times New Roman" w:hAnsi="Times New Roman"/>
          <w:lang w:val="nl-NL"/>
        </w:rPr>
        <w:t>, pro</w:t>
      </w:r>
      <w:r>
        <w:rPr>
          <w:rFonts w:ascii="Times New Roman" w:hAnsi="Times New Roman"/>
          <w:lang w:val="nl-NL"/>
        </w:rPr>
        <w:t>efschrift UvA, Amsterdam, 2008,</w:t>
      </w:r>
      <w:r w:rsidRPr="00E2733B">
        <w:rPr>
          <w:rFonts w:ascii="Times New Roman" w:hAnsi="Times New Roman"/>
          <w:lang w:val="nl-NL"/>
        </w:rPr>
        <w:t xml:space="preserve"> blz. 35-36.</w:t>
      </w:r>
    </w:p>
  </w:footnote>
  <w:footnote w:id="26">
    <w:p w:rsidR="004B519A" w:rsidRPr="00E057BA" w:rsidRDefault="004B519A" w:rsidP="00BF47ED">
      <w:pPr>
        <w:pStyle w:val="Voetnoottekst"/>
        <w:rPr>
          <w:lang w:val="nl-NL"/>
        </w:rPr>
      </w:pPr>
      <w:r w:rsidRPr="00E2733B">
        <w:rPr>
          <w:rStyle w:val="Voetnootmarkering"/>
          <w:lang w:val="nl-NL"/>
        </w:rPr>
        <w:footnoteRef/>
      </w:r>
      <w:r w:rsidRPr="00E2733B">
        <w:rPr>
          <w:lang w:val="nl-NL"/>
        </w:rPr>
        <w:t xml:space="preserve"> </w:t>
      </w:r>
      <w:r w:rsidRPr="0092779E">
        <w:rPr>
          <w:rFonts w:ascii="Times New Roman" w:hAnsi="Times New Roman"/>
          <w:lang w:val="nl-NL"/>
        </w:rPr>
        <w:t xml:space="preserve">Zie </w:t>
      </w:r>
      <w:r w:rsidRPr="00E2733B">
        <w:rPr>
          <w:rFonts w:ascii="Times New Roman" w:hAnsi="Times New Roman"/>
          <w:lang w:val="nl-NL"/>
        </w:rPr>
        <w:t xml:space="preserve">L.G.M. Stevens, </w:t>
      </w:r>
      <w:r>
        <w:rPr>
          <w:rFonts w:ascii="Times New Roman" w:hAnsi="Times New Roman"/>
          <w:i/>
          <w:lang w:val="nl-NL"/>
        </w:rPr>
        <w:t>‘F</w:t>
      </w:r>
      <w:r w:rsidRPr="00E2733B">
        <w:rPr>
          <w:rFonts w:ascii="Times New Roman" w:hAnsi="Times New Roman"/>
          <w:i/>
          <w:lang w:val="nl-NL"/>
        </w:rPr>
        <w:t>iscale Fascinatie’</w:t>
      </w:r>
      <w:r w:rsidRPr="00E2733B">
        <w:rPr>
          <w:rFonts w:ascii="Times New Roman" w:hAnsi="Times New Roman"/>
          <w:lang w:val="nl-NL"/>
        </w:rPr>
        <w:t>, Kluwer, Deventer, 2006, blz. 77.</w:t>
      </w:r>
    </w:p>
  </w:footnote>
  <w:footnote w:id="27">
    <w:p w:rsidR="004B519A" w:rsidRPr="00E057BA" w:rsidRDefault="004B519A">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Deze criteria waar een goed belastingstelsel zoveel mog</w:t>
      </w:r>
      <w:r>
        <w:rPr>
          <w:rFonts w:ascii="Times New Roman" w:hAnsi="Times New Roman"/>
          <w:lang w:val="nl-NL"/>
        </w:rPr>
        <w:t>elijk aan dient te voldoen, worden</w:t>
      </w:r>
      <w:r w:rsidRPr="00E2733B">
        <w:rPr>
          <w:rFonts w:ascii="Times New Roman" w:hAnsi="Times New Roman"/>
          <w:lang w:val="nl-NL"/>
        </w:rPr>
        <w:t xml:space="preserve"> ondersteund door L.G.M. Stevens in, </w:t>
      </w:r>
      <w:r>
        <w:rPr>
          <w:rFonts w:ascii="Times New Roman" w:hAnsi="Times New Roman"/>
          <w:i/>
          <w:lang w:val="nl-NL"/>
        </w:rPr>
        <w:t>‘Fiscale f</w:t>
      </w:r>
      <w:r w:rsidRPr="00E2733B">
        <w:rPr>
          <w:rFonts w:ascii="Times New Roman" w:hAnsi="Times New Roman"/>
          <w:i/>
          <w:lang w:val="nl-NL"/>
        </w:rPr>
        <w:t>ascinatie’</w:t>
      </w:r>
      <w:r w:rsidRPr="00E2733B">
        <w:rPr>
          <w:rFonts w:ascii="Times New Roman" w:hAnsi="Times New Roman"/>
          <w:lang w:val="nl-NL"/>
        </w:rPr>
        <w:t xml:space="preserve">, Kluwer, Deventer, 2006, blz. 20-21. </w:t>
      </w:r>
    </w:p>
  </w:footnote>
  <w:footnote w:id="28">
    <w:p w:rsidR="004B519A" w:rsidRPr="00E057BA" w:rsidRDefault="004B519A" w:rsidP="005D6883">
      <w:pPr>
        <w:pStyle w:val="Voetnoottekst"/>
        <w:rPr>
          <w:lang w:val="nl-NL"/>
        </w:rPr>
      </w:pPr>
      <w:r w:rsidRPr="00E2733B">
        <w:rPr>
          <w:rStyle w:val="Voetnootmarkering"/>
          <w:lang w:val="nl-NL"/>
        </w:rPr>
        <w:footnoteRef/>
      </w:r>
      <w:r w:rsidRPr="00E2733B">
        <w:rPr>
          <w:lang w:val="nl-NL"/>
        </w:rPr>
        <w:t xml:space="preserve"> </w:t>
      </w:r>
      <w:r>
        <w:rPr>
          <w:rFonts w:ascii="Times New Roman" w:hAnsi="Times New Roman"/>
          <w:lang w:val="nl-NL"/>
        </w:rPr>
        <w:t>Ibid,</w:t>
      </w:r>
      <w:r w:rsidRPr="00E2733B">
        <w:rPr>
          <w:rFonts w:ascii="Times New Roman" w:hAnsi="Times New Roman"/>
          <w:lang w:val="nl-NL"/>
        </w:rPr>
        <w:t xml:space="preserve"> blz. 20-21.</w:t>
      </w:r>
    </w:p>
  </w:footnote>
  <w:footnote w:id="29">
    <w:p w:rsidR="004B519A" w:rsidRPr="00E057BA" w:rsidRDefault="004B519A">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J. van Strien, ‘</w:t>
      </w:r>
      <w:r w:rsidRPr="00E2733B">
        <w:rPr>
          <w:rFonts w:ascii="Times New Roman" w:hAnsi="Times New Roman"/>
          <w:i/>
          <w:lang w:val="nl-NL"/>
        </w:rPr>
        <w:t>Renteaftrekbeperkingen in de vennootschapsbelasting</w:t>
      </w:r>
      <w:r>
        <w:rPr>
          <w:rFonts w:ascii="Times New Roman" w:hAnsi="Times New Roman"/>
          <w:lang w:val="nl-NL"/>
        </w:rPr>
        <w:t>’, Jeroen van Strien</w:t>
      </w:r>
      <w:r w:rsidRPr="00E2733B">
        <w:rPr>
          <w:rFonts w:ascii="Times New Roman" w:hAnsi="Times New Roman"/>
          <w:lang w:val="nl-NL"/>
        </w:rPr>
        <w:t>, 2006, blz. 7.</w:t>
      </w:r>
    </w:p>
  </w:footnote>
  <w:footnote w:id="30">
    <w:p w:rsidR="004B519A" w:rsidRPr="00E057BA" w:rsidRDefault="004B519A">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L.G.M. Stevens in, </w:t>
      </w:r>
      <w:r>
        <w:rPr>
          <w:rFonts w:ascii="Times New Roman" w:hAnsi="Times New Roman"/>
          <w:i/>
          <w:lang w:val="nl-NL"/>
        </w:rPr>
        <w:t>‘F</w:t>
      </w:r>
      <w:r w:rsidRPr="00E2733B">
        <w:rPr>
          <w:rFonts w:ascii="Times New Roman" w:hAnsi="Times New Roman"/>
          <w:i/>
          <w:lang w:val="nl-NL"/>
        </w:rPr>
        <w:t xml:space="preserve">iscale </w:t>
      </w:r>
      <w:r>
        <w:rPr>
          <w:rFonts w:ascii="Times New Roman" w:hAnsi="Times New Roman"/>
          <w:i/>
          <w:lang w:val="nl-NL"/>
        </w:rPr>
        <w:t>f</w:t>
      </w:r>
      <w:r w:rsidRPr="00E2733B">
        <w:rPr>
          <w:rFonts w:ascii="Times New Roman" w:hAnsi="Times New Roman"/>
          <w:i/>
          <w:lang w:val="nl-NL"/>
        </w:rPr>
        <w:t>ascinatie’</w:t>
      </w:r>
      <w:r w:rsidRPr="00E2733B">
        <w:rPr>
          <w:rFonts w:ascii="Times New Roman" w:hAnsi="Times New Roman"/>
          <w:lang w:val="nl-NL"/>
        </w:rPr>
        <w:t>, Kluwer, Deventer, 2006, blz. 21.</w:t>
      </w:r>
    </w:p>
  </w:footnote>
  <w:footnote w:id="31">
    <w:p w:rsidR="004B519A" w:rsidRPr="00E057BA" w:rsidRDefault="004B519A">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L.G.M. Stevens in, </w:t>
      </w:r>
      <w:r>
        <w:rPr>
          <w:rFonts w:ascii="Times New Roman" w:hAnsi="Times New Roman"/>
          <w:i/>
          <w:lang w:val="nl-NL"/>
        </w:rPr>
        <w:t>‘Fiscale f</w:t>
      </w:r>
      <w:r w:rsidRPr="00E2733B">
        <w:rPr>
          <w:rFonts w:ascii="Times New Roman" w:hAnsi="Times New Roman"/>
          <w:i/>
          <w:lang w:val="nl-NL"/>
        </w:rPr>
        <w:t>ascinatie’</w:t>
      </w:r>
      <w:r w:rsidRPr="00E2733B">
        <w:rPr>
          <w:rFonts w:ascii="Times New Roman" w:hAnsi="Times New Roman"/>
          <w:lang w:val="nl-NL"/>
        </w:rPr>
        <w:t>, Kluwer, Deventer, 2006, blz. 21.</w:t>
      </w:r>
    </w:p>
  </w:footnote>
  <w:footnote w:id="32">
    <w:p w:rsidR="004B519A" w:rsidRDefault="004B519A" w:rsidP="00F372C1">
      <w:r w:rsidRPr="00E2733B">
        <w:rPr>
          <w:rStyle w:val="Voetnootmarkering"/>
        </w:rPr>
        <w:footnoteRef/>
      </w:r>
      <w:r w:rsidRPr="00E2733B">
        <w:rPr>
          <w:rFonts w:ascii="Times New Roman" w:hAnsi="Times New Roman"/>
        </w:rPr>
        <w:t xml:space="preserve"> </w:t>
      </w:r>
      <w:r w:rsidRPr="00E2733B">
        <w:rPr>
          <w:rFonts w:ascii="Times New Roman" w:hAnsi="Times New Roman"/>
          <w:szCs w:val="20"/>
        </w:rPr>
        <w:t>P.H.J. Essers, ‘</w:t>
      </w:r>
      <w:r w:rsidRPr="00E2733B">
        <w:rPr>
          <w:rFonts w:ascii="Times New Roman" w:hAnsi="Times New Roman"/>
          <w:i/>
          <w:szCs w:val="20"/>
        </w:rPr>
        <w:t>Personenvennootschappen en aanverwante rechtsvormen</w:t>
      </w:r>
      <w:r w:rsidRPr="00E2733B">
        <w:rPr>
          <w:rFonts w:ascii="Times New Roman" w:hAnsi="Times New Roman"/>
          <w:szCs w:val="20"/>
        </w:rPr>
        <w:t>’, Kluwer</w:t>
      </w:r>
      <w:r>
        <w:rPr>
          <w:rFonts w:ascii="Times New Roman" w:hAnsi="Times New Roman"/>
          <w:szCs w:val="20"/>
        </w:rPr>
        <w:t>,</w:t>
      </w:r>
      <w:r w:rsidRPr="00E2733B">
        <w:rPr>
          <w:rFonts w:ascii="Times New Roman" w:hAnsi="Times New Roman"/>
          <w:szCs w:val="20"/>
        </w:rPr>
        <w:t xml:space="preserve"> Deventer 2004 paragraaf 2.1.2.2. en tevens </w:t>
      </w:r>
      <w:r>
        <w:rPr>
          <w:rFonts w:ascii="Times New Roman" w:hAnsi="Times New Roman"/>
          <w:szCs w:val="20"/>
        </w:rPr>
        <w:t>cursus belastingrecht Inkomstenb</w:t>
      </w:r>
      <w:r w:rsidRPr="00E2733B">
        <w:rPr>
          <w:rFonts w:ascii="Times New Roman" w:hAnsi="Times New Roman"/>
          <w:szCs w:val="20"/>
        </w:rPr>
        <w:t>elasting paragraaf 3.2.2.A</w:t>
      </w:r>
      <w:r w:rsidRPr="00E2733B">
        <w:rPr>
          <w:rFonts w:ascii="Times New Roman" w:eastAsia="Arial Unicode MS" w:hAnsi="Times New Roman"/>
        </w:rPr>
        <w:t> .</w:t>
      </w:r>
    </w:p>
  </w:footnote>
  <w:footnote w:id="33">
    <w:p w:rsidR="004B519A" w:rsidRPr="00E057BA" w:rsidRDefault="004B519A" w:rsidP="00372B45">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Zie Cursus Belastingrecht, IB.3.2.2.Aa Algemeen (online geraadpleegd).</w:t>
      </w:r>
    </w:p>
  </w:footnote>
  <w:footnote w:id="34">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Artikelsgewijs commentaar Vakstudie, commentaar bij artikel 3.63, Wet IB 2001</w:t>
      </w:r>
      <w:r>
        <w:rPr>
          <w:rFonts w:ascii="Times New Roman" w:hAnsi="Times New Roman"/>
          <w:lang w:val="nl-NL"/>
        </w:rPr>
        <w:t xml:space="preserve"> (online geraadpleegd)</w:t>
      </w:r>
      <w:r w:rsidRPr="00E2733B">
        <w:rPr>
          <w:rFonts w:ascii="Times New Roman" w:hAnsi="Times New Roman"/>
          <w:lang w:val="nl-NL"/>
        </w:rPr>
        <w:t>.</w:t>
      </w:r>
    </w:p>
  </w:footnote>
  <w:footnote w:id="35">
    <w:p w:rsidR="004B519A" w:rsidRPr="00E057BA" w:rsidRDefault="004B519A" w:rsidP="0051637C">
      <w:pPr>
        <w:pStyle w:val="Voetnoottekst"/>
        <w:rPr>
          <w:lang w:val="nl-NL"/>
        </w:rPr>
      </w:pPr>
      <w:r w:rsidRPr="00E2733B">
        <w:rPr>
          <w:rStyle w:val="Voetnootmarkering"/>
          <w:lang w:val="nl-NL"/>
        </w:rPr>
        <w:footnoteRef/>
      </w:r>
      <w:r w:rsidRPr="00E2733B">
        <w:rPr>
          <w:rFonts w:ascii="Times New Roman" w:hAnsi="Times New Roman"/>
          <w:lang w:val="nl-NL"/>
        </w:rPr>
        <w:t xml:space="preserve"> Nota n.a.v. Verslag, </w:t>
      </w:r>
      <w:r w:rsidRPr="00E2733B">
        <w:rPr>
          <w:rFonts w:ascii="Times New Roman" w:hAnsi="Times New Roman"/>
          <w:iCs/>
          <w:lang w:val="nl-NL"/>
        </w:rPr>
        <w:t>Kamerstukken  II 2000/01,  27209,  nr. 6, blz. 24.</w:t>
      </w:r>
    </w:p>
  </w:footnote>
  <w:footnote w:id="36">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Artikelsgewijs commentaar Vakstudie, commentaar bij artikel 3.54a, Wet IB 2001</w:t>
      </w:r>
      <w:r>
        <w:rPr>
          <w:rFonts w:ascii="Times New Roman" w:hAnsi="Times New Roman"/>
          <w:lang w:val="nl-NL"/>
        </w:rPr>
        <w:t xml:space="preserve"> (online geraadpleegd)</w:t>
      </w:r>
      <w:r w:rsidRPr="00E2733B">
        <w:rPr>
          <w:rFonts w:ascii="Times New Roman" w:hAnsi="Times New Roman"/>
          <w:lang w:val="nl-NL"/>
        </w:rPr>
        <w:t>.</w:t>
      </w:r>
    </w:p>
  </w:footnote>
  <w:footnote w:id="37">
    <w:p w:rsidR="004B519A" w:rsidRPr="00E057BA" w:rsidRDefault="004B519A" w:rsidP="0051637C">
      <w:pPr>
        <w:pStyle w:val="Voetnoottekst"/>
        <w:rPr>
          <w:lang w:val="nl-NL"/>
        </w:rPr>
      </w:pPr>
      <w:r w:rsidRPr="00E2733B">
        <w:rPr>
          <w:rStyle w:val="Voetnootmarkering"/>
          <w:lang w:val="nl-NL"/>
        </w:rPr>
        <w:footnoteRef/>
      </w:r>
      <w:r w:rsidRPr="00E2733B">
        <w:rPr>
          <w:rFonts w:ascii="Times New Roman" w:hAnsi="Times New Roman"/>
          <w:lang w:val="nl-NL"/>
        </w:rPr>
        <w:t xml:space="preserve"> Memorie van Toelichting, Kamerstukken II 1999/2000, 27 209, nr. 3, blz. 36.</w:t>
      </w:r>
    </w:p>
  </w:footnote>
  <w:footnote w:id="38">
    <w:p w:rsidR="004B519A" w:rsidRPr="00E057BA" w:rsidRDefault="004B519A" w:rsidP="005D6883">
      <w:pPr>
        <w:pStyle w:val="Voetnoottekst"/>
        <w:rPr>
          <w:lang w:val="nl-NL"/>
        </w:rPr>
      </w:pPr>
      <w:r w:rsidRPr="00E2733B">
        <w:rPr>
          <w:rStyle w:val="Voetnootmarkering"/>
          <w:lang w:val="nl-NL"/>
        </w:rPr>
        <w:footnoteRef/>
      </w:r>
      <w:r w:rsidRPr="00E2733B">
        <w:rPr>
          <w:rFonts w:ascii="Times New Roman" w:hAnsi="Times New Roman"/>
          <w:lang w:val="nl-NL"/>
        </w:rPr>
        <w:t xml:space="preserve"> Nota n.a.v. Verslag, Kamerstukken II 2000/01, 27</w:t>
      </w:r>
      <w:r>
        <w:rPr>
          <w:rFonts w:ascii="Times New Roman" w:hAnsi="Times New Roman"/>
          <w:lang w:val="nl-NL"/>
        </w:rPr>
        <w:t xml:space="preserve"> </w:t>
      </w:r>
      <w:r w:rsidRPr="00E2733B">
        <w:rPr>
          <w:rFonts w:ascii="Times New Roman" w:hAnsi="Times New Roman"/>
          <w:lang w:val="nl-NL"/>
        </w:rPr>
        <w:t>209,  nr. 6. blz. 22.</w:t>
      </w:r>
    </w:p>
  </w:footnote>
  <w:footnote w:id="39">
    <w:p w:rsidR="004B519A" w:rsidRPr="00E057BA" w:rsidRDefault="004B519A" w:rsidP="005A2120">
      <w:pPr>
        <w:pStyle w:val="Voetnoottekst"/>
        <w:rPr>
          <w:lang w:val="nl-NL"/>
        </w:rPr>
      </w:pPr>
      <w:r w:rsidRPr="00E2733B">
        <w:rPr>
          <w:rStyle w:val="Voetnootmarkering"/>
          <w:lang w:val="nl-NL"/>
        </w:rPr>
        <w:footnoteRef/>
      </w:r>
      <w:r w:rsidRPr="00E2733B">
        <w:rPr>
          <w:rFonts w:ascii="Times New Roman" w:hAnsi="Times New Roman"/>
          <w:lang w:val="nl-NL"/>
        </w:rPr>
        <w:t xml:space="preserve"> Rechtbank Breda, 6 -12-2006, V-N 2007/36.11.</w:t>
      </w:r>
    </w:p>
  </w:footnote>
  <w:footnote w:id="40">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w:t>
      </w:r>
      <w:r>
        <w:rPr>
          <w:rFonts w:ascii="Times New Roman" w:hAnsi="Times New Roman"/>
          <w:lang w:val="nl-NL"/>
        </w:rPr>
        <w:t xml:space="preserve">MvT, </w:t>
      </w:r>
      <w:r w:rsidRPr="00E2733B">
        <w:rPr>
          <w:rFonts w:ascii="Times New Roman" w:hAnsi="Times New Roman"/>
          <w:lang w:val="nl-NL"/>
        </w:rPr>
        <w:t xml:space="preserve">Kamerstukken II 1958/59, 5380, nr. 3, blz. 38, hier moet gekeken worden naar de parlementaire geschiedenis van artikel 17 als voorloper op </w:t>
      </w:r>
      <w:r>
        <w:rPr>
          <w:rFonts w:ascii="Times New Roman" w:hAnsi="Times New Roman"/>
          <w:lang w:val="nl-NL"/>
        </w:rPr>
        <w:t xml:space="preserve">artikel </w:t>
      </w:r>
      <w:r w:rsidRPr="00E2733B">
        <w:rPr>
          <w:rFonts w:ascii="Times New Roman" w:hAnsi="Times New Roman"/>
          <w:lang w:val="nl-NL"/>
        </w:rPr>
        <w:t>3.63.</w:t>
      </w:r>
    </w:p>
  </w:footnote>
  <w:footnote w:id="41">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w:t>
      </w:r>
      <w:r w:rsidRPr="00E2733B">
        <w:rPr>
          <w:rFonts w:ascii="Times New Roman" w:hAnsi="Times New Roman"/>
          <w:iCs/>
          <w:lang w:val="nl-NL"/>
        </w:rPr>
        <w:t xml:space="preserve">Hoge Raad, 20 februari 2009, nr. 10 313, </w:t>
      </w:r>
      <w:hyperlink r:id="rId1" w:history="1">
        <w:r w:rsidRPr="00E2733B">
          <w:rPr>
            <w:rStyle w:val="Hyperlink"/>
            <w:rFonts w:ascii="Times New Roman" w:hAnsi="Times New Roman"/>
            <w:iCs/>
            <w:color w:val="auto"/>
            <w:u w:val="none"/>
            <w:lang w:val="nl-NL"/>
          </w:rPr>
          <w:t>BNB 2009/117</w:t>
        </w:r>
      </w:hyperlink>
      <w:r w:rsidRPr="00E2733B">
        <w:rPr>
          <w:rFonts w:ascii="Times New Roman" w:hAnsi="Times New Roman"/>
          <w:lang w:val="nl-NL"/>
        </w:rPr>
        <w:t>.</w:t>
      </w:r>
    </w:p>
  </w:footnote>
  <w:footnote w:id="42">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Hoge Raad, 5 januari 2007, nr. 42 683,</w:t>
      </w:r>
      <w:r w:rsidRPr="00E2733B">
        <w:rPr>
          <w:rFonts w:ascii="Tahoma" w:hAnsi="Tahoma" w:cs="Tahoma"/>
          <w:spacing w:val="15"/>
          <w:sz w:val="17"/>
          <w:lang w:val="nl-NL"/>
        </w:rPr>
        <w:t xml:space="preserve"> </w:t>
      </w:r>
      <w:r w:rsidRPr="00E2733B">
        <w:rPr>
          <w:rFonts w:ascii="Times New Roman" w:hAnsi="Times New Roman"/>
          <w:lang w:val="nl-NL"/>
        </w:rPr>
        <w:t>BNB 2007/139.</w:t>
      </w:r>
    </w:p>
  </w:footnote>
  <w:footnote w:id="43">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Besluit Staatssecretaris 24 mei 2004, BNB 2004/302, onderdeel B2.</w:t>
      </w:r>
    </w:p>
  </w:footnote>
  <w:footnote w:id="44">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Besluit Staatssecretaris 18 juli 2008, nr. CPP2008/163M, BNB 2008/235.</w:t>
      </w:r>
    </w:p>
  </w:footnote>
  <w:footnote w:id="45">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Besluit van 18 juli 2008, nr. CPP2008/163M, BNB 2008/235.</w:t>
      </w:r>
    </w:p>
  </w:footnote>
  <w:footnote w:id="46">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Ibid.</w:t>
      </w:r>
    </w:p>
  </w:footnote>
  <w:footnote w:id="47">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Ibid.</w:t>
      </w:r>
    </w:p>
  </w:footnote>
  <w:footnote w:id="48">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Besluit van 18 juli 2008, nr. CPP2008/163M, BNB 2008/235.</w:t>
      </w:r>
    </w:p>
  </w:footnote>
  <w:footnote w:id="49">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Ibid.</w:t>
      </w:r>
    </w:p>
  </w:footnote>
  <w:footnote w:id="50">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Memorie van Toelichting, Kamerstukken II 2009/10, 32</w:t>
      </w:r>
      <w:r>
        <w:rPr>
          <w:rFonts w:ascii="Times New Roman" w:hAnsi="Times New Roman"/>
          <w:lang w:val="nl-NL"/>
        </w:rPr>
        <w:t xml:space="preserve"> </w:t>
      </w:r>
      <w:r w:rsidRPr="00E2733B">
        <w:rPr>
          <w:rFonts w:ascii="Times New Roman" w:hAnsi="Times New Roman"/>
          <w:lang w:val="nl-NL"/>
        </w:rPr>
        <w:t>129, nr. 3, blz. 46</w:t>
      </w:r>
      <w:r>
        <w:rPr>
          <w:rFonts w:ascii="Times New Roman" w:hAnsi="Times New Roman"/>
          <w:lang w:val="nl-NL"/>
        </w:rPr>
        <w:t>.</w:t>
      </w:r>
    </w:p>
  </w:footnote>
  <w:footnote w:id="51">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Memorie van antwoord, Kamerstukken I 2009/10, 32 128, nr. E, p. 31 en 32.</w:t>
      </w:r>
    </w:p>
  </w:footnote>
  <w:footnote w:id="52">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Echter, de bepalingen zoals genoemd in onderdeel e en f van artikel 13a, </w:t>
      </w:r>
      <w:r>
        <w:rPr>
          <w:rFonts w:ascii="Times New Roman" w:hAnsi="Times New Roman"/>
          <w:lang w:val="nl-NL"/>
        </w:rPr>
        <w:t>U</w:t>
      </w:r>
      <w:r w:rsidRPr="00E2733B">
        <w:rPr>
          <w:rFonts w:ascii="Times New Roman" w:hAnsi="Times New Roman"/>
          <w:lang w:val="nl-NL"/>
        </w:rPr>
        <w:t xml:space="preserve">itvoeringsregeling Wet IB 2001 zijn, vanwege het verschil in aard van de doorschuiffaciliteiten, niet overgenomen in artikel 26a, </w:t>
      </w:r>
      <w:r>
        <w:rPr>
          <w:rFonts w:ascii="Times New Roman" w:hAnsi="Times New Roman"/>
          <w:lang w:val="nl-NL"/>
        </w:rPr>
        <w:t>U</w:t>
      </w:r>
      <w:r w:rsidRPr="00E2733B">
        <w:rPr>
          <w:rFonts w:ascii="Times New Roman" w:hAnsi="Times New Roman"/>
          <w:lang w:val="nl-NL"/>
        </w:rPr>
        <w:t>itvoeringsregeling IB 2001.</w:t>
      </w:r>
    </w:p>
  </w:footnote>
  <w:footnote w:id="53">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Memorie van Antwoord, Kamerstukken II 1962/63, 5380, nr. 19, blz. 6.</w:t>
      </w:r>
    </w:p>
  </w:footnote>
  <w:footnote w:id="54">
    <w:p w:rsidR="004B519A" w:rsidRPr="00E057BA" w:rsidRDefault="004B519A" w:rsidP="00F372C1">
      <w:pPr>
        <w:pStyle w:val="Voetnoottekst"/>
        <w:rPr>
          <w:lang w:val="nl-NL"/>
        </w:rPr>
      </w:pPr>
      <w:r w:rsidRPr="00E2733B">
        <w:rPr>
          <w:rStyle w:val="Voetnootmarkering"/>
          <w:lang w:val="nl-NL"/>
        </w:rPr>
        <w:footnoteRef/>
      </w:r>
      <w:r>
        <w:rPr>
          <w:rFonts w:ascii="Times New Roman" w:hAnsi="Times New Roman"/>
          <w:lang w:val="nl-NL"/>
        </w:rPr>
        <w:t xml:space="preserve"> MvA</w:t>
      </w:r>
      <w:r w:rsidRPr="00E2733B">
        <w:rPr>
          <w:rFonts w:ascii="Times New Roman" w:hAnsi="Times New Roman"/>
          <w:lang w:val="nl-NL"/>
        </w:rPr>
        <w:t>, Kamerstukken II 1962/63, 5380, nr. 19, blz. 38.</w:t>
      </w:r>
    </w:p>
  </w:footnote>
  <w:footnote w:id="55">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Ibid.</w:t>
      </w:r>
    </w:p>
  </w:footnote>
  <w:footnote w:id="56">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Ibid., blz. 6.</w:t>
      </w:r>
    </w:p>
  </w:footnote>
  <w:footnote w:id="57">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Mv</w:t>
      </w:r>
      <w:r>
        <w:rPr>
          <w:rFonts w:ascii="Times New Roman" w:hAnsi="Times New Roman"/>
          <w:lang w:val="nl-NL"/>
        </w:rPr>
        <w:t>T</w:t>
      </w:r>
      <w:r w:rsidRPr="00E2733B">
        <w:rPr>
          <w:rFonts w:ascii="Times New Roman" w:hAnsi="Times New Roman"/>
          <w:lang w:val="nl-NL"/>
        </w:rPr>
        <w:t>, Kamerstukken II 1962/63, 5380, nr. 19, blz. 26.</w:t>
      </w:r>
    </w:p>
  </w:footnote>
  <w:footnote w:id="58">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Ibid., blz. 26.</w:t>
      </w:r>
    </w:p>
  </w:footnote>
  <w:footnote w:id="59">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Verslag van het mondeling overleg, Kamerstukken II 1963/64,  5380, nr. 33, blz. 15.</w:t>
      </w:r>
    </w:p>
  </w:footnote>
  <w:footnote w:id="60">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Memorie van Toelichting, Kamerstukken II</w:t>
      </w:r>
      <w:r>
        <w:rPr>
          <w:rFonts w:ascii="Times New Roman" w:hAnsi="Times New Roman"/>
          <w:lang w:val="nl-NL"/>
        </w:rPr>
        <w:t>,</w:t>
      </w:r>
      <w:r w:rsidRPr="00E2733B">
        <w:rPr>
          <w:rFonts w:ascii="Times New Roman" w:hAnsi="Times New Roman"/>
          <w:lang w:val="nl-NL"/>
        </w:rPr>
        <w:t xml:space="preserve"> 1982/83, 17 859, nr. 3, blz. 4.</w:t>
      </w:r>
    </w:p>
  </w:footnote>
  <w:footnote w:id="61">
    <w:p w:rsidR="004B519A" w:rsidRPr="00E057BA" w:rsidRDefault="004B519A" w:rsidP="00D960CD">
      <w:pPr>
        <w:pStyle w:val="Voetnoottekst"/>
        <w:rPr>
          <w:lang w:val="nl-NL"/>
        </w:rPr>
      </w:pPr>
      <w:r w:rsidRPr="00E2733B">
        <w:rPr>
          <w:rStyle w:val="Voetnootmarkering"/>
          <w:lang w:val="nl-NL"/>
        </w:rPr>
        <w:footnoteRef/>
      </w:r>
      <w:r w:rsidRPr="00E2733B">
        <w:rPr>
          <w:rFonts w:ascii="Times New Roman" w:hAnsi="Times New Roman"/>
          <w:lang w:val="nl-NL"/>
        </w:rPr>
        <w:t xml:space="preserve"> Memorie van Toelichting, Kamerstukken II, 1999/00, 27</w:t>
      </w:r>
      <w:r>
        <w:rPr>
          <w:rFonts w:ascii="Times New Roman" w:hAnsi="Times New Roman"/>
          <w:lang w:val="nl-NL"/>
        </w:rPr>
        <w:t xml:space="preserve"> </w:t>
      </w:r>
      <w:r w:rsidRPr="00E2733B">
        <w:rPr>
          <w:rFonts w:ascii="Times New Roman" w:hAnsi="Times New Roman"/>
          <w:lang w:val="nl-NL"/>
        </w:rPr>
        <w:t xml:space="preserve">209, nr. 3, </w:t>
      </w:r>
      <w:proofErr w:type="spellStart"/>
      <w:r w:rsidRPr="00E2733B">
        <w:rPr>
          <w:rFonts w:ascii="Times New Roman" w:hAnsi="Times New Roman"/>
          <w:lang w:val="nl-NL"/>
        </w:rPr>
        <w:t>blz</w:t>
      </w:r>
      <w:proofErr w:type="spellEnd"/>
      <w:r w:rsidRPr="00E2733B">
        <w:rPr>
          <w:rFonts w:ascii="Times New Roman" w:hAnsi="Times New Roman"/>
          <w:lang w:val="nl-NL"/>
        </w:rPr>
        <w:t xml:space="preserve"> 2.</w:t>
      </w:r>
    </w:p>
  </w:footnote>
  <w:footnote w:id="62">
    <w:p w:rsidR="004B519A" w:rsidRPr="00E057BA" w:rsidRDefault="004B519A" w:rsidP="00F779BA">
      <w:pPr>
        <w:pStyle w:val="Voetnoottekst"/>
        <w:rPr>
          <w:lang w:val="nl-NL"/>
        </w:rPr>
      </w:pPr>
      <w:r w:rsidRPr="00E2733B">
        <w:rPr>
          <w:rStyle w:val="Voetnootmarkering"/>
          <w:lang w:val="nl-NL"/>
        </w:rPr>
        <w:footnoteRef/>
      </w:r>
      <w:r w:rsidRPr="00E2733B">
        <w:rPr>
          <w:rFonts w:ascii="Times New Roman" w:hAnsi="Times New Roman"/>
          <w:lang w:val="nl-NL"/>
        </w:rPr>
        <w:t xml:space="preserve"> Dit rapport is aangeboden aan de </w:t>
      </w:r>
      <w:r>
        <w:rPr>
          <w:rFonts w:ascii="Times New Roman" w:hAnsi="Times New Roman"/>
          <w:lang w:val="nl-NL"/>
        </w:rPr>
        <w:t>T</w:t>
      </w:r>
      <w:r w:rsidRPr="00E2733B">
        <w:rPr>
          <w:rFonts w:ascii="Times New Roman" w:hAnsi="Times New Roman"/>
          <w:lang w:val="nl-NL"/>
        </w:rPr>
        <w:t xml:space="preserve">weede </w:t>
      </w:r>
      <w:r>
        <w:rPr>
          <w:rFonts w:ascii="Times New Roman" w:hAnsi="Times New Roman"/>
          <w:lang w:val="nl-NL"/>
        </w:rPr>
        <w:t>K</w:t>
      </w:r>
      <w:r w:rsidRPr="00E2733B">
        <w:rPr>
          <w:rFonts w:ascii="Times New Roman" w:hAnsi="Times New Roman"/>
          <w:lang w:val="nl-NL"/>
        </w:rPr>
        <w:t>amer op 29 juli 1998, nr. AFP 98/314M.</w:t>
      </w:r>
    </w:p>
  </w:footnote>
  <w:footnote w:id="63">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Rapport ‘</w:t>
      </w:r>
      <w:r w:rsidRPr="00E2733B">
        <w:rPr>
          <w:rFonts w:ascii="Times New Roman" w:hAnsi="Times New Roman"/>
          <w:i/>
          <w:lang w:val="nl-NL"/>
        </w:rPr>
        <w:t>Duwtje in de rug</w:t>
      </w:r>
      <w:r w:rsidRPr="00E2733B">
        <w:rPr>
          <w:rFonts w:ascii="Times New Roman" w:hAnsi="Times New Roman"/>
          <w:lang w:val="nl-NL"/>
        </w:rPr>
        <w:t>’, werkgroep Oort II,</w:t>
      </w:r>
      <w:r w:rsidRPr="00E2733B">
        <w:rPr>
          <w:rFonts w:ascii="Verdana" w:hAnsi="Verdana" w:cs="Tahoma"/>
          <w:color w:val="000000"/>
          <w:szCs w:val="22"/>
          <w:lang w:val="nl-NL"/>
        </w:rPr>
        <w:t xml:space="preserve"> </w:t>
      </w:r>
      <w:r w:rsidRPr="00E2733B">
        <w:rPr>
          <w:rFonts w:ascii="Times New Roman" w:hAnsi="Times New Roman"/>
          <w:lang w:val="nl-NL"/>
        </w:rPr>
        <w:t>AFP98/314M, blz. 6.</w:t>
      </w:r>
    </w:p>
  </w:footnote>
  <w:footnote w:id="64">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Memorie van Toelichting, Kamerstukken II 1999/00, 27</w:t>
      </w:r>
      <w:r>
        <w:rPr>
          <w:rFonts w:ascii="Times New Roman" w:hAnsi="Times New Roman"/>
          <w:lang w:val="nl-NL"/>
        </w:rPr>
        <w:t xml:space="preserve"> </w:t>
      </w:r>
      <w:r w:rsidRPr="00E2733B">
        <w:rPr>
          <w:rFonts w:ascii="Times New Roman" w:hAnsi="Times New Roman"/>
          <w:lang w:val="nl-NL"/>
        </w:rPr>
        <w:t xml:space="preserve">209, nr. 3, </w:t>
      </w:r>
      <w:proofErr w:type="spellStart"/>
      <w:r w:rsidRPr="00E2733B">
        <w:rPr>
          <w:rFonts w:ascii="Times New Roman" w:hAnsi="Times New Roman"/>
          <w:lang w:val="nl-NL"/>
        </w:rPr>
        <w:t>blz</w:t>
      </w:r>
      <w:proofErr w:type="spellEnd"/>
      <w:r w:rsidRPr="00E2733B">
        <w:rPr>
          <w:rFonts w:ascii="Times New Roman" w:hAnsi="Times New Roman"/>
          <w:lang w:val="nl-NL"/>
        </w:rPr>
        <w:t xml:space="preserve"> 8.</w:t>
      </w:r>
    </w:p>
  </w:footnote>
  <w:footnote w:id="65">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Memorie van Toelichting, Kamerstukken II 1999/00, 27209, nr. 3, </w:t>
      </w:r>
      <w:proofErr w:type="spellStart"/>
      <w:r w:rsidRPr="00E2733B">
        <w:rPr>
          <w:rFonts w:ascii="Times New Roman" w:hAnsi="Times New Roman"/>
          <w:lang w:val="nl-NL"/>
        </w:rPr>
        <w:t>blz</w:t>
      </w:r>
      <w:proofErr w:type="spellEnd"/>
      <w:r w:rsidRPr="00E2733B">
        <w:rPr>
          <w:rFonts w:ascii="Times New Roman" w:hAnsi="Times New Roman"/>
          <w:lang w:val="nl-NL"/>
        </w:rPr>
        <w:t xml:space="preserve"> 8.</w:t>
      </w:r>
    </w:p>
  </w:footnote>
  <w:footnote w:id="66">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Rapport ‘</w:t>
      </w:r>
      <w:r w:rsidRPr="00E2733B">
        <w:rPr>
          <w:rFonts w:ascii="Times New Roman" w:hAnsi="Times New Roman"/>
          <w:i/>
          <w:lang w:val="nl-NL"/>
        </w:rPr>
        <w:t>Duwtje in de rug</w:t>
      </w:r>
      <w:r w:rsidRPr="00E2733B">
        <w:rPr>
          <w:rFonts w:ascii="Times New Roman" w:hAnsi="Times New Roman"/>
          <w:lang w:val="nl-NL"/>
        </w:rPr>
        <w:t>’, werkgroep Oort II,</w:t>
      </w:r>
      <w:r w:rsidRPr="00E2733B">
        <w:rPr>
          <w:rFonts w:ascii="Verdana" w:hAnsi="Verdana" w:cs="Tahoma"/>
          <w:color w:val="000000"/>
          <w:szCs w:val="22"/>
          <w:lang w:val="nl-NL"/>
        </w:rPr>
        <w:t xml:space="preserve"> </w:t>
      </w:r>
      <w:r w:rsidRPr="00E2733B">
        <w:rPr>
          <w:rFonts w:ascii="Times New Roman" w:hAnsi="Times New Roman"/>
          <w:lang w:val="nl-NL"/>
        </w:rPr>
        <w:t>AFP98/314M, blz. 18.</w:t>
      </w:r>
    </w:p>
  </w:footnote>
  <w:footnote w:id="67">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Ibid, blz.20</w:t>
      </w:r>
    </w:p>
  </w:footnote>
  <w:footnote w:id="68">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Nota n.a.v. Verslag, Kamerstukken II 1999/00, 27209, nr. 6.</w:t>
      </w:r>
    </w:p>
  </w:footnote>
  <w:footnote w:id="69">
    <w:p w:rsidR="004B519A" w:rsidRPr="00E057BA" w:rsidRDefault="004B519A" w:rsidP="00F372C1">
      <w:pPr>
        <w:pStyle w:val="Voetnoottekst"/>
        <w:rPr>
          <w:lang w:val="nl-NL"/>
        </w:rPr>
      </w:pPr>
      <w:r w:rsidRPr="00E2733B">
        <w:rPr>
          <w:rStyle w:val="Voetnootmarkering"/>
          <w:lang w:val="nl-NL"/>
        </w:rPr>
        <w:footnoteRef/>
      </w:r>
      <w:r w:rsidRPr="00E2733B">
        <w:rPr>
          <w:rFonts w:ascii="Times New Roman" w:hAnsi="Times New Roman"/>
          <w:lang w:val="nl-NL"/>
        </w:rPr>
        <w:t xml:space="preserve"> B.F. </w:t>
      </w:r>
      <w:proofErr w:type="spellStart"/>
      <w:r w:rsidRPr="00E2733B">
        <w:rPr>
          <w:rFonts w:ascii="Times New Roman" w:hAnsi="Times New Roman"/>
          <w:lang w:val="nl-NL"/>
        </w:rPr>
        <w:t>Schuver</w:t>
      </w:r>
      <w:proofErr w:type="spellEnd"/>
      <w:r w:rsidRPr="00E2733B">
        <w:rPr>
          <w:rFonts w:ascii="Times New Roman" w:hAnsi="Times New Roman"/>
          <w:lang w:val="nl-NL"/>
        </w:rPr>
        <w:t>, ‘</w:t>
      </w:r>
      <w:r w:rsidRPr="00E2733B">
        <w:rPr>
          <w:rFonts w:ascii="Times New Roman" w:hAnsi="Times New Roman"/>
          <w:i/>
          <w:iCs/>
          <w:lang w:val="nl-NL"/>
        </w:rPr>
        <w:t>Doorschuiffaciliteiten in de inkomstenbelasting’</w:t>
      </w:r>
      <w:r w:rsidRPr="00E2733B">
        <w:rPr>
          <w:rFonts w:ascii="Times New Roman" w:hAnsi="Times New Roman"/>
          <w:lang w:val="nl-NL"/>
        </w:rPr>
        <w:t xml:space="preserve"> (Fiscale Geschriften nr. 17), Amersfoort: </w:t>
      </w:r>
      <w:proofErr w:type="spellStart"/>
      <w:r w:rsidRPr="00E2733B">
        <w:rPr>
          <w:rFonts w:ascii="Times New Roman" w:hAnsi="Times New Roman"/>
          <w:lang w:val="nl-NL"/>
        </w:rPr>
        <w:t>Sdu</w:t>
      </w:r>
      <w:proofErr w:type="spellEnd"/>
      <w:r w:rsidRPr="00E2733B">
        <w:rPr>
          <w:rFonts w:ascii="Times New Roman" w:hAnsi="Times New Roman"/>
          <w:lang w:val="nl-NL"/>
        </w:rPr>
        <w:t xml:space="preserve"> 2005, blz. 101.</w:t>
      </w:r>
    </w:p>
  </w:footnote>
  <w:footnote w:id="70">
    <w:p w:rsidR="004B519A" w:rsidRPr="00E057BA" w:rsidRDefault="004B519A" w:rsidP="005D6883">
      <w:pPr>
        <w:pStyle w:val="Voetnoottekst"/>
        <w:rPr>
          <w:lang w:val="nl-NL"/>
        </w:rPr>
      </w:pPr>
      <w:r w:rsidRPr="00E2733B">
        <w:rPr>
          <w:rStyle w:val="Voetnootmarkering"/>
          <w:lang w:val="nl-NL"/>
        </w:rPr>
        <w:footnoteRef/>
      </w:r>
      <w:r w:rsidRPr="00E2733B">
        <w:rPr>
          <w:rFonts w:ascii="Times New Roman" w:hAnsi="Times New Roman"/>
          <w:lang w:val="nl-NL"/>
        </w:rPr>
        <w:t xml:space="preserve"> Memorie van Toelichting, Kamerstukken II</w:t>
      </w:r>
      <w:r>
        <w:rPr>
          <w:rFonts w:ascii="Times New Roman" w:hAnsi="Times New Roman"/>
          <w:lang w:val="nl-NL"/>
        </w:rPr>
        <w:t xml:space="preserve"> 2009/10</w:t>
      </w:r>
      <w:r w:rsidRPr="00E2733B">
        <w:rPr>
          <w:rFonts w:ascii="Times New Roman" w:hAnsi="Times New Roman"/>
          <w:lang w:val="nl-NL"/>
        </w:rPr>
        <w:t>, 32</w:t>
      </w:r>
      <w:r>
        <w:rPr>
          <w:rFonts w:ascii="Times New Roman" w:hAnsi="Times New Roman"/>
          <w:lang w:val="nl-NL"/>
        </w:rPr>
        <w:t xml:space="preserve"> </w:t>
      </w:r>
      <w:r w:rsidRPr="00E2733B">
        <w:rPr>
          <w:rFonts w:ascii="Times New Roman" w:hAnsi="Times New Roman"/>
          <w:lang w:val="nl-NL"/>
        </w:rPr>
        <w:t>129, nr. 3, blz. 2</w:t>
      </w:r>
      <w:r>
        <w:rPr>
          <w:rFonts w:ascii="Times New Roman" w:hAnsi="Times New Roman"/>
          <w:lang w:val="nl-NL"/>
        </w:rPr>
        <w:t>.</w:t>
      </w:r>
    </w:p>
  </w:footnote>
  <w:footnote w:id="71">
    <w:p w:rsidR="004B519A" w:rsidRPr="00E057BA" w:rsidRDefault="004B519A" w:rsidP="00A55B64">
      <w:pPr>
        <w:pStyle w:val="Voetnoottekst"/>
        <w:rPr>
          <w:lang w:val="nl-NL"/>
        </w:rPr>
      </w:pPr>
      <w:r w:rsidRPr="00E2733B">
        <w:rPr>
          <w:rStyle w:val="Voetnootmarkering"/>
          <w:lang w:val="nl-NL"/>
        </w:rPr>
        <w:footnoteRef/>
      </w:r>
      <w:r w:rsidRPr="00E2733B">
        <w:rPr>
          <w:rFonts w:ascii="Times New Roman" w:hAnsi="Times New Roman"/>
          <w:lang w:val="nl-NL"/>
        </w:rPr>
        <w:t xml:space="preserve"> Ibid., blz. 3</w:t>
      </w:r>
    </w:p>
  </w:footnote>
  <w:footnote w:id="72">
    <w:p w:rsidR="004B519A" w:rsidRPr="00E057BA" w:rsidRDefault="004B519A" w:rsidP="005D6883">
      <w:pPr>
        <w:pStyle w:val="Voetnoottekst"/>
        <w:rPr>
          <w:lang w:val="nl-NL"/>
        </w:rPr>
      </w:pPr>
      <w:r w:rsidRPr="00E2733B">
        <w:rPr>
          <w:rStyle w:val="Voetnootmarkering"/>
          <w:lang w:val="nl-NL"/>
        </w:rPr>
        <w:footnoteRef/>
      </w:r>
      <w:r w:rsidRPr="00E2733B">
        <w:rPr>
          <w:rFonts w:ascii="Times New Roman" w:hAnsi="Times New Roman"/>
          <w:lang w:val="nl-NL"/>
        </w:rPr>
        <w:t xml:space="preserve"> Memorie van Toelichting, Kamerstukken II</w:t>
      </w:r>
      <w:r>
        <w:rPr>
          <w:rFonts w:ascii="Times New Roman" w:hAnsi="Times New Roman"/>
          <w:lang w:val="nl-NL"/>
        </w:rPr>
        <w:t xml:space="preserve"> 2009/10</w:t>
      </w:r>
      <w:r w:rsidRPr="00E2733B">
        <w:rPr>
          <w:rFonts w:ascii="Times New Roman" w:hAnsi="Times New Roman"/>
          <w:lang w:val="nl-NL"/>
        </w:rPr>
        <w:t>, 32</w:t>
      </w:r>
      <w:r>
        <w:rPr>
          <w:rFonts w:ascii="Times New Roman" w:hAnsi="Times New Roman"/>
          <w:lang w:val="nl-NL"/>
        </w:rPr>
        <w:t xml:space="preserve"> </w:t>
      </w:r>
      <w:r w:rsidRPr="00E2733B">
        <w:rPr>
          <w:rFonts w:ascii="Times New Roman" w:hAnsi="Times New Roman"/>
          <w:lang w:val="nl-NL"/>
        </w:rPr>
        <w:t>129, nr. 3, blz. 5</w:t>
      </w:r>
      <w:r>
        <w:rPr>
          <w:rFonts w:ascii="Times New Roman" w:hAnsi="Times New Roman"/>
          <w:lang w:val="nl-NL"/>
        </w:rPr>
        <w:t>.</w:t>
      </w:r>
    </w:p>
  </w:footnote>
  <w:footnote w:id="73">
    <w:p w:rsidR="004B519A" w:rsidRPr="00E057BA" w:rsidRDefault="004B519A" w:rsidP="00A55B64">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Ibid, blz. 2</w:t>
      </w:r>
    </w:p>
  </w:footnote>
  <w:footnote w:id="74">
    <w:p w:rsidR="004B519A" w:rsidRPr="00E057BA" w:rsidRDefault="004B519A" w:rsidP="00A55B64">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Derde Nota van Wijziging, Kamerstukken II, 32</w:t>
      </w:r>
      <w:r>
        <w:rPr>
          <w:rFonts w:ascii="Times New Roman" w:hAnsi="Times New Roman"/>
          <w:lang w:val="nl-NL"/>
        </w:rPr>
        <w:t xml:space="preserve"> </w:t>
      </w:r>
      <w:r w:rsidRPr="00E2733B">
        <w:rPr>
          <w:rFonts w:ascii="Times New Roman" w:hAnsi="Times New Roman"/>
          <w:lang w:val="nl-NL"/>
        </w:rPr>
        <w:t>129, nr. 14, blz. 3.</w:t>
      </w:r>
    </w:p>
  </w:footnote>
  <w:footnote w:id="75">
    <w:p w:rsidR="004B519A" w:rsidRPr="00E057BA" w:rsidRDefault="004B519A" w:rsidP="00A55B64">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Nota n.a.v. Verslag, Kamerstukken II, 32</w:t>
      </w:r>
      <w:r>
        <w:rPr>
          <w:rFonts w:ascii="Times New Roman" w:hAnsi="Times New Roman"/>
          <w:lang w:val="nl-NL"/>
        </w:rPr>
        <w:t xml:space="preserve"> </w:t>
      </w:r>
      <w:r w:rsidRPr="00E2733B">
        <w:rPr>
          <w:rFonts w:ascii="Times New Roman" w:hAnsi="Times New Roman"/>
          <w:lang w:val="nl-NL"/>
        </w:rPr>
        <w:t>129, nr. 9, blz. 5.</w:t>
      </w:r>
    </w:p>
  </w:footnote>
  <w:footnote w:id="76">
    <w:p w:rsidR="004B519A" w:rsidRPr="00E057BA" w:rsidRDefault="004B519A" w:rsidP="00EF51C9">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Het kan voorkomen dat onderdelen toegerekend kunnen worden aan zowel het belastingsubject als het  </w:t>
      </w:r>
      <w:r>
        <w:rPr>
          <w:rFonts w:ascii="Times New Roman" w:hAnsi="Times New Roman"/>
          <w:lang w:val="nl-NL"/>
        </w:rPr>
        <w:t>belasting</w:t>
      </w:r>
      <w:r w:rsidRPr="00E2733B">
        <w:rPr>
          <w:rFonts w:ascii="Times New Roman" w:hAnsi="Times New Roman"/>
          <w:lang w:val="nl-NL"/>
        </w:rPr>
        <w:t>object, ten aanzien hiervan zal ik de onderverdeling maken op basis van de meest logische keuze.</w:t>
      </w:r>
    </w:p>
  </w:footnote>
  <w:footnote w:id="77">
    <w:p w:rsidR="004B519A" w:rsidRPr="00E057BA" w:rsidRDefault="004B519A" w:rsidP="00A841F6">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Voor een kwalificatie van medegerechtigdheid dient te worden gekeken naar artikel 3.3, Wet IB 2001. Zo kan een vennootschap een medegerechtigdheid houden indien deze bijvoorbeeld de positie van comman</w:t>
      </w:r>
      <w:r>
        <w:rPr>
          <w:rFonts w:ascii="Times New Roman" w:hAnsi="Times New Roman"/>
          <w:lang w:val="nl-NL"/>
        </w:rPr>
        <w:t>d</w:t>
      </w:r>
      <w:r w:rsidRPr="00E2733B">
        <w:rPr>
          <w:rFonts w:ascii="Times New Roman" w:hAnsi="Times New Roman"/>
          <w:lang w:val="nl-NL"/>
        </w:rPr>
        <w:t>itaire vennoot inneemt.</w:t>
      </w:r>
    </w:p>
  </w:footnote>
  <w:footnote w:id="78">
    <w:p w:rsidR="004B519A" w:rsidRPr="00E057BA" w:rsidRDefault="004B519A" w:rsidP="00A841F6">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Het betreft hier een medegerechtigdheid </w:t>
      </w:r>
      <w:r>
        <w:rPr>
          <w:rFonts w:ascii="Times New Roman" w:hAnsi="Times New Roman"/>
          <w:lang w:val="nl-NL"/>
        </w:rPr>
        <w:t xml:space="preserve">als bedoeld in </w:t>
      </w:r>
      <w:r w:rsidRPr="00E2733B">
        <w:rPr>
          <w:rFonts w:ascii="Times New Roman" w:hAnsi="Times New Roman"/>
          <w:lang w:val="nl-NL"/>
        </w:rPr>
        <w:t>het eerste lid</w:t>
      </w:r>
      <w:r>
        <w:rPr>
          <w:rFonts w:ascii="Times New Roman" w:hAnsi="Times New Roman"/>
          <w:lang w:val="nl-NL"/>
        </w:rPr>
        <w:t>,</w:t>
      </w:r>
      <w:r w:rsidRPr="00E2733B">
        <w:rPr>
          <w:rFonts w:ascii="Times New Roman" w:hAnsi="Times New Roman"/>
          <w:lang w:val="nl-NL"/>
        </w:rPr>
        <w:t xml:space="preserve"> onderdeel a van artikel 3.3, Wet IB 2001.</w:t>
      </w:r>
    </w:p>
  </w:footnote>
  <w:footnote w:id="79">
    <w:p w:rsidR="004B519A" w:rsidRPr="00E057BA" w:rsidRDefault="004B519A" w:rsidP="00F8338C">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Over de stakingswinst ten aanzien van de IB-onderneming hoeft niet altijd compleet afgerekend te worden. Door toepassing van artikel 3.129, Wet IB 2001 kan de stakingswinst, of een gedeelte hiervan, worden omgezet in een lijfrente.</w:t>
      </w:r>
    </w:p>
  </w:footnote>
  <w:footnote w:id="80">
    <w:p w:rsidR="004B519A" w:rsidRPr="00E057BA" w:rsidRDefault="004B519A" w:rsidP="00F8338C">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 xml:space="preserve">Nota n.a.v. verslag, </w:t>
      </w:r>
      <w:r w:rsidRPr="00E2733B">
        <w:rPr>
          <w:rFonts w:ascii="Times New Roman" w:hAnsi="Times New Roman"/>
          <w:iCs/>
          <w:color w:val="000000"/>
          <w:lang w:val="nl-NL" w:eastAsia="nl-NL"/>
        </w:rPr>
        <w:t>Kamerstukken II</w:t>
      </w:r>
      <w:r w:rsidRPr="00E2733B">
        <w:rPr>
          <w:rFonts w:ascii="Times New Roman" w:hAnsi="Times New Roman"/>
          <w:color w:val="000000"/>
          <w:lang w:val="nl-NL" w:eastAsia="nl-NL"/>
        </w:rPr>
        <w:t xml:space="preserve"> 2009/10, 32 129,  8, blz. 13. Hierin geeft de Staat</w:t>
      </w:r>
      <w:r>
        <w:rPr>
          <w:rFonts w:ascii="Times New Roman" w:hAnsi="Times New Roman"/>
          <w:color w:val="000000"/>
          <w:lang w:val="nl-NL" w:eastAsia="nl-NL"/>
        </w:rPr>
        <w:t>s</w:t>
      </w:r>
      <w:r w:rsidRPr="00E2733B">
        <w:rPr>
          <w:rFonts w:ascii="Times New Roman" w:hAnsi="Times New Roman"/>
          <w:color w:val="000000"/>
          <w:lang w:val="nl-NL" w:eastAsia="nl-NL"/>
        </w:rPr>
        <w:t xml:space="preserve">secretaris aan dat ten aanzien van de pensioenvoorziening </w:t>
      </w:r>
      <w:r w:rsidRPr="00E2733B">
        <w:rPr>
          <w:rFonts w:ascii="Times New Roman" w:hAnsi="Times New Roman"/>
          <w:lang w:val="nl-NL" w:eastAsia="nl-NL"/>
        </w:rPr>
        <w:t>alleen dat deel van de waarde van de met de pensioenverplichting verband houdende activa dat de pensioenverplichting overstijgt als beleggingsvermogen wordt aangemerk</w:t>
      </w:r>
      <w:r>
        <w:rPr>
          <w:rFonts w:ascii="Times New Roman" w:hAnsi="Times New Roman"/>
          <w:lang w:val="nl-NL" w:eastAsia="nl-NL"/>
        </w:rPr>
        <w:t>t.</w:t>
      </w:r>
    </w:p>
  </w:footnote>
  <w:footnote w:id="81">
    <w:p w:rsidR="004B519A" w:rsidRPr="00E057BA" w:rsidRDefault="004B519A" w:rsidP="00F8338C">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w:t>
      </w:r>
      <w:r>
        <w:rPr>
          <w:rFonts w:ascii="Times New Roman" w:hAnsi="Times New Roman"/>
          <w:lang w:val="nl-NL"/>
        </w:rPr>
        <w:t xml:space="preserve">Nota n.a.v. Verslag, </w:t>
      </w:r>
      <w:r w:rsidRPr="00E2733B">
        <w:rPr>
          <w:rFonts w:ascii="Times New Roman" w:hAnsi="Times New Roman"/>
          <w:iCs/>
          <w:lang w:val="nl-NL"/>
        </w:rPr>
        <w:t>Kamerstukken II</w:t>
      </w:r>
      <w:r w:rsidRPr="00E2733B">
        <w:rPr>
          <w:rFonts w:ascii="Times New Roman" w:hAnsi="Times New Roman"/>
          <w:lang w:val="nl-NL"/>
        </w:rPr>
        <w:t xml:space="preserve"> 2008/09,  31</w:t>
      </w:r>
      <w:r>
        <w:rPr>
          <w:rFonts w:ascii="Times New Roman" w:hAnsi="Times New Roman"/>
          <w:lang w:val="nl-NL"/>
        </w:rPr>
        <w:t xml:space="preserve"> 930, nr. 9, blz. 97 en MvA</w:t>
      </w:r>
      <w:r w:rsidRPr="00E2733B">
        <w:rPr>
          <w:rFonts w:ascii="Times New Roman" w:hAnsi="Times New Roman"/>
          <w:lang w:val="nl-NL"/>
        </w:rPr>
        <w:t xml:space="preserve">, </w:t>
      </w:r>
      <w:r w:rsidRPr="00E2733B">
        <w:rPr>
          <w:rFonts w:ascii="Times New Roman" w:hAnsi="Times New Roman"/>
          <w:iCs/>
          <w:lang w:val="nl-NL"/>
        </w:rPr>
        <w:t>Kamerstukken I</w:t>
      </w:r>
      <w:r w:rsidRPr="00E2733B">
        <w:rPr>
          <w:rFonts w:ascii="Times New Roman" w:hAnsi="Times New Roman"/>
          <w:lang w:val="nl-NL"/>
        </w:rPr>
        <w:t xml:space="preserve"> 2009/10, </w:t>
      </w:r>
      <w:r>
        <w:rPr>
          <w:rFonts w:ascii="Times New Roman" w:hAnsi="Times New Roman"/>
          <w:lang w:val="nl-NL"/>
        </w:rPr>
        <w:t xml:space="preserve">      </w:t>
      </w:r>
      <w:r w:rsidRPr="00E2733B">
        <w:rPr>
          <w:rFonts w:ascii="Times New Roman" w:hAnsi="Times New Roman"/>
          <w:lang w:val="nl-NL"/>
        </w:rPr>
        <w:t>31</w:t>
      </w:r>
      <w:r>
        <w:rPr>
          <w:rFonts w:ascii="Times New Roman" w:hAnsi="Times New Roman"/>
          <w:lang w:val="nl-NL"/>
        </w:rPr>
        <w:t xml:space="preserve"> </w:t>
      </w:r>
      <w:r w:rsidRPr="00E2733B">
        <w:rPr>
          <w:rFonts w:ascii="Times New Roman" w:hAnsi="Times New Roman"/>
          <w:lang w:val="nl-NL"/>
        </w:rPr>
        <w:t>930, D, blz. 39.</w:t>
      </w:r>
    </w:p>
  </w:footnote>
  <w:footnote w:id="82">
    <w:p w:rsidR="004B519A" w:rsidRPr="00E057BA" w:rsidRDefault="004B519A" w:rsidP="00F8338C">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 xml:space="preserve">Zie o.a.: </w:t>
      </w:r>
      <w:r w:rsidRPr="00E2733B">
        <w:rPr>
          <w:rStyle w:val="addmd1"/>
          <w:rFonts w:ascii="Times New Roman" w:hAnsi="Times New Roman"/>
          <w:color w:val="000000"/>
          <w:lang w:val="nl-NL"/>
        </w:rPr>
        <w:t>A.O. Lubbers, G.T.K. Meussen</w:t>
      </w:r>
      <w:r w:rsidRPr="00E2733B">
        <w:rPr>
          <w:rFonts w:ascii="Times New Roman" w:hAnsi="Times New Roman"/>
          <w:lang w:val="nl-NL"/>
        </w:rPr>
        <w:t xml:space="preserve">, </w:t>
      </w:r>
      <w:r w:rsidRPr="00E2733B">
        <w:rPr>
          <w:rFonts w:ascii="Times New Roman" w:hAnsi="Times New Roman"/>
          <w:i/>
          <w:lang w:val="nl-NL"/>
        </w:rPr>
        <w:t>‘Hoofdzaken winst uit onderneming’</w:t>
      </w:r>
      <w:r w:rsidRPr="00E2733B">
        <w:rPr>
          <w:rFonts w:ascii="Times New Roman" w:hAnsi="Times New Roman"/>
          <w:lang w:val="nl-NL"/>
        </w:rPr>
        <w:t>, Kluwer, Deventer, 2008, blz. 50-51.</w:t>
      </w:r>
    </w:p>
  </w:footnote>
  <w:footnote w:id="83">
    <w:p w:rsidR="004B519A" w:rsidRPr="00E057BA" w:rsidRDefault="004B519A" w:rsidP="00F8338C">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Zie lid vijf, artikel 2, Wet VPB 1969.</w:t>
      </w:r>
    </w:p>
  </w:footnote>
  <w:footnote w:id="84">
    <w:p w:rsidR="004B519A" w:rsidRPr="00E057BA" w:rsidRDefault="004B519A" w:rsidP="00F8338C">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Zie Vakstudie, commentaar bij artikel 3.8, Wet IB 2001, §6.2 (online geraadpleegd).</w:t>
      </w:r>
    </w:p>
  </w:footnote>
  <w:footnote w:id="85">
    <w:p w:rsidR="004B519A" w:rsidRPr="00E057BA" w:rsidRDefault="004B519A" w:rsidP="00F8338C">
      <w:pPr>
        <w:pStyle w:val="Voetnoottekst"/>
        <w:rPr>
          <w:lang w:val="nl-NL"/>
        </w:rPr>
      </w:pPr>
      <w:r w:rsidRPr="00E2733B">
        <w:rPr>
          <w:rStyle w:val="Voetnootmarkering"/>
          <w:lang w:val="nl-NL"/>
        </w:rPr>
        <w:footnoteRef/>
      </w:r>
      <w:r w:rsidRPr="00E2733B">
        <w:rPr>
          <w:rFonts w:ascii="Times New Roman" w:hAnsi="Times New Roman"/>
          <w:lang w:val="nl-NL"/>
        </w:rPr>
        <w:t xml:space="preserve"> MvT, Kamerstukken II 2009/10, 32129, nr. 3, blz. 43.</w:t>
      </w:r>
    </w:p>
  </w:footnote>
  <w:footnote w:id="86">
    <w:p w:rsidR="004B519A" w:rsidRPr="00E057BA" w:rsidRDefault="004B519A" w:rsidP="00E668C4">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 xml:space="preserve">Nota n.a.v. verslag, </w:t>
      </w:r>
      <w:r w:rsidRPr="00E2733B">
        <w:rPr>
          <w:rFonts w:ascii="Times New Roman" w:hAnsi="Times New Roman"/>
          <w:iCs/>
          <w:color w:val="000000"/>
          <w:lang w:val="nl-NL" w:eastAsia="nl-NL"/>
        </w:rPr>
        <w:t>Kamerstukken II</w:t>
      </w:r>
      <w:r w:rsidRPr="00E2733B">
        <w:rPr>
          <w:rFonts w:ascii="Times New Roman" w:hAnsi="Times New Roman"/>
          <w:color w:val="000000"/>
          <w:lang w:val="nl-NL" w:eastAsia="nl-NL"/>
        </w:rPr>
        <w:t xml:space="preserve"> 2009/10, 32 129,  8, blz</w:t>
      </w:r>
      <w:r>
        <w:rPr>
          <w:rFonts w:ascii="Times New Roman" w:hAnsi="Times New Roman"/>
          <w:color w:val="000000"/>
          <w:lang w:val="nl-NL" w:eastAsia="nl-NL"/>
        </w:rPr>
        <w:t>.</w:t>
      </w:r>
      <w:r w:rsidRPr="00E2733B">
        <w:rPr>
          <w:rFonts w:ascii="Times New Roman" w:hAnsi="Times New Roman"/>
          <w:color w:val="000000"/>
          <w:lang w:val="nl-NL" w:eastAsia="nl-NL"/>
        </w:rPr>
        <w:t xml:space="preserve"> 9.</w:t>
      </w:r>
    </w:p>
  </w:footnote>
  <w:footnote w:id="87">
    <w:p w:rsidR="004B519A" w:rsidRPr="00E057BA" w:rsidRDefault="004B519A" w:rsidP="00405553">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Het kan voorkomen dat onderdelen toegerekend kunnen worden aan zowel het belastingsubject als het  </w:t>
      </w:r>
      <w:r>
        <w:rPr>
          <w:rFonts w:ascii="Times New Roman" w:hAnsi="Times New Roman"/>
          <w:lang w:val="nl-NL"/>
        </w:rPr>
        <w:t>belasting</w:t>
      </w:r>
      <w:r w:rsidRPr="00E2733B">
        <w:rPr>
          <w:rFonts w:ascii="Times New Roman" w:hAnsi="Times New Roman"/>
          <w:lang w:val="nl-NL"/>
        </w:rPr>
        <w:t>object, ten aanzien hiervan zal ik de onderverdeling maken op basis van de meest logische keuze.</w:t>
      </w:r>
    </w:p>
  </w:footnote>
  <w:footnote w:id="88">
    <w:p w:rsidR="004B519A" w:rsidRPr="00E057BA" w:rsidRDefault="004B519A" w:rsidP="00DE10DC">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Het inkomen uit box drie wordt bereken</w:t>
      </w:r>
      <w:r>
        <w:rPr>
          <w:rFonts w:ascii="Times New Roman" w:hAnsi="Times New Roman"/>
          <w:lang w:val="nl-NL"/>
        </w:rPr>
        <w:t>d</w:t>
      </w:r>
      <w:r w:rsidRPr="00E2733B">
        <w:rPr>
          <w:rFonts w:ascii="Times New Roman" w:hAnsi="Times New Roman"/>
          <w:lang w:val="nl-NL"/>
        </w:rPr>
        <w:t xml:space="preserve"> doordat een forfaitair rendement van 4% wordt verondersteld.</w:t>
      </w:r>
    </w:p>
  </w:footnote>
  <w:footnote w:id="89">
    <w:p w:rsidR="004B519A" w:rsidRPr="00E057BA" w:rsidRDefault="004B519A" w:rsidP="005D6883">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MvT, Kamerstukken II 2009/10, 32 129, nr. 3, blz. 41.</w:t>
      </w:r>
    </w:p>
  </w:footnote>
  <w:footnote w:id="90">
    <w:p w:rsidR="004B519A" w:rsidRPr="00E057BA" w:rsidRDefault="004B519A" w:rsidP="00DE10DC">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MvT. Kamerstukken II</w:t>
      </w:r>
      <w:r>
        <w:rPr>
          <w:rFonts w:ascii="Times New Roman" w:hAnsi="Times New Roman"/>
          <w:lang w:val="nl-NL"/>
        </w:rPr>
        <w:t xml:space="preserve"> 2009/10</w:t>
      </w:r>
      <w:r w:rsidRPr="00E2733B">
        <w:rPr>
          <w:rFonts w:ascii="Times New Roman" w:hAnsi="Times New Roman"/>
          <w:lang w:val="nl-NL"/>
        </w:rPr>
        <w:t>, 32 129, nr. 3, blz. 5.</w:t>
      </w:r>
    </w:p>
  </w:footnote>
  <w:footnote w:id="91">
    <w:p w:rsidR="004B519A" w:rsidRPr="00E057BA" w:rsidRDefault="004B519A" w:rsidP="00DE10DC">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Nota n.a.v. verslag, Kamerstukken II 2009/10, 31 930, nr. 9, blz. 17.</w:t>
      </w:r>
    </w:p>
  </w:footnote>
  <w:footnote w:id="92">
    <w:p w:rsidR="004B519A" w:rsidRPr="00E057BA" w:rsidRDefault="004B519A" w:rsidP="00DE10DC">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Ibid.</w:t>
      </w:r>
    </w:p>
  </w:footnote>
  <w:footnote w:id="93">
    <w:p w:rsidR="004B519A" w:rsidRPr="00E057BA" w:rsidRDefault="004B519A" w:rsidP="00DE10DC">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Vakstudie, artikelsgewijs commentaar bij artikel 3.65, §2.16 (online geraadpleegd).</w:t>
      </w:r>
    </w:p>
  </w:footnote>
  <w:footnote w:id="94">
    <w:p w:rsidR="004B519A" w:rsidRPr="00E057BA" w:rsidRDefault="004B519A" w:rsidP="00DE10DC">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Nota n.a.v. verslag, Kamerstukken II, 27 209 2000/01, nr. 6, blz. 22.</w:t>
      </w:r>
    </w:p>
  </w:footnote>
  <w:footnote w:id="95">
    <w:p w:rsidR="004B519A" w:rsidRPr="00E057BA" w:rsidRDefault="004B519A" w:rsidP="00DE10DC">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MvT., Kamerstukken II 1999/00, 27 209, nr. 3, blz. 8.</w:t>
      </w:r>
    </w:p>
  </w:footnote>
  <w:footnote w:id="96">
    <w:p w:rsidR="004B519A" w:rsidRPr="00E057BA" w:rsidRDefault="004B519A" w:rsidP="00DE10DC">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Ten aanzien hiervan bestaan enkele uitzonderingen. Zo zal de mogelijkheid kunnen bestaan dat na een overdracht door toepassing van artikel 20a, Wet VPB 1969 verliezen verdampen. Ook kan bijvoorbeeld gedacht worden aan het veranderen van het herinvesteringsvoornemen ten aanzien van de herinvesteringsreserve.</w:t>
      </w:r>
    </w:p>
  </w:footnote>
  <w:footnote w:id="97">
    <w:p w:rsidR="004B519A" w:rsidRPr="00E057BA" w:rsidRDefault="004B519A" w:rsidP="00DE10DC">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Nota n.a.v. verslag,</w:t>
      </w:r>
      <w:r w:rsidRPr="00E2733B">
        <w:rPr>
          <w:lang w:val="nl-NL"/>
        </w:rPr>
        <w:t xml:space="preserve"> </w:t>
      </w:r>
      <w:r w:rsidRPr="00E2733B">
        <w:rPr>
          <w:rFonts w:ascii="Times New Roman" w:hAnsi="Times New Roman"/>
          <w:iCs/>
          <w:lang w:val="nl-NL"/>
        </w:rPr>
        <w:t>Kamerstukken II</w:t>
      </w:r>
      <w:r w:rsidRPr="00E2733B">
        <w:rPr>
          <w:rFonts w:ascii="Times New Roman" w:hAnsi="Times New Roman"/>
          <w:lang w:val="nl-NL"/>
        </w:rPr>
        <w:t xml:space="preserve"> 2008/09, 31 930, nr. 9, blz. 97.</w:t>
      </w:r>
    </w:p>
  </w:footnote>
  <w:footnote w:id="98">
    <w:p w:rsidR="004B519A" w:rsidRPr="00E057BA" w:rsidRDefault="004B519A" w:rsidP="00DE10DC">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MvT. </w:t>
      </w:r>
      <w:r w:rsidRPr="00E2733B">
        <w:rPr>
          <w:rFonts w:ascii="Times New Roman" w:hAnsi="Times New Roman"/>
          <w:iCs/>
          <w:lang w:val="nl-NL"/>
        </w:rPr>
        <w:t xml:space="preserve">Kamerstukken II 2009/10, 32 129, nr. 3, </w:t>
      </w:r>
      <w:r>
        <w:rPr>
          <w:rFonts w:ascii="Times New Roman" w:hAnsi="Times New Roman"/>
          <w:iCs/>
          <w:lang w:val="nl-NL"/>
        </w:rPr>
        <w:t>blz</w:t>
      </w:r>
      <w:r w:rsidRPr="00E2733B">
        <w:rPr>
          <w:rFonts w:ascii="Times New Roman" w:hAnsi="Times New Roman"/>
          <w:iCs/>
          <w:lang w:val="nl-NL"/>
        </w:rPr>
        <w:t>. 3 t/m 5.</w:t>
      </w:r>
    </w:p>
  </w:footnote>
  <w:footnote w:id="99">
    <w:p w:rsidR="004B519A" w:rsidRPr="00E057BA" w:rsidRDefault="004B519A" w:rsidP="004C0B92">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MvT. Kamerstukken II, 32 129, nr. 3, blz. 5.</w:t>
      </w:r>
    </w:p>
  </w:footnote>
  <w:footnote w:id="100">
    <w:p w:rsidR="004B519A" w:rsidRPr="00E057BA" w:rsidRDefault="004B519A" w:rsidP="004C0B92">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Nota n.a.v. verslag, Kamerstukken II 2009/10, 31 930, nr. 9, blz. 17.</w:t>
      </w:r>
    </w:p>
  </w:footnote>
  <w:footnote w:id="101">
    <w:p w:rsidR="004B519A" w:rsidRPr="00E057BA" w:rsidRDefault="004B519A">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 xml:space="preserve">Het kan zijn dat onderdelen toegerekend kunnen worden aan zowel het belastingsubject als het  </w:t>
      </w:r>
      <w:r>
        <w:rPr>
          <w:rFonts w:ascii="Times New Roman" w:hAnsi="Times New Roman"/>
          <w:lang w:val="nl-NL"/>
        </w:rPr>
        <w:t>belasting</w:t>
      </w:r>
      <w:r w:rsidRPr="00E2733B">
        <w:rPr>
          <w:rFonts w:ascii="Times New Roman" w:hAnsi="Times New Roman"/>
          <w:lang w:val="nl-NL"/>
        </w:rPr>
        <w:t>object, ten aanzien hiervan zal ik de onderverdeling maken op basis van de meest logische keuze.</w:t>
      </w:r>
    </w:p>
  </w:footnote>
  <w:footnote w:id="102">
    <w:p w:rsidR="004B519A" w:rsidRPr="00E057BA" w:rsidRDefault="004B519A">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 xml:space="preserve">Hier kan bijvoorbeeld gedacht worden aan het gevolg dat de ondernemer bedrijfsmiddelen zal vervreemden om met de opbrengst de belastingheffing te voldoen. </w:t>
      </w:r>
    </w:p>
  </w:footnote>
  <w:footnote w:id="103">
    <w:p w:rsidR="004B519A" w:rsidRPr="00E057BA" w:rsidRDefault="004B519A" w:rsidP="00197C80">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Memorie van Toelichting, Kamerstukken II 2009/10, 32129, nr. 3, blz. 46-47.</w:t>
      </w:r>
    </w:p>
  </w:footnote>
  <w:footnote w:id="104">
    <w:p w:rsidR="004B519A" w:rsidRPr="00E057BA" w:rsidRDefault="004B519A">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Zie paragraaf 4.1.1</w:t>
      </w:r>
      <w:r>
        <w:rPr>
          <w:rFonts w:ascii="Times New Roman" w:hAnsi="Times New Roman"/>
          <w:lang w:val="nl-NL"/>
        </w:rPr>
        <w:t>.</w:t>
      </w:r>
    </w:p>
  </w:footnote>
  <w:footnote w:id="105">
    <w:p w:rsidR="004B519A" w:rsidRPr="00E057BA" w:rsidRDefault="004B519A">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Nota n.a.v. verslag, Kamerstukken II 2009/10, 31 930, nr. 9, blz. 101-102.</w:t>
      </w:r>
    </w:p>
  </w:footnote>
  <w:footnote w:id="106">
    <w:p w:rsidR="004B519A" w:rsidRPr="00E057BA" w:rsidRDefault="004B519A">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 xml:space="preserve">J.H. Nieuwenhuis, C.J.J.M. </w:t>
      </w:r>
      <w:proofErr w:type="spellStart"/>
      <w:r w:rsidRPr="00E2733B">
        <w:rPr>
          <w:rFonts w:ascii="Times New Roman" w:hAnsi="Times New Roman"/>
          <w:lang w:val="nl-NL"/>
        </w:rPr>
        <w:t>Stolker</w:t>
      </w:r>
      <w:proofErr w:type="spellEnd"/>
      <w:r w:rsidRPr="00E2733B">
        <w:rPr>
          <w:rFonts w:ascii="Times New Roman" w:hAnsi="Times New Roman"/>
          <w:lang w:val="nl-NL"/>
        </w:rPr>
        <w:t xml:space="preserve">, W.L. Valk, S.H.M.A. </w:t>
      </w:r>
      <w:proofErr w:type="spellStart"/>
      <w:r w:rsidRPr="00E2733B">
        <w:rPr>
          <w:rFonts w:ascii="Times New Roman" w:hAnsi="Times New Roman"/>
          <w:lang w:val="nl-NL"/>
        </w:rPr>
        <w:t>Dumoulin</w:t>
      </w:r>
      <w:proofErr w:type="spellEnd"/>
      <w:r w:rsidRPr="00E2733B">
        <w:rPr>
          <w:rFonts w:ascii="Times New Roman" w:hAnsi="Times New Roman"/>
          <w:lang w:val="nl-NL"/>
        </w:rPr>
        <w:t xml:space="preserve">, J.D.A. Den </w:t>
      </w:r>
      <w:proofErr w:type="spellStart"/>
      <w:r w:rsidRPr="00E2733B">
        <w:rPr>
          <w:rFonts w:ascii="Times New Roman" w:hAnsi="Times New Roman"/>
          <w:lang w:val="nl-NL"/>
        </w:rPr>
        <w:t>Tonkelaar</w:t>
      </w:r>
      <w:proofErr w:type="spellEnd"/>
      <w:r w:rsidRPr="00E2733B">
        <w:rPr>
          <w:rFonts w:ascii="Times New Roman" w:hAnsi="Times New Roman"/>
          <w:lang w:val="nl-NL"/>
        </w:rPr>
        <w:t xml:space="preserve"> </w:t>
      </w:r>
      <w:r w:rsidRPr="00E2733B">
        <w:rPr>
          <w:rFonts w:ascii="Times New Roman" w:hAnsi="Times New Roman"/>
          <w:i/>
          <w:lang w:val="nl-NL"/>
        </w:rPr>
        <w:t>‘Ondernemingsrecht, tekst &amp; commentaar’</w:t>
      </w:r>
      <w:r w:rsidRPr="00E2733B">
        <w:rPr>
          <w:rFonts w:ascii="Times New Roman" w:hAnsi="Times New Roman"/>
          <w:lang w:val="nl-NL"/>
        </w:rPr>
        <w:t>, Kluwer, Deventer, 2004, blz. 880-881.</w:t>
      </w:r>
    </w:p>
  </w:footnote>
  <w:footnote w:id="107">
    <w:p w:rsidR="004B519A" w:rsidRPr="00E057BA" w:rsidRDefault="004B519A" w:rsidP="000720B8">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Afrekening ten aanzien van de pensioenvoorziening wordt niet in alle gevallen voorkomen</w:t>
      </w:r>
      <w:r>
        <w:rPr>
          <w:rFonts w:ascii="Times New Roman" w:hAnsi="Times New Roman"/>
          <w:lang w:val="nl-NL"/>
        </w:rPr>
        <w:t>.</w:t>
      </w:r>
      <w:r w:rsidRPr="00E2733B">
        <w:rPr>
          <w:rFonts w:ascii="Times New Roman" w:hAnsi="Times New Roman"/>
          <w:lang w:val="nl-NL"/>
        </w:rPr>
        <w:t xml:space="preserve"> </w:t>
      </w:r>
      <w:r>
        <w:rPr>
          <w:rFonts w:ascii="Times New Roman" w:hAnsi="Times New Roman"/>
          <w:lang w:val="nl-NL"/>
        </w:rPr>
        <w:t>Z</w:t>
      </w:r>
      <w:r w:rsidRPr="00E2733B">
        <w:rPr>
          <w:rFonts w:ascii="Times New Roman" w:hAnsi="Times New Roman"/>
          <w:lang w:val="nl-NL"/>
        </w:rPr>
        <w:t xml:space="preserve">o kan de faciliteit niet worden toegepast op het gedeelte van de pensioenvoorziening dat wordt aangehouden met het oog op  het langlevenrisico. Zie hiervoor: Nota n.a.v. het </w:t>
      </w:r>
      <w:r>
        <w:rPr>
          <w:rFonts w:ascii="Times New Roman" w:hAnsi="Times New Roman"/>
          <w:lang w:val="nl-NL"/>
        </w:rPr>
        <w:t>v</w:t>
      </w:r>
      <w:r w:rsidRPr="00E2733B">
        <w:rPr>
          <w:rFonts w:ascii="Times New Roman" w:hAnsi="Times New Roman"/>
          <w:lang w:val="nl-NL"/>
        </w:rPr>
        <w:t>erslag, Kamerstukken II 2009/10, 32129, nr. 8, blz. 12-13.</w:t>
      </w:r>
    </w:p>
  </w:footnote>
  <w:footnote w:id="108">
    <w:p w:rsidR="004B519A" w:rsidRPr="00E057BA" w:rsidRDefault="004B519A" w:rsidP="009D6537">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Nota n.a.v. Verslag, Kamerstukken II 2009/10, 31 930, nr. 9, blz. 101-102.</w:t>
      </w:r>
    </w:p>
  </w:footnote>
  <w:footnote w:id="109">
    <w:p w:rsidR="004B519A" w:rsidRPr="00D15F98" w:rsidRDefault="004B519A">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 xml:space="preserve">P.A. Pronk in </w:t>
      </w:r>
      <w:r w:rsidRPr="00E2733B">
        <w:rPr>
          <w:rFonts w:ascii="Times New Roman" w:hAnsi="Times New Roman"/>
          <w:i/>
          <w:lang w:val="nl-NL"/>
        </w:rPr>
        <w:t>‘Waar ligt de eenvoud?</w:t>
      </w:r>
      <w:r w:rsidRPr="00E2733B">
        <w:rPr>
          <w:rFonts w:ascii="Times New Roman" w:hAnsi="Times New Roman"/>
          <w:bCs/>
          <w:i/>
          <w:lang w:val="nl-NL"/>
        </w:rPr>
        <w:t>’</w:t>
      </w:r>
      <w:r w:rsidRPr="00E2733B">
        <w:rPr>
          <w:rFonts w:ascii="Times New Roman" w:hAnsi="Times New Roman"/>
          <w:lang w:val="nl-NL"/>
        </w:rPr>
        <w:t xml:space="preserve"> </w:t>
      </w:r>
      <w:r w:rsidRPr="00E2733B">
        <w:rPr>
          <w:rFonts w:ascii="Times New Roman" w:hAnsi="Times New Roman"/>
          <w:bCs/>
          <w:iCs/>
          <w:lang w:val="nl-NL"/>
        </w:rPr>
        <w:t>WFR</w:t>
      </w:r>
      <w:r w:rsidRPr="00E2733B">
        <w:rPr>
          <w:rFonts w:ascii="Times New Roman" w:hAnsi="Times New Roman"/>
          <w:bCs/>
          <w:lang w:val="nl-NL"/>
        </w:rPr>
        <w:t xml:space="preserve"> 2008/1605, §2.1.</w:t>
      </w:r>
    </w:p>
  </w:footnote>
  <w:footnote w:id="110">
    <w:p w:rsidR="004B519A" w:rsidRPr="00E057BA" w:rsidRDefault="004B519A">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MvT. Kamerstukken II 2009/10, 32 129, nr. 3, blz. 3.</w:t>
      </w:r>
    </w:p>
  </w:footnote>
  <w:footnote w:id="111">
    <w:p w:rsidR="004B519A" w:rsidRPr="00E057BA" w:rsidRDefault="004B519A" w:rsidP="00F30C3B">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MvT. Kamerstukken II 2009/10, 32 129, nr. 3, blz. 43.</w:t>
      </w:r>
    </w:p>
  </w:footnote>
  <w:footnote w:id="112">
    <w:p w:rsidR="004B519A" w:rsidRPr="00E057BA" w:rsidRDefault="004B519A">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Nota n.a.v. het Verslag, Kamerstukken II 2009/10, 32</w:t>
      </w:r>
      <w:r>
        <w:rPr>
          <w:rFonts w:ascii="Times New Roman" w:hAnsi="Times New Roman"/>
          <w:lang w:val="nl-NL"/>
        </w:rPr>
        <w:t xml:space="preserve"> </w:t>
      </w:r>
      <w:r w:rsidRPr="00E2733B">
        <w:rPr>
          <w:rFonts w:ascii="Times New Roman" w:hAnsi="Times New Roman"/>
          <w:lang w:val="nl-NL"/>
        </w:rPr>
        <w:t>129, nr. 8, blz. 9-10.</w:t>
      </w:r>
    </w:p>
  </w:footnote>
  <w:footnote w:id="113">
    <w:p w:rsidR="004B519A" w:rsidRPr="00E057BA" w:rsidRDefault="004B519A">
      <w:pPr>
        <w:pStyle w:val="Voetnoottekst"/>
        <w:rPr>
          <w:lang w:val="nl-NL"/>
        </w:rPr>
      </w:pPr>
      <w:r w:rsidRPr="00E2733B">
        <w:rPr>
          <w:rStyle w:val="Voetnootmarkering"/>
          <w:rFonts w:ascii="Times New Roman" w:hAnsi="Times New Roman"/>
          <w:lang w:val="nl-NL"/>
        </w:rPr>
        <w:footnoteRef/>
      </w:r>
      <w:r w:rsidRPr="00E2733B">
        <w:rPr>
          <w:rFonts w:ascii="Times New Roman" w:hAnsi="Times New Roman"/>
          <w:lang w:val="nl-NL"/>
        </w:rPr>
        <w:t xml:space="preserve"> Ibid.</w:t>
      </w:r>
    </w:p>
  </w:footnote>
  <w:footnote w:id="114">
    <w:p w:rsidR="004B519A" w:rsidRPr="00E057BA" w:rsidRDefault="004B519A" w:rsidP="000D17DF">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Voor een inhoudelijke beschrijving van de drie criteria verwijs ik naar paragraaf 2.3.3.</w:t>
      </w:r>
    </w:p>
  </w:footnote>
  <w:footnote w:id="115">
    <w:p w:rsidR="004B519A" w:rsidRPr="00E057BA" w:rsidRDefault="004B519A" w:rsidP="00E2733B">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Voor een beschrijving van de gemeenschappelijke doelstellingen verwijs ik naar paragraaf 3.4.1.</w:t>
      </w:r>
    </w:p>
  </w:footnote>
  <w:footnote w:id="116">
    <w:p w:rsidR="004B519A" w:rsidRPr="00E057BA" w:rsidRDefault="004B519A">
      <w:pPr>
        <w:pStyle w:val="Voetnoottekst"/>
        <w:rPr>
          <w:lang w:val="nl-NL"/>
        </w:rPr>
      </w:pPr>
      <w:r w:rsidRPr="00E2733B">
        <w:rPr>
          <w:rStyle w:val="Voetnootmarkering"/>
          <w:lang w:val="nl-NL"/>
        </w:rPr>
        <w:footnoteRef/>
      </w:r>
      <w:r>
        <w:rPr>
          <w:lang w:val="nl-NL"/>
        </w:rPr>
        <w:t xml:space="preserve"> </w:t>
      </w:r>
      <w:r w:rsidRPr="00B23B7D">
        <w:rPr>
          <w:rFonts w:ascii="Times New Roman" w:hAnsi="Times New Roman"/>
          <w:lang w:val="nl-NL"/>
        </w:rPr>
        <w:t>Als uitzondering hierop kan de oudedagsreserve wel worden doorgeschoven naar de partner van de overdragende ondernemer.</w:t>
      </w:r>
    </w:p>
  </w:footnote>
  <w:footnote w:id="117">
    <w:p w:rsidR="004B519A" w:rsidRPr="00E057BA" w:rsidRDefault="004B519A">
      <w:pPr>
        <w:pStyle w:val="Voetnoottekst"/>
        <w:rPr>
          <w:lang w:val="nl-NL"/>
        </w:rPr>
      </w:pPr>
      <w:r w:rsidRPr="00E2733B">
        <w:rPr>
          <w:rStyle w:val="Voetnootmarkering"/>
          <w:lang w:val="nl-NL"/>
        </w:rPr>
        <w:footnoteRef/>
      </w:r>
      <w:r w:rsidRPr="00E2733B">
        <w:rPr>
          <w:lang w:val="nl-NL"/>
        </w:rPr>
        <w:t xml:space="preserve"> </w:t>
      </w:r>
      <w:r w:rsidRPr="00E2733B">
        <w:rPr>
          <w:rFonts w:ascii="Times New Roman" w:hAnsi="Times New Roman"/>
          <w:lang w:val="nl-NL"/>
        </w:rPr>
        <w:t>Zie paragraaf 4.2.2 waarin wordt uitgelegd dat juist de beperking van de VPB-faciliteit tot het ondernemingsvermogen leidt tot een gelijke behandeling van eenzelfde situatie.</w:t>
      </w:r>
    </w:p>
  </w:footnote>
  <w:footnote w:id="118">
    <w:p w:rsidR="004B519A" w:rsidRPr="00E057BA" w:rsidRDefault="004B519A" w:rsidP="003B4396">
      <w:pPr>
        <w:pStyle w:val="Voetnoottekst"/>
        <w:rPr>
          <w:lang w:val="nl-NL"/>
        </w:rPr>
      </w:pPr>
      <w:r>
        <w:rPr>
          <w:rStyle w:val="Voetnootmarkering"/>
        </w:rPr>
        <w:footnoteRef/>
      </w:r>
      <w:r w:rsidRPr="003B4396">
        <w:rPr>
          <w:lang w:val="nl-NL"/>
        </w:rPr>
        <w:t xml:space="preserve"> </w:t>
      </w:r>
      <w:r>
        <w:rPr>
          <w:rFonts w:ascii="Times New Roman" w:hAnsi="Times New Roman"/>
          <w:lang w:val="nl-NL"/>
        </w:rPr>
        <w:t>De huidige faciliteiten maken geen onderscheid tussen de situatie waarin werkelijk een liquiditeitsprobleem speelt en de situatie waarin hiervan geen sprake is waardoor de overkill kan ontstaan.</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5C209B58"/>
    <w:lvl w:ilvl="0">
      <w:start w:val="1"/>
      <w:numFmt w:val="decimal"/>
      <w:lvlText w:val="%1."/>
      <w:lvlJc w:val="left"/>
      <w:pPr>
        <w:tabs>
          <w:tab w:val="num" w:pos="1800"/>
        </w:tabs>
        <w:ind w:left="1800" w:hanging="360"/>
      </w:pPr>
      <w:rPr>
        <w:rFonts w:cs="Times New Roman"/>
      </w:rPr>
    </w:lvl>
  </w:abstractNum>
  <w:abstractNum w:abstractNumId="1">
    <w:nsid w:val="FFFFFF7D"/>
    <w:multiLevelType w:val="singleLevel"/>
    <w:tmpl w:val="F3F80370"/>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065A151A"/>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1B4C7C7C"/>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45006864"/>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14E85A36"/>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C4C695B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F7DC5E6C"/>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595CABB0"/>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E5825032"/>
    <w:lvl w:ilvl="0">
      <w:start w:val="1"/>
      <w:numFmt w:val="bullet"/>
      <w:lvlText w:val=""/>
      <w:lvlJc w:val="left"/>
      <w:pPr>
        <w:tabs>
          <w:tab w:val="num" w:pos="360"/>
        </w:tabs>
        <w:ind w:left="360" w:hanging="360"/>
      </w:pPr>
      <w:rPr>
        <w:rFonts w:ascii="Symbol" w:hAnsi="Symbol" w:hint="default"/>
      </w:rPr>
    </w:lvl>
  </w:abstractNum>
  <w:abstractNum w:abstractNumId="10">
    <w:nsid w:val="0B561204"/>
    <w:multiLevelType w:val="multilevel"/>
    <w:tmpl w:val="A2482E16"/>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2073"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1">
    <w:nsid w:val="15E36B19"/>
    <w:multiLevelType w:val="multilevel"/>
    <w:tmpl w:val="DFB48B38"/>
    <w:lvl w:ilvl="0">
      <w:start w:val="1"/>
      <w:numFmt w:val="decimal"/>
      <w:pStyle w:val="ZWKop1"/>
      <w:lvlText w:val="%1"/>
      <w:lvlJc w:val="left"/>
      <w:pPr>
        <w:ind w:left="709" w:hanging="709"/>
      </w:pPr>
      <w:rPr>
        <w:rFonts w:cs="Times New Roman" w:hint="default"/>
      </w:rPr>
    </w:lvl>
    <w:lvl w:ilvl="1">
      <w:start w:val="1"/>
      <w:numFmt w:val="decimal"/>
      <w:pStyle w:val="ZWKop2"/>
      <w:lvlText w:val="%1.%2"/>
      <w:lvlJc w:val="left"/>
      <w:pPr>
        <w:ind w:left="709" w:hanging="709"/>
      </w:pPr>
      <w:rPr>
        <w:rFonts w:cs="Times New Roman" w:hint="default"/>
      </w:rPr>
    </w:lvl>
    <w:lvl w:ilvl="2">
      <w:start w:val="1"/>
      <w:numFmt w:val="decimal"/>
      <w:pStyle w:val="ZWKop3"/>
      <w:lvlText w:val="%1.%2.%3"/>
      <w:lvlJc w:val="left"/>
      <w:pPr>
        <w:ind w:left="709" w:hanging="709"/>
      </w:pPr>
      <w:rPr>
        <w:rFonts w:cs="Times New Roman" w:hint="default"/>
      </w:rPr>
    </w:lvl>
    <w:lvl w:ilvl="3">
      <w:start w:val="1"/>
      <w:numFmt w:val="decimal"/>
      <w:lvlText w:val="%1.%2.%3.%4."/>
      <w:lvlJc w:val="left"/>
      <w:pPr>
        <w:ind w:left="709" w:hanging="709"/>
      </w:pPr>
      <w:rPr>
        <w:rFonts w:cs="Times New Roman" w:hint="default"/>
      </w:rPr>
    </w:lvl>
    <w:lvl w:ilvl="4">
      <w:start w:val="1"/>
      <w:numFmt w:val="decimal"/>
      <w:lvlText w:val="%1.%2.%3.%4.%5."/>
      <w:lvlJc w:val="left"/>
      <w:pPr>
        <w:ind w:left="709" w:hanging="709"/>
      </w:pPr>
      <w:rPr>
        <w:rFonts w:cs="Times New Roman" w:hint="default"/>
      </w:rPr>
    </w:lvl>
    <w:lvl w:ilvl="5">
      <w:start w:val="1"/>
      <w:numFmt w:val="decimal"/>
      <w:lvlText w:val="%1.%2.%3.%4.%5.%6."/>
      <w:lvlJc w:val="left"/>
      <w:pPr>
        <w:ind w:left="709" w:hanging="709"/>
      </w:pPr>
      <w:rPr>
        <w:rFonts w:cs="Times New Roman" w:hint="default"/>
      </w:rPr>
    </w:lvl>
    <w:lvl w:ilvl="6">
      <w:start w:val="1"/>
      <w:numFmt w:val="decimal"/>
      <w:lvlText w:val="%1.%2.%3.%4.%5.%6.%7."/>
      <w:lvlJc w:val="left"/>
      <w:pPr>
        <w:ind w:left="709" w:hanging="709"/>
      </w:pPr>
      <w:rPr>
        <w:rFonts w:cs="Times New Roman" w:hint="default"/>
      </w:rPr>
    </w:lvl>
    <w:lvl w:ilvl="7">
      <w:start w:val="1"/>
      <w:numFmt w:val="decimal"/>
      <w:lvlText w:val="%1.%2.%3.%4.%5.%6.%7.%8."/>
      <w:lvlJc w:val="left"/>
      <w:pPr>
        <w:ind w:left="709" w:hanging="709"/>
      </w:pPr>
      <w:rPr>
        <w:rFonts w:cs="Times New Roman" w:hint="default"/>
      </w:rPr>
    </w:lvl>
    <w:lvl w:ilvl="8">
      <w:start w:val="1"/>
      <w:numFmt w:val="decimal"/>
      <w:lvlText w:val="%1.%2.%3.%4.%5.%6.%7.%8.%9."/>
      <w:lvlJc w:val="left"/>
      <w:pPr>
        <w:ind w:left="709" w:hanging="709"/>
      </w:pPr>
      <w:rPr>
        <w:rFonts w:cs="Times New Roman" w:hint="default"/>
      </w:rPr>
    </w:lvl>
  </w:abstractNum>
  <w:abstractNum w:abstractNumId="12">
    <w:nsid w:val="16142CA2"/>
    <w:multiLevelType w:val="multilevel"/>
    <w:tmpl w:val="A2482E16"/>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2073"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3">
    <w:nsid w:val="22BB14EC"/>
    <w:multiLevelType w:val="hybridMultilevel"/>
    <w:tmpl w:val="8E0255C0"/>
    <w:lvl w:ilvl="0" w:tplc="0413000F">
      <w:start w:val="1"/>
      <w:numFmt w:val="decimal"/>
      <w:lvlText w:val="%1."/>
      <w:lvlJc w:val="left"/>
      <w:pPr>
        <w:ind w:left="1080" w:hanging="360"/>
      </w:pPr>
      <w:rPr>
        <w:rFonts w:cs="Times New Roman"/>
      </w:rPr>
    </w:lvl>
    <w:lvl w:ilvl="1" w:tplc="04130019" w:tentative="1">
      <w:start w:val="1"/>
      <w:numFmt w:val="lowerLetter"/>
      <w:lvlText w:val="%2."/>
      <w:lvlJc w:val="left"/>
      <w:pPr>
        <w:ind w:left="1800" w:hanging="360"/>
      </w:pPr>
      <w:rPr>
        <w:rFonts w:cs="Times New Roman"/>
      </w:rPr>
    </w:lvl>
    <w:lvl w:ilvl="2" w:tplc="0413001B" w:tentative="1">
      <w:start w:val="1"/>
      <w:numFmt w:val="lowerRoman"/>
      <w:lvlText w:val="%3."/>
      <w:lvlJc w:val="right"/>
      <w:pPr>
        <w:ind w:left="2520" w:hanging="180"/>
      </w:pPr>
      <w:rPr>
        <w:rFonts w:cs="Times New Roman"/>
      </w:rPr>
    </w:lvl>
    <w:lvl w:ilvl="3" w:tplc="0413000F" w:tentative="1">
      <w:start w:val="1"/>
      <w:numFmt w:val="decimal"/>
      <w:lvlText w:val="%4."/>
      <w:lvlJc w:val="left"/>
      <w:pPr>
        <w:ind w:left="3240" w:hanging="360"/>
      </w:pPr>
      <w:rPr>
        <w:rFonts w:cs="Times New Roman"/>
      </w:rPr>
    </w:lvl>
    <w:lvl w:ilvl="4" w:tplc="04130019" w:tentative="1">
      <w:start w:val="1"/>
      <w:numFmt w:val="lowerLetter"/>
      <w:lvlText w:val="%5."/>
      <w:lvlJc w:val="left"/>
      <w:pPr>
        <w:ind w:left="3960" w:hanging="360"/>
      </w:pPr>
      <w:rPr>
        <w:rFonts w:cs="Times New Roman"/>
      </w:rPr>
    </w:lvl>
    <w:lvl w:ilvl="5" w:tplc="0413001B" w:tentative="1">
      <w:start w:val="1"/>
      <w:numFmt w:val="lowerRoman"/>
      <w:lvlText w:val="%6."/>
      <w:lvlJc w:val="right"/>
      <w:pPr>
        <w:ind w:left="4680" w:hanging="180"/>
      </w:pPr>
      <w:rPr>
        <w:rFonts w:cs="Times New Roman"/>
      </w:rPr>
    </w:lvl>
    <w:lvl w:ilvl="6" w:tplc="0413000F" w:tentative="1">
      <w:start w:val="1"/>
      <w:numFmt w:val="decimal"/>
      <w:lvlText w:val="%7."/>
      <w:lvlJc w:val="left"/>
      <w:pPr>
        <w:ind w:left="5400" w:hanging="360"/>
      </w:pPr>
      <w:rPr>
        <w:rFonts w:cs="Times New Roman"/>
      </w:rPr>
    </w:lvl>
    <w:lvl w:ilvl="7" w:tplc="04130019" w:tentative="1">
      <w:start w:val="1"/>
      <w:numFmt w:val="lowerLetter"/>
      <w:lvlText w:val="%8."/>
      <w:lvlJc w:val="left"/>
      <w:pPr>
        <w:ind w:left="6120" w:hanging="360"/>
      </w:pPr>
      <w:rPr>
        <w:rFonts w:cs="Times New Roman"/>
      </w:rPr>
    </w:lvl>
    <w:lvl w:ilvl="8" w:tplc="0413001B" w:tentative="1">
      <w:start w:val="1"/>
      <w:numFmt w:val="lowerRoman"/>
      <w:lvlText w:val="%9."/>
      <w:lvlJc w:val="right"/>
      <w:pPr>
        <w:ind w:left="6840" w:hanging="180"/>
      </w:pPr>
      <w:rPr>
        <w:rFonts w:cs="Times New Roman"/>
      </w:rPr>
    </w:lvl>
  </w:abstractNum>
  <w:abstractNum w:abstractNumId="14">
    <w:nsid w:val="2B54654B"/>
    <w:multiLevelType w:val="multilevel"/>
    <w:tmpl w:val="A2482E16"/>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2073"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5">
    <w:nsid w:val="322F71E4"/>
    <w:multiLevelType w:val="multilevel"/>
    <w:tmpl w:val="A2482E16"/>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2073"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6">
    <w:nsid w:val="37C53AC5"/>
    <w:multiLevelType w:val="hybridMultilevel"/>
    <w:tmpl w:val="8B165376"/>
    <w:lvl w:ilvl="0" w:tplc="0413000F">
      <w:start w:val="1"/>
      <w:numFmt w:val="decimal"/>
      <w:lvlText w:val="%1."/>
      <w:lvlJc w:val="left"/>
      <w:pPr>
        <w:ind w:left="1077" w:hanging="360"/>
      </w:pPr>
      <w:rPr>
        <w:rFonts w:cs="Times New Roman"/>
      </w:rPr>
    </w:lvl>
    <w:lvl w:ilvl="1" w:tplc="04130019" w:tentative="1">
      <w:start w:val="1"/>
      <w:numFmt w:val="lowerLetter"/>
      <w:lvlText w:val="%2."/>
      <w:lvlJc w:val="left"/>
      <w:pPr>
        <w:ind w:left="1797" w:hanging="360"/>
      </w:pPr>
      <w:rPr>
        <w:rFonts w:cs="Times New Roman"/>
      </w:rPr>
    </w:lvl>
    <w:lvl w:ilvl="2" w:tplc="0413001B" w:tentative="1">
      <w:start w:val="1"/>
      <w:numFmt w:val="lowerRoman"/>
      <w:lvlText w:val="%3."/>
      <w:lvlJc w:val="right"/>
      <w:pPr>
        <w:ind w:left="2517" w:hanging="180"/>
      </w:pPr>
      <w:rPr>
        <w:rFonts w:cs="Times New Roman"/>
      </w:rPr>
    </w:lvl>
    <w:lvl w:ilvl="3" w:tplc="0413000F" w:tentative="1">
      <w:start w:val="1"/>
      <w:numFmt w:val="decimal"/>
      <w:lvlText w:val="%4."/>
      <w:lvlJc w:val="left"/>
      <w:pPr>
        <w:ind w:left="3237" w:hanging="360"/>
      </w:pPr>
      <w:rPr>
        <w:rFonts w:cs="Times New Roman"/>
      </w:rPr>
    </w:lvl>
    <w:lvl w:ilvl="4" w:tplc="04130019" w:tentative="1">
      <w:start w:val="1"/>
      <w:numFmt w:val="lowerLetter"/>
      <w:lvlText w:val="%5."/>
      <w:lvlJc w:val="left"/>
      <w:pPr>
        <w:ind w:left="3957" w:hanging="360"/>
      </w:pPr>
      <w:rPr>
        <w:rFonts w:cs="Times New Roman"/>
      </w:rPr>
    </w:lvl>
    <w:lvl w:ilvl="5" w:tplc="0413001B" w:tentative="1">
      <w:start w:val="1"/>
      <w:numFmt w:val="lowerRoman"/>
      <w:lvlText w:val="%6."/>
      <w:lvlJc w:val="right"/>
      <w:pPr>
        <w:ind w:left="4677" w:hanging="180"/>
      </w:pPr>
      <w:rPr>
        <w:rFonts w:cs="Times New Roman"/>
      </w:rPr>
    </w:lvl>
    <w:lvl w:ilvl="6" w:tplc="0413000F" w:tentative="1">
      <w:start w:val="1"/>
      <w:numFmt w:val="decimal"/>
      <w:lvlText w:val="%7."/>
      <w:lvlJc w:val="left"/>
      <w:pPr>
        <w:ind w:left="5397" w:hanging="360"/>
      </w:pPr>
      <w:rPr>
        <w:rFonts w:cs="Times New Roman"/>
      </w:rPr>
    </w:lvl>
    <w:lvl w:ilvl="7" w:tplc="04130019" w:tentative="1">
      <w:start w:val="1"/>
      <w:numFmt w:val="lowerLetter"/>
      <w:lvlText w:val="%8."/>
      <w:lvlJc w:val="left"/>
      <w:pPr>
        <w:ind w:left="6117" w:hanging="360"/>
      </w:pPr>
      <w:rPr>
        <w:rFonts w:cs="Times New Roman"/>
      </w:rPr>
    </w:lvl>
    <w:lvl w:ilvl="8" w:tplc="0413001B" w:tentative="1">
      <w:start w:val="1"/>
      <w:numFmt w:val="lowerRoman"/>
      <w:lvlText w:val="%9."/>
      <w:lvlJc w:val="right"/>
      <w:pPr>
        <w:ind w:left="6837" w:hanging="180"/>
      </w:pPr>
      <w:rPr>
        <w:rFonts w:cs="Times New Roman"/>
      </w:rPr>
    </w:lvl>
  </w:abstractNum>
  <w:abstractNum w:abstractNumId="17">
    <w:nsid w:val="3B7371D8"/>
    <w:multiLevelType w:val="hybridMultilevel"/>
    <w:tmpl w:val="4F6A07E0"/>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8">
    <w:nsid w:val="3C507930"/>
    <w:multiLevelType w:val="multilevel"/>
    <w:tmpl w:val="A2482E16"/>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2073"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19">
    <w:nsid w:val="3D675B5B"/>
    <w:multiLevelType w:val="multilevel"/>
    <w:tmpl w:val="A2482E16"/>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2073"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20">
    <w:nsid w:val="3E904C0B"/>
    <w:multiLevelType w:val="hybridMultilevel"/>
    <w:tmpl w:val="F2D09E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437D5D39"/>
    <w:multiLevelType w:val="multilevel"/>
    <w:tmpl w:val="BB36B014"/>
    <w:lvl w:ilvl="0">
      <w:start w:val="5"/>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2073"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22">
    <w:nsid w:val="44D311AE"/>
    <w:multiLevelType w:val="multilevel"/>
    <w:tmpl w:val="06D47040"/>
    <w:lvl w:ilvl="0">
      <w:start w:val="1"/>
      <w:numFmt w:val="decimal"/>
      <w:pStyle w:val="1kopBDO"/>
      <w:lvlText w:val="%1"/>
      <w:lvlJc w:val="left"/>
      <w:pPr>
        <w:ind w:left="360" w:hanging="360"/>
      </w:pPr>
      <w:rPr>
        <w:rFonts w:cs="Times New Roman" w:hint="default"/>
      </w:rPr>
    </w:lvl>
    <w:lvl w:ilvl="1">
      <w:start w:val="1"/>
      <w:numFmt w:val="decimal"/>
      <w:pStyle w:val="2kopBDO"/>
      <w:lvlText w:val="%1.%2"/>
      <w:lvlJc w:val="left"/>
      <w:pPr>
        <w:ind w:left="360" w:hanging="360"/>
      </w:pPr>
      <w:rPr>
        <w:rFonts w:cs="Times New Roman" w:hint="default"/>
      </w:rPr>
    </w:lvl>
    <w:lvl w:ilvl="2">
      <w:start w:val="1"/>
      <w:numFmt w:val="decimal"/>
      <w:pStyle w:val="3kopBDO"/>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3">
    <w:nsid w:val="45922D7C"/>
    <w:multiLevelType w:val="hybridMultilevel"/>
    <w:tmpl w:val="706650E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nsid w:val="57F64DCC"/>
    <w:multiLevelType w:val="hybridMultilevel"/>
    <w:tmpl w:val="7B82943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5B8720E3"/>
    <w:multiLevelType w:val="multilevel"/>
    <w:tmpl w:val="A2482E16"/>
    <w:lvl w:ilvl="0">
      <w:start w:val="1"/>
      <w:numFmt w:val="decimal"/>
      <w:lvlText w:val="%1."/>
      <w:lvlJc w:val="left"/>
      <w:pPr>
        <w:ind w:left="720" w:hanging="360"/>
      </w:pPr>
      <w:rPr>
        <w:rFonts w:cs="Times New Roman" w:hint="default"/>
      </w:rPr>
    </w:lvl>
    <w:lvl w:ilvl="1">
      <w:start w:val="1"/>
      <w:numFmt w:val="decimal"/>
      <w:isLgl/>
      <w:lvlText w:val="%1.%2"/>
      <w:lvlJc w:val="left"/>
      <w:pPr>
        <w:ind w:left="1146"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2073"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26">
    <w:nsid w:val="5D344C47"/>
    <w:multiLevelType w:val="hybridMultilevel"/>
    <w:tmpl w:val="E744A042"/>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nsid w:val="61DE4FBF"/>
    <w:multiLevelType w:val="multilevel"/>
    <w:tmpl w:val="A2482E16"/>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2073"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28">
    <w:nsid w:val="654B2D5B"/>
    <w:multiLevelType w:val="multilevel"/>
    <w:tmpl w:val="A2482E16"/>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2073"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29">
    <w:nsid w:val="6A1B61DF"/>
    <w:multiLevelType w:val="multilevel"/>
    <w:tmpl w:val="A2482E16"/>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2073"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30">
    <w:nsid w:val="6B3937B1"/>
    <w:multiLevelType w:val="multilevel"/>
    <w:tmpl w:val="A2482E16"/>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2073"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31">
    <w:nsid w:val="6F3761C4"/>
    <w:multiLevelType w:val="hybridMultilevel"/>
    <w:tmpl w:val="E7C04466"/>
    <w:lvl w:ilvl="0" w:tplc="0413000F">
      <w:start w:val="1"/>
      <w:numFmt w:val="decimal"/>
      <w:lvlText w:val="%1."/>
      <w:lvlJc w:val="left"/>
      <w:pPr>
        <w:ind w:left="1077" w:hanging="360"/>
      </w:pPr>
      <w:rPr>
        <w:rFonts w:cs="Times New Roman"/>
      </w:rPr>
    </w:lvl>
    <w:lvl w:ilvl="1" w:tplc="04130019" w:tentative="1">
      <w:start w:val="1"/>
      <w:numFmt w:val="lowerLetter"/>
      <w:lvlText w:val="%2."/>
      <w:lvlJc w:val="left"/>
      <w:pPr>
        <w:ind w:left="1797" w:hanging="360"/>
      </w:pPr>
      <w:rPr>
        <w:rFonts w:cs="Times New Roman"/>
      </w:rPr>
    </w:lvl>
    <w:lvl w:ilvl="2" w:tplc="0413001B" w:tentative="1">
      <w:start w:val="1"/>
      <w:numFmt w:val="lowerRoman"/>
      <w:lvlText w:val="%3."/>
      <w:lvlJc w:val="right"/>
      <w:pPr>
        <w:ind w:left="2517" w:hanging="180"/>
      </w:pPr>
      <w:rPr>
        <w:rFonts w:cs="Times New Roman"/>
      </w:rPr>
    </w:lvl>
    <w:lvl w:ilvl="3" w:tplc="0413000F" w:tentative="1">
      <w:start w:val="1"/>
      <w:numFmt w:val="decimal"/>
      <w:lvlText w:val="%4."/>
      <w:lvlJc w:val="left"/>
      <w:pPr>
        <w:ind w:left="3237" w:hanging="360"/>
      </w:pPr>
      <w:rPr>
        <w:rFonts w:cs="Times New Roman"/>
      </w:rPr>
    </w:lvl>
    <w:lvl w:ilvl="4" w:tplc="04130019" w:tentative="1">
      <w:start w:val="1"/>
      <w:numFmt w:val="lowerLetter"/>
      <w:lvlText w:val="%5."/>
      <w:lvlJc w:val="left"/>
      <w:pPr>
        <w:ind w:left="3957" w:hanging="360"/>
      </w:pPr>
      <w:rPr>
        <w:rFonts w:cs="Times New Roman"/>
      </w:rPr>
    </w:lvl>
    <w:lvl w:ilvl="5" w:tplc="0413001B" w:tentative="1">
      <w:start w:val="1"/>
      <w:numFmt w:val="lowerRoman"/>
      <w:lvlText w:val="%6."/>
      <w:lvlJc w:val="right"/>
      <w:pPr>
        <w:ind w:left="4677" w:hanging="180"/>
      </w:pPr>
      <w:rPr>
        <w:rFonts w:cs="Times New Roman"/>
      </w:rPr>
    </w:lvl>
    <w:lvl w:ilvl="6" w:tplc="0413000F" w:tentative="1">
      <w:start w:val="1"/>
      <w:numFmt w:val="decimal"/>
      <w:lvlText w:val="%7."/>
      <w:lvlJc w:val="left"/>
      <w:pPr>
        <w:ind w:left="5397" w:hanging="360"/>
      </w:pPr>
      <w:rPr>
        <w:rFonts w:cs="Times New Roman"/>
      </w:rPr>
    </w:lvl>
    <w:lvl w:ilvl="7" w:tplc="04130019" w:tentative="1">
      <w:start w:val="1"/>
      <w:numFmt w:val="lowerLetter"/>
      <w:lvlText w:val="%8."/>
      <w:lvlJc w:val="left"/>
      <w:pPr>
        <w:ind w:left="6117" w:hanging="360"/>
      </w:pPr>
      <w:rPr>
        <w:rFonts w:cs="Times New Roman"/>
      </w:rPr>
    </w:lvl>
    <w:lvl w:ilvl="8" w:tplc="0413001B" w:tentative="1">
      <w:start w:val="1"/>
      <w:numFmt w:val="lowerRoman"/>
      <w:lvlText w:val="%9."/>
      <w:lvlJc w:val="right"/>
      <w:pPr>
        <w:ind w:left="6837" w:hanging="180"/>
      </w:pPr>
      <w:rPr>
        <w:rFonts w:cs="Times New Roman"/>
      </w:rPr>
    </w:lvl>
  </w:abstractNum>
  <w:abstractNum w:abstractNumId="32">
    <w:nsid w:val="7E315F43"/>
    <w:multiLevelType w:val="multilevel"/>
    <w:tmpl w:val="A2482E16"/>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800" w:hanging="144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520" w:hanging="2160"/>
      </w:pPr>
      <w:rPr>
        <w:rFonts w:cs="Times New Roman" w:hint="default"/>
      </w:rPr>
    </w:lvl>
    <w:lvl w:ilvl="8">
      <w:start w:val="1"/>
      <w:numFmt w:val="decimal"/>
      <w:isLgl/>
      <w:lvlText w:val="%1.%2.%3.%4.%5.%6.%7.%8.%9"/>
      <w:lvlJc w:val="left"/>
      <w:pPr>
        <w:ind w:left="2520" w:hanging="2160"/>
      </w:pPr>
      <w:rPr>
        <w:rFonts w:cs="Times New Roman" w:hint="default"/>
      </w:rPr>
    </w:lvl>
  </w:abstractNum>
  <w:num w:numId="1">
    <w:abstractNumId w:val="22"/>
  </w:num>
  <w:num w:numId="2">
    <w:abstractNumId w:val="22"/>
  </w:num>
  <w:num w:numId="3">
    <w:abstractNumId w:val="22"/>
  </w:num>
  <w:num w:numId="4">
    <w:abstractNumId w:val="11"/>
  </w:num>
  <w:num w:numId="5">
    <w:abstractNumId w:val="11"/>
  </w:num>
  <w:num w:numId="6">
    <w:abstractNumId w:val="11"/>
  </w:num>
  <w:num w:numId="7">
    <w:abstractNumId w:val="17"/>
  </w:num>
  <w:num w:numId="8">
    <w:abstractNumId w:val="31"/>
  </w:num>
  <w:num w:numId="9">
    <w:abstractNumId w:val="16"/>
  </w:num>
  <w:num w:numId="10">
    <w:abstractNumId w:val="19"/>
  </w:num>
  <w:num w:numId="11">
    <w:abstractNumId w:val="19"/>
  </w:num>
  <w:num w:numId="12">
    <w:abstractNumId w:val="1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2"/>
  </w:num>
  <w:num w:numId="14">
    <w:abstractNumId w:val="13"/>
  </w:num>
  <w:num w:numId="15">
    <w:abstractNumId w:val="21"/>
  </w:num>
  <w:num w:numId="16">
    <w:abstractNumId w:val="18"/>
  </w:num>
  <w:num w:numId="17">
    <w:abstractNumId w:val="28"/>
  </w:num>
  <w:num w:numId="18">
    <w:abstractNumId w:val="14"/>
  </w:num>
  <w:num w:numId="19">
    <w:abstractNumId w:val="9"/>
  </w:num>
  <w:num w:numId="20">
    <w:abstractNumId w:val="7"/>
  </w:num>
  <w:num w:numId="21">
    <w:abstractNumId w:val="6"/>
  </w:num>
  <w:num w:numId="22">
    <w:abstractNumId w:val="5"/>
  </w:num>
  <w:num w:numId="23">
    <w:abstractNumId w:val="4"/>
  </w:num>
  <w:num w:numId="24">
    <w:abstractNumId w:val="8"/>
  </w:num>
  <w:num w:numId="25">
    <w:abstractNumId w:val="3"/>
  </w:num>
  <w:num w:numId="26">
    <w:abstractNumId w:val="2"/>
  </w:num>
  <w:num w:numId="27">
    <w:abstractNumId w:val="1"/>
  </w:num>
  <w:num w:numId="28">
    <w:abstractNumId w:val="0"/>
  </w:num>
  <w:num w:numId="29">
    <w:abstractNumId w:val="29"/>
  </w:num>
  <w:num w:numId="30">
    <w:abstractNumId w:val="10"/>
  </w:num>
  <w:num w:numId="31">
    <w:abstractNumId w:val="15"/>
  </w:num>
  <w:num w:numId="32">
    <w:abstractNumId w:val="30"/>
  </w:num>
  <w:num w:numId="33">
    <w:abstractNumId w:val="25"/>
  </w:num>
  <w:num w:numId="34">
    <w:abstractNumId w:val="27"/>
  </w:num>
  <w:num w:numId="35">
    <w:abstractNumId w:val="12"/>
  </w:num>
  <w:num w:numId="36">
    <w:abstractNumId w:val="26"/>
  </w:num>
  <w:num w:numId="37">
    <w:abstractNumId w:val="23"/>
  </w:num>
  <w:num w:numId="38">
    <w:abstractNumId w:val="20"/>
  </w:num>
  <w:num w:numId="39">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425"/>
  <w:characterSpacingControl w:val="doNotCompress"/>
  <w:footnotePr>
    <w:footnote w:id="-1"/>
    <w:footnote w:id="0"/>
  </w:footnotePr>
  <w:endnotePr>
    <w:endnote w:id="-1"/>
    <w:endnote w:id="0"/>
  </w:endnotePr>
  <w:compat/>
  <w:rsids>
    <w:rsidRoot w:val="007F7A17"/>
    <w:rsid w:val="000002B7"/>
    <w:rsid w:val="00002BAD"/>
    <w:rsid w:val="000032F9"/>
    <w:rsid w:val="00006D06"/>
    <w:rsid w:val="00007BA2"/>
    <w:rsid w:val="00015E93"/>
    <w:rsid w:val="00015EC8"/>
    <w:rsid w:val="00016EAF"/>
    <w:rsid w:val="0001772D"/>
    <w:rsid w:val="00020386"/>
    <w:rsid w:val="00021AD5"/>
    <w:rsid w:val="00022AF5"/>
    <w:rsid w:val="0002680A"/>
    <w:rsid w:val="00027773"/>
    <w:rsid w:val="0002799B"/>
    <w:rsid w:val="00030104"/>
    <w:rsid w:val="0003282F"/>
    <w:rsid w:val="00034D8D"/>
    <w:rsid w:val="00034F46"/>
    <w:rsid w:val="00037D40"/>
    <w:rsid w:val="00042DD3"/>
    <w:rsid w:val="00043D0C"/>
    <w:rsid w:val="0004567F"/>
    <w:rsid w:val="00045DB8"/>
    <w:rsid w:val="00046AEE"/>
    <w:rsid w:val="00050C4C"/>
    <w:rsid w:val="00052604"/>
    <w:rsid w:val="00052B80"/>
    <w:rsid w:val="00054D32"/>
    <w:rsid w:val="000562D5"/>
    <w:rsid w:val="00056AA2"/>
    <w:rsid w:val="00060923"/>
    <w:rsid w:val="00060B23"/>
    <w:rsid w:val="000629DA"/>
    <w:rsid w:val="0006338E"/>
    <w:rsid w:val="0006481B"/>
    <w:rsid w:val="000655AD"/>
    <w:rsid w:val="000677CD"/>
    <w:rsid w:val="00067FE8"/>
    <w:rsid w:val="00070A90"/>
    <w:rsid w:val="00071655"/>
    <w:rsid w:val="00071BE2"/>
    <w:rsid w:val="00071EB7"/>
    <w:rsid w:val="000720B8"/>
    <w:rsid w:val="00072F22"/>
    <w:rsid w:val="00073BAB"/>
    <w:rsid w:val="000747DF"/>
    <w:rsid w:val="00076859"/>
    <w:rsid w:val="000775F7"/>
    <w:rsid w:val="00082DBC"/>
    <w:rsid w:val="00090162"/>
    <w:rsid w:val="00090C12"/>
    <w:rsid w:val="000923FE"/>
    <w:rsid w:val="000929F3"/>
    <w:rsid w:val="0009364F"/>
    <w:rsid w:val="00093E2E"/>
    <w:rsid w:val="00094E90"/>
    <w:rsid w:val="000952B5"/>
    <w:rsid w:val="0009530D"/>
    <w:rsid w:val="0009530F"/>
    <w:rsid w:val="000A0182"/>
    <w:rsid w:val="000A033C"/>
    <w:rsid w:val="000A0CF5"/>
    <w:rsid w:val="000A55D6"/>
    <w:rsid w:val="000A6BC0"/>
    <w:rsid w:val="000A78BA"/>
    <w:rsid w:val="000B1F76"/>
    <w:rsid w:val="000B6F4B"/>
    <w:rsid w:val="000B6F6F"/>
    <w:rsid w:val="000C13E8"/>
    <w:rsid w:val="000C1483"/>
    <w:rsid w:val="000C18BB"/>
    <w:rsid w:val="000C1AA8"/>
    <w:rsid w:val="000D009C"/>
    <w:rsid w:val="000D096A"/>
    <w:rsid w:val="000D17DF"/>
    <w:rsid w:val="000D46EE"/>
    <w:rsid w:val="000D638F"/>
    <w:rsid w:val="000D6DD3"/>
    <w:rsid w:val="000D781C"/>
    <w:rsid w:val="000E0263"/>
    <w:rsid w:val="000E1FB3"/>
    <w:rsid w:val="000E3773"/>
    <w:rsid w:val="000E3A76"/>
    <w:rsid w:val="000E461C"/>
    <w:rsid w:val="000E4E7C"/>
    <w:rsid w:val="000E669A"/>
    <w:rsid w:val="000E7260"/>
    <w:rsid w:val="000F0BF9"/>
    <w:rsid w:val="000F1B66"/>
    <w:rsid w:val="000F2796"/>
    <w:rsid w:val="000F32DB"/>
    <w:rsid w:val="000F64F4"/>
    <w:rsid w:val="001015FE"/>
    <w:rsid w:val="00102536"/>
    <w:rsid w:val="00102548"/>
    <w:rsid w:val="00103ECE"/>
    <w:rsid w:val="00105F9E"/>
    <w:rsid w:val="00106DF1"/>
    <w:rsid w:val="00107D66"/>
    <w:rsid w:val="00112B34"/>
    <w:rsid w:val="0011466F"/>
    <w:rsid w:val="00114CDA"/>
    <w:rsid w:val="001153E8"/>
    <w:rsid w:val="00115DCF"/>
    <w:rsid w:val="001162C9"/>
    <w:rsid w:val="001163A6"/>
    <w:rsid w:val="00116D71"/>
    <w:rsid w:val="00120AEA"/>
    <w:rsid w:val="00120F03"/>
    <w:rsid w:val="00121299"/>
    <w:rsid w:val="00122066"/>
    <w:rsid w:val="00123D06"/>
    <w:rsid w:val="00123EBB"/>
    <w:rsid w:val="001252E5"/>
    <w:rsid w:val="00126F59"/>
    <w:rsid w:val="00130D10"/>
    <w:rsid w:val="0013170C"/>
    <w:rsid w:val="00131924"/>
    <w:rsid w:val="0013331A"/>
    <w:rsid w:val="00133FE4"/>
    <w:rsid w:val="00134939"/>
    <w:rsid w:val="001352BE"/>
    <w:rsid w:val="0013669D"/>
    <w:rsid w:val="001375B6"/>
    <w:rsid w:val="0014215D"/>
    <w:rsid w:val="001444A7"/>
    <w:rsid w:val="001471B4"/>
    <w:rsid w:val="001502E4"/>
    <w:rsid w:val="00151944"/>
    <w:rsid w:val="001536F2"/>
    <w:rsid w:val="001555C1"/>
    <w:rsid w:val="00161881"/>
    <w:rsid w:val="00161906"/>
    <w:rsid w:val="0016451C"/>
    <w:rsid w:val="001646DF"/>
    <w:rsid w:val="0016713D"/>
    <w:rsid w:val="00167B1B"/>
    <w:rsid w:val="0017080C"/>
    <w:rsid w:val="001720A7"/>
    <w:rsid w:val="00173A9D"/>
    <w:rsid w:val="001748A7"/>
    <w:rsid w:val="00174E81"/>
    <w:rsid w:val="00175247"/>
    <w:rsid w:val="0017687C"/>
    <w:rsid w:val="0017691C"/>
    <w:rsid w:val="00177143"/>
    <w:rsid w:val="00177753"/>
    <w:rsid w:val="00184408"/>
    <w:rsid w:val="001845D7"/>
    <w:rsid w:val="00195680"/>
    <w:rsid w:val="001957A7"/>
    <w:rsid w:val="00195FA7"/>
    <w:rsid w:val="001975C0"/>
    <w:rsid w:val="00197C80"/>
    <w:rsid w:val="001A1DE7"/>
    <w:rsid w:val="001A2102"/>
    <w:rsid w:val="001A5448"/>
    <w:rsid w:val="001A5C1F"/>
    <w:rsid w:val="001A6945"/>
    <w:rsid w:val="001A6993"/>
    <w:rsid w:val="001A74C5"/>
    <w:rsid w:val="001B1343"/>
    <w:rsid w:val="001B1E3F"/>
    <w:rsid w:val="001B1EAB"/>
    <w:rsid w:val="001B2BC6"/>
    <w:rsid w:val="001B31D4"/>
    <w:rsid w:val="001B328D"/>
    <w:rsid w:val="001B49D4"/>
    <w:rsid w:val="001B5115"/>
    <w:rsid w:val="001B5D1B"/>
    <w:rsid w:val="001C4721"/>
    <w:rsid w:val="001C4C79"/>
    <w:rsid w:val="001D377A"/>
    <w:rsid w:val="001D3C44"/>
    <w:rsid w:val="001D5BF1"/>
    <w:rsid w:val="001D79F9"/>
    <w:rsid w:val="001D7B44"/>
    <w:rsid w:val="001E23AE"/>
    <w:rsid w:val="001E3D17"/>
    <w:rsid w:val="001E4BC5"/>
    <w:rsid w:val="001E506B"/>
    <w:rsid w:val="001E5ED5"/>
    <w:rsid w:val="001F1B25"/>
    <w:rsid w:val="001F5C0A"/>
    <w:rsid w:val="001F7175"/>
    <w:rsid w:val="00203224"/>
    <w:rsid w:val="00203AEA"/>
    <w:rsid w:val="00204265"/>
    <w:rsid w:val="002054B8"/>
    <w:rsid w:val="002161F1"/>
    <w:rsid w:val="00216655"/>
    <w:rsid w:val="00220276"/>
    <w:rsid w:val="00220E7F"/>
    <w:rsid w:val="00220EE9"/>
    <w:rsid w:val="0022187F"/>
    <w:rsid w:val="002233BF"/>
    <w:rsid w:val="002234CB"/>
    <w:rsid w:val="00223558"/>
    <w:rsid w:val="0022416D"/>
    <w:rsid w:val="002268EF"/>
    <w:rsid w:val="00230356"/>
    <w:rsid w:val="00231B9F"/>
    <w:rsid w:val="0023296F"/>
    <w:rsid w:val="00232F42"/>
    <w:rsid w:val="0023419F"/>
    <w:rsid w:val="00235A55"/>
    <w:rsid w:val="00240E6C"/>
    <w:rsid w:val="00243857"/>
    <w:rsid w:val="002439A6"/>
    <w:rsid w:val="0024414B"/>
    <w:rsid w:val="00247D75"/>
    <w:rsid w:val="002503B2"/>
    <w:rsid w:val="00253DA4"/>
    <w:rsid w:val="00254D6D"/>
    <w:rsid w:val="00255081"/>
    <w:rsid w:val="00257146"/>
    <w:rsid w:val="00257232"/>
    <w:rsid w:val="002575A8"/>
    <w:rsid w:val="002621C1"/>
    <w:rsid w:val="00264E9F"/>
    <w:rsid w:val="00265B06"/>
    <w:rsid w:val="002717F8"/>
    <w:rsid w:val="00273ACA"/>
    <w:rsid w:val="0027480E"/>
    <w:rsid w:val="0028043B"/>
    <w:rsid w:val="002814D7"/>
    <w:rsid w:val="00281BF0"/>
    <w:rsid w:val="002823BA"/>
    <w:rsid w:val="0028289B"/>
    <w:rsid w:val="0028380F"/>
    <w:rsid w:val="00287BBC"/>
    <w:rsid w:val="00287D03"/>
    <w:rsid w:val="00293011"/>
    <w:rsid w:val="00294C05"/>
    <w:rsid w:val="002960DF"/>
    <w:rsid w:val="002A0534"/>
    <w:rsid w:val="002A1CF7"/>
    <w:rsid w:val="002A24BD"/>
    <w:rsid w:val="002A3443"/>
    <w:rsid w:val="002A3B4C"/>
    <w:rsid w:val="002A3FA7"/>
    <w:rsid w:val="002A400B"/>
    <w:rsid w:val="002A4F5C"/>
    <w:rsid w:val="002A5184"/>
    <w:rsid w:val="002A54DB"/>
    <w:rsid w:val="002B039F"/>
    <w:rsid w:val="002B0D35"/>
    <w:rsid w:val="002B15BA"/>
    <w:rsid w:val="002B1FA0"/>
    <w:rsid w:val="002B3441"/>
    <w:rsid w:val="002B368A"/>
    <w:rsid w:val="002B714B"/>
    <w:rsid w:val="002B7993"/>
    <w:rsid w:val="002C1C9C"/>
    <w:rsid w:val="002C1ECD"/>
    <w:rsid w:val="002D0647"/>
    <w:rsid w:val="002D0751"/>
    <w:rsid w:val="002D094E"/>
    <w:rsid w:val="002D4833"/>
    <w:rsid w:val="002D4DF1"/>
    <w:rsid w:val="002D708A"/>
    <w:rsid w:val="002E2691"/>
    <w:rsid w:val="002E7CDE"/>
    <w:rsid w:val="002F125D"/>
    <w:rsid w:val="002F2E4F"/>
    <w:rsid w:val="002F365F"/>
    <w:rsid w:val="002F56B5"/>
    <w:rsid w:val="00302EC1"/>
    <w:rsid w:val="003035D7"/>
    <w:rsid w:val="003050B3"/>
    <w:rsid w:val="003065AF"/>
    <w:rsid w:val="00306A07"/>
    <w:rsid w:val="00306DE4"/>
    <w:rsid w:val="0031046F"/>
    <w:rsid w:val="003107B6"/>
    <w:rsid w:val="00311E24"/>
    <w:rsid w:val="00311E7D"/>
    <w:rsid w:val="00312220"/>
    <w:rsid w:val="00314749"/>
    <w:rsid w:val="003165B4"/>
    <w:rsid w:val="003166D4"/>
    <w:rsid w:val="003175C9"/>
    <w:rsid w:val="0031796B"/>
    <w:rsid w:val="00320D31"/>
    <w:rsid w:val="003211D4"/>
    <w:rsid w:val="0032381F"/>
    <w:rsid w:val="00323845"/>
    <w:rsid w:val="00324EA0"/>
    <w:rsid w:val="003277C4"/>
    <w:rsid w:val="00327BF6"/>
    <w:rsid w:val="00327E4C"/>
    <w:rsid w:val="00330242"/>
    <w:rsid w:val="00331FD0"/>
    <w:rsid w:val="00332B3B"/>
    <w:rsid w:val="00332DFC"/>
    <w:rsid w:val="003334FB"/>
    <w:rsid w:val="00333906"/>
    <w:rsid w:val="00333FFF"/>
    <w:rsid w:val="003376BC"/>
    <w:rsid w:val="00337F77"/>
    <w:rsid w:val="00340032"/>
    <w:rsid w:val="003405B8"/>
    <w:rsid w:val="00340DFD"/>
    <w:rsid w:val="00343785"/>
    <w:rsid w:val="00345D79"/>
    <w:rsid w:val="00346D3A"/>
    <w:rsid w:val="003525D3"/>
    <w:rsid w:val="003534D7"/>
    <w:rsid w:val="00353503"/>
    <w:rsid w:val="00354455"/>
    <w:rsid w:val="003557E7"/>
    <w:rsid w:val="003559D9"/>
    <w:rsid w:val="00357220"/>
    <w:rsid w:val="00357B23"/>
    <w:rsid w:val="00360031"/>
    <w:rsid w:val="0036092E"/>
    <w:rsid w:val="003609A4"/>
    <w:rsid w:val="00361F27"/>
    <w:rsid w:val="00362021"/>
    <w:rsid w:val="00362EF8"/>
    <w:rsid w:val="00363E01"/>
    <w:rsid w:val="00365199"/>
    <w:rsid w:val="0036670C"/>
    <w:rsid w:val="00372B45"/>
    <w:rsid w:val="00373353"/>
    <w:rsid w:val="00376607"/>
    <w:rsid w:val="00377ACA"/>
    <w:rsid w:val="003811DA"/>
    <w:rsid w:val="00381BD2"/>
    <w:rsid w:val="003825E1"/>
    <w:rsid w:val="003871B8"/>
    <w:rsid w:val="00387DE7"/>
    <w:rsid w:val="00392B0F"/>
    <w:rsid w:val="003949FB"/>
    <w:rsid w:val="00394B1B"/>
    <w:rsid w:val="003A156D"/>
    <w:rsid w:val="003A23AC"/>
    <w:rsid w:val="003A29ED"/>
    <w:rsid w:val="003A3126"/>
    <w:rsid w:val="003A7420"/>
    <w:rsid w:val="003A7B2E"/>
    <w:rsid w:val="003B394A"/>
    <w:rsid w:val="003B3FDB"/>
    <w:rsid w:val="003B4396"/>
    <w:rsid w:val="003B69CB"/>
    <w:rsid w:val="003B7279"/>
    <w:rsid w:val="003C0421"/>
    <w:rsid w:val="003C0F24"/>
    <w:rsid w:val="003C1127"/>
    <w:rsid w:val="003C2067"/>
    <w:rsid w:val="003C2087"/>
    <w:rsid w:val="003C2325"/>
    <w:rsid w:val="003C2973"/>
    <w:rsid w:val="003C5164"/>
    <w:rsid w:val="003C6B60"/>
    <w:rsid w:val="003D1A39"/>
    <w:rsid w:val="003E0288"/>
    <w:rsid w:val="003E113D"/>
    <w:rsid w:val="003E29A1"/>
    <w:rsid w:val="003E319A"/>
    <w:rsid w:val="003E3D95"/>
    <w:rsid w:val="003E45A8"/>
    <w:rsid w:val="003E697A"/>
    <w:rsid w:val="003E6D31"/>
    <w:rsid w:val="003E7419"/>
    <w:rsid w:val="003F0EA3"/>
    <w:rsid w:val="003F2787"/>
    <w:rsid w:val="003F42DF"/>
    <w:rsid w:val="003F460E"/>
    <w:rsid w:val="003F46ED"/>
    <w:rsid w:val="003F50C9"/>
    <w:rsid w:val="003F6744"/>
    <w:rsid w:val="004001AA"/>
    <w:rsid w:val="00402E8D"/>
    <w:rsid w:val="004032D9"/>
    <w:rsid w:val="00405130"/>
    <w:rsid w:val="00405553"/>
    <w:rsid w:val="0040689E"/>
    <w:rsid w:val="00407501"/>
    <w:rsid w:val="004102D7"/>
    <w:rsid w:val="00412112"/>
    <w:rsid w:val="00412E4E"/>
    <w:rsid w:val="0041408D"/>
    <w:rsid w:val="00414B4E"/>
    <w:rsid w:val="004150B5"/>
    <w:rsid w:val="00415C1E"/>
    <w:rsid w:val="0041642C"/>
    <w:rsid w:val="004201AD"/>
    <w:rsid w:val="004227DB"/>
    <w:rsid w:val="00422DF9"/>
    <w:rsid w:val="00425EBD"/>
    <w:rsid w:val="00427B95"/>
    <w:rsid w:val="00432921"/>
    <w:rsid w:val="00432C8F"/>
    <w:rsid w:val="00433A08"/>
    <w:rsid w:val="00436F64"/>
    <w:rsid w:val="00436F78"/>
    <w:rsid w:val="004406BC"/>
    <w:rsid w:val="00440B52"/>
    <w:rsid w:val="00441AE1"/>
    <w:rsid w:val="004420DF"/>
    <w:rsid w:val="00443097"/>
    <w:rsid w:val="00445B92"/>
    <w:rsid w:val="004462A5"/>
    <w:rsid w:val="0044671A"/>
    <w:rsid w:val="00453822"/>
    <w:rsid w:val="004579C6"/>
    <w:rsid w:val="004603CA"/>
    <w:rsid w:val="0046373F"/>
    <w:rsid w:val="00464681"/>
    <w:rsid w:val="0046509B"/>
    <w:rsid w:val="004670E6"/>
    <w:rsid w:val="00467E39"/>
    <w:rsid w:val="00467EA4"/>
    <w:rsid w:val="00474144"/>
    <w:rsid w:val="0047473F"/>
    <w:rsid w:val="00475FCD"/>
    <w:rsid w:val="0047741D"/>
    <w:rsid w:val="004776AE"/>
    <w:rsid w:val="004777EF"/>
    <w:rsid w:val="00480045"/>
    <w:rsid w:val="00480190"/>
    <w:rsid w:val="0048052C"/>
    <w:rsid w:val="0048122D"/>
    <w:rsid w:val="004813A8"/>
    <w:rsid w:val="00483C2C"/>
    <w:rsid w:val="00483FDE"/>
    <w:rsid w:val="00484EAE"/>
    <w:rsid w:val="004854D8"/>
    <w:rsid w:val="00486009"/>
    <w:rsid w:val="00487579"/>
    <w:rsid w:val="00490C90"/>
    <w:rsid w:val="004910B2"/>
    <w:rsid w:val="00492942"/>
    <w:rsid w:val="004947E2"/>
    <w:rsid w:val="00494B65"/>
    <w:rsid w:val="00497291"/>
    <w:rsid w:val="004A317A"/>
    <w:rsid w:val="004B3541"/>
    <w:rsid w:val="004B3DF4"/>
    <w:rsid w:val="004B4DE6"/>
    <w:rsid w:val="004B519A"/>
    <w:rsid w:val="004B5288"/>
    <w:rsid w:val="004B5C1D"/>
    <w:rsid w:val="004B6947"/>
    <w:rsid w:val="004C0073"/>
    <w:rsid w:val="004C0B92"/>
    <w:rsid w:val="004C53C5"/>
    <w:rsid w:val="004C5EA1"/>
    <w:rsid w:val="004C6AE9"/>
    <w:rsid w:val="004C71C6"/>
    <w:rsid w:val="004D2C57"/>
    <w:rsid w:val="004D7E40"/>
    <w:rsid w:val="004E0004"/>
    <w:rsid w:val="004E092B"/>
    <w:rsid w:val="004E1AF9"/>
    <w:rsid w:val="004E3B2C"/>
    <w:rsid w:val="004F1552"/>
    <w:rsid w:val="004F3813"/>
    <w:rsid w:val="004F56A9"/>
    <w:rsid w:val="004F7848"/>
    <w:rsid w:val="0050010B"/>
    <w:rsid w:val="005005A3"/>
    <w:rsid w:val="005012B9"/>
    <w:rsid w:val="00504D94"/>
    <w:rsid w:val="005051AF"/>
    <w:rsid w:val="005073DE"/>
    <w:rsid w:val="0051118B"/>
    <w:rsid w:val="00512637"/>
    <w:rsid w:val="00512FAF"/>
    <w:rsid w:val="00513E52"/>
    <w:rsid w:val="0051443D"/>
    <w:rsid w:val="0051637C"/>
    <w:rsid w:val="00517169"/>
    <w:rsid w:val="00520C6D"/>
    <w:rsid w:val="00521097"/>
    <w:rsid w:val="00522288"/>
    <w:rsid w:val="00526E04"/>
    <w:rsid w:val="0053016A"/>
    <w:rsid w:val="005302C8"/>
    <w:rsid w:val="005308F1"/>
    <w:rsid w:val="00534355"/>
    <w:rsid w:val="00535B29"/>
    <w:rsid w:val="00540304"/>
    <w:rsid w:val="00544450"/>
    <w:rsid w:val="0054495A"/>
    <w:rsid w:val="00550551"/>
    <w:rsid w:val="005513EA"/>
    <w:rsid w:val="00552244"/>
    <w:rsid w:val="00553CBD"/>
    <w:rsid w:val="00562639"/>
    <w:rsid w:val="00562E19"/>
    <w:rsid w:val="00562E76"/>
    <w:rsid w:val="00563ACA"/>
    <w:rsid w:val="00564685"/>
    <w:rsid w:val="0056561C"/>
    <w:rsid w:val="00566A49"/>
    <w:rsid w:val="005752FB"/>
    <w:rsid w:val="005769F0"/>
    <w:rsid w:val="00583993"/>
    <w:rsid w:val="0058494B"/>
    <w:rsid w:val="0058678E"/>
    <w:rsid w:val="00586A9B"/>
    <w:rsid w:val="00586E9E"/>
    <w:rsid w:val="00590EB5"/>
    <w:rsid w:val="00591B87"/>
    <w:rsid w:val="00592702"/>
    <w:rsid w:val="00596905"/>
    <w:rsid w:val="005979E4"/>
    <w:rsid w:val="005A1621"/>
    <w:rsid w:val="005A2120"/>
    <w:rsid w:val="005A2164"/>
    <w:rsid w:val="005A2A33"/>
    <w:rsid w:val="005A3AE3"/>
    <w:rsid w:val="005A3F1A"/>
    <w:rsid w:val="005A4D43"/>
    <w:rsid w:val="005A71A8"/>
    <w:rsid w:val="005A7B90"/>
    <w:rsid w:val="005A7CFA"/>
    <w:rsid w:val="005B17D9"/>
    <w:rsid w:val="005B2BE4"/>
    <w:rsid w:val="005B2F35"/>
    <w:rsid w:val="005B4A23"/>
    <w:rsid w:val="005B52B5"/>
    <w:rsid w:val="005B5494"/>
    <w:rsid w:val="005B5692"/>
    <w:rsid w:val="005B669E"/>
    <w:rsid w:val="005C021B"/>
    <w:rsid w:val="005C2A74"/>
    <w:rsid w:val="005C31F4"/>
    <w:rsid w:val="005C3C6A"/>
    <w:rsid w:val="005C443F"/>
    <w:rsid w:val="005C6E8E"/>
    <w:rsid w:val="005C795C"/>
    <w:rsid w:val="005D18EF"/>
    <w:rsid w:val="005D4816"/>
    <w:rsid w:val="005D4FDB"/>
    <w:rsid w:val="005D5A0D"/>
    <w:rsid w:val="005D6883"/>
    <w:rsid w:val="005D720D"/>
    <w:rsid w:val="005F51B2"/>
    <w:rsid w:val="005F5832"/>
    <w:rsid w:val="005F6604"/>
    <w:rsid w:val="005F7ACE"/>
    <w:rsid w:val="00600FDB"/>
    <w:rsid w:val="006028F0"/>
    <w:rsid w:val="006031C3"/>
    <w:rsid w:val="00603872"/>
    <w:rsid w:val="00606F96"/>
    <w:rsid w:val="00613F35"/>
    <w:rsid w:val="00616A0F"/>
    <w:rsid w:val="00617846"/>
    <w:rsid w:val="00620218"/>
    <w:rsid w:val="00620B4E"/>
    <w:rsid w:val="006215C1"/>
    <w:rsid w:val="00621CF9"/>
    <w:rsid w:val="006241C6"/>
    <w:rsid w:val="006255CE"/>
    <w:rsid w:val="006272DF"/>
    <w:rsid w:val="00630A47"/>
    <w:rsid w:val="00631556"/>
    <w:rsid w:val="006319FC"/>
    <w:rsid w:val="00632D7A"/>
    <w:rsid w:val="006347DA"/>
    <w:rsid w:val="006354C6"/>
    <w:rsid w:val="00640106"/>
    <w:rsid w:val="0064127A"/>
    <w:rsid w:val="006427B7"/>
    <w:rsid w:val="00644BAE"/>
    <w:rsid w:val="00645C55"/>
    <w:rsid w:val="00646064"/>
    <w:rsid w:val="00650830"/>
    <w:rsid w:val="0065171E"/>
    <w:rsid w:val="00651F5C"/>
    <w:rsid w:val="00652B64"/>
    <w:rsid w:val="00660D19"/>
    <w:rsid w:val="00661353"/>
    <w:rsid w:val="00661391"/>
    <w:rsid w:val="0066170F"/>
    <w:rsid w:val="00661B49"/>
    <w:rsid w:val="00662CCD"/>
    <w:rsid w:val="00663369"/>
    <w:rsid w:val="00667C77"/>
    <w:rsid w:val="0067435B"/>
    <w:rsid w:val="00676BF6"/>
    <w:rsid w:val="00676DA8"/>
    <w:rsid w:val="00677748"/>
    <w:rsid w:val="0068278A"/>
    <w:rsid w:val="00682A6F"/>
    <w:rsid w:val="00682B0A"/>
    <w:rsid w:val="0068317B"/>
    <w:rsid w:val="0068353C"/>
    <w:rsid w:val="00685878"/>
    <w:rsid w:val="0069340C"/>
    <w:rsid w:val="00695169"/>
    <w:rsid w:val="00695469"/>
    <w:rsid w:val="00695B35"/>
    <w:rsid w:val="00697BB4"/>
    <w:rsid w:val="006A6463"/>
    <w:rsid w:val="006A7439"/>
    <w:rsid w:val="006A7FD1"/>
    <w:rsid w:val="006B1EAC"/>
    <w:rsid w:val="006B2AC4"/>
    <w:rsid w:val="006B53B3"/>
    <w:rsid w:val="006B5457"/>
    <w:rsid w:val="006B5D38"/>
    <w:rsid w:val="006B6800"/>
    <w:rsid w:val="006B699F"/>
    <w:rsid w:val="006B6E23"/>
    <w:rsid w:val="006B712C"/>
    <w:rsid w:val="006B7EEA"/>
    <w:rsid w:val="006C0901"/>
    <w:rsid w:val="006C1060"/>
    <w:rsid w:val="006D1444"/>
    <w:rsid w:val="006D1812"/>
    <w:rsid w:val="006D60B0"/>
    <w:rsid w:val="006D6D0A"/>
    <w:rsid w:val="006D743A"/>
    <w:rsid w:val="006E1010"/>
    <w:rsid w:val="006E3633"/>
    <w:rsid w:val="006E515C"/>
    <w:rsid w:val="006E6C1D"/>
    <w:rsid w:val="006E6CE5"/>
    <w:rsid w:val="006E773F"/>
    <w:rsid w:val="006E7EB3"/>
    <w:rsid w:val="006F7527"/>
    <w:rsid w:val="0070130E"/>
    <w:rsid w:val="00701D66"/>
    <w:rsid w:val="00701F49"/>
    <w:rsid w:val="00702CE6"/>
    <w:rsid w:val="00704FB8"/>
    <w:rsid w:val="00705D10"/>
    <w:rsid w:val="00706654"/>
    <w:rsid w:val="00710B86"/>
    <w:rsid w:val="00714991"/>
    <w:rsid w:val="007206DA"/>
    <w:rsid w:val="00721193"/>
    <w:rsid w:val="007212C5"/>
    <w:rsid w:val="00722CAD"/>
    <w:rsid w:val="0072702F"/>
    <w:rsid w:val="007322B5"/>
    <w:rsid w:val="00732E75"/>
    <w:rsid w:val="00736349"/>
    <w:rsid w:val="00740909"/>
    <w:rsid w:val="00740CFB"/>
    <w:rsid w:val="0074112C"/>
    <w:rsid w:val="00742EA4"/>
    <w:rsid w:val="0074481E"/>
    <w:rsid w:val="00744EB8"/>
    <w:rsid w:val="00746B68"/>
    <w:rsid w:val="00747624"/>
    <w:rsid w:val="0075009A"/>
    <w:rsid w:val="007520FF"/>
    <w:rsid w:val="0075353C"/>
    <w:rsid w:val="00755352"/>
    <w:rsid w:val="0075628C"/>
    <w:rsid w:val="0076100B"/>
    <w:rsid w:val="00762DB8"/>
    <w:rsid w:val="00763A34"/>
    <w:rsid w:val="0076475B"/>
    <w:rsid w:val="007668C1"/>
    <w:rsid w:val="007725ED"/>
    <w:rsid w:val="00773E8E"/>
    <w:rsid w:val="007740FE"/>
    <w:rsid w:val="00776A66"/>
    <w:rsid w:val="00777447"/>
    <w:rsid w:val="00783357"/>
    <w:rsid w:val="00787388"/>
    <w:rsid w:val="00787749"/>
    <w:rsid w:val="00790EE4"/>
    <w:rsid w:val="00793883"/>
    <w:rsid w:val="00793FD7"/>
    <w:rsid w:val="007944FA"/>
    <w:rsid w:val="007945EC"/>
    <w:rsid w:val="00795DC2"/>
    <w:rsid w:val="00796CC3"/>
    <w:rsid w:val="00796F49"/>
    <w:rsid w:val="00797716"/>
    <w:rsid w:val="007A05CA"/>
    <w:rsid w:val="007A22EA"/>
    <w:rsid w:val="007A29C4"/>
    <w:rsid w:val="007B091A"/>
    <w:rsid w:val="007B18AD"/>
    <w:rsid w:val="007B26BB"/>
    <w:rsid w:val="007B3C61"/>
    <w:rsid w:val="007B6C12"/>
    <w:rsid w:val="007B7DDD"/>
    <w:rsid w:val="007C126C"/>
    <w:rsid w:val="007C1665"/>
    <w:rsid w:val="007C22B1"/>
    <w:rsid w:val="007C4AD8"/>
    <w:rsid w:val="007C63F9"/>
    <w:rsid w:val="007D00CA"/>
    <w:rsid w:val="007D2706"/>
    <w:rsid w:val="007D6527"/>
    <w:rsid w:val="007D6FB2"/>
    <w:rsid w:val="007E165D"/>
    <w:rsid w:val="007E217F"/>
    <w:rsid w:val="007E6146"/>
    <w:rsid w:val="007F0114"/>
    <w:rsid w:val="007F130E"/>
    <w:rsid w:val="007F1C65"/>
    <w:rsid w:val="007F2B20"/>
    <w:rsid w:val="007F398A"/>
    <w:rsid w:val="007F78C1"/>
    <w:rsid w:val="007F7A17"/>
    <w:rsid w:val="007F7FFE"/>
    <w:rsid w:val="00801B76"/>
    <w:rsid w:val="00803AA8"/>
    <w:rsid w:val="00804CCE"/>
    <w:rsid w:val="00807BF0"/>
    <w:rsid w:val="00810D44"/>
    <w:rsid w:val="0081298F"/>
    <w:rsid w:val="00813965"/>
    <w:rsid w:val="008162D6"/>
    <w:rsid w:val="00816972"/>
    <w:rsid w:val="0082013A"/>
    <w:rsid w:val="00823BAA"/>
    <w:rsid w:val="008252B3"/>
    <w:rsid w:val="00826893"/>
    <w:rsid w:val="00827FF8"/>
    <w:rsid w:val="00831131"/>
    <w:rsid w:val="00831190"/>
    <w:rsid w:val="00831455"/>
    <w:rsid w:val="00831930"/>
    <w:rsid w:val="00832D04"/>
    <w:rsid w:val="00832E9C"/>
    <w:rsid w:val="00833053"/>
    <w:rsid w:val="008343BC"/>
    <w:rsid w:val="00834788"/>
    <w:rsid w:val="008361D7"/>
    <w:rsid w:val="0084247B"/>
    <w:rsid w:val="00843B2E"/>
    <w:rsid w:val="0084458A"/>
    <w:rsid w:val="0084578F"/>
    <w:rsid w:val="00845B26"/>
    <w:rsid w:val="00846636"/>
    <w:rsid w:val="00847E9E"/>
    <w:rsid w:val="008514BC"/>
    <w:rsid w:val="0085392A"/>
    <w:rsid w:val="008553D5"/>
    <w:rsid w:val="00855E6E"/>
    <w:rsid w:val="00857891"/>
    <w:rsid w:val="00860808"/>
    <w:rsid w:val="0086099C"/>
    <w:rsid w:val="00862DCB"/>
    <w:rsid w:val="00867987"/>
    <w:rsid w:val="008733F6"/>
    <w:rsid w:val="008741EB"/>
    <w:rsid w:val="00876A47"/>
    <w:rsid w:val="00877916"/>
    <w:rsid w:val="00880EA4"/>
    <w:rsid w:val="00881AFE"/>
    <w:rsid w:val="0088282B"/>
    <w:rsid w:val="0088318A"/>
    <w:rsid w:val="008835B6"/>
    <w:rsid w:val="008835C6"/>
    <w:rsid w:val="0088361C"/>
    <w:rsid w:val="0088717F"/>
    <w:rsid w:val="00887F74"/>
    <w:rsid w:val="0089030B"/>
    <w:rsid w:val="00891BA4"/>
    <w:rsid w:val="00894275"/>
    <w:rsid w:val="008A43D7"/>
    <w:rsid w:val="008A4FC2"/>
    <w:rsid w:val="008A55E1"/>
    <w:rsid w:val="008A5852"/>
    <w:rsid w:val="008B048F"/>
    <w:rsid w:val="008B1E07"/>
    <w:rsid w:val="008B1EF8"/>
    <w:rsid w:val="008B2249"/>
    <w:rsid w:val="008B2795"/>
    <w:rsid w:val="008B3889"/>
    <w:rsid w:val="008B3AFE"/>
    <w:rsid w:val="008C0769"/>
    <w:rsid w:val="008C4191"/>
    <w:rsid w:val="008C5143"/>
    <w:rsid w:val="008C6729"/>
    <w:rsid w:val="008C7398"/>
    <w:rsid w:val="008C741D"/>
    <w:rsid w:val="008D10E5"/>
    <w:rsid w:val="008D194F"/>
    <w:rsid w:val="008D38E0"/>
    <w:rsid w:val="008D3FBC"/>
    <w:rsid w:val="008E1248"/>
    <w:rsid w:val="008E1C9D"/>
    <w:rsid w:val="008E21A2"/>
    <w:rsid w:val="008E2C0E"/>
    <w:rsid w:val="008E3956"/>
    <w:rsid w:val="008E3EC4"/>
    <w:rsid w:val="008E4B7E"/>
    <w:rsid w:val="008E4CE7"/>
    <w:rsid w:val="008E563C"/>
    <w:rsid w:val="008E5FFA"/>
    <w:rsid w:val="008E6638"/>
    <w:rsid w:val="008F050E"/>
    <w:rsid w:val="008F129B"/>
    <w:rsid w:val="008F24AC"/>
    <w:rsid w:val="008F2D2A"/>
    <w:rsid w:val="008F2E52"/>
    <w:rsid w:val="008F3A81"/>
    <w:rsid w:val="008F6A0E"/>
    <w:rsid w:val="008F70C2"/>
    <w:rsid w:val="008F7508"/>
    <w:rsid w:val="00901B5C"/>
    <w:rsid w:val="00901BE1"/>
    <w:rsid w:val="00902B81"/>
    <w:rsid w:val="009048CA"/>
    <w:rsid w:val="0090583C"/>
    <w:rsid w:val="00905BAC"/>
    <w:rsid w:val="00907C9F"/>
    <w:rsid w:val="009109D5"/>
    <w:rsid w:val="00911053"/>
    <w:rsid w:val="009113EA"/>
    <w:rsid w:val="009136EA"/>
    <w:rsid w:val="009144CF"/>
    <w:rsid w:val="009154BF"/>
    <w:rsid w:val="00915CD5"/>
    <w:rsid w:val="00923768"/>
    <w:rsid w:val="009255BD"/>
    <w:rsid w:val="00925BA2"/>
    <w:rsid w:val="00926432"/>
    <w:rsid w:val="0092722B"/>
    <w:rsid w:val="0092779E"/>
    <w:rsid w:val="00927CE1"/>
    <w:rsid w:val="00927F84"/>
    <w:rsid w:val="00933307"/>
    <w:rsid w:val="009334A0"/>
    <w:rsid w:val="00935D68"/>
    <w:rsid w:val="0093794D"/>
    <w:rsid w:val="00940F57"/>
    <w:rsid w:val="00941988"/>
    <w:rsid w:val="00943021"/>
    <w:rsid w:val="00944ACF"/>
    <w:rsid w:val="009450FB"/>
    <w:rsid w:val="00945BA2"/>
    <w:rsid w:val="00946CD2"/>
    <w:rsid w:val="009500CA"/>
    <w:rsid w:val="0095376B"/>
    <w:rsid w:val="00955FF1"/>
    <w:rsid w:val="009570F6"/>
    <w:rsid w:val="00957638"/>
    <w:rsid w:val="00957CC9"/>
    <w:rsid w:val="009627B5"/>
    <w:rsid w:val="00964D57"/>
    <w:rsid w:val="00970172"/>
    <w:rsid w:val="00972329"/>
    <w:rsid w:val="00974284"/>
    <w:rsid w:val="00975404"/>
    <w:rsid w:val="0097704A"/>
    <w:rsid w:val="0097749F"/>
    <w:rsid w:val="00980402"/>
    <w:rsid w:val="00980413"/>
    <w:rsid w:val="00980664"/>
    <w:rsid w:val="00982183"/>
    <w:rsid w:val="009821BB"/>
    <w:rsid w:val="00985028"/>
    <w:rsid w:val="009878B4"/>
    <w:rsid w:val="0099239D"/>
    <w:rsid w:val="00992A6F"/>
    <w:rsid w:val="00992C3E"/>
    <w:rsid w:val="0099383E"/>
    <w:rsid w:val="009A0E3E"/>
    <w:rsid w:val="009A11EB"/>
    <w:rsid w:val="009A191C"/>
    <w:rsid w:val="009A35DB"/>
    <w:rsid w:val="009A3A86"/>
    <w:rsid w:val="009A4478"/>
    <w:rsid w:val="009A5559"/>
    <w:rsid w:val="009A7C65"/>
    <w:rsid w:val="009A7DA1"/>
    <w:rsid w:val="009B0934"/>
    <w:rsid w:val="009B0BC2"/>
    <w:rsid w:val="009B0C20"/>
    <w:rsid w:val="009B2E34"/>
    <w:rsid w:val="009B378E"/>
    <w:rsid w:val="009B51D6"/>
    <w:rsid w:val="009B65CC"/>
    <w:rsid w:val="009C183A"/>
    <w:rsid w:val="009C1DB9"/>
    <w:rsid w:val="009C1DC0"/>
    <w:rsid w:val="009C51F7"/>
    <w:rsid w:val="009C52E2"/>
    <w:rsid w:val="009C5B41"/>
    <w:rsid w:val="009D3ECC"/>
    <w:rsid w:val="009D6537"/>
    <w:rsid w:val="009D7717"/>
    <w:rsid w:val="009E22A7"/>
    <w:rsid w:val="009E2A5A"/>
    <w:rsid w:val="009E363D"/>
    <w:rsid w:val="009E3741"/>
    <w:rsid w:val="009E3EF7"/>
    <w:rsid w:val="009E76BB"/>
    <w:rsid w:val="009F0FB4"/>
    <w:rsid w:val="009F29A4"/>
    <w:rsid w:val="009F2B83"/>
    <w:rsid w:val="009F5F08"/>
    <w:rsid w:val="009F717C"/>
    <w:rsid w:val="00A009EF"/>
    <w:rsid w:val="00A026A3"/>
    <w:rsid w:val="00A04649"/>
    <w:rsid w:val="00A057EC"/>
    <w:rsid w:val="00A060FE"/>
    <w:rsid w:val="00A07E84"/>
    <w:rsid w:val="00A11DE8"/>
    <w:rsid w:val="00A12178"/>
    <w:rsid w:val="00A12BD2"/>
    <w:rsid w:val="00A13D83"/>
    <w:rsid w:val="00A16214"/>
    <w:rsid w:val="00A17098"/>
    <w:rsid w:val="00A17CC7"/>
    <w:rsid w:val="00A207C0"/>
    <w:rsid w:val="00A22122"/>
    <w:rsid w:val="00A223C1"/>
    <w:rsid w:val="00A22E65"/>
    <w:rsid w:val="00A23240"/>
    <w:rsid w:val="00A232FC"/>
    <w:rsid w:val="00A24911"/>
    <w:rsid w:val="00A25A46"/>
    <w:rsid w:val="00A31151"/>
    <w:rsid w:val="00A32C7F"/>
    <w:rsid w:val="00A333EC"/>
    <w:rsid w:val="00A33598"/>
    <w:rsid w:val="00A348CB"/>
    <w:rsid w:val="00A43720"/>
    <w:rsid w:val="00A450FF"/>
    <w:rsid w:val="00A45400"/>
    <w:rsid w:val="00A4722F"/>
    <w:rsid w:val="00A472FD"/>
    <w:rsid w:val="00A50A36"/>
    <w:rsid w:val="00A51C43"/>
    <w:rsid w:val="00A53091"/>
    <w:rsid w:val="00A54520"/>
    <w:rsid w:val="00A55342"/>
    <w:rsid w:val="00A55B64"/>
    <w:rsid w:val="00A56469"/>
    <w:rsid w:val="00A600A6"/>
    <w:rsid w:val="00A6061E"/>
    <w:rsid w:val="00A618AE"/>
    <w:rsid w:val="00A61AED"/>
    <w:rsid w:val="00A63171"/>
    <w:rsid w:val="00A63A40"/>
    <w:rsid w:val="00A6425E"/>
    <w:rsid w:val="00A71B50"/>
    <w:rsid w:val="00A72B85"/>
    <w:rsid w:val="00A72EAC"/>
    <w:rsid w:val="00A733DF"/>
    <w:rsid w:val="00A73EC1"/>
    <w:rsid w:val="00A74204"/>
    <w:rsid w:val="00A75A87"/>
    <w:rsid w:val="00A76400"/>
    <w:rsid w:val="00A77BC9"/>
    <w:rsid w:val="00A77D0E"/>
    <w:rsid w:val="00A81434"/>
    <w:rsid w:val="00A82F1A"/>
    <w:rsid w:val="00A841F6"/>
    <w:rsid w:val="00A853B5"/>
    <w:rsid w:val="00A8582E"/>
    <w:rsid w:val="00A869BD"/>
    <w:rsid w:val="00A86CED"/>
    <w:rsid w:val="00A86D96"/>
    <w:rsid w:val="00A87800"/>
    <w:rsid w:val="00A91AF0"/>
    <w:rsid w:val="00A91D98"/>
    <w:rsid w:val="00A9226E"/>
    <w:rsid w:val="00A92FA6"/>
    <w:rsid w:val="00A945A5"/>
    <w:rsid w:val="00A94D42"/>
    <w:rsid w:val="00A95780"/>
    <w:rsid w:val="00A9578A"/>
    <w:rsid w:val="00A959F1"/>
    <w:rsid w:val="00A95F59"/>
    <w:rsid w:val="00AA1B94"/>
    <w:rsid w:val="00AA1E2B"/>
    <w:rsid w:val="00AA27A4"/>
    <w:rsid w:val="00AA282D"/>
    <w:rsid w:val="00AA3B61"/>
    <w:rsid w:val="00AA4FEB"/>
    <w:rsid w:val="00AA5016"/>
    <w:rsid w:val="00AA6924"/>
    <w:rsid w:val="00AB21A9"/>
    <w:rsid w:val="00AB3F26"/>
    <w:rsid w:val="00AB7EE8"/>
    <w:rsid w:val="00AC1D67"/>
    <w:rsid w:val="00AC2096"/>
    <w:rsid w:val="00AC271E"/>
    <w:rsid w:val="00AC6F4C"/>
    <w:rsid w:val="00AD3351"/>
    <w:rsid w:val="00AD3851"/>
    <w:rsid w:val="00AE1932"/>
    <w:rsid w:val="00AE2574"/>
    <w:rsid w:val="00AE369D"/>
    <w:rsid w:val="00AE3CD3"/>
    <w:rsid w:val="00AE3D5B"/>
    <w:rsid w:val="00AE69CF"/>
    <w:rsid w:val="00AE6DB1"/>
    <w:rsid w:val="00AE7938"/>
    <w:rsid w:val="00AF01DF"/>
    <w:rsid w:val="00AF0597"/>
    <w:rsid w:val="00AF0A15"/>
    <w:rsid w:val="00AF20EA"/>
    <w:rsid w:val="00AF3148"/>
    <w:rsid w:val="00AF3B07"/>
    <w:rsid w:val="00AF47CA"/>
    <w:rsid w:val="00AF59EE"/>
    <w:rsid w:val="00AF7029"/>
    <w:rsid w:val="00B000D0"/>
    <w:rsid w:val="00B01080"/>
    <w:rsid w:val="00B03638"/>
    <w:rsid w:val="00B05103"/>
    <w:rsid w:val="00B065AF"/>
    <w:rsid w:val="00B11F19"/>
    <w:rsid w:val="00B138F1"/>
    <w:rsid w:val="00B1443C"/>
    <w:rsid w:val="00B14C13"/>
    <w:rsid w:val="00B17654"/>
    <w:rsid w:val="00B21914"/>
    <w:rsid w:val="00B237AC"/>
    <w:rsid w:val="00B23B7D"/>
    <w:rsid w:val="00B2668D"/>
    <w:rsid w:val="00B26CB1"/>
    <w:rsid w:val="00B30E88"/>
    <w:rsid w:val="00B32F0F"/>
    <w:rsid w:val="00B33A38"/>
    <w:rsid w:val="00B34B41"/>
    <w:rsid w:val="00B40348"/>
    <w:rsid w:val="00B40C55"/>
    <w:rsid w:val="00B430C1"/>
    <w:rsid w:val="00B45206"/>
    <w:rsid w:val="00B46A87"/>
    <w:rsid w:val="00B474AF"/>
    <w:rsid w:val="00B524B4"/>
    <w:rsid w:val="00B62A84"/>
    <w:rsid w:val="00B63D7B"/>
    <w:rsid w:val="00B643E8"/>
    <w:rsid w:val="00B66FF2"/>
    <w:rsid w:val="00B71E2A"/>
    <w:rsid w:val="00B72C4B"/>
    <w:rsid w:val="00B757ED"/>
    <w:rsid w:val="00B75AAF"/>
    <w:rsid w:val="00B76B50"/>
    <w:rsid w:val="00B77D02"/>
    <w:rsid w:val="00B80563"/>
    <w:rsid w:val="00B83386"/>
    <w:rsid w:val="00B83912"/>
    <w:rsid w:val="00B83C86"/>
    <w:rsid w:val="00B83FD0"/>
    <w:rsid w:val="00B85B57"/>
    <w:rsid w:val="00B868A4"/>
    <w:rsid w:val="00B90036"/>
    <w:rsid w:val="00B949B7"/>
    <w:rsid w:val="00B94EE7"/>
    <w:rsid w:val="00B954A7"/>
    <w:rsid w:val="00B954BA"/>
    <w:rsid w:val="00B968D8"/>
    <w:rsid w:val="00B971E7"/>
    <w:rsid w:val="00B978BF"/>
    <w:rsid w:val="00BA31BB"/>
    <w:rsid w:val="00BA5698"/>
    <w:rsid w:val="00BA69DC"/>
    <w:rsid w:val="00BA6B99"/>
    <w:rsid w:val="00BA6F5F"/>
    <w:rsid w:val="00BB1F01"/>
    <w:rsid w:val="00BB2312"/>
    <w:rsid w:val="00BB420A"/>
    <w:rsid w:val="00BB73BD"/>
    <w:rsid w:val="00BC1E72"/>
    <w:rsid w:val="00BC1F03"/>
    <w:rsid w:val="00BC4F2A"/>
    <w:rsid w:val="00BC74D5"/>
    <w:rsid w:val="00BD0FBF"/>
    <w:rsid w:val="00BD3784"/>
    <w:rsid w:val="00BD41EF"/>
    <w:rsid w:val="00BD56EE"/>
    <w:rsid w:val="00BD5D76"/>
    <w:rsid w:val="00BD72D5"/>
    <w:rsid w:val="00BE30B2"/>
    <w:rsid w:val="00BE34A3"/>
    <w:rsid w:val="00BE4704"/>
    <w:rsid w:val="00BE4FE9"/>
    <w:rsid w:val="00BE503D"/>
    <w:rsid w:val="00BE6C51"/>
    <w:rsid w:val="00BE6F51"/>
    <w:rsid w:val="00BF0187"/>
    <w:rsid w:val="00BF06C8"/>
    <w:rsid w:val="00BF08C4"/>
    <w:rsid w:val="00BF181F"/>
    <w:rsid w:val="00BF1E00"/>
    <w:rsid w:val="00BF3446"/>
    <w:rsid w:val="00BF47ED"/>
    <w:rsid w:val="00BF5A16"/>
    <w:rsid w:val="00C0090E"/>
    <w:rsid w:val="00C0214C"/>
    <w:rsid w:val="00C079D7"/>
    <w:rsid w:val="00C10C92"/>
    <w:rsid w:val="00C12752"/>
    <w:rsid w:val="00C144AC"/>
    <w:rsid w:val="00C14955"/>
    <w:rsid w:val="00C15BDB"/>
    <w:rsid w:val="00C2120C"/>
    <w:rsid w:val="00C22744"/>
    <w:rsid w:val="00C22A05"/>
    <w:rsid w:val="00C23207"/>
    <w:rsid w:val="00C25056"/>
    <w:rsid w:val="00C2523C"/>
    <w:rsid w:val="00C26874"/>
    <w:rsid w:val="00C2760E"/>
    <w:rsid w:val="00C30801"/>
    <w:rsid w:val="00C32042"/>
    <w:rsid w:val="00C3371C"/>
    <w:rsid w:val="00C3430E"/>
    <w:rsid w:val="00C344F9"/>
    <w:rsid w:val="00C35EB5"/>
    <w:rsid w:val="00C35F1B"/>
    <w:rsid w:val="00C3631D"/>
    <w:rsid w:val="00C4008C"/>
    <w:rsid w:val="00C402FD"/>
    <w:rsid w:val="00C414DB"/>
    <w:rsid w:val="00C45280"/>
    <w:rsid w:val="00C47102"/>
    <w:rsid w:val="00C4774A"/>
    <w:rsid w:val="00C50C5D"/>
    <w:rsid w:val="00C5166E"/>
    <w:rsid w:val="00C51C06"/>
    <w:rsid w:val="00C6194C"/>
    <w:rsid w:val="00C61B7A"/>
    <w:rsid w:val="00C623E1"/>
    <w:rsid w:val="00C65D51"/>
    <w:rsid w:val="00C67EBC"/>
    <w:rsid w:val="00C708A0"/>
    <w:rsid w:val="00C70C34"/>
    <w:rsid w:val="00C71E2A"/>
    <w:rsid w:val="00C807C9"/>
    <w:rsid w:val="00C807E1"/>
    <w:rsid w:val="00C82579"/>
    <w:rsid w:val="00C82C31"/>
    <w:rsid w:val="00C84022"/>
    <w:rsid w:val="00C84E6D"/>
    <w:rsid w:val="00C84F88"/>
    <w:rsid w:val="00C8503A"/>
    <w:rsid w:val="00C85AE9"/>
    <w:rsid w:val="00C8620B"/>
    <w:rsid w:val="00C90518"/>
    <w:rsid w:val="00C906F3"/>
    <w:rsid w:val="00C907A3"/>
    <w:rsid w:val="00C910A7"/>
    <w:rsid w:val="00C927BA"/>
    <w:rsid w:val="00C9373C"/>
    <w:rsid w:val="00C95675"/>
    <w:rsid w:val="00C97EBF"/>
    <w:rsid w:val="00CA0769"/>
    <w:rsid w:val="00CA09B5"/>
    <w:rsid w:val="00CA1E05"/>
    <w:rsid w:val="00CA27EF"/>
    <w:rsid w:val="00CA2E7C"/>
    <w:rsid w:val="00CA3A98"/>
    <w:rsid w:val="00CA41E9"/>
    <w:rsid w:val="00CA4438"/>
    <w:rsid w:val="00CA4727"/>
    <w:rsid w:val="00CA4D60"/>
    <w:rsid w:val="00CB0FF1"/>
    <w:rsid w:val="00CB1C12"/>
    <w:rsid w:val="00CB2ED4"/>
    <w:rsid w:val="00CB3F88"/>
    <w:rsid w:val="00CB4ED7"/>
    <w:rsid w:val="00CB5E7A"/>
    <w:rsid w:val="00CB7C03"/>
    <w:rsid w:val="00CC06AF"/>
    <w:rsid w:val="00CC117C"/>
    <w:rsid w:val="00CC1C2F"/>
    <w:rsid w:val="00CC252F"/>
    <w:rsid w:val="00CC31C7"/>
    <w:rsid w:val="00CC5C54"/>
    <w:rsid w:val="00CD26F7"/>
    <w:rsid w:val="00CD570A"/>
    <w:rsid w:val="00CD7976"/>
    <w:rsid w:val="00CE0D8B"/>
    <w:rsid w:val="00CE4CFA"/>
    <w:rsid w:val="00CE7078"/>
    <w:rsid w:val="00CF22C9"/>
    <w:rsid w:val="00CF270D"/>
    <w:rsid w:val="00CF7E19"/>
    <w:rsid w:val="00D0025A"/>
    <w:rsid w:val="00D01347"/>
    <w:rsid w:val="00D02A18"/>
    <w:rsid w:val="00D043D2"/>
    <w:rsid w:val="00D15A6D"/>
    <w:rsid w:val="00D15E6E"/>
    <w:rsid w:val="00D15F98"/>
    <w:rsid w:val="00D16B76"/>
    <w:rsid w:val="00D170E1"/>
    <w:rsid w:val="00D2226A"/>
    <w:rsid w:val="00D22C4F"/>
    <w:rsid w:val="00D24867"/>
    <w:rsid w:val="00D250B7"/>
    <w:rsid w:val="00D308AA"/>
    <w:rsid w:val="00D314B0"/>
    <w:rsid w:val="00D33680"/>
    <w:rsid w:val="00D3369C"/>
    <w:rsid w:val="00D35452"/>
    <w:rsid w:val="00D35780"/>
    <w:rsid w:val="00D416CD"/>
    <w:rsid w:val="00D42E77"/>
    <w:rsid w:val="00D441D2"/>
    <w:rsid w:val="00D4649A"/>
    <w:rsid w:val="00D477BB"/>
    <w:rsid w:val="00D50ACC"/>
    <w:rsid w:val="00D52B9A"/>
    <w:rsid w:val="00D535BA"/>
    <w:rsid w:val="00D556C6"/>
    <w:rsid w:val="00D5601E"/>
    <w:rsid w:val="00D57B8C"/>
    <w:rsid w:val="00D61BF7"/>
    <w:rsid w:val="00D62C72"/>
    <w:rsid w:val="00D6318A"/>
    <w:rsid w:val="00D65D13"/>
    <w:rsid w:val="00D6662E"/>
    <w:rsid w:val="00D66BFF"/>
    <w:rsid w:val="00D66CCE"/>
    <w:rsid w:val="00D73225"/>
    <w:rsid w:val="00D73E56"/>
    <w:rsid w:val="00D76485"/>
    <w:rsid w:val="00D77472"/>
    <w:rsid w:val="00D80391"/>
    <w:rsid w:val="00D81B9A"/>
    <w:rsid w:val="00D8369D"/>
    <w:rsid w:val="00D85023"/>
    <w:rsid w:val="00D8621D"/>
    <w:rsid w:val="00D91381"/>
    <w:rsid w:val="00D914C5"/>
    <w:rsid w:val="00D920F7"/>
    <w:rsid w:val="00D94396"/>
    <w:rsid w:val="00D94680"/>
    <w:rsid w:val="00D95AD6"/>
    <w:rsid w:val="00D960CD"/>
    <w:rsid w:val="00DA20EF"/>
    <w:rsid w:val="00DA271F"/>
    <w:rsid w:val="00DA2E0D"/>
    <w:rsid w:val="00DA5405"/>
    <w:rsid w:val="00DA6A50"/>
    <w:rsid w:val="00DA71BF"/>
    <w:rsid w:val="00DA79FE"/>
    <w:rsid w:val="00DB01E4"/>
    <w:rsid w:val="00DB1720"/>
    <w:rsid w:val="00DB25BD"/>
    <w:rsid w:val="00DB5311"/>
    <w:rsid w:val="00DB5396"/>
    <w:rsid w:val="00DC0599"/>
    <w:rsid w:val="00DC0765"/>
    <w:rsid w:val="00DC2AF2"/>
    <w:rsid w:val="00DC563D"/>
    <w:rsid w:val="00DC6C1A"/>
    <w:rsid w:val="00DC754A"/>
    <w:rsid w:val="00DD471C"/>
    <w:rsid w:val="00DD6669"/>
    <w:rsid w:val="00DD77D8"/>
    <w:rsid w:val="00DE09D1"/>
    <w:rsid w:val="00DE10DC"/>
    <w:rsid w:val="00DE171E"/>
    <w:rsid w:val="00DE1E03"/>
    <w:rsid w:val="00DE469C"/>
    <w:rsid w:val="00DE48B7"/>
    <w:rsid w:val="00DE4C7F"/>
    <w:rsid w:val="00DE6303"/>
    <w:rsid w:val="00DE7073"/>
    <w:rsid w:val="00DE7BA2"/>
    <w:rsid w:val="00DF04F9"/>
    <w:rsid w:val="00DF1D25"/>
    <w:rsid w:val="00DF255C"/>
    <w:rsid w:val="00DF2E5B"/>
    <w:rsid w:val="00DF3D11"/>
    <w:rsid w:val="00DF46C2"/>
    <w:rsid w:val="00E00476"/>
    <w:rsid w:val="00E00988"/>
    <w:rsid w:val="00E0150C"/>
    <w:rsid w:val="00E03FE0"/>
    <w:rsid w:val="00E04664"/>
    <w:rsid w:val="00E04C7D"/>
    <w:rsid w:val="00E057BA"/>
    <w:rsid w:val="00E05E91"/>
    <w:rsid w:val="00E06318"/>
    <w:rsid w:val="00E1082C"/>
    <w:rsid w:val="00E124E8"/>
    <w:rsid w:val="00E1348E"/>
    <w:rsid w:val="00E13683"/>
    <w:rsid w:val="00E13845"/>
    <w:rsid w:val="00E14545"/>
    <w:rsid w:val="00E14F41"/>
    <w:rsid w:val="00E1604A"/>
    <w:rsid w:val="00E16E7C"/>
    <w:rsid w:val="00E2018D"/>
    <w:rsid w:val="00E2159D"/>
    <w:rsid w:val="00E21B12"/>
    <w:rsid w:val="00E230B1"/>
    <w:rsid w:val="00E246ED"/>
    <w:rsid w:val="00E24E39"/>
    <w:rsid w:val="00E26DCE"/>
    <w:rsid w:val="00E271B8"/>
    <w:rsid w:val="00E2733B"/>
    <w:rsid w:val="00E368E1"/>
    <w:rsid w:val="00E36D1D"/>
    <w:rsid w:val="00E371FD"/>
    <w:rsid w:val="00E40959"/>
    <w:rsid w:val="00E4143E"/>
    <w:rsid w:val="00E42ABF"/>
    <w:rsid w:val="00E45A4E"/>
    <w:rsid w:val="00E45CF4"/>
    <w:rsid w:val="00E462CC"/>
    <w:rsid w:val="00E47B16"/>
    <w:rsid w:val="00E500DC"/>
    <w:rsid w:val="00E502D4"/>
    <w:rsid w:val="00E5055E"/>
    <w:rsid w:val="00E514DA"/>
    <w:rsid w:val="00E5160A"/>
    <w:rsid w:val="00E54C3F"/>
    <w:rsid w:val="00E5508D"/>
    <w:rsid w:val="00E55206"/>
    <w:rsid w:val="00E55F08"/>
    <w:rsid w:val="00E56D59"/>
    <w:rsid w:val="00E600C8"/>
    <w:rsid w:val="00E6077F"/>
    <w:rsid w:val="00E60B47"/>
    <w:rsid w:val="00E61005"/>
    <w:rsid w:val="00E620B3"/>
    <w:rsid w:val="00E65D68"/>
    <w:rsid w:val="00E668C4"/>
    <w:rsid w:val="00E66CC1"/>
    <w:rsid w:val="00E7364A"/>
    <w:rsid w:val="00E74A1D"/>
    <w:rsid w:val="00E762E3"/>
    <w:rsid w:val="00E82DD4"/>
    <w:rsid w:val="00E845F6"/>
    <w:rsid w:val="00E86507"/>
    <w:rsid w:val="00E86988"/>
    <w:rsid w:val="00E86990"/>
    <w:rsid w:val="00E8725F"/>
    <w:rsid w:val="00E91AE7"/>
    <w:rsid w:val="00E93312"/>
    <w:rsid w:val="00E934EF"/>
    <w:rsid w:val="00E9657E"/>
    <w:rsid w:val="00E96B9E"/>
    <w:rsid w:val="00E97232"/>
    <w:rsid w:val="00E976CF"/>
    <w:rsid w:val="00EA1686"/>
    <w:rsid w:val="00EA1A18"/>
    <w:rsid w:val="00EA4306"/>
    <w:rsid w:val="00EA494E"/>
    <w:rsid w:val="00EA71F3"/>
    <w:rsid w:val="00EB1C16"/>
    <w:rsid w:val="00EB204B"/>
    <w:rsid w:val="00EB2B20"/>
    <w:rsid w:val="00EB4494"/>
    <w:rsid w:val="00EB4ED6"/>
    <w:rsid w:val="00EB52AF"/>
    <w:rsid w:val="00EC2A1E"/>
    <w:rsid w:val="00EC3137"/>
    <w:rsid w:val="00EC353E"/>
    <w:rsid w:val="00EC3A9C"/>
    <w:rsid w:val="00EC714A"/>
    <w:rsid w:val="00EC7D66"/>
    <w:rsid w:val="00ED002A"/>
    <w:rsid w:val="00ED0C1D"/>
    <w:rsid w:val="00ED19F1"/>
    <w:rsid w:val="00ED1C48"/>
    <w:rsid w:val="00ED2633"/>
    <w:rsid w:val="00ED5F63"/>
    <w:rsid w:val="00ED663A"/>
    <w:rsid w:val="00ED6BC0"/>
    <w:rsid w:val="00ED75E1"/>
    <w:rsid w:val="00EE0BE9"/>
    <w:rsid w:val="00EE0EC3"/>
    <w:rsid w:val="00EE14B7"/>
    <w:rsid w:val="00EE1780"/>
    <w:rsid w:val="00EE1F42"/>
    <w:rsid w:val="00EE2E34"/>
    <w:rsid w:val="00EE5C35"/>
    <w:rsid w:val="00EE5E9C"/>
    <w:rsid w:val="00EF0B34"/>
    <w:rsid w:val="00EF0C51"/>
    <w:rsid w:val="00EF1941"/>
    <w:rsid w:val="00EF38E6"/>
    <w:rsid w:val="00EF51C9"/>
    <w:rsid w:val="00EF74AC"/>
    <w:rsid w:val="00F013D6"/>
    <w:rsid w:val="00F03359"/>
    <w:rsid w:val="00F03CB9"/>
    <w:rsid w:val="00F05792"/>
    <w:rsid w:val="00F061D9"/>
    <w:rsid w:val="00F06852"/>
    <w:rsid w:val="00F06CCE"/>
    <w:rsid w:val="00F06EBE"/>
    <w:rsid w:val="00F077CA"/>
    <w:rsid w:val="00F100E2"/>
    <w:rsid w:val="00F10704"/>
    <w:rsid w:val="00F10980"/>
    <w:rsid w:val="00F11B4A"/>
    <w:rsid w:val="00F12E58"/>
    <w:rsid w:val="00F15113"/>
    <w:rsid w:val="00F20178"/>
    <w:rsid w:val="00F21374"/>
    <w:rsid w:val="00F21945"/>
    <w:rsid w:val="00F261F9"/>
    <w:rsid w:val="00F30175"/>
    <w:rsid w:val="00F30C3B"/>
    <w:rsid w:val="00F3299F"/>
    <w:rsid w:val="00F33487"/>
    <w:rsid w:val="00F34E04"/>
    <w:rsid w:val="00F35AA3"/>
    <w:rsid w:val="00F35D20"/>
    <w:rsid w:val="00F361A1"/>
    <w:rsid w:val="00F372C1"/>
    <w:rsid w:val="00F37394"/>
    <w:rsid w:val="00F44396"/>
    <w:rsid w:val="00F46FAB"/>
    <w:rsid w:val="00F50BD0"/>
    <w:rsid w:val="00F528C4"/>
    <w:rsid w:val="00F53315"/>
    <w:rsid w:val="00F53D49"/>
    <w:rsid w:val="00F5694F"/>
    <w:rsid w:val="00F629D7"/>
    <w:rsid w:val="00F64AB4"/>
    <w:rsid w:val="00F70C41"/>
    <w:rsid w:val="00F7280E"/>
    <w:rsid w:val="00F7341E"/>
    <w:rsid w:val="00F74997"/>
    <w:rsid w:val="00F74EF9"/>
    <w:rsid w:val="00F77735"/>
    <w:rsid w:val="00F777DC"/>
    <w:rsid w:val="00F779BA"/>
    <w:rsid w:val="00F8034E"/>
    <w:rsid w:val="00F8338C"/>
    <w:rsid w:val="00F855E4"/>
    <w:rsid w:val="00F859CC"/>
    <w:rsid w:val="00F8711D"/>
    <w:rsid w:val="00F90465"/>
    <w:rsid w:val="00F90DDF"/>
    <w:rsid w:val="00F91F11"/>
    <w:rsid w:val="00F9301A"/>
    <w:rsid w:val="00F93B05"/>
    <w:rsid w:val="00F94F6F"/>
    <w:rsid w:val="00F95A88"/>
    <w:rsid w:val="00F95DED"/>
    <w:rsid w:val="00F97ABB"/>
    <w:rsid w:val="00F97DF5"/>
    <w:rsid w:val="00FA04BF"/>
    <w:rsid w:val="00FA6B32"/>
    <w:rsid w:val="00FA6C6E"/>
    <w:rsid w:val="00FA72BD"/>
    <w:rsid w:val="00FB1335"/>
    <w:rsid w:val="00FB4269"/>
    <w:rsid w:val="00FB597E"/>
    <w:rsid w:val="00FB6779"/>
    <w:rsid w:val="00FB6F7D"/>
    <w:rsid w:val="00FB7EE0"/>
    <w:rsid w:val="00FC1398"/>
    <w:rsid w:val="00FC36DA"/>
    <w:rsid w:val="00FC4CE8"/>
    <w:rsid w:val="00FC5B02"/>
    <w:rsid w:val="00FC6F14"/>
    <w:rsid w:val="00FD1CED"/>
    <w:rsid w:val="00FD2869"/>
    <w:rsid w:val="00FD6285"/>
    <w:rsid w:val="00FD62D6"/>
    <w:rsid w:val="00FD635F"/>
    <w:rsid w:val="00FE170D"/>
    <w:rsid w:val="00FE20A2"/>
    <w:rsid w:val="00FE2E3C"/>
    <w:rsid w:val="00FE5ECB"/>
    <w:rsid w:val="00FE7F3F"/>
    <w:rsid w:val="00FF0AC0"/>
    <w:rsid w:val="00FF1027"/>
    <w:rsid w:val="00FF13B5"/>
    <w:rsid w:val="00FF1535"/>
    <w:rsid w:val="00FF2BB7"/>
    <w:rsid w:val="00FF7210"/>
    <w:rsid w:val="00FF7D44"/>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Standaard">
    <w:name w:val="Normal"/>
    <w:aliases w:val="0 standaard"/>
    <w:qFormat/>
    <w:rsid w:val="00ED6BC0"/>
    <w:rPr>
      <w:rFonts w:ascii="Trebuchet MS" w:hAnsi="Trebuchet MS"/>
      <w:szCs w:val="22"/>
      <w:lang w:eastAsia="en-US"/>
    </w:rPr>
  </w:style>
  <w:style w:type="paragraph" w:styleId="Kop1">
    <w:name w:val="heading 1"/>
    <w:basedOn w:val="Standaard"/>
    <w:next w:val="Standaard"/>
    <w:link w:val="Kop1Char"/>
    <w:uiPriority w:val="99"/>
    <w:qFormat/>
    <w:rsid w:val="00ED6BC0"/>
    <w:pPr>
      <w:keepNext/>
      <w:keepLines/>
      <w:spacing w:before="480"/>
      <w:outlineLvl w:val="0"/>
    </w:pPr>
    <w:rPr>
      <w:rFonts w:ascii="Cambria" w:eastAsia="Times New Roman" w:hAnsi="Cambria"/>
      <w:b/>
      <w:bCs/>
      <w:color w:val="365F91"/>
      <w:sz w:val="28"/>
      <w:szCs w:val="28"/>
      <w:lang w:val="en-US"/>
    </w:rPr>
  </w:style>
  <w:style w:type="paragraph" w:styleId="Kop2">
    <w:name w:val="heading 2"/>
    <w:basedOn w:val="Standaard"/>
    <w:next w:val="Standaard"/>
    <w:link w:val="Kop2Char"/>
    <w:uiPriority w:val="99"/>
    <w:qFormat/>
    <w:rsid w:val="00AF3148"/>
    <w:pPr>
      <w:keepNext/>
      <w:spacing w:before="240" w:after="60"/>
      <w:outlineLvl w:val="1"/>
    </w:pPr>
    <w:rPr>
      <w:rFonts w:ascii="Cambria" w:eastAsia="Times New Roman" w:hAnsi="Cambria"/>
      <w:b/>
      <w:bCs/>
      <w:i/>
      <w:iCs/>
      <w:sz w:val="28"/>
      <w:szCs w:val="28"/>
      <w:lang w:val="en-US"/>
    </w:rPr>
  </w:style>
  <w:style w:type="paragraph" w:styleId="Kop3">
    <w:name w:val="heading 3"/>
    <w:basedOn w:val="Standaard"/>
    <w:next w:val="Standaard"/>
    <w:link w:val="Kop3Char"/>
    <w:uiPriority w:val="99"/>
    <w:qFormat/>
    <w:rsid w:val="00AF3148"/>
    <w:pPr>
      <w:keepNext/>
      <w:spacing w:before="240" w:after="60"/>
      <w:outlineLvl w:val="2"/>
    </w:pPr>
    <w:rPr>
      <w:rFonts w:ascii="Cambria" w:eastAsia="Times New Roman" w:hAnsi="Cambria"/>
      <w:b/>
      <w:bCs/>
      <w:sz w:val="26"/>
      <w:szCs w:val="26"/>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locked/>
    <w:rsid w:val="00ED6BC0"/>
    <w:rPr>
      <w:rFonts w:ascii="Cambria" w:hAnsi="Cambria" w:cs="Times New Roman"/>
      <w:b/>
      <w:color w:val="365F91"/>
      <w:sz w:val="28"/>
    </w:rPr>
  </w:style>
  <w:style w:type="character" w:customStyle="1" w:styleId="Kop2Char">
    <w:name w:val="Kop 2 Char"/>
    <w:basedOn w:val="Standaardalinea-lettertype"/>
    <w:link w:val="Kop2"/>
    <w:uiPriority w:val="99"/>
    <w:semiHidden/>
    <w:locked/>
    <w:rsid w:val="00AF3148"/>
    <w:rPr>
      <w:rFonts w:ascii="Cambria" w:hAnsi="Cambria" w:cs="Times New Roman"/>
      <w:b/>
      <w:i/>
      <w:sz w:val="28"/>
      <w:lang w:eastAsia="en-US"/>
    </w:rPr>
  </w:style>
  <w:style w:type="character" w:customStyle="1" w:styleId="Kop3Char">
    <w:name w:val="Kop 3 Char"/>
    <w:basedOn w:val="Standaardalinea-lettertype"/>
    <w:link w:val="Kop3"/>
    <w:uiPriority w:val="99"/>
    <w:semiHidden/>
    <w:locked/>
    <w:rsid w:val="00AF3148"/>
    <w:rPr>
      <w:rFonts w:ascii="Cambria" w:hAnsi="Cambria" w:cs="Times New Roman"/>
      <w:b/>
      <w:sz w:val="26"/>
      <w:lang w:eastAsia="en-US"/>
    </w:rPr>
  </w:style>
  <w:style w:type="paragraph" w:styleId="Kopvaninhoudsopgave">
    <w:name w:val="TOC Heading"/>
    <w:basedOn w:val="Kop1"/>
    <w:next w:val="Standaard"/>
    <w:uiPriority w:val="99"/>
    <w:qFormat/>
    <w:rsid w:val="00D556C6"/>
    <w:pPr>
      <w:spacing w:line="276" w:lineRule="auto"/>
      <w:outlineLvl w:val="9"/>
    </w:pPr>
    <w:rPr>
      <w:rFonts w:ascii="Times New Roman" w:hAnsi="Times New Roman"/>
    </w:rPr>
  </w:style>
  <w:style w:type="paragraph" w:customStyle="1" w:styleId="1kopBDO">
    <w:name w:val="1 kop BDO"/>
    <w:basedOn w:val="Standaard"/>
    <w:next w:val="Standaard"/>
    <w:uiPriority w:val="99"/>
    <w:rsid w:val="00ED6BC0"/>
    <w:pPr>
      <w:numPr>
        <w:numId w:val="3"/>
      </w:numPr>
      <w:outlineLvl w:val="0"/>
    </w:pPr>
    <w:rPr>
      <w:rFonts w:ascii="Trebuchet MS Vet" w:hAnsi="Trebuchet MS Vet"/>
      <w:b/>
      <w:caps/>
      <w:color w:val="ED1A3B"/>
      <w:sz w:val="40"/>
      <w:szCs w:val="40"/>
    </w:rPr>
  </w:style>
  <w:style w:type="paragraph" w:customStyle="1" w:styleId="2kopBDO">
    <w:name w:val="2 kop BDO"/>
    <w:basedOn w:val="Standaard"/>
    <w:next w:val="Standaard"/>
    <w:uiPriority w:val="99"/>
    <w:rsid w:val="00ED6BC0"/>
    <w:pPr>
      <w:numPr>
        <w:ilvl w:val="1"/>
        <w:numId w:val="3"/>
      </w:numPr>
      <w:outlineLvl w:val="1"/>
    </w:pPr>
    <w:rPr>
      <w:rFonts w:ascii="Trebuchet MS Vet" w:hAnsi="Trebuchet MS Vet"/>
      <w:b/>
      <w:caps/>
      <w:color w:val="62CAE3"/>
      <w:sz w:val="32"/>
      <w:szCs w:val="20"/>
    </w:rPr>
  </w:style>
  <w:style w:type="paragraph" w:customStyle="1" w:styleId="3kopBDO">
    <w:name w:val="3 kop BDO"/>
    <w:basedOn w:val="Standaard"/>
    <w:next w:val="Standaard"/>
    <w:uiPriority w:val="99"/>
    <w:rsid w:val="00ED6BC0"/>
    <w:pPr>
      <w:numPr>
        <w:ilvl w:val="2"/>
        <w:numId w:val="3"/>
      </w:numPr>
      <w:outlineLvl w:val="2"/>
    </w:pPr>
    <w:rPr>
      <w:b/>
      <w:color w:val="ED1A3B"/>
      <w:sz w:val="24"/>
      <w:szCs w:val="20"/>
    </w:rPr>
  </w:style>
  <w:style w:type="paragraph" w:customStyle="1" w:styleId="Subtitel1">
    <w:name w:val="Subtitel 1"/>
    <w:basedOn w:val="Standaard"/>
    <w:next w:val="Standaard"/>
    <w:uiPriority w:val="99"/>
    <w:rsid w:val="00ED6BC0"/>
    <w:rPr>
      <w:b/>
      <w:color w:val="ED1A3B"/>
      <w:szCs w:val="20"/>
    </w:rPr>
  </w:style>
  <w:style w:type="paragraph" w:customStyle="1" w:styleId="Subtitel2">
    <w:name w:val="Subtitel 2"/>
    <w:basedOn w:val="Standaard"/>
    <w:next w:val="Standaard"/>
    <w:uiPriority w:val="99"/>
    <w:rsid w:val="00ED6BC0"/>
    <w:rPr>
      <w:b/>
      <w:i/>
      <w:color w:val="62CAE3"/>
      <w:szCs w:val="20"/>
    </w:rPr>
  </w:style>
  <w:style w:type="paragraph" w:customStyle="1" w:styleId="ZWKop1">
    <w:name w:val="ZW_Kop 1"/>
    <w:basedOn w:val="1kopBDO"/>
    <w:next w:val="Standaard"/>
    <w:uiPriority w:val="99"/>
    <w:rsid w:val="00ED6BC0"/>
    <w:pPr>
      <w:numPr>
        <w:numId w:val="6"/>
      </w:numPr>
    </w:pPr>
    <w:rPr>
      <w:color w:val="auto"/>
    </w:rPr>
  </w:style>
  <w:style w:type="paragraph" w:customStyle="1" w:styleId="ZWKop2">
    <w:name w:val="ZW_Kop 2"/>
    <w:basedOn w:val="2kopBDO"/>
    <w:uiPriority w:val="99"/>
    <w:rsid w:val="00ED6BC0"/>
    <w:pPr>
      <w:numPr>
        <w:numId w:val="6"/>
      </w:numPr>
    </w:pPr>
    <w:rPr>
      <w:color w:val="auto"/>
    </w:rPr>
  </w:style>
  <w:style w:type="paragraph" w:customStyle="1" w:styleId="ZWKop3">
    <w:name w:val="ZW_Kop 3"/>
    <w:basedOn w:val="3kopBDO"/>
    <w:uiPriority w:val="99"/>
    <w:rsid w:val="00ED6BC0"/>
    <w:pPr>
      <w:numPr>
        <w:numId w:val="6"/>
      </w:numPr>
    </w:pPr>
    <w:rPr>
      <w:color w:val="auto"/>
    </w:rPr>
  </w:style>
  <w:style w:type="paragraph" w:customStyle="1" w:styleId="ZWSubtitel">
    <w:name w:val="ZW_Subtitel"/>
    <w:basedOn w:val="Subtitel1"/>
    <w:uiPriority w:val="99"/>
    <w:rsid w:val="00ED6BC0"/>
    <w:rPr>
      <w:color w:val="auto"/>
    </w:rPr>
  </w:style>
  <w:style w:type="paragraph" w:customStyle="1" w:styleId="ZWSubtitel2">
    <w:name w:val="ZW_Subtitel 2"/>
    <w:basedOn w:val="Subtitel2"/>
    <w:uiPriority w:val="99"/>
    <w:rsid w:val="00ED6BC0"/>
    <w:rPr>
      <w:color w:val="auto"/>
    </w:rPr>
  </w:style>
  <w:style w:type="paragraph" w:customStyle="1" w:styleId="Scriptie1">
    <w:name w:val="Scriptie 1"/>
    <w:basedOn w:val="Standaard"/>
    <w:link w:val="Scriptie1Char"/>
    <w:uiPriority w:val="99"/>
    <w:rsid w:val="007206DA"/>
    <w:pPr>
      <w:spacing w:before="400" w:after="400" w:line="360" w:lineRule="auto"/>
    </w:pPr>
    <w:rPr>
      <w:rFonts w:ascii="Times New Roman" w:hAnsi="Times New Roman"/>
      <w:b/>
      <w:sz w:val="44"/>
      <w:szCs w:val="20"/>
    </w:rPr>
  </w:style>
  <w:style w:type="paragraph" w:customStyle="1" w:styleId="Scriptie2">
    <w:name w:val="Scriptie 2"/>
    <w:basedOn w:val="Standaard"/>
    <w:link w:val="Scriptie2Char"/>
    <w:uiPriority w:val="99"/>
    <w:rsid w:val="007206DA"/>
    <w:pPr>
      <w:spacing w:before="200" w:after="200" w:line="360" w:lineRule="auto"/>
    </w:pPr>
    <w:rPr>
      <w:rFonts w:ascii="Times New Roman" w:hAnsi="Times New Roman"/>
      <w:b/>
      <w:sz w:val="32"/>
      <w:szCs w:val="20"/>
    </w:rPr>
  </w:style>
  <w:style w:type="character" w:customStyle="1" w:styleId="Scriptie1Char">
    <w:name w:val="Scriptie 1 Char"/>
    <w:link w:val="Scriptie1"/>
    <w:uiPriority w:val="99"/>
    <w:locked/>
    <w:rsid w:val="007206DA"/>
    <w:rPr>
      <w:rFonts w:ascii="Times New Roman" w:hAnsi="Times New Roman"/>
      <w:b/>
      <w:sz w:val="44"/>
      <w:lang w:eastAsia="en-US"/>
    </w:rPr>
  </w:style>
  <w:style w:type="paragraph" w:customStyle="1" w:styleId="Scriptie3">
    <w:name w:val="Scriptie 3"/>
    <w:basedOn w:val="Standaard"/>
    <w:link w:val="Scriptie3Char"/>
    <w:uiPriority w:val="99"/>
    <w:rsid w:val="007F7A17"/>
    <w:pPr>
      <w:spacing w:before="120" w:after="120" w:line="360" w:lineRule="auto"/>
    </w:pPr>
    <w:rPr>
      <w:rFonts w:ascii="Times New Roman" w:hAnsi="Times New Roman"/>
      <w:b/>
      <w:sz w:val="24"/>
      <w:szCs w:val="20"/>
    </w:rPr>
  </w:style>
  <w:style w:type="character" w:customStyle="1" w:styleId="Scriptie2Char">
    <w:name w:val="Scriptie 2 Char"/>
    <w:link w:val="Scriptie2"/>
    <w:uiPriority w:val="99"/>
    <w:locked/>
    <w:rsid w:val="007206DA"/>
    <w:rPr>
      <w:rFonts w:ascii="Times New Roman" w:hAnsi="Times New Roman"/>
      <w:b/>
      <w:sz w:val="32"/>
      <w:lang w:eastAsia="en-US"/>
    </w:rPr>
  </w:style>
  <w:style w:type="paragraph" w:customStyle="1" w:styleId="scriptie4">
    <w:name w:val="scriptie 4"/>
    <w:basedOn w:val="Standaard"/>
    <w:link w:val="scriptie4Char"/>
    <w:uiPriority w:val="99"/>
    <w:rsid w:val="007F7A17"/>
    <w:pPr>
      <w:spacing w:line="360" w:lineRule="auto"/>
    </w:pPr>
    <w:rPr>
      <w:rFonts w:ascii="Times New Roman" w:hAnsi="Times New Roman"/>
      <w:sz w:val="24"/>
      <w:szCs w:val="20"/>
      <w:u w:val="single"/>
    </w:rPr>
  </w:style>
  <w:style w:type="character" w:customStyle="1" w:styleId="Scriptie3Char">
    <w:name w:val="Scriptie 3 Char"/>
    <w:link w:val="Scriptie3"/>
    <w:uiPriority w:val="99"/>
    <w:locked/>
    <w:rsid w:val="007F7A17"/>
    <w:rPr>
      <w:rFonts w:ascii="Times New Roman" w:hAnsi="Times New Roman"/>
      <w:b/>
      <w:sz w:val="24"/>
    </w:rPr>
  </w:style>
  <w:style w:type="paragraph" w:customStyle="1" w:styleId="Scriptienormaal">
    <w:name w:val="Scriptie normaal"/>
    <w:basedOn w:val="Standaard"/>
    <w:link w:val="ScriptienormaalChar"/>
    <w:uiPriority w:val="99"/>
    <w:rsid w:val="00A32C7F"/>
    <w:pPr>
      <w:spacing w:after="240" w:line="360" w:lineRule="auto"/>
    </w:pPr>
    <w:rPr>
      <w:rFonts w:ascii="Times New Roman" w:hAnsi="Times New Roman"/>
      <w:sz w:val="24"/>
      <w:szCs w:val="20"/>
    </w:rPr>
  </w:style>
  <w:style w:type="character" w:customStyle="1" w:styleId="scriptie4Char">
    <w:name w:val="scriptie 4 Char"/>
    <w:link w:val="scriptie4"/>
    <w:uiPriority w:val="99"/>
    <w:locked/>
    <w:rsid w:val="007F7A17"/>
    <w:rPr>
      <w:rFonts w:ascii="Times New Roman" w:hAnsi="Times New Roman"/>
      <w:sz w:val="24"/>
      <w:u w:val="single"/>
    </w:rPr>
  </w:style>
  <w:style w:type="paragraph" w:styleId="Voetnoottekst">
    <w:name w:val="footnote text"/>
    <w:basedOn w:val="Standaard"/>
    <w:link w:val="VoetnoottekstChar"/>
    <w:uiPriority w:val="99"/>
    <w:semiHidden/>
    <w:rsid w:val="00831131"/>
    <w:rPr>
      <w:szCs w:val="20"/>
      <w:lang w:val="en-US"/>
    </w:rPr>
  </w:style>
  <w:style w:type="character" w:customStyle="1" w:styleId="VoetnoottekstChar">
    <w:name w:val="Voetnoottekst Char"/>
    <w:basedOn w:val="Standaardalinea-lettertype"/>
    <w:link w:val="Voetnoottekst"/>
    <w:uiPriority w:val="99"/>
    <w:semiHidden/>
    <w:locked/>
    <w:rsid w:val="00831131"/>
    <w:rPr>
      <w:rFonts w:ascii="Trebuchet MS" w:hAnsi="Trebuchet MS" w:cs="Times New Roman"/>
      <w:lang w:eastAsia="en-US"/>
    </w:rPr>
  </w:style>
  <w:style w:type="character" w:customStyle="1" w:styleId="ScriptienormaalChar">
    <w:name w:val="Scriptie normaal Char"/>
    <w:link w:val="Scriptienormaal"/>
    <w:uiPriority w:val="99"/>
    <w:locked/>
    <w:rsid w:val="00A32C7F"/>
    <w:rPr>
      <w:rFonts w:ascii="Times New Roman" w:hAnsi="Times New Roman"/>
      <w:sz w:val="24"/>
      <w:lang w:eastAsia="en-US"/>
    </w:rPr>
  </w:style>
  <w:style w:type="character" w:styleId="Voetnootmarkering">
    <w:name w:val="footnote reference"/>
    <w:basedOn w:val="Standaardalinea-lettertype"/>
    <w:uiPriority w:val="99"/>
    <w:semiHidden/>
    <w:rsid w:val="00831131"/>
    <w:rPr>
      <w:rFonts w:cs="Times New Roman"/>
      <w:vertAlign w:val="superscript"/>
    </w:rPr>
  </w:style>
  <w:style w:type="paragraph" w:customStyle="1" w:styleId="Scriptievoetnoot">
    <w:name w:val="Scriptie voetnoot"/>
    <w:basedOn w:val="Voetnoottekst"/>
    <w:link w:val="ScriptievoetnootChar"/>
    <w:uiPriority w:val="99"/>
    <w:rsid w:val="004776AE"/>
    <w:rPr>
      <w:rFonts w:ascii="Times New Roman" w:hAnsi="Times New Roman"/>
    </w:rPr>
  </w:style>
  <w:style w:type="paragraph" w:styleId="Inhopg2">
    <w:name w:val="toc 2"/>
    <w:basedOn w:val="Standaard"/>
    <w:next w:val="Standaard"/>
    <w:autoRedefine/>
    <w:uiPriority w:val="39"/>
    <w:rsid w:val="00AF3148"/>
    <w:pPr>
      <w:ind w:left="200"/>
    </w:pPr>
  </w:style>
  <w:style w:type="character" w:customStyle="1" w:styleId="ScriptievoetnootChar">
    <w:name w:val="Scriptie voetnoot Char"/>
    <w:link w:val="Scriptievoetnoot"/>
    <w:uiPriority w:val="99"/>
    <w:locked/>
    <w:rsid w:val="004776AE"/>
    <w:rPr>
      <w:rFonts w:ascii="Times New Roman" w:hAnsi="Times New Roman"/>
      <w:lang w:eastAsia="en-US"/>
    </w:rPr>
  </w:style>
  <w:style w:type="paragraph" w:styleId="Inhopg1">
    <w:name w:val="toc 1"/>
    <w:basedOn w:val="Standaard"/>
    <w:next w:val="Standaard"/>
    <w:autoRedefine/>
    <w:uiPriority w:val="39"/>
    <w:rsid w:val="00C85AE9"/>
    <w:pPr>
      <w:tabs>
        <w:tab w:val="left" w:pos="400"/>
        <w:tab w:val="right" w:leader="dot" w:pos="9062"/>
      </w:tabs>
    </w:pPr>
    <w:rPr>
      <w:rFonts w:ascii="Times New Roman" w:hAnsi="Times New Roman"/>
      <w:b/>
      <w:noProof/>
    </w:rPr>
  </w:style>
  <w:style w:type="character" w:styleId="Hyperlink">
    <w:name w:val="Hyperlink"/>
    <w:basedOn w:val="Standaardalinea-lettertype"/>
    <w:uiPriority w:val="99"/>
    <w:rsid w:val="00AF3148"/>
    <w:rPr>
      <w:rFonts w:cs="Times New Roman"/>
      <w:color w:val="0000FF"/>
      <w:u w:val="single"/>
    </w:rPr>
  </w:style>
  <w:style w:type="paragraph" w:styleId="Lijstalinea">
    <w:name w:val="List Paragraph"/>
    <w:basedOn w:val="Standaard"/>
    <w:uiPriority w:val="99"/>
    <w:qFormat/>
    <w:rsid w:val="001845D7"/>
    <w:pPr>
      <w:ind w:left="708"/>
    </w:pPr>
  </w:style>
  <w:style w:type="paragraph" w:styleId="Inhopg3">
    <w:name w:val="toc 3"/>
    <w:basedOn w:val="Standaard"/>
    <w:next w:val="Standaard"/>
    <w:autoRedefine/>
    <w:uiPriority w:val="39"/>
    <w:rsid w:val="00D556C6"/>
    <w:pPr>
      <w:ind w:left="400"/>
    </w:pPr>
  </w:style>
  <w:style w:type="paragraph" w:styleId="Koptekst">
    <w:name w:val="header"/>
    <w:basedOn w:val="Standaard"/>
    <w:link w:val="KoptekstChar"/>
    <w:uiPriority w:val="99"/>
    <w:rsid w:val="001A6993"/>
    <w:pPr>
      <w:tabs>
        <w:tab w:val="center" w:pos="4536"/>
        <w:tab w:val="right" w:pos="9072"/>
      </w:tabs>
    </w:pPr>
    <w:rPr>
      <w:lang w:val="en-US"/>
    </w:rPr>
  </w:style>
  <w:style w:type="character" w:customStyle="1" w:styleId="KoptekstChar">
    <w:name w:val="Koptekst Char"/>
    <w:basedOn w:val="Standaardalinea-lettertype"/>
    <w:link w:val="Koptekst"/>
    <w:uiPriority w:val="99"/>
    <w:locked/>
    <w:rsid w:val="001A6993"/>
    <w:rPr>
      <w:rFonts w:ascii="Trebuchet MS" w:hAnsi="Trebuchet MS" w:cs="Times New Roman"/>
      <w:sz w:val="22"/>
      <w:lang w:eastAsia="en-US"/>
    </w:rPr>
  </w:style>
  <w:style w:type="paragraph" w:styleId="Voettekst">
    <w:name w:val="footer"/>
    <w:basedOn w:val="Standaard"/>
    <w:link w:val="VoettekstChar"/>
    <w:uiPriority w:val="99"/>
    <w:rsid w:val="001A6993"/>
    <w:pPr>
      <w:tabs>
        <w:tab w:val="center" w:pos="4536"/>
        <w:tab w:val="right" w:pos="9072"/>
      </w:tabs>
    </w:pPr>
    <w:rPr>
      <w:lang w:val="en-US"/>
    </w:rPr>
  </w:style>
  <w:style w:type="character" w:customStyle="1" w:styleId="VoettekstChar">
    <w:name w:val="Voettekst Char"/>
    <w:basedOn w:val="Standaardalinea-lettertype"/>
    <w:link w:val="Voettekst"/>
    <w:uiPriority w:val="99"/>
    <w:locked/>
    <w:rsid w:val="001A6993"/>
    <w:rPr>
      <w:rFonts w:ascii="Trebuchet MS" w:hAnsi="Trebuchet MS" w:cs="Times New Roman"/>
      <w:sz w:val="22"/>
      <w:lang w:eastAsia="en-US"/>
    </w:rPr>
  </w:style>
  <w:style w:type="character" w:customStyle="1" w:styleId="nadrukb">
    <w:name w:val="nadrukb"/>
    <w:basedOn w:val="Standaardalinea-lettertype"/>
    <w:uiPriority w:val="99"/>
    <w:rsid w:val="00BF06C8"/>
    <w:rPr>
      <w:rFonts w:cs="Times New Roman"/>
    </w:rPr>
  </w:style>
  <w:style w:type="character" w:styleId="Nadruk">
    <w:name w:val="Emphasis"/>
    <w:basedOn w:val="Standaardalinea-lettertype"/>
    <w:uiPriority w:val="99"/>
    <w:qFormat/>
    <w:rsid w:val="00A43720"/>
    <w:rPr>
      <w:rFonts w:cs="Times New Roman"/>
      <w:i/>
    </w:rPr>
  </w:style>
  <w:style w:type="paragraph" w:styleId="Ballontekst">
    <w:name w:val="Balloon Text"/>
    <w:basedOn w:val="Standaard"/>
    <w:link w:val="BallontekstChar"/>
    <w:uiPriority w:val="99"/>
    <w:semiHidden/>
    <w:rsid w:val="00563ACA"/>
    <w:rPr>
      <w:rFonts w:ascii="Tahoma" w:hAnsi="Tahoma"/>
      <w:sz w:val="16"/>
      <w:szCs w:val="16"/>
      <w:lang w:val="en-US"/>
    </w:rPr>
  </w:style>
  <w:style w:type="character" w:customStyle="1" w:styleId="BallontekstChar">
    <w:name w:val="Ballontekst Char"/>
    <w:basedOn w:val="Standaardalinea-lettertype"/>
    <w:link w:val="Ballontekst"/>
    <w:uiPriority w:val="99"/>
    <w:semiHidden/>
    <w:locked/>
    <w:rsid w:val="00563ACA"/>
    <w:rPr>
      <w:rFonts w:ascii="Tahoma" w:hAnsi="Tahoma" w:cs="Times New Roman"/>
      <w:sz w:val="16"/>
      <w:lang w:eastAsia="en-US"/>
    </w:rPr>
  </w:style>
  <w:style w:type="character" w:customStyle="1" w:styleId="addmd1">
    <w:name w:val="addmd1"/>
    <w:basedOn w:val="Standaardalinea-lettertype"/>
    <w:uiPriority w:val="99"/>
    <w:rsid w:val="00E40959"/>
    <w:rPr>
      <w:rFonts w:cs="Times New Roman"/>
      <w:sz w:val="20"/>
      <w:szCs w:val="20"/>
    </w:rPr>
  </w:style>
  <w:style w:type="character" w:customStyle="1" w:styleId="wknlnoota">
    <w:name w:val="wknl_noot_a"/>
    <w:basedOn w:val="Standaardalinea-lettertype"/>
    <w:uiPriority w:val="99"/>
    <w:rsid w:val="000720B8"/>
    <w:rPr>
      <w:rFonts w:cs="Times New Roman"/>
    </w:rPr>
  </w:style>
  <w:style w:type="paragraph" w:styleId="Eindnoottekst">
    <w:name w:val="endnote text"/>
    <w:basedOn w:val="Standaard"/>
    <w:link w:val="EindnoottekstChar"/>
    <w:uiPriority w:val="99"/>
    <w:semiHidden/>
    <w:rsid w:val="008F2D2A"/>
    <w:rPr>
      <w:szCs w:val="20"/>
    </w:rPr>
  </w:style>
  <w:style w:type="character" w:customStyle="1" w:styleId="EindnoottekstChar">
    <w:name w:val="Eindnoottekst Char"/>
    <w:basedOn w:val="Standaardalinea-lettertype"/>
    <w:link w:val="Eindnoottekst"/>
    <w:uiPriority w:val="99"/>
    <w:semiHidden/>
    <w:locked/>
    <w:rsid w:val="00EB4ED6"/>
    <w:rPr>
      <w:rFonts w:ascii="Trebuchet MS" w:hAnsi="Trebuchet MS" w:cs="Times New Roman"/>
      <w:sz w:val="20"/>
      <w:szCs w:val="20"/>
      <w:lang w:val="nl-NL"/>
    </w:rPr>
  </w:style>
  <w:style w:type="character" w:styleId="Eindnootmarkering">
    <w:name w:val="endnote reference"/>
    <w:basedOn w:val="Standaardalinea-lettertype"/>
    <w:uiPriority w:val="99"/>
    <w:semiHidden/>
    <w:rsid w:val="008F2D2A"/>
    <w:rPr>
      <w:rFonts w:cs="Times New Roman"/>
      <w:vertAlign w:val="superscript"/>
    </w:rPr>
  </w:style>
  <w:style w:type="character" w:customStyle="1" w:styleId="st1">
    <w:name w:val="st1"/>
    <w:basedOn w:val="Standaardalinea-lettertype"/>
    <w:uiPriority w:val="99"/>
    <w:rsid w:val="00A95780"/>
    <w:rPr>
      <w:rFonts w:cs="Times New Roman"/>
    </w:rPr>
  </w:style>
  <w:style w:type="character" w:styleId="Verwijzingopmerking">
    <w:name w:val="annotation reference"/>
    <w:basedOn w:val="Standaardalinea-lettertype"/>
    <w:uiPriority w:val="99"/>
    <w:semiHidden/>
    <w:rsid w:val="00B954A7"/>
    <w:rPr>
      <w:rFonts w:cs="Times New Roman"/>
      <w:sz w:val="16"/>
      <w:szCs w:val="16"/>
    </w:rPr>
  </w:style>
  <w:style w:type="paragraph" w:styleId="Tekstopmerking">
    <w:name w:val="annotation text"/>
    <w:basedOn w:val="Standaard"/>
    <w:link w:val="TekstopmerkingChar"/>
    <w:uiPriority w:val="99"/>
    <w:semiHidden/>
    <w:rsid w:val="00B954A7"/>
    <w:rPr>
      <w:szCs w:val="20"/>
    </w:rPr>
  </w:style>
  <w:style w:type="character" w:customStyle="1" w:styleId="TekstopmerkingChar">
    <w:name w:val="Tekst opmerking Char"/>
    <w:basedOn w:val="Standaardalinea-lettertype"/>
    <w:link w:val="Tekstopmerking"/>
    <w:uiPriority w:val="99"/>
    <w:semiHidden/>
    <w:locked/>
    <w:rsid w:val="00B954A7"/>
    <w:rPr>
      <w:rFonts w:ascii="Trebuchet MS" w:hAnsi="Trebuchet MS" w:cs="Times New Roman"/>
      <w:lang w:eastAsia="en-US"/>
    </w:rPr>
  </w:style>
  <w:style w:type="paragraph" w:styleId="Onderwerpvanopmerking">
    <w:name w:val="annotation subject"/>
    <w:basedOn w:val="Tekstopmerking"/>
    <w:next w:val="Tekstopmerking"/>
    <w:link w:val="OnderwerpvanopmerkingChar"/>
    <w:uiPriority w:val="99"/>
    <w:semiHidden/>
    <w:rsid w:val="00B954A7"/>
    <w:rPr>
      <w:b/>
      <w:bCs/>
    </w:rPr>
  </w:style>
  <w:style w:type="character" w:customStyle="1" w:styleId="OnderwerpvanopmerkingChar">
    <w:name w:val="Onderwerp van opmerking Char"/>
    <w:basedOn w:val="TekstopmerkingChar"/>
    <w:link w:val="Onderwerpvanopmerking"/>
    <w:uiPriority w:val="99"/>
    <w:semiHidden/>
    <w:locked/>
    <w:rsid w:val="00B954A7"/>
    <w:rPr>
      <w:b/>
      <w:bCs/>
    </w:rPr>
  </w:style>
  <w:style w:type="paragraph" w:customStyle="1" w:styleId="Default">
    <w:name w:val="Default"/>
    <w:rsid w:val="00804CCE"/>
    <w:pPr>
      <w:autoSpaceDE w:val="0"/>
      <w:autoSpaceDN w:val="0"/>
      <w:adjustRightInd w:val="0"/>
    </w:pPr>
    <w:rPr>
      <w:rFonts w:ascii="Times New Roman" w:hAnsi="Times New Roman"/>
      <w:color w:val="000000"/>
      <w:sz w:val="24"/>
      <w:szCs w:val="24"/>
    </w:rPr>
  </w:style>
  <w:style w:type="paragraph" w:styleId="Plattetekst">
    <w:name w:val="Body Text"/>
    <w:basedOn w:val="Standaard"/>
    <w:link w:val="PlattetekstChar"/>
    <w:uiPriority w:val="99"/>
    <w:semiHidden/>
    <w:rsid w:val="00804CCE"/>
    <w:pPr>
      <w:jc w:val="center"/>
    </w:pPr>
    <w:rPr>
      <w:rFonts w:ascii="Times New Roman" w:eastAsia="Times New Roman" w:hAnsi="Times New Roman"/>
      <w:b/>
      <w:bCs/>
      <w:sz w:val="28"/>
      <w:szCs w:val="24"/>
      <w:lang w:eastAsia="nl-NL"/>
    </w:rPr>
  </w:style>
  <w:style w:type="character" w:customStyle="1" w:styleId="PlattetekstChar">
    <w:name w:val="Platte tekst Char"/>
    <w:basedOn w:val="Standaardalinea-lettertype"/>
    <w:link w:val="Plattetekst"/>
    <w:uiPriority w:val="99"/>
    <w:semiHidden/>
    <w:rsid w:val="00804CCE"/>
    <w:rPr>
      <w:rFonts w:ascii="Times New Roman" w:eastAsia="Times New Roman" w:hAnsi="Times New Roman"/>
      <w:b/>
      <w:bCs/>
      <w:sz w:val="28"/>
      <w:szCs w:val="24"/>
    </w:rPr>
  </w:style>
</w:styles>
</file>

<file path=word/webSettings.xml><?xml version="1.0" encoding="utf-8"?>
<w:webSettings xmlns:r="http://schemas.openxmlformats.org/officeDocument/2006/relationships" xmlns:w="http://schemas.openxmlformats.org/wordprocessingml/2006/main">
  <w:divs>
    <w:div w:id="385881421">
      <w:marLeft w:val="0"/>
      <w:marRight w:val="0"/>
      <w:marTop w:val="0"/>
      <w:marBottom w:val="0"/>
      <w:divBdr>
        <w:top w:val="none" w:sz="0" w:space="0" w:color="auto"/>
        <w:left w:val="none" w:sz="0" w:space="0" w:color="auto"/>
        <w:bottom w:val="none" w:sz="0" w:space="0" w:color="auto"/>
        <w:right w:val="none" w:sz="0" w:space="0" w:color="auto"/>
      </w:divBdr>
      <w:divsChild>
        <w:div w:id="385881544">
          <w:marLeft w:val="0"/>
          <w:marRight w:val="0"/>
          <w:marTop w:val="0"/>
          <w:marBottom w:val="0"/>
          <w:divBdr>
            <w:top w:val="none" w:sz="0" w:space="0" w:color="auto"/>
            <w:left w:val="none" w:sz="0" w:space="0" w:color="auto"/>
            <w:bottom w:val="none" w:sz="0" w:space="0" w:color="auto"/>
            <w:right w:val="none" w:sz="0" w:space="0" w:color="auto"/>
          </w:divBdr>
          <w:divsChild>
            <w:div w:id="385881496">
              <w:marLeft w:val="0"/>
              <w:marRight w:val="0"/>
              <w:marTop w:val="0"/>
              <w:marBottom w:val="0"/>
              <w:divBdr>
                <w:top w:val="none" w:sz="0" w:space="0" w:color="auto"/>
                <w:left w:val="none" w:sz="0" w:space="0" w:color="auto"/>
                <w:bottom w:val="none" w:sz="0" w:space="0" w:color="auto"/>
                <w:right w:val="none" w:sz="0" w:space="0" w:color="auto"/>
              </w:divBdr>
              <w:divsChild>
                <w:div w:id="385881438">
                  <w:marLeft w:val="0"/>
                  <w:marRight w:val="0"/>
                  <w:marTop w:val="0"/>
                  <w:marBottom w:val="0"/>
                  <w:divBdr>
                    <w:top w:val="none" w:sz="0" w:space="0" w:color="auto"/>
                    <w:left w:val="none" w:sz="0" w:space="0" w:color="auto"/>
                    <w:bottom w:val="none" w:sz="0" w:space="0" w:color="auto"/>
                    <w:right w:val="none" w:sz="0" w:space="0" w:color="auto"/>
                  </w:divBdr>
                  <w:divsChild>
                    <w:div w:id="385881492">
                      <w:marLeft w:val="0"/>
                      <w:marRight w:val="0"/>
                      <w:marTop w:val="0"/>
                      <w:marBottom w:val="0"/>
                      <w:divBdr>
                        <w:top w:val="none" w:sz="0" w:space="0" w:color="auto"/>
                        <w:left w:val="none" w:sz="0" w:space="0" w:color="auto"/>
                        <w:bottom w:val="none" w:sz="0" w:space="0" w:color="auto"/>
                        <w:right w:val="none" w:sz="0" w:space="0" w:color="auto"/>
                      </w:divBdr>
                      <w:divsChild>
                        <w:div w:id="385881479">
                          <w:marLeft w:val="0"/>
                          <w:marRight w:val="0"/>
                          <w:marTop w:val="0"/>
                          <w:marBottom w:val="0"/>
                          <w:divBdr>
                            <w:top w:val="none" w:sz="0" w:space="0" w:color="auto"/>
                            <w:left w:val="none" w:sz="0" w:space="0" w:color="auto"/>
                            <w:bottom w:val="none" w:sz="0" w:space="0" w:color="auto"/>
                            <w:right w:val="none" w:sz="0" w:space="0" w:color="auto"/>
                          </w:divBdr>
                          <w:divsChild>
                            <w:div w:id="385881420">
                              <w:marLeft w:val="0"/>
                              <w:marRight w:val="0"/>
                              <w:marTop w:val="0"/>
                              <w:marBottom w:val="0"/>
                              <w:divBdr>
                                <w:top w:val="none" w:sz="0" w:space="0" w:color="auto"/>
                                <w:left w:val="none" w:sz="0" w:space="0" w:color="auto"/>
                                <w:bottom w:val="none" w:sz="0" w:space="0" w:color="auto"/>
                                <w:right w:val="none" w:sz="0" w:space="0" w:color="auto"/>
                              </w:divBdr>
                              <w:divsChild>
                                <w:div w:id="38588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5881427">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385881447">
              <w:marLeft w:val="0"/>
              <w:marRight w:val="0"/>
              <w:marTop w:val="0"/>
              <w:marBottom w:val="0"/>
              <w:divBdr>
                <w:top w:val="none" w:sz="0" w:space="0" w:color="auto"/>
                <w:left w:val="none" w:sz="0" w:space="0" w:color="auto"/>
                <w:bottom w:val="none" w:sz="0" w:space="0" w:color="auto"/>
                <w:right w:val="none" w:sz="0" w:space="0" w:color="auto"/>
              </w:divBdr>
              <w:divsChild>
                <w:div w:id="385881485">
                  <w:marLeft w:val="0"/>
                  <w:marRight w:val="0"/>
                  <w:marTop w:val="0"/>
                  <w:marBottom w:val="0"/>
                  <w:divBdr>
                    <w:top w:val="none" w:sz="0" w:space="0" w:color="auto"/>
                    <w:left w:val="none" w:sz="0" w:space="0" w:color="auto"/>
                    <w:bottom w:val="none" w:sz="0" w:space="0" w:color="auto"/>
                    <w:right w:val="none" w:sz="0" w:space="0" w:color="auto"/>
                  </w:divBdr>
                  <w:divsChild>
                    <w:div w:id="385881516">
                      <w:marLeft w:val="0"/>
                      <w:marRight w:val="0"/>
                      <w:marTop w:val="0"/>
                      <w:marBottom w:val="0"/>
                      <w:divBdr>
                        <w:top w:val="none" w:sz="0" w:space="0" w:color="auto"/>
                        <w:left w:val="none" w:sz="0" w:space="0" w:color="auto"/>
                        <w:bottom w:val="none" w:sz="0" w:space="0" w:color="auto"/>
                        <w:right w:val="none" w:sz="0" w:space="0" w:color="auto"/>
                      </w:divBdr>
                      <w:divsChild>
                        <w:div w:id="385881426">
                          <w:marLeft w:val="0"/>
                          <w:marRight w:val="0"/>
                          <w:marTop w:val="0"/>
                          <w:marBottom w:val="0"/>
                          <w:divBdr>
                            <w:top w:val="none" w:sz="0" w:space="0" w:color="auto"/>
                            <w:left w:val="none" w:sz="0" w:space="0" w:color="auto"/>
                            <w:bottom w:val="none" w:sz="0" w:space="0" w:color="auto"/>
                            <w:right w:val="none" w:sz="0" w:space="0" w:color="auto"/>
                          </w:divBdr>
                          <w:divsChild>
                            <w:div w:id="385881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5881428">
      <w:marLeft w:val="0"/>
      <w:marRight w:val="0"/>
      <w:marTop w:val="0"/>
      <w:marBottom w:val="0"/>
      <w:divBdr>
        <w:top w:val="none" w:sz="0" w:space="0" w:color="auto"/>
        <w:left w:val="none" w:sz="0" w:space="0" w:color="auto"/>
        <w:bottom w:val="none" w:sz="0" w:space="0" w:color="auto"/>
        <w:right w:val="none" w:sz="0" w:space="0" w:color="auto"/>
      </w:divBdr>
      <w:divsChild>
        <w:div w:id="385881473">
          <w:marLeft w:val="0"/>
          <w:marRight w:val="0"/>
          <w:marTop w:val="0"/>
          <w:marBottom w:val="0"/>
          <w:divBdr>
            <w:top w:val="none" w:sz="0" w:space="0" w:color="auto"/>
            <w:left w:val="none" w:sz="0" w:space="0" w:color="auto"/>
            <w:bottom w:val="none" w:sz="0" w:space="0" w:color="auto"/>
            <w:right w:val="none" w:sz="0" w:space="0" w:color="auto"/>
          </w:divBdr>
          <w:divsChild>
            <w:div w:id="385881520">
              <w:marLeft w:val="0"/>
              <w:marRight w:val="0"/>
              <w:marTop w:val="0"/>
              <w:marBottom w:val="0"/>
              <w:divBdr>
                <w:top w:val="none" w:sz="0" w:space="0" w:color="auto"/>
                <w:left w:val="none" w:sz="0" w:space="0" w:color="auto"/>
                <w:bottom w:val="none" w:sz="0" w:space="0" w:color="auto"/>
                <w:right w:val="none" w:sz="0" w:space="0" w:color="auto"/>
              </w:divBdr>
              <w:divsChild>
                <w:div w:id="385881454">
                  <w:marLeft w:val="0"/>
                  <w:marRight w:val="0"/>
                  <w:marTop w:val="0"/>
                  <w:marBottom w:val="0"/>
                  <w:divBdr>
                    <w:top w:val="none" w:sz="0" w:space="0" w:color="auto"/>
                    <w:left w:val="none" w:sz="0" w:space="0" w:color="auto"/>
                    <w:bottom w:val="none" w:sz="0" w:space="0" w:color="auto"/>
                    <w:right w:val="none" w:sz="0" w:space="0" w:color="auto"/>
                  </w:divBdr>
                  <w:divsChild>
                    <w:div w:id="385881439">
                      <w:marLeft w:val="0"/>
                      <w:marRight w:val="0"/>
                      <w:marTop w:val="0"/>
                      <w:marBottom w:val="0"/>
                      <w:divBdr>
                        <w:top w:val="none" w:sz="0" w:space="0" w:color="auto"/>
                        <w:left w:val="none" w:sz="0" w:space="0" w:color="auto"/>
                        <w:bottom w:val="none" w:sz="0" w:space="0" w:color="auto"/>
                        <w:right w:val="none" w:sz="0" w:space="0" w:color="auto"/>
                      </w:divBdr>
                      <w:divsChild>
                        <w:div w:id="385881483">
                          <w:marLeft w:val="0"/>
                          <w:marRight w:val="0"/>
                          <w:marTop w:val="0"/>
                          <w:marBottom w:val="0"/>
                          <w:divBdr>
                            <w:top w:val="none" w:sz="0" w:space="0" w:color="auto"/>
                            <w:left w:val="none" w:sz="0" w:space="0" w:color="auto"/>
                            <w:bottom w:val="none" w:sz="0" w:space="0" w:color="auto"/>
                            <w:right w:val="none" w:sz="0" w:space="0" w:color="auto"/>
                          </w:divBdr>
                          <w:divsChild>
                            <w:div w:id="385881528">
                              <w:marLeft w:val="0"/>
                              <w:marRight w:val="0"/>
                              <w:marTop w:val="0"/>
                              <w:marBottom w:val="0"/>
                              <w:divBdr>
                                <w:top w:val="none" w:sz="0" w:space="0" w:color="auto"/>
                                <w:left w:val="none" w:sz="0" w:space="0" w:color="auto"/>
                                <w:bottom w:val="none" w:sz="0" w:space="0" w:color="auto"/>
                                <w:right w:val="none" w:sz="0" w:space="0" w:color="auto"/>
                              </w:divBdr>
                              <w:divsChild>
                                <w:div w:id="385881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5881436">
      <w:marLeft w:val="0"/>
      <w:marRight w:val="0"/>
      <w:marTop w:val="0"/>
      <w:marBottom w:val="0"/>
      <w:divBdr>
        <w:top w:val="none" w:sz="0" w:space="0" w:color="auto"/>
        <w:left w:val="none" w:sz="0" w:space="0" w:color="auto"/>
        <w:bottom w:val="none" w:sz="0" w:space="0" w:color="auto"/>
        <w:right w:val="none" w:sz="0" w:space="0" w:color="auto"/>
      </w:divBdr>
    </w:div>
    <w:div w:id="385881457">
      <w:marLeft w:val="0"/>
      <w:marRight w:val="0"/>
      <w:marTop w:val="0"/>
      <w:marBottom w:val="0"/>
      <w:divBdr>
        <w:top w:val="none" w:sz="0" w:space="0" w:color="auto"/>
        <w:left w:val="none" w:sz="0" w:space="0" w:color="auto"/>
        <w:bottom w:val="none" w:sz="0" w:space="0" w:color="auto"/>
        <w:right w:val="none" w:sz="0" w:space="0" w:color="auto"/>
      </w:divBdr>
      <w:divsChild>
        <w:div w:id="385881504">
          <w:marLeft w:val="0"/>
          <w:marRight w:val="0"/>
          <w:marTop w:val="0"/>
          <w:marBottom w:val="0"/>
          <w:divBdr>
            <w:top w:val="none" w:sz="0" w:space="0" w:color="auto"/>
            <w:left w:val="none" w:sz="0" w:space="0" w:color="auto"/>
            <w:bottom w:val="none" w:sz="0" w:space="0" w:color="auto"/>
            <w:right w:val="none" w:sz="0" w:space="0" w:color="auto"/>
          </w:divBdr>
        </w:div>
      </w:divsChild>
    </w:div>
    <w:div w:id="385881477">
      <w:marLeft w:val="0"/>
      <w:marRight w:val="0"/>
      <w:marTop w:val="0"/>
      <w:marBottom w:val="0"/>
      <w:divBdr>
        <w:top w:val="none" w:sz="0" w:space="0" w:color="auto"/>
        <w:left w:val="none" w:sz="0" w:space="0" w:color="auto"/>
        <w:bottom w:val="none" w:sz="0" w:space="0" w:color="auto"/>
        <w:right w:val="none" w:sz="0" w:space="0" w:color="auto"/>
      </w:divBdr>
      <w:divsChild>
        <w:div w:id="385881410">
          <w:marLeft w:val="0"/>
          <w:marRight w:val="0"/>
          <w:marTop w:val="0"/>
          <w:marBottom w:val="0"/>
          <w:divBdr>
            <w:top w:val="none" w:sz="0" w:space="0" w:color="auto"/>
            <w:left w:val="none" w:sz="0" w:space="0" w:color="auto"/>
            <w:bottom w:val="none" w:sz="0" w:space="0" w:color="auto"/>
            <w:right w:val="none" w:sz="0" w:space="0" w:color="auto"/>
          </w:divBdr>
          <w:divsChild>
            <w:div w:id="385881463">
              <w:marLeft w:val="0"/>
              <w:marRight w:val="0"/>
              <w:marTop w:val="0"/>
              <w:marBottom w:val="0"/>
              <w:divBdr>
                <w:top w:val="none" w:sz="0" w:space="0" w:color="auto"/>
                <w:left w:val="none" w:sz="0" w:space="0" w:color="auto"/>
                <w:bottom w:val="none" w:sz="0" w:space="0" w:color="auto"/>
                <w:right w:val="none" w:sz="0" w:space="0" w:color="auto"/>
              </w:divBdr>
              <w:divsChild>
                <w:div w:id="38588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432">
          <w:marLeft w:val="0"/>
          <w:marRight w:val="0"/>
          <w:marTop w:val="0"/>
          <w:marBottom w:val="0"/>
          <w:divBdr>
            <w:top w:val="none" w:sz="0" w:space="0" w:color="auto"/>
            <w:left w:val="none" w:sz="0" w:space="0" w:color="auto"/>
            <w:bottom w:val="none" w:sz="0" w:space="0" w:color="auto"/>
            <w:right w:val="none" w:sz="0" w:space="0" w:color="auto"/>
          </w:divBdr>
          <w:divsChild>
            <w:div w:id="385881484">
              <w:marLeft w:val="0"/>
              <w:marRight w:val="0"/>
              <w:marTop w:val="0"/>
              <w:marBottom w:val="0"/>
              <w:divBdr>
                <w:top w:val="none" w:sz="0" w:space="0" w:color="auto"/>
                <w:left w:val="none" w:sz="0" w:space="0" w:color="auto"/>
                <w:bottom w:val="none" w:sz="0" w:space="0" w:color="auto"/>
                <w:right w:val="none" w:sz="0" w:space="0" w:color="auto"/>
              </w:divBdr>
              <w:divsChild>
                <w:div w:id="385881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437">
          <w:marLeft w:val="0"/>
          <w:marRight w:val="0"/>
          <w:marTop w:val="0"/>
          <w:marBottom w:val="0"/>
          <w:divBdr>
            <w:top w:val="none" w:sz="0" w:space="0" w:color="auto"/>
            <w:left w:val="none" w:sz="0" w:space="0" w:color="auto"/>
            <w:bottom w:val="none" w:sz="0" w:space="0" w:color="auto"/>
            <w:right w:val="none" w:sz="0" w:space="0" w:color="auto"/>
          </w:divBdr>
          <w:divsChild>
            <w:div w:id="385881498">
              <w:marLeft w:val="0"/>
              <w:marRight w:val="0"/>
              <w:marTop w:val="0"/>
              <w:marBottom w:val="0"/>
              <w:divBdr>
                <w:top w:val="none" w:sz="0" w:space="0" w:color="auto"/>
                <w:left w:val="none" w:sz="0" w:space="0" w:color="auto"/>
                <w:bottom w:val="none" w:sz="0" w:space="0" w:color="auto"/>
                <w:right w:val="none" w:sz="0" w:space="0" w:color="auto"/>
              </w:divBdr>
              <w:divsChild>
                <w:div w:id="38588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443">
          <w:marLeft w:val="0"/>
          <w:marRight w:val="0"/>
          <w:marTop w:val="0"/>
          <w:marBottom w:val="0"/>
          <w:divBdr>
            <w:top w:val="none" w:sz="0" w:space="0" w:color="auto"/>
            <w:left w:val="none" w:sz="0" w:space="0" w:color="auto"/>
            <w:bottom w:val="none" w:sz="0" w:space="0" w:color="auto"/>
            <w:right w:val="none" w:sz="0" w:space="0" w:color="auto"/>
          </w:divBdr>
          <w:divsChild>
            <w:div w:id="385881499">
              <w:marLeft w:val="0"/>
              <w:marRight w:val="0"/>
              <w:marTop w:val="0"/>
              <w:marBottom w:val="0"/>
              <w:divBdr>
                <w:top w:val="none" w:sz="0" w:space="0" w:color="auto"/>
                <w:left w:val="none" w:sz="0" w:space="0" w:color="auto"/>
                <w:bottom w:val="none" w:sz="0" w:space="0" w:color="auto"/>
                <w:right w:val="none" w:sz="0" w:space="0" w:color="auto"/>
              </w:divBdr>
              <w:divsChild>
                <w:div w:id="385881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446">
          <w:marLeft w:val="0"/>
          <w:marRight w:val="0"/>
          <w:marTop w:val="0"/>
          <w:marBottom w:val="0"/>
          <w:divBdr>
            <w:top w:val="none" w:sz="0" w:space="0" w:color="auto"/>
            <w:left w:val="none" w:sz="0" w:space="0" w:color="auto"/>
            <w:bottom w:val="none" w:sz="0" w:space="0" w:color="auto"/>
            <w:right w:val="none" w:sz="0" w:space="0" w:color="auto"/>
          </w:divBdr>
          <w:divsChild>
            <w:div w:id="385881456">
              <w:marLeft w:val="0"/>
              <w:marRight w:val="0"/>
              <w:marTop w:val="0"/>
              <w:marBottom w:val="0"/>
              <w:divBdr>
                <w:top w:val="none" w:sz="0" w:space="0" w:color="auto"/>
                <w:left w:val="none" w:sz="0" w:space="0" w:color="auto"/>
                <w:bottom w:val="none" w:sz="0" w:space="0" w:color="auto"/>
                <w:right w:val="none" w:sz="0" w:space="0" w:color="auto"/>
              </w:divBdr>
              <w:divsChild>
                <w:div w:id="38588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453">
          <w:marLeft w:val="0"/>
          <w:marRight w:val="0"/>
          <w:marTop w:val="0"/>
          <w:marBottom w:val="0"/>
          <w:divBdr>
            <w:top w:val="none" w:sz="0" w:space="0" w:color="auto"/>
            <w:left w:val="none" w:sz="0" w:space="0" w:color="auto"/>
            <w:bottom w:val="none" w:sz="0" w:space="0" w:color="auto"/>
            <w:right w:val="none" w:sz="0" w:space="0" w:color="auto"/>
          </w:divBdr>
          <w:divsChild>
            <w:div w:id="385881418">
              <w:marLeft w:val="0"/>
              <w:marRight w:val="0"/>
              <w:marTop w:val="0"/>
              <w:marBottom w:val="0"/>
              <w:divBdr>
                <w:top w:val="none" w:sz="0" w:space="0" w:color="auto"/>
                <w:left w:val="none" w:sz="0" w:space="0" w:color="auto"/>
                <w:bottom w:val="none" w:sz="0" w:space="0" w:color="auto"/>
                <w:right w:val="none" w:sz="0" w:space="0" w:color="auto"/>
              </w:divBdr>
              <w:divsChild>
                <w:div w:id="385881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470">
          <w:marLeft w:val="0"/>
          <w:marRight w:val="0"/>
          <w:marTop w:val="0"/>
          <w:marBottom w:val="0"/>
          <w:divBdr>
            <w:top w:val="none" w:sz="0" w:space="0" w:color="auto"/>
            <w:left w:val="none" w:sz="0" w:space="0" w:color="auto"/>
            <w:bottom w:val="none" w:sz="0" w:space="0" w:color="auto"/>
            <w:right w:val="none" w:sz="0" w:space="0" w:color="auto"/>
          </w:divBdr>
          <w:divsChild>
            <w:div w:id="385881429">
              <w:marLeft w:val="0"/>
              <w:marRight w:val="0"/>
              <w:marTop w:val="0"/>
              <w:marBottom w:val="0"/>
              <w:divBdr>
                <w:top w:val="none" w:sz="0" w:space="0" w:color="auto"/>
                <w:left w:val="none" w:sz="0" w:space="0" w:color="auto"/>
                <w:bottom w:val="none" w:sz="0" w:space="0" w:color="auto"/>
                <w:right w:val="none" w:sz="0" w:space="0" w:color="auto"/>
              </w:divBdr>
              <w:divsChild>
                <w:div w:id="38588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474">
          <w:marLeft w:val="0"/>
          <w:marRight w:val="0"/>
          <w:marTop w:val="0"/>
          <w:marBottom w:val="0"/>
          <w:divBdr>
            <w:top w:val="none" w:sz="0" w:space="0" w:color="auto"/>
            <w:left w:val="none" w:sz="0" w:space="0" w:color="auto"/>
            <w:bottom w:val="none" w:sz="0" w:space="0" w:color="auto"/>
            <w:right w:val="none" w:sz="0" w:space="0" w:color="auto"/>
          </w:divBdr>
          <w:divsChild>
            <w:div w:id="385881452">
              <w:marLeft w:val="0"/>
              <w:marRight w:val="0"/>
              <w:marTop w:val="0"/>
              <w:marBottom w:val="0"/>
              <w:divBdr>
                <w:top w:val="none" w:sz="0" w:space="0" w:color="auto"/>
                <w:left w:val="none" w:sz="0" w:space="0" w:color="auto"/>
                <w:bottom w:val="none" w:sz="0" w:space="0" w:color="auto"/>
                <w:right w:val="none" w:sz="0" w:space="0" w:color="auto"/>
              </w:divBdr>
              <w:divsChild>
                <w:div w:id="385881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475">
          <w:marLeft w:val="0"/>
          <w:marRight w:val="0"/>
          <w:marTop w:val="0"/>
          <w:marBottom w:val="0"/>
          <w:divBdr>
            <w:top w:val="none" w:sz="0" w:space="0" w:color="auto"/>
            <w:left w:val="none" w:sz="0" w:space="0" w:color="auto"/>
            <w:bottom w:val="none" w:sz="0" w:space="0" w:color="auto"/>
            <w:right w:val="none" w:sz="0" w:space="0" w:color="auto"/>
          </w:divBdr>
          <w:divsChild>
            <w:div w:id="385881441">
              <w:marLeft w:val="0"/>
              <w:marRight w:val="0"/>
              <w:marTop w:val="0"/>
              <w:marBottom w:val="0"/>
              <w:divBdr>
                <w:top w:val="none" w:sz="0" w:space="0" w:color="auto"/>
                <w:left w:val="none" w:sz="0" w:space="0" w:color="auto"/>
                <w:bottom w:val="none" w:sz="0" w:space="0" w:color="auto"/>
                <w:right w:val="none" w:sz="0" w:space="0" w:color="auto"/>
              </w:divBdr>
              <w:divsChild>
                <w:div w:id="38588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489">
          <w:marLeft w:val="0"/>
          <w:marRight w:val="0"/>
          <w:marTop w:val="0"/>
          <w:marBottom w:val="0"/>
          <w:divBdr>
            <w:top w:val="none" w:sz="0" w:space="0" w:color="auto"/>
            <w:left w:val="none" w:sz="0" w:space="0" w:color="auto"/>
            <w:bottom w:val="none" w:sz="0" w:space="0" w:color="auto"/>
            <w:right w:val="none" w:sz="0" w:space="0" w:color="auto"/>
          </w:divBdr>
          <w:divsChild>
            <w:div w:id="385881503">
              <w:marLeft w:val="0"/>
              <w:marRight w:val="0"/>
              <w:marTop w:val="0"/>
              <w:marBottom w:val="0"/>
              <w:divBdr>
                <w:top w:val="none" w:sz="0" w:space="0" w:color="auto"/>
                <w:left w:val="none" w:sz="0" w:space="0" w:color="auto"/>
                <w:bottom w:val="none" w:sz="0" w:space="0" w:color="auto"/>
                <w:right w:val="none" w:sz="0" w:space="0" w:color="auto"/>
              </w:divBdr>
              <w:divsChild>
                <w:div w:id="385881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505">
          <w:marLeft w:val="0"/>
          <w:marRight w:val="0"/>
          <w:marTop w:val="0"/>
          <w:marBottom w:val="0"/>
          <w:divBdr>
            <w:top w:val="none" w:sz="0" w:space="0" w:color="auto"/>
            <w:left w:val="none" w:sz="0" w:space="0" w:color="auto"/>
            <w:bottom w:val="none" w:sz="0" w:space="0" w:color="auto"/>
            <w:right w:val="none" w:sz="0" w:space="0" w:color="auto"/>
          </w:divBdr>
          <w:divsChild>
            <w:div w:id="385881535">
              <w:marLeft w:val="0"/>
              <w:marRight w:val="0"/>
              <w:marTop w:val="0"/>
              <w:marBottom w:val="0"/>
              <w:divBdr>
                <w:top w:val="none" w:sz="0" w:space="0" w:color="auto"/>
                <w:left w:val="none" w:sz="0" w:space="0" w:color="auto"/>
                <w:bottom w:val="none" w:sz="0" w:space="0" w:color="auto"/>
                <w:right w:val="none" w:sz="0" w:space="0" w:color="auto"/>
              </w:divBdr>
              <w:divsChild>
                <w:div w:id="3858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507">
          <w:marLeft w:val="0"/>
          <w:marRight w:val="0"/>
          <w:marTop w:val="0"/>
          <w:marBottom w:val="0"/>
          <w:divBdr>
            <w:top w:val="none" w:sz="0" w:space="0" w:color="auto"/>
            <w:left w:val="none" w:sz="0" w:space="0" w:color="auto"/>
            <w:bottom w:val="none" w:sz="0" w:space="0" w:color="auto"/>
            <w:right w:val="none" w:sz="0" w:space="0" w:color="auto"/>
          </w:divBdr>
          <w:divsChild>
            <w:div w:id="385881444">
              <w:marLeft w:val="0"/>
              <w:marRight w:val="0"/>
              <w:marTop w:val="0"/>
              <w:marBottom w:val="0"/>
              <w:divBdr>
                <w:top w:val="none" w:sz="0" w:space="0" w:color="auto"/>
                <w:left w:val="none" w:sz="0" w:space="0" w:color="auto"/>
                <w:bottom w:val="none" w:sz="0" w:space="0" w:color="auto"/>
                <w:right w:val="none" w:sz="0" w:space="0" w:color="auto"/>
              </w:divBdr>
              <w:divsChild>
                <w:div w:id="38588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530">
          <w:marLeft w:val="0"/>
          <w:marRight w:val="0"/>
          <w:marTop w:val="0"/>
          <w:marBottom w:val="0"/>
          <w:divBdr>
            <w:top w:val="none" w:sz="0" w:space="0" w:color="auto"/>
            <w:left w:val="none" w:sz="0" w:space="0" w:color="auto"/>
            <w:bottom w:val="none" w:sz="0" w:space="0" w:color="auto"/>
            <w:right w:val="none" w:sz="0" w:space="0" w:color="auto"/>
          </w:divBdr>
          <w:divsChild>
            <w:div w:id="385881458">
              <w:marLeft w:val="0"/>
              <w:marRight w:val="0"/>
              <w:marTop w:val="0"/>
              <w:marBottom w:val="0"/>
              <w:divBdr>
                <w:top w:val="none" w:sz="0" w:space="0" w:color="auto"/>
                <w:left w:val="none" w:sz="0" w:space="0" w:color="auto"/>
                <w:bottom w:val="none" w:sz="0" w:space="0" w:color="auto"/>
                <w:right w:val="none" w:sz="0" w:space="0" w:color="auto"/>
              </w:divBdr>
              <w:divsChild>
                <w:div w:id="38588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539">
          <w:marLeft w:val="0"/>
          <w:marRight w:val="0"/>
          <w:marTop w:val="0"/>
          <w:marBottom w:val="0"/>
          <w:divBdr>
            <w:top w:val="none" w:sz="0" w:space="0" w:color="auto"/>
            <w:left w:val="none" w:sz="0" w:space="0" w:color="auto"/>
            <w:bottom w:val="none" w:sz="0" w:space="0" w:color="auto"/>
            <w:right w:val="none" w:sz="0" w:space="0" w:color="auto"/>
          </w:divBdr>
          <w:divsChild>
            <w:div w:id="385881518">
              <w:marLeft w:val="0"/>
              <w:marRight w:val="0"/>
              <w:marTop w:val="0"/>
              <w:marBottom w:val="0"/>
              <w:divBdr>
                <w:top w:val="none" w:sz="0" w:space="0" w:color="auto"/>
                <w:left w:val="none" w:sz="0" w:space="0" w:color="auto"/>
                <w:bottom w:val="none" w:sz="0" w:space="0" w:color="auto"/>
                <w:right w:val="none" w:sz="0" w:space="0" w:color="auto"/>
              </w:divBdr>
              <w:divsChild>
                <w:div w:id="38588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5881491">
      <w:marLeft w:val="0"/>
      <w:marRight w:val="0"/>
      <w:marTop w:val="0"/>
      <w:marBottom w:val="0"/>
      <w:divBdr>
        <w:top w:val="none" w:sz="0" w:space="0" w:color="auto"/>
        <w:left w:val="none" w:sz="0" w:space="0" w:color="auto"/>
        <w:bottom w:val="none" w:sz="0" w:space="0" w:color="auto"/>
        <w:right w:val="none" w:sz="0" w:space="0" w:color="auto"/>
      </w:divBdr>
    </w:div>
    <w:div w:id="385881509">
      <w:marLeft w:val="0"/>
      <w:marRight w:val="0"/>
      <w:marTop w:val="0"/>
      <w:marBottom w:val="0"/>
      <w:divBdr>
        <w:top w:val="none" w:sz="0" w:space="0" w:color="auto"/>
        <w:left w:val="none" w:sz="0" w:space="0" w:color="auto"/>
        <w:bottom w:val="none" w:sz="0" w:space="0" w:color="auto"/>
        <w:right w:val="none" w:sz="0" w:space="0" w:color="auto"/>
      </w:divBdr>
      <w:divsChild>
        <w:div w:id="385881482">
          <w:marLeft w:val="0"/>
          <w:marRight w:val="0"/>
          <w:marTop w:val="0"/>
          <w:marBottom w:val="0"/>
          <w:divBdr>
            <w:top w:val="none" w:sz="0" w:space="0" w:color="auto"/>
            <w:left w:val="none" w:sz="0" w:space="0" w:color="auto"/>
            <w:bottom w:val="none" w:sz="0" w:space="0" w:color="auto"/>
            <w:right w:val="none" w:sz="0" w:space="0" w:color="auto"/>
          </w:divBdr>
          <w:divsChild>
            <w:div w:id="385881517">
              <w:marLeft w:val="0"/>
              <w:marRight w:val="0"/>
              <w:marTop w:val="0"/>
              <w:marBottom w:val="0"/>
              <w:divBdr>
                <w:top w:val="none" w:sz="0" w:space="0" w:color="auto"/>
                <w:left w:val="none" w:sz="0" w:space="0" w:color="auto"/>
                <w:bottom w:val="none" w:sz="0" w:space="0" w:color="auto"/>
                <w:right w:val="none" w:sz="0" w:space="0" w:color="auto"/>
              </w:divBdr>
              <w:divsChild>
                <w:div w:id="385881422">
                  <w:marLeft w:val="0"/>
                  <w:marRight w:val="0"/>
                  <w:marTop w:val="0"/>
                  <w:marBottom w:val="0"/>
                  <w:divBdr>
                    <w:top w:val="none" w:sz="0" w:space="0" w:color="auto"/>
                    <w:left w:val="none" w:sz="0" w:space="0" w:color="auto"/>
                    <w:bottom w:val="none" w:sz="0" w:space="0" w:color="auto"/>
                    <w:right w:val="none" w:sz="0" w:space="0" w:color="auto"/>
                  </w:divBdr>
                  <w:divsChild>
                    <w:div w:id="385881502">
                      <w:marLeft w:val="0"/>
                      <w:marRight w:val="0"/>
                      <w:marTop w:val="0"/>
                      <w:marBottom w:val="0"/>
                      <w:divBdr>
                        <w:top w:val="none" w:sz="0" w:space="0" w:color="auto"/>
                        <w:left w:val="none" w:sz="0" w:space="0" w:color="auto"/>
                        <w:bottom w:val="none" w:sz="0" w:space="0" w:color="auto"/>
                        <w:right w:val="none" w:sz="0" w:space="0" w:color="auto"/>
                      </w:divBdr>
                      <w:divsChild>
                        <w:div w:id="385881455">
                          <w:marLeft w:val="0"/>
                          <w:marRight w:val="0"/>
                          <w:marTop w:val="0"/>
                          <w:marBottom w:val="0"/>
                          <w:divBdr>
                            <w:top w:val="none" w:sz="0" w:space="0" w:color="auto"/>
                            <w:left w:val="none" w:sz="0" w:space="0" w:color="auto"/>
                            <w:bottom w:val="none" w:sz="0" w:space="0" w:color="auto"/>
                            <w:right w:val="none" w:sz="0" w:space="0" w:color="auto"/>
                          </w:divBdr>
                          <w:divsChild>
                            <w:div w:id="385881478">
                              <w:marLeft w:val="0"/>
                              <w:marRight w:val="0"/>
                              <w:marTop w:val="0"/>
                              <w:marBottom w:val="0"/>
                              <w:divBdr>
                                <w:top w:val="none" w:sz="0" w:space="0" w:color="auto"/>
                                <w:left w:val="none" w:sz="0" w:space="0" w:color="auto"/>
                                <w:bottom w:val="none" w:sz="0" w:space="0" w:color="auto"/>
                                <w:right w:val="none" w:sz="0" w:space="0" w:color="auto"/>
                              </w:divBdr>
                              <w:divsChild>
                                <w:div w:id="385881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5881511">
      <w:marLeft w:val="0"/>
      <w:marRight w:val="0"/>
      <w:marTop w:val="0"/>
      <w:marBottom w:val="0"/>
      <w:divBdr>
        <w:top w:val="none" w:sz="0" w:space="0" w:color="auto"/>
        <w:left w:val="none" w:sz="0" w:space="0" w:color="auto"/>
        <w:bottom w:val="none" w:sz="0" w:space="0" w:color="auto"/>
        <w:right w:val="none" w:sz="0" w:space="0" w:color="auto"/>
      </w:divBdr>
      <w:divsChild>
        <w:div w:id="385881536">
          <w:marLeft w:val="0"/>
          <w:marRight w:val="0"/>
          <w:marTop w:val="0"/>
          <w:marBottom w:val="0"/>
          <w:divBdr>
            <w:top w:val="none" w:sz="0" w:space="0" w:color="auto"/>
            <w:left w:val="none" w:sz="0" w:space="0" w:color="auto"/>
            <w:bottom w:val="none" w:sz="0" w:space="0" w:color="auto"/>
            <w:right w:val="none" w:sz="0" w:space="0" w:color="auto"/>
          </w:divBdr>
          <w:divsChild>
            <w:div w:id="385881543">
              <w:marLeft w:val="0"/>
              <w:marRight w:val="0"/>
              <w:marTop w:val="0"/>
              <w:marBottom w:val="0"/>
              <w:divBdr>
                <w:top w:val="none" w:sz="0" w:space="0" w:color="auto"/>
                <w:left w:val="none" w:sz="0" w:space="0" w:color="auto"/>
                <w:bottom w:val="none" w:sz="0" w:space="0" w:color="auto"/>
                <w:right w:val="none" w:sz="0" w:space="0" w:color="auto"/>
              </w:divBdr>
              <w:divsChild>
                <w:div w:id="385881464">
                  <w:marLeft w:val="0"/>
                  <w:marRight w:val="0"/>
                  <w:marTop w:val="0"/>
                  <w:marBottom w:val="0"/>
                  <w:divBdr>
                    <w:top w:val="none" w:sz="0" w:space="0" w:color="auto"/>
                    <w:left w:val="none" w:sz="0" w:space="0" w:color="auto"/>
                    <w:bottom w:val="none" w:sz="0" w:space="0" w:color="auto"/>
                    <w:right w:val="none" w:sz="0" w:space="0" w:color="auto"/>
                  </w:divBdr>
                  <w:divsChild>
                    <w:div w:id="385881424">
                      <w:marLeft w:val="0"/>
                      <w:marRight w:val="0"/>
                      <w:marTop w:val="0"/>
                      <w:marBottom w:val="0"/>
                      <w:divBdr>
                        <w:top w:val="none" w:sz="0" w:space="0" w:color="auto"/>
                        <w:left w:val="none" w:sz="0" w:space="0" w:color="auto"/>
                        <w:bottom w:val="none" w:sz="0" w:space="0" w:color="auto"/>
                        <w:right w:val="none" w:sz="0" w:space="0" w:color="auto"/>
                      </w:divBdr>
                      <w:divsChild>
                        <w:div w:id="385881472">
                          <w:marLeft w:val="0"/>
                          <w:marRight w:val="0"/>
                          <w:marTop w:val="0"/>
                          <w:marBottom w:val="0"/>
                          <w:divBdr>
                            <w:top w:val="none" w:sz="0" w:space="0" w:color="auto"/>
                            <w:left w:val="none" w:sz="0" w:space="0" w:color="auto"/>
                            <w:bottom w:val="none" w:sz="0" w:space="0" w:color="auto"/>
                            <w:right w:val="none" w:sz="0" w:space="0" w:color="auto"/>
                          </w:divBdr>
                          <w:divsChild>
                            <w:div w:id="385881522">
                              <w:marLeft w:val="0"/>
                              <w:marRight w:val="0"/>
                              <w:marTop w:val="0"/>
                              <w:marBottom w:val="0"/>
                              <w:divBdr>
                                <w:top w:val="none" w:sz="0" w:space="0" w:color="auto"/>
                                <w:left w:val="none" w:sz="0" w:space="0" w:color="auto"/>
                                <w:bottom w:val="none" w:sz="0" w:space="0" w:color="auto"/>
                                <w:right w:val="none" w:sz="0" w:space="0" w:color="auto"/>
                              </w:divBdr>
                              <w:divsChild>
                                <w:div w:id="38588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5881527">
      <w:marLeft w:val="0"/>
      <w:marRight w:val="0"/>
      <w:marTop w:val="0"/>
      <w:marBottom w:val="0"/>
      <w:divBdr>
        <w:top w:val="none" w:sz="0" w:space="0" w:color="auto"/>
        <w:left w:val="none" w:sz="0" w:space="0" w:color="auto"/>
        <w:bottom w:val="none" w:sz="0" w:space="0" w:color="auto"/>
        <w:right w:val="none" w:sz="0" w:space="0" w:color="auto"/>
      </w:divBdr>
      <w:divsChild>
        <w:div w:id="385881411">
          <w:marLeft w:val="0"/>
          <w:marRight w:val="0"/>
          <w:marTop w:val="0"/>
          <w:marBottom w:val="0"/>
          <w:divBdr>
            <w:top w:val="none" w:sz="0" w:space="0" w:color="auto"/>
            <w:left w:val="none" w:sz="0" w:space="0" w:color="auto"/>
            <w:bottom w:val="none" w:sz="0" w:space="0" w:color="auto"/>
            <w:right w:val="none" w:sz="0" w:space="0" w:color="auto"/>
          </w:divBdr>
          <w:divsChild>
            <w:div w:id="385881413">
              <w:marLeft w:val="0"/>
              <w:marRight w:val="0"/>
              <w:marTop w:val="0"/>
              <w:marBottom w:val="0"/>
              <w:divBdr>
                <w:top w:val="none" w:sz="0" w:space="0" w:color="auto"/>
                <w:left w:val="none" w:sz="0" w:space="0" w:color="auto"/>
                <w:bottom w:val="none" w:sz="0" w:space="0" w:color="auto"/>
                <w:right w:val="none" w:sz="0" w:space="0" w:color="auto"/>
              </w:divBdr>
              <w:divsChild>
                <w:div w:id="38588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415">
          <w:marLeft w:val="0"/>
          <w:marRight w:val="0"/>
          <w:marTop w:val="0"/>
          <w:marBottom w:val="0"/>
          <w:divBdr>
            <w:top w:val="none" w:sz="0" w:space="0" w:color="auto"/>
            <w:left w:val="none" w:sz="0" w:space="0" w:color="auto"/>
            <w:bottom w:val="none" w:sz="0" w:space="0" w:color="auto"/>
            <w:right w:val="none" w:sz="0" w:space="0" w:color="auto"/>
          </w:divBdr>
          <w:divsChild>
            <w:div w:id="385881459">
              <w:marLeft w:val="0"/>
              <w:marRight w:val="0"/>
              <w:marTop w:val="0"/>
              <w:marBottom w:val="0"/>
              <w:divBdr>
                <w:top w:val="none" w:sz="0" w:space="0" w:color="auto"/>
                <w:left w:val="none" w:sz="0" w:space="0" w:color="auto"/>
                <w:bottom w:val="none" w:sz="0" w:space="0" w:color="auto"/>
                <w:right w:val="none" w:sz="0" w:space="0" w:color="auto"/>
              </w:divBdr>
              <w:divsChild>
                <w:div w:id="38588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419">
          <w:marLeft w:val="0"/>
          <w:marRight w:val="0"/>
          <w:marTop w:val="0"/>
          <w:marBottom w:val="0"/>
          <w:divBdr>
            <w:top w:val="none" w:sz="0" w:space="0" w:color="auto"/>
            <w:left w:val="none" w:sz="0" w:space="0" w:color="auto"/>
            <w:bottom w:val="none" w:sz="0" w:space="0" w:color="auto"/>
            <w:right w:val="none" w:sz="0" w:space="0" w:color="auto"/>
          </w:divBdr>
          <w:divsChild>
            <w:div w:id="385881494">
              <w:marLeft w:val="0"/>
              <w:marRight w:val="0"/>
              <w:marTop w:val="0"/>
              <w:marBottom w:val="0"/>
              <w:divBdr>
                <w:top w:val="none" w:sz="0" w:space="0" w:color="auto"/>
                <w:left w:val="none" w:sz="0" w:space="0" w:color="auto"/>
                <w:bottom w:val="none" w:sz="0" w:space="0" w:color="auto"/>
                <w:right w:val="none" w:sz="0" w:space="0" w:color="auto"/>
              </w:divBdr>
              <w:divsChild>
                <w:div w:id="38588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423">
          <w:marLeft w:val="0"/>
          <w:marRight w:val="0"/>
          <w:marTop w:val="0"/>
          <w:marBottom w:val="0"/>
          <w:divBdr>
            <w:top w:val="none" w:sz="0" w:space="0" w:color="auto"/>
            <w:left w:val="none" w:sz="0" w:space="0" w:color="auto"/>
            <w:bottom w:val="none" w:sz="0" w:space="0" w:color="auto"/>
            <w:right w:val="none" w:sz="0" w:space="0" w:color="auto"/>
          </w:divBdr>
          <w:divsChild>
            <w:div w:id="385881409">
              <w:marLeft w:val="0"/>
              <w:marRight w:val="0"/>
              <w:marTop w:val="0"/>
              <w:marBottom w:val="0"/>
              <w:divBdr>
                <w:top w:val="none" w:sz="0" w:space="0" w:color="auto"/>
                <w:left w:val="none" w:sz="0" w:space="0" w:color="auto"/>
                <w:bottom w:val="none" w:sz="0" w:space="0" w:color="auto"/>
                <w:right w:val="none" w:sz="0" w:space="0" w:color="auto"/>
              </w:divBdr>
              <w:divsChild>
                <w:div w:id="385881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460">
          <w:marLeft w:val="0"/>
          <w:marRight w:val="0"/>
          <w:marTop w:val="0"/>
          <w:marBottom w:val="0"/>
          <w:divBdr>
            <w:top w:val="none" w:sz="0" w:space="0" w:color="auto"/>
            <w:left w:val="none" w:sz="0" w:space="0" w:color="auto"/>
            <w:bottom w:val="none" w:sz="0" w:space="0" w:color="auto"/>
            <w:right w:val="none" w:sz="0" w:space="0" w:color="auto"/>
          </w:divBdr>
          <w:divsChild>
            <w:div w:id="385881493">
              <w:marLeft w:val="0"/>
              <w:marRight w:val="0"/>
              <w:marTop w:val="0"/>
              <w:marBottom w:val="0"/>
              <w:divBdr>
                <w:top w:val="none" w:sz="0" w:space="0" w:color="auto"/>
                <w:left w:val="none" w:sz="0" w:space="0" w:color="auto"/>
                <w:bottom w:val="none" w:sz="0" w:space="0" w:color="auto"/>
                <w:right w:val="none" w:sz="0" w:space="0" w:color="auto"/>
              </w:divBdr>
              <w:divsChild>
                <w:div w:id="38588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468">
          <w:marLeft w:val="0"/>
          <w:marRight w:val="0"/>
          <w:marTop w:val="0"/>
          <w:marBottom w:val="0"/>
          <w:divBdr>
            <w:top w:val="none" w:sz="0" w:space="0" w:color="auto"/>
            <w:left w:val="none" w:sz="0" w:space="0" w:color="auto"/>
            <w:bottom w:val="none" w:sz="0" w:space="0" w:color="auto"/>
            <w:right w:val="none" w:sz="0" w:space="0" w:color="auto"/>
          </w:divBdr>
          <w:divsChild>
            <w:div w:id="385881537">
              <w:marLeft w:val="0"/>
              <w:marRight w:val="0"/>
              <w:marTop w:val="0"/>
              <w:marBottom w:val="0"/>
              <w:divBdr>
                <w:top w:val="none" w:sz="0" w:space="0" w:color="auto"/>
                <w:left w:val="none" w:sz="0" w:space="0" w:color="auto"/>
                <w:bottom w:val="none" w:sz="0" w:space="0" w:color="auto"/>
                <w:right w:val="none" w:sz="0" w:space="0" w:color="auto"/>
              </w:divBdr>
              <w:divsChild>
                <w:div w:id="385881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469">
          <w:marLeft w:val="0"/>
          <w:marRight w:val="0"/>
          <w:marTop w:val="0"/>
          <w:marBottom w:val="0"/>
          <w:divBdr>
            <w:top w:val="none" w:sz="0" w:space="0" w:color="auto"/>
            <w:left w:val="none" w:sz="0" w:space="0" w:color="auto"/>
            <w:bottom w:val="none" w:sz="0" w:space="0" w:color="auto"/>
            <w:right w:val="none" w:sz="0" w:space="0" w:color="auto"/>
          </w:divBdr>
          <w:divsChild>
            <w:div w:id="385881510">
              <w:marLeft w:val="0"/>
              <w:marRight w:val="0"/>
              <w:marTop w:val="0"/>
              <w:marBottom w:val="0"/>
              <w:divBdr>
                <w:top w:val="none" w:sz="0" w:space="0" w:color="auto"/>
                <w:left w:val="none" w:sz="0" w:space="0" w:color="auto"/>
                <w:bottom w:val="none" w:sz="0" w:space="0" w:color="auto"/>
                <w:right w:val="none" w:sz="0" w:space="0" w:color="auto"/>
              </w:divBdr>
              <w:divsChild>
                <w:div w:id="385881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476">
          <w:marLeft w:val="0"/>
          <w:marRight w:val="0"/>
          <w:marTop w:val="0"/>
          <w:marBottom w:val="0"/>
          <w:divBdr>
            <w:top w:val="none" w:sz="0" w:space="0" w:color="auto"/>
            <w:left w:val="none" w:sz="0" w:space="0" w:color="auto"/>
            <w:bottom w:val="none" w:sz="0" w:space="0" w:color="auto"/>
            <w:right w:val="none" w:sz="0" w:space="0" w:color="auto"/>
          </w:divBdr>
          <w:divsChild>
            <w:div w:id="385881525">
              <w:marLeft w:val="0"/>
              <w:marRight w:val="0"/>
              <w:marTop w:val="0"/>
              <w:marBottom w:val="0"/>
              <w:divBdr>
                <w:top w:val="none" w:sz="0" w:space="0" w:color="auto"/>
                <w:left w:val="none" w:sz="0" w:space="0" w:color="auto"/>
                <w:bottom w:val="none" w:sz="0" w:space="0" w:color="auto"/>
                <w:right w:val="none" w:sz="0" w:space="0" w:color="auto"/>
              </w:divBdr>
              <w:divsChild>
                <w:div w:id="38588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490">
          <w:marLeft w:val="0"/>
          <w:marRight w:val="0"/>
          <w:marTop w:val="0"/>
          <w:marBottom w:val="0"/>
          <w:divBdr>
            <w:top w:val="none" w:sz="0" w:space="0" w:color="auto"/>
            <w:left w:val="none" w:sz="0" w:space="0" w:color="auto"/>
            <w:bottom w:val="none" w:sz="0" w:space="0" w:color="auto"/>
            <w:right w:val="none" w:sz="0" w:space="0" w:color="auto"/>
          </w:divBdr>
          <w:divsChild>
            <w:div w:id="385881521">
              <w:marLeft w:val="0"/>
              <w:marRight w:val="0"/>
              <w:marTop w:val="0"/>
              <w:marBottom w:val="0"/>
              <w:divBdr>
                <w:top w:val="none" w:sz="0" w:space="0" w:color="auto"/>
                <w:left w:val="none" w:sz="0" w:space="0" w:color="auto"/>
                <w:bottom w:val="none" w:sz="0" w:space="0" w:color="auto"/>
                <w:right w:val="none" w:sz="0" w:space="0" w:color="auto"/>
              </w:divBdr>
              <w:divsChild>
                <w:div w:id="38588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501">
          <w:marLeft w:val="0"/>
          <w:marRight w:val="0"/>
          <w:marTop w:val="0"/>
          <w:marBottom w:val="0"/>
          <w:divBdr>
            <w:top w:val="none" w:sz="0" w:space="0" w:color="auto"/>
            <w:left w:val="none" w:sz="0" w:space="0" w:color="auto"/>
            <w:bottom w:val="none" w:sz="0" w:space="0" w:color="auto"/>
            <w:right w:val="none" w:sz="0" w:space="0" w:color="auto"/>
          </w:divBdr>
          <w:divsChild>
            <w:div w:id="385881526">
              <w:marLeft w:val="0"/>
              <w:marRight w:val="0"/>
              <w:marTop w:val="0"/>
              <w:marBottom w:val="0"/>
              <w:divBdr>
                <w:top w:val="none" w:sz="0" w:space="0" w:color="auto"/>
                <w:left w:val="none" w:sz="0" w:space="0" w:color="auto"/>
                <w:bottom w:val="none" w:sz="0" w:space="0" w:color="auto"/>
                <w:right w:val="none" w:sz="0" w:space="0" w:color="auto"/>
              </w:divBdr>
              <w:divsChild>
                <w:div w:id="385881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506">
          <w:marLeft w:val="0"/>
          <w:marRight w:val="0"/>
          <w:marTop w:val="0"/>
          <w:marBottom w:val="0"/>
          <w:divBdr>
            <w:top w:val="none" w:sz="0" w:space="0" w:color="auto"/>
            <w:left w:val="none" w:sz="0" w:space="0" w:color="auto"/>
            <w:bottom w:val="none" w:sz="0" w:space="0" w:color="auto"/>
            <w:right w:val="none" w:sz="0" w:space="0" w:color="auto"/>
          </w:divBdr>
          <w:divsChild>
            <w:div w:id="385881448">
              <w:marLeft w:val="0"/>
              <w:marRight w:val="0"/>
              <w:marTop w:val="0"/>
              <w:marBottom w:val="0"/>
              <w:divBdr>
                <w:top w:val="none" w:sz="0" w:space="0" w:color="auto"/>
                <w:left w:val="none" w:sz="0" w:space="0" w:color="auto"/>
                <w:bottom w:val="none" w:sz="0" w:space="0" w:color="auto"/>
                <w:right w:val="none" w:sz="0" w:space="0" w:color="auto"/>
              </w:divBdr>
              <w:divsChild>
                <w:div w:id="38588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523">
          <w:marLeft w:val="0"/>
          <w:marRight w:val="0"/>
          <w:marTop w:val="0"/>
          <w:marBottom w:val="0"/>
          <w:divBdr>
            <w:top w:val="none" w:sz="0" w:space="0" w:color="auto"/>
            <w:left w:val="none" w:sz="0" w:space="0" w:color="auto"/>
            <w:bottom w:val="none" w:sz="0" w:space="0" w:color="auto"/>
            <w:right w:val="none" w:sz="0" w:space="0" w:color="auto"/>
          </w:divBdr>
          <w:divsChild>
            <w:div w:id="385881461">
              <w:marLeft w:val="0"/>
              <w:marRight w:val="0"/>
              <w:marTop w:val="0"/>
              <w:marBottom w:val="0"/>
              <w:divBdr>
                <w:top w:val="none" w:sz="0" w:space="0" w:color="auto"/>
                <w:left w:val="none" w:sz="0" w:space="0" w:color="auto"/>
                <w:bottom w:val="none" w:sz="0" w:space="0" w:color="auto"/>
                <w:right w:val="none" w:sz="0" w:space="0" w:color="auto"/>
              </w:divBdr>
              <w:divsChild>
                <w:div w:id="38588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529">
          <w:marLeft w:val="0"/>
          <w:marRight w:val="0"/>
          <w:marTop w:val="0"/>
          <w:marBottom w:val="0"/>
          <w:divBdr>
            <w:top w:val="none" w:sz="0" w:space="0" w:color="auto"/>
            <w:left w:val="none" w:sz="0" w:space="0" w:color="auto"/>
            <w:bottom w:val="none" w:sz="0" w:space="0" w:color="auto"/>
            <w:right w:val="none" w:sz="0" w:space="0" w:color="auto"/>
          </w:divBdr>
          <w:divsChild>
            <w:div w:id="385881500">
              <w:marLeft w:val="0"/>
              <w:marRight w:val="0"/>
              <w:marTop w:val="0"/>
              <w:marBottom w:val="0"/>
              <w:divBdr>
                <w:top w:val="none" w:sz="0" w:space="0" w:color="auto"/>
                <w:left w:val="none" w:sz="0" w:space="0" w:color="auto"/>
                <w:bottom w:val="none" w:sz="0" w:space="0" w:color="auto"/>
                <w:right w:val="none" w:sz="0" w:space="0" w:color="auto"/>
              </w:divBdr>
              <w:divsChild>
                <w:div w:id="38588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881533">
          <w:marLeft w:val="0"/>
          <w:marRight w:val="0"/>
          <w:marTop w:val="0"/>
          <w:marBottom w:val="0"/>
          <w:divBdr>
            <w:top w:val="none" w:sz="0" w:space="0" w:color="auto"/>
            <w:left w:val="none" w:sz="0" w:space="0" w:color="auto"/>
            <w:bottom w:val="none" w:sz="0" w:space="0" w:color="auto"/>
            <w:right w:val="none" w:sz="0" w:space="0" w:color="auto"/>
          </w:divBdr>
          <w:divsChild>
            <w:div w:id="385881515">
              <w:marLeft w:val="0"/>
              <w:marRight w:val="0"/>
              <w:marTop w:val="0"/>
              <w:marBottom w:val="0"/>
              <w:divBdr>
                <w:top w:val="none" w:sz="0" w:space="0" w:color="auto"/>
                <w:left w:val="none" w:sz="0" w:space="0" w:color="auto"/>
                <w:bottom w:val="none" w:sz="0" w:space="0" w:color="auto"/>
                <w:right w:val="none" w:sz="0" w:space="0" w:color="auto"/>
              </w:divBdr>
              <w:divsChild>
                <w:div w:id="385881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5881534">
      <w:marLeft w:val="0"/>
      <w:marRight w:val="0"/>
      <w:marTop w:val="0"/>
      <w:marBottom w:val="0"/>
      <w:divBdr>
        <w:top w:val="none" w:sz="0" w:space="0" w:color="auto"/>
        <w:left w:val="none" w:sz="0" w:space="0" w:color="auto"/>
        <w:bottom w:val="none" w:sz="0" w:space="0" w:color="auto"/>
        <w:right w:val="none" w:sz="0" w:space="0" w:color="auto"/>
      </w:divBdr>
      <w:divsChild>
        <w:div w:id="385881442">
          <w:marLeft w:val="0"/>
          <w:marRight w:val="0"/>
          <w:marTop w:val="0"/>
          <w:marBottom w:val="0"/>
          <w:divBdr>
            <w:top w:val="none" w:sz="0" w:space="0" w:color="auto"/>
            <w:left w:val="none" w:sz="0" w:space="0" w:color="auto"/>
            <w:bottom w:val="none" w:sz="0" w:space="0" w:color="auto"/>
            <w:right w:val="none" w:sz="0" w:space="0" w:color="auto"/>
          </w:divBdr>
          <w:divsChild>
            <w:div w:id="385881531">
              <w:marLeft w:val="0"/>
              <w:marRight w:val="0"/>
              <w:marTop w:val="0"/>
              <w:marBottom w:val="0"/>
              <w:divBdr>
                <w:top w:val="none" w:sz="0" w:space="0" w:color="auto"/>
                <w:left w:val="none" w:sz="0" w:space="0" w:color="auto"/>
                <w:bottom w:val="none" w:sz="0" w:space="0" w:color="auto"/>
                <w:right w:val="none" w:sz="0" w:space="0" w:color="auto"/>
              </w:divBdr>
              <w:divsChild>
                <w:div w:id="385881445">
                  <w:marLeft w:val="0"/>
                  <w:marRight w:val="0"/>
                  <w:marTop w:val="0"/>
                  <w:marBottom w:val="0"/>
                  <w:divBdr>
                    <w:top w:val="none" w:sz="0" w:space="0" w:color="auto"/>
                    <w:left w:val="none" w:sz="0" w:space="0" w:color="auto"/>
                    <w:bottom w:val="none" w:sz="0" w:space="0" w:color="auto"/>
                    <w:right w:val="none" w:sz="0" w:space="0" w:color="auto"/>
                  </w:divBdr>
                  <w:divsChild>
                    <w:div w:id="385881481">
                      <w:marLeft w:val="0"/>
                      <w:marRight w:val="0"/>
                      <w:marTop w:val="0"/>
                      <w:marBottom w:val="0"/>
                      <w:divBdr>
                        <w:top w:val="none" w:sz="0" w:space="0" w:color="auto"/>
                        <w:left w:val="none" w:sz="0" w:space="0" w:color="auto"/>
                        <w:bottom w:val="none" w:sz="0" w:space="0" w:color="auto"/>
                        <w:right w:val="none" w:sz="0" w:space="0" w:color="auto"/>
                      </w:divBdr>
                      <w:divsChild>
                        <w:div w:id="385881462">
                          <w:marLeft w:val="0"/>
                          <w:marRight w:val="0"/>
                          <w:marTop w:val="0"/>
                          <w:marBottom w:val="0"/>
                          <w:divBdr>
                            <w:top w:val="none" w:sz="0" w:space="0" w:color="auto"/>
                            <w:left w:val="none" w:sz="0" w:space="0" w:color="auto"/>
                            <w:bottom w:val="none" w:sz="0" w:space="0" w:color="auto"/>
                            <w:right w:val="none" w:sz="0" w:space="0" w:color="auto"/>
                          </w:divBdr>
                          <w:divsChild>
                            <w:div w:id="38588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nav.simpleBox('Multiple%20link','/cl3/common/utils/doc/mlink.jsp?&amp;gc=WKNL-KL-PNP-VNI-10069417&amp;multilinkId=165151180.158765589.158760788.158755679.158792014.158781013.158776641.158770093.158785300.158788725');" TargetMode="External"/><Relationship Id="rId3" Type="http://schemas.openxmlformats.org/officeDocument/2006/relationships/settings" Target="settings.xml"/><Relationship Id="rId7" Type="http://schemas.openxmlformats.org/officeDocument/2006/relationships/hyperlink" Target="javascript:nav.simpleBox('Multiple%20link','/cl3/common/utils/doc/mlink.jsp?&amp;gc=WKNL-KL-PNP-VNI-10069417&amp;multilinkId=165151014.158765290.158760485.158755381.158791806.158780830.158776380.158769807.158785074.15878851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javascript:nav.loadDiv('/cl3/application-context/VNI/modules/synchro/followLinkToRelated.jsp?&amp;gc=WKNL-KL-PNP-VNI-10069417&amp;docId=63262487&amp;sourceId=167717933')"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javascript:nav.loadDiv('/cl3/application-context/VNI/modules/synchro/followLinkToRelated.jsp?&amp;gc=WKNL-KL-PNP-VNI-10069417&amp;docId=63262487&amp;sourceId=1677179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85</Pages>
  <Words>28311</Words>
  <Characters>155714</Characters>
  <Application>Microsoft Office Word</Application>
  <DocSecurity>0</DocSecurity>
  <Lines>1297</Lines>
  <Paragraphs>367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Inhoudsopgave</vt:lpstr>
      <vt:lpstr>Inhoudsopgave</vt:lpstr>
    </vt:vector>
  </TitlesOfParts>
  <Company/>
  <LinksUpToDate>false</LinksUpToDate>
  <CharactersWithSpaces>183658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Inhoudsopgave</dc:title>
  <dc:subject/>
  <dc:creator>Lensink WF</dc:creator>
  <cp:keywords/>
  <dc:description/>
  <cp:lastModifiedBy>flensink</cp:lastModifiedBy>
  <cp:revision>4</cp:revision>
  <cp:lastPrinted>2011-05-25T10:17:00Z</cp:lastPrinted>
  <dcterms:created xsi:type="dcterms:W3CDTF">2011-08-02T11:34:00Z</dcterms:created>
  <dcterms:modified xsi:type="dcterms:W3CDTF">2011-08-02T12:22:00Z</dcterms:modified>
</cp:coreProperties>
</file>