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harts/chart10.xml" ContentType="application/vnd.openxmlformats-officedocument.drawingml.chart+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charts/chart6.xml" ContentType="application/vnd.openxmlformats-officedocument.drawingml.chart+xml"/>
  <Override PartName="/word/charts/chart7.xml" ContentType="application/vnd.openxmlformats-officedocument.drawingml.chart+xml"/>
  <Override PartName="/word/footer3.xml" ContentType="application/vnd.openxmlformats-officedocument.wordprocessingml.footer+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136E" w:rsidRDefault="003236CF">
      <w:pPr>
        <w:rPr>
          <w:szCs w:val="28"/>
        </w:rPr>
      </w:pPr>
      <w:r>
        <w:rPr>
          <w:noProof/>
          <w:szCs w:val="28"/>
          <w:lang w:val="nl-NL" w:eastAsia="nl-NL" w:bidi="ar-SA"/>
        </w:rPr>
        <w:pict>
          <v:rect id="_x0000_s1026" style="position:absolute;margin-left:-28.5pt;margin-top:-1in;width:8.25pt;height:792.75pt;z-index:251656190" fillcolor="#1f497d [3215]" stroked="f" strokecolor="#f2f2f2 [3041]" strokeweight="3pt">
            <v:shadow on="t" type="perspective" color="#7f7f7f [1612]" opacity=".5" offset="1pt,0" offset2="-1pt,-4pt"/>
          </v:rect>
        </w:pict>
      </w:r>
    </w:p>
    <w:p w:rsidR="00E559BD" w:rsidRDefault="00E559BD">
      <w:pPr>
        <w:rPr>
          <w:szCs w:val="28"/>
        </w:rPr>
      </w:pPr>
    </w:p>
    <w:p w:rsidR="00E559BD" w:rsidRDefault="003236CF">
      <w:pPr>
        <w:rPr>
          <w:szCs w:val="28"/>
        </w:rPr>
      </w:pPr>
      <w:r>
        <w:rPr>
          <w:noProof/>
          <w:szCs w:val="28"/>
          <w:lang w:val="nl-NL" w:eastAsia="nl-NL" w:bidi="ar-SA"/>
        </w:rPr>
        <w:pict>
          <v:rect id="_x0000_s1027" style="position:absolute;margin-left:-20.25pt;margin-top:16.6pt;width:512.25pt;height:90.75pt;z-index:251657215" fillcolor="#1f497d [3215]" stroked="f" strokecolor="#f2f2f2 [3041]" strokeweight="3pt">
            <v:shadow on="t" type="perspective" color="#7f7f7f [1612]" opacity=".5" offset="1pt,1pt" offset2="-1pt,-2pt"/>
            <v:textbox style="mso-next-textbox:#_x0000_s1027">
              <w:txbxContent>
                <w:p w:rsidR="00E50388" w:rsidRPr="00D5548A" w:rsidRDefault="00E50388" w:rsidP="00DE0964">
                  <w:pPr>
                    <w:jc w:val="center"/>
                    <w:rPr>
                      <w:b/>
                      <w:color w:val="FFFFFF" w:themeColor="background1"/>
                      <w:sz w:val="62"/>
                      <w:szCs w:val="62"/>
                    </w:rPr>
                  </w:pPr>
                  <w:r w:rsidRPr="00D5548A">
                    <w:rPr>
                      <w:b/>
                      <w:color w:val="FFFFFF" w:themeColor="background1"/>
                      <w:sz w:val="62"/>
                      <w:szCs w:val="62"/>
                    </w:rPr>
                    <w:t>Changing Remuneration Practices as an Economic Consequence of IFRS 2</w:t>
                  </w:r>
                </w:p>
                <w:p w:rsidR="00E50388" w:rsidRDefault="00E50388"/>
              </w:txbxContent>
            </v:textbox>
          </v:rect>
        </w:pict>
      </w:r>
    </w:p>
    <w:p w:rsidR="00E559BD" w:rsidRDefault="00E559BD">
      <w:pPr>
        <w:rPr>
          <w:szCs w:val="28"/>
        </w:rPr>
      </w:pPr>
    </w:p>
    <w:p w:rsidR="00E559BD" w:rsidRDefault="00E559BD">
      <w:pPr>
        <w:rPr>
          <w:szCs w:val="28"/>
        </w:rPr>
      </w:pPr>
    </w:p>
    <w:p w:rsidR="00D5548A" w:rsidRPr="00D5548A" w:rsidRDefault="00D5548A" w:rsidP="0017658D">
      <w:pPr>
        <w:spacing w:line="240" w:lineRule="auto"/>
        <w:jc w:val="center"/>
        <w:rPr>
          <w:rFonts w:ascii="Gill Sans MT" w:hAnsi="Gill Sans MT" w:cs="Lucida Sans"/>
          <w:b/>
          <w:color w:val="1F497D" w:themeColor="text2"/>
          <w:sz w:val="52"/>
          <w:szCs w:val="52"/>
        </w:rPr>
      </w:pPr>
    </w:p>
    <w:p w:rsidR="00E559BD" w:rsidRPr="00F067EF" w:rsidRDefault="00222D88" w:rsidP="0017658D">
      <w:pPr>
        <w:spacing w:line="240" w:lineRule="auto"/>
        <w:jc w:val="center"/>
        <w:rPr>
          <w:rFonts w:cs="Lucida Sans"/>
          <w:b/>
          <w:color w:val="1F497D" w:themeColor="text2"/>
          <w:sz w:val="28"/>
          <w:szCs w:val="28"/>
        </w:rPr>
      </w:pPr>
      <w:r w:rsidRPr="00F067EF">
        <w:rPr>
          <w:rFonts w:cs="Lucida Sans"/>
          <w:b/>
          <w:color w:val="1F497D" w:themeColor="text2"/>
          <w:sz w:val="28"/>
          <w:szCs w:val="28"/>
        </w:rPr>
        <w:t>Evidence from the Netherlands</w:t>
      </w:r>
    </w:p>
    <w:p w:rsidR="00E559BD" w:rsidRDefault="00E559BD">
      <w:pPr>
        <w:rPr>
          <w:szCs w:val="28"/>
        </w:rPr>
      </w:pPr>
    </w:p>
    <w:p w:rsidR="00E559BD" w:rsidRDefault="00E559BD">
      <w:pPr>
        <w:rPr>
          <w:szCs w:val="28"/>
        </w:rPr>
      </w:pPr>
    </w:p>
    <w:p w:rsidR="0017658D" w:rsidRDefault="0017658D">
      <w:pPr>
        <w:rPr>
          <w:rFonts w:ascii="Eras Medium ITC" w:hAnsi="Eras Medium ITC" w:cs="Narkisim"/>
          <w:szCs w:val="28"/>
        </w:rPr>
      </w:pPr>
    </w:p>
    <w:p w:rsidR="009C6853" w:rsidRDefault="009C6853">
      <w:pPr>
        <w:rPr>
          <w:rFonts w:ascii="Eras Medium ITC" w:hAnsi="Eras Medium ITC" w:cs="Narkisim"/>
          <w:szCs w:val="28"/>
        </w:rPr>
      </w:pPr>
    </w:p>
    <w:p w:rsidR="009C6853" w:rsidRPr="00A431C4" w:rsidRDefault="009C6853">
      <w:pPr>
        <w:rPr>
          <w:rFonts w:cs="Narkisim"/>
          <w:sz w:val="24"/>
          <w:szCs w:val="24"/>
        </w:rPr>
      </w:pPr>
    </w:p>
    <w:p w:rsidR="00E559BD" w:rsidRPr="00A431C4" w:rsidRDefault="00E559BD" w:rsidP="00E559BD">
      <w:pPr>
        <w:jc w:val="center"/>
        <w:rPr>
          <w:rFonts w:cs="Arial"/>
          <w:sz w:val="24"/>
          <w:szCs w:val="24"/>
        </w:rPr>
      </w:pPr>
      <w:r w:rsidRPr="00A431C4">
        <w:rPr>
          <w:rFonts w:cs="Arial"/>
          <w:sz w:val="24"/>
          <w:szCs w:val="24"/>
        </w:rPr>
        <w:t>Master’s Thesis</w:t>
      </w:r>
    </w:p>
    <w:p w:rsidR="00E559BD" w:rsidRPr="00A431C4" w:rsidRDefault="00E559BD" w:rsidP="00E559BD">
      <w:pPr>
        <w:jc w:val="center"/>
        <w:rPr>
          <w:rFonts w:cs="Arial"/>
          <w:sz w:val="24"/>
          <w:szCs w:val="24"/>
        </w:rPr>
      </w:pPr>
      <w:r w:rsidRPr="00A431C4">
        <w:rPr>
          <w:rFonts w:cs="Arial"/>
          <w:sz w:val="24"/>
          <w:szCs w:val="24"/>
        </w:rPr>
        <w:t>Erasmus School of Economics</w:t>
      </w:r>
    </w:p>
    <w:p w:rsidR="00E559BD" w:rsidRPr="00A431C4" w:rsidRDefault="00E559BD" w:rsidP="00E559BD">
      <w:pPr>
        <w:jc w:val="center"/>
        <w:rPr>
          <w:rFonts w:cs="Arial"/>
          <w:sz w:val="24"/>
          <w:szCs w:val="24"/>
        </w:rPr>
      </w:pPr>
      <w:r w:rsidRPr="00A431C4">
        <w:rPr>
          <w:rFonts w:cs="Arial"/>
          <w:sz w:val="24"/>
          <w:szCs w:val="24"/>
        </w:rPr>
        <w:t>Accounting, Auditing and Control</w:t>
      </w:r>
    </w:p>
    <w:p w:rsidR="00E559BD" w:rsidRPr="00A431C4" w:rsidRDefault="00E559BD">
      <w:pPr>
        <w:rPr>
          <w:rFonts w:cs="Arial"/>
          <w:szCs w:val="28"/>
        </w:rPr>
      </w:pPr>
    </w:p>
    <w:p w:rsidR="00E559BD" w:rsidRPr="00A431C4" w:rsidRDefault="00E559BD">
      <w:pPr>
        <w:rPr>
          <w:rFonts w:cs="Arial"/>
          <w:szCs w:val="28"/>
        </w:rPr>
      </w:pPr>
    </w:p>
    <w:p w:rsidR="00E559BD" w:rsidRPr="00A431C4" w:rsidRDefault="00E559BD">
      <w:pPr>
        <w:rPr>
          <w:rFonts w:cs="Arial"/>
          <w:szCs w:val="28"/>
        </w:rPr>
      </w:pPr>
    </w:p>
    <w:p w:rsidR="002F3F1A" w:rsidRPr="00A431C4" w:rsidRDefault="002F3F1A">
      <w:pPr>
        <w:rPr>
          <w:rFonts w:cs="Arial"/>
          <w:szCs w:val="28"/>
        </w:rPr>
      </w:pPr>
    </w:p>
    <w:p w:rsidR="00835CA4" w:rsidRPr="00A431C4" w:rsidRDefault="00835CA4">
      <w:pPr>
        <w:rPr>
          <w:rFonts w:cs="Arial"/>
          <w:sz w:val="24"/>
          <w:szCs w:val="24"/>
        </w:rPr>
      </w:pPr>
    </w:p>
    <w:p w:rsidR="002F3F1A" w:rsidRPr="00A431C4" w:rsidRDefault="002F3F1A">
      <w:pPr>
        <w:rPr>
          <w:rFonts w:cs="Arial"/>
          <w:sz w:val="32"/>
          <w:szCs w:val="32"/>
        </w:rPr>
      </w:pPr>
    </w:p>
    <w:p w:rsidR="00A63FBF" w:rsidRPr="00A431C4" w:rsidRDefault="00A63FBF">
      <w:pPr>
        <w:rPr>
          <w:rFonts w:cs="Arial"/>
          <w:szCs w:val="28"/>
        </w:rPr>
      </w:pPr>
    </w:p>
    <w:p w:rsidR="00C1136E" w:rsidRPr="00835CA4" w:rsidRDefault="002F3F1A" w:rsidP="002F3F1A">
      <w:pPr>
        <w:tabs>
          <w:tab w:val="left" w:pos="2410"/>
          <w:tab w:val="right" w:pos="9639"/>
        </w:tabs>
        <w:ind w:left="142"/>
        <w:rPr>
          <w:rFonts w:ascii="Gill Sans MT" w:hAnsi="Gill Sans MT"/>
          <w:i/>
        </w:rPr>
      </w:pPr>
      <w:r w:rsidRPr="00A431C4">
        <w:rPr>
          <w:rFonts w:cs="Arial"/>
          <w:noProof/>
          <w:lang w:val="nl-NL" w:eastAsia="nl-NL" w:bidi="ar-SA"/>
        </w:rPr>
        <w:drawing>
          <wp:anchor distT="0" distB="0" distL="114300" distR="114300" simplePos="0" relativeHeight="251663360" behindDoc="0" locked="0" layoutInCell="1" allowOverlap="1">
            <wp:simplePos x="0" y="0"/>
            <wp:positionH relativeFrom="column">
              <wp:posOffset>4057650</wp:posOffset>
            </wp:positionH>
            <wp:positionV relativeFrom="paragraph">
              <wp:posOffset>46990</wp:posOffset>
            </wp:positionV>
            <wp:extent cx="2190750" cy="523875"/>
            <wp:effectExtent l="19050" t="0" r="0" b="0"/>
            <wp:wrapSquare wrapText="bothSides"/>
            <wp:docPr id="19" name="Afbeelding 17" descr="logo_erasmus_universiteit_rotterdam_zwa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erasmus_universiteit_rotterdam_zwart.jpg"/>
                    <pic:cNvPicPr/>
                  </pic:nvPicPr>
                  <pic:blipFill>
                    <a:blip r:embed="rId8" cstate="print"/>
                    <a:stretch>
                      <a:fillRect/>
                    </a:stretch>
                  </pic:blipFill>
                  <pic:spPr>
                    <a:xfrm>
                      <a:off x="0" y="0"/>
                      <a:ext cx="2190750" cy="523875"/>
                    </a:xfrm>
                    <a:prstGeom prst="rect">
                      <a:avLst/>
                    </a:prstGeom>
                  </pic:spPr>
                </pic:pic>
              </a:graphicData>
            </a:graphic>
          </wp:anchor>
        </w:drawing>
      </w:r>
      <w:r w:rsidR="00A63FBF" w:rsidRPr="00A431C4">
        <w:rPr>
          <w:rFonts w:cs="Arial"/>
        </w:rPr>
        <w:t xml:space="preserve">Author: </w:t>
      </w:r>
      <w:r w:rsidR="00A63FBF" w:rsidRPr="00A431C4">
        <w:rPr>
          <w:rFonts w:cs="Arial"/>
        </w:rPr>
        <w:tab/>
        <w:t>Robbert A. Hooijmeijer BSc</w:t>
      </w:r>
      <w:r w:rsidR="00A63FBF" w:rsidRPr="00A431C4">
        <w:rPr>
          <w:rFonts w:cs="Arial"/>
        </w:rPr>
        <w:br/>
        <w:t xml:space="preserve">Student number: </w:t>
      </w:r>
      <w:r w:rsidR="00A63FBF" w:rsidRPr="00A431C4">
        <w:rPr>
          <w:rFonts w:cs="Arial"/>
        </w:rPr>
        <w:tab/>
        <w:t>302721</w:t>
      </w:r>
      <w:r w:rsidR="00A63FBF" w:rsidRPr="00A431C4">
        <w:rPr>
          <w:rFonts w:cs="Arial"/>
        </w:rPr>
        <w:br/>
        <w:t>Thesis supervisor:</w:t>
      </w:r>
      <w:r w:rsidR="00A63FBF" w:rsidRPr="00A431C4">
        <w:rPr>
          <w:rFonts w:cs="Arial"/>
        </w:rPr>
        <w:tab/>
        <w:t>Dr. C.D. Knoops</w:t>
      </w:r>
      <w:r w:rsidR="00631396" w:rsidRPr="00A431C4">
        <w:rPr>
          <w:rFonts w:cs="Arial"/>
          <w:i/>
        </w:rPr>
        <w:t xml:space="preserve"> </w:t>
      </w:r>
      <w:r w:rsidRPr="00A431C4">
        <w:rPr>
          <w:rFonts w:cs="Arial"/>
          <w:i/>
        </w:rPr>
        <w:br/>
      </w:r>
      <w:r w:rsidRPr="00A431C4">
        <w:rPr>
          <w:rFonts w:cs="Arial"/>
        </w:rPr>
        <w:t xml:space="preserve">Place and date: </w:t>
      </w:r>
      <w:r w:rsidRPr="00A431C4">
        <w:rPr>
          <w:rFonts w:cs="Arial"/>
        </w:rPr>
        <w:tab/>
      </w:r>
      <w:r w:rsidR="009C06CE" w:rsidRPr="00A431C4">
        <w:rPr>
          <w:rFonts w:cs="Arial"/>
        </w:rPr>
        <w:t>Rotterdam, July 26</w:t>
      </w:r>
      <w:r w:rsidR="009C06CE" w:rsidRPr="00A431C4">
        <w:rPr>
          <w:rFonts w:cs="Arial"/>
          <w:vertAlign w:val="superscript"/>
        </w:rPr>
        <w:t>th</w:t>
      </w:r>
      <w:r w:rsidR="009C06CE" w:rsidRPr="00A431C4">
        <w:rPr>
          <w:rFonts w:cs="Arial"/>
        </w:rPr>
        <w:t>, 2011</w:t>
      </w:r>
      <w:r w:rsidR="00C1136E" w:rsidRPr="00835CA4">
        <w:rPr>
          <w:rFonts w:ascii="Gill Sans MT" w:hAnsi="Gill Sans MT"/>
        </w:rPr>
        <w:br w:type="page"/>
      </w:r>
    </w:p>
    <w:p w:rsidR="00C1136E" w:rsidRDefault="00C1136E" w:rsidP="00595921">
      <w:pPr>
        <w:pStyle w:val="Kop1Thesis"/>
      </w:pPr>
      <w:r>
        <w:lastRenderedPageBreak/>
        <w:t>ACKNOWLEDGEMENTS</w:t>
      </w:r>
    </w:p>
    <w:p w:rsidR="00595921" w:rsidRDefault="00595921" w:rsidP="00595921">
      <w:pPr>
        <w:jc w:val="both"/>
      </w:pPr>
      <w:r>
        <w:br/>
        <w:t>With sufficient grades for all courses, w</w:t>
      </w:r>
      <w:r w:rsidRPr="00F7225C">
        <w:t>riting this thesis was the l</w:t>
      </w:r>
      <w:r>
        <w:t xml:space="preserve">ast step to complete the master’s program Accounting, Auditing and Control. The knowledge I gained in my master’s has been applied to its fullest in this thesis. During the writing process, I noticed that my interest in the subject of executive compensation was increasing as I progressed in this thesis. Not surprisingly, conducting my own research and finding interesting results boosted my interest and joy even further. The whole process of writing, investigating and discussing with supervisors has been an excited and above all instructive process. </w:t>
      </w:r>
    </w:p>
    <w:p w:rsidR="00595921" w:rsidRDefault="00595921" w:rsidP="00595921">
      <w:pPr>
        <w:jc w:val="both"/>
      </w:pPr>
      <w:r>
        <w:t xml:space="preserve">However, I could not have done it without the support of many people, to which I want to express my gratitude. First, I would like to thank Dr. C.D. Knoops, who was my thesis supervisor of the Erasmus University. Dr. Knoops always tries to bring out the best in his students and is always available to answer questions. Thanks for all your help and comments, keeping me motivated and bringing the best out. </w:t>
      </w:r>
    </w:p>
    <w:p w:rsidR="00595921" w:rsidRDefault="00595921" w:rsidP="00595921">
      <w:pPr>
        <w:jc w:val="both"/>
      </w:pPr>
      <w:r>
        <w:t xml:space="preserve">Also, I would like to express my gratitude towards the Rotterdam office of KPMG, who facilitated to write my thesis in combination with a thesis internship. Specifically, I would like to thank Aart-Jan van Vliet, who was my mentor at KPMG and showed me around, and my KPMG thesis supervisor Greetje Metsaars for all her useful comments. </w:t>
      </w:r>
    </w:p>
    <w:p w:rsidR="00595921" w:rsidRDefault="00595921" w:rsidP="00595921">
      <w:pPr>
        <w:jc w:val="both"/>
      </w:pPr>
      <w:r>
        <w:t xml:space="preserve">I am thankful </w:t>
      </w:r>
      <w:r w:rsidR="00D5548A">
        <w:t xml:space="preserve">for </w:t>
      </w:r>
      <w:r>
        <w:t>having such a supporting family</w:t>
      </w:r>
      <w:r w:rsidR="00D5548A">
        <w:t>, friends</w:t>
      </w:r>
      <w:r>
        <w:t xml:space="preserve"> and girlfriend. Besides the financial support from my parents, the moral support is highly appreciated. I would like to thank my girlfriend for her everlasting support and interest in my thesis, which helped me to finish it.</w:t>
      </w:r>
    </w:p>
    <w:p w:rsidR="00595921" w:rsidRDefault="00595921" w:rsidP="00595921">
      <w:pPr>
        <w:jc w:val="both"/>
      </w:pPr>
    </w:p>
    <w:p w:rsidR="00595921" w:rsidRDefault="00595921" w:rsidP="00595921">
      <w:pPr>
        <w:jc w:val="both"/>
      </w:pPr>
      <w:r>
        <w:t>Robbert Abraham Hooijmeijer</w:t>
      </w:r>
    </w:p>
    <w:p w:rsidR="00595921" w:rsidRPr="00F7225C" w:rsidRDefault="00D5548A" w:rsidP="00595921">
      <w:pPr>
        <w:jc w:val="both"/>
      </w:pPr>
      <w:r>
        <w:t>Rotterdam, July 31</w:t>
      </w:r>
      <w:r w:rsidR="00595921">
        <w:t>, 2011</w:t>
      </w:r>
    </w:p>
    <w:p w:rsidR="006D688B" w:rsidRDefault="006D688B">
      <w:pPr>
        <w:rPr>
          <w:szCs w:val="28"/>
        </w:rPr>
      </w:pPr>
    </w:p>
    <w:p w:rsidR="00C1136E" w:rsidRPr="00C1136E" w:rsidRDefault="00C1136E">
      <w:pPr>
        <w:rPr>
          <w:szCs w:val="28"/>
        </w:rPr>
      </w:pPr>
      <w:r>
        <w:rPr>
          <w:szCs w:val="28"/>
        </w:rPr>
        <w:br w:type="page"/>
      </w:r>
    </w:p>
    <w:p w:rsidR="00574CB0" w:rsidRPr="00F97730" w:rsidRDefault="00574CB0" w:rsidP="00ED7148">
      <w:pPr>
        <w:pStyle w:val="Kop1Thesis"/>
      </w:pPr>
      <w:bookmarkStart w:id="0" w:name="_Toc298942827"/>
      <w:bookmarkStart w:id="1" w:name="_Toc298944522"/>
      <w:r w:rsidRPr="00F97730">
        <w:lastRenderedPageBreak/>
        <w:t>A</w:t>
      </w:r>
      <w:r w:rsidR="00F97730" w:rsidRPr="00F97730">
        <w:t>bstract</w:t>
      </w:r>
      <w:bookmarkEnd w:id="0"/>
      <w:bookmarkEnd w:id="1"/>
    </w:p>
    <w:p w:rsidR="00F97730" w:rsidRPr="00280701" w:rsidRDefault="00F97730" w:rsidP="00F97730">
      <w:pPr>
        <w:jc w:val="both"/>
      </w:pPr>
      <w:r>
        <w:br/>
      </w:r>
      <w:r w:rsidRPr="00280701">
        <w:t>The introduction o</w:t>
      </w:r>
      <w:r>
        <w:t>f IFRS 2 involved accounting treatments for both stock options and shares to become less favorable in the Netherlands. A possible economic consequence of this new standard is a changing remuneration behavior. However, the research in this thesis is not fixated solely on the impact of IFRS 2, but the Dutch Corporate Governance Code and Article 383 of the Dutch Civil Code are accounted for as well. The findings in this thesis provide supporting evidence that stock option compensation has become less preferred after the adoption of IFRS 2 and the mandatory compliance with the Code in 2004, whereas the same events caused shares and cash bonuses to gain ground. This shows that institutional factors have a decisive influence on the behavior of executives and remuneration practices in companies listed at the Dutch stock exchange.</w:t>
      </w:r>
    </w:p>
    <w:p w:rsidR="00574CB0" w:rsidRDefault="00574CB0">
      <w:pPr>
        <w:rPr>
          <w:b/>
          <w:color w:val="C0504D" w:themeColor="accent2"/>
          <w:szCs w:val="28"/>
        </w:rPr>
      </w:pPr>
    </w:p>
    <w:p w:rsidR="00574CB0" w:rsidRDefault="00574CB0">
      <w:pPr>
        <w:rPr>
          <w:b/>
          <w:color w:val="C0504D" w:themeColor="accent2"/>
          <w:szCs w:val="28"/>
        </w:rPr>
      </w:pPr>
    </w:p>
    <w:p w:rsidR="00574CB0" w:rsidRDefault="00574CB0">
      <w:pPr>
        <w:rPr>
          <w:b/>
          <w:color w:val="C0504D" w:themeColor="accent2"/>
          <w:szCs w:val="28"/>
        </w:rPr>
      </w:pPr>
      <w:r>
        <w:rPr>
          <w:b/>
          <w:color w:val="C0504D" w:themeColor="accent2"/>
          <w:szCs w:val="28"/>
        </w:rPr>
        <w:br w:type="page"/>
      </w:r>
    </w:p>
    <w:p w:rsidR="00C1136E" w:rsidRPr="00ED7148" w:rsidRDefault="00C1136E" w:rsidP="00ED7148">
      <w:pPr>
        <w:pStyle w:val="Kop1Thesis"/>
      </w:pPr>
      <w:bookmarkStart w:id="2" w:name="_Toc298942828"/>
      <w:bookmarkStart w:id="3" w:name="_Toc298944523"/>
      <w:r w:rsidRPr="00ED7148">
        <w:lastRenderedPageBreak/>
        <w:t>T</w:t>
      </w:r>
      <w:r w:rsidR="00ED7148" w:rsidRPr="00ED7148">
        <w:t>able</w:t>
      </w:r>
      <w:r w:rsidRPr="00ED7148">
        <w:t xml:space="preserve"> </w:t>
      </w:r>
      <w:r w:rsidR="00ED7148" w:rsidRPr="00ED7148">
        <w:t>of</w:t>
      </w:r>
      <w:r w:rsidRPr="00ED7148">
        <w:t xml:space="preserve"> </w:t>
      </w:r>
      <w:r w:rsidR="00ED7148">
        <w:t>C</w:t>
      </w:r>
      <w:r w:rsidR="00ED7148" w:rsidRPr="00ED7148">
        <w:t>ontent</w:t>
      </w:r>
      <w:r w:rsidR="00ED7148">
        <w:t>s</w:t>
      </w:r>
      <w:bookmarkEnd w:id="2"/>
      <w:bookmarkEnd w:id="3"/>
    </w:p>
    <w:p w:rsidR="000E6017" w:rsidRPr="000E6017" w:rsidRDefault="003236CF" w:rsidP="000E6017">
      <w:pPr>
        <w:pStyle w:val="TOC1"/>
        <w:rPr>
          <w:b w:val="0"/>
          <w:bCs w:val="0"/>
          <w:caps w:val="0"/>
          <w:color w:val="auto"/>
          <w:sz w:val="22"/>
          <w:szCs w:val="22"/>
          <w:lang w:eastAsia="nl-NL" w:bidi="ar-SA"/>
        </w:rPr>
      </w:pPr>
      <w:r w:rsidRPr="003236CF">
        <w:fldChar w:fldCharType="begin"/>
      </w:r>
      <w:r w:rsidR="00ED7148">
        <w:instrText xml:space="preserve"> TOC \o "1-3" \u </w:instrText>
      </w:r>
      <w:r w:rsidRPr="003236CF">
        <w:fldChar w:fldCharType="separate"/>
      </w:r>
    </w:p>
    <w:p w:rsidR="000E6017" w:rsidRPr="000E6017" w:rsidRDefault="000E6017">
      <w:pPr>
        <w:pStyle w:val="TOC1"/>
        <w:rPr>
          <w:b w:val="0"/>
          <w:bCs w:val="0"/>
          <w:caps w:val="0"/>
          <w:color w:val="auto"/>
          <w:sz w:val="22"/>
          <w:szCs w:val="22"/>
          <w:lang w:eastAsia="nl-NL" w:bidi="ar-SA"/>
        </w:rPr>
      </w:pPr>
      <w:r>
        <w:t>Chapter 1: Introduction</w:t>
      </w:r>
      <w:r>
        <w:tab/>
      </w:r>
      <w:r w:rsidR="003236CF">
        <w:fldChar w:fldCharType="begin"/>
      </w:r>
      <w:r>
        <w:instrText xml:space="preserve"> PAGEREF _Toc298944524 \h </w:instrText>
      </w:r>
      <w:r w:rsidR="003236CF">
        <w:fldChar w:fldCharType="separate"/>
      </w:r>
      <w:r w:rsidR="001D5F9A">
        <w:t>7</w:t>
      </w:r>
      <w:r w:rsidR="003236CF">
        <w:fldChar w:fldCharType="end"/>
      </w:r>
    </w:p>
    <w:p w:rsidR="000E6017" w:rsidRPr="000E6017" w:rsidRDefault="000E6017">
      <w:pPr>
        <w:pStyle w:val="TOC2"/>
        <w:tabs>
          <w:tab w:val="right" w:leader="dot" w:pos="9350"/>
        </w:tabs>
        <w:rPr>
          <w:smallCaps w:val="0"/>
          <w:noProof/>
          <w:sz w:val="22"/>
          <w:szCs w:val="22"/>
          <w:lang w:eastAsia="nl-NL" w:bidi="ar-SA"/>
        </w:rPr>
      </w:pPr>
      <w:r>
        <w:rPr>
          <w:noProof/>
        </w:rPr>
        <w:t>1.1 Research question</w:t>
      </w:r>
      <w:r>
        <w:rPr>
          <w:noProof/>
        </w:rPr>
        <w:tab/>
      </w:r>
      <w:r w:rsidR="003236CF">
        <w:rPr>
          <w:noProof/>
        </w:rPr>
        <w:fldChar w:fldCharType="begin"/>
      </w:r>
      <w:r>
        <w:rPr>
          <w:noProof/>
        </w:rPr>
        <w:instrText xml:space="preserve"> PAGEREF _Toc298944525 \h </w:instrText>
      </w:r>
      <w:r w:rsidR="003236CF">
        <w:rPr>
          <w:noProof/>
        </w:rPr>
      </w:r>
      <w:r w:rsidR="003236CF">
        <w:rPr>
          <w:noProof/>
        </w:rPr>
        <w:fldChar w:fldCharType="separate"/>
      </w:r>
      <w:r w:rsidR="001D5F9A">
        <w:rPr>
          <w:noProof/>
        </w:rPr>
        <w:t>9</w:t>
      </w:r>
      <w:r w:rsidR="003236CF">
        <w:rPr>
          <w:noProof/>
        </w:rPr>
        <w:fldChar w:fldCharType="end"/>
      </w:r>
    </w:p>
    <w:p w:rsidR="000E6017" w:rsidRPr="000E6017" w:rsidRDefault="000E6017">
      <w:pPr>
        <w:pStyle w:val="TOC2"/>
        <w:tabs>
          <w:tab w:val="right" w:leader="dot" w:pos="9350"/>
        </w:tabs>
        <w:rPr>
          <w:smallCaps w:val="0"/>
          <w:noProof/>
          <w:sz w:val="22"/>
          <w:szCs w:val="22"/>
          <w:lang w:eastAsia="nl-NL" w:bidi="ar-SA"/>
        </w:rPr>
      </w:pPr>
      <w:r>
        <w:rPr>
          <w:noProof/>
        </w:rPr>
        <w:t>1.2 Research method</w:t>
      </w:r>
      <w:r>
        <w:rPr>
          <w:noProof/>
        </w:rPr>
        <w:tab/>
      </w:r>
      <w:r w:rsidR="003236CF">
        <w:rPr>
          <w:noProof/>
        </w:rPr>
        <w:fldChar w:fldCharType="begin"/>
      </w:r>
      <w:r>
        <w:rPr>
          <w:noProof/>
        </w:rPr>
        <w:instrText xml:space="preserve"> PAGEREF _Toc298944526 \h </w:instrText>
      </w:r>
      <w:r w:rsidR="003236CF">
        <w:rPr>
          <w:noProof/>
        </w:rPr>
      </w:r>
      <w:r w:rsidR="003236CF">
        <w:rPr>
          <w:noProof/>
        </w:rPr>
        <w:fldChar w:fldCharType="separate"/>
      </w:r>
      <w:r w:rsidR="001D5F9A">
        <w:rPr>
          <w:noProof/>
        </w:rPr>
        <w:t>10</w:t>
      </w:r>
      <w:r w:rsidR="003236CF">
        <w:rPr>
          <w:noProof/>
        </w:rPr>
        <w:fldChar w:fldCharType="end"/>
      </w:r>
    </w:p>
    <w:p w:rsidR="000E6017" w:rsidRPr="000E6017" w:rsidRDefault="000E6017">
      <w:pPr>
        <w:pStyle w:val="TOC2"/>
        <w:tabs>
          <w:tab w:val="right" w:leader="dot" w:pos="9350"/>
        </w:tabs>
        <w:rPr>
          <w:smallCaps w:val="0"/>
          <w:noProof/>
          <w:sz w:val="22"/>
          <w:szCs w:val="22"/>
          <w:lang w:eastAsia="nl-NL" w:bidi="ar-SA"/>
        </w:rPr>
      </w:pPr>
      <w:r>
        <w:rPr>
          <w:noProof/>
        </w:rPr>
        <w:t>1.3 Relevance</w:t>
      </w:r>
      <w:r>
        <w:rPr>
          <w:noProof/>
        </w:rPr>
        <w:tab/>
      </w:r>
      <w:r w:rsidR="003236CF">
        <w:rPr>
          <w:noProof/>
        </w:rPr>
        <w:fldChar w:fldCharType="begin"/>
      </w:r>
      <w:r>
        <w:rPr>
          <w:noProof/>
        </w:rPr>
        <w:instrText xml:space="preserve"> PAGEREF _Toc298944527 \h </w:instrText>
      </w:r>
      <w:r w:rsidR="003236CF">
        <w:rPr>
          <w:noProof/>
        </w:rPr>
      </w:r>
      <w:r w:rsidR="003236CF">
        <w:rPr>
          <w:noProof/>
        </w:rPr>
        <w:fldChar w:fldCharType="separate"/>
      </w:r>
      <w:r w:rsidR="001D5F9A">
        <w:rPr>
          <w:noProof/>
        </w:rPr>
        <w:t>11</w:t>
      </w:r>
      <w:r w:rsidR="003236CF">
        <w:rPr>
          <w:noProof/>
        </w:rPr>
        <w:fldChar w:fldCharType="end"/>
      </w:r>
    </w:p>
    <w:p w:rsidR="000E6017" w:rsidRPr="000E6017" w:rsidRDefault="000E6017">
      <w:pPr>
        <w:pStyle w:val="TOC2"/>
        <w:tabs>
          <w:tab w:val="right" w:leader="dot" w:pos="9350"/>
        </w:tabs>
        <w:rPr>
          <w:smallCaps w:val="0"/>
          <w:noProof/>
          <w:sz w:val="22"/>
          <w:szCs w:val="22"/>
          <w:lang w:eastAsia="nl-NL" w:bidi="ar-SA"/>
        </w:rPr>
      </w:pPr>
      <w:r>
        <w:rPr>
          <w:noProof/>
        </w:rPr>
        <w:t>1.4 Stucture</w:t>
      </w:r>
      <w:r>
        <w:rPr>
          <w:noProof/>
        </w:rPr>
        <w:tab/>
      </w:r>
      <w:r w:rsidR="003236CF">
        <w:rPr>
          <w:noProof/>
        </w:rPr>
        <w:fldChar w:fldCharType="begin"/>
      </w:r>
      <w:r>
        <w:rPr>
          <w:noProof/>
        </w:rPr>
        <w:instrText xml:space="preserve"> PAGEREF _Toc298944528 \h </w:instrText>
      </w:r>
      <w:r w:rsidR="003236CF">
        <w:rPr>
          <w:noProof/>
        </w:rPr>
      </w:r>
      <w:r w:rsidR="003236CF">
        <w:rPr>
          <w:noProof/>
        </w:rPr>
        <w:fldChar w:fldCharType="separate"/>
      </w:r>
      <w:r w:rsidR="001D5F9A">
        <w:rPr>
          <w:noProof/>
        </w:rPr>
        <w:t>11</w:t>
      </w:r>
      <w:r w:rsidR="003236CF">
        <w:rPr>
          <w:noProof/>
        </w:rPr>
        <w:fldChar w:fldCharType="end"/>
      </w:r>
    </w:p>
    <w:p w:rsidR="000E6017" w:rsidRPr="000E6017" w:rsidRDefault="000E6017">
      <w:pPr>
        <w:pStyle w:val="TOC1"/>
        <w:rPr>
          <w:b w:val="0"/>
          <w:bCs w:val="0"/>
          <w:caps w:val="0"/>
          <w:color w:val="auto"/>
          <w:sz w:val="22"/>
          <w:szCs w:val="22"/>
          <w:lang w:eastAsia="nl-NL" w:bidi="ar-SA"/>
        </w:rPr>
      </w:pPr>
      <w:r>
        <w:t>Chapter 2: Compensation Forms</w:t>
      </w:r>
      <w:r>
        <w:tab/>
      </w:r>
      <w:r w:rsidR="003236CF">
        <w:fldChar w:fldCharType="begin"/>
      </w:r>
      <w:r>
        <w:instrText xml:space="preserve"> PAGEREF _Toc298944529 \h </w:instrText>
      </w:r>
      <w:r w:rsidR="003236CF">
        <w:fldChar w:fldCharType="separate"/>
      </w:r>
      <w:r w:rsidR="001D5F9A">
        <w:t>12</w:t>
      </w:r>
      <w:r w:rsidR="003236CF">
        <w:fldChar w:fldCharType="end"/>
      </w:r>
    </w:p>
    <w:p w:rsidR="000E6017" w:rsidRPr="000E6017" w:rsidRDefault="000E6017">
      <w:pPr>
        <w:pStyle w:val="TOC2"/>
        <w:tabs>
          <w:tab w:val="right" w:leader="dot" w:pos="9350"/>
        </w:tabs>
        <w:rPr>
          <w:smallCaps w:val="0"/>
          <w:noProof/>
          <w:sz w:val="22"/>
          <w:szCs w:val="22"/>
          <w:lang w:eastAsia="nl-NL" w:bidi="ar-SA"/>
        </w:rPr>
      </w:pPr>
      <w:r>
        <w:rPr>
          <w:noProof/>
        </w:rPr>
        <w:t>2.1 Fixed salary</w:t>
      </w:r>
      <w:r>
        <w:rPr>
          <w:noProof/>
        </w:rPr>
        <w:tab/>
      </w:r>
      <w:r w:rsidR="003236CF">
        <w:rPr>
          <w:noProof/>
        </w:rPr>
        <w:fldChar w:fldCharType="begin"/>
      </w:r>
      <w:r>
        <w:rPr>
          <w:noProof/>
        </w:rPr>
        <w:instrText xml:space="preserve"> PAGEREF _Toc298944530 \h </w:instrText>
      </w:r>
      <w:r w:rsidR="003236CF">
        <w:rPr>
          <w:noProof/>
        </w:rPr>
      </w:r>
      <w:r w:rsidR="003236CF">
        <w:rPr>
          <w:noProof/>
        </w:rPr>
        <w:fldChar w:fldCharType="separate"/>
      </w:r>
      <w:r w:rsidR="001D5F9A">
        <w:rPr>
          <w:noProof/>
        </w:rPr>
        <w:t>12</w:t>
      </w:r>
      <w:r w:rsidR="003236CF">
        <w:rPr>
          <w:noProof/>
        </w:rPr>
        <w:fldChar w:fldCharType="end"/>
      </w:r>
    </w:p>
    <w:p w:rsidR="000E6017" w:rsidRPr="000E6017" w:rsidRDefault="000E6017">
      <w:pPr>
        <w:pStyle w:val="TOC2"/>
        <w:tabs>
          <w:tab w:val="right" w:leader="dot" w:pos="9350"/>
        </w:tabs>
        <w:rPr>
          <w:smallCaps w:val="0"/>
          <w:noProof/>
          <w:sz w:val="22"/>
          <w:szCs w:val="22"/>
          <w:lang w:eastAsia="nl-NL" w:bidi="ar-SA"/>
        </w:rPr>
      </w:pPr>
      <w:r>
        <w:rPr>
          <w:noProof/>
        </w:rPr>
        <w:t>2.2 Bonus payments</w:t>
      </w:r>
      <w:r>
        <w:rPr>
          <w:noProof/>
        </w:rPr>
        <w:tab/>
      </w:r>
      <w:r w:rsidR="003236CF">
        <w:rPr>
          <w:noProof/>
        </w:rPr>
        <w:fldChar w:fldCharType="begin"/>
      </w:r>
      <w:r>
        <w:rPr>
          <w:noProof/>
        </w:rPr>
        <w:instrText xml:space="preserve"> PAGEREF _Toc298944531 \h </w:instrText>
      </w:r>
      <w:r w:rsidR="003236CF">
        <w:rPr>
          <w:noProof/>
        </w:rPr>
      </w:r>
      <w:r w:rsidR="003236CF">
        <w:rPr>
          <w:noProof/>
        </w:rPr>
        <w:fldChar w:fldCharType="separate"/>
      </w:r>
      <w:r w:rsidR="001D5F9A">
        <w:rPr>
          <w:noProof/>
        </w:rPr>
        <w:t>12</w:t>
      </w:r>
      <w:r w:rsidR="003236CF">
        <w:rPr>
          <w:noProof/>
        </w:rPr>
        <w:fldChar w:fldCharType="end"/>
      </w:r>
    </w:p>
    <w:p w:rsidR="000E6017" w:rsidRPr="000E6017" w:rsidRDefault="000E6017">
      <w:pPr>
        <w:pStyle w:val="TOC2"/>
        <w:tabs>
          <w:tab w:val="right" w:leader="dot" w:pos="9350"/>
        </w:tabs>
        <w:rPr>
          <w:smallCaps w:val="0"/>
          <w:noProof/>
          <w:sz w:val="22"/>
          <w:szCs w:val="22"/>
          <w:lang w:eastAsia="nl-NL" w:bidi="ar-SA"/>
        </w:rPr>
      </w:pPr>
      <w:r>
        <w:rPr>
          <w:noProof/>
        </w:rPr>
        <w:t>2.3 Share-based payment</w:t>
      </w:r>
      <w:r>
        <w:rPr>
          <w:noProof/>
        </w:rPr>
        <w:tab/>
      </w:r>
      <w:r w:rsidR="003236CF">
        <w:rPr>
          <w:noProof/>
        </w:rPr>
        <w:fldChar w:fldCharType="begin"/>
      </w:r>
      <w:r>
        <w:rPr>
          <w:noProof/>
        </w:rPr>
        <w:instrText xml:space="preserve"> PAGEREF _Toc298944532 \h </w:instrText>
      </w:r>
      <w:r w:rsidR="003236CF">
        <w:rPr>
          <w:noProof/>
        </w:rPr>
      </w:r>
      <w:r w:rsidR="003236CF">
        <w:rPr>
          <w:noProof/>
        </w:rPr>
        <w:fldChar w:fldCharType="separate"/>
      </w:r>
      <w:r w:rsidR="001D5F9A">
        <w:rPr>
          <w:noProof/>
        </w:rPr>
        <w:t>12</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2.3.1 Equity-settled share-based payment</w:t>
      </w:r>
      <w:r>
        <w:rPr>
          <w:noProof/>
        </w:rPr>
        <w:tab/>
      </w:r>
      <w:r w:rsidR="003236CF">
        <w:rPr>
          <w:noProof/>
        </w:rPr>
        <w:fldChar w:fldCharType="begin"/>
      </w:r>
      <w:r>
        <w:rPr>
          <w:noProof/>
        </w:rPr>
        <w:instrText xml:space="preserve"> PAGEREF _Toc298944533 \h </w:instrText>
      </w:r>
      <w:r w:rsidR="003236CF">
        <w:rPr>
          <w:noProof/>
        </w:rPr>
      </w:r>
      <w:r w:rsidR="003236CF">
        <w:rPr>
          <w:noProof/>
        </w:rPr>
        <w:fldChar w:fldCharType="separate"/>
      </w:r>
      <w:r w:rsidR="001D5F9A">
        <w:rPr>
          <w:noProof/>
        </w:rPr>
        <w:t>13</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2.3.2 Cash-settled share-based payment</w:t>
      </w:r>
      <w:r>
        <w:rPr>
          <w:noProof/>
        </w:rPr>
        <w:tab/>
      </w:r>
      <w:r w:rsidR="003236CF">
        <w:rPr>
          <w:noProof/>
        </w:rPr>
        <w:fldChar w:fldCharType="begin"/>
      </w:r>
      <w:r>
        <w:rPr>
          <w:noProof/>
        </w:rPr>
        <w:instrText xml:space="preserve"> PAGEREF _Toc298944534 \h </w:instrText>
      </w:r>
      <w:r w:rsidR="003236CF">
        <w:rPr>
          <w:noProof/>
        </w:rPr>
      </w:r>
      <w:r w:rsidR="003236CF">
        <w:rPr>
          <w:noProof/>
        </w:rPr>
        <w:fldChar w:fldCharType="separate"/>
      </w:r>
      <w:r w:rsidR="001D5F9A">
        <w:rPr>
          <w:noProof/>
        </w:rPr>
        <w:t>13</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2.3.3 Choice between cash-settled and equity-settled</w:t>
      </w:r>
      <w:r>
        <w:rPr>
          <w:noProof/>
        </w:rPr>
        <w:tab/>
      </w:r>
      <w:r w:rsidR="003236CF">
        <w:rPr>
          <w:noProof/>
        </w:rPr>
        <w:fldChar w:fldCharType="begin"/>
      </w:r>
      <w:r>
        <w:rPr>
          <w:noProof/>
        </w:rPr>
        <w:instrText xml:space="preserve"> PAGEREF _Toc298944535 \h </w:instrText>
      </w:r>
      <w:r w:rsidR="003236CF">
        <w:rPr>
          <w:noProof/>
        </w:rPr>
      </w:r>
      <w:r w:rsidR="003236CF">
        <w:rPr>
          <w:noProof/>
        </w:rPr>
        <w:fldChar w:fldCharType="separate"/>
      </w:r>
      <w:r w:rsidR="001D5F9A">
        <w:rPr>
          <w:noProof/>
        </w:rPr>
        <w:t>14</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2.3.4 Share-based payment in the Netherlands</w:t>
      </w:r>
      <w:r>
        <w:rPr>
          <w:noProof/>
        </w:rPr>
        <w:tab/>
      </w:r>
      <w:r w:rsidR="003236CF">
        <w:rPr>
          <w:noProof/>
        </w:rPr>
        <w:fldChar w:fldCharType="begin"/>
      </w:r>
      <w:r>
        <w:rPr>
          <w:noProof/>
        </w:rPr>
        <w:instrText xml:space="preserve"> PAGEREF _Toc298944536 \h </w:instrText>
      </w:r>
      <w:r w:rsidR="003236CF">
        <w:rPr>
          <w:noProof/>
        </w:rPr>
      </w:r>
      <w:r w:rsidR="003236CF">
        <w:rPr>
          <w:noProof/>
        </w:rPr>
        <w:fldChar w:fldCharType="separate"/>
      </w:r>
      <w:r w:rsidR="001D5F9A">
        <w:rPr>
          <w:noProof/>
        </w:rPr>
        <w:t>14</w:t>
      </w:r>
      <w:r w:rsidR="003236CF">
        <w:rPr>
          <w:noProof/>
        </w:rPr>
        <w:fldChar w:fldCharType="end"/>
      </w:r>
    </w:p>
    <w:p w:rsidR="000E6017" w:rsidRPr="000E6017" w:rsidRDefault="000E6017">
      <w:pPr>
        <w:pStyle w:val="TOC2"/>
        <w:tabs>
          <w:tab w:val="right" w:leader="dot" w:pos="9350"/>
        </w:tabs>
        <w:rPr>
          <w:smallCaps w:val="0"/>
          <w:noProof/>
          <w:sz w:val="22"/>
          <w:szCs w:val="22"/>
          <w:lang w:eastAsia="nl-NL" w:bidi="ar-SA"/>
        </w:rPr>
      </w:pPr>
      <w:r>
        <w:rPr>
          <w:noProof/>
        </w:rPr>
        <w:t>2.4 Explaining share-based payment</w:t>
      </w:r>
      <w:r>
        <w:rPr>
          <w:noProof/>
        </w:rPr>
        <w:tab/>
      </w:r>
      <w:r w:rsidR="003236CF">
        <w:rPr>
          <w:noProof/>
        </w:rPr>
        <w:fldChar w:fldCharType="begin"/>
      </w:r>
      <w:r>
        <w:rPr>
          <w:noProof/>
        </w:rPr>
        <w:instrText xml:space="preserve"> PAGEREF _Toc298944537 \h </w:instrText>
      </w:r>
      <w:r w:rsidR="003236CF">
        <w:rPr>
          <w:noProof/>
        </w:rPr>
      </w:r>
      <w:r w:rsidR="003236CF">
        <w:rPr>
          <w:noProof/>
        </w:rPr>
        <w:fldChar w:fldCharType="separate"/>
      </w:r>
      <w:r w:rsidR="001D5F9A">
        <w:rPr>
          <w:noProof/>
        </w:rPr>
        <w:t>14</w:t>
      </w:r>
      <w:r w:rsidR="003236CF">
        <w:rPr>
          <w:noProof/>
        </w:rPr>
        <w:fldChar w:fldCharType="end"/>
      </w:r>
    </w:p>
    <w:p w:rsidR="000E6017" w:rsidRPr="000E6017" w:rsidRDefault="000E6017">
      <w:pPr>
        <w:pStyle w:val="TOC2"/>
        <w:tabs>
          <w:tab w:val="right" w:leader="dot" w:pos="9350"/>
        </w:tabs>
        <w:rPr>
          <w:smallCaps w:val="0"/>
          <w:noProof/>
          <w:sz w:val="22"/>
          <w:szCs w:val="22"/>
          <w:lang w:eastAsia="nl-NL" w:bidi="ar-SA"/>
        </w:rPr>
      </w:pPr>
      <w:r>
        <w:rPr>
          <w:noProof/>
        </w:rPr>
        <w:t>2.5 Conclusion</w:t>
      </w:r>
      <w:r>
        <w:rPr>
          <w:noProof/>
        </w:rPr>
        <w:tab/>
      </w:r>
      <w:r w:rsidR="003236CF">
        <w:rPr>
          <w:noProof/>
        </w:rPr>
        <w:fldChar w:fldCharType="begin"/>
      </w:r>
      <w:r>
        <w:rPr>
          <w:noProof/>
        </w:rPr>
        <w:instrText xml:space="preserve"> PAGEREF _Toc298944538 \h </w:instrText>
      </w:r>
      <w:r w:rsidR="003236CF">
        <w:rPr>
          <w:noProof/>
        </w:rPr>
      </w:r>
      <w:r w:rsidR="003236CF">
        <w:rPr>
          <w:noProof/>
        </w:rPr>
        <w:fldChar w:fldCharType="separate"/>
      </w:r>
      <w:r w:rsidR="001D5F9A">
        <w:rPr>
          <w:noProof/>
        </w:rPr>
        <w:t>15</w:t>
      </w:r>
      <w:r w:rsidR="003236CF">
        <w:rPr>
          <w:noProof/>
        </w:rPr>
        <w:fldChar w:fldCharType="end"/>
      </w:r>
    </w:p>
    <w:p w:rsidR="000E6017" w:rsidRPr="000E6017" w:rsidRDefault="000E6017">
      <w:pPr>
        <w:pStyle w:val="TOC1"/>
        <w:rPr>
          <w:b w:val="0"/>
          <w:bCs w:val="0"/>
          <w:caps w:val="0"/>
          <w:color w:val="auto"/>
          <w:sz w:val="22"/>
          <w:szCs w:val="22"/>
          <w:lang w:eastAsia="nl-NL" w:bidi="ar-SA"/>
        </w:rPr>
      </w:pPr>
      <w:r>
        <w:t>Chapter 3: Institutional Setting</w:t>
      </w:r>
      <w:r>
        <w:tab/>
      </w:r>
      <w:r w:rsidR="003236CF">
        <w:fldChar w:fldCharType="begin"/>
      </w:r>
      <w:r>
        <w:instrText xml:space="preserve"> PAGEREF _Toc298944539 \h </w:instrText>
      </w:r>
      <w:r w:rsidR="003236CF">
        <w:fldChar w:fldCharType="separate"/>
      </w:r>
      <w:r w:rsidR="001D5F9A">
        <w:t>17</w:t>
      </w:r>
      <w:r w:rsidR="003236CF">
        <w:fldChar w:fldCharType="end"/>
      </w:r>
    </w:p>
    <w:p w:rsidR="000E6017" w:rsidRPr="000E6017" w:rsidRDefault="000E6017">
      <w:pPr>
        <w:pStyle w:val="TOC2"/>
        <w:tabs>
          <w:tab w:val="right" w:leader="dot" w:pos="9350"/>
        </w:tabs>
        <w:rPr>
          <w:smallCaps w:val="0"/>
          <w:noProof/>
          <w:sz w:val="22"/>
          <w:szCs w:val="22"/>
          <w:lang w:eastAsia="nl-NL" w:bidi="ar-SA"/>
        </w:rPr>
      </w:pPr>
      <w:r>
        <w:rPr>
          <w:noProof/>
        </w:rPr>
        <w:t>3.1 DASB guidelines before 2005</w:t>
      </w:r>
      <w:r>
        <w:rPr>
          <w:noProof/>
        </w:rPr>
        <w:tab/>
      </w:r>
      <w:r w:rsidR="003236CF">
        <w:rPr>
          <w:noProof/>
        </w:rPr>
        <w:fldChar w:fldCharType="begin"/>
      </w:r>
      <w:r>
        <w:rPr>
          <w:noProof/>
        </w:rPr>
        <w:instrText xml:space="preserve"> PAGEREF _Toc298944540 \h </w:instrText>
      </w:r>
      <w:r w:rsidR="003236CF">
        <w:rPr>
          <w:noProof/>
        </w:rPr>
      </w:r>
      <w:r w:rsidR="003236CF">
        <w:rPr>
          <w:noProof/>
        </w:rPr>
        <w:fldChar w:fldCharType="separate"/>
      </w:r>
      <w:r w:rsidR="001D5F9A">
        <w:rPr>
          <w:noProof/>
        </w:rPr>
        <w:t>17</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3.1.1 Equity-settled share-based payment</w:t>
      </w:r>
      <w:r>
        <w:rPr>
          <w:noProof/>
        </w:rPr>
        <w:tab/>
      </w:r>
      <w:r w:rsidR="003236CF">
        <w:rPr>
          <w:noProof/>
        </w:rPr>
        <w:fldChar w:fldCharType="begin"/>
      </w:r>
      <w:r>
        <w:rPr>
          <w:noProof/>
        </w:rPr>
        <w:instrText xml:space="preserve"> PAGEREF _Toc298944541 \h </w:instrText>
      </w:r>
      <w:r w:rsidR="003236CF">
        <w:rPr>
          <w:noProof/>
        </w:rPr>
      </w:r>
      <w:r w:rsidR="003236CF">
        <w:rPr>
          <w:noProof/>
        </w:rPr>
        <w:fldChar w:fldCharType="separate"/>
      </w:r>
      <w:r w:rsidR="001D5F9A">
        <w:rPr>
          <w:noProof/>
        </w:rPr>
        <w:t>17</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3.1.2 Cash-settled share-based payments</w:t>
      </w:r>
      <w:r>
        <w:rPr>
          <w:noProof/>
        </w:rPr>
        <w:tab/>
      </w:r>
      <w:r w:rsidR="003236CF">
        <w:rPr>
          <w:noProof/>
        </w:rPr>
        <w:fldChar w:fldCharType="begin"/>
      </w:r>
      <w:r>
        <w:rPr>
          <w:noProof/>
        </w:rPr>
        <w:instrText xml:space="preserve"> PAGEREF _Toc298944542 \h </w:instrText>
      </w:r>
      <w:r w:rsidR="003236CF">
        <w:rPr>
          <w:noProof/>
        </w:rPr>
      </w:r>
      <w:r w:rsidR="003236CF">
        <w:rPr>
          <w:noProof/>
        </w:rPr>
        <w:fldChar w:fldCharType="separate"/>
      </w:r>
      <w:r w:rsidR="001D5F9A">
        <w:rPr>
          <w:noProof/>
        </w:rPr>
        <w:t>19</w:t>
      </w:r>
      <w:r w:rsidR="003236CF">
        <w:rPr>
          <w:noProof/>
        </w:rPr>
        <w:fldChar w:fldCharType="end"/>
      </w:r>
    </w:p>
    <w:p w:rsidR="000E6017" w:rsidRPr="000E6017" w:rsidRDefault="000E6017">
      <w:pPr>
        <w:pStyle w:val="TOC2"/>
        <w:tabs>
          <w:tab w:val="right" w:leader="dot" w:pos="9350"/>
        </w:tabs>
        <w:rPr>
          <w:smallCaps w:val="0"/>
          <w:noProof/>
          <w:sz w:val="22"/>
          <w:szCs w:val="22"/>
          <w:lang w:eastAsia="nl-NL" w:bidi="ar-SA"/>
        </w:rPr>
      </w:pPr>
      <w:r>
        <w:rPr>
          <w:noProof/>
        </w:rPr>
        <w:t>3.2 IFRS 2 guidelines</w:t>
      </w:r>
      <w:r>
        <w:rPr>
          <w:noProof/>
        </w:rPr>
        <w:tab/>
      </w:r>
      <w:r w:rsidR="003236CF">
        <w:rPr>
          <w:noProof/>
        </w:rPr>
        <w:fldChar w:fldCharType="begin"/>
      </w:r>
      <w:r>
        <w:rPr>
          <w:noProof/>
        </w:rPr>
        <w:instrText xml:space="preserve"> PAGEREF _Toc298944543 \h </w:instrText>
      </w:r>
      <w:r w:rsidR="003236CF">
        <w:rPr>
          <w:noProof/>
        </w:rPr>
      </w:r>
      <w:r w:rsidR="003236CF">
        <w:rPr>
          <w:noProof/>
        </w:rPr>
        <w:fldChar w:fldCharType="separate"/>
      </w:r>
      <w:r w:rsidR="001D5F9A">
        <w:rPr>
          <w:noProof/>
        </w:rPr>
        <w:t>19</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3.2.1 Equity-settled share-based payment</w:t>
      </w:r>
      <w:r>
        <w:rPr>
          <w:noProof/>
        </w:rPr>
        <w:tab/>
      </w:r>
      <w:r w:rsidR="003236CF">
        <w:rPr>
          <w:noProof/>
        </w:rPr>
        <w:fldChar w:fldCharType="begin"/>
      </w:r>
      <w:r>
        <w:rPr>
          <w:noProof/>
        </w:rPr>
        <w:instrText xml:space="preserve"> PAGEREF _Toc298944544 \h </w:instrText>
      </w:r>
      <w:r w:rsidR="003236CF">
        <w:rPr>
          <w:noProof/>
        </w:rPr>
      </w:r>
      <w:r w:rsidR="003236CF">
        <w:rPr>
          <w:noProof/>
        </w:rPr>
        <w:fldChar w:fldCharType="separate"/>
      </w:r>
      <w:r w:rsidR="001D5F9A">
        <w:rPr>
          <w:noProof/>
        </w:rPr>
        <w:t>20</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3.2.2 Cash-settled share-based payment</w:t>
      </w:r>
      <w:r>
        <w:rPr>
          <w:noProof/>
        </w:rPr>
        <w:tab/>
      </w:r>
      <w:r w:rsidR="003236CF">
        <w:rPr>
          <w:noProof/>
        </w:rPr>
        <w:fldChar w:fldCharType="begin"/>
      </w:r>
      <w:r>
        <w:rPr>
          <w:noProof/>
        </w:rPr>
        <w:instrText xml:space="preserve"> PAGEREF _Toc298944545 \h </w:instrText>
      </w:r>
      <w:r w:rsidR="003236CF">
        <w:rPr>
          <w:noProof/>
        </w:rPr>
      </w:r>
      <w:r w:rsidR="003236CF">
        <w:rPr>
          <w:noProof/>
        </w:rPr>
        <w:fldChar w:fldCharType="separate"/>
      </w:r>
      <w:r w:rsidR="001D5F9A">
        <w:rPr>
          <w:noProof/>
        </w:rPr>
        <w:t>22</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3.2.3 Choice between cash-settled or equity-settled</w:t>
      </w:r>
      <w:r>
        <w:rPr>
          <w:noProof/>
        </w:rPr>
        <w:tab/>
      </w:r>
      <w:r w:rsidR="003236CF">
        <w:rPr>
          <w:noProof/>
        </w:rPr>
        <w:fldChar w:fldCharType="begin"/>
      </w:r>
      <w:r>
        <w:rPr>
          <w:noProof/>
        </w:rPr>
        <w:instrText xml:space="preserve"> PAGEREF _Toc298944546 \h </w:instrText>
      </w:r>
      <w:r w:rsidR="003236CF">
        <w:rPr>
          <w:noProof/>
        </w:rPr>
      </w:r>
      <w:r w:rsidR="003236CF">
        <w:rPr>
          <w:noProof/>
        </w:rPr>
        <w:fldChar w:fldCharType="separate"/>
      </w:r>
      <w:r w:rsidR="001D5F9A">
        <w:rPr>
          <w:noProof/>
        </w:rPr>
        <w:t>23</w:t>
      </w:r>
      <w:r w:rsidR="003236CF">
        <w:rPr>
          <w:noProof/>
        </w:rPr>
        <w:fldChar w:fldCharType="end"/>
      </w:r>
    </w:p>
    <w:p w:rsidR="000E6017" w:rsidRPr="000E6017" w:rsidRDefault="000E6017">
      <w:pPr>
        <w:pStyle w:val="TOC2"/>
        <w:tabs>
          <w:tab w:val="right" w:leader="dot" w:pos="9350"/>
        </w:tabs>
        <w:rPr>
          <w:smallCaps w:val="0"/>
          <w:noProof/>
          <w:sz w:val="22"/>
          <w:szCs w:val="22"/>
          <w:lang w:eastAsia="nl-NL" w:bidi="ar-SA"/>
        </w:rPr>
      </w:pPr>
      <w:r>
        <w:rPr>
          <w:noProof/>
        </w:rPr>
        <w:t>3.3 Comparison</w:t>
      </w:r>
      <w:r>
        <w:rPr>
          <w:noProof/>
        </w:rPr>
        <w:tab/>
      </w:r>
      <w:r w:rsidR="003236CF">
        <w:rPr>
          <w:noProof/>
        </w:rPr>
        <w:fldChar w:fldCharType="begin"/>
      </w:r>
      <w:r>
        <w:rPr>
          <w:noProof/>
        </w:rPr>
        <w:instrText xml:space="preserve"> PAGEREF _Toc298944547 \h </w:instrText>
      </w:r>
      <w:r w:rsidR="003236CF">
        <w:rPr>
          <w:noProof/>
        </w:rPr>
      </w:r>
      <w:r w:rsidR="003236CF">
        <w:rPr>
          <w:noProof/>
        </w:rPr>
        <w:fldChar w:fldCharType="separate"/>
      </w:r>
      <w:r w:rsidR="001D5F9A">
        <w:rPr>
          <w:noProof/>
        </w:rPr>
        <w:t>23</w:t>
      </w:r>
      <w:r w:rsidR="003236CF">
        <w:rPr>
          <w:noProof/>
        </w:rPr>
        <w:fldChar w:fldCharType="end"/>
      </w:r>
    </w:p>
    <w:p w:rsidR="000E6017" w:rsidRPr="000E6017" w:rsidRDefault="000E6017">
      <w:pPr>
        <w:pStyle w:val="TOC2"/>
        <w:tabs>
          <w:tab w:val="right" w:leader="dot" w:pos="9350"/>
        </w:tabs>
        <w:rPr>
          <w:smallCaps w:val="0"/>
          <w:noProof/>
          <w:sz w:val="22"/>
          <w:szCs w:val="22"/>
          <w:lang w:eastAsia="nl-NL" w:bidi="ar-SA"/>
        </w:rPr>
      </w:pPr>
      <w:r>
        <w:rPr>
          <w:noProof/>
        </w:rPr>
        <w:t>3.4 Dutch Corporate Governance Code</w:t>
      </w:r>
      <w:r>
        <w:rPr>
          <w:noProof/>
        </w:rPr>
        <w:tab/>
      </w:r>
      <w:r w:rsidR="003236CF">
        <w:rPr>
          <w:noProof/>
        </w:rPr>
        <w:fldChar w:fldCharType="begin"/>
      </w:r>
      <w:r>
        <w:rPr>
          <w:noProof/>
        </w:rPr>
        <w:instrText xml:space="preserve"> PAGEREF _Toc298944548 \h </w:instrText>
      </w:r>
      <w:r w:rsidR="003236CF">
        <w:rPr>
          <w:noProof/>
        </w:rPr>
      </w:r>
      <w:r w:rsidR="003236CF">
        <w:rPr>
          <w:noProof/>
        </w:rPr>
        <w:fldChar w:fldCharType="separate"/>
      </w:r>
      <w:r w:rsidR="001D5F9A">
        <w:rPr>
          <w:noProof/>
        </w:rPr>
        <w:t>24</w:t>
      </w:r>
      <w:r w:rsidR="003236CF">
        <w:rPr>
          <w:noProof/>
        </w:rPr>
        <w:fldChar w:fldCharType="end"/>
      </w:r>
    </w:p>
    <w:p w:rsidR="000E6017" w:rsidRPr="000E6017" w:rsidRDefault="000E6017">
      <w:pPr>
        <w:pStyle w:val="TOC2"/>
        <w:tabs>
          <w:tab w:val="right" w:leader="dot" w:pos="9350"/>
        </w:tabs>
        <w:rPr>
          <w:smallCaps w:val="0"/>
          <w:noProof/>
          <w:sz w:val="22"/>
          <w:szCs w:val="22"/>
          <w:lang w:eastAsia="nl-NL" w:bidi="ar-SA"/>
        </w:rPr>
      </w:pPr>
      <w:r>
        <w:rPr>
          <w:noProof/>
        </w:rPr>
        <w:t>3.5 Article 383 in Book 2, Title 9 of the Dutch Civil Code</w:t>
      </w:r>
      <w:r>
        <w:rPr>
          <w:noProof/>
        </w:rPr>
        <w:tab/>
      </w:r>
      <w:r w:rsidR="003236CF">
        <w:rPr>
          <w:noProof/>
        </w:rPr>
        <w:fldChar w:fldCharType="begin"/>
      </w:r>
      <w:r>
        <w:rPr>
          <w:noProof/>
        </w:rPr>
        <w:instrText xml:space="preserve"> PAGEREF _Toc298944549 \h </w:instrText>
      </w:r>
      <w:r w:rsidR="003236CF">
        <w:rPr>
          <w:noProof/>
        </w:rPr>
      </w:r>
      <w:r w:rsidR="003236CF">
        <w:rPr>
          <w:noProof/>
        </w:rPr>
        <w:fldChar w:fldCharType="separate"/>
      </w:r>
      <w:r w:rsidR="001D5F9A">
        <w:rPr>
          <w:noProof/>
        </w:rPr>
        <w:t>25</w:t>
      </w:r>
      <w:r w:rsidR="003236CF">
        <w:rPr>
          <w:noProof/>
        </w:rPr>
        <w:fldChar w:fldCharType="end"/>
      </w:r>
    </w:p>
    <w:p w:rsidR="000E6017" w:rsidRPr="000E6017" w:rsidRDefault="000E6017">
      <w:pPr>
        <w:pStyle w:val="TOC2"/>
        <w:tabs>
          <w:tab w:val="right" w:leader="dot" w:pos="9350"/>
        </w:tabs>
        <w:rPr>
          <w:smallCaps w:val="0"/>
          <w:noProof/>
          <w:sz w:val="22"/>
          <w:szCs w:val="22"/>
          <w:lang w:eastAsia="nl-NL" w:bidi="ar-SA"/>
        </w:rPr>
      </w:pPr>
      <w:r>
        <w:rPr>
          <w:noProof/>
        </w:rPr>
        <w:t>3.6 Situation in the U.S.</w:t>
      </w:r>
      <w:r>
        <w:rPr>
          <w:noProof/>
        </w:rPr>
        <w:tab/>
      </w:r>
      <w:r w:rsidR="003236CF">
        <w:rPr>
          <w:noProof/>
        </w:rPr>
        <w:fldChar w:fldCharType="begin"/>
      </w:r>
      <w:r>
        <w:rPr>
          <w:noProof/>
        </w:rPr>
        <w:instrText xml:space="preserve"> PAGEREF _Toc298944550 \h </w:instrText>
      </w:r>
      <w:r w:rsidR="003236CF">
        <w:rPr>
          <w:noProof/>
        </w:rPr>
      </w:r>
      <w:r w:rsidR="003236CF">
        <w:rPr>
          <w:noProof/>
        </w:rPr>
        <w:fldChar w:fldCharType="separate"/>
      </w:r>
      <w:r w:rsidR="001D5F9A">
        <w:rPr>
          <w:noProof/>
        </w:rPr>
        <w:t>25</w:t>
      </w:r>
      <w:r w:rsidR="003236CF">
        <w:rPr>
          <w:noProof/>
        </w:rPr>
        <w:fldChar w:fldCharType="end"/>
      </w:r>
    </w:p>
    <w:p w:rsidR="000E6017" w:rsidRPr="000E6017" w:rsidRDefault="000E6017">
      <w:pPr>
        <w:pStyle w:val="TOC2"/>
        <w:tabs>
          <w:tab w:val="right" w:leader="dot" w:pos="9350"/>
        </w:tabs>
        <w:rPr>
          <w:smallCaps w:val="0"/>
          <w:noProof/>
          <w:sz w:val="22"/>
          <w:szCs w:val="22"/>
          <w:lang w:eastAsia="nl-NL" w:bidi="ar-SA"/>
        </w:rPr>
      </w:pPr>
      <w:r>
        <w:rPr>
          <w:noProof/>
        </w:rPr>
        <w:t>3.7 Conclusion</w:t>
      </w:r>
      <w:r>
        <w:rPr>
          <w:noProof/>
        </w:rPr>
        <w:tab/>
      </w:r>
      <w:r w:rsidR="003236CF">
        <w:rPr>
          <w:noProof/>
        </w:rPr>
        <w:fldChar w:fldCharType="begin"/>
      </w:r>
      <w:r>
        <w:rPr>
          <w:noProof/>
        </w:rPr>
        <w:instrText xml:space="preserve"> PAGEREF _Toc298944551 \h </w:instrText>
      </w:r>
      <w:r w:rsidR="003236CF">
        <w:rPr>
          <w:noProof/>
        </w:rPr>
      </w:r>
      <w:r w:rsidR="003236CF">
        <w:rPr>
          <w:noProof/>
        </w:rPr>
        <w:fldChar w:fldCharType="separate"/>
      </w:r>
      <w:r w:rsidR="001D5F9A">
        <w:rPr>
          <w:noProof/>
        </w:rPr>
        <w:t>27</w:t>
      </w:r>
      <w:r w:rsidR="003236CF">
        <w:rPr>
          <w:noProof/>
        </w:rPr>
        <w:fldChar w:fldCharType="end"/>
      </w:r>
    </w:p>
    <w:p w:rsidR="000E6017" w:rsidRPr="000E6017" w:rsidRDefault="000E6017">
      <w:pPr>
        <w:pStyle w:val="TOC1"/>
        <w:rPr>
          <w:b w:val="0"/>
          <w:bCs w:val="0"/>
          <w:caps w:val="0"/>
          <w:color w:val="auto"/>
          <w:sz w:val="22"/>
          <w:szCs w:val="22"/>
          <w:lang w:eastAsia="nl-NL" w:bidi="ar-SA"/>
        </w:rPr>
      </w:pPr>
      <w:r>
        <w:t>Chapter 4: Review of Empirical Literature</w:t>
      </w:r>
      <w:r>
        <w:tab/>
      </w:r>
      <w:r w:rsidR="003236CF">
        <w:fldChar w:fldCharType="begin"/>
      </w:r>
      <w:r>
        <w:instrText xml:space="preserve"> PAGEREF _Toc298944552 \h </w:instrText>
      </w:r>
      <w:r w:rsidR="003236CF">
        <w:fldChar w:fldCharType="separate"/>
      </w:r>
      <w:r w:rsidR="001D5F9A">
        <w:t>28</w:t>
      </w:r>
      <w:r w:rsidR="003236CF">
        <w:fldChar w:fldCharType="end"/>
      </w:r>
    </w:p>
    <w:p w:rsidR="000E6017" w:rsidRPr="000E6017" w:rsidRDefault="000E6017">
      <w:pPr>
        <w:pStyle w:val="TOC2"/>
        <w:tabs>
          <w:tab w:val="right" w:leader="dot" w:pos="9350"/>
        </w:tabs>
        <w:rPr>
          <w:smallCaps w:val="0"/>
          <w:noProof/>
          <w:sz w:val="22"/>
          <w:szCs w:val="22"/>
          <w:lang w:eastAsia="nl-NL" w:bidi="ar-SA"/>
        </w:rPr>
      </w:pPr>
      <w:r>
        <w:rPr>
          <w:noProof/>
        </w:rPr>
        <w:t>4.1 Impacting accounting numbers</w:t>
      </w:r>
      <w:r>
        <w:rPr>
          <w:noProof/>
        </w:rPr>
        <w:tab/>
      </w:r>
      <w:r w:rsidR="003236CF">
        <w:rPr>
          <w:noProof/>
        </w:rPr>
        <w:fldChar w:fldCharType="begin"/>
      </w:r>
      <w:r>
        <w:rPr>
          <w:noProof/>
        </w:rPr>
        <w:instrText xml:space="preserve"> PAGEREF _Toc298944553 \h </w:instrText>
      </w:r>
      <w:r w:rsidR="003236CF">
        <w:rPr>
          <w:noProof/>
        </w:rPr>
      </w:r>
      <w:r w:rsidR="003236CF">
        <w:rPr>
          <w:noProof/>
        </w:rPr>
        <w:fldChar w:fldCharType="separate"/>
      </w:r>
      <w:r w:rsidR="001D5F9A">
        <w:rPr>
          <w:noProof/>
        </w:rPr>
        <w:t>28</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4.1.1 Financial position and performance</w:t>
      </w:r>
      <w:r>
        <w:rPr>
          <w:noProof/>
        </w:rPr>
        <w:tab/>
      </w:r>
      <w:r w:rsidR="003236CF">
        <w:rPr>
          <w:noProof/>
        </w:rPr>
        <w:fldChar w:fldCharType="begin"/>
      </w:r>
      <w:r>
        <w:rPr>
          <w:noProof/>
        </w:rPr>
        <w:instrText xml:space="preserve"> PAGEREF _Toc298944554 \h </w:instrText>
      </w:r>
      <w:r w:rsidR="003236CF">
        <w:rPr>
          <w:noProof/>
        </w:rPr>
      </w:r>
      <w:r w:rsidR="003236CF">
        <w:rPr>
          <w:noProof/>
        </w:rPr>
        <w:fldChar w:fldCharType="separate"/>
      </w:r>
      <w:r w:rsidR="001D5F9A">
        <w:rPr>
          <w:noProof/>
        </w:rPr>
        <w:t>28</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4.1.2 Stock price reaction and value relevance</w:t>
      </w:r>
      <w:r>
        <w:rPr>
          <w:noProof/>
        </w:rPr>
        <w:tab/>
      </w:r>
      <w:r w:rsidR="003236CF">
        <w:rPr>
          <w:noProof/>
        </w:rPr>
        <w:fldChar w:fldCharType="begin"/>
      </w:r>
      <w:r>
        <w:rPr>
          <w:noProof/>
        </w:rPr>
        <w:instrText xml:space="preserve"> PAGEREF _Toc298944555 \h </w:instrText>
      </w:r>
      <w:r w:rsidR="003236CF">
        <w:rPr>
          <w:noProof/>
        </w:rPr>
      </w:r>
      <w:r w:rsidR="003236CF">
        <w:rPr>
          <w:noProof/>
        </w:rPr>
        <w:fldChar w:fldCharType="separate"/>
      </w:r>
      <w:r w:rsidR="001D5F9A">
        <w:rPr>
          <w:noProof/>
        </w:rPr>
        <w:t>29</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4.1.3 Conclusion</w:t>
      </w:r>
      <w:r>
        <w:rPr>
          <w:noProof/>
        </w:rPr>
        <w:tab/>
      </w:r>
      <w:r w:rsidR="003236CF">
        <w:rPr>
          <w:noProof/>
        </w:rPr>
        <w:fldChar w:fldCharType="begin"/>
      </w:r>
      <w:r>
        <w:rPr>
          <w:noProof/>
        </w:rPr>
        <w:instrText xml:space="preserve"> PAGEREF _Toc298944556 \h </w:instrText>
      </w:r>
      <w:r w:rsidR="003236CF">
        <w:rPr>
          <w:noProof/>
        </w:rPr>
      </w:r>
      <w:r w:rsidR="003236CF">
        <w:rPr>
          <w:noProof/>
        </w:rPr>
        <w:fldChar w:fldCharType="separate"/>
      </w:r>
      <w:r w:rsidR="001D5F9A">
        <w:rPr>
          <w:noProof/>
        </w:rPr>
        <w:t>30</w:t>
      </w:r>
      <w:r w:rsidR="003236CF">
        <w:rPr>
          <w:noProof/>
        </w:rPr>
        <w:fldChar w:fldCharType="end"/>
      </w:r>
    </w:p>
    <w:p w:rsidR="000E6017" w:rsidRPr="000E6017" w:rsidRDefault="000E6017">
      <w:pPr>
        <w:pStyle w:val="TOC2"/>
        <w:tabs>
          <w:tab w:val="right" w:leader="dot" w:pos="9350"/>
        </w:tabs>
        <w:rPr>
          <w:smallCaps w:val="0"/>
          <w:noProof/>
          <w:sz w:val="22"/>
          <w:szCs w:val="22"/>
          <w:lang w:eastAsia="nl-NL" w:bidi="ar-SA"/>
        </w:rPr>
      </w:pPr>
      <w:r>
        <w:rPr>
          <w:noProof/>
        </w:rPr>
        <w:t>4.2 US-based studies</w:t>
      </w:r>
      <w:r>
        <w:rPr>
          <w:noProof/>
        </w:rPr>
        <w:tab/>
      </w:r>
      <w:r w:rsidR="003236CF">
        <w:rPr>
          <w:noProof/>
        </w:rPr>
        <w:fldChar w:fldCharType="begin"/>
      </w:r>
      <w:r>
        <w:rPr>
          <w:noProof/>
        </w:rPr>
        <w:instrText xml:space="preserve"> PAGEREF _Toc298944557 \h </w:instrText>
      </w:r>
      <w:r w:rsidR="003236CF">
        <w:rPr>
          <w:noProof/>
        </w:rPr>
      </w:r>
      <w:r w:rsidR="003236CF">
        <w:rPr>
          <w:noProof/>
        </w:rPr>
        <w:fldChar w:fldCharType="separate"/>
      </w:r>
      <w:r w:rsidR="001D5F9A">
        <w:rPr>
          <w:noProof/>
        </w:rPr>
        <w:t>30</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4.2.1 Feng and Tian (2007)</w:t>
      </w:r>
      <w:r>
        <w:rPr>
          <w:noProof/>
        </w:rPr>
        <w:tab/>
      </w:r>
      <w:r w:rsidR="003236CF">
        <w:rPr>
          <w:noProof/>
        </w:rPr>
        <w:fldChar w:fldCharType="begin"/>
      </w:r>
      <w:r>
        <w:rPr>
          <w:noProof/>
        </w:rPr>
        <w:instrText xml:space="preserve"> PAGEREF _Toc298944558 \h </w:instrText>
      </w:r>
      <w:r w:rsidR="003236CF">
        <w:rPr>
          <w:noProof/>
        </w:rPr>
      </w:r>
      <w:r w:rsidR="003236CF">
        <w:rPr>
          <w:noProof/>
        </w:rPr>
        <w:fldChar w:fldCharType="separate"/>
      </w:r>
      <w:r w:rsidR="001D5F9A">
        <w:rPr>
          <w:noProof/>
        </w:rPr>
        <w:t>31</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4.2.2 Brown and Lee (2007)</w:t>
      </w:r>
      <w:r>
        <w:rPr>
          <w:noProof/>
        </w:rPr>
        <w:tab/>
      </w:r>
      <w:r w:rsidR="003236CF">
        <w:rPr>
          <w:noProof/>
        </w:rPr>
        <w:fldChar w:fldCharType="begin"/>
      </w:r>
      <w:r>
        <w:rPr>
          <w:noProof/>
        </w:rPr>
        <w:instrText xml:space="preserve"> PAGEREF _Toc298944559 \h </w:instrText>
      </w:r>
      <w:r w:rsidR="003236CF">
        <w:rPr>
          <w:noProof/>
        </w:rPr>
      </w:r>
      <w:r w:rsidR="003236CF">
        <w:rPr>
          <w:noProof/>
        </w:rPr>
        <w:fldChar w:fldCharType="separate"/>
      </w:r>
      <w:r w:rsidR="001D5F9A">
        <w:rPr>
          <w:noProof/>
        </w:rPr>
        <w:t>32</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sidRPr="000E6017">
        <w:rPr>
          <w:noProof/>
        </w:rPr>
        <w:t>4.2.3 Carter et al. (2007)</w:t>
      </w:r>
      <w:r>
        <w:rPr>
          <w:noProof/>
        </w:rPr>
        <w:tab/>
      </w:r>
      <w:r w:rsidR="003236CF">
        <w:rPr>
          <w:noProof/>
        </w:rPr>
        <w:fldChar w:fldCharType="begin"/>
      </w:r>
      <w:r>
        <w:rPr>
          <w:noProof/>
        </w:rPr>
        <w:instrText xml:space="preserve"> PAGEREF _Toc298944560 \h </w:instrText>
      </w:r>
      <w:r w:rsidR="003236CF">
        <w:rPr>
          <w:noProof/>
        </w:rPr>
      </w:r>
      <w:r w:rsidR="003236CF">
        <w:rPr>
          <w:noProof/>
        </w:rPr>
        <w:fldChar w:fldCharType="separate"/>
      </w:r>
      <w:r w:rsidR="001D5F9A">
        <w:rPr>
          <w:noProof/>
        </w:rPr>
        <w:t>34</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4.2.4 Choudhary (2008)</w:t>
      </w:r>
      <w:r>
        <w:rPr>
          <w:noProof/>
        </w:rPr>
        <w:tab/>
      </w:r>
      <w:r w:rsidR="003236CF">
        <w:rPr>
          <w:noProof/>
        </w:rPr>
        <w:fldChar w:fldCharType="begin"/>
      </w:r>
      <w:r>
        <w:rPr>
          <w:noProof/>
        </w:rPr>
        <w:instrText xml:space="preserve"> PAGEREF _Toc298944561 \h </w:instrText>
      </w:r>
      <w:r w:rsidR="003236CF">
        <w:rPr>
          <w:noProof/>
        </w:rPr>
      </w:r>
      <w:r w:rsidR="003236CF">
        <w:rPr>
          <w:noProof/>
        </w:rPr>
        <w:fldChar w:fldCharType="separate"/>
      </w:r>
      <w:r w:rsidR="001D5F9A">
        <w:rPr>
          <w:noProof/>
        </w:rPr>
        <w:t>36</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4.2.5 Conclusion</w:t>
      </w:r>
      <w:r>
        <w:rPr>
          <w:noProof/>
        </w:rPr>
        <w:tab/>
      </w:r>
      <w:r w:rsidR="003236CF">
        <w:rPr>
          <w:noProof/>
        </w:rPr>
        <w:fldChar w:fldCharType="begin"/>
      </w:r>
      <w:r>
        <w:rPr>
          <w:noProof/>
        </w:rPr>
        <w:instrText xml:space="preserve"> PAGEREF _Toc298944562 \h </w:instrText>
      </w:r>
      <w:r w:rsidR="003236CF">
        <w:rPr>
          <w:noProof/>
        </w:rPr>
      </w:r>
      <w:r w:rsidR="003236CF">
        <w:rPr>
          <w:noProof/>
        </w:rPr>
        <w:fldChar w:fldCharType="separate"/>
      </w:r>
      <w:r w:rsidR="001D5F9A">
        <w:rPr>
          <w:noProof/>
        </w:rPr>
        <w:t>37</w:t>
      </w:r>
      <w:r w:rsidR="003236CF">
        <w:rPr>
          <w:noProof/>
        </w:rPr>
        <w:fldChar w:fldCharType="end"/>
      </w:r>
    </w:p>
    <w:p w:rsidR="000E6017" w:rsidRPr="000E6017" w:rsidRDefault="000E6017">
      <w:pPr>
        <w:pStyle w:val="TOC2"/>
        <w:tabs>
          <w:tab w:val="right" w:leader="dot" w:pos="9350"/>
        </w:tabs>
        <w:rPr>
          <w:smallCaps w:val="0"/>
          <w:noProof/>
          <w:sz w:val="22"/>
          <w:szCs w:val="22"/>
          <w:lang w:eastAsia="nl-NL" w:bidi="ar-SA"/>
        </w:rPr>
      </w:pPr>
      <w:r>
        <w:rPr>
          <w:noProof/>
        </w:rPr>
        <w:t>4.3 Netherlands-based studies</w:t>
      </w:r>
      <w:r>
        <w:rPr>
          <w:noProof/>
        </w:rPr>
        <w:tab/>
      </w:r>
      <w:r w:rsidR="003236CF">
        <w:rPr>
          <w:noProof/>
        </w:rPr>
        <w:fldChar w:fldCharType="begin"/>
      </w:r>
      <w:r>
        <w:rPr>
          <w:noProof/>
        </w:rPr>
        <w:instrText xml:space="preserve"> PAGEREF _Toc298944563 \h </w:instrText>
      </w:r>
      <w:r w:rsidR="003236CF">
        <w:rPr>
          <w:noProof/>
        </w:rPr>
      </w:r>
      <w:r w:rsidR="003236CF">
        <w:rPr>
          <w:noProof/>
        </w:rPr>
        <w:fldChar w:fldCharType="separate"/>
      </w:r>
      <w:r w:rsidR="001D5F9A">
        <w:rPr>
          <w:noProof/>
        </w:rPr>
        <w:t>38</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lastRenderedPageBreak/>
        <w:t>4.3.1 Swagerman and Terpstra (2009)</w:t>
      </w:r>
      <w:r>
        <w:rPr>
          <w:noProof/>
        </w:rPr>
        <w:tab/>
      </w:r>
      <w:r w:rsidR="003236CF">
        <w:rPr>
          <w:noProof/>
        </w:rPr>
        <w:fldChar w:fldCharType="begin"/>
      </w:r>
      <w:r>
        <w:rPr>
          <w:noProof/>
        </w:rPr>
        <w:instrText xml:space="preserve"> PAGEREF _Toc298944564 \h </w:instrText>
      </w:r>
      <w:r w:rsidR="003236CF">
        <w:rPr>
          <w:noProof/>
        </w:rPr>
      </w:r>
      <w:r w:rsidR="003236CF">
        <w:rPr>
          <w:noProof/>
        </w:rPr>
        <w:fldChar w:fldCharType="separate"/>
      </w:r>
      <w:r w:rsidR="001D5F9A">
        <w:rPr>
          <w:noProof/>
        </w:rPr>
        <w:t>38</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4.3.2 Thesis Kraakman (2010)</w:t>
      </w:r>
      <w:r>
        <w:rPr>
          <w:noProof/>
        </w:rPr>
        <w:tab/>
      </w:r>
      <w:r w:rsidR="003236CF">
        <w:rPr>
          <w:noProof/>
        </w:rPr>
        <w:fldChar w:fldCharType="begin"/>
      </w:r>
      <w:r>
        <w:rPr>
          <w:noProof/>
        </w:rPr>
        <w:instrText xml:space="preserve"> PAGEREF _Toc298944565 \h </w:instrText>
      </w:r>
      <w:r w:rsidR="003236CF">
        <w:rPr>
          <w:noProof/>
        </w:rPr>
      </w:r>
      <w:r w:rsidR="003236CF">
        <w:rPr>
          <w:noProof/>
        </w:rPr>
        <w:fldChar w:fldCharType="separate"/>
      </w:r>
      <w:r w:rsidR="001D5F9A">
        <w:rPr>
          <w:noProof/>
        </w:rPr>
        <w:t>40</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4.3.3 Conclusion</w:t>
      </w:r>
      <w:r>
        <w:rPr>
          <w:noProof/>
        </w:rPr>
        <w:tab/>
      </w:r>
      <w:r w:rsidR="003236CF">
        <w:rPr>
          <w:noProof/>
        </w:rPr>
        <w:fldChar w:fldCharType="begin"/>
      </w:r>
      <w:r>
        <w:rPr>
          <w:noProof/>
        </w:rPr>
        <w:instrText xml:space="preserve"> PAGEREF _Toc298944566 \h </w:instrText>
      </w:r>
      <w:r w:rsidR="003236CF">
        <w:rPr>
          <w:noProof/>
        </w:rPr>
      </w:r>
      <w:r w:rsidR="003236CF">
        <w:rPr>
          <w:noProof/>
        </w:rPr>
        <w:fldChar w:fldCharType="separate"/>
      </w:r>
      <w:r w:rsidR="001D5F9A">
        <w:rPr>
          <w:noProof/>
        </w:rPr>
        <w:t>41</w:t>
      </w:r>
      <w:r w:rsidR="003236CF">
        <w:rPr>
          <w:noProof/>
        </w:rPr>
        <w:fldChar w:fldCharType="end"/>
      </w:r>
    </w:p>
    <w:p w:rsidR="000E6017" w:rsidRPr="000E6017" w:rsidRDefault="000E6017">
      <w:pPr>
        <w:pStyle w:val="TOC2"/>
        <w:tabs>
          <w:tab w:val="right" w:leader="dot" w:pos="9350"/>
        </w:tabs>
        <w:rPr>
          <w:smallCaps w:val="0"/>
          <w:noProof/>
          <w:sz w:val="22"/>
          <w:szCs w:val="22"/>
          <w:lang w:eastAsia="nl-NL" w:bidi="ar-SA"/>
        </w:rPr>
      </w:pPr>
      <w:r>
        <w:rPr>
          <w:noProof/>
        </w:rPr>
        <w:t>4.4 Determinants for remuneration</w:t>
      </w:r>
      <w:r>
        <w:rPr>
          <w:noProof/>
        </w:rPr>
        <w:tab/>
      </w:r>
      <w:r w:rsidR="003236CF">
        <w:rPr>
          <w:noProof/>
        </w:rPr>
        <w:fldChar w:fldCharType="begin"/>
      </w:r>
      <w:r>
        <w:rPr>
          <w:noProof/>
        </w:rPr>
        <w:instrText xml:space="preserve"> PAGEREF _Toc298944567 \h </w:instrText>
      </w:r>
      <w:r w:rsidR="003236CF">
        <w:rPr>
          <w:noProof/>
        </w:rPr>
      </w:r>
      <w:r w:rsidR="003236CF">
        <w:rPr>
          <w:noProof/>
        </w:rPr>
        <w:fldChar w:fldCharType="separate"/>
      </w:r>
      <w:r w:rsidR="001D5F9A">
        <w:rPr>
          <w:noProof/>
        </w:rPr>
        <w:t>41</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4.4.1 Size</w:t>
      </w:r>
      <w:r>
        <w:rPr>
          <w:noProof/>
        </w:rPr>
        <w:tab/>
      </w:r>
      <w:r w:rsidR="003236CF">
        <w:rPr>
          <w:noProof/>
        </w:rPr>
        <w:fldChar w:fldCharType="begin"/>
      </w:r>
      <w:r>
        <w:rPr>
          <w:noProof/>
        </w:rPr>
        <w:instrText xml:space="preserve"> PAGEREF _Toc298944568 \h </w:instrText>
      </w:r>
      <w:r w:rsidR="003236CF">
        <w:rPr>
          <w:noProof/>
        </w:rPr>
      </w:r>
      <w:r w:rsidR="003236CF">
        <w:rPr>
          <w:noProof/>
        </w:rPr>
        <w:fldChar w:fldCharType="separate"/>
      </w:r>
      <w:r w:rsidR="001D5F9A">
        <w:rPr>
          <w:noProof/>
        </w:rPr>
        <w:t>42</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4.4.2 Performance</w:t>
      </w:r>
      <w:r>
        <w:rPr>
          <w:noProof/>
        </w:rPr>
        <w:tab/>
      </w:r>
      <w:r w:rsidR="003236CF">
        <w:rPr>
          <w:noProof/>
        </w:rPr>
        <w:fldChar w:fldCharType="begin"/>
      </w:r>
      <w:r>
        <w:rPr>
          <w:noProof/>
        </w:rPr>
        <w:instrText xml:space="preserve"> PAGEREF _Toc298944569 \h </w:instrText>
      </w:r>
      <w:r w:rsidR="003236CF">
        <w:rPr>
          <w:noProof/>
        </w:rPr>
      </w:r>
      <w:r w:rsidR="003236CF">
        <w:rPr>
          <w:noProof/>
        </w:rPr>
        <w:fldChar w:fldCharType="separate"/>
      </w:r>
      <w:r w:rsidR="001D5F9A">
        <w:rPr>
          <w:noProof/>
        </w:rPr>
        <w:t>42</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4.4.3 Risk</w:t>
      </w:r>
      <w:r>
        <w:rPr>
          <w:noProof/>
        </w:rPr>
        <w:tab/>
      </w:r>
      <w:r w:rsidR="003236CF">
        <w:rPr>
          <w:noProof/>
        </w:rPr>
        <w:fldChar w:fldCharType="begin"/>
      </w:r>
      <w:r>
        <w:rPr>
          <w:noProof/>
        </w:rPr>
        <w:instrText xml:space="preserve"> PAGEREF _Toc298944570 \h </w:instrText>
      </w:r>
      <w:r w:rsidR="003236CF">
        <w:rPr>
          <w:noProof/>
        </w:rPr>
      </w:r>
      <w:r w:rsidR="003236CF">
        <w:rPr>
          <w:noProof/>
        </w:rPr>
        <w:fldChar w:fldCharType="separate"/>
      </w:r>
      <w:r w:rsidR="001D5F9A">
        <w:rPr>
          <w:noProof/>
        </w:rPr>
        <w:t>42</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4.4.4 Growth opportunities</w:t>
      </w:r>
      <w:r>
        <w:rPr>
          <w:noProof/>
        </w:rPr>
        <w:tab/>
      </w:r>
      <w:r w:rsidR="003236CF">
        <w:rPr>
          <w:noProof/>
        </w:rPr>
        <w:fldChar w:fldCharType="begin"/>
      </w:r>
      <w:r>
        <w:rPr>
          <w:noProof/>
        </w:rPr>
        <w:instrText xml:space="preserve"> PAGEREF _Toc298944571 \h </w:instrText>
      </w:r>
      <w:r w:rsidR="003236CF">
        <w:rPr>
          <w:noProof/>
        </w:rPr>
      </w:r>
      <w:r w:rsidR="003236CF">
        <w:rPr>
          <w:noProof/>
        </w:rPr>
        <w:fldChar w:fldCharType="separate"/>
      </w:r>
      <w:r w:rsidR="001D5F9A">
        <w:rPr>
          <w:noProof/>
        </w:rPr>
        <w:t>43</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4.4.5 Corporate Governance</w:t>
      </w:r>
      <w:r>
        <w:rPr>
          <w:noProof/>
        </w:rPr>
        <w:tab/>
      </w:r>
      <w:r w:rsidR="003236CF">
        <w:rPr>
          <w:noProof/>
        </w:rPr>
        <w:fldChar w:fldCharType="begin"/>
      </w:r>
      <w:r>
        <w:rPr>
          <w:noProof/>
        </w:rPr>
        <w:instrText xml:space="preserve"> PAGEREF _Toc298944572 \h </w:instrText>
      </w:r>
      <w:r w:rsidR="003236CF">
        <w:rPr>
          <w:noProof/>
        </w:rPr>
      </w:r>
      <w:r w:rsidR="003236CF">
        <w:rPr>
          <w:noProof/>
        </w:rPr>
        <w:fldChar w:fldCharType="separate"/>
      </w:r>
      <w:r w:rsidR="001D5F9A">
        <w:rPr>
          <w:noProof/>
        </w:rPr>
        <w:t>43</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4.4.6 Financial constraints</w:t>
      </w:r>
      <w:r>
        <w:rPr>
          <w:noProof/>
        </w:rPr>
        <w:tab/>
      </w:r>
      <w:r w:rsidR="003236CF">
        <w:rPr>
          <w:noProof/>
        </w:rPr>
        <w:fldChar w:fldCharType="begin"/>
      </w:r>
      <w:r>
        <w:rPr>
          <w:noProof/>
        </w:rPr>
        <w:instrText xml:space="preserve"> PAGEREF _Toc298944573 \h </w:instrText>
      </w:r>
      <w:r w:rsidR="003236CF">
        <w:rPr>
          <w:noProof/>
        </w:rPr>
      </w:r>
      <w:r w:rsidR="003236CF">
        <w:rPr>
          <w:noProof/>
        </w:rPr>
        <w:fldChar w:fldCharType="separate"/>
      </w:r>
      <w:r w:rsidR="001D5F9A">
        <w:rPr>
          <w:noProof/>
        </w:rPr>
        <w:t>43</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4.4.7 Industries</w:t>
      </w:r>
      <w:r>
        <w:rPr>
          <w:noProof/>
        </w:rPr>
        <w:tab/>
      </w:r>
      <w:r w:rsidR="003236CF">
        <w:rPr>
          <w:noProof/>
        </w:rPr>
        <w:fldChar w:fldCharType="begin"/>
      </w:r>
      <w:r>
        <w:rPr>
          <w:noProof/>
        </w:rPr>
        <w:instrText xml:space="preserve"> PAGEREF _Toc298944574 \h </w:instrText>
      </w:r>
      <w:r w:rsidR="003236CF">
        <w:rPr>
          <w:noProof/>
        </w:rPr>
      </w:r>
      <w:r w:rsidR="003236CF">
        <w:rPr>
          <w:noProof/>
        </w:rPr>
        <w:fldChar w:fldCharType="separate"/>
      </w:r>
      <w:r w:rsidR="001D5F9A">
        <w:rPr>
          <w:noProof/>
        </w:rPr>
        <w:t>44</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4.4.8 Ownership</w:t>
      </w:r>
      <w:r>
        <w:rPr>
          <w:noProof/>
        </w:rPr>
        <w:tab/>
      </w:r>
      <w:r w:rsidR="003236CF">
        <w:rPr>
          <w:noProof/>
        </w:rPr>
        <w:fldChar w:fldCharType="begin"/>
      </w:r>
      <w:r>
        <w:rPr>
          <w:noProof/>
        </w:rPr>
        <w:instrText xml:space="preserve"> PAGEREF _Toc298944575 \h </w:instrText>
      </w:r>
      <w:r w:rsidR="003236CF">
        <w:rPr>
          <w:noProof/>
        </w:rPr>
      </w:r>
      <w:r w:rsidR="003236CF">
        <w:rPr>
          <w:noProof/>
        </w:rPr>
        <w:fldChar w:fldCharType="separate"/>
      </w:r>
      <w:r w:rsidR="001D5F9A">
        <w:rPr>
          <w:noProof/>
        </w:rPr>
        <w:t>44</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4.4.9 Insignificant variables</w:t>
      </w:r>
      <w:r>
        <w:rPr>
          <w:noProof/>
        </w:rPr>
        <w:tab/>
      </w:r>
      <w:r w:rsidR="003236CF">
        <w:rPr>
          <w:noProof/>
        </w:rPr>
        <w:fldChar w:fldCharType="begin"/>
      </w:r>
      <w:r>
        <w:rPr>
          <w:noProof/>
        </w:rPr>
        <w:instrText xml:space="preserve"> PAGEREF _Toc298944576 \h </w:instrText>
      </w:r>
      <w:r w:rsidR="003236CF">
        <w:rPr>
          <w:noProof/>
        </w:rPr>
      </w:r>
      <w:r w:rsidR="003236CF">
        <w:rPr>
          <w:noProof/>
        </w:rPr>
        <w:fldChar w:fldCharType="separate"/>
      </w:r>
      <w:r w:rsidR="001D5F9A">
        <w:rPr>
          <w:noProof/>
        </w:rPr>
        <w:t>44</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4.4.10 Conclusion</w:t>
      </w:r>
      <w:r>
        <w:rPr>
          <w:noProof/>
        </w:rPr>
        <w:tab/>
      </w:r>
      <w:r w:rsidR="003236CF">
        <w:rPr>
          <w:noProof/>
        </w:rPr>
        <w:fldChar w:fldCharType="begin"/>
      </w:r>
      <w:r>
        <w:rPr>
          <w:noProof/>
        </w:rPr>
        <w:instrText xml:space="preserve"> PAGEREF _Toc298944577 \h </w:instrText>
      </w:r>
      <w:r w:rsidR="003236CF">
        <w:rPr>
          <w:noProof/>
        </w:rPr>
      </w:r>
      <w:r w:rsidR="003236CF">
        <w:rPr>
          <w:noProof/>
        </w:rPr>
        <w:fldChar w:fldCharType="separate"/>
      </w:r>
      <w:r w:rsidR="001D5F9A">
        <w:rPr>
          <w:noProof/>
        </w:rPr>
        <w:t>45</w:t>
      </w:r>
      <w:r w:rsidR="003236CF">
        <w:rPr>
          <w:noProof/>
        </w:rPr>
        <w:fldChar w:fldCharType="end"/>
      </w:r>
    </w:p>
    <w:p w:rsidR="000E6017" w:rsidRPr="000E6017" w:rsidRDefault="000E6017">
      <w:pPr>
        <w:pStyle w:val="TOC1"/>
        <w:rPr>
          <w:b w:val="0"/>
          <w:bCs w:val="0"/>
          <w:caps w:val="0"/>
          <w:color w:val="auto"/>
          <w:sz w:val="22"/>
          <w:szCs w:val="22"/>
          <w:lang w:eastAsia="nl-NL" w:bidi="ar-SA"/>
        </w:rPr>
      </w:pPr>
      <w:r>
        <w:t>Chapter 5: Research Design</w:t>
      </w:r>
      <w:r>
        <w:tab/>
      </w:r>
      <w:r w:rsidR="003236CF">
        <w:fldChar w:fldCharType="begin"/>
      </w:r>
      <w:r>
        <w:instrText xml:space="preserve"> PAGEREF _Toc298944578 \h </w:instrText>
      </w:r>
      <w:r w:rsidR="003236CF">
        <w:fldChar w:fldCharType="separate"/>
      </w:r>
      <w:r w:rsidR="001D5F9A">
        <w:t>46</w:t>
      </w:r>
      <w:r w:rsidR="003236CF">
        <w:fldChar w:fldCharType="end"/>
      </w:r>
    </w:p>
    <w:p w:rsidR="000E6017" w:rsidRPr="000E6017" w:rsidRDefault="000E6017">
      <w:pPr>
        <w:pStyle w:val="TOC2"/>
        <w:tabs>
          <w:tab w:val="right" w:leader="dot" w:pos="9350"/>
        </w:tabs>
        <w:rPr>
          <w:smallCaps w:val="0"/>
          <w:noProof/>
          <w:sz w:val="22"/>
          <w:szCs w:val="22"/>
          <w:lang w:eastAsia="nl-NL" w:bidi="ar-SA"/>
        </w:rPr>
      </w:pPr>
      <w:r>
        <w:rPr>
          <w:noProof/>
        </w:rPr>
        <w:t>5.1 Hypotheses development</w:t>
      </w:r>
      <w:r>
        <w:rPr>
          <w:noProof/>
        </w:rPr>
        <w:tab/>
      </w:r>
      <w:r w:rsidR="003236CF">
        <w:rPr>
          <w:noProof/>
        </w:rPr>
        <w:fldChar w:fldCharType="begin"/>
      </w:r>
      <w:r>
        <w:rPr>
          <w:noProof/>
        </w:rPr>
        <w:instrText xml:space="preserve"> PAGEREF _Toc298944579 \h </w:instrText>
      </w:r>
      <w:r w:rsidR="003236CF">
        <w:rPr>
          <w:noProof/>
        </w:rPr>
      </w:r>
      <w:r w:rsidR="003236CF">
        <w:rPr>
          <w:noProof/>
        </w:rPr>
        <w:fldChar w:fldCharType="separate"/>
      </w:r>
      <w:r w:rsidR="001D5F9A">
        <w:rPr>
          <w:noProof/>
        </w:rPr>
        <w:t>46</w:t>
      </w:r>
      <w:r w:rsidR="003236CF">
        <w:rPr>
          <w:noProof/>
        </w:rPr>
        <w:fldChar w:fldCharType="end"/>
      </w:r>
    </w:p>
    <w:p w:rsidR="000E6017" w:rsidRPr="000E6017" w:rsidRDefault="000E6017">
      <w:pPr>
        <w:pStyle w:val="TOC2"/>
        <w:tabs>
          <w:tab w:val="right" w:leader="dot" w:pos="9350"/>
        </w:tabs>
        <w:rPr>
          <w:smallCaps w:val="0"/>
          <w:noProof/>
          <w:sz w:val="22"/>
          <w:szCs w:val="22"/>
          <w:lang w:eastAsia="nl-NL" w:bidi="ar-SA"/>
        </w:rPr>
      </w:pPr>
      <w:r>
        <w:rPr>
          <w:noProof/>
        </w:rPr>
        <w:t>5.2 Sample</w:t>
      </w:r>
      <w:r>
        <w:rPr>
          <w:noProof/>
        </w:rPr>
        <w:tab/>
      </w:r>
      <w:r w:rsidR="003236CF">
        <w:rPr>
          <w:noProof/>
        </w:rPr>
        <w:fldChar w:fldCharType="begin"/>
      </w:r>
      <w:r>
        <w:rPr>
          <w:noProof/>
        </w:rPr>
        <w:instrText xml:space="preserve"> PAGEREF _Toc298944580 \h </w:instrText>
      </w:r>
      <w:r w:rsidR="003236CF">
        <w:rPr>
          <w:noProof/>
        </w:rPr>
      </w:r>
      <w:r w:rsidR="003236CF">
        <w:rPr>
          <w:noProof/>
        </w:rPr>
        <w:fldChar w:fldCharType="separate"/>
      </w:r>
      <w:r w:rsidR="001D5F9A">
        <w:rPr>
          <w:noProof/>
        </w:rPr>
        <w:t>48</w:t>
      </w:r>
      <w:r w:rsidR="003236CF">
        <w:rPr>
          <w:noProof/>
        </w:rPr>
        <w:fldChar w:fldCharType="end"/>
      </w:r>
    </w:p>
    <w:p w:rsidR="000E6017" w:rsidRPr="000E6017" w:rsidRDefault="000E6017">
      <w:pPr>
        <w:pStyle w:val="TOC2"/>
        <w:tabs>
          <w:tab w:val="right" w:leader="dot" w:pos="9350"/>
        </w:tabs>
        <w:rPr>
          <w:smallCaps w:val="0"/>
          <w:noProof/>
          <w:sz w:val="22"/>
          <w:szCs w:val="22"/>
          <w:lang w:eastAsia="nl-NL" w:bidi="ar-SA"/>
        </w:rPr>
      </w:pPr>
      <w:r>
        <w:rPr>
          <w:noProof/>
        </w:rPr>
        <w:t>5.3 Research model</w:t>
      </w:r>
      <w:r>
        <w:rPr>
          <w:noProof/>
        </w:rPr>
        <w:tab/>
      </w:r>
      <w:r w:rsidR="003236CF">
        <w:rPr>
          <w:noProof/>
        </w:rPr>
        <w:fldChar w:fldCharType="begin"/>
      </w:r>
      <w:r>
        <w:rPr>
          <w:noProof/>
        </w:rPr>
        <w:instrText xml:space="preserve"> PAGEREF _Toc298944581 \h </w:instrText>
      </w:r>
      <w:r w:rsidR="003236CF">
        <w:rPr>
          <w:noProof/>
        </w:rPr>
      </w:r>
      <w:r w:rsidR="003236CF">
        <w:rPr>
          <w:noProof/>
        </w:rPr>
        <w:fldChar w:fldCharType="separate"/>
      </w:r>
      <w:r w:rsidR="001D5F9A">
        <w:rPr>
          <w:noProof/>
        </w:rPr>
        <w:t>51</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5.3.1 Control variables</w:t>
      </w:r>
      <w:r>
        <w:rPr>
          <w:noProof/>
        </w:rPr>
        <w:tab/>
      </w:r>
      <w:r w:rsidR="003236CF">
        <w:rPr>
          <w:noProof/>
        </w:rPr>
        <w:fldChar w:fldCharType="begin"/>
      </w:r>
      <w:r>
        <w:rPr>
          <w:noProof/>
        </w:rPr>
        <w:instrText xml:space="preserve"> PAGEREF _Toc298944582 \h </w:instrText>
      </w:r>
      <w:r w:rsidR="003236CF">
        <w:rPr>
          <w:noProof/>
        </w:rPr>
      </w:r>
      <w:r w:rsidR="003236CF">
        <w:rPr>
          <w:noProof/>
        </w:rPr>
        <w:fldChar w:fldCharType="separate"/>
      </w:r>
      <w:r w:rsidR="001D5F9A">
        <w:rPr>
          <w:noProof/>
        </w:rPr>
        <w:t>51</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5.3.2 Model specification for hypotheses 1 and 2</w:t>
      </w:r>
      <w:r>
        <w:rPr>
          <w:noProof/>
        </w:rPr>
        <w:tab/>
      </w:r>
      <w:r w:rsidR="003236CF">
        <w:rPr>
          <w:noProof/>
        </w:rPr>
        <w:fldChar w:fldCharType="begin"/>
      </w:r>
      <w:r>
        <w:rPr>
          <w:noProof/>
        </w:rPr>
        <w:instrText xml:space="preserve"> PAGEREF _Toc298944583 \h </w:instrText>
      </w:r>
      <w:r w:rsidR="003236CF">
        <w:rPr>
          <w:noProof/>
        </w:rPr>
      </w:r>
      <w:r w:rsidR="003236CF">
        <w:rPr>
          <w:noProof/>
        </w:rPr>
        <w:fldChar w:fldCharType="separate"/>
      </w:r>
      <w:r w:rsidR="001D5F9A">
        <w:rPr>
          <w:noProof/>
        </w:rPr>
        <w:t>53</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5.3.3 Model specification for hypotheses 3 and 4</w:t>
      </w:r>
      <w:r>
        <w:rPr>
          <w:noProof/>
        </w:rPr>
        <w:tab/>
      </w:r>
      <w:r w:rsidR="003236CF">
        <w:rPr>
          <w:noProof/>
        </w:rPr>
        <w:fldChar w:fldCharType="begin"/>
      </w:r>
      <w:r>
        <w:rPr>
          <w:noProof/>
        </w:rPr>
        <w:instrText xml:space="preserve"> PAGEREF _Toc298944584 \h </w:instrText>
      </w:r>
      <w:r w:rsidR="003236CF">
        <w:rPr>
          <w:noProof/>
        </w:rPr>
      </w:r>
      <w:r w:rsidR="003236CF">
        <w:rPr>
          <w:noProof/>
        </w:rPr>
        <w:fldChar w:fldCharType="separate"/>
      </w:r>
      <w:r w:rsidR="001D5F9A">
        <w:rPr>
          <w:noProof/>
        </w:rPr>
        <w:t>55</w:t>
      </w:r>
      <w:r w:rsidR="003236CF">
        <w:rPr>
          <w:noProof/>
        </w:rPr>
        <w:fldChar w:fldCharType="end"/>
      </w:r>
    </w:p>
    <w:p w:rsidR="000E6017" w:rsidRPr="000E6017" w:rsidRDefault="000E6017">
      <w:pPr>
        <w:pStyle w:val="TOC2"/>
        <w:tabs>
          <w:tab w:val="right" w:leader="dot" w:pos="9350"/>
        </w:tabs>
        <w:rPr>
          <w:smallCaps w:val="0"/>
          <w:noProof/>
          <w:sz w:val="22"/>
          <w:szCs w:val="22"/>
          <w:lang w:eastAsia="nl-NL" w:bidi="ar-SA"/>
        </w:rPr>
      </w:pPr>
      <w:r>
        <w:rPr>
          <w:noProof/>
        </w:rPr>
        <w:t>5.4 Conclusion</w:t>
      </w:r>
      <w:r>
        <w:rPr>
          <w:noProof/>
        </w:rPr>
        <w:tab/>
      </w:r>
      <w:r w:rsidR="003236CF">
        <w:rPr>
          <w:noProof/>
        </w:rPr>
        <w:fldChar w:fldCharType="begin"/>
      </w:r>
      <w:r>
        <w:rPr>
          <w:noProof/>
        </w:rPr>
        <w:instrText xml:space="preserve"> PAGEREF _Toc298944585 \h </w:instrText>
      </w:r>
      <w:r w:rsidR="003236CF">
        <w:rPr>
          <w:noProof/>
        </w:rPr>
      </w:r>
      <w:r w:rsidR="003236CF">
        <w:rPr>
          <w:noProof/>
        </w:rPr>
        <w:fldChar w:fldCharType="separate"/>
      </w:r>
      <w:r w:rsidR="001D5F9A">
        <w:rPr>
          <w:noProof/>
        </w:rPr>
        <w:t>58</w:t>
      </w:r>
      <w:r w:rsidR="003236CF">
        <w:rPr>
          <w:noProof/>
        </w:rPr>
        <w:fldChar w:fldCharType="end"/>
      </w:r>
    </w:p>
    <w:p w:rsidR="000E6017" w:rsidRPr="000E6017" w:rsidRDefault="000E6017">
      <w:pPr>
        <w:pStyle w:val="TOC1"/>
        <w:rPr>
          <w:b w:val="0"/>
          <w:bCs w:val="0"/>
          <w:caps w:val="0"/>
          <w:color w:val="auto"/>
          <w:sz w:val="22"/>
          <w:szCs w:val="22"/>
          <w:lang w:eastAsia="nl-NL" w:bidi="ar-SA"/>
        </w:rPr>
      </w:pPr>
      <w:r>
        <w:t>Chapter 6: Results</w:t>
      </w:r>
      <w:r>
        <w:tab/>
      </w:r>
      <w:r w:rsidR="003236CF">
        <w:fldChar w:fldCharType="begin"/>
      </w:r>
      <w:r>
        <w:instrText xml:space="preserve"> PAGEREF _Toc298944586 \h </w:instrText>
      </w:r>
      <w:r w:rsidR="003236CF">
        <w:fldChar w:fldCharType="separate"/>
      </w:r>
      <w:r w:rsidR="001D5F9A">
        <w:t>60</w:t>
      </w:r>
      <w:r w:rsidR="003236CF">
        <w:fldChar w:fldCharType="end"/>
      </w:r>
    </w:p>
    <w:p w:rsidR="000E6017" w:rsidRPr="000E6017" w:rsidRDefault="000E6017">
      <w:pPr>
        <w:pStyle w:val="TOC2"/>
        <w:tabs>
          <w:tab w:val="right" w:leader="dot" w:pos="9350"/>
        </w:tabs>
        <w:rPr>
          <w:smallCaps w:val="0"/>
          <w:noProof/>
          <w:sz w:val="22"/>
          <w:szCs w:val="22"/>
          <w:lang w:eastAsia="nl-NL" w:bidi="ar-SA"/>
        </w:rPr>
      </w:pPr>
      <w:r>
        <w:rPr>
          <w:noProof/>
        </w:rPr>
        <w:t>6.1 Results on hypothesis 1</w:t>
      </w:r>
      <w:r>
        <w:rPr>
          <w:noProof/>
        </w:rPr>
        <w:tab/>
      </w:r>
      <w:r w:rsidR="003236CF">
        <w:rPr>
          <w:noProof/>
        </w:rPr>
        <w:fldChar w:fldCharType="begin"/>
      </w:r>
      <w:r>
        <w:rPr>
          <w:noProof/>
        </w:rPr>
        <w:instrText xml:space="preserve"> PAGEREF _Toc298944587 \h </w:instrText>
      </w:r>
      <w:r w:rsidR="003236CF">
        <w:rPr>
          <w:noProof/>
        </w:rPr>
      </w:r>
      <w:r w:rsidR="003236CF">
        <w:rPr>
          <w:noProof/>
        </w:rPr>
        <w:fldChar w:fldCharType="separate"/>
      </w:r>
      <w:r w:rsidR="001D5F9A">
        <w:rPr>
          <w:noProof/>
        </w:rPr>
        <w:t>60</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6.1.1 Descriptive statistics</w:t>
      </w:r>
      <w:r>
        <w:rPr>
          <w:noProof/>
        </w:rPr>
        <w:tab/>
      </w:r>
      <w:r w:rsidR="003236CF">
        <w:rPr>
          <w:noProof/>
        </w:rPr>
        <w:fldChar w:fldCharType="begin"/>
      </w:r>
      <w:r>
        <w:rPr>
          <w:noProof/>
        </w:rPr>
        <w:instrText xml:space="preserve"> PAGEREF _Toc298944588 \h </w:instrText>
      </w:r>
      <w:r w:rsidR="003236CF">
        <w:rPr>
          <w:noProof/>
        </w:rPr>
      </w:r>
      <w:r w:rsidR="003236CF">
        <w:rPr>
          <w:noProof/>
        </w:rPr>
        <w:fldChar w:fldCharType="separate"/>
      </w:r>
      <w:r w:rsidR="001D5F9A">
        <w:rPr>
          <w:noProof/>
        </w:rPr>
        <w:t>60</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6.1.2 Statistical findings and analysis</w:t>
      </w:r>
      <w:r>
        <w:rPr>
          <w:noProof/>
        </w:rPr>
        <w:tab/>
      </w:r>
      <w:r w:rsidR="003236CF">
        <w:rPr>
          <w:noProof/>
        </w:rPr>
        <w:fldChar w:fldCharType="begin"/>
      </w:r>
      <w:r>
        <w:rPr>
          <w:noProof/>
        </w:rPr>
        <w:instrText xml:space="preserve"> PAGEREF _Toc298944589 \h </w:instrText>
      </w:r>
      <w:r w:rsidR="003236CF">
        <w:rPr>
          <w:noProof/>
        </w:rPr>
      </w:r>
      <w:r w:rsidR="003236CF">
        <w:rPr>
          <w:noProof/>
        </w:rPr>
        <w:fldChar w:fldCharType="separate"/>
      </w:r>
      <w:r w:rsidR="001D5F9A">
        <w:rPr>
          <w:noProof/>
        </w:rPr>
        <w:t>61</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6.1.3 Conclusion</w:t>
      </w:r>
      <w:r>
        <w:rPr>
          <w:noProof/>
        </w:rPr>
        <w:tab/>
      </w:r>
      <w:r w:rsidR="003236CF">
        <w:rPr>
          <w:noProof/>
        </w:rPr>
        <w:fldChar w:fldCharType="begin"/>
      </w:r>
      <w:r>
        <w:rPr>
          <w:noProof/>
        </w:rPr>
        <w:instrText xml:space="preserve"> PAGEREF _Toc298944590 \h </w:instrText>
      </w:r>
      <w:r w:rsidR="003236CF">
        <w:rPr>
          <w:noProof/>
        </w:rPr>
      </w:r>
      <w:r w:rsidR="003236CF">
        <w:rPr>
          <w:noProof/>
        </w:rPr>
        <w:fldChar w:fldCharType="separate"/>
      </w:r>
      <w:r w:rsidR="001D5F9A">
        <w:rPr>
          <w:noProof/>
        </w:rPr>
        <w:t>64</w:t>
      </w:r>
      <w:r w:rsidR="003236CF">
        <w:rPr>
          <w:noProof/>
        </w:rPr>
        <w:fldChar w:fldCharType="end"/>
      </w:r>
    </w:p>
    <w:p w:rsidR="000E6017" w:rsidRPr="000E6017" w:rsidRDefault="000E6017">
      <w:pPr>
        <w:pStyle w:val="TOC2"/>
        <w:tabs>
          <w:tab w:val="right" w:leader="dot" w:pos="9350"/>
        </w:tabs>
        <w:rPr>
          <w:smallCaps w:val="0"/>
          <w:noProof/>
          <w:sz w:val="22"/>
          <w:szCs w:val="22"/>
          <w:lang w:eastAsia="nl-NL" w:bidi="ar-SA"/>
        </w:rPr>
      </w:pPr>
      <w:r>
        <w:rPr>
          <w:noProof/>
        </w:rPr>
        <w:t>6.2 Results on hypothesis 2</w:t>
      </w:r>
      <w:r>
        <w:rPr>
          <w:noProof/>
        </w:rPr>
        <w:tab/>
      </w:r>
      <w:r w:rsidR="003236CF">
        <w:rPr>
          <w:noProof/>
        </w:rPr>
        <w:fldChar w:fldCharType="begin"/>
      </w:r>
      <w:r>
        <w:rPr>
          <w:noProof/>
        </w:rPr>
        <w:instrText xml:space="preserve"> PAGEREF _Toc298944591 \h </w:instrText>
      </w:r>
      <w:r w:rsidR="003236CF">
        <w:rPr>
          <w:noProof/>
        </w:rPr>
      </w:r>
      <w:r w:rsidR="003236CF">
        <w:rPr>
          <w:noProof/>
        </w:rPr>
        <w:fldChar w:fldCharType="separate"/>
      </w:r>
      <w:r w:rsidR="001D5F9A">
        <w:rPr>
          <w:noProof/>
        </w:rPr>
        <w:t>64</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6.2.1 Descriptive statistics</w:t>
      </w:r>
      <w:r>
        <w:rPr>
          <w:noProof/>
        </w:rPr>
        <w:tab/>
      </w:r>
      <w:r w:rsidR="003236CF">
        <w:rPr>
          <w:noProof/>
        </w:rPr>
        <w:fldChar w:fldCharType="begin"/>
      </w:r>
      <w:r>
        <w:rPr>
          <w:noProof/>
        </w:rPr>
        <w:instrText xml:space="preserve"> PAGEREF _Toc298944592 \h </w:instrText>
      </w:r>
      <w:r w:rsidR="003236CF">
        <w:rPr>
          <w:noProof/>
        </w:rPr>
      </w:r>
      <w:r w:rsidR="003236CF">
        <w:rPr>
          <w:noProof/>
        </w:rPr>
        <w:fldChar w:fldCharType="separate"/>
      </w:r>
      <w:r w:rsidR="001D5F9A">
        <w:rPr>
          <w:noProof/>
        </w:rPr>
        <w:t>65</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6.2.2 Statistical findings and analysis</w:t>
      </w:r>
      <w:r>
        <w:rPr>
          <w:noProof/>
        </w:rPr>
        <w:tab/>
      </w:r>
      <w:r w:rsidR="003236CF">
        <w:rPr>
          <w:noProof/>
        </w:rPr>
        <w:fldChar w:fldCharType="begin"/>
      </w:r>
      <w:r>
        <w:rPr>
          <w:noProof/>
        </w:rPr>
        <w:instrText xml:space="preserve"> PAGEREF _Toc298944593 \h </w:instrText>
      </w:r>
      <w:r w:rsidR="003236CF">
        <w:rPr>
          <w:noProof/>
        </w:rPr>
      </w:r>
      <w:r w:rsidR="003236CF">
        <w:rPr>
          <w:noProof/>
        </w:rPr>
        <w:fldChar w:fldCharType="separate"/>
      </w:r>
      <w:r w:rsidR="001D5F9A">
        <w:rPr>
          <w:noProof/>
        </w:rPr>
        <w:t>65</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6.2.3 Testing substitution</w:t>
      </w:r>
      <w:r>
        <w:rPr>
          <w:noProof/>
        </w:rPr>
        <w:tab/>
      </w:r>
      <w:r w:rsidR="003236CF">
        <w:rPr>
          <w:noProof/>
        </w:rPr>
        <w:fldChar w:fldCharType="begin"/>
      </w:r>
      <w:r>
        <w:rPr>
          <w:noProof/>
        </w:rPr>
        <w:instrText xml:space="preserve"> PAGEREF _Toc298944594 \h </w:instrText>
      </w:r>
      <w:r w:rsidR="003236CF">
        <w:rPr>
          <w:noProof/>
        </w:rPr>
      </w:r>
      <w:r w:rsidR="003236CF">
        <w:rPr>
          <w:noProof/>
        </w:rPr>
        <w:fldChar w:fldCharType="separate"/>
      </w:r>
      <w:r w:rsidR="001D5F9A">
        <w:rPr>
          <w:noProof/>
        </w:rPr>
        <w:t>68</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6.2.4 Conclusion</w:t>
      </w:r>
      <w:r>
        <w:rPr>
          <w:noProof/>
        </w:rPr>
        <w:tab/>
      </w:r>
      <w:r w:rsidR="003236CF">
        <w:rPr>
          <w:noProof/>
        </w:rPr>
        <w:fldChar w:fldCharType="begin"/>
      </w:r>
      <w:r>
        <w:rPr>
          <w:noProof/>
        </w:rPr>
        <w:instrText xml:space="preserve"> PAGEREF _Toc298944595 \h </w:instrText>
      </w:r>
      <w:r w:rsidR="003236CF">
        <w:rPr>
          <w:noProof/>
        </w:rPr>
      </w:r>
      <w:r w:rsidR="003236CF">
        <w:rPr>
          <w:noProof/>
        </w:rPr>
        <w:fldChar w:fldCharType="separate"/>
      </w:r>
      <w:r w:rsidR="001D5F9A">
        <w:rPr>
          <w:noProof/>
        </w:rPr>
        <w:t>70</w:t>
      </w:r>
      <w:r w:rsidR="003236CF">
        <w:rPr>
          <w:noProof/>
        </w:rPr>
        <w:fldChar w:fldCharType="end"/>
      </w:r>
    </w:p>
    <w:p w:rsidR="000E6017" w:rsidRPr="000E6017" w:rsidRDefault="000E6017">
      <w:pPr>
        <w:pStyle w:val="TOC2"/>
        <w:tabs>
          <w:tab w:val="right" w:leader="dot" w:pos="9350"/>
        </w:tabs>
        <w:rPr>
          <w:smallCaps w:val="0"/>
          <w:noProof/>
          <w:sz w:val="22"/>
          <w:szCs w:val="22"/>
          <w:lang w:eastAsia="nl-NL" w:bidi="ar-SA"/>
        </w:rPr>
      </w:pPr>
      <w:r>
        <w:rPr>
          <w:noProof/>
        </w:rPr>
        <w:t>6.3 Results on hypothesis 3</w:t>
      </w:r>
      <w:r>
        <w:rPr>
          <w:noProof/>
        </w:rPr>
        <w:tab/>
      </w:r>
      <w:r w:rsidR="003236CF">
        <w:rPr>
          <w:noProof/>
        </w:rPr>
        <w:fldChar w:fldCharType="begin"/>
      </w:r>
      <w:r>
        <w:rPr>
          <w:noProof/>
        </w:rPr>
        <w:instrText xml:space="preserve"> PAGEREF _Toc298944596 \h </w:instrText>
      </w:r>
      <w:r w:rsidR="003236CF">
        <w:rPr>
          <w:noProof/>
        </w:rPr>
      </w:r>
      <w:r w:rsidR="003236CF">
        <w:rPr>
          <w:noProof/>
        </w:rPr>
        <w:fldChar w:fldCharType="separate"/>
      </w:r>
      <w:r w:rsidR="001D5F9A">
        <w:rPr>
          <w:noProof/>
        </w:rPr>
        <w:t>70</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6.3.1 Descriptive statistics</w:t>
      </w:r>
      <w:r>
        <w:rPr>
          <w:noProof/>
        </w:rPr>
        <w:tab/>
      </w:r>
      <w:r w:rsidR="003236CF">
        <w:rPr>
          <w:noProof/>
        </w:rPr>
        <w:fldChar w:fldCharType="begin"/>
      </w:r>
      <w:r>
        <w:rPr>
          <w:noProof/>
        </w:rPr>
        <w:instrText xml:space="preserve"> PAGEREF _Toc298944597 \h </w:instrText>
      </w:r>
      <w:r w:rsidR="003236CF">
        <w:rPr>
          <w:noProof/>
        </w:rPr>
      </w:r>
      <w:r w:rsidR="003236CF">
        <w:rPr>
          <w:noProof/>
        </w:rPr>
        <w:fldChar w:fldCharType="separate"/>
      </w:r>
      <w:r w:rsidR="001D5F9A">
        <w:rPr>
          <w:noProof/>
        </w:rPr>
        <w:t>71</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6.3.2 Statistical findings and analysis</w:t>
      </w:r>
      <w:r>
        <w:rPr>
          <w:noProof/>
        </w:rPr>
        <w:tab/>
      </w:r>
      <w:r w:rsidR="003236CF">
        <w:rPr>
          <w:noProof/>
        </w:rPr>
        <w:fldChar w:fldCharType="begin"/>
      </w:r>
      <w:r>
        <w:rPr>
          <w:noProof/>
        </w:rPr>
        <w:instrText xml:space="preserve"> PAGEREF _Toc298944598 \h </w:instrText>
      </w:r>
      <w:r w:rsidR="003236CF">
        <w:rPr>
          <w:noProof/>
        </w:rPr>
      </w:r>
      <w:r w:rsidR="003236CF">
        <w:rPr>
          <w:noProof/>
        </w:rPr>
        <w:fldChar w:fldCharType="separate"/>
      </w:r>
      <w:r w:rsidR="001D5F9A">
        <w:rPr>
          <w:noProof/>
        </w:rPr>
        <w:t>71</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sidRPr="00C624B0">
        <w:rPr>
          <w:rFonts w:eastAsia="SymbolMT" w:cstheme="minorHAnsi"/>
          <w:noProof/>
          <w:lang w:eastAsia="nl-NL"/>
        </w:rPr>
        <w:t>6</w:t>
      </w:r>
      <w:r>
        <w:rPr>
          <w:noProof/>
        </w:rPr>
        <w:t>.3.3 Conclusion</w:t>
      </w:r>
      <w:r>
        <w:rPr>
          <w:noProof/>
        </w:rPr>
        <w:tab/>
      </w:r>
      <w:r w:rsidR="003236CF">
        <w:rPr>
          <w:noProof/>
        </w:rPr>
        <w:fldChar w:fldCharType="begin"/>
      </w:r>
      <w:r>
        <w:rPr>
          <w:noProof/>
        </w:rPr>
        <w:instrText xml:space="preserve"> PAGEREF _Toc298944599 \h </w:instrText>
      </w:r>
      <w:r w:rsidR="003236CF">
        <w:rPr>
          <w:noProof/>
        </w:rPr>
      </w:r>
      <w:r w:rsidR="003236CF">
        <w:rPr>
          <w:noProof/>
        </w:rPr>
        <w:fldChar w:fldCharType="separate"/>
      </w:r>
      <w:r w:rsidR="001D5F9A">
        <w:rPr>
          <w:noProof/>
        </w:rPr>
        <w:t>74</w:t>
      </w:r>
      <w:r w:rsidR="003236CF">
        <w:rPr>
          <w:noProof/>
        </w:rPr>
        <w:fldChar w:fldCharType="end"/>
      </w:r>
    </w:p>
    <w:p w:rsidR="000E6017" w:rsidRPr="000E6017" w:rsidRDefault="000E6017">
      <w:pPr>
        <w:pStyle w:val="TOC2"/>
        <w:tabs>
          <w:tab w:val="right" w:leader="dot" w:pos="9350"/>
        </w:tabs>
        <w:rPr>
          <w:smallCaps w:val="0"/>
          <w:noProof/>
          <w:sz w:val="22"/>
          <w:szCs w:val="22"/>
          <w:lang w:eastAsia="nl-NL" w:bidi="ar-SA"/>
        </w:rPr>
      </w:pPr>
      <w:r>
        <w:rPr>
          <w:noProof/>
        </w:rPr>
        <w:t>6.4 Results on hypothesis 4</w:t>
      </w:r>
      <w:r>
        <w:rPr>
          <w:noProof/>
        </w:rPr>
        <w:tab/>
      </w:r>
      <w:r w:rsidR="003236CF">
        <w:rPr>
          <w:noProof/>
        </w:rPr>
        <w:fldChar w:fldCharType="begin"/>
      </w:r>
      <w:r>
        <w:rPr>
          <w:noProof/>
        </w:rPr>
        <w:instrText xml:space="preserve"> PAGEREF _Toc298944600 \h </w:instrText>
      </w:r>
      <w:r w:rsidR="003236CF">
        <w:rPr>
          <w:noProof/>
        </w:rPr>
      </w:r>
      <w:r w:rsidR="003236CF">
        <w:rPr>
          <w:noProof/>
        </w:rPr>
        <w:fldChar w:fldCharType="separate"/>
      </w:r>
      <w:r w:rsidR="001D5F9A">
        <w:rPr>
          <w:noProof/>
        </w:rPr>
        <w:t>75</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6.4.1 Descriptive statistics</w:t>
      </w:r>
      <w:r>
        <w:rPr>
          <w:noProof/>
        </w:rPr>
        <w:tab/>
      </w:r>
      <w:r w:rsidR="003236CF">
        <w:rPr>
          <w:noProof/>
        </w:rPr>
        <w:fldChar w:fldCharType="begin"/>
      </w:r>
      <w:r>
        <w:rPr>
          <w:noProof/>
        </w:rPr>
        <w:instrText xml:space="preserve"> PAGEREF _Toc298944601 \h </w:instrText>
      </w:r>
      <w:r w:rsidR="003236CF">
        <w:rPr>
          <w:noProof/>
        </w:rPr>
      </w:r>
      <w:r w:rsidR="003236CF">
        <w:rPr>
          <w:noProof/>
        </w:rPr>
        <w:fldChar w:fldCharType="separate"/>
      </w:r>
      <w:r w:rsidR="001D5F9A">
        <w:rPr>
          <w:noProof/>
        </w:rPr>
        <w:t>75</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6.4.2 Statistical findings and analysis</w:t>
      </w:r>
      <w:r>
        <w:rPr>
          <w:noProof/>
        </w:rPr>
        <w:tab/>
      </w:r>
      <w:r w:rsidR="003236CF">
        <w:rPr>
          <w:noProof/>
        </w:rPr>
        <w:fldChar w:fldCharType="begin"/>
      </w:r>
      <w:r>
        <w:rPr>
          <w:noProof/>
        </w:rPr>
        <w:instrText xml:space="preserve"> PAGEREF _Toc298944602 \h </w:instrText>
      </w:r>
      <w:r w:rsidR="003236CF">
        <w:rPr>
          <w:noProof/>
        </w:rPr>
      </w:r>
      <w:r w:rsidR="003236CF">
        <w:rPr>
          <w:noProof/>
        </w:rPr>
        <w:fldChar w:fldCharType="separate"/>
      </w:r>
      <w:r w:rsidR="001D5F9A">
        <w:rPr>
          <w:noProof/>
        </w:rPr>
        <w:t>76</w:t>
      </w:r>
      <w:r w:rsidR="003236CF">
        <w:rPr>
          <w:noProof/>
        </w:rPr>
        <w:fldChar w:fldCharType="end"/>
      </w:r>
    </w:p>
    <w:p w:rsidR="000E6017" w:rsidRPr="000E6017" w:rsidRDefault="000E6017">
      <w:pPr>
        <w:pStyle w:val="TOC3"/>
        <w:tabs>
          <w:tab w:val="right" w:leader="dot" w:pos="9350"/>
        </w:tabs>
        <w:rPr>
          <w:i w:val="0"/>
          <w:iCs w:val="0"/>
          <w:noProof/>
          <w:sz w:val="22"/>
          <w:szCs w:val="22"/>
          <w:lang w:eastAsia="nl-NL" w:bidi="ar-SA"/>
        </w:rPr>
      </w:pPr>
      <w:r>
        <w:rPr>
          <w:noProof/>
        </w:rPr>
        <w:t>6.4.3 Conclusion</w:t>
      </w:r>
      <w:r>
        <w:rPr>
          <w:noProof/>
        </w:rPr>
        <w:tab/>
      </w:r>
      <w:r w:rsidR="003236CF">
        <w:rPr>
          <w:noProof/>
        </w:rPr>
        <w:fldChar w:fldCharType="begin"/>
      </w:r>
      <w:r>
        <w:rPr>
          <w:noProof/>
        </w:rPr>
        <w:instrText xml:space="preserve"> PAGEREF _Toc298944603 \h </w:instrText>
      </w:r>
      <w:r w:rsidR="003236CF">
        <w:rPr>
          <w:noProof/>
        </w:rPr>
      </w:r>
      <w:r w:rsidR="003236CF">
        <w:rPr>
          <w:noProof/>
        </w:rPr>
        <w:fldChar w:fldCharType="separate"/>
      </w:r>
      <w:r w:rsidR="001D5F9A">
        <w:rPr>
          <w:noProof/>
        </w:rPr>
        <w:t>78</w:t>
      </w:r>
      <w:r w:rsidR="003236CF">
        <w:rPr>
          <w:noProof/>
        </w:rPr>
        <w:fldChar w:fldCharType="end"/>
      </w:r>
    </w:p>
    <w:p w:rsidR="000E6017" w:rsidRPr="000E6017" w:rsidRDefault="000E6017">
      <w:pPr>
        <w:pStyle w:val="TOC1"/>
        <w:rPr>
          <w:b w:val="0"/>
          <w:bCs w:val="0"/>
          <w:caps w:val="0"/>
          <w:color w:val="auto"/>
          <w:sz w:val="22"/>
          <w:szCs w:val="22"/>
          <w:lang w:eastAsia="nl-NL" w:bidi="ar-SA"/>
        </w:rPr>
      </w:pPr>
      <w:r>
        <w:t>Chapter 7: Conclusion</w:t>
      </w:r>
      <w:r>
        <w:tab/>
      </w:r>
      <w:r w:rsidR="003236CF">
        <w:fldChar w:fldCharType="begin"/>
      </w:r>
      <w:r>
        <w:instrText xml:space="preserve"> PAGEREF _Toc298944604 \h </w:instrText>
      </w:r>
      <w:r w:rsidR="003236CF">
        <w:fldChar w:fldCharType="separate"/>
      </w:r>
      <w:r w:rsidR="001D5F9A">
        <w:t>79</w:t>
      </w:r>
      <w:r w:rsidR="003236CF">
        <w:fldChar w:fldCharType="end"/>
      </w:r>
    </w:p>
    <w:p w:rsidR="000E6017" w:rsidRPr="000E6017" w:rsidRDefault="000E6017">
      <w:pPr>
        <w:pStyle w:val="TOC1"/>
        <w:rPr>
          <w:b w:val="0"/>
          <w:bCs w:val="0"/>
          <w:caps w:val="0"/>
          <w:color w:val="auto"/>
          <w:sz w:val="22"/>
          <w:szCs w:val="22"/>
          <w:lang w:eastAsia="nl-NL" w:bidi="ar-SA"/>
        </w:rPr>
      </w:pPr>
      <w:r>
        <w:t>Chapter 8: Limitations and Future Research</w:t>
      </w:r>
      <w:r>
        <w:tab/>
      </w:r>
      <w:r w:rsidR="003236CF">
        <w:fldChar w:fldCharType="begin"/>
      </w:r>
      <w:r>
        <w:instrText xml:space="preserve"> PAGEREF _Toc298944605 \h </w:instrText>
      </w:r>
      <w:r w:rsidR="003236CF">
        <w:fldChar w:fldCharType="separate"/>
      </w:r>
      <w:r w:rsidR="001D5F9A">
        <w:t>83</w:t>
      </w:r>
      <w:r w:rsidR="003236CF">
        <w:fldChar w:fldCharType="end"/>
      </w:r>
    </w:p>
    <w:p w:rsidR="000E6017" w:rsidRPr="000E6017" w:rsidRDefault="000E6017">
      <w:pPr>
        <w:pStyle w:val="TOC2"/>
        <w:tabs>
          <w:tab w:val="right" w:leader="dot" w:pos="9350"/>
        </w:tabs>
        <w:rPr>
          <w:smallCaps w:val="0"/>
          <w:noProof/>
          <w:sz w:val="22"/>
          <w:szCs w:val="22"/>
          <w:lang w:eastAsia="nl-NL" w:bidi="ar-SA"/>
        </w:rPr>
      </w:pPr>
      <w:r>
        <w:rPr>
          <w:noProof/>
        </w:rPr>
        <w:t>8.1 Limitations</w:t>
      </w:r>
      <w:r>
        <w:rPr>
          <w:noProof/>
        </w:rPr>
        <w:tab/>
      </w:r>
      <w:r w:rsidR="003236CF">
        <w:rPr>
          <w:noProof/>
        </w:rPr>
        <w:fldChar w:fldCharType="begin"/>
      </w:r>
      <w:r>
        <w:rPr>
          <w:noProof/>
        </w:rPr>
        <w:instrText xml:space="preserve"> PAGEREF _Toc298944606 \h </w:instrText>
      </w:r>
      <w:r w:rsidR="003236CF">
        <w:rPr>
          <w:noProof/>
        </w:rPr>
      </w:r>
      <w:r w:rsidR="003236CF">
        <w:rPr>
          <w:noProof/>
        </w:rPr>
        <w:fldChar w:fldCharType="separate"/>
      </w:r>
      <w:r w:rsidR="001D5F9A">
        <w:rPr>
          <w:noProof/>
        </w:rPr>
        <w:t>83</w:t>
      </w:r>
      <w:r w:rsidR="003236CF">
        <w:rPr>
          <w:noProof/>
        </w:rPr>
        <w:fldChar w:fldCharType="end"/>
      </w:r>
    </w:p>
    <w:p w:rsidR="000E6017" w:rsidRPr="000E6017" w:rsidRDefault="000E6017">
      <w:pPr>
        <w:pStyle w:val="TOC2"/>
        <w:tabs>
          <w:tab w:val="right" w:leader="dot" w:pos="9350"/>
        </w:tabs>
        <w:rPr>
          <w:smallCaps w:val="0"/>
          <w:noProof/>
          <w:sz w:val="22"/>
          <w:szCs w:val="22"/>
          <w:lang w:eastAsia="nl-NL" w:bidi="ar-SA"/>
        </w:rPr>
      </w:pPr>
      <w:r>
        <w:rPr>
          <w:noProof/>
        </w:rPr>
        <w:lastRenderedPageBreak/>
        <w:t>8.2 Future research</w:t>
      </w:r>
      <w:r>
        <w:rPr>
          <w:noProof/>
        </w:rPr>
        <w:tab/>
      </w:r>
      <w:r w:rsidR="003236CF">
        <w:rPr>
          <w:noProof/>
        </w:rPr>
        <w:fldChar w:fldCharType="begin"/>
      </w:r>
      <w:r>
        <w:rPr>
          <w:noProof/>
        </w:rPr>
        <w:instrText xml:space="preserve"> PAGEREF _Toc298944607 \h </w:instrText>
      </w:r>
      <w:r w:rsidR="003236CF">
        <w:rPr>
          <w:noProof/>
        </w:rPr>
      </w:r>
      <w:r w:rsidR="003236CF">
        <w:rPr>
          <w:noProof/>
        </w:rPr>
        <w:fldChar w:fldCharType="separate"/>
      </w:r>
      <w:r w:rsidR="001D5F9A">
        <w:rPr>
          <w:noProof/>
        </w:rPr>
        <w:t>84</w:t>
      </w:r>
      <w:r w:rsidR="003236CF">
        <w:rPr>
          <w:noProof/>
        </w:rPr>
        <w:fldChar w:fldCharType="end"/>
      </w:r>
    </w:p>
    <w:p w:rsidR="000E6017" w:rsidRPr="000E6017" w:rsidRDefault="000E6017">
      <w:pPr>
        <w:pStyle w:val="TOC1"/>
        <w:rPr>
          <w:b w:val="0"/>
          <w:bCs w:val="0"/>
          <w:caps w:val="0"/>
          <w:color w:val="auto"/>
          <w:sz w:val="22"/>
          <w:szCs w:val="22"/>
          <w:lang w:eastAsia="nl-NL" w:bidi="ar-SA"/>
        </w:rPr>
      </w:pPr>
      <w:r>
        <w:t>References</w:t>
      </w:r>
      <w:r>
        <w:tab/>
      </w:r>
      <w:r w:rsidR="003236CF">
        <w:fldChar w:fldCharType="begin"/>
      </w:r>
      <w:r>
        <w:instrText xml:space="preserve"> PAGEREF _Toc298944608 \h </w:instrText>
      </w:r>
      <w:r w:rsidR="003236CF">
        <w:fldChar w:fldCharType="separate"/>
      </w:r>
      <w:r w:rsidR="001D5F9A">
        <w:t>85</w:t>
      </w:r>
      <w:r w:rsidR="003236CF">
        <w:fldChar w:fldCharType="end"/>
      </w:r>
    </w:p>
    <w:p w:rsidR="000E6017" w:rsidRPr="000E6017" w:rsidRDefault="000E6017">
      <w:pPr>
        <w:pStyle w:val="TOC1"/>
        <w:rPr>
          <w:b w:val="0"/>
          <w:bCs w:val="0"/>
          <w:caps w:val="0"/>
          <w:color w:val="auto"/>
          <w:sz w:val="22"/>
          <w:szCs w:val="22"/>
          <w:lang w:eastAsia="nl-NL" w:bidi="ar-SA"/>
        </w:rPr>
      </w:pPr>
      <w:r>
        <w:t>Appendix I: Black-Scholes Formula</w:t>
      </w:r>
      <w:r>
        <w:tab/>
      </w:r>
      <w:r w:rsidR="003236CF">
        <w:fldChar w:fldCharType="begin"/>
      </w:r>
      <w:r>
        <w:instrText xml:space="preserve"> PAGEREF _Toc298944609 \h </w:instrText>
      </w:r>
      <w:r w:rsidR="003236CF">
        <w:fldChar w:fldCharType="separate"/>
      </w:r>
      <w:r w:rsidR="001D5F9A">
        <w:t>89</w:t>
      </w:r>
      <w:r w:rsidR="003236CF">
        <w:fldChar w:fldCharType="end"/>
      </w:r>
    </w:p>
    <w:p w:rsidR="000E6017" w:rsidRPr="000E6017" w:rsidRDefault="000E6017">
      <w:pPr>
        <w:pStyle w:val="TOC1"/>
        <w:rPr>
          <w:b w:val="0"/>
          <w:bCs w:val="0"/>
          <w:caps w:val="0"/>
          <w:color w:val="auto"/>
          <w:sz w:val="22"/>
          <w:szCs w:val="22"/>
          <w:lang w:eastAsia="nl-NL" w:bidi="ar-SA"/>
        </w:rPr>
      </w:pPr>
      <w:r>
        <w:t>Appendix II: Summarizing Table of Prior Empirical Literature</w:t>
      </w:r>
      <w:r>
        <w:tab/>
      </w:r>
      <w:r w:rsidR="003236CF">
        <w:fldChar w:fldCharType="begin"/>
      </w:r>
      <w:r>
        <w:instrText xml:space="preserve"> PAGEREF _Toc298944610 \h </w:instrText>
      </w:r>
      <w:r w:rsidR="003236CF">
        <w:fldChar w:fldCharType="separate"/>
      </w:r>
      <w:r w:rsidR="001D5F9A">
        <w:t>90</w:t>
      </w:r>
      <w:r w:rsidR="003236CF">
        <w:fldChar w:fldCharType="end"/>
      </w:r>
    </w:p>
    <w:p w:rsidR="000E6017" w:rsidRPr="000E6017" w:rsidRDefault="000E6017">
      <w:pPr>
        <w:pStyle w:val="TOC1"/>
        <w:rPr>
          <w:b w:val="0"/>
          <w:bCs w:val="0"/>
          <w:caps w:val="0"/>
          <w:color w:val="auto"/>
          <w:sz w:val="22"/>
          <w:szCs w:val="22"/>
          <w:lang w:eastAsia="nl-NL" w:bidi="ar-SA"/>
        </w:rPr>
      </w:pPr>
      <w:r>
        <w:t>Appendix III: Thomson One Banker Definitions</w:t>
      </w:r>
      <w:r>
        <w:tab/>
      </w:r>
      <w:r w:rsidR="003236CF">
        <w:fldChar w:fldCharType="begin"/>
      </w:r>
      <w:r>
        <w:instrText xml:space="preserve"> PAGEREF _Toc298944611 \h </w:instrText>
      </w:r>
      <w:r w:rsidR="003236CF">
        <w:fldChar w:fldCharType="separate"/>
      </w:r>
      <w:r w:rsidR="001D5F9A">
        <w:t>94</w:t>
      </w:r>
      <w:r w:rsidR="003236CF">
        <w:fldChar w:fldCharType="end"/>
      </w:r>
    </w:p>
    <w:p w:rsidR="000E6017" w:rsidRPr="000E6017" w:rsidRDefault="000E6017">
      <w:pPr>
        <w:pStyle w:val="TOC1"/>
        <w:rPr>
          <w:b w:val="0"/>
          <w:bCs w:val="0"/>
          <w:caps w:val="0"/>
          <w:color w:val="auto"/>
          <w:sz w:val="22"/>
          <w:szCs w:val="22"/>
          <w:lang w:eastAsia="nl-NL" w:bidi="ar-SA"/>
        </w:rPr>
      </w:pPr>
      <w:r>
        <w:t>Appendix IV: List of Primary SIC Codes</w:t>
      </w:r>
      <w:r>
        <w:tab/>
      </w:r>
      <w:r w:rsidR="003236CF">
        <w:fldChar w:fldCharType="begin"/>
      </w:r>
      <w:r>
        <w:instrText xml:space="preserve"> PAGEREF _Toc298944612 \h </w:instrText>
      </w:r>
      <w:r w:rsidR="003236CF">
        <w:fldChar w:fldCharType="separate"/>
      </w:r>
      <w:r w:rsidR="001D5F9A">
        <w:t>97</w:t>
      </w:r>
      <w:r w:rsidR="003236CF">
        <w:fldChar w:fldCharType="end"/>
      </w:r>
    </w:p>
    <w:p w:rsidR="000E6017" w:rsidRPr="000E6017" w:rsidRDefault="000E6017">
      <w:pPr>
        <w:pStyle w:val="TOC1"/>
        <w:rPr>
          <w:b w:val="0"/>
          <w:bCs w:val="0"/>
          <w:caps w:val="0"/>
          <w:color w:val="auto"/>
          <w:sz w:val="22"/>
          <w:szCs w:val="22"/>
          <w:lang w:eastAsia="nl-NL" w:bidi="ar-SA"/>
        </w:rPr>
      </w:pPr>
      <w:r>
        <w:t>Appendix V: Descriptive Statistics on Hypothesis 1</w:t>
      </w:r>
      <w:r>
        <w:tab/>
      </w:r>
      <w:r w:rsidR="003236CF">
        <w:fldChar w:fldCharType="begin"/>
      </w:r>
      <w:r>
        <w:instrText xml:space="preserve"> PAGEREF _Toc298944613 \h </w:instrText>
      </w:r>
      <w:r w:rsidR="003236CF">
        <w:fldChar w:fldCharType="separate"/>
      </w:r>
      <w:r w:rsidR="001D5F9A">
        <w:t>98</w:t>
      </w:r>
      <w:r w:rsidR="003236CF">
        <w:fldChar w:fldCharType="end"/>
      </w:r>
    </w:p>
    <w:p w:rsidR="000E6017" w:rsidRPr="000E6017" w:rsidRDefault="000E6017">
      <w:pPr>
        <w:pStyle w:val="TOC1"/>
        <w:rPr>
          <w:b w:val="0"/>
          <w:bCs w:val="0"/>
          <w:caps w:val="0"/>
          <w:color w:val="auto"/>
          <w:sz w:val="22"/>
          <w:szCs w:val="22"/>
          <w:lang w:eastAsia="nl-NL" w:bidi="ar-SA"/>
        </w:rPr>
      </w:pPr>
      <w:r>
        <w:t>Appendix VI: Statistical Findings on Hypothesis 1</w:t>
      </w:r>
      <w:r>
        <w:tab/>
      </w:r>
      <w:r w:rsidR="003236CF">
        <w:fldChar w:fldCharType="begin"/>
      </w:r>
      <w:r>
        <w:instrText xml:space="preserve"> PAGEREF _Toc298944614 \h </w:instrText>
      </w:r>
      <w:r w:rsidR="003236CF">
        <w:fldChar w:fldCharType="separate"/>
      </w:r>
      <w:r w:rsidR="001D5F9A">
        <w:t>100</w:t>
      </w:r>
      <w:r w:rsidR="003236CF">
        <w:fldChar w:fldCharType="end"/>
      </w:r>
    </w:p>
    <w:p w:rsidR="000E6017" w:rsidRPr="000E6017" w:rsidRDefault="000E6017">
      <w:pPr>
        <w:pStyle w:val="TOC1"/>
        <w:rPr>
          <w:b w:val="0"/>
          <w:bCs w:val="0"/>
          <w:caps w:val="0"/>
          <w:color w:val="auto"/>
          <w:sz w:val="22"/>
          <w:szCs w:val="22"/>
          <w:lang w:eastAsia="nl-NL" w:bidi="ar-SA"/>
        </w:rPr>
      </w:pPr>
      <w:r>
        <w:t>Appendix VII: Descriptive Statistics on Hypothesis 2</w:t>
      </w:r>
      <w:r>
        <w:tab/>
      </w:r>
      <w:r w:rsidR="003236CF">
        <w:fldChar w:fldCharType="begin"/>
      </w:r>
      <w:r>
        <w:instrText xml:space="preserve"> PAGEREF _Toc298944615 \h </w:instrText>
      </w:r>
      <w:r w:rsidR="003236CF">
        <w:fldChar w:fldCharType="separate"/>
      </w:r>
      <w:r w:rsidR="001D5F9A">
        <w:t>103</w:t>
      </w:r>
      <w:r w:rsidR="003236CF">
        <w:fldChar w:fldCharType="end"/>
      </w:r>
    </w:p>
    <w:p w:rsidR="000E6017" w:rsidRPr="000E6017" w:rsidRDefault="000E6017">
      <w:pPr>
        <w:pStyle w:val="TOC1"/>
        <w:rPr>
          <w:b w:val="0"/>
          <w:bCs w:val="0"/>
          <w:caps w:val="0"/>
          <w:color w:val="auto"/>
          <w:sz w:val="22"/>
          <w:szCs w:val="22"/>
          <w:lang w:eastAsia="nl-NL" w:bidi="ar-SA"/>
        </w:rPr>
      </w:pPr>
      <w:r>
        <w:t>Appendix VIII: Statistical Findings on Hypothesis 2</w:t>
      </w:r>
      <w:r>
        <w:tab/>
      </w:r>
      <w:r w:rsidR="003236CF">
        <w:fldChar w:fldCharType="begin"/>
      </w:r>
      <w:r>
        <w:instrText xml:space="preserve"> PAGEREF _Toc298944616 \h </w:instrText>
      </w:r>
      <w:r w:rsidR="003236CF">
        <w:fldChar w:fldCharType="separate"/>
      </w:r>
      <w:r w:rsidR="001D5F9A">
        <w:t>105</w:t>
      </w:r>
      <w:r w:rsidR="003236CF">
        <w:fldChar w:fldCharType="end"/>
      </w:r>
    </w:p>
    <w:p w:rsidR="000E6017" w:rsidRPr="000E6017" w:rsidRDefault="000E6017">
      <w:pPr>
        <w:pStyle w:val="TOC1"/>
        <w:rPr>
          <w:b w:val="0"/>
          <w:bCs w:val="0"/>
          <w:caps w:val="0"/>
          <w:color w:val="auto"/>
          <w:sz w:val="22"/>
          <w:szCs w:val="22"/>
          <w:lang w:eastAsia="nl-NL" w:bidi="ar-SA"/>
        </w:rPr>
      </w:pPr>
      <w:r>
        <w:t>Appendix IX: Descriptive Statistics on Substitution Test Hypothesis 2</w:t>
      </w:r>
      <w:r>
        <w:tab/>
      </w:r>
      <w:r w:rsidR="003236CF">
        <w:fldChar w:fldCharType="begin"/>
      </w:r>
      <w:r>
        <w:instrText xml:space="preserve"> PAGEREF _Toc298944617 \h </w:instrText>
      </w:r>
      <w:r w:rsidR="003236CF">
        <w:fldChar w:fldCharType="separate"/>
      </w:r>
      <w:r w:rsidR="001D5F9A">
        <w:t>108</w:t>
      </w:r>
      <w:r w:rsidR="003236CF">
        <w:fldChar w:fldCharType="end"/>
      </w:r>
    </w:p>
    <w:p w:rsidR="000E6017" w:rsidRPr="000E6017" w:rsidRDefault="000E6017">
      <w:pPr>
        <w:pStyle w:val="TOC1"/>
        <w:rPr>
          <w:b w:val="0"/>
          <w:bCs w:val="0"/>
          <w:caps w:val="0"/>
          <w:color w:val="auto"/>
          <w:sz w:val="22"/>
          <w:szCs w:val="22"/>
          <w:lang w:eastAsia="nl-NL" w:bidi="ar-SA"/>
        </w:rPr>
      </w:pPr>
      <w:r>
        <w:t>Appendix X: Statistical Findings on Substitution Test Hypothesis 2</w:t>
      </w:r>
      <w:r>
        <w:tab/>
      </w:r>
      <w:r w:rsidR="003236CF">
        <w:fldChar w:fldCharType="begin"/>
      </w:r>
      <w:r>
        <w:instrText xml:space="preserve"> PAGEREF _Toc298944618 \h </w:instrText>
      </w:r>
      <w:r w:rsidR="003236CF">
        <w:fldChar w:fldCharType="separate"/>
      </w:r>
      <w:r w:rsidR="001D5F9A">
        <w:t>110</w:t>
      </w:r>
      <w:r w:rsidR="003236CF">
        <w:fldChar w:fldCharType="end"/>
      </w:r>
    </w:p>
    <w:p w:rsidR="000E6017" w:rsidRPr="000E6017" w:rsidRDefault="000E6017">
      <w:pPr>
        <w:pStyle w:val="TOC1"/>
        <w:rPr>
          <w:b w:val="0"/>
          <w:bCs w:val="0"/>
          <w:caps w:val="0"/>
          <w:color w:val="auto"/>
          <w:sz w:val="22"/>
          <w:szCs w:val="22"/>
          <w:lang w:eastAsia="nl-NL" w:bidi="ar-SA"/>
        </w:rPr>
      </w:pPr>
      <w:r>
        <w:t>Appendix XI: Descriptive Statistics on Hypothesis 3</w:t>
      </w:r>
      <w:r>
        <w:tab/>
      </w:r>
      <w:r w:rsidR="003236CF">
        <w:fldChar w:fldCharType="begin"/>
      </w:r>
      <w:r>
        <w:instrText xml:space="preserve"> PAGEREF _Toc298944619 \h </w:instrText>
      </w:r>
      <w:r w:rsidR="003236CF">
        <w:fldChar w:fldCharType="separate"/>
      </w:r>
      <w:r w:rsidR="001D5F9A">
        <w:t>113</w:t>
      </w:r>
      <w:r w:rsidR="003236CF">
        <w:fldChar w:fldCharType="end"/>
      </w:r>
    </w:p>
    <w:p w:rsidR="000E6017" w:rsidRPr="000E6017" w:rsidRDefault="000E6017">
      <w:pPr>
        <w:pStyle w:val="TOC1"/>
        <w:rPr>
          <w:b w:val="0"/>
          <w:bCs w:val="0"/>
          <w:caps w:val="0"/>
          <w:color w:val="auto"/>
          <w:sz w:val="22"/>
          <w:szCs w:val="22"/>
          <w:lang w:eastAsia="nl-NL" w:bidi="ar-SA"/>
        </w:rPr>
      </w:pPr>
      <w:r>
        <w:t>Appendix XII: Statistical Findings on Hypothesis 3</w:t>
      </w:r>
      <w:r>
        <w:tab/>
      </w:r>
      <w:r w:rsidR="003236CF">
        <w:fldChar w:fldCharType="begin"/>
      </w:r>
      <w:r>
        <w:instrText xml:space="preserve"> PAGEREF _Toc298944620 \h </w:instrText>
      </w:r>
      <w:r w:rsidR="003236CF">
        <w:fldChar w:fldCharType="separate"/>
      </w:r>
      <w:r w:rsidR="001D5F9A">
        <w:t>116</w:t>
      </w:r>
      <w:r w:rsidR="003236CF">
        <w:fldChar w:fldCharType="end"/>
      </w:r>
    </w:p>
    <w:p w:rsidR="000E6017" w:rsidRPr="000E6017" w:rsidRDefault="000E6017">
      <w:pPr>
        <w:pStyle w:val="TOC1"/>
        <w:rPr>
          <w:b w:val="0"/>
          <w:bCs w:val="0"/>
          <w:caps w:val="0"/>
          <w:color w:val="auto"/>
          <w:sz w:val="22"/>
          <w:szCs w:val="22"/>
          <w:lang w:eastAsia="nl-NL" w:bidi="ar-SA"/>
        </w:rPr>
      </w:pPr>
      <w:r>
        <w:t>Appendix XIII: Descriptive Statistics on Hypothesis 4</w:t>
      </w:r>
      <w:r>
        <w:tab/>
      </w:r>
      <w:r w:rsidR="003236CF">
        <w:fldChar w:fldCharType="begin"/>
      </w:r>
      <w:r>
        <w:instrText xml:space="preserve"> PAGEREF _Toc298944621 \h </w:instrText>
      </w:r>
      <w:r w:rsidR="003236CF">
        <w:fldChar w:fldCharType="separate"/>
      </w:r>
      <w:r w:rsidR="001D5F9A">
        <w:t>119</w:t>
      </w:r>
      <w:r w:rsidR="003236CF">
        <w:fldChar w:fldCharType="end"/>
      </w:r>
    </w:p>
    <w:p w:rsidR="000E6017" w:rsidRPr="000E6017" w:rsidRDefault="000E6017">
      <w:pPr>
        <w:pStyle w:val="TOC1"/>
        <w:rPr>
          <w:b w:val="0"/>
          <w:bCs w:val="0"/>
          <w:caps w:val="0"/>
          <w:color w:val="auto"/>
          <w:sz w:val="22"/>
          <w:szCs w:val="22"/>
          <w:lang w:eastAsia="nl-NL" w:bidi="ar-SA"/>
        </w:rPr>
      </w:pPr>
      <w:r>
        <w:t>Appendix XIV: Statistical Findings on Hypothesis 4</w:t>
      </w:r>
      <w:r>
        <w:tab/>
      </w:r>
      <w:r w:rsidR="003236CF">
        <w:fldChar w:fldCharType="begin"/>
      </w:r>
      <w:r>
        <w:instrText xml:space="preserve"> PAGEREF _Toc298944622 \h </w:instrText>
      </w:r>
      <w:r w:rsidR="003236CF">
        <w:fldChar w:fldCharType="separate"/>
      </w:r>
      <w:r w:rsidR="001D5F9A">
        <w:t>122</w:t>
      </w:r>
      <w:r w:rsidR="003236CF">
        <w:fldChar w:fldCharType="end"/>
      </w:r>
    </w:p>
    <w:p w:rsidR="00C1136E" w:rsidRDefault="003236CF">
      <w:pPr>
        <w:rPr>
          <w:szCs w:val="28"/>
        </w:rPr>
      </w:pPr>
      <w:r>
        <w:rPr>
          <w:szCs w:val="28"/>
        </w:rPr>
        <w:fldChar w:fldCharType="end"/>
      </w:r>
    </w:p>
    <w:p w:rsidR="00C1136E" w:rsidRDefault="00C1136E">
      <w:pPr>
        <w:rPr>
          <w:szCs w:val="28"/>
        </w:rPr>
      </w:pPr>
    </w:p>
    <w:p w:rsidR="00C1136E" w:rsidRDefault="00C1136E">
      <w:pPr>
        <w:rPr>
          <w:rFonts w:eastAsiaTheme="majorEastAsia" w:cstheme="majorBidi"/>
          <w:b/>
          <w:bCs/>
          <w:color w:val="365F91" w:themeColor="accent1" w:themeShade="BF"/>
          <w:sz w:val="28"/>
          <w:szCs w:val="28"/>
        </w:rPr>
      </w:pPr>
      <w:r>
        <w:rPr>
          <w:szCs w:val="28"/>
        </w:rPr>
        <w:br w:type="page"/>
      </w:r>
    </w:p>
    <w:p w:rsidR="001D5F43" w:rsidRPr="000B3455" w:rsidRDefault="004A4396" w:rsidP="00ED7148">
      <w:pPr>
        <w:pStyle w:val="Kop1Thesis"/>
      </w:pPr>
      <w:bookmarkStart w:id="4" w:name="_Toc298944524"/>
      <w:r w:rsidRPr="000B3455">
        <w:lastRenderedPageBreak/>
        <w:t>Chapter 1: Introduction</w:t>
      </w:r>
      <w:bookmarkEnd w:id="4"/>
    </w:p>
    <w:p w:rsidR="001D5F43" w:rsidRPr="000B3455" w:rsidRDefault="0088553E" w:rsidP="0088553E">
      <w:pPr>
        <w:spacing w:line="360" w:lineRule="auto"/>
        <w:jc w:val="both"/>
        <w:rPr>
          <w:rFonts w:cstheme="minorHAnsi"/>
        </w:rPr>
      </w:pPr>
      <w:r>
        <w:rPr>
          <w:rFonts w:cstheme="minorHAnsi"/>
        </w:rPr>
        <w:br/>
      </w:r>
      <w:r w:rsidR="00801F80">
        <w:rPr>
          <w:rFonts w:cstheme="minorHAnsi"/>
        </w:rPr>
        <w:t>Companies can</w:t>
      </w:r>
      <w:r w:rsidR="001D5F43" w:rsidRPr="000B3455">
        <w:rPr>
          <w:rFonts w:cstheme="minorHAnsi"/>
        </w:rPr>
        <w:t xml:space="preserve"> compensate </w:t>
      </w:r>
      <w:r w:rsidR="00801F80">
        <w:rPr>
          <w:rFonts w:cstheme="minorHAnsi"/>
        </w:rPr>
        <w:t>executive board members in several ways</w:t>
      </w:r>
      <w:r w:rsidR="001D5F43" w:rsidRPr="000B3455">
        <w:rPr>
          <w:rFonts w:cstheme="minorHAnsi"/>
        </w:rPr>
        <w:t xml:space="preserve">. The most traditional way is to compensate them with a fixed salary. </w:t>
      </w:r>
      <w:r w:rsidR="00324B00" w:rsidRPr="000B3455">
        <w:rPr>
          <w:rFonts w:cstheme="minorHAnsi"/>
        </w:rPr>
        <w:t>C</w:t>
      </w:r>
      <w:r w:rsidR="001D5F43" w:rsidRPr="000B3455">
        <w:rPr>
          <w:rFonts w:cstheme="minorHAnsi"/>
        </w:rPr>
        <w:t>ompensation does not exist solely of fixed salary</w:t>
      </w:r>
      <w:r w:rsidR="00324B00" w:rsidRPr="000B3455">
        <w:rPr>
          <w:rFonts w:cstheme="minorHAnsi"/>
        </w:rPr>
        <w:t xml:space="preserve"> today</w:t>
      </w:r>
      <w:r w:rsidR="001D5F43" w:rsidRPr="000B3455">
        <w:rPr>
          <w:rFonts w:cstheme="minorHAnsi"/>
        </w:rPr>
        <w:t>. Variable compensation seems to have become more common (Aboody and Kasznik</w:t>
      </w:r>
      <w:r w:rsidR="00502BB0" w:rsidRPr="000B3455">
        <w:rPr>
          <w:rFonts w:cstheme="minorHAnsi"/>
        </w:rPr>
        <w:t>, 2</w:t>
      </w:r>
      <w:r w:rsidR="003F3B9E" w:rsidRPr="000B3455">
        <w:rPr>
          <w:rFonts w:cstheme="minorHAnsi"/>
        </w:rPr>
        <w:t xml:space="preserve">009, </w:t>
      </w:r>
      <w:r w:rsidR="00EB350F" w:rsidRPr="000B3455">
        <w:rPr>
          <w:rFonts w:cstheme="minorHAnsi"/>
        </w:rPr>
        <w:t xml:space="preserve">p. </w:t>
      </w:r>
      <w:r w:rsidR="001D5F43" w:rsidRPr="000B3455">
        <w:rPr>
          <w:rFonts w:cstheme="minorHAnsi"/>
        </w:rPr>
        <w:t xml:space="preserve">125). The amount of variable compensation depends on the performance of the company and/or the person himself. One form of variable compensation is share-based payment. In share-based payment employees receive an amount of compensation dependent on the share performance of the company. Employees receive either equity-settlements (e.g. shares, and stock options), or cash-settlements (e.g. phantom stock). Equity settlements involve granting equity instruments to the employee, and do not involve cash payments, whereas cash settlements involve the payment in cash. </w:t>
      </w:r>
      <w:r w:rsidR="00185650" w:rsidRPr="000B3455">
        <w:rPr>
          <w:rFonts w:cstheme="minorHAnsi"/>
        </w:rPr>
        <w:t>T</w:t>
      </w:r>
      <w:r w:rsidR="001D5F43" w:rsidRPr="000B3455">
        <w:rPr>
          <w:rFonts w:cstheme="minorHAnsi"/>
        </w:rPr>
        <w:t>he amount of cash-settlements is based on the price or value of equity instruments. For example, when granting an employee phantom stock</w:t>
      </w:r>
      <w:r w:rsidR="00F65467">
        <w:rPr>
          <w:rFonts w:cstheme="minorHAnsi"/>
        </w:rPr>
        <w:t>,</w:t>
      </w:r>
      <w:r w:rsidR="001D5F43" w:rsidRPr="000B3455">
        <w:rPr>
          <w:rFonts w:cstheme="minorHAnsi"/>
        </w:rPr>
        <w:t xml:space="preserve"> he becomes entitled to an amount of cash compensation equal to the performance of the share. Note that in this form of compensation there are no shares granted to employees.</w:t>
      </w:r>
    </w:p>
    <w:p w:rsidR="001D5F43" w:rsidRPr="000B3455" w:rsidRDefault="001D5F43" w:rsidP="0088553E">
      <w:pPr>
        <w:spacing w:line="360" w:lineRule="auto"/>
        <w:jc w:val="both"/>
        <w:rPr>
          <w:rFonts w:cstheme="minorHAnsi"/>
        </w:rPr>
      </w:pPr>
      <w:r w:rsidRPr="000B3455">
        <w:rPr>
          <w:rFonts w:cstheme="minorHAnsi"/>
        </w:rPr>
        <w:t xml:space="preserve">In the period before International Financial Reporting Standards (hereafter IFRS) has become mandatory in the Netherlands, the </w:t>
      </w:r>
      <w:r w:rsidR="00185650" w:rsidRPr="000B3455">
        <w:rPr>
          <w:rFonts w:cstheme="minorHAnsi"/>
        </w:rPr>
        <w:t xml:space="preserve">Dutch Civil Code (2BW, </w:t>
      </w:r>
      <w:r w:rsidR="00F65467" w:rsidRPr="000B3455">
        <w:rPr>
          <w:rFonts w:cstheme="minorHAnsi"/>
        </w:rPr>
        <w:t>Title</w:t>
      </w:r>
      <w:r w:rsidR="00185650" w:rsidRPr="000B3455">
        <w:rPr>
          <w:rFonts w:cstheme="minorHAnsi"/>
        </w:rPr>
        <w:t xml:space="preserve"> 9) and </w:t>
      </w:r>
      <w:r w:rsidRPr="000B3455">
        <w:rPr>
          <w:rFonts w:cstheme="minorHAnsi"/>
        </w:rPr>
        <w:t>guidelines provided by the Dutch Accounting Standards Board</w:t>
      </w:r>
      <w:r w:rsidR="00185650" w:rsidRPr="000B3455">
        <w:rPr>
          <w:rStyle w:val="FootnoteReference"/>
          <w:rFonts w:cstheme="minorHAnsi"/>
        </w:rPr>
        <w:footnoteReference w:id="1"/>
      </w:r>
      <w:r w:rsidRPr="000B3455">
        <w:rPr>
          <w:rFonts w:cstheme="minorHAnsi"/>
        </w:rPr>
        <w:t xml:space="preserve"> (in Dutch: R</w:t>
      </w:r>
      <w:r w:rsidR="00F65467">
        <w:rPr>
          <w:rFonts w:cstheme="minorHAnsi"/>
        </w:rPr>
        <w:t xml:space="preserve">aad voor de </w:t>
      </w:r>
      <w:r w:rsidRPr="000B3455">
        <w:rPr>
          <w:rFonts w:cstheme="minorHAnsi"/>
        </w:rPr>
        <w:t>J</w:t>
      </w:r>
      <w:r w:rsidR="00F65467">
        <w:rPr>
          <w:rFonts w:cstheme="minorHAnsi"/>
        </w:rPr>
        <w:t>aarverslaggeving or RJ</w:t>
      </w:r>
      <w:r w:rsidRPr="000B3455">
        <w:rPr>
          <w:rFonts w:cstheme="minorHAnsi"/>
        </w:rPr>
        <w:t>) had to be</w:t>
      </w:r>
      <w:r w:rsidR="00464FC7" w:rsidRPr="000B3455">
        <w:rPr>
          <w:rFonts w:cstheme="minorHAnsi"/>
        </w:rPr>
        <w:t xml:space="preserve"> applied. These guidelines provide guidance for the recognition of stock options, but were </w:t>
      </w:r>
      <w:r w:rsidRPr="000B3455">
        <w:rPr>
          <w:rFonts w:cstheme="minorHAnsi"/>
        </w:rPr>
        <w:t xml:space="preserve">lacking guidance </w:t>
      </w:r>
      <w:r w:rsidR="00464FC7" w:rsidRPr="000B3455">
        <w:rPr>
          <w:rFonts w:cstheme="minorHAnsi"/>
        </w:rPr>
        <w:t>for other</w:t>
      </w:r>
      <w:r w:rsidR="003F3B9E" w:rsidRPr="000B3455">
        <w:rPr>
          <w:rFonts w:cstheme="minorHAnsi"/>
        </w:rPr>
        <w:t xml:space="preserve"> forms of </w:t>
      </w:r>
      <w:r w:rsidRPr="000B3455">
        <w:rPr>
          <w:rFonts w:cstheme="minorHAnsi"/>
        </w:rPr>
        <w:t>share-based</w:t>
      </w:r>
      <w:r w:rsidR="003F3B9E" w:rsidRPr="000B3455">
        <w:rPr>
          <w:rFonts w:cstheme="minorHAnsi"/>
        </w:rPr>
        <w:t xml:space="preserve"> payment</w:t>
      </w:r>
      <w:r w:rsidR="00464FC7" w:rsidRPr="000B3455">
        <w:rPr>
          <w:rFonts w:cstheme="minorHAnsi"/>
        </w:rPr>
        <w:t xml:space="preserve"> </w:t>
      </w:r>
      <w:r w:rsidR="003F3B9E" w:rsidRPr="000B3455">
        <w:rPr>
          <w:rFonts w:cstheme="minorHAnsi"/>
        </w:rPr>
        <w:t>in financial statements</w:t>
      </w:r>
      <w:r w:rsidRPr="000B3455">
        <w:rPr>
          <w:rFonts w:cstheme="minorHAnsi"/>
        </w:rPr>
        <w:t xml:space="preserve">. </w:t>
      </w:r>
      <w:r w:rsidR="004C1E2E" w:rsidRPr="000B3455">
        <w:rPr>
          <w:rFonts w:cstheme="minorHAnsi"/>
        </w:rPr>
        <w:t xml:space="preserve">In the same period the International Accounting Standards, </w:t>
      </w:r>
      <w:r w:rsidR="00C45A15" w:rsidRPr="000B3455">
        <w:rPr>
          <w:rFonts w:cstheme="minorHAnsi"/>
        </w:rPr>
        <w:t>provided even less guidance</w:t>
      </w:r>
      <w:r w:rsidR="004C1E2E" w:rsidRPr="000B3455">
        <w:rPr>
          <w:rFonts w:cstheme="minorHAnsi"/>
        </w:rPr>
        <w:t xml:space="preserve"> </w:t>
      </w:r>
      <w:r w:rsidR="00464FC7" w:rsidRPr="000B3455">
        <w:rPr>
          <w:rFonts w:cstheme="minorHAnsi"/>
        </w:rPr>
        <w:t>o</w:t>
      </w:r>
      <w:r w:rsidR="004C1E2E" w:rsidRPr="000B3455">
        <w:rPr>
          <w:rFonts w:cstheme="minorHAnsi"/>
        </w:rPr>
        <w:t>n share-based payment</w:t>
      </w:r>
      <w:r w:rsidRPr="000B3455">
        <w:rPr>
          <w:rFonts w:cstheme="minorHAnsi"/>
        </w:rPr>
        <w:t>.</w:t>
      </w:r>
      <w:r w:rsidR="00C45A15" w:rsidRPr="000B3455">
        <w:rPr>
          <w:rFonts w:cstheme="minorHAnsi"/>
        </w:rPr>
        <w:t xml:space="preserve"> </w:t>
      </w:r>
      <w:r w:rsidRPr="000B3455">
        <w:rPr>
          <w:rFonts w:cstheme="minorHAnsi"/>
        </w:rPr>
        <w:t xml:space="preserve">Dutch GAAP required some specific disclosures and the application of the intrinsic value method for stock options in the financial statements, whereas IAS did not have any guidelines for stock options, except for disclosure guidelines. The International Accounting Standards Board (hereafter IASB) published a new standard that deals with share-based payment in February 2004. The new standard, effective in 2005, is IFRS 2: </w:t>
      </w:r>
      <w:r w:rsidRPr="000B3455">
        <w:rPr>
          <w:rFonts w:cstheme="minorHAnsi"/>
          <w:i/>
        </w:rPr>
        <w:t>Share-based payment</w:t>
      </w:r>
      <w:r w:rsidRPr="000B3455">
        <w:rPr>
          <w:rFonts w:cstheme="minorHAnsi"/>
        </w:rPr>
        <w:t xml:space="preserve">, which replaced the limited guidance provided in IAS 19 about </w:t>
      </w:r>
      <w:r w:rsidR="00890C33" w:rsidRPr="000B3455">
        <w:rPr>
          <w:rFonts w:cstheme="minorHAnsi"/>
        </w:rPr>
        <w:t>share-based payment transactions</w:t>
      </w:r>
      <w:r w:rsidRPr="000B3455">
        <w:rPr>
          <w:rFonts w:cstheme="minorHAnsi"/>
        </w:rPr>
        <w:t>. In 2005 listed companies in the Netherlands had to apply IFRS. The new standard required companies to recognize the fair value of share-based payments in the profit and loss account (IASB</w:t>
      </w:r>
      <w:r w:rsidR="00961462" w:rsidRPr="000B3455">
        <w:rPr>
          <w:rFonts w:cstheme="minorHAnsi"/>
        </w:rPr>
        <w:t>,</w:t>
      </w:r>
      <w:r w:rsidR="003F3B9E" w:rsidRPr="000B3455">
        <w:rPr>
          <w:rFonts w:cstheme="minorHAnsi"/>
        </w:rPr>
        <w:t xml:space="preserve"> 2009, </w:t>
      </w:r>
      <w:r w:rsidR="00EB350F" w:rsidRPr="000B3455">
        <w:rPr>
          <w:rFonts w:cstheme="minorHAnsi"/>
        </w:rPr>
        <w:t xml:space="preserve">p. </w:t>
      </w:r>
      <w:r w:rsidRPr="000B3455">
        <w:rPr>
          <w:rFonts w:cstheme="minorHAnsi"/>
        </w:rPr>
        <w:t xml:space="preserve">A59). </w:t>
      </w:r>
    </w:p>
    <w:p w:rsidR="00174EA2" w:rsidRPr="000B3455" w:rsidRDefault="001D5F43" w:rsidP="0088553E">
      <w:pPr>
        <w:spacing w:line="360" w:lineRule="auto"/>
        <w:jc w:val="both"/>
        <w:rPr>
          <w:rFonts w:cstheme="minorHAnsi"/>
        </w:rPr>
      </w:pPr>
      <w:r w:rsidRPr="000B3455">
        <w:rPr>
          <w:rFonts w:cstheme="minorHAnsi"/>
        </w:rPr>
        <w:lastRenderedPageBreak/>
        <w:t>The most visible change of the new accounting</w:t>
      </w:r>
      <w:r w:rsidR="00890C33" w:rsidRPr="000B3455">
        <w:rPr>
          <w:rFonts w:cstheme="minorHAnsi"/>
        </w:rPr>
        <w:t xml:space="preserve"> standard is for stock options, as for </w:t>
      </w:r>
      <w:r w:rsidRPr="000B3455">
        <w:rPr>
          <w:rFonts w:cstheme="minorHAnsi"/>
        </w:rPr>
        <w:t xml:space="preserve">other share-based compensation forms </w:t>
      </w:r>
      <w:r w:rsidR="00890C33" w:rsidRPr="000B3455">
        <w:rPr>
          <w:rFonts w:cstheme="minorHAnsi"/>
        </w:rPr>
        <w:t>there were no guidelines</w:t>
      </w:r>
      <w:r w:rsidRPr="000B3455">
        <w:rPr>
          <w:rFonts w:cstheme="minorHAnsi"/>
        </w:rPr>
        <w:t xml:space="preserve"> prior to the adoption of IFRS in 2005. The change for stock options includes the shift from the intrinsic value method to the fair value method. The intrinsic value method implies that the positive difference between the market price of a share at grant date and the exercise price of that option is recognized in the profit and loss account. In case the exercise price is higher or equal to the share price, there was no journal entry. Accordingly, there were no costs recognized in the profit and loss account. The fair value method requires that the fair value of the stock option is recognized in the profit and loss account. The fair value of an option can be calculated by different methods, of which the binomial tree and the Black-Scholes formula are most common. The intrinsic value method is perceived as the most favorable one</w:t>
      </w:r>
      <w:r w:rsidR="007A19AC" w:rsidRPr="000B3455">
        <w:rPr>
          <w:rFonts w:cstheme="minorHAnsi"/>
        </w:rPr>
        <w:t xml:space="preserve"> to firms</w:t>
      </w:r>
      <w:r w:rsidRPr="000B3455">
        <w:rPr>
          <w:rFonts w:cstheme="minorHAnsi"/>
        </w:rPr>
        <w:t xml:space="preserve">, because the intrinsic value of stock option can be easily set to null, when the exercise price of a stock option equals or is higher than the market price of a share. Accordingly, the recognized cost of stock options according to the intrinsic value method is null. </w:t>
      </w:r>
      <w:r w:rsidR="00BA4EBD" w:rsidRPr="000B3455">
        <w:rPr>
          <w:rFonts w:cstheme="minorHAnsi"/>
        </w:rPr>
        <w:t xml:space="preserve">As the </w:t>
      </w:r>
      <w:r w:rsidR="009C06CE" w:rsidRPr="000B3455">
        <w:rPr>
          <w:rFonts w:cstheme="minorHAnsi"/>
        </w:rPr>
        <w:t>costs of granting stock options were</w:t>
      </w:r>
      <w:r w:rsidR="00BA4EBD" w:rsidRPr="000B3455">
        <w:rPr>
          <w:rFonts w:cstheme="minorHAnsi"/>
        </w:rPr>
        <w:t xml:space="preserve"> null, it is considered as an additional benefit of stock options as remuneration. According to the fair value method, t</w:t>
      </w:r>
      <w:r w:rsidRPr="000B3455">
        <w:rPr>
          <w:rFonts w:cstheme="minorHAnsi"/>
        </w:rPr>
        <w:t>he value of stock options is always positive. Under the fair value method, companies have to recognize a certain amount of costs for stock options in the profit and loss account. According to Hall and Murphy (200</w:t>
      </w:r>
      <w:r w:rsidR="00F80378" w:rsidRPr="000B3455">
        <w:rPr>
          <w:rFonts w:cstheme="minorHAnsi"/>
        </w:rPr>
        <w:t>3</w:t>
      </w:r>
      <w:r w:rsidR="00EB350F" w:rsidRPr="000B3455">
        <w:rPr>
          <w:rFonts w:cstheme="minorHAnsi"/>
        </w:rPr>
        <w:t>,</w:t>
      </w:r>
      <w:r w:rsidRPr="000B3455">
        <w:rPr>
          <w:rFonts w:cstheme="minorHAnsi"/>
        </w:rPr>
        <w:t xml:space="preserve"> </w:t>
      </w:r>
      <w:r w:rsidR="00EB350F" w:rsidRPr="000B3455">
        <w:rPr>
          <w:rFonts w:cstheme="minorHAnsi"/>
        </w:rPr>
        <w:t>pp.</w:t>
      </w:r>
      <w:r w:rsidRPr="000B3455">
        <w:rPr>
          <w:rFonts w:cstheme="minorHAnsi"/>
        </w:rPr>
        <w:t xml:space="preserve"> 65-66), the fair value of a stock option is the economic cost. A company bears an economic cost </w:t>
      </w:r>
      <w:r w:rsidR="007A19AC" w:rsidRPr="000B3455">
        <w:rPr>
          <w:rFonts w:cstheme="minorHAnsi"/>
        </w:rPr>
        <w:t>of</w:t>
      </w:r>
      <w:r w:rsidRPr="000B3455">
        <w:rPr>
          <w:rFonts w:cstheme="minorHAnsi"/>
        </w:rPr>
        <w:t xml:space="preserve"> granting an employee with a stock option instead of selling it</w:t>
      </w:r>
      <w:r w:rsidR="00174EA2" w:rsidRPr="000B3455">
        <w:rPr>
          <w:rFonts w:cstheme="minorHAnsi"/>
        </w:rPr>
        <w:t xml:space="preserve"> to market participants</w:t>
      </w:r>
      <w:r w:rsidRPr="000B3455">
        <w:rPr>
          <w:rFonts w:cstheme="minorHAnsi"/>
        </w:rPr>
        <w:t xml:space="preserve">. When applying the intrinsic value method the economic cost of a stock option remains the same. However, the perceived cost is equal to the difference between market price and exercise price (i.e. intrinsic value). The fair value method aligns the economic costs with the perceived costs of stock options. </w:t>
      </w:r>
      <w:r w:rsidR="00BA4EBD" w:rsidRPr="000B3455">
        <w:rPr>
          <w:rFonts w:cstheme="minorHAnsi"/>
        </w:rPr>
        <w:t>Consequently, the adoption of the fair value method removes the additional benefit of stock options to be ‘free’ remuneration, as all forms of compensation are treated equally.</w:t>
      </w:r>
      <w:r w:rsidR="008013F6">
        <w:rPr>
          <w:rFonts w:cstheme="minorHAnsi"/>
        </w:rPr>
        <w:t xml:space="preserve"> This may provide an incentive to firms to decrease the amount of stock option compensation,</w:t>
      </w:r>
      <w:r w:rsidR="00C17577">
        <w:rPr>
          <w:rFonts w:cstheme="minorHAnsi"/>
        </w:rPr>
        <w:t xml:space="preserve"> </w:t>
      </w:r>
      <w:r w:rsidR="008013F6">
        <w:rPr>
          <w:rFonts w:cstheme="minorHAnsi"/>
        </w:rPr>
        <w:t>a</w:t>
      </w:r>
      <w:r w:rsidR="00BA4EBD" w:rsidRPr="000B3455">
        <w:rPr>
          <w:rFonts w:cstheme="minorHAnsi"/>
        </w:rPr>
        <w:t xml:space="preserve">s </w:t>
      </w:r>
      <w:r w:rsidRPr="000B3455">
        <w:rPr>
          <w:rFonts w:cstheme="minorHAnsi"/>
        </w:rPr>
        <w:t>Carter et al. (2007</w:t>
      </w:r>
      <w:r w:rsidR="00EB350F" w:rsidRPr="000B3455">
        <w:rPr>
          <w:rFonts w:cstheme="minorHAnsi"/>
        </w:rPr>
        <w:t>,</w:t>
      </w:r>
      <w:r w:rsidRPr="000B3455">
        <w:rPr>
          <w:rFonts w:cstheme="minorHAnsi"/>
        </w:rPr>
        <w:t xml:space="preserve"> </w:t>
      </w:r>
      <w:r w:rsidR="00EB350F" w:rsidRPr="000B3455">
        <w:rPr>
          <w:rFonts w:cstheme="minorHAnsi"/>
        </w:rPr>
        <w:t>p.</w:t>
      </w:r>
      <w:r w:rsidRPr="000B3455">
        <w:rPr>
          <w:rFonts w:cstheme="minorHAnsi"/>
        </w:rPr>
        <w:t xml:space="preserve"> 354) argue</w:t>
      </w:r>
      <w:r w:rsidR="00BA4EBD" w:rsidRPr="000B3455">
        <w:rPr>
          <w:rFonts w:cstheme="minorHAnsi"/>
        </w:rPr>
        <w:t xml:space="preserve">, </w:t>
      </w:r>
      <w:r w:rsidRPr="000B3455">
        <w:rPr>
          <w:rFonts w:cstheme="minorHAnsi"/>
        </w:rPr>
        <w:t>the adoption of the intrinsic value method has led to an overweighting of stock options in the United States</w:t>
      </w:r>
      <w:r w:rsidR="00BA4EBD" w:rsidRPr="000B3455">
        <w:rPr>
          <w:rFonts w:cstheme="minorHAnsi"/>
        </w:rPr>
        <w:t>, due to the created benefit of stock options under the intrinsic value method</w:t>
      </w:r>
      <w:r w:rsidRPr="000B3455">
        <w:rPr>
          <w:rFonts w:cstheme="minorHAnsi"/>
        </w:rPr>
        <w:t xml:space="preserve">. </w:t>
      </w:r>
      <w:r w:rsidR="00174EA2" w:rsidRPr="000B3455">
        <w:rPr>
          <w:rFonts w:cstheme="minorHAnsi"/>
        </w:rPr>
        <w:t>In addition, Hall and Murphy (2003, p. 60) suggest that restricted stock as remuneration is more efficient relative to stock options. Although stock options were not the most effective way to compensate directors, the benefit of being a ‘free’ compensation form seems to have been decisive.</w:t>
      </w:r>
    </w:p>
    <w:p w:rsidR="001D5F43" w:rsidRPr="000B3455" w:rsidRDefault="001D5F43" w:rsidP="0088553E">
      <w:pPr>
        <w:spacing w:line="360" w:lineRule="auto"/>
        <w:jc w:val="both"/>
        <w:rPr>
          <w:rFonts w:cstheme="minorHAnsi"/>
        </w:rPr>
      </w:pPr>
      <w:r w:rsidRPr="000B3455">
        <w:rPr>
          <w:rFonts w:cstheme="minorHAnsi"/>
        </w:rPr>
        <w:t xml:space="preserve">The United States has undergone a similar change of accounting standards in the same period as IFRS did in the European Union. Also in the U.S. the fair value method has to be applied since 2005. Whereas the intrinsic value method or the fair value method could be applied in the period before 2005. Almost </w:t>
      </w:r>
      <w:r w:rsidRPr="000B3455">
        <w:rPr>
          <w:rFonts w:cstheme="minorHAnsi"/>
        </w:rPr>
        <w:lastRenderedPageBreak/>
        <w:t>all companies chose to adopt the intrinsic value method (Feng and Tian</w:t>
      </w:r>
      <w:r w:rsidR="00C45A15" w:rsidRPr="000B3455">
        <w:rPr>
          <w:rFonts w:cstheme="minorHAnsi"/>
        </w:rPr>
        <w:t>,</w:t>
      </w:r>
      <w:r w:rsidRPr="000B3455">
        <w:rPr>
          <w:rFonts w:cstheme="minorHAnsi"/>
        </w:rPr>
        <w:t xml:space="preserve"> 2007</w:t>
      </w:r>
      <w:r w:rsidR="00C45A15" w:rsidRPr="000B3455">
        <w:rPr>
          <w:rFonts w:cstheme="minorHAnsi"/>
        </w:rPr>
        <w:t>,</w:t>
      </w:r>
      <w:r w:rsidRPr="000B3455">
        <w:rPr>
          <w:rFonts w:cstheme="minorHAnsi"/>
        </w:rPr>
        <w:t xml:space="preserve"> </w:t>
      </w:r>
      <w:r w:rsidR="00EB350F" w:rsidRPr="000B3455">
        <w:rPr>
          <w:rFonts w:cstheme="minorHAnsi"/>
        </w:rPr>
        <w:t xml:space="preserve">p. </w:t>
      </w:r>
      <w:r w:rsidRPr="000B3455">
        <w:rPr>
          <w:rFonts w:cstheme="minorHAnsi"/>
        </w:rPr>
        <w:t xml:space="preserve"> 6). The adoption of the fair value method leads to a declining trend of granting stock options in the United States (Feng and Tian</w:t>
      </w:r>
      <w:r w:rsidR="00C45A15" w:rsidRPr="000B3455">
        <w:rPr>
          <w:rFonts w:cstheme="minorHAnsi"/>
        </w:rPr>
        <w:t>,</w:t>
      </w:r>
      <w:r w:rsidRPr="000B3455">
        <w:rPr>
          <w:rFonts w:cstheme="minorHAnsi"/>
        </w:rPr>
        <w:t xml:space="preserve"> 2007; Carter et al.</w:t>
      </w:r>
      <w:r w:rsidR="007A19AC" w:rsidRPr="000B3455">
        <w:rPr>
          <w:rFonts w:cstheme="minorHAnsi"/>
        </w:rPr>
        <w:t>,</w:t>
      </w:r>
      <w:r w:rsidRPr="000B3455">
        <w:rPr>
          <w:rFonts w:cstheme="minorHAnsi"/>
        </w:rPr>
        <w:t xml:space="preserve"> 2007; Brown and Lee</w:t>
      </w:r>
      <w:r w:rsidR="007A19AC" w:rsidRPr="000B3455">
        <w:rPr>
          <w:rFonts w:cstheme="minorHAnsi"/>
        </w:rPr>
        <w:t>,</w:t>
      </w:r>
      <w:r w:rsidRPr="000B3455">
        <w:rPr>
          <w:rFonts w:cstheme="minorHAnsi"/>
        </w:rPr>
        <w:t xml:space="preserve"> 2007; Choudhary</w:t>
      </w:r>
      <w:r w:rsidR="007A19AC" w:rsidRPr="000B3455">
        <w:rPr>
          <w:rFonts w:cstheme="minorHAnsi"/>
        </w:rPr>
        <w:t>,</w:t>
      </w:r>
      <w:r w:rsidRPr="000B3455">
        <w:rPr>
          <w:rFonts w:cstheme="minorHAnsi"/>
        </w:rPr>
        <w:t xml:space="preserve"> 2008). Kraakman (2010) has been investigating the effect of IFRS 2 on the amount of stock option compensation for both CEOs and all employees of 41 listed companies in the Netherlands. She concluded that the introduction of IFRS 2 has had a negative effect on the fair value of stock option compensation for both groups. </w:t>
      </w:r>
    </w:p>
    <w:p w:rsidR="00EA5780" w:rsidRPr="000B3455" w:rsidRDefault="00EA5780" w:rsidP="0088553E">
      <w:pPr>
        <w:spacing w:line="360" w:lineRule="auto"/>
        <w:jc w:val="both"/>
        <w:rPr>
          <w:rFonts w:cstheme="minorHAnsi"/>
        </w:rPr>
      </w:pPr>
      <w:r w:rsidRPr="000B3455">
        <w:rPr>
          <w:rFonts w:cstheme="minorHAnsi"/>
        </w:rPr>
        <w:t xml:space="preserve">Feng and Tian (2007) concluded that the decrease of stock option compensation in the United States was mainly caused by the adoption of the fair value method, while the introduction of the Sarbanes-Oxley Act, the 2000’s stock market crash and the option backdating scandal contributed to the decline. </w:t>
      </w:r>
      <w:r w:rsidR="00FD0569" w:rsidRPr="000B3455">
        <w:rPr>
          <w:rFonts w:cstheme="minorHAnsi"/>
        </w:rPr>
        <w:t>For the Netherlands, the introduction of the Dutch Corporate Governance Code in 2004 and Article 383c in 2002 has led to a greater exposure of corporate remuneration practices to the public. These factors may, as well, contribute to the decline of stock options, and will, therefore, also be discussed in this thesis.</w:t>
      </w:r>
    </w:p>
    <w:p w:rsidR="001D5F43" w:rsidRPr="000B3455" w:rsidRDefault="001D5F43" w:rsidP="0088553E">
      <w:pPr>
        <w:pStyle w:val="Heading2"/>
        <w:spacing w:line="360" w:lineRule="auto"/>
        <w:jc w:val="both"/>
      </w:pPr>
      <w:bookmarkStart w:id="5" w:name="_Ref298855071"/>
      <w:bookmarkStart w:id="6" w:name="_Toc298944525"/>
      <w:r w:rsidRPr="000B3455">
        <w:t>1.1 Research question</w:t>
      </w:r>
      <w:bookmarkEnd w:id="5"/>
      <w:bookmarkEnd w:id="6"/>
    </w:p>
    <w:p w:rsidR="000B5B87" w:rsidRPr="000B3455" w:rsidRDefault="001D5F43" w:rsidP="0088553E">
      <w:pPr>
        <w:spacing w:line="360" w:lineRule="auto"/>
        <w:jc w:val="both"/>
        <w:rPr>
          <w:rFonts w:cstheme="minorHAnsi"/>
        </w:rPr>
      </w:pPr>
      <w:r w:rsidRPr="000B3455">
        <w:rPr>
          <w:rFonts w:cstheme="minorHAnsi"/>
        </w:rPr>
        <w:t xml:space="preserve">The studies of Brown and Lee (2007), Carter et al. (2007), and Choudhary (2008) show that whilst stock option compensation declined, due to the adoption of the fair value method, another form of share-based payment, namely restricted stock compensation, increased in the United States. </w:t>
      </w:r>
      <w:r w:rsidR="00174EA2" w:rsidRPr="000B3455">
        <w:rPr>
          <w:rFonts w:cstheme="minorHAnsi"/>
        </w:rPr>
        <w:t xml:space="preserve">As discussed previously, Hall and Murphy (2003, p. 60) say that restricted stock is a more efficient means of remuneration. Whilst it is also shown that </w:t>
      </w:r>
      <w:r w:rsidR="000B5B87" w:rsidRPr="000B3455">
        <w:rPr>
          <w:rFonts w:cstheme="minorHAnsi"/>
        </w:rPr>
        <w:t xml:space="preserve">stock option compensation is a popular form, because of the intrinsic value method. As IFRS 2 treats all compensation forms in the same way with the fair value method, the benefit for stock options with the intrinsic value method is removed. Resulting in stock options to be less attractive as remuneration, and other compensation forms to become relatively more attractive. </w:t>
      </w:r>
      <w:r w:rsidRPr="000B3455">
        <w:rPr>
          <w:rFonts w:cstheme="minorHAnsi"/>
        </w:rPr>
        <w:t>In this way</w:t>
      </w:r>
      <w:r w:rsidR="000B5B87" w:rsidRPr="000B3455">
        <w:rPr>
          <w:rFonts w:cstheme="minorHAnsi"/>
        </w:rPr>
        <w:t>,</w:t>
      </w:r>
      <w:r w:rsidRPr="000B3455">
        <w:rPr>
          <w:rFonts w:cstheme="minorHAnsi"/>
        </w:rPr>
        <w:t xml:space="preserve"> stock option compensation </w:t>
      </w:r>
      <w:r w:rsidR="000B5B87" w:rsidRPr="000B3455">
        <w:rPr>
          <w:rFonts w:cstheme="minorHAnsi"/>
        </w:rPr>
        <w:t>might</w:t>
      </w:r>
      <w:r w:rsidRPr="000B3455">
        <w:rPr>
          <w:rFonts w:cstheme="minorHAnsi"/>
        </w:rPr>
        <w:t xml:space="preserve"> </w:t>
      </w:r>
      <w:r w:rsidR="000B5B87" w:rsidRPr="000B3455">
        <w:rPr>
          <w:rFonts w:cstheme="minorHAnsi"/>
        </w:rPr>
        <w:t>be declined and other forms of</w:t>
      </w:r>
      <w:r w:rsidRPr="000B3455">
        <w:rPr>
          <w:rFonts w:cstheme="minorHAnsi"/>
        </w:rPr>
        <w:t xml:space="preserve"> compensation</w:t>
      </w:r>
      <w:r w:rsidR="000B5B87" w:rsidRPr="000B3455">
        <w:rPr>
          <w:rFonts w:cstheme="minorHAnsi"/>
        </w:rPr>
        <w:t xml:space="preserve"> might have experienced an increase, due to their increased attractiveness</w:t>
      </w:r>
      <w:r w:rsidRPr="000B3455">
        <w:rPr>
          <w:rFonts w:cstheme="minorHAnsi"/>
        </w:rPr>
        <w:t xml:space="preserve">. </w:t>
      </w:r>
    </w:p>
    <w:p w:rsidR="001D5F43" w:rsidRPr="000B3455" w:rsidRDefault="001D5F43" w:rsidP="0088553E">
      <w:pPr>
        <w:spacing w:line="360" w:lineRule="auto"/>
        <w:jc w:val="both"/>
        <w:rPr>
          <w:rFonts w:cstheme="minorHAnsi"/>
        </w:rPr>
      </w:pPr>
      <w:r w:rsidRPr="000B3455">
        <w:rPr>
          <w:rFonts w:cstheme="minorHAnsi"/>
        </w:rPr>
        <w:t xml:space="preserve">The mandatory adoption of the fair value method in the United States has led to a change in compensation. According to Brown and Lee (2007), Carter et al. (2007), and Choudhary (2008) this event is considered to be an economic consequence of the mandatory adoption of the fair value method in the United States. However, in the U.S. the fair value method has not affected other forms of share-based payment. In this thesis I will investigate whether the introduction of IFRS 2 has led to a change in compensation contracts for </w:t>
      </w:r>
      <w:r w:rsidR="007A19AC" w:rsidRPr="000B3455">
        <w:rPr>
          <w:rFonts w:cstheme="minorHAnsi"/>
        </w:rPr>
        <w:t xml:space="preserve">companies listed at the Dutch stock exchange (hereafter: </w:t>
      </w:r>
      <w:r w:rsidR="004C1E2E" w:rsidRPr="000B3455">
        <w:rPr>
          <w:rFonts w:cstheme="minorHAnsi"/>
        </w:rPr>
        <w:t xml:space="preserve">Dutch-listed </w:t>
      </w:r>
      <w:r w:rsidR="004C1E2E" w:rsidRPr="000B3455">
        <w:rPr>
          <w:rFonts w:cstheme="minorHAnsi"/>
        </w:rPr>
        <w:lastRenderedPageBreak/>
        <w:t>companies</w:t>
      </w:r>
      <w:r w:rsidR="007A19AC" w:rsidRPr="000B3455">
        <w:rPr>
          <w:rFonts w:cstheme="minorHAnsi"/>
        </w:rPr>
        <w:t xml:space="preserve">). </w:t>
      </w:r>
      <w:r w:rsidRPr="000B3455">
        <w:rPr>
          <w:rFonts w:cstheme="minorHAnsi"/>
        </w:rPr>
        <w:t xml:space="preserve">In particular, if IFRS 2 caused a substitution from stock option compensation to other forms of </w:t>
      </w:r>
      <w:r w:rsidR="008013F6">
        <w:rPr>
          <w:rFonts w:cstheme="minorHAnsi"/>
        </w:rPr>
        <w:t>compensation</w:t>
      </w:r>
      <w:r w:rsidRPr="000B3455">
        <w:rPr>
          <w:rFonts w:cstheme="minorHAnsi"/>
        </w:rPr>
        <w:t>. This leads to the research question of this thesis:</w:t>
      </w:r>
    </w:p>
    <w:p w:rsidR="001D5F43" w:rsidRPr="008013F6" w:rsidRDefault="001D5F43" w:rsidP="00801F80">
      <w:pPr>
        <w:spacing w:line="360" w:lineRule="auto"/>
        <w:jc w:val="center"/>
        <w:rPr>
          <w:rFonts w:cstheme="minorHAnsi"/>
          <w:i/>
        </w:rPr>
      </w:pPr>
      <w:r w:rsidRPr="008013F6">
        <w:rPr>
          <w:rFonts w:cstheme="minorHAnsi"/>
          <w:i/>
        </w:rPr>
        <w:t xml:space="preserve">Has IFRS 2 caused a substitution from stock option compensation to other forms of compensation for </w:t>
      </w:r>
      <w:r w:rsidR="00385915">
        <w:rPr>
          <w:rFonts w:cstheme="minorHAnsi"/>
          <w:i/>
        </w:rPr>
        <w:t>Dutch-listed companies?</w:t>
      </w:r>
    </w:p>
    <w:p w:rsidR="001D5F43" w:rsidRPr="000B3455" w:rsidRDefault="001D5F43" w:rsidP="0088553E">
      <w:pPr>
        <w:spacing w:line="360" w:lineRule="auto"/>
        <w:jc w:val="both"/>
        <w:rPr>
          <w:rFonts w:cstheme="minorHAnsi"/>
        </w:rPr>
      </w:pPr>
      <w:r w:rsidRPr="000B3455">
        <w:rPr>
          <w:rFonts w:cstheme="minorHAnsi"/>
        </w:rPr>
        <w:t xml:space="preserve">As discussed before, the mandatory adoption of the fair value method is proved to have its impact on stock option compensation and restricted stock compensation in the United States, as Brown and Lee (2007), Carter et al. (2007), and Choudhary (2008) have found. All other forms of compensation were not affected by the new standard. </w:t>
      </w:r>
      <w:r w:rsidR="005011EA" w:rsidRPr="000B3455">
        <w:rPr>
          <w:rFonts w:cstheme="minorHAnsi"/>
        </w:rPr>
        <w:t>In t</w:t>
      </w:r>
      <w:r w:rsidRPr="000B3455">
        <w:rPr>
          <w:rFonts w:cstheme="minorHAnsi"/>
        </w:rPr>
        <w:t>his thesis other forms of compensation</w:t>
      </w:r>
      <w:r w:rsidR="005011EA" w:rsidRPr="000B3455">
        <w:rPr>
          <w:rFonts w:cstheme="minorHAnsi"/>
        </w:rPr>
        <w:t xml:space="preserve"> are taken</w:t>
      </w:r>
      <w:r w:rsidRPr="000B3455">
        <w:rPr>
          <w:rFonts w:cstheme="minorHAnsi"/>
        </w:rPr>
        <w:t xml:space="preserve"> into account, since the introduction of IFRS 2 may have led to a change in other compensation forms than only restricted stock and stock option compensation. Salary, bonuses, and share-based compensation are examples of other compensation forms. This thesis focuses only on the remuneration of the board of directors (in Dutch: Raad van Bestuur).</w:t>
      </w:r>
    </w:p>
    <w:p w:rsidR="001D5F43" w:rsidRPr="000B3455" w:rsidRDefault="001D5F43" w:rsidP="0088553E">
      <w:pPr>
        <w:pStyle w:val="Heading2"/>
        <w:spacing w:line="360" w:lineRule="auto"/>
        <w:jc w:val="both"/>
      </w:pPr>
      <w:bookmarkStart w:id="7" w:name="_Toc298944526"/>
      <w:r w:rsidRPr="000B3455">
        <w:t>1.2 Research method</w:t>
      </w:r>
      <w:bookmarkEnd w:id="7"/>
    </w:p>
    <w:p w:rsidR="001D5F43" w:rsidRPr="000B3455" w:rsidRDefault="001D5F43" w:rsidP="0088553E">
      <w:pPr>
        <w:spacing w:line="360" w:lineRule="auto"/>
        <w:jc w:val="both"/>
        <w:rPr>
          <w:rFonts w:cstheme="minorHAnsi"/>
        </w:rPr>
      </w:pPr>
      <w:r w:rsidRPr="000B3455">
        <w:t xml:space="preserve">The effect of a new accounting standard on the change in compensation decisions for directors is a topic in the scope of economic consequences. As </w:t>
      </w:r>
      <w:r w:rsidRPr="000B3455">
        <w:rPr>
          <w:rFonts w:cstheme="minorHAnsi"/>
        </w:rPr>
        <w:t xml:space="preserve">Zeff (1978, </w:t>
      </w:r>
      <w:r w:rsidR="00EB350F" w:rsidRPr="000B3455">
        <w:rPr>
          <w:rFonts w:cstheme="minorHAnsi"/>
        </w:rPr>
        <w:t xml:space="preserve">p. </w:t>
      </w:r>
      <w:r w:rsidRPr="000B3455">
        <w:rPr>
          <w:rFonts w:cstheme="minorHAnsi"/>
        </w:rPr>
        <w:t xml:space="preserve">56) defines: “the impact of accounting reports on the decision-making behavior of business, government, unions, investors and creditors”. A new standard has its impact on the accounting numbers. </w:t>
      </w:r>
      <w:r w:rsidR="00E217E8" w:rsidRPr="000B3455">
        <w:rPr>
          <w:rFonts w:cstheme="minorHAnsi"/>
        </w:rPr>
        <w:t xml:space="preserve">When </w:t>
      </w:r>
      <w:r w:rsidRPr="000B3455">
        <w:rPr>
          <w:rFonts w:cstheme="minorHAnsi"/>
        </w:rPr>
        <w:t>accounting numbers</w:t>
      </w:r>
      <w:r w:rsidR="00E217E8" w:rsidRPr="000B3455">
        <w:rPr>
          <w:rFonts w:cstheme="minorHAnsi"/>
        </w:rPr>
        <w:t xml:space="preserve"> are altered, the </w:t>
      </w:r>
      <w:r w:rsidRPr="000B3455">
        <w:rPr>
          <w:rFonts w:cstheme="minorHAnsi"/>
        </w:rPr>
        <w:t>decision-making</w:t>
      </w:r>
      <w:r w:rsidR="00E217E8" w:rsidRPr="000B3455">
        <w:rPr>
          <w:rFonts w:cstheme="minorHAnsi"/>
        </w:rPr>
        <w:t xml:space="preserve"> process is changed</w:t>
      </w:r>
      <w:r w:rsidRPr="000B3455">
        <w:rPr>
          <w:rFonts w:cstheme="minorHAnsi"/>
        </w:rPr>
        <w:t xml:space="preserve">. </w:t>
      </w:r>
      <w:r w:rsidR="00E217E8" w:rsidRPr="000B3455">
        <w:rPr>
          <w:rFonts w:cstheme="minorHAnsi"/>
        </w:rPr>
        <w:t>Accordingly, the introduction of IFRS 2 leads to changing accounting numbers, which, in turn, involves a change in remuneration practices.</w:t>
      </w:r>
      <w:r w:rsidR="005709A9">
        <w:rPr>
          <w:rFonts w:cstheme="minorHAnsi"/>
        </w:rPr>
        <w:t xml:space="preserve"> Guay et al. (2003, p. 405) suggest</w:t>
      </w:r>
      <w:r w:rsidRPr="000B3455">
        <w:rPr>
          <w:rFonts w:cstheme="minorHAnsi"/>
        </w:rPr>
        <w:t xml:space="preserve"> </w:t>
      </w:r>
      <w:r w:rsidR="005709A9">
        <w:rPr>
          <w:rFonts w:cstheme="minorHAnsi"/>
        </w:rPr>
        <w:t xml:space="preserve">that the adoption of the fair value method might lead to worse financial results and raise the firm’s cost of capital. </w:t>
      </w:r>
      <w:r w:rsidRPr="000B3455">
        <w:rPr>
          <w:rFonts w:cstheme="minorHAnsi"/>
        </w:rPr>
        <w:t>To conduct a proper research</w:t>
      </w:r>
      <w:r w:rsidR="00C40D08">
        <w:rPr>
          <w:rFonts w:cstheme="minorHAnsi"/>
        </w:rPr>
        <w:t>,</w:t>
      </w:r>
      <w:r w:rsidRPr="000B3455">
        <w:rPr>
          <w:rFonts w:cstheme="minorHAnsi"/>
        </w:rPr>
        <w:t xml:space="preserve"> this thesis will discuss prior literature regarding this subject, which will lead to the development of hypotheses and a research model. This thesis empirically </w:t>
      </w:r>
      <w:r w:rsidR="007A19AC" w:rsidRPr="000B3455">
        <w:rPr>
          <w:rFonts w:cstheme="minorHAnsi"/>
        </w:rPr>
        <w:t>investigates</w:t>
      </w:r>
      <w:r w:rsidRPr="000B3455">
        <w:rPr>
          <w:rFonts w:cstheme="minorHAnsi"/>
        </w:rPr>
        <w:t xml:space="preserve"> the economic consequence</w:t>
      </w:r>
      <w:r w:rsidR="007A19AC" w:rsidRPr="000B3455">
        <w:rPr>
          <w:rFonts w:cstheme="minorHAnsi"/>
        </w:rPr>
        <w:t>s</w:t>
      </w:r>
      <w:r w:rsidRPr="000B3455">
        <w:rPr>
          <w:rFonts w:cstheme="minorHAnsi"/>
        </w:rPr>
        <w:t xml:space="preserve"> of IFRS 2 regarding the possible change in compensation. According to Beattie et al. (2006, </w:t>
      </w:r>
      <w:r w:rsidR="00EB350F" w:rsidRPr="000B3455">
        <w:rPr>
          <w:rFonts w:cstheme="minorHAnsi"/>
        </w:rPr>
        <w:t xml:space="preserve">pp. </w:t>
      </w:r>
      <w:r w:rsidRPr="000B3455">
        <w:rPr>
          <w:rFonts w:cstheme="minorHAnsi"/>
        </w:rPr>
        <w:t xml:space="preserve">80-82), researchers are using four methods to identify and measure economic consequences, namely archival accounting data analysis, market-based research, experimental studies, and surveys. The archival data analysis compares accounting data in the period before the change in accounting standards, and the period after that date. It can also construct pro-forma accounting numbers to see what the impact of a proposed standard is. Market-based research investigates the impact of a new accounting standard on the stock price. Experiments explore how users process a new accounting standard, and how it influences them. Surveys are more focused on the perception of users of financial statements. It investigates the attitudes of users towards a changing </w:t>
      </w:r>
      <w:r w:rsidRPr="000B3455">
        <w:rPr>
          <w:rFonts w:cstheme="minorHAnsi"/>
        </w:rPr>
        <w:lastRenderedPageBreak/>
        <w:t xml:space="preserve">accounting standard, and how this leads to changes in behavior. </w:t>
      </w:r>
      <w:r w:rsidR="00E217E8" w:rsidRPr="000B3455">
        <w:rPr>
          <w:rFonts w:cstheme="minorHAnsi"/>
        </w:rPr>
        <w:t>For this research, t</w:t>
      </w:r>
      <w:r w:rsidRPr="000B3455">
        <w:rPr>
          <w:rFonts w:cstheme="minorHAnsi"/>
        </w:rPr>
        <w:t xml:space="preserve">he archival data analysis </w:t>
      </w:r>
      <w:r w:rsidR="00E217E8" w:rsidRPr="000B3455">
        <w:rPr>
          <w:rFonts w:cstheme="minorHAnsi"/>
        </w:rPr>
        <w:t xml:space="preserve">fits best, as accounting data before the introduction of IFRS 2 will be compared with accounting data after. </w:t>
      </w:r>
    </w:p>
    <w:p w:rsidR="001D5F43" w:rsidRPr="000B3455" w:rsidRDefault="001D5F43" w:rsidP="0088553E">
      <w:pPr>
        <w:pStyle w:val="Heading2"/>
        <w:spacing w:line="360" w:lineRule="auto"/>
        <w:jc w:val="both"/>
      </w:pPr>
      <w:bookmarkStart w:id="8" w:name="_Toc298944527"/>
      <w:r w:rsidRPr="000B3455">
        <w:t>1.3 Relevance</w:t>
      </w:r>
      <w:bookmarkEnd w:id="8"/>
    </w:p>
    <w:p w:rsidR="001D5F43" w:rsidRPr="000B3455" w:rsidRDefault="005011EA" w:rsidP="0088553E">
      <w:pPr>
        <w:spacing w:line="360" w:lineRule="auto"/>
        <w:jc w:val="both"/>
      </w:pPr>
      <w:r w:rsidRPr="000B3455">
        <w:t>In this thesis, the</w:t>
      </w:r>
      <w:r w:rsidR="001D5F43" w:rsidRPr="000B3455">
        <w:t xml:space="preserve"> possible economic consequence of IFRS 2</w:t>
      </w:r>
      <w:r w:rsidRPr="000B3455">
        <w:t xml:space="preserve"> is dealt with</w:t>
      </w:r>
      <w:r w:rsidR="001D5F43" w:rsidRPr="000B3455">
        <w:t>. In my view, the effect that an accounting standard can have on the decision-making behavior of a company is a fascinating phenomenon. The current available literature about IFRS 2 in the Netherlands is very limited</w:t>
      </w:r>
      <w:r w:rsidR="00C17577">
        <w:t>.</w:t>
      </w:r>
      <w:r w:rsidR="001D5F43" w:rsidRPr="000B3455">
        <w:t xml:space="preserve"> It documents only that stock option compensation has declined</w:t>
      </w:r>
      <w:r w:rsidR="00C40D08">
        <w:t xml:space="preserve"> due to the introduction of IFRS 2,</w:t>
      </w:r>
      <w:r w:rsidR="001D5F43" w:rsidRPr="000B3455">
        <w:t xml:space="preserve"> but does not discuss the change of other forms of compensation. This thesis goes a step further by incorporating all other forms of compensation, and see how stock option compensation is substituted for by other forms of compensation. This thesis contributes to the already available literature by researching this substitution caused by IFRS 2 in the Netherlands.</w:t>
      </w:r>
    </w:p>
    <w:p w:rsidR="001D5F43" w:rsidRPr="000B3455" w:rsidRDefault="001D5F43" w:rsidP="0088553E">
      <w:pPr>
        <w:spacing w:line="360" w:lineRule="auto"/>
        <w:jc w:val="both"/>
      </w:pPr>
      <w:r w:rsidRPr="000B3455">
        <w:t>Additionally, remuneration of the board of directors is a hotly debated topic. After the financial crisis, people have started to ask why the board of directors still received bonus payments during that time. Especially, the remuneration in the banking sector in the Netherlands has been much criticized. This thesis will provide an insight in how a new accounting standard can affect the amounts of different forms of compensation, and whether this can be used to give direction to societal accepted amounts of remuneration.</w:t>
      </w:r>
    </w:p>
    <w:p w:rsidR="001D5F43" w:rsidRPr="00C71251" w:rsidRDefault="001D5F43" w:rsidP="0088553E">
      <w:pPr>
        <w:pStyle w:val="Heading2"/>
        <w:spacing w:line="360" w:lineRule="auto"/>
        <w:jc w:val="both"/>
      </w:pPr>
      <w:bookmarkStart w:id="9" w:name="_Toc298944528"/>
      <w:r w:rsidRPr="00C71251">
        <w:t>1.4 Stucture</w:t>
      </w:r>
      <w:bookmarkEnd w:id="9"/>
    </w:p>
    <w:p w:rsidR="005011EA" w:rsidRPr="00C71251" w:rsidRDefault="00C71251" w:rsidP="0088553E">
      <w:pPr>
        <w:spacing w:line="360" w:lineRule="auto"/>
        <w:jc w:val="both"/>
        <w:rPr>
          <w:b/>
        </w:rPr>
      </w:pPr>
      <w:r>
        <w:t xml:space="preserve">This thesis is structured to ground </w:t>
      </w:r>
      <w:r w:rsidR="00061AB5">
        <w:t>statistical findings with theory and empirical literature in a way to come to empirical conclusions about the change in remuneration practices of companies listed at the Dutch stock exchange. Chapters 2 and 3 provide a theoretical framework on different compensation forms and the institutional setting, respectively. Specifically chapter 3 deals with possible factors that could explain remuneration behavior. In chapter 4</w:t>
      </w:r>
      <w:r w:rsidR="002365F1">
        <w:t>,</w:t>
      </w:r>
      <w:r w:rsidR="00061AB5">
        <w:t xml:space="preserve"> several empirical studies regarding the impact on accounting numbers and economic consequences in </w:t>
      </w:r>
      <w:r w:rsidR="00194670">
        <w:t>the</w:t>
      </w:r>
      <w:r w:rsidR="00061AB5">
        <w:t xml:space="preserve"> United States and the Netherlands, as well as determinants for compensation are reviewed. Following from the findings, </w:t>
      </w:r>
      <w:r w:rsidR="002365F1">
        <w:t xml:space="preserve">a research design is constructed, which is discussed in chapter 5. Chapter 6 shows the statistical results together with an analysis on the formulated hypotheses. In chapter 7, the theory, empirical literature, and the findings in chapter 6 are combined to an overall conclusion. At last, chapter 8 describes the limitations of the research conducted in this thesis and </w:t>
      </w:r>
      <w:r w:rsidR="00C40D08">
        <w:t xml:space="preserve">several </w:t>
      </w:r>
      <w:r w:rsidR="002365F1">
        <w:t>suggestions for future research are made.</w:t>
      </w:r>
      <w:r w:rsidR="005011EA" w:rsidRPr="00C71251">
        <w:rPr>
          <w:b/>
        </w:rPr>
        <w:br w:type="page"/>
      </w:r>
    </w:p>
    <w:p w:rsidR="001D5F43" w:rsidRPr="00C71251" w:rsidRDefault="00D00EDB" w:rsidP="00ED7148">
      <w:pPr>
        <w:pStyle w:val="Kop1Thesis"/>
      </w:pPr>
      <w:bookmarkStart w:id="10" w:name="_Toc298944529"/>
      <w:r w:rsidRPr="00C71251">
        <w:lastRenderedPageBreak/>
        <w:t xml:space="preserve">Chapter </w:t>
      </w:r>
      <w:r w:rsidR="001D5F43" w:rsidRPr="00C71251">
        <w:t>2</w:t>
      </w:r>
      <w:r w:rsidRPr="00C71251">
        <w:t>:</w:t>
      </w:r>
      <w:r w:rsidR="001D5F43" w:rsidRPr="00C71251">
        <w:t xml:space="preserve"> Compensation </w:t>
      </w:r>
      <w:r w:rsidR="00D5548A">
        <w:t>f</w:t>
      </w:r>
      <w:r w:rsidR="001D5F43" w:rsidRPr="00C71251">
        <w:t>orms</w:t>
      </w:r>
      <w:bookmarkEnd w:id="10"/>
    </w:p>
    <w:p w:rsidR="001D5F43" w:rsidRPr="000B3455" w:rsidRDefault="000B3455" w:rsidP="0088553E">
      <w:pPr>
        <w:spacing w:line="360" w:lineRule="auto"/>
        <w:jc w:val="both"/>
      </w:pPr>
      <w:r w:rsidRPr="003E5AB5">
        <w:rPr>
          <w:rFonts w:cstheme="minorHAnsi"/>
        </w:rPr>
        <w:br/>
      </w:r>
      <w:r w:rsidR="001D5F43" w:rsidRPr="000B3455">
        <w:rPr>
          <w:rFonts w:cstheme="minorHAnsi"/>
        </w:rPr>
        <w:t xml:space="preserve">The total remuneration package for the board of directors consists not only of share-based payments, but also of a fixed salary, bonus payments, pensions, and secondary conditions like a car and health insurance. </w:t>
      </w:r>
      <w:r w:rsidR="001D5F43" w:rsidRPr="000B3455">
        <w:t>This chapter gives a more detailed description what forms of compensation this thesis takes into account in investigating whether there is a substitution effect due to IFRS 2. At first, fixed salary and bonus payments are discussed. After that, this section elaborates on forms of share-based payment. At last, this chapter explains the reasons behind granting employees share-based payment.</w:t>
      </w:r>
    </w:p>
    <w:p w:rsidR="001D5F43" w:rsidRPr="000B3455" w:rsidRDefault="001D5F43" w:rsidP="0088553E">
      <w:pPr>
        <w:pStyle w:val="Heading2"/>
        <w:spacing w:line="360" w:lineRule="auto"/>
        <w:jc w:val="both"/>
      </w:pPr>
      <w:bookmarkStart w:id="11" w:name="_Toc298944530"/>
      <w:r w:rsidRPr="000B3455">
        <w:t>2.1 Fixed salary</w:t>
      </w:r>
      <w:bookmarkEnd w:id="11"/>
    </w:p>
    <w:p w:rsidR="001D5F43" w:rsidRPr="000B3455" w:rsidRDefault="001D5F43" w:rsidP="0088553E">
      <w:pPr>
        <w:spacing w:line="360" w:lineRule="auto"/>
        <w:jc w:val="both"/>
        <w:rPr>
          <w:rFonts w:cstheme="minorHAnsi"/>
        </w:rPr>
      </w:pPr>
      <w:r w:rsidRPr="000B3455">
        <w:rPr>
          <w:rFonts w:cstheme="minorHAnsi"/>
        </w:rPr>
        <w:t xml:space="preserve">A fixed salary (or base salary) includes a periodically payment of cash, independent of the work done. For risk-averse and low-level employees this form of compensation works well. However, a fixed salary might create a moral hazard problem in the company. Employees might work inefficient, while they are ensured to receive their paycheck. This is illustrated by Hall and Murphy (2003, </w:t>
      </w:r>
      <w:r w:rsidR="00EB350F" w:rsidRPr="000B3455">
        <w:rPr>
          <w:rFonts w:cstheme="minorHAnsi"/>
        </w:rPr>
        <w:t xml:space="preserve">p. </w:t>
      </w:r>
      <w:r w:rsidRPr="000B3455">
        <w:rPr>
          <w:rFonts w:cstheme="minorHAnsi"/>
        </w:rPr>
        <w:t xml:space="preserve">63), who found that cash compensation for CEOs is not correlated with the performance on the stock market, whereas total CEO compensation is strongly correlated with the performance on stock markets. This implies that cash compensation does not encourage employees to work in the interests of shareholders. </w:t>
      </w:r>
    </w:p>
    <w:p w:rsidR="001D5F43" w:rsidRPr="000B3455" w:rsidRDefault="001D5F43" w:rsidP="0088553E">
      <w:pPr>
        <w:pStyle w:val="Heading2"/>
        <w:spacing w:line="360" w:lineRule="auto"/>
        <w:jc w:val="both"/>
      </w:pPr>
      <w:bookmarkStart w:id="12" w:name="_Toc298944531"/>
      <w:r w:rsidRPr="000B3455">
        <w:t>2.2 Bonus payments</w:t>
      </w:r>
      <w:bookmarkEnd w:id="12"/>
    </w:p>
    <w:p w:rsidR="001D5F43" w:rsidRPr="000B3455" w:rsidRDefault="001D5F43" w:rsidP="0088553E">
      <w:pPr>
        <w:spacing w:line="360" w:lineRule="auto"/>
        <w:jc w:val="both"/>
        <w:rPr>
          <w:rFonts w:cstheme="minorHAnsi"/>
        </w:rPr>
      </w:pPr>
      <w:r w:rsidRPr="000B3455">
        <w:rPr>
          <w:rFonts w:cstheme="minorHAnsi"/>
        </w:rPr>
        <w:t xml:space="preserve">Bonus payments can be compared to share-based payment to the extent that bonus payments are dependent on the performance of an employee. Employees will receive bonuses when they meet certain targets or as a proportion of their output (e.g. commission). The targets to be achieved in order to become entitled to bonus payments can be both individually or companywide. A salesperson that has sold a certain amount of products will receive a proportional amount of his sales in cash is an example of an individual target. A companywide target may be, when the company’s earnings are above a predetermined level an employee becomes entitled to a fixed amount of cash. </w:t>
      </w:r>
    </w:p>
    <w:p w:rsidR="001D5F43" w:rsidRPr="000B3455" w:rsidRDefault="001D5F43" w:rsidP="0088553E">
      <w:pPr>
        <w:spacing w:line="360" w:lineRule="auto"/>
        <w:jc w:val="both"/>
        <w:rPr>
          <w:rFonts w:cstheme="minorHAnsi"/>
        </w:rPr>
      </w:pPr>
      <w:r w:rsidRPr="000B3455">
        <w:rPr>
          <w:rFonts w:cstheme="minorHAnsi"/>
        </w:rPr>
        <w:t>The reason for linking cash rewards to the performance of an employee or company can be explained with the agency theory, which will be discussed in section 2.4.</w:t>
      </w:r>
    </w:p>
    <w:p w:rsidR="001D5F43" w:rsidRPr="000B3455" w:rsidRDefault="001D5F43" w:rsidP="0088553E">
      <w:pPr>
        <w:pStyle w:val="Heading2"/>
        <w:spacing w:line="360" w:lineRule="auto"/>
        <w:jc w:val="both"/>
      </w:pPr>
      <w:bookmarkStart w:id="13" w:name="_Toc298944532"/>
      <w:r w:rsidRPr="000B3455">
        <w:t>2.3 Share-based payment</w:t>
      </w:r>
      <w:bookmarkEnd w:id="13"/>
    </w:p>
    <w:p w:rsidR="001D5F43" w:rsidRPr="000B3455" w:rsidRDefault="001D5F43" w:rsidP="0088553E">
      <w:pPr>
        <w:spacing w:line="360" w:lineRule="auto"/>
        <w:jc w:val="both"/>
        <w:rPr>
          <w:rFonts w:cstheme="minorHAnsi"/>
        </w:rPr>
      </w:pPr>
      <w:r w:rsidRPr="000B3455">
        <w:t xml:space="preserve">The idea behind granting employees with share-based payment is to align the interests of principals and managers. </w:t>
      </w:r>
      <w:r w:rsidRPr="000B3455">
        <w:rPr>
          <w:rFonts w:cstheme="minorHAnsi"/>
        </w:rPr>
        <w:t xml:space="preserve">In the classical principal-agent problem the interests of the principal are different than those of the agent. The principals (i.e. shareholders) want a high return on their shares, whereas agents (i.e. </w:t>
      </w:r>
      <w:r w:rsidRPr="000B3455">
        <w:rPr>
          <w:rFonts w:cstheme="minorHAnsi"/>
        </w:rPr>
        <w:lastRenderedPageBreak/>
        <w:t xml:space="preserve">management) want high salaries. To align the interests of principals and agents, management is often paid with share-based payments next to a cash salary. IFRS 2 (IASB 2009, </w:t>
      </w:r>
      <w:r w:rsidR="00EB350F" w:rsidRPr="000B3455">
        <w:rPr>
          <w:rFonts w:cstheme="minorHAnsi"/>
        </w:rPr>
        <w:t xml:space="preserve">p. </w:t>
      </w:r>
      <w:r w:rsidRPr="000B3455">
        <w:rPr>
          <w:rFonts w:cstheme="minorHAnsi"/>
        </w:rPr>
        <w:t>A77) defines share-based payment arrangement as:</w:t>
      </w:r>
    </w:p>
    <w:p w:rsidR="001D5F43" w:rsidRPr="000B3455" w:rsidRDefault="001D5F43" w:rsidP="0088553E">
      <w:pPr>
        <w:spacing w:line="360" w:lineRule="auto"/>
        <w:jc w:val="both"/>
        <w:rPr>
          <w:rFonts w:cstheme="minorHAnsi"/>
        </w:rPr>
      </w:pPr>
      <w:r w:rsidRPr="000B3455">
        <w:rPr>
          <w:rFonts w:cstheme="minorHAnsi"/>
        </w:rPr>
        <w:t>“</w:t>
      </w:r>
      <w:r w:rsidRPr="000B3455">
        <w:rPr>
          <w:rFonts w:cstheme="minorHAnsi"/>
          <w:i/>
        </w:rPr>
        <w:t>An agreement between the entity (or another group entity or any shareholder of any group entity) and another party (including an employee) that entitles the other party to receive (a) cash or other assets of the entity for amounts that are based on the price (or value) of equity instruments (including shares or share options) of the entity or another group entity, or (b) equity instruments (including shares or share options) of the entity or another group entity, provided the specified vesting conditions, are met</w:t>
      </w:r>
      <w:r w:rsidRPr="000B3455">
        <w:rPr>
          <w:rFonts w:cstheme="minorHAnsi"/>
        </w:rPr>
        <w:t>”.</w:t>
      </w:r>
    </w:p>
    <w:p w:rsidR="001D5F43" w:rsidRPr="000B3455" w:rsidRDefault="001D5F43" w:rsidP="0088553E">
      <w:pPr>
        <w:spacing w:line="360" w:lineRule="auto"/>
        <w:jc w:val="both"/>
      </w:pPr>
      <w:r w:rsidRPr="000B3455">
        <w:rPr>
          <w:rFonts w:cstheme="minorHAnsi"/>
        </w:rPr>
        <w:t>Usually the number of granted shares depends on the performance of a company. IFRS 2 distinguishes between equity-settled share-based payment, cash-settled share-based payment, and another form where the receiver has the choice to settle the payment in either cash-settled or equity-settled. First, these forms will be discussed more specifically.  The second section shows the explaining theories of share-based payment.</w:t>
      </w:r>
    </w:p>
    <w:p w:rsidR="001D5F43" w:rsidRPr="000B3455" w:rsidRDefault="001D5F43" w:rsidP="0088553E">
      <w:pPr>
        <w:pStyle w:val="Heading3"/>
        <w:spacing w:line="360" w:lineRule="auto"/>
        <w:jc w:val="both"/>
      </w:pPr>
      <w:bookmarkStart w:id="14" w:name="_Toc298944533"/>
      <w:r w:rsidRPr="000B3455">
        <w:t>2.3.1 Equity-settled share-based payment</w:t>
      </w:r>
      <w:bookmarkEnd w:id="14"/>
    </w:p>
    <w:p w:rsidR="001D5F43" w:rsidRPr="000B3455" w:rsidRDefault="001D5F43" w:rsidP="0088553E">
      <w:pPr>
        <w:spacing w:line="360" w:lineRule="auto"/>
        <w:jc w:val="both"/>
      </w:pPr>
      <w:r w:rsidRPr="000B3455">
        <w:t xml:space="preserve">A company’s equity is the difference between the total assets and the total liabilities. Equity instruments (as mentioned in the definition of share-based payment arrangement) provide entitlement to a company’s equity. The main instrument of equity is a share. IFRS 2 (IASB 2009, </w:t>
      </w:r>
      <w:r w:rsidR="00EB350F" w:rsidRPr="000B3455">
        <w:t xml:space="preserve">p. </w:t>
      </w:r>
      <w:r w:rsidRPr="000B3455">
        <w:t xml:space="preserve">A75) defines an equity-settled share-based payment transaction as: “A share-based payment transaction in which the entity (a) receives goods or services as consideration for its own equity instruments (including shares or share options), or (b) receives goods or services but has no obligation to settle the transaction with the supplier”. Thus, a company receives goods or services, for example labor from an employee, and pays for it by giving its own equity instruments. </w:t>
      </w:r>
    </w:p>
    <w:p w:rsidR="001D5F43" w:rsidRPr="000B3455" w:rsidRDefault="001D5F43" w:rsidP="0088553E">
      <w:pPr>
        <w:pStyle w:val="Heading3"/>
        <w:spacing w:line="360" w:lineRule="auto"/>
        <w:jc w:val="both"/>
      </w:pPr>
      <w:bookmarkStart w:id="15" w:name="_Toc298944534"/>
      <w:r w:rsidRPr="000B3455">
        <w:t>2.3.2 Cash-settled share-based payment</w:t>
      </w:r>
      <w:bookmarkEnd w:id="15"/>
    </w:p>
    <w:p w:rsidR="001D5F43" w:rsidRPr="000B3455" w:rsidRDefault="001D5F43" w:rsidP="0088553E">
      <w:pPr>
        <w:spacing w:line="360" w:lineRule="auto"/>
        <w:jc w:val="both"/>
      </w:pPr>
      <w:r w:rsidRPr="000B3455">
        <w:t xml:space="preserve">Another form of share-based payment is cash-settled. Cash-settled share-based payment implies the obligation of a company to pay in cash for the goods or services that they have received. As IFRS 2 (IASB 2009, </w:t>
      </w:r>
      <w:r w:rsidR="00EB350F" w:rsidRPr="000B3455">
        <w:t xml:space="preserve">p. </w:t>
      </w:r>
      <w:r w:rsidRPr="000B3455">
        <w:t xml:space="preserve">A75) defines: “A share-based payment transaction in which the entity acquires goods or services by incurring a liability to transfer cash or other assets to the supplier of those goods or services for amounts that are based on the price (or value) of equity instruments (including shares or share options) of the entity or another group entity”. The amount of the obligation of the company to pay cash depends on the price of equity instruments. For example, when an employee has the right to cash-settled share-based payments and the share price of the company’s shares increased, the employee </w:t>
      </w:r>
      <w:r w:rsidRPr="000B3455">
        <w:lastRenderedPageBreak/>
        <w:t>entitles to a proportional amount of cash. This form of compensation is also called stock appreciation rights.</w:t>
      </w:r>
    </w:p>
    <w:p w:rsidR="001D5F43" w:rsidRPr="000B3455" w:rsidRDefault="001D5F43" w:rsidP="0088553E">
      <w:pPr>
        <w:pStyle w:val="Heading3"/>
        <w:spacing w:line="360" w:lineRule="auto"/>
        <w:jc w:val="both"/>
      </w:pPr>
      <w:bookmarkStart w:id="16" w:name="_Toc298944535"/>
      <w:r w:rsidRPr="000B3455">
        <w:t>2.3.3 Choice between cash-settled and equity-settled</w:t>
      </w:r>
      <w:bookmarkEnd w:id="16"/>
    </w:p>
    <w:p w:rsidR="001D5F43" w:rsidRPr="000B3455" w:rsidRDefault="001D5F43" w:rsidP="0088553E">
      <w:pPr>
        <w:spacing w:line="360" w:lineRule="auto"/>
        <w:jc w:val="both"/>
      </w:pPr>
      <w:r w:rsidRPr="000B3455">
        <w:t xml:space="preserve">As discussed previously, IFRS 2 distinguishes between three forms of share-based payment. The first two have already been discussed. The third one involves the choice to either cash-settled or equity-settled share-based payment. Both parties can have the right to choose how an obligation has to be paid. When the counterparty (e.g. the employee) has the right to choose the obligation consists of a debt component and an equity component according to IFRS 2. When the company has the choice how to settle an obligation, there are no components assigned. </w:t>
      </w:r>
    </w:p>
    <w:p w:rsidR="001D5F43" w:rsidRPr="000B3455" w:rsidRDefault="001D5F43" w:rsidP="0088553E">
      <w:pPr>
        <w:pStyle w:val="Heading3"/>
        <w:spacing w:line="360" w:lineRule="auto"/>
        <w:jc w:val="both"/>
      </w:pPr>
      <w:bookmarkStart w:id="17" w:name="_Toc298944536"/>
      <w:r w:rsidRPr="000B3455">
        <w:t>2.3.4 Share-based payment in the Netherlands</w:t>
      </w:r>
      <w:bookmarkEnd w:id="17"/>
    </w:p>
    <w:p w:rsidR="001D5F43" w:rsidRPr="000B3455" w:rsidRDefault="001D5F43" w:rsidP="0088553E">
      <w:pPr>
        <w:spacing w:line="360" w:lineRule="auto"/>
        <w:jc w:val="both"/>
      </w:pPr>
      <w:r w:rsidRPr="000B3455">
        <w:t>The different forms of share-based payment are specific for IFRS 2. Before the mandatory adoption of IFRS for listed countries in the Netherlands in 2005, the Dutch Accounting Standards Board did not have specific guidelines how to account for share-based payment (Ernst &amp; Young</w:t>
      </w:r>
      <w:r w:rsidR="00502BB0" w:rsidRPr="000B3455">
        <w:t>,</w:t>
      </w:r>
      <w:r w:rsidRPr="000B3455">
        <w:t xml:space="preserve"> 2004, </w:t>
      </w:r>
      <w:r w:rsidR="00EB350F" w:rsidRPr="000B3455">
        <w:t xml:space="preserve">p. </w:t>
      </w:r>
      <w:r w:rsidRPr="000B3455">
        <w:t xml:space="preserve">193). Accordingly, </w:t>
      </w:r>
      <w:r w:rsidR="00194670" w:rsidRPr="000B3455">
        <w:t>a distinction between forms of share-based payment was</w:t>
      </w:r>
      <w:r w:rsidRPr="000B3455">
        <w:t xml:space="preserve"> also not present. The RJ-guidelines did only provide guidance regarding employee stock options. In IFRS 2 stock options are included in equity-settled share-based payments, as stock options are equity instruments. However, it seems that the DASB was not unaware of share-based payment, as the guidelines did include stock options, but the lack of guidance for all other forms of share-based payment suggests that there was a grey area.</w:t>
      </w:r>
    </w:p>
    <w:p w:rsidR="001D5F43" w:rsidRPr="000B3455" w:rsidRDefault="001D5F43" w:rsidP="0088553E">
      <w:pPr>
        <w:pStyle w:val="Heading2"/>
        <w:spacing w:line="360" w:lineRule="auto"/>
        <w:jc w:val="both"/>
      </w:pPr>
      <w:bookmarkStart w:id="18" w:name="_Toc298944537"/>
      <w:r w:rsidRPr="000B3455">
        <w:t>2.4 Explaining share-based payment</w:t>
      </w:r>
      <w:bookmarkEnd w:id="18"/>
    </w:p>
    <w:p w:rsidR="001D5F43" w:rsidRPr="000B3455" w:rsidRDefault="001D5F43" w:rsidP="0088553E">
      <w:pPr>
        <w:spacing w:line="360" w:lineRule="auto"/>
        <w:jc w:val="both"/>
        <w:rPr>
          <w:rFonts w:cstheme="minorHAnsi"/>
        </w:rPr>
      </w:pPr>
      <w:r w:rsidRPr="000B3455">
        <w:rPr>
          <w:rFonts w:cstheme="minorHAnsi"/>
        </w:rPr>
        <w:t xml:space="preserve">In the agency theory, principals (i.e. shareholders) want high earnings, which imply a higher return on their stock, and agents (i.e. managers or other employees) want, for example, high salaries, which imply more costs, and lower earnings. Agents have </w:t>
      </w:r>
      <w:r w:rsidR="00194670" w:rsidRPr="000B3455">
        <w:rPr>
          <w:rFonts w:cstheme="minorHAnsi"/>
        </w:rPr>
        <w:t>fewer incentives</w:t>
      </w:r>
      <w:r w:rsidRPr="000B3455">
        <w:rPr>
          <w:rFonts w:cstheme="minorHAnsi"/>
        </w:rPr>
        <w:t xml:space="preserve"> to maximize shareholder value, as they are considered to act out of self-interest. Agents are assumed to be risk-averse and principals risk-neutral (Feng and Tian</w:t>
      </w:r>
      <w:r w:rsidR="00775743" w:rsidRPr="000B3455">
        <w:rPr>
          <w:rFonts w:cstheme="minorHAnsi"/>
        </w:rPr>
        <w:t>,</w:t>
      </w:r>
      <w:r w:rsidRPr="000B3455">
        <w:rPr>
          <w:rFonts w:cstheme="minorHAnsi"/>
        </w:rPr>
        <w:t xml:space="preserve"> 2007, </w:t>
      </w:r>
      <w:r w:rsidR="00EB350F" w:rsidRPr="000B3455">
        <w:rPr>
          <w:rFonts w:cstheme="minorHAnsi"/>
        </w:rPr>
        <w:t xml:space="preserve">p. </w:t>
      </w:r>
      <w:r w:rsidRPr="000B3455">
        <w:rPr>
          <w:rFonts w:cstheme="minorHAnsi"/>
        </w:rPr>
        <w:t>8). This difference in risk tolerances, together with working horizons, and job perks, creates a decline in firm value as agents act out of self-interest, this decline in costs are agency costs (Zimmerman</w:t>
      </w:r>
      <w:r w:rsidR="00BC71F2" w:rsidRPr="000B3455">
        <w:rPr>
          <w:rFonts w:cstheme="minorHAnsi"/>
        </w:rPr>
        <w:t>,</w:t>
      </w:r>
      <w:r w:rsidRPr="000B3455">
        <w:rPr>
          <w:rFonts w:cstheme="minorHAnsi"/>
        </w:rPr>
        <w:t xml:space="preserve"> 2009, </w:t>
      </w:r>
      <w:r w:rsidR="00EB350F" w:rsidRPr="000B3455">
        <w:rPr>
          <w:rFonts w:cstheme="minorHAnsi"/>
        </w:rPr>
        <w:t xml:space="preserve">p. </w:t>
      </w:r>
      <w:r w:rsidRPr="000B3455">
        <w:rPr>
          <w:rFonts w:cstheme="minorHAnsi"/>
        </w:rPr>
        <w:t>141). As shareholders want a firm value as high as possible, the agency costs should be at a minimum. Agency costs are reduced when the interests of agents and principals are aligned. A popular method to do this is granting employees</w:t>
      </w:r>
      <w:r w:rsidR="00194670">
        <w:rPr>
          <w:rFonts w:cstheme="minorHAnsi"/>
        </w:rPr>
        <w:t xml:space="preserve"> with</w:t>
      </w:r>
      <w:r w:rsidRPr="000B3455">
        <w:rPr>
          <w:rFonts w:cstheme="minorHAnsi"/>
        </w:rPr>
        <w:t xml:space="preserve"> incentive compensation. Next to a fixed salary, employees can receive share-based payment, as a reward for meeting performance goals.</w:t>
      </w:r>
      <w:r w:rsidR="003A4F9A">
        <w:rPr>
          <w:rFonts w:cstheme="minorHAnsi"/>
        </w:rPr>
        <w:t xml:space="preserve"> </w:t>
      </w:r>
      <w:r w:rsidRPr="000B3455">
        <w:rPr>
          <w:rFonts w:cstheme="minorHAnsi"/>
        </w:rPr>
        <w:t xml:space="preserve">Setting performance goals will increase firm value or the share price. When employees strive to meet performance goals the interests of principals and agents are aligned. As in the </w:t>
      </w:r>
      <w:r w:rsidRPr="000B3455">
        <w:rPr>
          <w:rFonts w:cstheme="minorHAnsi"/>
        </w:rPr>
        <w:lastRenderedPageBreak/>
        <w:t>Dutch Corporate Governance Code (Corporate Governance Committee</w:t>
      </w:r>
      <w:r w:rsidR="00502BB0" w:rsidRPr="000B3455">
        <w:rPr>
          <w:rFonts w:cstheme="minorHAnsi"/>
        </w:rPr>
        <w:t xml:space="preserve">, </w:t>
      </w:r>
      <w:r w:rsidR="005D5941" w:rsidRPr="000B3455">
        <w:rPr>
          <w:rFonts w:cstheme="minorHAnsi"/>
        </w:rPr>
        <w:t>200</w:t>
      </w:r>
      <w:r w:rsidR="005D5941">
        <w:rPr>
          <w:rFonts w:cstheme="minorHAnsi"/>
        </w:rPr>
        <w:t>3</w:t>
      </w:r>
      <w:r w:rsidRPr="000B3455">
        <w:rPr>
          <w:rFonts w:cstheme="minorHAnsi"/>
        </w:rPr>
        <w:t xml:space="preserve">, </w:t>
      </w:r>
      <w:r w:rsidR="00EB350F" w:rsidRPr="000B3455">
        <w:rPr>
          <w:rFonts w:cstheme="minorHAnsi"/>
        </w:rPr>
        <w:t xml:space="preserve">p. </w:t>
      </w:r>
      <w:r w:rsidRPr="000B3455">
        <w:rPr>
          <w:rFonts w:cstheme="minorHAnsi"/>
        </w:rPr>
        <w:t>10) is stated that the compensation granted to the board of management shall encourage management not to act in self-interest, and will increase management’s vision in the medium and long term.</w:t>
      </w:r>
    </w:p>
    <w:p w:rsidR="001D5F43" w:rsidRPr="000B3455" w:rsidRDefault="001D5F43" w:rsidP="0088553E">
      <w:pPr>
        <w:spacing w:line="360" w:lineRule="auto"/>
        <w:jc w:val="both"/>
        <w:rPr>
          <w:rFonts w:cstheme="minorHAnsi"/>
        </w:rPr>
      </w:pPr>
      <w:r w:rsidRPr="000B3455">
        <w:rPr>
          <w:rFonts w:cstheme="minorHAnsi"/>
        </w:rPr>
        <w:t xml:space="preserve">Another explanation that firms engage in granting employee share-based payments is that a company suffers from cash constraints. Note that this explanation only holds for equity-settled share-based payments, as in cash-settled share-based payments cash payments are still involved. Companies can attract employees without spending cash. Core and Guay (2001, </w:t>
      </w:r>
      <w:r w:rsidR="00EB350F" w:rsidRPr="000B3455">
        <w:rPr>
          <w:rFonts w:cstheme="minorHAnsi"/>
        </w:rPr>
        <w:t xml:space="preserve">p. </w:t>
      </w:r>
      <w:r w:rsidRPr="000B3455">
        <w:rPr>
          <w:rFonts w:cstheme="minorHAnsi"/>
        </w:rPr>
        <w:t xml:space="preserve">275), and Yermack (1995, </w:t>
      </w:r>
      <w:r w:rsidR="00EB350F" w:rsidRPr="000B3455">
        <w:rPr>
          <w:rFonts w:cstheme="minorHAnsi"/>
        </w:rPr>
        <w:t xml:space="preserve">pp. </w:t>
      </w:r>
      <w:r w:rsidRPr="000B3455">
        <w:rPr>
          <w:rFonts w:cstheme="minorHAnsi"/>
        </w:rPr>
        <w:t xml:space="preserve">24-25) showed that companies with financial constraints are using relatively more stock options. </w:t>
      </w:r>
    </w:p>
    <w:p w:rsidR="001D5F43" w:rsidRPr="000B3455" w:rsidRDefault="001D5F43" w:rsidP="0088553E">
      <w:pPr>
        <w:spacing w:line="360" w:lineRule="auto"/>
        <w:jc w:val="both"/>
        <w:rPr>
          <w:rFonts w:cstheme="minorHAnsi"/>
        </w:rPr>
      </w:pPr>
      <w:r w:rsidRPr="000B3455">
        <w:rPr>
          <w:rFonts w:cstheme="minorHAnsi"/>
        </w:rPr>
        <w:t xml:space="preserve">Equity-settled share-based payment can also help companies to employee attraction and retention. Hall and Murphy (2003, </w:t>
      </w:r>
      <w:r w:rsidR="00EB350F" w:rsidRPr="000B3455">
        <w:rPr>
          <w:rFonts w:cstheme="minorHAnsi"/>
        </w:rPr>
        <w:t xml:space="preserve">p. </w:t>
      </w:r>
      <w:r w:rsidRPr="000B3455">
        <w:rPr>
          <w:rFonts w:cstheme="minorHAnsi"/>
        </w:rPr>
        <w:t xml:space="preserve">56) and Oyer and Schaefer (2002, </w:t>
      </w:r>
      <w:r w:rsidR="00EB350F" w:rsidRPr="000B3455">
        <w:rPr>
          <w:rFonts w:cstheme="minorHAnsi"/>
        </w:rPr>
        <w:t xml:space="preserve">pp. </w:t>
      </w:r>
      <w:r w:rsidRPr="000B3455">
        <w:rPr>
          <w:rFonts w:cstheme="minorHAnsi"/>
        </w:rPr>
        <w:t>23-27) argue that companies can attract the employees by granting stock option compensation, while decreasing other forms of compensation. They also say that paying with stock options will also affect the kind of employees that a company can attract. Stock option compensation makes a company more attractive for persons thinking they could influence the share price of a company, and thereby receive a higher salary</w:t>
      </w:r>
      <w:r w:rsidR="001479AA">
        <w:rPr>
          <w:rFonts w:cstheme="minorHAnsi"/>
        </w:rPr>
        <w:t xml:space="preserve"> (Arya and Mittendorf, 2005, pp</w:t>
      </w:r>
      <w:r w:rsidRPr="000B3455">
        <w:rPr>
          <w:rFonts w:cstheme="minorHAnsi"/>
        </w:rPr>
        <w:t xml:space="preserve">. </w:t>
      </w:r>
      <w:r w:rsidR="001479AA">
        <w:rPr>
          <w:rFonts w:cstheme="minorHAnsi"/>
        </w:rPr>
        <w:t xml:space="preserve">201-202). </w:t>
      </w:r>
      <w:r w:rsidRPr="000B3455">
        <w:rPr>
          <w:rFonts w:cstheme="minorHAnsi"/>
        </w:rPr>
        <w:t xml:space="preserve">According to Hall and Murphy (2003, </w:t>
      </w:r>
      <w:r w:rsidR="00EB350F" w:rsidRPr="000B3455">
        <w:rPr>
          <w:rFonts w:cstheme="minorHAnsi"/>
        </w:rPr>
        <w:t xml:space="preserve">p. </w:t>
      </w:r>
      <w:r w:rsidRPr="000B3455">
        <w:rPr>
          <w:rFonts w:cstheme="minorHAnsi"/>
        </w:rPr>
        <w:t>57) this is mostly applicable for high-level managers and key employees, but not for low-level managers or rank and file employees. The same authors suggest that, in particular, stock options provide incentives for retention of employees. Most of the time</w:t>
      </w:r>
      <w:r w:rsidR="00775743" w:rsidRPr="000B3455">
        <w:rPr>
          <w:rFonts w:cstheme="minorHAnsi"/>
        </w:rPr>
        <w:t>,</w:t>
      </w:r>
      <w:r w:rsidRPr="000B3455">
        <w:rPr>
          <w:rFonts w:cstheme="minorHAnsi"/>
        </w:rPr>
        <w:t xml:space="preserve"> equity-settled share-based payment involves a vesting period. When certain vesting conditions are met during this period, the receiver of equity-settled share-based payment gets an unconditional right to the equity instrument. In the case of stock options, the vesting period is the period from the grant date to the date where the option can be exercised (Leung and Sircar</w:t>
      </w:r>
      <w:r w:rsidR="00BC71F2" w:rsidRPr="000B3455">
        <w:rPr>
          <w:rFonts w:cstheme="minorHAnsi"/>
        </w:rPr>
        <w:t>,</w:t>
      </w:r>
      <w:r w:rsidRPr="000B3455">
        <w:rPr>
          <w:rFonts w:cstheme="minorHAnsi"/>
        </w:rPr>
        <w:t xml:space="preserve"> 2009, </w:t>
      </w:r>
      <w:r w:rsidR="00EB350F" w:rsidRPr="000B3455">
        <w:rPr>
          <w:rFonts w:cstheme="minorHAnsi"/>
        </w:rPr>
        <w:t xml:space="preserve">pp. </w:t>
      </w:r>
      <w:r w:rsidRPr="000B3455">
        <w:rPr>
          <w:rFonts w:cstheme="minorHAnsi"/>
        </w:rPr>
        <w:t>99-100). When the employee is fired or leaves the company within this period he or she loses the right to a particular equity instrument. An employee will continue working for the company, as he or she wants to earn the right to the share-based payment. Obviously, retention incentives are higher when the share price of an equity instrument is higher. As Hall and Murphy (2003</w:t>
      </w:r>
      <w:r w:rsidR="005912B4" w:rsidRPr="000B3455">
        <w:rPr>
          <w:rFonts w:cstheme="minorHAnsi"/>
        </w:rPr>
        <w:t>,</w:t>
      </w:r>
      <w:r w:rsidRPr="000B3455">
        <w:rPr>
          <w:rFonts w:cstheme="minorHAnsi"/>
        </w:rPr>
        <w:t xml:space="preserve"> </w:t>
      </w:r>
      <w:r w:rsidR="00EB350F" w:rsidRPr="000B3455">
        <w:rPr>
          <w:rFonts w:cstheme="minorHAnsi"/>
        </w:rPr>
        <w:t xml:space="preserve">p. </w:t>
      </w:r>
      <w:r w:rsidRPr="000B3455">
        <w:rPr>
          <w:rFonts w:cstheme="minorHAnsi"/>
        </w:rPr>
        <w:t xml:space="preserve">57) state that in the case of stock options the retention incentives are high, when the difference between the share price and the exercise price is high. The same applies for shares as share-based payment. When the share price (or fair value) of a share is high, the retention incentives are high. </w:t>
      </w:r>
    </w:p>
    <w:p w:rsidR="001D5F43" w:rsidRPr="000B3455" w:rsidRDefault="001D5F43" w:rsidP="0088553E">
      <w:pPr>
        <w:pStyle w:val="Heading2"/>
        <w:spacing w:line="360" w:lineRule="auto"/>
        <w:jc w:val="both"/>
      </w:pPr>
      <w:bookmarkStart w:id="19" w:name="_Toc298944538"/>
      <w:r w:rsidRPr="000B3455">
        <w:t>2.5 Conclusion</w:t>
      </w:r>
      <w:bookmarkEnd w:id="19"/>
    </w:p>
    <w:p w:rsidR="001D5F43" w:rsidRPr="000B3455" w:rsidRDefault="001D5F43" w:rsidP="0088553E">
      <w:pPr>
        <w:spacing w:line="360" w:lineRule="auto"/>
        <w:jc w:val="both"/>
        <w:rPr>
          <w:rFonts w:cstheme="minorHAnsi"/>
        </w:rPr>
      </w:pPr>
      <w:r w:rsidRPr="000B3455">
        <w:rPr>
          <w:rFonts w:cstheme="minorHAnsi"/>
        </w:rPr>
        <w:t xml:space="preserve">The previously discussed forms of compensation also indicate the scope of this thesis. </w:t>
      </w:r>
      <w:r w:rsidR="005011EA" w:rsidRPr="000B3455">
        <w:rPr>
          <w:rFonts w:cstheme="minorHAnsi"/>
        </w:rPr>
        <w:t xml:space="preserve">In this thesis, </w:t>
      </w:r>
      <w:r w:rsidRPr="000B3455">
        <w:rPr>
          <w:rFonts w:cstheme="minorHAnsi"/>
        </w:rPr>
        <w:t>fixed salaries, bonuses, and share-based payments</w:t>
      </w:r>
      <w:r w:rsidR="005011EA" w:rsidRPr="000B3455">
        <w:rPr>
          <w:rFonts w:cstheme="minorHAnsi"/>
        </w:rPr>
        <w:t xml:space="preserve"> are the forms of compensation within the scope of </w:t>
      </w:r>
      <w:r w:rsidR="005011EA" w:rsidRPr="000B3455">
        <w:rPr>
          <w:rFonts w:cstheme="minorHAnsi"/>
        </w:rPr>
        <w:lastRenderedPageBreak/>
        <w:t>this thesis</w:t>
      </w:r>
      <w:r w:rsidRPr="000B3455">
        <w:rPr>
          <w:rFonts w:cstheme="minorHAnsi"/>
        </w:rPr>
        <w:t xml:space="preserve">. Fixed salary introduces a moral hazard problem, because employees are ensured to be paid. Bonus </w:t>
      </w:r>
      <w:r w:rsidR="00194670" w:rsidRPr="000B3455">
        <w:rPr>
          <w:rFonts w:cstheme="minorHAnsi"/>
        </w:rPr>
        <w:t>payments</w:t>
      </w:r>
      <w:r w:rsidRPr="000B3455">
        <w:rPr>
          <w:rFonts w:cstheme="minorHAnsi"/>
        </w:rPr>
        <w:t xml:space="preserve"> and share-based payments do both provide incentives to employees to work efficient and in the interest of shareholders (agency theory). Additionally, the amount of share-based payment is dependent on the share price performance and can be either settled in equity instruments or cash. Granting equity instruments to employees </w:t>
      </w:r>
      <w:r w:rsidR="005011EA" w:rsidRPr="000B3455">
        <w:rPr>
          <w:rFonts w:cstheme="minorHAnsi"/>
        </w:rPr>
        <w:t xml:space="preserve">usually </w:t>
      </w:r>
      <w:r w:rsidRPr="000B3455">
        <w:rPr>
          <w:rFonts w:cstheme="minorHAnsi"/>
        </w:rPr>
        <w:t>results in additional benefits for the company. Equity instruments do not involve an outflow of cash, and it helps companies to attract and retain employees.</w:t>
      </w:r>
    </w:p>
    <w:p w:rsidR="001D5F43" w:rsidRPr="000B3455" w:rsidRDefault="001D5F43" w:rsidP="0088553E">
      <w:pPr>
        <w:spacing w:line="360" w:lineRule="auto"/>
        <w:jc w:val="both"/>
        <w:rPr>
          <w:rFonts w:cstheme="minorHAnsi"/>
        </w:rPr>
      </w:pPr>
      <w:r w:rsidRPr="000B3455">
        <w:rPr>
          <w:rFonts w:cstheme="minorHAnsi"/>
        </w:rPr>
        <w:t xml:space="preserve">Pensions are another form of compensation, but </w:t>
      </w:r>
      <w:r w:rsidR="00194670">
        <w:rPr>
          <w:rFonts w:cstheme="minorHAnsi"/>
        </w:rPr>
        <w:t xml:space="preserve">it </w:t>
      </w:r>
      <w:r w:rsidRPr="000B3455">
        <w:rPr>
          <w:rFonts w:cstheme="minorHAnsi"/>
        </w:rPr>
        <w:t xml:space="preserve">is </w:t>
      </w:r>
      <w:r w:rsidR="00D96CD5" w:rsidRPr="000B3455">
        <w:rPr>
          <w:rFonts w:cstheme="minorHAnsi"/>
        </w:rPr>
        <w:t>beyond the scope of this thesis.</w:t>
      </w:r>
      <w:r w:rsidRPr="000B3455">
        <w:rPr>
          <w:rFonts w:cstheme="minorHAnsi"/>
        </w:rPr>
        <w:t xml:space="preserve"> </w:t>
      </w:r>
      <w:r w:rsidR="00D96CD5" w:rsidRPr="000B3455">
        <w:rPr>
          <w:rFonts w:cstheme="minorHAnsi"/>
        </w:rPr>
        <w:t>S</w:t>
      </w:r>
      <w:r w:rsidRPr="000B3455">
        <w:rPr>
          <w:rFonts w:cstheme="minorHAnsi"/>
        </w:rPr>
        <w:t>ince pensi</w:t>
      </w:r>
      <w:r w:rsidR="00D96CD5" w:rsidRPr="000B3455">
        <w:rPr>
          <w:rFonts w:cstheme="minorHAnsi"/>
        </w:rPr>
        <w:t>ons are accounted for according to a different standard (IAS 19). Any changes in this standard may cause an interaction effect with the change in remuneration. Second</w:t>
      </w:r>
      <w:r w:rsidR="002F4D51" w:rsidRPr="000B3455">
        <w:rPr>
          <w:rFonts w:cstheme="minorHAnsi"/>
        </w:rPr>
        <w:t xml:space="preserve">, the annual pension costs for an employee’s pension is dependent on his salary. Therefore, if </w:t>
      </w:r>
      <w:r w:rsidR="002E6EE3" w:rsidRPr="000B3455">
        <w:rPr>
          <w:rFonts w:cstheme="minorHAnsi"/>
        </w:rPr>
        <w:t>remuneration is declining, it is probable that the annual pension costs are also declining. Additionally, the government has imposed by laws that companies have to contribute to an employee’s pension</w:t>
      </w:r>
      <w:r w:rsidR="001E6F54" w:rsidRPr="000B3455">
        <w:rPr>
          <w:rFonts w:cstheme="minorHAnsi"/>
        </w:rPr>
        <w:t xml:space="preserve"> within a specified range dependent on the type of pension, according to Article 18a-18i of the Dutch law on income tax (in Dutch: Wet op de loonbelasting 1964, artikel 18a-18i)</w:t>
      </w:r>
      <w:r w:rsidR="002E6EE3" w:rsidRPr="000B3455">
        <w:rPr>
          <w:rFonts w:cstheme="minorHAnsi"/>
        </w:rPr>
        <w:t xml:space="preserve">. Companies are, therefore, not entirely free to decide </w:t>
      </w:r>
      <w:r w:rsidR="001E6F54" w:rsidRPr="000B3455">
        <w:rPr>
          <w:rFonts w:cstheme="minorHAnsi"/>
        </w:rPr>
        <w:t>how much to contribute to an employee’s pension, and it does not classify as a form of compensation as discussed in this thesis.</w:t>
      </w:r>
    </w:p>
    <w:p w:rsidR="001D5F43" w:rsidRPr="000B3455" w:rsidRDefault="001D5F43" w:rsidP="0088553E">
      <w:pPr>
        <w:spacing w:line="360" w:lineRule="auto"/>
        <w:jc w:val="both"/>
      </w:pPr>
      <w:r w:rsidRPr="000B3455">
        <w:br w:type="page"/>
      </w:r>
    </w:p>
    <w:p w:rsidR="001D5F43" w:rsidRPr="00A62D2C" w:rsidRDefault="00D00EDB" w:rsidP="00ED7148">
      <w:pPr>
        <w:pStyle w:val="Kop1Thesis"/>
      </w:pPr>
      <w:bookmarkStart w:id="20" w:name="_Toc298944539"/>
      <w:r w:rsidRPr="00A62D2C">
        <w:lastRenderedPageBreak/>
        <w:t xml:space="preserve">Chapter </w:t>
      </w:r>
      <w:r w:rsidR="001D5F43" w:rsidRPr="00A62D2C">
        <w:t>3</w:t>
      </w:r>
      <w:r w:rsidRPr="00A62D2C">
        <w:t>:</w:t>
      </w:r>
      <w:r w:rsidR="001D5F43" w:rsidRPr="00A62D2C">
        <w:t xml:space="preserve"> Institutional </w:t>
      </w:r>
      <w:r w:rsidR="003963B5">
        <w:t>s</w:t>
      </w:r>
      <w:r w:rsidR="001D5F43" w:rsidRPr="00A62D2C">
        <w:t>etting</w:t>
      </w:r>
      <w:bookmarkEnd w:id="20"/>
    </w:p>
    <w:p w:rsidR="001D5F43" w:rsidRPr="000B3455" w:rsidRDefault="00A62D2C" w:rsidP="0088553E">
      <w:pPr>
        <w:tabs>
          <w:tab w:val="left" w:pos="3828"/>
          <w:tab w:val="left" w:pos="4678"/>
        </w:tabs>
        <w:spacing w:line="360" w:lineRule="auto"/>
        <w:jc w:val="both"/>
      </w:pPr>
      <w:r>
        <w:br/>
      </w:r>
      <w:r w:rsidR="001D5F43" w:rsidRPr="000B3455">
        <w:t>The introduction of IFRS 2 involved that Dutch listed companies had to treat remuneration differently. Before IFRS Dutch listed companies had to apply Dutch GAAP. Guidelines on financial reporting (RJ-guidelines) were issued by the Dutch Accounting Standards Board. Although companies were not legally required to follow specifically these guidelines, the RJ-guidelines are generally accepted in the Netherlands</w:t>
      </w:r>
      <w:r w:rsidR="00775743" w:rsidRPr="000B3455">
        <w:t xml:space="preserve">. </w:t>
      </w:r>
      <w:r w:rsidR="001D5F43" w:rsidRPr="000B3455">
        <w:t xml:space="preserve">In the scope of guidelines for share-based payments, Dutch GAAP provides less strict guidelines. The Dutch guidelines for share-based payments before 2005 are discussed in the first section. Although Dutch GAAP does not distinguish between cash-settled and equity-settled share-based payment, it is done in this section to make a comparison between Dutch GAAP and IFRS 2. In the second section the guidelines in IFRS 2 are explained. The Dutch Corporate Governance </w:t>
      </w:r>
      <w:r w:rsidR="00194670" w:rsidRPr="000B3455">
        <w:t>Code</w:t>
      </w:r>
      <w:r w:rsidR="001D5F43" w:rsidRPr="000B3455">
        <w:t xml:space="preserve"> and Article 383 in Book 2, Title 9 of the Dutch Civil Code are discussed in respectively section three and four to give an insight what is legally required regarding share-based payment transactions in the Netherlands. The fifth section deals with the situation in the U.S. with respect to the accounting change for share-based payments, because this thesis is based on literature about the situation in the United States. The sixth section will end this chapter with a conclusion.</w:t>
      </w:r>
    </w:p>
    <w:p w:rsidR="001D5F43" w:rsidRPr="000B3455" w:rsidRDefault="001D5F43" w:rsidP="0088553E">
      <w:pPr>
        <w:pStyle w:val="Heading2"/>
        <w:spacing w:line="360" w:lineRule="auto"/>
        <w:jc w:val="both"/>
      </w:pPr>
      <w:bookmarkStart w:id="21" w:name="_Toc298944540"/>
      <w:r w:rsidRPr="000B3455">
        <w:t>3.1 DASB guidelines before 2005</w:t>
      </w:r>
      <w:bookmarkEnd w:id="21"/>
    </w:p>
    <w:p w:rsidR="001D5F43" w:rsidRPr="000B3455" w:rsidRDefault="001D5F43" w:rsidP="0088553E">
      <w:pPr>
        <w:tabs>
          <w:tab w:val="left" w:pos="3828"/>
          <w:tab w:val="left" w:pos="4678"/>
        </w:tabs>
        <w:spacing w:line="360" w:lineRule="auto"/>
        <w:jc w:val="both"/>
      </w:pPr>
      <w:r w:rsidRPr="000B3455">
        <w:t xml:space="preserve">Dutch GAAP was lacking specific guidelines on share-based payment transactions, except for stock option compensation. For other forms of compensation the guidelines might be obvious. For salary and bonus payments the costs are expensed to the applicable period. So the salary and bonus over the year 2002 is recognized on the profit and loss account in 2002. </w:t>
      </w:r>
    </w:p>
    <w:p w:rsidR="001D5F43" w:rsidRPr="000B3455" w:rsidRDefault="001D5F43" w:rsidP="0088553E">
      <w:pPr>
        <w:pStyle w:val="Heading3"/>
        <w:spacing w:line="360" w:lineRule="auto"/>
        <w:jc w:val="both"/>
      </w:pPr>
      <w:bookmarkStart w:id="22" w:name="_Toc298944541"/>
      <w:r w:rsidRPr="000B3455">
        <w:t>3.1.1 Equity-settled share-based payment</w:t>
      </w:r>
      <w:bookmarkEnd w:id="22"/>
    </w:p>
    <w:p w:rsidR="001D5F43" w:rsidRPr="000B3455" w:rsidRDefault="001D5F43" w:rsidP="0088553E">
      <w:pPr>
        <w:tabs>
          <w:tab w:val="left" w:pos="3828"/>
          <w:tab w:val="left" w:pos="4678"/>
        </w:tabs>
        <w:spacing w:line="360" w:lineRule="auto"/>
        <w:jc w:val="both"/>
      </w:pPr>
      <w:r w:rsidRPr="000B3455">
        <w:t>For equity-settled share-based payment, other than stock options, guidelines only required that the receipts of cash or in kind, in order to exchange it with shares, should debit reserves (Ernst &amp; Young 2004</w:t>
      </w:r>
      <w:r w:rsidR="005912B4" w:rsidRPr="000B3455">
        <w:t>,</w:t>
      </w:r>
      <w:r w:rsidRPr="000B3455">
        <w:t xml:space="preserve"> </w:t>
      </w:r>
      <w:r w:rsidR="00EB350F" w:rsidRPr="000B3455">
        <w:t xml:space="preserve">p. </w:t>
      </w:r>
      <w:r w:rsidRPr="000B3455">
        <w:t xml:space="preserve">193). Providing labor to the company can be seen as receipts in kind. When a company granted 100 shares with a face value of </w:t>
      </w:r>
      <m:oMath>
        <m:r>
          <w:rPr>
            <w:rFonts w:ascii="Cambria Math"/>
          </w:rPr>
          <m:t>€</m:t>
        </m:r>
      </m:oMath>
      <w:r w:rsidRPr="000B3455">
        <w:t xml:space="preserve"> 10 to an employee to reward him for his labor, the journal entry would be:</w:t>
      </w:r>
    </w:p>
    <w:p w:rsidR="001D5F43" w:rsidRPr="000B3455" w:rsidRDefault="001D5F43" w:rsidP="0088553E">
      <w:pPr>
        <w:tabs>
          <w:tab w:val="left" w:pos="3828"/>
          <w:tab w:val="left" w:pos="4678"/>
        </w:tabs>
        <w:spacing w:line="360" w:lineRule="auto"/>
        <w:jc w:val="both"/>
      </w:pPr>
      <w:r w:rsidRPr="000B3455">
        <w:t>Reserves</w:t>
      </w:r>
      <w:r w:rsidRPr="000B3455">
        <w:tab/>
        <w:t>1,000</w:t>
      </w:r>
      <w:r w:rsidRPr="000B3455">
        <w:br/>
        <w:t>To equity</w:t>
      </w:r>
      <w:r w:rsidRPr="000B3455">
        <w:tab/>
      </w:r>
      <w:r w:rsidRPr="000B3455">
        <w:tab/>
        <w:t>1,000</w:t>
      </w:r>
    </w:p>
    <w:p w:rsidR="001D5F43" w:rsidRPr="000B3455" w:rsidRDefault="001D5F43" w:rsidP="0088553E">
      <w:pPr>
        <w:tabs>
          <w:tab w:val="left" w:pos="3828"/>
          <w:tab w:val="left" w:pos="4678"/>
        </w:tabs>
        <w:spacing w:line="360" w:lineRule="auto"/>
        <w:jc w:val="both"/>
      </w:pPr>
      <w:r w:rsidRPr="000B3455">
        <w:lastRenderedPageBreak/>
        <w:t xml:space="preserve">Note that Dutch GAAP does not distinct equity-settled and cash-settled, as there are no specific guidelines. The journal entry above involves a change in the composition of shareholders’ equity, and has no effect on the distribution of liabilities and equity on the balance sheet. Also note that this form of share-based compensation does not require </w:t>
      </w:r>
      <w:r w:rsidR="00194670" w:rsidRPr="000B3455">
        <w:t>recognizing</w:t>
      </w:r>
      <w:r w:rsidRPr="000B3455">
        <w:t xml:space="preserve"> costs in the profit and loss account, whereas a fixed salary does.</w:t>
      </w:r>
    </w:p>
    <w:p w:rsidR="001D5F43" w:rsidRPr="000B3455" w:rsidRDefault="001D5F43" w:rsidP="0088553E">
      <w:pPr>
        <w:tabs>
          <w:tab w:val="left" w:pos="3828"/>
          <w:tab w:val="left" w:pos="4678"/>
        </w:tabs>
        <w:spacing w:line="360" w:lineRule="auto"/>
        <w:jc w:val="both"/>
        <w:rPr>
          <w:rFonts w:cstheme="minorHAnsi"/>
        </w:rPr>
      </w:pPr>
      <w:r w:rsidRPr="000B3455">
        <w:t xml:space="preserve">In the case of employee stock options the DASB did provide specific guidelines. Under Dutch GAAP, companies had to apply the intrinsic value method when accounting for stock options. </w:t>
      </w:r>
      <w:r w:rsidRPr="000B3455">
        <w:rPr>
          <w:rFonts w:cstheme="minorHAnsi"/>
        </w:rPr>
        <w:t>Under this method the compensation cost of the stock option is expensed in the profit &amp; loss account. The compensation cost is the difference between the market price of the stock on the day that the option is granted and the exercise price of the option. This amount is in most of the cases zero (Hull and White</w:t>
      </w:r>
      <w:r w:rsidR="00502BB0" w:rsidRPr="000B3455">
        <w:rPr>
          <w:rFonts w:cstheme="minorHAnsi"/>
        </w:rPr>
        <w:t>,</w:t>
      </w:r>
      <w:r w:rsidRPr="000B3455">
        <w:rPr>
          <w:rFonts w:cstheme="minorHAnsi"/>
        </w:rPr>
        <w:t xml:space="preserve"> 2004). The compensation cost is zero when the exercise price equals or is higher than the share price.  It is favorable for the company to have no compensation costs, since in that case there are no costs recognized in the profit and loss account, implying a higher profit. For example, an option has an exercise price of € 15, and the market price is € 20, the recognized compensation cost is € 5. The journal entry would be:</w:t>
      </w:r>
    </w:p>
    <w:p w:rsidR="001D5F43" w:rsidRPr="000B3455" w:rsidRDefault="001D5F43" w:rsidP="0088553E">
      <w:pPr>
        <w:tabs>
          <w:tab w:val="left" w:pos="3828"/>
          <w:tab w:val="left" w:pos="4678"/>
        </w:tabs>
        <w:spacing w:line="360" w:lineRule="auto"/>
        <w:jc w:val="both"/>
        <w:rPr>
          <w:rFonts w:cstheme="minorHAnsi"/>
        </w:rPr>
      </w:pPr>
      <w:r w:rsidRPr="000B3455">
        <w:rPr>
          <w:rFonts w:cstheme="minorHAnsi"/>
        </w:rPr>
        <w:t>Employee compensation costs</w:t>
      </w:r>
      <w:r w:rsidRPr="000B3455">
        <w:rPr>
          <w:rFonts w:cstheme="minorHAnsi"/>
        </w:rPr>
        <w:tab/>
        <w:t>5</w:t>
      </w:r>
      <w:r w:rsidRPr="000B3455">
        <w:rPr>
          <w:rFonts w:cstheme="minorHAnsi"/>
        </w:rPr>
        <w:br/>
        <w:t>To additional paid-in capital</w:t>
      </w:r>
      <w:r w:rsidRPr="000B3455">
        <w:rPr>
          <w:rFonts w:cstheme="minorHAnsi"/>
        </w:rPr>
        <w:tab/>
      </w:r>
      <w:r w:rsidRPr="000B3455">
        <w:rPr>
          <w:rFonts w:cstheme="minorHAnsi"/>
        </w:rPr>
        <w:tab/>
        <w:t>5</w:t>
      </w:r>
    </w:p>
    <w:p w:rsidR="001D5F43" w:rsidRPr="000B3455" w:rsidRDefault="001D5F43" w:rsidP="0088553E">
      <w:pPr>
        <w:tabs>
          <w:tab w:val="left" w:pos="3828"/>
          <w:tab w:val="left" w:pos="4678"/>
        </w:tabs>
        <w:spacing w:line="360" w:lineRule="auto"/>
        <w:jc w:val="both"/>
        <w:rPr>
          <w:rFonts w:cstheme="minorHAnsi"/>
        </w:rPr>
      </w:pPr>
      <w:r w:rsidRPr="000B3455">
        <w:rPr>
          <w:rFonts w:cstheme="minorHAnsi"/>
        </w:rPr>
        <w:t xml:space="preserve">When the market price is € 10, the difference is negative (i.e. -€ 5). The compensation cost, however, cannot be negative, and is recognized as zero. The exercise </w:t>
      </w:r>
      <w:r w:rsidR="00194670" w:rsidRPr="000B3455">
        <w:rPr>
          <w:rFonts w:cstheme="minorHAnsi"/>
        </w:rPr>
        <w:t>price of stock options is</w:t>
      </w:r>
      <w:r w:rsidRPr="000B3455">
        <w:rPr>
          <w:rFonts w:cstheme="minorHAnsi"/>
        </w:rPr>
        <w:t xml:space="preserve"> determined by the issuer, in this case the company. Companies will set an exercise price equal to or higher than the market value, implying a compensation cost of zero, and no costs in the profit and loss account, and thus stock option compensation is ‘free’ for companies. In addition, the exercise price is set equal or higher than the share price to trigger employees to work on higher share prices. When a share price becomes higher than the exercise price, it is profitable to exercise the option. Because of both reasons granting employee with stock options is an attractive way to compensate employees. </w:t>
      </w:r>
    </w:p>
    <w:p w:rsidR="001D5F43" w:rsidRPr="000B3455" w:rsidRDefault="001D5F43" w:rsidP="0088553E">
      <w:pPr>
        <w:tabs>
          <w:tab w:val="left" w:pos="3828"/>
          <w:tab w:val="left" w:pos="4678"/>
        </w:tabs>
        <w:spacing w:line="360" w:lineRule="auto"/>
        <w:jc w:val="both"/>
        <w:rPr>
          <w:rFonts w:cstheme="minorHAnsi"/>
        </w:rPr>
      </w:pPr>
      <w:r w:rsidRPr="000B3455">
        <w:rPr>
          <w:rFonts w:cstheme="minorHAnsi"/>
        </w:rPr>
        <w:t>To cover the obligation a company gets, while granting employees with stock options, companies usually repurchase shares. The repurchase price is paid by bank or cash, and the additional paid-in capital reserve diminishes with the same amount. When an employee exercises its share option with an exercise price of € 15 and a face value of € 10, the journal entry would be:</w:t>
      </w:r>
    </w:p>
    <w:p w:rsidR="001D5F43" w:rsidRPr="000B3455" w:rsidRDefault="001D5F43" w:rsidP="0088553E">
      <w:pPr>
        <w:tabs>
          <w:tab w:val="left" w:pos="3828"/>
          <w:tab w:val="left" w:pos="4678"/>
        </w:tabs>
        <w:spacing w:line="360" w:lineRule="auto"/>
        <w:jc w:val="both"/>
        <w:rPr>
          <w:rFonts w:cstheme="minorHAnsi"/>
        </w:rPr>
      </w:pPr>
      <w:r w:rsidRPr="000B3455">
        <w:rPr>
          <w:rFonts w:cstheme="minorHAnsi"/>
        </w:rPr>
        <w:lastRenderedPageBreak/>
        <w:t>Cash</w:t>
      </w:r>
      <w:r w:rsidRPr="000B3455">
        <w:rPr>
          <w:rFonts w:cstheme="minorHAnsi"/>
        </w:rPr>
        <w:tab/>
        <w:t>15</w:t>
      </w:r>
      <w:r w:rsidRPr="000B3455">
        <w:rPr>
          <w:rFonts w:cstheme="minorHAnsi"/>
        </w:rPr>
        <w:br/>
        <w:t>To equity</w:t>
      </w:r>
      <w:r w:rsidRPr="000B3455">
        <w:rPr>
          <w:rFonts w:cstheme="minorHAnsi"/>
        </w:rPr>
        <w:tab/>
      </w:r>
      <w:r w:rsidRPr="000B3455">
        <w:rPr>
          <w:rFonts w:cstheme="minorHAnsi"/>
        </w:rPr>
        <w:tab/>
        <w:t>10</w:t>
      </w:r>
      <w:r w:rsidRPr="000B3455">
        <w:rPr>
          <w:rFonts w:cstheme="minorHAnsi"/>
        </w:rPr>
        <w:br/>
        <w:t>To additional paid-in capital</w:t>
      </w:r>
      <w:r w:rsidRPr="000B3455">
        <w:rPr>
          <w:rFonts w:cstheme="minorHAnsi"/>
        </w:rPr>
        <w:tab/>
      </w:r>
      <w:r w:rsidRPr="000B3455">
        <w:rPr>
          <w:rFonts w:cstheme="minorHAnsi"/>
        </w:rPr>
        <w:tab/>
        <w:t xml:space="preserve">  5</w:t>
      </w:r>
    </w:p>
    <w:p w:rsidR="001D5F43" w:rsidRPr="000B3455" w:rsidRDefault="001D5F43" w:rsidP="0088553E">
      <w:pPr>
        <w:pStyle w:val="Heading3"/>
        <w:spacing w:line="360" w:lineRule="auto"/>
        <w:jc w:val="both"/>
      </w:pPr>
      <w:bookmarkStart w:id="23" w:name="_Toc298944542"/>
      <w:r w:rsidRPr="000B3455">
        <w:t>3.1.2 Cash-settled share-based payments</w:t>
      </w:r>
      <w:bookmarkEnd w:id="23"/>
    </w:p>
    <w:p w:rsidR="001D5F43" w:rsidRPr="000B3455" w:rsidRDefault="001D5F43" w:rsidP="0088553E">
      <w:pPr>
        <w:tabs>
          <w:tab w:val="left" w:pos="3828"/>
          <w:tab w:val="left" w:pos="4678"/>
        </w:tabs>
        <w:spacing w:line="360" w:lineRule="auto"/>
        <w:jc w:val="both"/>
      </w:pPr>
      <w:r w:rsidRPr="000B3455">
        <w:t xml:space="preserve">Cash-settled share-based payments do not involve payments in shares, but in cash. The amount is dependent on the performance of the share on the stock market in that year, which makes this type of compensation share-based. The </w:t>
      </w:r>
      <w:r w:rsidR="00194670" w:rsidRPr="000B3455">
        <w:t>amount of cash-settled share-based payments is</w:t>
      </w:r>
      <w:r w:rsidRPr="000B3455">
        <w:t xml:space="preserve"> known when the year has ended. At the closing date of the financial statements, usually December, 31, the amount of cash-settled share-based payments is based on best estimation. Accordingly, the estimated amount of cash-settlements is recognized as a provision on the balance </w:t>
      </w:r>
      <w:r w:rsidR="00194670" w:rsidRPr="000B3455">
        <w:t>sheet</w:t>
      </w:r>
      <w:r w:rsidRPr="000B3455">
        <w:t xml:space="preserve"> and as costs on the profit and loss account. For example, when a company has to pay a manager </w:t>
      </w:r>
      <w:r w:rsidRPr="000B3455">
        <w:rPr>
          <w:rFonts w:cstheme="minorHAnsi"/>
        </w:rPr>
        <w:t>€</w:t>
      </w:r>
      <w:r w:rsidRPr="000B3455">
        <w:t xml:space="preserve"> 1,000 as a cash-settled share-based payment. On December, 31 the journal entry would be: </w:t>
      </w:r>
    </w:p>
    <w:p w:rsidR="001D5F43" w:rsidRPr="000B3455" w:rsidRDefault="001D5F43" w:rsidP="0088553E">
      <w:pPr>
        <w:tabs>
          <w:tab w:val="left" w:pos="3828"/>
          <w:tab w:val="left" w:pos="4678"/>
        </w:tabs>
        <w:spacing w:line="360" w:lineRule="auto"/>
        <w:jc w:val="both"/>
      </w:pPr>
      <w:r w:rsidRPr="000B3455">
        <w:t>Employee compensation costs</w:t>
      </w:r>
      <w:r w:rsidRPr="000B3455">
        <w:tab/>
        <w:t>1,000</w:t>
      </w:r>
      <w:r w:rsidRPr="000B3455">
        <w:br/>
        <w:t>To provision</w:t>
      </w:r>
      <w:r w:rsidRPr="000B3455">
        <w:tab/>
      </w:r>
      <w:r w:rsidRPr="000B3455">
        <w:tab/>
        <w:t>1,000</w:t>
      </w:r>
    </w:p>
    <w:p w:rsidR="001D5F43" w:rsidRPr="000B3455" w:rsidRDefault="001D5F43" w:rsidP="0088553E">
      <w:pPr>
        <w:tabs>
          <w:tab w:val="left" w:pos="3828"/>
          <w:tab w:val="left" w:pos="4678"/>
        </w:tabs>
        <w:spacing w:line="360" w:lineRule="auto"/>
        <w:jc w:val="both"/>
      </w:pPr>
      <w:r w:rsidRPr="000B3455">
        <w:t>On the date when the employee receives the cash, the journal entry would be:</w:t>
      </w:r>
    </w:p>
    <w:p w:rsidR="001D5F43" w:rsidRPr="000B3455" w:rsidRDefault="001D5F43" w:rsidP="0088553E">
      <w:pPr>
        <w:tabs>
          <w:tab w:val="left" w:pos="3828"/>
          <w:tab w:val="left" w:pos="4678"/>
        </w:tabs>
        <w:spacing w:line="360" w:lineRule="auto"/>
        <w:jc w:val="both"/>
      </w:pPr>
      <w:r w:rsidRPr="000B3455">
        <w:t>Provision</w:t>
      </w:r>
      <w:r w:rsidRPr="000B3455">
        <w:tab/>
        <w:t>1,000</w:t>
      </w:r>
      <w:r w:rsidRPr="000B3455">
        <w:br/>
        <w:t>To bank</w:t>
      </w:r>
      <w:r w:rsidRPr="000B3455">
        <w:tab/>
      </w:r>
      <w:r w:rsidRPr="000B3455">
        <w:tab/>
        <w:t>1,000</w:t>
      </w:r>
    </w:p>
    <w:p w:rsidR="001D5F43" w:rsidRPr="000B3455" w:rsidRDefault="001D5F43" w:rsidP="0088553E">
      <w:pPr>
        <w:tabs>
          <w:tab w:val="left" w:pos="3828"/>
          <w:tab w:val="left" w:pos="4678"/>
        </w:tabs>
        <w:spacing w:line="360" w:lineRule="auto"/>
        <w:jc w:val="both"/>
      </w:pPr>
      <w:r w:rsidRPr="000B3455">
        <w:t xml:space="preserve">Dutch GAAP </w:t>
      </w:r>
      <w:r w:rsidR="00194670" w:rsidRPr="000B3455">
        <w:t>does</w:t>
      </w:r>
      <w:r w:rsidRPr="000B3455">
        <w:t xml:space="preserve"> not require specific disclosures on share-based payments, only for stock options. These requirements involve the disclosures of the amounts of options not yet exercised at the beginning of the year, granted options and their exercise price, exercising period, and the accompanying shares, exercised options during the year, and options not yet exercised at the end of the year.</w:t>
      </w:r>
    </w:p>
    <w:p w:rsidR="001D5F43" w:rsidRPr="000B3455" w:rsidRDefault="001D5F43" w:rsidP="0088553E">
      <w:pPr>
        <w:pStyle w:val="Heading2"/>
        <w:spacing w:line="360" w:lineRule="auto"/>
        <w:jc w:val="both"/>
      </w:pPr>
      <w:bookmarkStart w:id="24" w:name="_Toc298944543"/>
      <w:r w:rsidRPr="000B3455">
        <w:t>3.2 IFRS 2 guidelines</w:t>
      </w:r>
      <w:bookmarkEnd w:id="24"/>
    </w:p>
    <w:p w:rsidR="001D5F43" w:rsidRPr="000B3455" w:rsidRDefault="001D5F43" w:rsidP="0088553E">
      <w:pPr>
        <w:tabs>
          <w:tab w:val="left" w:pos="3828"/>
          <w:tab w:val="left" w:pos="4678"/>
        </w:tabs>
        <w:spacing w:line="360" w:lineRule="auto"/>
        <w:jc w:val="both"/>
      </w:pPr>
      <w:r w:rsidRPr="000B3455">
        <w:t>The mandatory adoption of IFRS 2 for Dutch-listed companies in 2005, accompanied not only the change that all forms of compensation discussed here had to be recognized on the profit and loss account, but also the intrinsic value method for stock options was replaced by the fair value method (Bosman et al.</w:t>
      </w:r>
      <w:r w:rsidR="00502BB0" w:rsidRPr="000B3455">
        <w:t>, 2</w:t>
      </w:r>
      <w:r w:rsidRPr="000B3455">
        <w:t xml:space="preserve">006, </w:t>
      </w:r>
      <w:r w:rsidR="00EB350F" w:rsidRPr="000B3455">
        <w:t xml:space="preserve">p. </w:t>
      </w:r>
      <w:r w:rsidRPr="000B3455">
        <w:t xml:space="preserve">24). IFRS 2 has been developed in a joint project of the IASB and the FASB. The American equivalent of IFRS 2 is SFAS 123 (R), which became mandatory in the U.S. in 2005. </w:t>
      </w:r>
    </w:p>
    <w:p w:rsidR="001D5F43" w:rsidRPr="000B3455" w:rsidRDefault="001D5F43" w:rsidP="0088553E">
      <w:pPr>
        <w:tabs>
          <w:tab w:val="left" w:pos="3828"/>
          <w:tab w:val="left" w:pos="4678"/>
        </w:tabs>
        <w:spacing w:line="360" w:lineRule="auto"/>
        <w:jc w:val="both"/>
      </w:pPr>
      <w:r w:rsidRPr="000B3455">
        <w:t>At first, IFRS 2 distinguish</w:t>
      </w:r>
      <w:r w:rsidR="00502BB0" w:rsidRPr="000B3455">
        <w:t>es</w:t>
      </w:r>
      <w:r w:rsidRPr="000B3455">
        <w:t xml:space="preserve"> share-based payment into three categories: equity-settled, cash-settled, and a form in which one of both parties can choose between equity-settled and cash-settled. However the </w:t>
      </w:r>
      <w:r w:rsidRPr="000B3455">
        <w:lastRenderedPageBreak/>
        <w:t xml:space="preserve">categories are accounted for differently, they should all represent the fair value of the goods or services an entity has received. </w:t>
      </w:r>
    </w:p>
    <w:p w:rsidR="001D5F43" w:rsidRPr="000B3455" w:rsidRDefault="001D5F43" w:rsidP="0088553E">
      <w:pPr>
        <w:tabs>
          <w:tab w:val="left" w:pos="3828"/>
          <w:tab w:val="left" w:pos="4678"/>
        </w:tabs>
        <w:spacing w:line="360" w:lineRule="auto"/>
        <w:jc w:val="both"/>
      </w:pPr>
      <w:r w:rsidRPr="000B3455">
        <w:t>When a company cannot reliably estimate the fair value of the goods or services received, they should measure the fair value of the equity instruments granted. In the case of granting equity instruments to an employee as remuneration, the company should measure the fair value of the equity instruments, since it is assumed that the services rendered cannot be estimated at fair value (Alfredson et al.</w:t>
      </w:r>
      <w:r w:rsidR="00502BB0" w:rsidRPr="000B3455">
        <w:t>,</w:t>
      </w:r>
      <w:r w:rsidRPr="000B3455">
        <w:t xml:space="preserve"> 2009, </w:t>
      </w:r>
      <w:r w:rsidR="00EB350F" w:rsidRPr="000B3455">
        <w:t xml:space="preserve">p. </w:t>
      </w:r>
      <w:r w:rsidRPr="000B3455">
        <w:t xml:space="preserve">199). The fair value of equity instruments is based on the market prices of those instruments. </w:t>
      </w:r>
    </w:p>
    <w:p w:rsidR="001D5F43" w:rsidRPr="000B3455" w:rsidRDefault="001D5F43" w:rsidP="0088553E">
      <w:pPr>
        <w:pStyle w:val="Heading3"/>
        <w:spacing w:line="360" w:lineRule="auto"/>
        <w:jc w:val="both"/>
      </w:pPr>
      <w:bookmarkStart w:id="25" w:name="_Toc298944544"/>
      <w:r w:rsidRPr="000B3455">
        <w:t>3.2.1 Equity-settled share-based payment</w:t>
      </w:r>
      <w:bookmarkEnd w:id="25"/>
    </w:p>
    <w:p w:rsidR="001D5F43" w:rsidRPr="000B3455" w:rsidRDefault="001D5F43" w:rsidP="0088553E">
      <w:pPr>
        <w:tabs>
          <w:tab w:val="left" w:pos="3828"/>
          <w:tab w:val="left" w:pos="4678"/>
        </w:tabs>
        <w:spacing w:line="360" w:lineRule="auto"/>
        <w:jc w:val="both"/>
        <w:rPr>
          <w:rFonts w:cstheme="minorHAnsi"/>
        </w:rPr>
      </w:pPr>
      <w:r w:rsidRPr="000B3455">
        <w:t xml:space="preserve">The fair value of shares is measured as the market price of the entity’s shares at grant date, while taken into account specific conditions for granted shares, whereas the vesting conditions should not be taken into account. </w:t>
      </w:r>
      <w:r w:rsidRPr="000B3455">
        <w:rPr>
          <w:rFonts w:cstheme="minorHAnsi"/>
        </w:rPr>
        <w:t>IFRS 2 (IASB</w:t>
      </w:r>
      <w:r w:rsidR="00502BB0" w:rsidRPr="000B3455">
        <w:rPr>
          <w:rFonts w:cstheme="minorHAnsi"/>
        </w:rPr>
        <w:t>,</w:t>
      </w:r>
      <w:r w:rsidRPr="000B3455">
        <w:rPr>
          <w:rFonts w:cstheme="minorHAnsi"/>
        </w:rPr>
        <w:t xml:space="preserve"> 2009</w:t>
      </w:r>
      <w:r w:rsidR="005912B4" w:rsidRPr="000B3455">
        <w:rPr>
          <w:rFonts w:cstheme="minorHAnsi"/>
        </w:rPr>
        <w:t>,</w:t>
      </w:r>
      <w:r w:rsidRPr="000B3455">
        <w:rPr>
          <w:rFonts w:cstheme="minorHAnsi"/>
        </w:rPr>
        <w:t xml:space="preserve"> </w:t>
      </w:r>
      <w:r w:rsidR="00EB350F" w:rsidRPr="000B3455">
        <w:rPr>
          <w:rFonts w:cstheme="minorHAnsi"/>
        </w:rPr>
        <w:t xml:space="preserve">p. </w:t>
      </w:r>
      <w:r w:rsidRPr="000B3455">
        <w:rPr>
          <w:rFonts w:cstheme="minorHAnsi"/>
        </w:rPr>
        <w:t xml:space="preserve">A77) defines vest as: “To become an entitlement…equity instruments of the entity vests when the counterparty’s entitlement is no longer conditional on the satisfaction of any vesting conditions.” The period between the grant date and the date when vesting conditions are satisfied is the vesting period. The fair value is, however, expensed equally over that vesting period. Assume an employee receives 100 shares. The market price at grant date and fair value is € 15. The vesting period is three years. The employee is granted with € 1,500 stock compensation, but earns the unconditional right to the shares in three years. Therefore the yearly expense of the granted shares is € 500. According to Alfredson et al. (2009, </w:t>
      </w:r>
      <w:r w:rsidR="00EB350F" w:rsidRPr="000B3455">
        <w:rPr>
          <w:rFonts w:cstheme="minorHAnsi"/>
        </w:rPr>
        <w:t xml:space="preserve">p. </w:t>
      </w:r>
      <w:r w:rsidRPr="000B3455">
        <w:rPr>
          <w:rFonts w:cstheme="minorHAnsi"/>
        </w:rPr>
        <w:t>199), the journal entry would be:</w:t>
      </w:r>
    </w:p>
    <w:p w:rsidR="001D5F43" w:rsidRPr="000B3455" w:rsidRDefault="001D5F43" w:rsidP="0088553E">
      <w:pPr>
        <w:tabs>
          <w:tab w:val="left" w:pos="3828"/>
          <w:tab w:val="left" w:pos="4678"/>
        </w:tabs>
        <w:spacing w:line="360" w:lineRule="auto"/>
        <w:jc w:val="both"/>
        <w:rPr>
          <w:rFonts w:cstheme="minorHAnsi"/>
        </w:rPr>
      </w:pPr>
      <w:r w:rsidRPr="000B3455">
        <w:rPr>
          <w:rFonts w:cstheme="minorHAnsi"/>
        </w:rPr>
        <w:t>Employee compensation costs</w:t>
      </w:r>
      <w:r w:rsidRPr="000B3455">
        <w:rPr>
          <w:rFonts w:cstheme="minorHAnsi"/>
        </w:rPr>
        <w:tab/>
        <w:t>500</w:t>
      </w:r>
      <w:r w:rsidRPr="000B3455">
        <w:rPr>
          <w:rFonts w:cstheme="minorHAnsi"/>
        </w:rPr>
        <w:br/>
        <w:t>To equity</w:t>
      </w:r>
      <w:r w:rsidRPr="000B3455">
        <w:rPr>
          <w:rFonts w:cstheme="minorHAnsi"/>
        </w:rPr>
        <w:tab/>
      </w:r>
      <w:r w:rsidRPr="000B3455">
        <w:rPr>
          <w:rFonts w:cstheme="minorHAnsi"/>
        </w:rPr>
        <w:tab/>
        <w:t>500</w:t>
      </w:r>
    </w:p>
    <w:p w:rsidR="001D5F43" w:rsidRPr="000B3455" w:rsidRDefault="001D5F43" w:rsidP="0088553E">
      <w:pPr>
        <w:tabs>
          <w:tab w:val="left" w:pos="3828"/>
          <w:tab w:val="left" w:pos="4678"/>
        </w:tabs>
        <w:spacing w:line="360" w:lineRule="auto"/>
        <w:jc w:val="both"/>
      </w:pPr>
      <w:r w:rsidRPr="000B3455">
        <w:t>Determining the fair value of shares is straightforward. The fair value of stock options, however, cannot be determined that easily. An option gives the choice whether to exercise it or not, thus make profit or lose nothing. Accordingly, an option provides the holder with decreased risk. This decreased risk has a value, which is the fair value of the stock option. The fair value is equal to the market price of stock options. However, the market price is not available</w:t>
      </w:r>
      <w:r w:rsidR="00D92336">
        <w:t xml:space="preserve"> in</w:t>
      </w:r>
      <w:r w:rsidR="00194670" w:rsidRPr="00194670">
        <w:t xml:space="preserve"> </w:t>
      </w:r>
      <w:r w:rsidR="00194670" w:rsidRPr="000B3455">
        <w:t>most of the times</w:t>
      </w:r>
      <w:r w:rsidRPr="000B3455">
        <w:t>. In that case option pricing models are used to estimate the fair value (</w:t>
      </w:r>
      <w:r w:rsidR="00DE7DE8">
        <w:t>IASB,</w:t>
      </w:r>
      <w:r w:rsidRPr="000B3455">
        <w:t xml:space="preserve"> 2009, </w:t>
      </w:r>
      <w:r w:rsidR="00502BB0" w:rsidRPr="000B3455">
        <w:t>p</w:t>
      </w:r>
      <w:r w:rsidR="00EB350F" w:rsidRPr="000B3455">
        <w:t xml:space="preserve">p. </w:t>
      </w:r>
      <w:r w:rsidRPr="000B3455">
        <w:t>A78-A79). The two most common option pricing models are the Black-Scholes formula, and the binomial tree (Muurling and Lehnert</w:t>
      </w:r>
      <w:r w:rsidR="00502BB0" w:rsidRPr="000B3455">
        <w:t>,</w:t>
      </w:r>
      <w:r w:rsidRPr="000B3455">
        <w:t xml:space="preserve"> 2004, </w:t>
      </w:r>
      <w:r w:rsidR="00EB350F" w:rsidRPr="000B3455">
        <w:t xml:space="preserve">p. </w:t>
      </w:r>
      <w:r w:rsidRPr="000B3455">
        <w:t xml:space="preserve">392). The latter uses possible values of stock options to calculate the underlying value of a stock option. According to Berk and DeMarzo (2007, </w:t>
      </w:r>
      <w:r w:rsidR="00EB350F" w:rsidRPr="000B3455">
        <w:t xml:space="preserve">pp. </w:t>
      </w:r>
      <w:r w:rsidRPr="000B3455">
        <w:t xml:space="preserve">686-694) the basic model consists of only one period, whereas the multiperiod model incorporates more than one period. In the binomial tree model a share </w:t>
      </w:r>
      <w:r w:rsidRPr="000B3455">
        <w:lastRenderedPageBreak/>
        <w:t xml:space="preserve">can only have two possible future values. Either the share price rises with, for example, </w:t>
      </w:r>
      <w:r w:rsidRPr="000B3455">
        <w:rPr>
          <w:rFonts w:cstheme="minorHAnsi"/>
        </w:rPr>
        <w:t>€</w:t>
      </w:r>
      <w:r w:rsidRPr="000B3455">
        <w:t xml:space="preserve"> 20 or it falls by </w:t>
      </w:r>
      <w:r w:rsidRPr="000B3455">
        <w:rPr>
          <w:rFonts w:cstheme="minorHAnsi"/>
        </w:rPr>
        <w:t>€</w:t>
      </w:r>
      <w:r w:rsidRPr="000B3455">
        <w:t xml:space="preserve"> 20. By an increased share price of </w:t>
      </w:r>
      <w:r w:rsidRPr="000B3455">
        <w:rPr>
          <w:rFonts w:cstheme="minorHAnsi"/>
        </w:rPr>
        <w:t>€</w:t>
      </w:r>
      <w:r w:rsidRPr="000B3455">
        <w:t xml:space="preserve"> 20 the stock option will be exercised and has a return of </w:t>
      </w:r>
      <w:r w:rsidRPr="000B3455">
        <w:rPr>
          <w:rFonts w:cstheme="minorHAnsi"/>
        </w:rPr>
        <w:t>€</w:t>
      </w:r>
      <w:r w:rsidRPr="000B3455">
        <w:t xml:space="preserve"> 20. A stock option will not be exercised when the share price drops below the exercise price and its accompanying value is null. </w:t>
      </w:r>
      <w:r w:rsidRPr="000B3455">
        <w:rPr>
          <w:noProof/>
        </w:rPr>
        <w:t xml:space="preserve">The values and share prices, together with the risk-free interest rate and the number of purchased shares, will be included in a formula to calculate the underlying value of a stock option. By including multiple periods the model and decreasing the lengths of periods the binomial tree model provides a realistic model for pricing of stock options. </w:t>
      </w:r>
      <w:r w:rsidRPr="000B3455">
        <w:t xml:space="preserve"> </w:t>
      </w:r>
    </w:p>
    <w:p w:rsidR="001D5F43" w:rsidRPr="000B3455" w:rsidRDefault="001D5F43" w:rsidP="0088553E">
      <w:pPr>
        <w:tabs>
          <w:tab w:val="left" w:pos="3828"/>
          <w:tab w:val="left" w:pos="4678"/>
        </w:tabs>
        <w:spacing w:line="360" w:lineRule="auto"/>
        <w:jc w:val="both"/>
      </w:pPr>
      <w:r w:rsidRPr="000B3455">
        <w:t>The Black-Scholes formula can be derived from the binomial tree model (Berk and DeMarzo</w:t>
      </w:r>
      <w:r w:rsidR="00EB350F" w:rsidRPr="000B3455">
        <w:t>,</w:t>
      </w:r>
      <w:r w:rsidRPr="000B3455">
        <w:t xml:space="preserve"> 2007, </w:t>
      </w:r>
      <w:r w:rsidR="00EB350F" w:rsidRPr="000B3455">
        <w:t xml:space="preserve">pp. </w:t>
      </w:r>
      <w:r w:rsidRPr="000B3455">
        <w:t>694-702). The length of each period of the binomial tree model approaches to null in the Black-Scholes model. In the Black-Scholes model, however, the expected return of stock options is replaced by the volatility of a company’s stock. The value of a stock option is calculated by:</w:t>
      </w:r>
    </w:p>
    <w:p w:rsidR="001D5F43" w:rsidRPr="000B3455" w:rsidRDefault="001D5F43" w:rsidP="0088553E">
      <w:pPr>
        <w:tabs>
          <w:tab w:val="left" w:pos="3828"/>
          <w:tab w:val="left" w:pos="4678"/>
        </w:tabs>
        <w:spacing w:line="360" w:lineRule="auto"/>
        <w:jc w:val="both"/>
        <w:rPr>
          <w:i/>
        </w:rPr>
      </w:pPr>
      <w:r w:rsidRPr="000B3455">
        <w:rPr>
          <w:i/>
        </w:rPr>
        <w:t>C(S) = S</w:t>
      </w:r>
      <w:r w:rsidRPr="000B3455">
        <w:rPr>
          <w:i/>
          <w:vertAlign w:val="superscript"/>
        </w:rPr>
        <w:t xml:space="preserve">x </w:t>
      </w:r>
      <w:r w:rsidRPr="000B3455">
        <w:rPr>
          <w:i/>
        </w:rPr>
        <w:t>N(d</w:t>
      </w:r>
      <w:r w:rsidRPr="000B3455">
        <w:rPr>
          <w:i/>
          <w:vertAlign w:val="subscript"/>
        </w:rPr>
        <w:t>1</w:t>
      </w:r>
      <w:r w:rsidRPr="000B3455">
        <w:rPr>
          <w:i/>
        </w:rPr>
        <w:t>) – PV (K) N(d</w:t>
      </w:r>
      <w:r w:rsidRPr="000B3455">
        <w:rPr>
          <w:i/>
          <w:vertAlign w:val="subscript"/>
        </w:rPr>
        <w:t>2</w:t>
      </w:r>
      <w:r w:rsidRPr="000B3455">
        <w:rPr>
          <w:i/>
        </w:rPr>
        <w:t>)</w:t>
      </w:r>
    </w:p>
    <w:p w:rsidR="001D5F43" w:rsidRPr="000B3455" w:rsidRDefault="001D5F43" w:rsidP="0088553E">
      <w:pPr>
        <w:tabs>
          <w:tab w:val="left" w:pos="3828"/>
          <w:tab w:val="left" w:pos="4678"/>
        </w:tabs>
        <w:spacing w:line="360" w:lineRule="auto"/>
        <w:jc w:val="both"/>
      </w:pPr>
      <w:r w:rsidRPr="000B3455">
        <w:t>Where d</w:t>
      </w:r>
      <w:r w:rsidRPr="000B3455">
        <w:rPr>
          <w:vertAlign w:val="subscript"/>
        </w:rPr>
        <w:t>1</w:t>
      </w:r>
      <w:r w:rsidRPr="000B3455">
        <w:t xml:space="preserve"> and d</w:t>
      </w:r>
      <w:r w:rsidRPr="000B3455">
        <w:rPr>
          <w:vertAlign w:val="subscript"/>
        </w:rPr>
        <w:t>2</w:t>
      </w:r>
      <w:r w:rsidRPr="000B3455">
        <w:t xml:space="preserve"> are calculated as: </w:t>
      </w:r>
    </w:p>
    <w:p w:rsidR="001D5F43" w:rsidRPr="000B3455" w:rsidRDefault="001D5F43" w:rsidP="0088553E">
      <w:pPr>
        <w:tabs>
          <w:tab w:val="left" w:pos="3828"/>
          <w:tab w:val="left" w:pos="4678"/>
        </w:tabs>
        <w:spacing w:line="360" w:lineRule="auto"/>
        <w:jc w:val="both"/>
        <w:rPr>
          <w:i/>
        </w:rPr>
      </w:pPr>
      <w:r w:rsidRPr="000B3455">
        <w:rPr>
          <w:i/>
        </w:rPr>
        <w:t>d</w:t>
      </w:r>
      <w:r w:rsidRPr="000B3455">
        <w:rPr>
          <w:i/>
          <w:vertAlign w:val="subscript"/>
        </w:rPr>
        <w:t>1</w:t>
      </w:r>
      <w:r w:rsidRPr="000B3455">
        <w:rPr>
          <w:i/>
        </w:rPr>
        <w:t xml:space="preserve"> = </w:t>
      </w:r>
      <m:oMath>
        <m:r>
          <w:rPr>
            <w:rFonts w:ascii="Cambria Math"/>
          </w:rPr>
          <m:t xml:space="preserve">   </m:t>
        </m:r>
        <m:f>
          <m:fPr>
            <m:ctrlPr>
              <w:rPr>
                <w:rFonts w:ascii="Cambria Math" w:hAnsi="Cambria Math"/>
                <w:i/>
              </w:rPr>
            </m:ctrlPr>
          </m:fPr>
          <m:num>
            <m:func>
              <m:funcPr>
                <m:ctrlPr>
                  <w:rPr>
                    <w:rFonts w:ascii="Cambria Math" w:hAnsi="Cambria Math"/>
                    <w:i/>
                  </w:rPr>
                </m:ctrlPr>
              </m:funcPr>
              <m:fName>
                <m:r>
                  <w:rPr>
                    <w:rFonts w:ascii="Cambria Math" w:hAnsi="Cambria Math"/>
                  </w:rPr>
                  <m:t>ln</m:t>
                </m:r>
              </m:fName>
              <m:e>
                <m:d>
                  <m:dPr>
                    <m:begChr m:val="["/>
                    <m:endChr m:val="]"/>
                    <m:ctrlPr>
                      <w:rPr>
                        <w:rFonts w:ascii="Cambria Math" w:hAnsi="Cambria Math"/>
                        <w:i/>
                      </w:rPr>
                    </m:ctrlPr>
                  </m:dPr>
                  <m:e>
                    <m:r>
                      <w:rPr>
                        <w:rFonts w:ascii="Cambria Math" w:hAnsi="Cambria Math"/>
                      </w:rPr>
                      <m:t>S</m:t>
                    </m:r>
                    <m:r>
                      <w:rPr>
                        <w:rFonts w:ascii="Cambria Math" w:hAnsi="Cambria Math"/>
                        <w:vertAlign w:val="subscript"/>
                      </w:rPr>
                      <m:t>x</m:t>
                    </m:r>
                    <m:r>
                      <m:rPr>
                        <m:sty m:val="p"/>
                      </m:rPr>
                      <w:rPr>
                        <w:rFonts w:ascii="Cambria Math"/>
                      </w:rPr>
                      <m:t xml:space="preserve"> </m:t>
                    </m:r>
                    <m:r>
                      <w:rPr>
                        <w:rFonts w:ascii="Cambria Math"/>
                        <w:vertAlign w:val="subscript"/>
                      </w:rPr>
                      <m:t xml:space="preserve">/ </m:t>
                    </m:r>
                    <m:r>
                      <w:rPr>
                        <w:rFonts w:ascii="Cambria Math" w:hAnsi="Cambria Math"/>
                      </w:rPr>
                      <m:t>PV</m:t>
                    </m:r>
                    <m:r>
                      <w:rPr>
                        <w:rFonts w:ascii="Cambria Math"/>
                      </w:rPr>
                      <m:t xml:space="preserve"> (</m:t>
                    </m:r>
                    <m:r>
                      <w:rPr>
                        <w:rFonts w:ascii="Cambria Math" w:hAnsi="Cambria Math"/>
                      </w:rPr>
                      <m:t>K</m:t>
                    </m:r>
                    <m:r>
                      <w:rPr>
                        <w:rFonts w:ascii="Cambria Math"/>
                      </w:rPr>
                      <m:t>)</m:t>
                    </m:r>
                  </m:e>
                </m:d>
              </m:e>
            </m:func>
          </m:num>
          <m:den>
            <m:d>
              <m:dPr>
                <m:ctrlPr>
                  <w:rPr>
                    <w:rFonts w:ascii="Cambria Math" w:hAnsi="Cambria Math"/>
                    <w:i/>
                  </w:rPr>
                </m:ctrlPr>
              </m:dPr>
              <m:e>
                <m:r>
                  <w:rPr>
                    <w:rFonts w:ascii="Cambria Math" w:hAnsi="Cambria Math"/>
                  </w:rPr>
                  <m:t>σ</m:t>
                </m:r>
                <m:rad>
                  <m:radPr>
                    <m:degHide m:val="on"/>
                    <m:ctrlPr>
                      <w:rPr>
                        <w:rFonts w:ascii="Cambria Math" w:hAnsi="Cambria Math"/>
                        <w:i/>
                      </w:rPr>
                    </m:ctrlPr>
                  </m:radPr>
                  <m:deg/>
                  <m:e>
                    <m:r>
                      <w:rPr>
                        <w:rFonts w:ascii="Cambria Math" w:hAnsi="Cambria Math"/>
                      </w:rPr>
                      <m:t>T</m:t>
                    </m:r>
                  </m:e>
                </m:rad>
              </m:e>
            </m:d>
          </m:den>
        </m:f>
        <m:r>
          <w:rPr>
            <w:rFonts w:ascii="Cambria Math"/>
          </w:rPr>
          <m:t xml:space="preserve">+ </m:t>
        </m:r>
        <m:f>
          <m:fPr>
            <m:ctrlPr>
              <w:rPr>
                <w:rFonts w:ascii="Cambria Math" w:hAnsi="Cambria Math"/>
                <w:i/>
              </w:rPr>
            </m:ctrlPr>
          </m:fPr>
          <m:num>
            <m:d>
              <m:dPr>
                <m:ctrlPr>
                  <w:rPr>
                    <w:rFonts w:ascii="Cambria Math" w:hAnsi="Cambria Math"/>
                    <w:i/>
                  </w:rPr>
                </m:ctrlPr>
              </m:dPr>
              <m:e>
                <m:r>
                  <w:rPr>
                    <w:rFonts w:ascii="Cambria Math" w:hAnsi="Cambria Math"/>
                  </w:rPr>
                  <m:t>σ</m:t>
                </m:r>
                <m:rad>
                  <m:radPr>
                    <m:degHide m:val="on"/>
                    <m:ctrlPr>
                      <w:rPr>
                        <w:rFonts w:ascii="Cambria Math" w:hAnsi="Cambria Math"/>
                        <w:i/>
                      </w:rPr>
                    </m:ctrlPr>
                  </m:radPr>
                  <m:deg/>
                  <m:e>
                    <m:r>
                      <w:rPr>
                        <w:rFonts w:ascii="Cambria Math" w:hAnsi="Cambria Math"/>
                      </w:rPr>
                      <m:t>T</m:t>
                    </m:r>
                  </m:e>
                </m:rad>
              </m:e>
            </m:d>
          </m:num>
          <m:den>
            <m:r>
              <w:rPr>
                <w:rFonts w:ascii="Cambria Math"/>
              </w:rPr>
              <m:t>2</m:t>
            </m:r>
          </m:den>
        </m:f>
        <m:r>
          <w:rPr>
            <w:rFonts w:ascii="Cambria Math"/>
          </w:rPr>
          <m:t xml:space="preserve"> </m:t>
        </m:r>
      </m:oMath>
      <w:r w:rsidRPr="000B3455">
        <w:rPr>
          <w:i/>
        </w:rPr>
        <w:t xml:space="preserve"> </w:t>
      </w:r>
      <w:r w:rsidRPr="000B3455">
        <w:t>and</w:t>
      </w:r>
      <w:r w:rsidRPr="000B3455">
        <w:rPr>
          <w:i/>
        </w:rPr>
        <w:t xml:space="preserve"> d</w:t>
      </w:r>
      <w:r w:rsidRPr="000B3455">
        <w:rPr>
          <w:i/>
          <w:vertAlign w:val="subscript"/>
        </w:rPr>
        <w:t>2</w:t>
      </w:r>
      <w:r w:rsidRPr="000B3455">
        <w:rPr>
          <w:i/>
        </w:rPr>
        <w:t xml:space="preserve"> = d</w:t>
      </w:r>
      <w:r w:rsidRPr="000B3455">
        <w:rPr>
          <w:i/>
          <w:vertAlign w:val="subscript"/>
        </w:rPr>
        <w:t>1</w:t>
      </w:r>
      <w:r w:rsidRPr="000B3455">
        <w:rPr>
          <w:i/>
        </w:rPr>
        <w:t xml:space="preserve"> - </w:t>
      </w:r>
      <m:oMath>
        <m:r>
          <m:rPr>
            <m:nor/>
          </m:rPr>
          <w:rPr>
            <w:i/>
          </w:rPr>
          <m:t xml:space="preserve"> σ </m:t>
        </m:r>
        <m:rad>
          <m:radPr>
            <m:degHide m:val="on"/>
            <m:ctrlPr>
              <w:rPr>
                <w:rFonts w:ascii="Cambria Math" w:hAnsi="Cambria Math"/>
                <w:i/>
              </w:rPr>
            </m:ctrlPr>
          </m:radPr>
          <m:deg/>
          <m:e>
            <m:r>
              <w:rPr>
                <w:rFonts w:ascii="Cambria Math" w:hAnsi="Cambria Math"/>
              </w:rPr>
              <m:t>T</m:t>
            </m:r>
          </m:e>
        </m:rad>
        <m:r>
          <w:rPr>
            <w:rFonts w:ascii="Cambria Math"/>
          </w:rPr>
          <m:t xml:space="preserve"> </m:t>
        </m:r>
      </m:oMath>
    </w:p>
    <w:p w:rsidR="001D5F43" w:rsidRPr="000B3455" w:rsidRDefault="001D5F43" w:rsidP="0088553E">
      <w:pPr>
        <w:tabs>
          <w:tab w:val="left" w:pos="3828"/>
          <w:tab w:val="left" w:pos="4678"/>
        </w:tabs>
        <w:spacing w:line="360" w:lineRule="auto"/>
        <w:jc w:val="both"/>
      </w:pPr>
      <w:r w:rsidRPr="000B3455">
        <w:t xml:space="preserve">Where, </w:t>
      </w:r>
      <w:r w:rsidRPr="000B3455">
        <w:rPr>
          <w:i/>
        </w:rPr>
        <w:t>S</w:t>
      </w:r>
      <w:r w:rsidRPr="000B3455">
        <w:rPr>
          <w:i/>
          <w:vertAlign w:val="superscript"/>
        </w:rPr>
        <w:t>x</w:t>
      </w:r>
      <w:r w:rsidRPr="000B3455">
        <w:t xml:space="preserve"> is the value of the share divided by the compounded dividend yield until the expiration date</w:t>
      </w:r>
      <w:r w:rsidRPr="000B3455">
        <w:rPr>
          <w:rStyle w:val="FootnoteReference"/>
        </w:rPr>
        <w:footnoteReference w:id="2"/>
      </w:r>
      <w:r w:rsidRPr="000B3455">
        <w:t xml:space="preserve">, </w:t>
      </w:r>
      <w:r w:rsidRPr="000B3455">
        <w:rPr>
          <w:i/>
        </w:rPr>
        <w:t>N(d)</w:t>
      </w:r>
      <w:r w:rsidRPr="000B3455">
        <w:t xml:space="preserve"> is the cumulative normal distribution with d as boundary, </w:t>
      </w:r>
      <w:r w:rsidRPr="000B3455">
        <w:rPr>
          <w:i/>
        </w:rPr>
        <w:t>PV (K</w:t>
      </w:r>
      <w:r w:rsidRPr="000B3455">
        <w:t xml:space="preserve">) is the present value of the exercise price, </w:t>
      </w:r>
      <m:oMath>
        <m:r>
          <w:rPr>
            <w:rFonts w:ascii="Cambria Math" w:hAnsi="Cambria Math"/>
          </w:rPr>
          <m:t>σ</m:t>
        </m:r>
      </m:oMath>
      <w:r w:rsidRPr="000B3455">
        <w:t xml:space="preserve"> is the annual volatility of shares, </w:t>
      </w:r>
      <w:r w:rsidRPr="000B3455">
        <w:rPr>
          <w:i/>
        </w:rPr>
        <w:t>T</w:t>
      </w:r>
      <w:r w:rsidRPr="000B3455">
        <w:t xml:space="preserve"> is the number of years to expiration date, and </w:t>
      </w:r>
      <w:r w:rsidRPr="000B3455">
        <w:rPr>
          <w:i/>
        </w:rPr>
        <w:t>S</w:t>
      </w:r>
      <w:r w:rsidR="004D78BA" w:rsidRPr="000B3455">
        <w:t xml:space="preserve"> is the actual share price (see also </w:t>
      </w:r>
      <w:fldSimple w:instr=" REF I \h  \* MERGEFORMAT ">
        <w:r w:rsidR="001D5F9A" w:rsidRPr="000B3455">
          <w:t>Appendix I</w:t>
        </w:r>
      </w:fldSimple>
      <w:r w:rsidR="004D78BA" w:rsidRPr="000B3455">
        <w:t>).</w:t>
      </w:r>
    </w:p>
    <w:p w:rsidR="001D5F43" w:rsidRPr="000B3455" w:rsidRDefault="001D5F43" w:rsidP="0088553E">
      <w:pPr>
        <w:tabs>
          <w:tab w:val="left" w:pos="3828"/>
          <w:tab w:val="left" w:pos="4678"/>
        </w:tabs>
        <w:spacing w:line="360" w:lineRule="auto"/>
        <w:jc w:val="both"/>
      </w:pPr>
      <w:r w:rsidRPr="000B3455">
        <w:t>According to IFRS 2 all option pricing models should minimally include the exercise price, lifetime, current price of underlying shares, expected volatility of the share price, expected dividends on shares, and the risk-free interest rate. The Black-Scholes model, as discussed before, does meet these requirements. The present value of the exercise price is calculated as the exercise price divided by the risk-free interest rate.</w:t>
      </w:r>
    </w:p>
    <w:p w:rsidR="001D5F43" w:rsidRPr="000B3455" w:rsidRDefault="001D5F43" w:rsidP="0088553E">
      <w:pPr>
        <w:tabs>
          <w:tab w:val="left" w:pos="3828"/>
          <w:tab w:val="left" w:pos="4678"/>
        </w:tabs>
        <w:spacing w:line="360" w:lineRule="auto"/>
        <w:jc w:val="both"/>
      </w:pPr>
      <w:r w:rsidRPr="000B3455">
        <w:t xml:space="preserve">IFRS 2 requires companies to recognize the fair value of the granted stock options to be expensed on the profit and loss account with equal amounts over the (expected) vesting period. Assume that an </w:t>
      </w:r>
      <w:r w:rsidRPr="000B3455">
        <w:lastRenderedPageBreak/>
        <w:t xml:space="preserve">employee has been granted with 100 stock options with a fair value of </w:t>
      </w:r>
      <w:r w:rsidRPr="000B3455">
        <w:rPr>
          <w:rFonts w:cstheme="minorHAnsi"/>
        </w:rPr>
        <w:t>€</w:t>
      </w:r>
      <w:r w:rsidRPr="000B3455">
        <w:t xml:space="preserve"> 5. The (expected) vesting period is five years. The total fair value of granted stock options is </w:t>
      </w:r>
      <w:r w:rsidRPr="000B3455">
        <w:rPr>
          <w:rFonts w:cstheme="minorHAnsi"/>
        </w:rPr>
        <w:t>€</w:t>
      </w:r>
      <w:r w:rsidRPr="000B3455">
        <w:t xml:space="preserve"> 5 * 100 = </w:t>
      </w:r>
      <w:r w:rsidRPr="000B3455">
        <w:rPr>
          <w:rFonts w:cstheme="minorHAnsi"/>
        </w:rPr>
        <w:t>€</w:t>
      </w:r>
      <w:r w:rsidRPr="000B3455">
        <w:t xml:space="preserve"> 500. The stock options are conditionally awarded. Therefore, the total fair value is recognized equally over the vesting period. The employee compensation costs for one year is </w:t>
      </w:r>
      <w:r w:rsidRPr="000B3455">
        <w:rPr>
          <w:rFonts w:cstheme="minorHAnsi"/>
        </w:rPr>
        <w:t>€</w:t>
      </w:r>
      <w:r w:rsidRPr="000B3455">
        <w:t xml:space="preserve"> 500 / 5 years = </w:t>
      </w:r>
      <w:r w:rsidRPr="000B3455">
        <w:rPr>
          <w:rFonts w:cstheme="minorHAnsi"/>
        </w:rPr>
        <w:t>€</w:t>
      </w:r>
      <w:r w:rsidRPr="000B3455">
        <w:t xml:space="preserve"> 100. The share price is equal to the exercise price of </w:t>
      </w:r>
      <w:r w:rsidRPr="000B3455">
        <w:rPr>
          <w:rFonts w:cstheme="minorHAnsi"/>
        </w:rPr>
        <w:t xml:space="preserve">€ </w:t>
      </w:r>
      <w:r w:rsidRPr="000B3455">
        <w:t>15.</w:t>
      </w:r>
      <w:r w:rsidRPr="000B3455">
        <w:rPr>
          <w:rFonts w:cstheme="minorHAnsi"/>
        </w:rPr>
        <w:t xml:space="preserve"> According to Alfredson et al. (2009, </w:t>
      </w:r>
      <w:r w:rsidR="00EB350F" w:rsidRPr="000B3455">
        <w:rPr>
          <w:rFonts w:cstheme="minorHAnsi"/>
        </w:rPr>
        <w:t xml:space="preserve">p. </w:t>
      </w:r>
      <w:r w:rsidRPr="000B3455">
        <w:rPr>
          <w:rFonts w:cstheme="minorHAnsi"/>
        </w:rPr>
        <w:t>199), t</w:t>
      </w:r>
      <w:r w:rsidRPr="000B3455">
        <w:t>he journal entry would be:</w:t>
      </w:r>
    </w:p>
    <w:p w:rsidR="001D5F43" w:rsidRPr="000B3455" w:rsidRDefault="001D5F43" w:rsidP="0088553E">
      <w:pPr>
        <w:tabs>
          <w:tab w:val="left" w:pos="3828"/>
          <w:tab w:val="left" w:pos="4678"/>
        </w:tabs>
        <w:spacing w:line="360" w:lineRule="auto"/>
        <w:jc w:val="both"/>
      </w:pPr>
      <w:r w:rsidRPr="000B3455">
        <w:t>Employee compensation costs</w:t>
      </w:r>
      <w:r w:rsidRPr="000B3455">
        <w:tab/>
        <w:t>100</w:t>
      </w:r>
      <w:r w:rsidRPr="000B3455">
        <w:br/>
        <w:t>To equity</w:t>
      </w:r>
      <w:r w:rsidRPr="000B3455">
        <w:tab/>
      </w:r>
      <w:r w:rsidRPr="000B3455">
        <w:tab/>
        <w:t>100</w:t>
      </w:r>
    </w:p>
    <w:p w:rsidR="001D5F43" w:rsidRPr="000B3455" w:rsidRDefault="001D5F43" w:rsidP="0088553E">
      <w:pPr>
        <w:tabs>
          <w:tab w:val="left" w:pos="3828"/>
          <w:tab w:val="left" w:pos="4678"/>
        </w:tabs>
        <w:spacing w:line="360" w:lineRule="auto"/>
        <w:jc w:val="both"/>
      </w:pPr>
      <w:r w:rsidRPr="000B3455">
        <w:t xml:space="preserve">Note that share capital is not affected by granting stock options, since it is unknown whether stock options will be exercised. When options have not been exercised during their lifetime IFRS 2 does </w:t>
      </w:r>
      <w:r w:rsidR="00D92336" w:rsidRPr="000B3455">
        <w:t>not require</w:t>
      </w:r>
      <w:r w:rsidRPr="000B3455">
        <w:t xml:space="preserve"> a correction.</w:t>
      </w:r>
    </w:p>
    <w:p w:rsidR="001D5F43" w:rsidRPr="000B3455" w:rsidRDefault="001D5F43" w:rsidP="0088553E">
      <w:pPr>
        <w:pStyle w:val="Heading3"/>
        <w:spacing w:line="360" w:lineRule="auto"/>
        <w:jc w:val="both"/>
      </w:pPr>
      <w:bookmarkStart w:id="26" w:name="_Toc298944545"/>
      <w:r w:rsidRPr="000B3455">
        <w:t>3.2.2 Cash-settled share-based payment</w:t>
      </w:r>
      <w:bookmarkEnd w:id="26"/>
    </w:p>
    <w:p w:rsidR="001D5F43" w:rsidRPr="000B3455" w:rsidRDefault="001D5F43" w:rsidP="0088553E">
      <w:pPr>
        <w:tabs>
          <w:tab w:val="left" w:pos="3828"/>
          <w:tab w:val="left" w:pos="4678"/>
        </w:tabs>
        <w:spacing w:line="360" w:lineRule="auto"/>
        <w:jc w:val="both"/>
      </w:pPr>
      <w:r w:rsidRPr="000B3455">
        <w:t>Also cash-settled share-based compensation should be measured at fair value. Although cash-settled compensation is paid in cash, the fair value is dependent on the fair value of equity instruments. Stock appreciation rights entitle employees to earn an amount of money depending on the difference between share price and a predetermined price level in a specified period. The fair value of cash-settled compensation is measured by the services an entity has received from its employees. The fair value is recognized in a liability to pay for them, and will be adjusted for during the vesting period (IASB</w:t>
      </w:r>
      <w:r w:rsidR="00502BB0" w:rsidRPr="000B3455">
        <w:t>, 2</w:t>
      </w:r>
      <w:r w:rsidRPr="000B3455">
        <w:t xml:space="preserve">009, </w:t>
      </w:r>
      <w:r w:rsidR="00EB350F" w:rsidRPr="000B3455">
        <w:t xml:space="preserve">p. </w:t>
      </w:r>
      <w:r w:rsidRPr="000B3455">
        <w:t>A66). The adjustments of the liability are expensed in the profit and loss account (Ernst &amp; Young</w:t>
      </w:r>
      <w:r w:rsidR="00502BB0" w:rsidRPr="000B3455">
        <w:t>, 2</w:t>
      </w:r>
      <w:r w:rsidRPr="000B3455">
        <w:t xml:space="preserve">004, </w:t>
      </w:r>
      <w:r w:rsidR="00EB350F" w:rsidRPr="000B3455">
        <w:t xml:space="preserve">p. </w:t>
      </w:r>
      <w:r w:rsidRPr="000B3455">
        <w:t xml:space="preserve">197). Assume a cash-settled share-based payment transaction with a fair value of </w:t>
      </w:r>
      <w:r w:rsidRPr="000B3455">
        <w:rPr>
          <w:rFonts w:cstheme="minorHAnsi"/>
        </w:rPr>
        <w:t>€</w:t>
      </w:r>
      <w:r w:rsidRPr="000B3455">
        <w:t xml:space="preserve"> 1,000 and a vesting period of two years. The amount of cash is dependent on the share performance in those two years. According to the facts given in the reporting period, the liability for a company to reward an employee for its services provided, in 2 years is </w:t>
      </w:r>
      <w:r w:rsidRPr="000B3455">
        <w:rPr>
          <w:rFonts w:cstheme="minorHAnsi"/>
        </w:rPr>
        <w:t>€</w:t>
      </w:r>
      <w:r w:rsidRPr="000B3455">
        <w:t xml:space="preserve"> 1,000. </w:t>
      </w:r>
      <w:r w:rsidRPr="000B3455">
        <w:rPr>
          <w:rFonts w:cstheme="minorHAnsi"/>
        </w:rPr>
        <w:t xml:space="preserve">According to Alfredson et al. (2009, </w:t>
      </w:r>
      <w:r w:rsidR="00EB350F" w:rsidRPr="000B3455">
        <w:rPr>
          <w:rFonts w:cstheme="minorHAnsi"/>
        </w:rPr>
        <w:t xml:space="preserve">p. </w:t>
      </w:r>
      <w:r w:rsidRPr="000B3455">
        <w:rPr>
          <w:rFonts w:cstheme="minorHAnsi"/>
        </w:rPr>
        <w:t>199), t</w:t>
      </w:r>
      <w:r w:rsidRPr="000B3455">
        <w:t>he journal entry would be:</w:t>
      </w:r>
    </w:p>
    <w:p w:rsidR="001D5F43" w:rsidRPr="000B3455" w:rsidRDefault="001D5F43" w:rsidP="0088553E">
      <w:pPr>
        <w:tabs>
          <w:tab w:val="left" w:pos="3828"/>
          <w:tab w:val="left" w:pos="4678"/>
        </w:tabs>
        <w:spacing w:line="360" w:lineRule="auto"/>
        <w:jc w:val="both"/>
      </w:pPr>
      <w:r w:rsidRPr="000B3455">
        <w:t>Employee compensation costs</w:t>
      </w:r>
      <w:r w:rsidRPr="000B3455">
        <w:tab/>
        <w:t>1,000</w:t>
      </w:r>
      <w:r w:rsidRPr="000B3455">
        <w:br/>
        <w:t>To liability</w:t>
      </w:r>
      <w:r w:rsidRPr="000B3455">
        <w:tab/>
      </w:r>
      <w:r w:rsidRPr="000B3455">
        <w:tab/>
        <w:t>1,000</w:t>
      </w:r>
    </w:p>
    <w:p w:rsidR="001D5F43" w:rsidRPr="000B3455" w:rsidRDefault="001D5F43" w:rsidP="0088553E">
      <w:pPr>
        <w:tabs>
          <w:tab w:val="left" w:pos="3828"/>
          <w:tab w:val="left" w:pos="4678"/>
        </w:tabs>
        <w:spacing w:line="360" w:lineRule="auto"/>
        <w:jc w:val="both"/>
      </w:pPr>
      <w:r w:rsidRPr="000B3455">
        <w:t xml:space="preserve">The liability might be called, for example, cash-settled share-based payment transactions payable. Assume that after one year the share price has dropped and the fair value of the liability has decreased to </w:t>
      </w:r>
      <w:r w:rsidRPr="000B3455">
        <w:rPr>
          <w:rFonts w:cstheme="minorHAnsi"/>
        </w:rPr>
        <w:t>€</w:t>
      </w:r>
      <w:r w:rsidRPr="000B3455">
        <w:t xml:space="preserve"> 800. An adjustment of the recognized liability should be made to represent the actual liability on the balance sheet. The liability is set to 800 using the following journal entry:</w:t>
      </w:r>
    </w:p>
    <w:p w:rsidR="001D5F43" w:rsidRPr="000B3455" w:rsidRDefault="001D5F43" w:rsidP="0088553E">
      <w:pPr>
        <w:tabs>
          <w:tab w:val="left" w:pos="3828"/>
          <w:tab w:val="left" w:pos="4678"/>
        </w:tabs>
        <w:spacing w:line="360" w:lineRule="auto"/>
        <w:jc w:val="both"/>
      </w:pPr>
      <w:r w:rsidRPr="000B3455">
        <w:lastRenderedPageBreak/>
        <w:t>Liability</w:t>
      </w:r>
      <w:r w:rsidRPr="000B3455">
        <w:tab/>
        <w:t>200</w:t>
      </w:r>
      <w:r w:rsidRPr="000B3455">
        <w:br/>
        <w:t>To employee compensation costs</w:t>
      </w:r>
      <w:r w:rsidRPr="000B3455">
        <w:tab/>
      </w:r>
      <w:r w:rsidRPr="000B3455">
        <w:tab/>
        <w:t>200</w:t>
      </w:r>
    </w:p>
    <w:p w:rsidR="001D5F43" w:rsidRPr="000B3455" w:rsidRDefault="001D5F43" w:rsidP="0088553E">
      <w:pPr>
        <w:tabs>
          <w:tab w:val="left" w:pos="3828"/>
          <w:tab w:val="left" w:pos="4678"/>
        </w:tabs>
        <w:spacing w:line="360" w:lineRule="auto"/>
        <w:jc w:val="both"/>
      </w:pPr>
      <w:r w:rsidRPr="000B3455">
        <w:t>Note that for an increased liability the journal entry above is the other way around.</w:t>
      </w:r>
    </w:p>
    <w:p w:rsidR="001D5F43" w:rsidRPr="000B3455" w:rsidRDefault="001D5F43" w:rsidP="0088553E">
      <w:pPr>
        <w:pStyle w:val="Heading3"/>
        <w:spacing w:line="360" w:lineRule="auto"/>
        <w:jc w:val="both"/>
      </w:pPr>
      <w:bookmarkStart w:id="27" w:name="_Toc298944546"/>
      <w:r w:rsidRPr="000B3455">
        <w:t xml:space="preserve">3.2.3 Choice </w:t>
      </w:r>
      <w:r w:rsidR="005011EA" w:rsidRPr="000B3455">
        <w:t xml:space="preserve">between </w:t>
      </w:r>
      <w:r w:rsidRPr="000B3455">
        <w:t>cash-settled or equity-settled</w:t>
      </w:r>
      <w:bookmarkEnd w:id="27"/>
    </w:p>
    <w:p w:rsidR="001D5F43" w:rsidRPr="000B3455" w:rsidRDefault="001D5F43" w:rsidP="0088553E">
      <w:pPr>
        <w:tabs>
          <w:tab w:val="left" w:pos="3828"/>
          <w:tab w:val="left" w:pos="4678"/>
        </w:tabs>
        <w:spacing w:line="360" w:lineRule="auto"/>
        <w:jc w:val="both"/>
      </w:pPr>
      <w:r w:rsidRPr="000B3455">
        <w:t>Share-based payment transactions in which one of both parties can choose between settlements involves the problem that it is uncertain which accounting method, described above, should be appropriate. IFRS 2 distinguish two situations. First, the counterparty (i.e. the employee) is granted the right to choose between cash-settled and equity-settled. In this situation the entity has provided the employee with a compound financial instrument, consisting of an equity component and a debt component (for cash). To calculate the fair value of the compound financial instrument, the fair values of both components have to be added. However, in the many times that both fair values are equal the fair value of the equity component is considered as null, implying the fair value of the compound financial instrument is equal to the fair value of the debt component. The fair value of the liability should be remeasured every year.</w:t>
      </w:r>
    </w:p>
    <w:p w:rsidR="001D5F43" w:rsidRPr="000B3455" w:rsidRDefault="001D5F43" w:rsidP="0088553E">
      <w:pPr>
        <w:tabs>
          <w:tab w:val="left" w:pos="3828"/>
          <w:tab w:val="left" w:pos="4678"/>
        </w:tabs>
        <w:spacing w:line="360" w:lineRule="auto"/>
        <w:jc w:val="both"/>
      </w:pPr>
      <w:r w:rsidRPr="000B3455">
        <w:t xml:space="preserve">Second, in the situation where the entity has the right to choose between settlements it will recognize the liability as an equity-settled share-based payment transaction. When it is already known that an entity will settle in cash, than </w:t>
      </w:r>
      <w:r w:rsidR="00D92336">
        <w:t>the company</w:t>
      </w:r>
      <w:r w:rsidRPr="000B3455">
        <w:t xml:space="preserve"> should account for</w:t>
      </w:r>
      <w:r w:rsidR="00D92336">
        <w:t xml:space="preserve"> it</w:t>
      </w:r>
      <w:r w:rsidRPr="000B3455">
        <w:t xml:space="preserve"> as a cash-settled share-based payment transaction. </w:t>
      </w:r>
    </w:p>
    <w:p w:rsidR="00DF52E0" w:rsidRPr="000B3455" w:rsidRDefault="00DF52E0" w:rsidP="0088553E">
      <w:pPr>
        <w:pStyle w:val="Heading2"/>
        <w:spacing w:line="360" w:lineRule="auto"/>
        <w:jc w:val="both"/>
      </w:pPr>
      <w:bookmarkStart w:id="28" w:name="_Toc298944547"/>
      <w:r w:rsidRPr="000B3455">
        <w:t>3.3 Comparison</w:t>
      </w:r>
      <w:bookmarkEnd w:id="28"/>
    </w:p>
    <w:p w:rsidR="00376D6B" w:rsidRPr="000B3455" w:rsidRDefault="009A3DBB" w:rsidP="0088553E">
      <w:pPr>
        <w:tabs>
          <w:tab w:val="left" w:pos="3828"/>
          <w:tab w:val="left" w:pos="4678"/>
        </w:tabs>
        <w:spacing w:line="360" w:lineRule="auto"/>
        <w:jc w:val="both"/>
      </w:pPr>
      <w:r w:rsidRPr="000B3455">
        <w:t xml:space="preserve">The accounting treatment of </w:t>
      </w:r>
      <w:r w:rsidR="000F753C" w:rsidRPr="000B3455">
        <w:t xml:space="preserve">granted </w:t>
      </w:r>
      <w:r w:rsidRPr="000B3455">
        <w:t xml:space="preserve">shares under the RJ-guidelines </w:t>
      </w:r>
      <w:r w:rsidR="000F753C" w:rsidRPr="000B3455">
        <w:t xml:space="preserve">does not result in a different amount of equity. The perceived costs of granted shares consisted solely from dilution costs. Under IFRS 2, equity rises and the fair value of granted shares is expensed in the profit and loss account, involving a lower profit. For stock options, the intrinsic value method applied under the guidelines of the RJ necessitates </w:t>
      </w:r>
      <w:r w:rsidR="00B2247A" w:rsidRPr="000B3455">
        <w:t xml:space="preserve">the intrinsic value of granted stock options to be expensed, whereas IFRS 2 required the expensing of the fair value. </w:t>
      </w:r>
      <w:r w:rsidR="006E6D14" w:rsidRPr="000B3455">
        <w:t xml:space="preserve">As Robinson and Burton (2004) argue, the adoption of the fair value method reduces net income, and is, therefore, considered as more unfavorable than the intrinsic value method. The adoption of the fair value method for shares </w:t>
      </w:r>
      <w:r w:rsidR="00AF0CD6" w:rsidRPr="000B3455">
        <w:t xml:space="preserve">is </w:t>
      </w:r>
      <w:r w:rsidR="006E6D14" w:rsidRPr="000B3455">
        <w:t xml:space="preserve">also </w:t>
      </w:r>
      <w:r w:rsidR="00AF0CD6" w:rsidRPr="000B3455">
        <w:t xml:space="preserve">considered as more unfavorable, since it also </w:t>
      </w:r>
      <w:r w:rsidR="006E6D14" w:rsidRPr="000B3455">
        <w:t>decreases net income</w:t>
      </w:r>
      <w:r w:rsidR="00AF0CD6" w:rsidRPr="000B3455">
        <w:t xml:space="preserve">. </w:t>
      </w:r>
      <w:r w:rsidR="009673F2" w:rsidRPr="000B3455">
        <w:t>The fair value of both shares and stock options is equal to the economic costs, whereas the perceived costs are dilution costs for shares and the expensed costs in the profit and loss account for stock opt</w:t>
      </w:r>
      <w:r w:rsidR="00A00F8F">
        <w:t>ions (Hall and Murphy, 2003, pp.</w:t>
      </w:r>
      <w:r w:rsidR="009673F2" w:rsidRPr="000B3455">
        <w:t xml:space="preserve"> 65-67). For both compensation forms the </w:t>
      </w:r>
      <w:r w:rsidR="009673F2" w:rsidRPr="000B3455">
        <w:lastRenderedPageBreak/>
        <w:t>economic costs is higher than the perceived costs (Guay</w:t>
      </w:r>
      <w:r w:rsidR="000B23EF" w:rsidRPr="000B3455">
        <w:t xml:space="preserve"> et al.</w:t>
      </w:r>
      <w:r w:rsidR="009673F2" w:rsidRPr="000B3455">
        <w:t xml:space="preserve">, 2003). The adoption of IFRS 2 aligns the perceived costs with the economic costs. </w:t>
      </w:r>
      <w:r w:rsidR="00376D6B" w:rsidRPr="000B3455">
        <w:t xml:space="preserve">Recognizing the fair value of both equity-settled share-based payments involves increasing (perceived) costs. Companies that are aware of </w:t>
      </w:r>
      <w:r w:rsidR="00D92336" w:rsidRPr="000B3455">
        <w:t>this</w:t>
      </w:r>
      <w:r w:rsidR="00376D6B" w:rsidRPr="000B3455">
        <w:t xml:space="preserve"> may alter compensation contracts, as the costs of both compensation forms may not outweigh the benefits anymore. </w:t>
      </w:r>
    </w:p>
    <w:p w:rsidR="001D5F43" w:rsidRPr="000B3455" w:rsidRDefault="001D5F43" w:rsidP="0088553E">
      <w:pPr>
        <w:pStyle w:val="Heading2"/>
        <w:spacing w:line="360" w:lineRule="auto"/>
        <w:jc w:val="both"/>
      </w:pPr>
      <w:bookmarkStart w:id="29" w:name="_Toc298944548"/>
      <w:r w:rsidRPr="000B3455">
        <w:t>3.</w:t>
      </w:r>
      <w:r w:rsidR="00C1321A" w:rsidRPr="000B3455">
        <w:t>4</w:t>
      </w:r>
      <w:r w:rsidRPr="000B3455">
        <w:t xml:space="preserve"> Dutch Corporate Governance Code</w:t>
      </w:r>
      <w:bookmarkEnd w:id="29"/>
    </w:p>
    <w:p w:rsidR="001D5F43" w:rsidRPr="000B3455" w:rsidRDefault="001D5F43" w:rsidP="0088553E">
      <w:pPr>
        <w:tabs>
          <w:tab w:val="left" w:pos="3828"/>
          <w:tab w:val="left" w:pos="4678"/>
        </w:tabs>
        <w:spacing w:line="360" w:lineRule="auto"/>
        <w:jc w:val="both"/>
      </w:pPr>
      <w:r w:rsidRPr="000B3455">
        <w:t>In 1996 a committee was formed to initiate self-regulation through transparency and monitoring, which was called the Committee on Corporate Governance or the Peters Committee, named after the retired CEO of Aegon, Jaap Peters, who was the chairman of this committee. The aim of the committee was to investigate whether the balance between supervision, management and shareholders was still appropriate, while the internationalization of Dutch-listed companies was increasing. In 1997, this committee presented its final report with recommendations how to improve the governance within listed companies. The most important aspect to implement these recommendations was to rely on self regulation (De Jong et al.</w:t>
      </w:r>
      <w:r w:rsidR="00502BB0" w:rsidRPr="000B3455">
        <w:t>, 2</w:t>
      </w:r>
      <w:r w:rsidRPr="000B3455">
        <w:t xml:space="preserve">005, </w:t>
      </w:r>
      <w:r w:rsidR="00EB350F" w:rsidRPr="000B3455">
        <w:t xml:space="preserve">p. </w:t>
      </w:r>
      <w:r w:rsidRPr="000B3455">
        <w:t>474) to increase the transparency and responsibility of the corporate policy, and to give shareholders more control (</w:t>
      </w:r>
      <w:r w:rsidR="00D44CA4" w:rsidRPr="000B3455">
        <w:t>Commission Corporate Governance Code</w:t>
      </w:r>
      <w:r w:rsidRPr="000B3455">
        <w:t>). Although the recommendations by the committee of Peters can be regarded as the first corporate governance code in the Netherlands, the results were disappointing (Akkermans et al.</w:t>
      </w:r>
      <w:r w:rsidR="00502BB0" w:rsidRPr="000B3455">
        <w:t>, 2</w:t>
      </w:r>
      <w:r w:rsidRPr="000B3455">
        <w:t xml:space="preserve">007, </w:t>
      </w:r>
      <w:r w:rsidR="00EB350F" w:rsidRPr="000B3455">
        <w:t xml:space="preserve">pp. </w:t>
      </w:r>
      <w:r w:rsidRPr="000B3455">
        <w:t>1107-1108). The low level of compliance with the recommendations of the Committee, and the corporate scandals in the United States resulted in a new appointed Committee on Corporate Governance, chaired by Morris Tabaksblat. The most important change in respect to the former corporate governance code was that compliance with the new corporate governance code is legally required since 2004. The Dutch legislator requires that Dutch companies refer to the Code in their annual reports, and should disclose information to what extent they comply with the code</w:t>
      </w:r>
      <w:r w:rsidR="00D92336">
        <w:t>. I</w:t>
      </w:r>
      <w:r w:rsidRPr="000B3455">
        <w:t>f they do not comply</w:t>
      </w:r>
      <w:r w:rsidR="00D92336">
        <w:t>,</w:t>
      </w:r>
      <w:r w:rsidRPr="000B3455">
        <w:t xml:space="preserve"> the company should explain (</w:t>
      </w:r>
      <w:r w:rsidR="001A4B55">
        <w:t>Corporate</w:t>
      </w:r>
      <w:r w:rsidR="00A00F8F">
        <w:t xml:space="preserve"> Governance Committee, 2003, pp.</w:t>
      </w:r>
      <w:r w:rsidR="001A4B55">
        <w:t xml:space="preserve"> 4-5</w:t>
      </w:r>
      <w:r w:rsidRPr="000B3455">
        <w:t xml:space="preserve">). The principles of the Code are based on the two-tier system with a separate management board and supervisory board. </w:t>
      </w:r>
    </w:p>
    <w:p w:rsidR="001D5F43" w:rsidRPr="000B3455" w:rsidRDefault="001D5F43" w:rsidP="0088553E">
      <w:pPr>
        <w:tabs>
          <w:tab w:val="left" w:pos="3828"/>
          <w:tab w:val="left" w:pos="4678"/>
        </w:tabs>
        <w:spacing w:line="360" w:lineRule="auto"/>
        <w:jc w:val="both"/>
      </w:pPr>
      <w:r w:rsidRPr="000B3455">
        <w:t>Section II.2 deals with remuneration of both boards. According to the Code (</w:t>
      </w:r>
      <w:r w:rsidR="001A4B55">
        <w:t>Corporate Governance Committee, 2003</w:t>
      </w:r>
      <w:r w:rsidRPr="000B3455">
        <w:t xml:space="preserve">), if the remuneration includes a variable part, it should consist of short term and long term incentives. This variable part aims to increase “the board members’ commitment to the company” and the company’s objectives. Accordingly, the remuneration is structured so that the level of remuneration is dependent on relevant developments to the company (e.g. share price performance, and earnings), and does discourage management to act in self-interest. When a manager has been </w:t>
      </w:r>
      <w:r w:rsidRPr="000B3455">
        <w:lastRenderedPageBreak/>
        <w:t>granted shares as variable remuneration, he should retain them for at least five years, or in case of a shorter employment period, the length of that period. (</w:t>
      </w:r>
      <w:r w:rsidRPr="000B3455">
        <w:rPr>
          <w:rFonts w:cstheme="minorHAnsi"/>
        </w:rPr>
        <w:t>Corporate Governance Code Monitoring Committee</w:t>
      </w:r>
      <w:r w:rsidR="00502BB0" w:rsidRPr="000B3455">
        <w:rPr>
          <w:rFonts w:cstheme="minorHAnsi"/>
        </w:rPr>
        <w:t>, 2</w:t>
      </w:r>
      <w:r w:rsidRPr="000B3455">
        <w:rPr>
          <w:rFonts w:cstheme="minorHAnsi"/>
        </w:rPr>
        <w:t xml:space="preserve">009, </w:t>
      </w:r>
      <w:r w:rsidR="00EB350F" w:rsidRPr="000B3455">
        <w:rPr>
          <w:rFonts w:cstheme="minorHAnsi"/>
        </w:rPr>
        <w:t xml:space="preserve">p. </w:t>
      </w:r>
      <w:r w:rsidRPr="000B3455">
        <w:rPr>
          <w:rFonts w:cstheme="minorHAnsi"/>
        </w:rPr>
        <w:t>11).</w:t>
      </w:r>
      <w:r w:rsidRPr="000B3455">
        <w:rPr>
          <w:color w:val="FF0000"/>
        </w:rPr>
        <w:t xml:space="preserve"> </w:t>
      </w:r>
      <w:r w:rsidRPr="000B3455">
        <w:t>This is the vesting period. The Corporate Governance Code sets some more principles related to stock options compared to shares.  Best practice provisions require that stock options are conditionally granted, except for management that have met predetermined performance goals after three years of the grant date (vesting period). The exercise price of the stock options should at least be the verifiable price of a company’s shares or the verifiable average price of predetermined days within five trading days before and on the grant date (</w:t>
      </w:r>
      <w:r w:rsidRPr="000B3455">
        <w:rPr>
          <w:rFonts w:cstheme="minorHAnsi"/>
        </w:rPr>
        <w:t>Corporate Governance Committee</w:t>
      </w:r>
      <w:r w:rsidR="00502BB0" w:rsidRPr="000B3455">
        <w:rPr>
          <w:rFonts w:cstheme="minorHAnsi"/>
        </w:rPr>
        <w:t xml:space="preserve">, </w:t>
      </w:r>
      <w:r w:rsidR="001A4B55" w:rsidRPr="000B3455">
        <w:rPr>
          <w:rFonts w:cstheme="minorHAnsi"/>
        </w:rPr>
        <w:t>200</w:t>
      </w:r>
      <w:r w:rsidR="001A4B55">
        <w:rPr>
          <w:rFonts w:cstheme="minorHAnsi"/>
        </w:rPr>
        <w:t>3</w:t>
      </w:r>
      <w:r w:rsidRPr="000B3455">
        <w:rPr>
          <w:rFonts w:cstheme="minorHAnsi"/>
        </w:rPr>
        <w:t xml:space="preserve">, </w:t>
      </w:r>
      <w:r w:rsidR="00EB350F" w:rsidRPr="000B3455">
        <w:rPr>
          <w:rFonts w:cstheme="minorHAnsi"/>
        </w:rPr>
        <w:t xml:space="preserve">pp. </w:t>
      </w:r>
      <w:r w:rsidRPr="000B3455">
        <w:rPr>
          <w:rFonts w:cstheme="minorHAnsi"/>
        </w:rPr>
        <w:t>10-11).</w:t>
      </w:r>
    </w:p>
    <w:p w:rsidR="001D5F43" w:rsidRPr="000B3455" w:rsidRDefault="001D5F43" w:rsidP="0088553E">
      <w:pPr>
        <w:tabs>
          <w:tab w:val="left" w:pos="3828"/>
          <w:tab w:val="left" w:pos="4678"/>
        </w:tabs>
        <w:spacing w:line="360" w:lineRule="auto"/>
        <w:jc w:val="both"/>
        <w:rPr>
          <w:rFonts w:cstheme="minorHAnsi"/>
        </w:rPr>
      </w:pPr>
      <w:r w:rsidRPr="000B3455">
        <w:t>The Dutch Corporate Governance Code requires a two-tier board structure, in which the supervisory board (in Dutch: Raad van Commissarissen) appoints, monitors, suspends, and dismisses the members of the management board (Swagerman and Terpstra</w:t>
      </w:r>
      <w:r w:rsidR="00502BB0" w:rsidRPr="000B3455">
        <w:t>, 2</w:t>
      </w:r>
      <w:r w:rsidRPr="000B3455">
        <w:t>009</w:t>
      </w:r>
      <w:r w:rsidR="00D56956" w:rsidRPr="000B3455">
        <w:t>,</w:t>
      </w:r>
      <w:r w:rsidRPr="000B3455">
        <w:t xml:space="preserve"> </w:t>
      </w:r>
      <w:r w:rsidR="00EB350F" w:rsidRPr="000B3455">
        <w:t xml:space="preserve">p. </w:t>
      </w:r>
      <w:r w:rsidRPr="000B3455">
        <w:t>62). The remuneration of the management board is determined by the remuneration committee, which consists of members of the supervisory board, and is documented in the remuneration report. The amount of fixed salary, structure and amount of the variable part of remuneration in a contract of a member of the management board should be made public. Also, the value of the granted options to the management board shall be stated in the notes of the annual report, including how this value has been determined (</w:t>
      </w:r>
      <w:r w:rsidRPr="000B3455">
        <w:rPr>
          <w:rFonts w:cstheme="minorHAnsi"/>
        </w:rPr>
        <w:t>Corporate Governance Committee</w:t>
      </w:r>
      <w:r w:rsidR="00502BB0" w:rsidRPr="000B3455">
        <w:rPr>
          <w:rFonts w:cstheme="minorHAnsi"/>
        </w:rPr>
        <w:t xml:space="preserve">, </w:t>
      </w:r>
      <w:r w:rsidR="001A4B55" w:rsidRPr="000B3455">
        <w:rPr>
          <w:rFonts w:cstheme="minorHAnsi"/>
        </w:rPr>
        <w:t>200</w:t>
      </w:r>
      <w:r w:rsidR="001A4B55">
        <w:rPr>
          <w:rFonts w:cstheme="minorHAnsi"/>
        </w:rPr>
        <w:t>3</w:t>
      </w:r>
      <w:r w:rsidRPr="000B3455">
        <w:rPr>
          <w:rFonts w:cstheme="minorHAnsi"/>
        </w:rPr>
        <w:t xml:space="preserve">, </w:t>
      </w:r>
      <w:r w:rsidR="00EB350F" w:rsidRPr="000B3455">
        <w:rPr>
          <w:rFonts w:cstheme="minorHAnsi"/>
        </w:rPr>
        <w:t xml:space="preserve">pp. </w:t>
      </w:r>
      <w:r w:rsidRPr="000B3455">
        <w:rPr>
          <w:rFonts w:cstheme="minorHAnsi"/>
        </w:rPr>
        <w:t>12-13).</w:t>
      </w:r>
    </w:p>
    <w:p w:rsidR="001D5F43" w:rsidRPr="000B3455" w:rsidRDefault="001D5F43" w:rsidP="0088553E">
      <w:pPr>
        <w:pStyle w:val="Heading2"/>
        <w:spacing w:line="360" w:lineRule="auto"/>
        <w:jc w:val="both"/>
      </w:pPr>
      <w:bookmarkStart w:id="30" w:name="_Toc298944549"/>
      <w:r w:rsidRPr="000B3455">
        <w:t>3.</w:t>
      </w:r>
      <w:r w:rsidR="00C1321A" w:rsidRPr="000B3455">
        <w:t>5</w:t>
      </w:r>
      <w:r w:rsidRPr="000B3455">
        <w:t xml:space="preserve"> Article 383 in Book 2, Title 9 of the Dutch Civil Code</w:t>
      </w:r>
      <w:bookmarkEnd w:id="30"/>
    </w:p>
    <w:p w:rsidR="001D5F43" w:rsidRPr="000B3455" w:rsidRDefault="001D5F43" w:rsidP="0088553E">
      <w:pPr>
        <w:tabs>
          <w:tab w:val="left" w:pos="3828"/>
          <w:tab w:val="left" w:pos="4678"/>
        </w:tabs>
        <w:spacing w:line="360" w:lineRule="auto"/>
        <w:jc w:val="both"/>
      </w:pPr>
      <w:r w:rsidRPr="000B3455">
        <w:t xml:space="preserve">In accordance with RJ-guideline 271, the Dutch Civil Code requires listed companies to disclose information on the remuneration for the former and current members of the board of management. Article 383c in Book 2, Title 9 of the Dutch Civil Code requests that total remuneration is divided in periodical payments, pensions, severance payments, and bonus payments. Article 383d provides the same guidance on disclosed information on stock options as RJ-guideline 271 does. This article was enforced in September 2002. Since annual reports of 2002 are created in the year after, this act enables to gather information on the remuneration of the members of the management board as of 2002. </w:t>
      </w:r>
    </w:p>
    <w:p w:rsidR="001D5F43" w:rsidRPr="000B3455" w:rsidRDefault="001D5F43" w:rsidP="0088553E">
      <w:pPr>
        <w:pStyle w:val="Heading2"/>
        <w:spacing w:line="360" w:lineRule="auto"/>
        <w:jc w:val="both"/>
      </w:pPr>
      <w:bookmarkStart w:id="31" w:name="_Toc298944550"/>
      <w:r w:rsidRPr="000B3455">
        <w:t>3.</w:t>
      </w:r>
      <w:r w:rsidR="00C1321A" w:rsidRPr="000B3455">
        <w:t xml:space="preserve">6 </w:t>
      </w:r>
      <w:r w:rsidRPr="000B3455">
        <w:t>Situation in the U.S.</w:t>
      </w:r>
      <w:bookmarkEnd w:id="31"/>
    </w:p>
    <w:p w:rsidR="001D5F43" w:rsidRPr="000B3455" w:rsidRDefault="001D5F43" w:rsidP="0088553E">
      <w:pPr>
        <w:tabs>
          <w:tab w:val="left" w:pos="3828"/>
          <w:tab w:val="left" w:pos="4678"/>
        </w:tabs>
        <w:spacing w:line="360" w:lineRule="auto"/>
        <w:jc w:val="both"/>
        <w:rPr>
          <w:rFonts w:cstheme="minorHAnsi"/>
        </w:rPr>
      </w:pPr>
      <w:r w:rsidRPr="000B3455">
        <w:rPr>
          <w:rFonts w:cstheme="minorHAnsi"/>
        </w:rPr>
        <w:t xml:space="preserve">In the period of 1995-2005 companies in the United States were able to choose a method to account for stock options in their annual accounts. Either the intrinsic value method or the fair value method could be used. The U.S. standard setter, the FASB, had tried to abandon the intrinsic value method in 1993, but great opposition of companies made that the FASB had chosen for a voluntary adoption of the fair </w:t>
      </w:r>
      <w:r w:rsidRPr="000B3455">
        <w:rPr>
          <w:rFonts w:cstheme="minorHAnsi"/>
        </w:rPr>
        <w:lastRenderedPageBreak/>
        <w:t>value method. This standard (SFAS 123) was issued in 1995. Nearly all firms chose to use the intrinsic value method until 2002 (Feng and Tian</w:t>
      </w:r>
      <w:r w:rsidR="00502BB0" w:rsidRPr="000B3455">
        <w:rPr>
          <w:rFonts w:cstheme="minorHAnsi"/>
        </w:rPr>
        <w:t>, 2</w:t>
      </w:r>
      <w:r w:rsidRPr="000B3455">
        <w:rPr>
          <w:rFonts w:cstheme="minorHAnsi"/>
        </w:rPr>
        <w:t xml:space="preserve">007, </w:t>
      </w:r>
      <w:r w:rsidR="00EB350F" w:rsidRPr="000B3455">
        <w:rPr>
          <w:rFonts w:cstheme="minorHAnsi"/>
        </w:rPr>
        <w:t xml:space="preserve">pp. </w:t>
      </w:r>
      <w:r w:rsidRPr="000B3455">
        <w:rPr>
          <w:rFonts w:cstheme="minorHAnsi"/>
        </w:rPr>
        <w:t xml:space="preserve">5-6). The corporate scandals of Enron and </w:t>
      </w:r>
      <w:r w:rsidR="009C06CE" w:rsidRPr="000B3455">
        <w:rPr>
          <w:rFonts w:cstheme="minorHAnsi"/>
        </w:rPr>
        <w:t>WorldCom</w:t>
      </w:r>
      <w:r w:rsidRPr="000B3455">
        <w:rPr>
          <w:rFonts w:cstheme="minorHAnsi"/>
        </w:rPr>
        <w:t xml:space="preserve"> resulted in a crisis of confidence in accounting. In order to resolve this crisis, a large number of U.S. companies decided to voluntarily adopt the fair value method (Aboody et al.</w:t>
      </w:r>
      <w:r w:rsidR="00502BB0" w:rsidRPr="000B3455">
        <w:rPr>
          <w:rFonts w:cstheme="minorHAnsi"/>
        </w:rPr>
        <w:t>, 2</w:t>
      </w:r>
      <w:r w:rsidRPr="000B3455">
        <w:rPr>
          <w:rFonts w:cstheme="minorHAnsi"/>
        </w:rPr>
        <w:t xml:space="preserve">004, </w:t>
      </w:r>
      <w:r w:rsidR="00EB350F" w:rsidRPr="000B3455">
        <w:rPr>
          <w:rFonts w:cstheme="minorHAnsi"/>
        </w:rPr>
        <w:t xml:space="preserve">p. </w:t>
      </w:r>
      <w:r w:rsidRPr="000B3455">
        <w:rPr>
          <w:rFonts w:cstheme="minorHAnsi"/>
        </w:rPr>
        <w:t xml:space="preserve">128). Additionally, the Sarbanes-Oxley act was installed, which provided guidance on corporate governance and made company’s executives responsible for the fairness of annual statements. In March 2003 the FASB announced that it would design a new standard on employee stock options. A few months later the Congress introduced the Stock Option Accounting Reform Act. Under this act, companies are required to only apply the fair value method for the top 5 of a firm’s highest paid executives. In 2004 the FASB introduced an Exposure Draft on SFAS 123, requiring that companies apply the fair value method for all stock option compensation, </w:t>
      </w:r>
      <w:r w:rsidR="00D92336">
        <w:rPr>
          <w:rFonts w:cstheme="minorHAnsi"/>
        </w:rPr>
        <w:t>including</w:t>
      </w:r>
      <w:r w:rsidRPr="000B3455">
        <w:rPr>
          <w:rFonts w:cstheme="minorHAnsi"/>
        </w:rPr>
        <w:t xml:space="preserve"> the compensation granted to the top 5 executives and all other employees. It would take to 2005 until the SEC implemented the new standard SFAS 123 (R) (Farber et al.</w:t>
      </w:r>
      <w:r w:rsidR="00502BB0" w:rsidRPr="000B3455">
        <w:rPr>
          <w:rFonts w:cstheme="minorHAnsi"/>
        </w:rPr>
        <w:t>, 2</w:t>
      </w:r>
      <w:r w:rsidRPr="000B3455">
        <w:rPr>
          <w:rFonts w:cstheme="minorHAnsi"/>
        </w:rPr>
        <w:t xml:space="preserve">007, </w:t>
      </w:r>
      <w:r w:rsidR="00EB350F" w:rsidRPr="000B3455">
        <w:rPr>
          <w:rFonts w:cstheme="minorHAnsi"/>
        </w:rPr>
        <w:t xml:space="preserve">p. </w:t>
      </w:r>
      <w:r w:rsidRPr="000B3455">
        <w:rPr>
          <w:rFonts w:cstheme="minorHAnsi"/>
        </w:rPr>
        <w:t xml:space="preserve">6). </w:t>
      </w:r>
    </w:p>
    <w:p w:rsidR="001D5F43" w:rsidRPr="000B3455" w:rsidRDefault="001D5F43" w:rsidP="0088553E">
      <w:pPr>
        <w:tabs>
          <w:tab w:val="left" w:pos="3828"/>
          <w:tab w:val="left" w:pos="4678"/>
        </w:tabs>
        <w:spacing w:line="360" w:lineRule="auto"/>
        <w:jc w:val="both"/>
      </w:pPr>
      <w:r w:rsidRPr="000B3455">
        <w:t>There were three main reasons why the FASB wanted to change the current standard SFAS 123. First, the new accounting standards, IFRS 2 and SFAS 123 (R) are the result of the IASB and FASB Convergence project. In this project standards of both standard setters converge, in order to increase the comparability between US GAAP and IFRS. Due to this project IFRS 2 is quite similar to SFAS 123 (R). Second, there were some serious concerns that stock options are the only form of employee compensation that do not require expense recognition. Third, the variety of the accounting methods used, in the period when companies could choose, led to non</w:t>
      </w:r>
      <w:r w:rsidR="00EB350F" w:rsidRPr="000B3455">
        <w:t>-</w:t>
      </w:r>
      <w:r w:rsidRPr="000B3455">
        <w:t>comparable, complex disclosures, that made financial reports less transparent (Farber et al.</w:t>
      </w:r>
      <w:r w:rsidR="00502BB0" w:rsidRPr="000B3455">
        <w:t>, 2</w:t>
      </w:r>
      <w:r w:rsidRPr="000B3455">
        <w:t xml:space="preserve">007, </w:t>
      </w:r>
      <w:r w:rsidR="00EB350F" w:rsidRPr="000B3455">
        <w:t xml:space="preserve">p. </w:t>
      </w:r>
      <w:r w:rsidRPr="000B3455">
        <w:t>4).</w:t>
      </w:r>
    </w:p>
    <w:p w:rsidR="001D5F43" w:rsidRPr="000B3455" w:rsidRDefault="001D5F43" w:rsidP="0088553E">
      <w:pPr>
        <w:tabs>
          <w:tab w:val="left" w:pos="3828"/>
          <w:tab w:val="left" w:pos="4678"/>
        </w:tabs>
        <w:spacing w:line="360" w:lineRule="auto"/>
        <w:jc w:val="both"/>
        <w:rPr>
          <w:rFonts w:cstheme="minorHAnsi"/>
        </w:rPr>
      </w:pPr>
      <w:r w:rsidRPr="000B3455">
        <w:rPr>
          <w:rFonts w:cstheme="minorHAnsi"/>
        </w:rPr>
        <w:t xml:space="preserve"> The guidelines in the Netherlands and in the United States were different before 2005. Before 2005 the RJ-guidelines did not include specific guidelines on shares as a form of compensation, whereas US GAAP required the fair value of shares granted to be expensed in the profit and loss account. The introduction of SFAS 123 (R) had, therefore, no effect on the accounting method for restricted shares (Brown and Lee</w:t>
      </w:r>
      <w:r w:rsidR="00502BB0" w:rsidRPr="000B3455">
        <w:rPr>
          <w:rFonts w:cstheme="minorHAnsi"/>
        </w:rPr>
        <w:t>, 2</w:t>
      </w:r>
      <w:r w:rsidRPr="000B3455">
        <w:rPr>
          <w:rFonts w:cstheme="minorHAnsi"/>
        </w:rPr>
        <w:t xml:space="preserve">007, </w:t>
      </w:r>
      <w:r w:rsidR="00EB350F" w:rsidRPr="000B3455">
        <w:rPr>
          <w:rFonts w:cstheme="minorHAnsi"/>
        </w:rPr>
        <w:t xml:space="preserve">p. </w:t>
      </w:r>
      <w:r w:rsidRPr="000B3455">
        <w:rPr>
          <w:rFonts w:cstheme="minorHAnsi"/>
        </w:rPr>
        <w:t>5), as well as other forms of compensation. In addition, companies in the United States have adopted a different board structure. Whereas, Dutch companies have a two-tier board structure, US-based companies have an unitary board (Swagerman and Terpstra</w:t>
      </w:r>
      <w:r w:rsidR="00502BB0" w:rsidRPr="000B3455">
        <w:rPr>
          <w:rFonts w:cstheme="minorHAnsi"/>
        </w:rPr>
        <w:t>, 2</w:t>
      </w:r>
      <w:r w:rsidRPr="000B3455">
        <w:rPr>
          <w:rFonts w:cstheme="minorHAnsi"/>
        </w:rPr>
        <w:t xml:space="preserve">009, </w:t>
      </w:r>
      <w:r w:rsidR="00EB350F" w:rsidRPr="000B3455">
        <w:rPr>
          <w:rFonts w:cstheme="minorHAnsi"/>
        </w:rPr>
        <w:t xml:space="preserve">p. </w:t>
      </w:r>
      <w:r w:rsidRPr="000B3455">
        <w:rPr>
          <w:rFonts w:cstheme="minorHAnsi"/>
        </w:rPr>
        <w:t xml:space="preserve">62). The situation in the U.S. makes it ideal to investigate the effect of the shift from intrinsic value method to fair value method on stock option compensation, and what forms of compensation are regarded as substitutes. </w:t>
      </w:r>
    </w:p>
    <w:p w:rsidR="001D5F43" w:rsidRPr="000B3455" w:rsidRDefault="001D5F43" w:rsidP="0088553E">
      <w:pPr>
        <w:pStyle w:val="Heading2"/>
        <w:spacing w:line="360" w:lineRule="auto"/>
        <w:jc w:val="both"/>
      </w:pPr>
      <w:bookmarkStart w:id="32" w:name="_Toc298944551"/>
      <w:r w:rsidRPr="000B3455">
        <w:lastRenderedPageBreak/>
        <w:t>3.</w:t>
      </w:r>
      <w:r w:rsidR="00C1321A" w:rsidRPr="000B3455">
        <w:t>7</w:t>
      </w:r>
      <w:r w:rsidRPr="000B3455">
        <w:t xml:space="preserve"> Conclusion</w:t>
      </w:r>
      <w:bookmarkEnd w:id="32"/>
    </w:p>
    <w:p w:rsidR="001D5F43" w:rsidRPr="000B3455" w:rsidRDefault="001D5F43" w:rsidP="0088553E">
      <w:pPr>
        <w:tabs>
          <w:tab w:val="left" w:pos="3828"/>
          <w:tab w:val="left" w:pos="4678"/>
        </w:tabs>
        <w:spacing w:line="360" w:lineRule="auto"/>
        <w:jc w:val="both"/>
        <w:rPr>
          <w:rFonts w:cstheme="minorHAnsi"/>
        </w:rPr>
      </w:pPr>
      <w:r w:rsidRPr="000B3455">
        <w:rPr>
          <w:rFonts w:cstheme="minorHAnsi"/>
        </w:rPr>
        <w:t>The Dutch accounting guidelines for share-based payment transactions before 2005 did not require recognition of the fair value of granted equity instruments. The introduction of IFRS 2 has led to changing accounting principles. The fair value of both granted shares and stock options should now be expensed in the profit and loss account.</w:t>
      </w:r>
      <w:r w:rsidR="00376D6B" w:rsidRPr="000B3455">
        <w:rPr>
          <w:rFonts w:cstheme="minorHAnsi"/>
        </w:rPr>
        <w:t xml:space="preserve"> The adoption of the fair value method under IFRS 2 is considered to be more unfavorable for both stock options and share grants.</w:t>
      </w:r>
      <w:r w:rsidRPr="000B3455">
        <w:rPr>
          <w:rFonts w:cstheme="minorHAnsi"/>
        </w:rPr>
        <w:t xml:space="preserve"> For cash-settled share-based payments the accounting principles have remained the same as before IFRS 2. The enforcement of Article 383 in Book 2, Title 9 of the Dutch Civil Code in September 2002, and the legally requirement to comply with the Dutch Corporate Governance Code, obliged listed companies to disclose information on the remuneration of members of the management board. This enables that remuneration information of the board of management is publicly available for annual reports created after that date, in most cases the annual reports of the year 2002. The Dutch Corporate Governance Code also provided guidance for the structure of the organization, as well as the remuneration policy. The remuneration committee determines the remuneration of the board of management. The key factor within the Code is that the variable part of remuneration will discourage management to act in self-interest, and should be dependent on the firm’s performance. The situation in the U.S. was ideal to test whether the adoption of the fair value method has had effect on stock option compensation, since the accounting methods for other forms of compensation remained unchanged. </w:t>
      </w:r>
    </w:p>
    <w:p w:rsidR="001D5F43" w:rsidRPr="000B3455" w:rsidRDefault="001D5F43" w:rsidP="0088553E">
      <w:pPr>
        <w:spacing w:line="360" w:lineRule="auto"/>
        <w:jc w:val="both"/>
      </w:pPr>
    </w:p>
    <w:p w:rsidR="001D5F43" w:rsidRPr="000B3455" w:rsidRDefault="001D5F43" w:rsidP="0088553E">
      <w:pPr>
        <w:spacing w:line="360" w:lineRule="auto"/>
        <w:jc w:val="both"/>
      </w:pPr>
      <w:r w:rsidRPr="000B3455">
        <w:br w:type="page"/>
      </w:r>
    </w:p>
    <w:p w:rsidR="001D5F43" w:rsidRPr="000B3455" w:rsidRDefault="00D00EDB" w:rsidP="00ED7148">
      <w:pPr>
        <w:pStyle w:val="Kop1Thesis"/>
      </w:pPr>
      <w:bookmarkStart w:id="33" w:name="_Toc298944552"/>
      <w:r w:rsidRPr="000B3455">
        <w:lastRenderedPageBreak/>
        <w:t xml:space="preserve">Chapter </w:t>
      </w:r>
      <w:r w:rsidR="001D5F43" w:rsidRPr="000B3455">
        <w:t>4</w:t>
      </w:r>
      <w:r w:rsidRPr="000B3455">
        <w:t>:</w:t>
      </w:r>
      <w:r w:rsidR="001D5F43" w:rsidRPr="000B3455">
        <w:t xml:space="preserve"> Review of </w:t>
      </w:r>
      <w:r w:rsidR="003963B5">
        <w:t>e</w:t>
      </w:r>
      <w:r w:rsidR="001D5F43" w:rsidRPr="000B3455">
        <w:t xml:space="preserve">mpirical </w:t>
      </w:r>
      <w:r w:rsidR="003963B5">
        <w:t>l</w:t>
      </w:r>
      <w:r w:rsidR="001D5F43" w:rsidRPr="000B3455">
        <w:t>iterature</w:t>
      </w:r>
      <w:bookmarkEnd w:id="33"/>
    </w:p>
    <w:p w:rsidR="001D5F43" w:rsidRPr="000B3455" w:rsidRDefault="00E52E87" w:rsidP="0088553E">
      <w:pPr>
        <w:spacing w:line="360" w:lineRule="auto"/>
        <w:jc w:val="both"/>
      </w:pPr>
      <w:r>
        <w:br/>
      </w:r>
      <w:r w:rsidR="001D5F43" w:rsidRPr="000B3455">
        <w:t>The introduction of IFRS 2 can have consequences for the amount of sh</w:t>
      </w:r>
      <w:r w:rsidR="00D92336">
        <w:t xml:space="preserve">are-based remuneration for the </w:t>
      </w:r>
      <w:r w:rsidR="001D5F43" w:rsidRPr="000B3455">
        <w:t>board of directors. This chapter reviews empirical literature regarding th</w:t>
      </w:r>
      <w:r w:rsidR="003E5AB5">
        <w:t>e change of accounting methods and how companies’ remuneration behavior is influenced. The first section deals with the impact of the change in accounting treatment on accounting numbers. Accordingly, executi</w:t>
      </w:r>
      <w:r w:rsidR="0088553E">
        <w:t xml:space="preserve">ves alter behavior to mitigate the influence of a new standard. </w:t>
      </w:r>
      <w:r w:rsidR="001D5F43" w:rsidRPr="000B3455">
        <w:t>As the U.S. went through a comparable change in accounting standards regarding stock options, much literature is written about the economic consequences of the mandatory adoption of the fair value method. Therefore, much literature discussed in this chapter focuses on the change in stock option compensation</w:t>
      </w:r>
      <w:r w:rsidR="0088553E">
        <w:t>. This will be discussed in the second section</w:t>
      </w:r>
      <w:r w:rsidR="001D5F43" w:rsidRPr="000B3455">
        <w:t xml:space="preserve">. As the study of Feng and Tian (2007) is focused on a change in trend of stock option compensation before and after 2002, this research is discussed first. The studies of Brown and Lee (2007), Carter et al. (2007), and Choudhary (2008) deal with the change in the composition of compensation, and whether the adoption of the fair value method is the main cause for this. Although these studies are US-based, it provides an insight in how accounting principles affect the decision-making behavior. The </w:t>
      </w:r>
      <w:r w:rsidR="0088553E">
        <w:t>third</w:t>
      </w:r>
      <w:r w:rsidR="001D5F43" w:rsidRPr="000B3455">
        <w:t xml:space="preserve"> section discusses two Dutch studies, namely Swagerman and Terpstra (2009) and Kraakman (2010). Since the research models that are discussed in this chapter are not applicable to the Dutch institutional setting and/or for the research of a substitution effect, and the Dutch study of Swagerman and Terpstra (2009) is lacking a research model, a new research model has to be developed. As a start, several determinants for the amount of remuneration of the board of directors are identified in the </w:t>
      </w:r>
      <w:r w:rsidR="0088553E">
        <w:t>last</w:t>
      </w:r>
      <w:r w:rsidR="001D5F43" w:rsidRPr="000B3455">
        <w:t xml:space="preserve"> section. </w:t>
      </w:r>
      <w:r w:rsidR="004A4396" w:rsidRPr="000B3455">
        <w:t xml:space="preserve">The discussed empirical literature is summarized in a table which can be found in </w:t>
      </w:r>
      <w:fldSimple w:instr=" REF II \h  \* MERGEFORMAT ">
        <w:r w:rsidR="001D5F9A" w:rsidRPr="000B3455">
          <w:t>Appendix II</w:t>
        </w:r>
      </w:fldSimple>
      <w:r w:rsidR="004A4396" w:rsidRPr="000B3455">
        <w:t>.</w:t>
      </w:r>
    </w:p>
    <w:p w:rsidR="0088553E" w:rsidRDefault="0088553E" w:rsidP="0088553E">
      <w:pPr>
        <w:pStyle w:val="Heading2"/>
        <w:spacing w:line="360" w:lineRule="auto"/>
        <w:jc w:val="both"/>
      </w:pPr>
      <w:bookmarkStart w:id="34" w:name="_Ref298924443"/>
      <w:bookmarkStart w:id="35" w:name="_Toc298944553"/>
      <w:r>
        <w:t>4.1 Impacting accounting numbers</w:t>
      </w:r>
      <w:bookmarkEnd w:id="34"/>
      <w:bookmarkEnd w:id="35"/>
    </w:p>
    <w:p w:rsidR="00CB7A05" w:rsidRDefault="00CB7A05" w:rsidP="0088553E">
      <w:pPr>
        <w:spacing w:line="360" w:lineRule="auto"/>
        <w:jc w:val="both"/>
        <w:rPr>
          <w:rFonts w:cstheme="minorHAnsi"/>
        </w:rPr>
      </w:pPr>
      <w:r>
        <w:rPr>
          <w:rFonts w:cstheme="minorHAnsi"/>
        </w:rPr>
        <w:t>This section deals with the impact that IFRS 2</w:t>
      </w:r>
      <w:r w:rsidR="003963B5">
        <w:rPr>
          <w:rFonts w:cstheme="minorHAnsi"/>
        </w:rPr>
        <w:t xml:space="preserve"> might have</w:t>
      </w:r>
      <w:r>
        <w:rPr>
          <w:rFonts w:cstheme="minorHAnsi"/>
        </w:rPr>
        <w:t xml:space="preserve"> on the accounting numbers of companies. A worse financial position and performance relative to the period before IFRS 2 provides executives with incentives to change remuneration practices to minimize the impact of IFRS 2, and, thereby, reduce stock option compensation</w:t>
      </w:r>
      <w:r w:rsidR="002E7B1E">
        <w:rPr>
          <w:rFonts w:cstheme="minorHAnsi"/>
        </w:rPr>
        <w:t>.</w:t>
      </w:r>
    </w:p>
    <w:p w:rsidR="00F03F33" w:rsidRDefault="00F03F33" w:rsidP="00F03F33">
      <w:pPr>
        <w:pStyle w:val="Heading3"/>
      </w:pPr>
      <w:bookmarkStart w:id="36" w:name="_Toc298944554"/>
      <w:r>
        <w:t>4.1.1 Financial position and performance</w:t>
      </w:r>
      <w:bookmarkEnd w:id="36"/>
    </w:p>
    <w:p w:rsidR="0088553E" w:rsidRPr="00BB26C2" w:rsidRDefault="0088553E" w:rsidP="0088553E">
      <w:pPr>
        <w:spacing w:line="360" w:lineRule="auto"/>
        <w:jc w:val="both"/>
        <w:rPr>
          <w:rFonts w:cstheme="minorHAnsi"/>
        </w:rPr>
      </w:pPr>
      <w:r w:rsidRPr="00BB26C2">
        <w:rPr>
          <w:rFonts w:cstheme="minorHAnsi"/>
        </w:rPr>
        <w:t>Sweeney (1994</w:t>
      </w:r>
      <w:r w:rsidR="002E7B1E">
        <w:rPr>
          <w:rFonts w:cstheme="minorHAnsi"/>
        </w:rPr>
        <w:t>, pp. 301-302</w:t>
      </w:r>
      <w:r w:rsidRPr="00BB26C2">
        <w:rPr>
          <w:rFonts w:cstheme="minorHAnsi"/>
        </w:rPr>
        <w:t xml:space="preserve">) found that there is a relation between accounting changes and approaching of debt covenants. Approaching the debt covenants can be caused by increasing recognition of expenses, like the recognition of stock option expenses. Violating debt covenants can </w:t>
      </w:r>
      <w:r w:rsidRPr="00BB26C2">
        <w:rPr>
          <w:rFonts w:cstheme="minorHAnsi"/>
        </w:rPr>
        <w:lastRenderedPageBreak/>
        <w:t>result in</w:t>
      </w:r>
      <w:r w:rsidR="00A52202">
        <w:rPr>
          <w:rFonts w:cstheme="minorHAnsi"/>
        </w:rPr>
        <w:t xml:space="preserve"> the obligation to an immediate pay </w:t>
      </w:r>
      <w:r w:rsidRPr="00BB26C2">
        <w:rPr>
          <w:rFonts w:cstheme="minorHAnsi"/>
        </w:rPr>
        <w:t xml:space="preserve">back </w:t>
      </w:r>
      <w:r w:rsidR="00A52202">
        <w:rPr>
          <w:rFonts w:cstheme="minorHAnsi"/>
        </w:rPr>
        <w:t xml:space="preserve">of </w:t>
      </w:r>
      <w:r w:rsidRPr="00BB26C2">
        <w:rPr>
          <w:rFonts w:cstheme="minorHAnsi"/>
        </w:rPr>
        <w:t>the loan or higher cost of capital for a firm. However, Dechow et al. (1996</w:t>
      </w:r>
      <w:r w:rsidR="002E7B1E">
        <w:rPr>
          <w:rFonts w:cstheme="minorHAnsi"/>
        </w:rPr>
        <w:t>, pp. 15-16</w:t>
      </w:r>
      <w:r w:rsidRPr="00BB26C2">
        <w:rPr>
          <w:rFonts w:cstheme="minorHAnsi"/>
        </w:rPr>
        <w:t xml:space="preserve">) found that there is no evidence to conclude that mandatory expensing of stock options would lead to higher cost of capital for firms. Expensing stock options will result in changing accounting numbers. Chalmers and Godfrey (2005) argue that due to the significant change of accounting numbers, parties need to reconsider the </w:t>
      </w:r>
      <w:r w:rsidR="00D92336" w:rsidRPr="00BB26C2">
        <w:rPr>
          <w:rFonts w:cstheme="minorHAnsi"/>
        </w:rPr>
        <w:t>covenants that</w:t>
      </w:r>
      <w:r w:rsidRPr="00BB26C2">
        <w:rPr>
          <w:rFonts w:cstheme="minorHAnsi"/>
        </w:rPr>
        <w:t xml:space="preserve"> are based on accounting numbers. The adoption of the Australian equivalent of IFRS 2 will have a significant negative effect on financial performance ratios. The deterioration of the financial performance ratios can cause lower valuations of firms. The requirement of expensing options can also reduce efficiency, since compensation contracts may be changed, implying less stock option compensation. This means that the alignment of interests between shareholders and executives diminishes. </w:t>
      </w:r>
    </w:p>
    <w:p w:rsidR="00F03F33" w:rsidRPr="00BB26C2" w:rsidRDefault="00F03F33" w:rsidP="00F03F33">
      <w:pPr>
        <w:spacing w:line="360" w:lineRule="auto"/>
        <w:jc w:val="both"/>
        <w:rPr>
          <w:rFonts w:cstheme="minorHAnsi"/>
        </w:rPr>
      </w:pPr>
      <w:r w:rsidRPr="00BB26C2">
        <w:rPr>
          <w:rFonts w:cstheme="minorHAnsi"/>
        </w:rPr>
        <w:t xml:space="preserve">Viger et al. (2008) found that bank loan officers do treat recognized items and disclosed items differently, when assessing a company’s risk. Loan officers in Canada were asked to judge different cases. These cases included financial statements with stock option compensation disclosed in the notes and comparable financial statements with recognition of stock option compensation costs. The loan officers were asked to provide them with a credit assessment accompanying with a decision regarding the granting of the loan, and a calculation of the interest rate. Their results support that footnote disclosures are perceived differently than recognition of items. The cases with disclosures received more favorable judgments compared to the cases with the recognition of stock option expenses. Basing on these results, they conclude that loan officers did not take the disclosures into account when making a credit assessment, and companies with stock option compensation disclosed in the notes are rated at lower risk than similar companies with recognized stock option compensation. </w:t>
      </w:r>
    </w:p>
    <w:p w:rsidR="00F03F33" w:rsidRDefault="00F03F33" w:rsidP="00F03F33">
      <w:pPr>
        <w:pStyle w:val="Heading3"/>
      </w:pPr>
      <w:bookmarkStart w:id="37" w:name="_Toc298944555"/>
      <w:r>
        <w:t>4.1.2 Stock price reaction and value relevance</w:t>
      </w:r>
      <w:bookmarkEnd w:id="37"/>
    </w:p>
    <w:p w:rsidR="0088553E" w:rsidRPr="00BB26C2" w:rsidRDefault="0088553E" w:rsidP="0088553E">
      <w:pPr>
        <w:spacing w:line="360" w:lineRule="auto"/>
        <w:jc w:val="both"/>
        <w:rPr>
          <w:rFonts w:cstheme="minorHAnsi"/>
        </w:rPr>
      </w:pPr>
      <w:r w:rsidRPr="00BB26C2">
        <w:rPr>
          <w:rFonts w:cstheme="minorHAnsi"/>
        </w:rPr>
        <w:t>The lower valuations of firms, caused by expensing stock options, can be the result of the different treatment of recognized items and disclosed items</w:t>
      </w:r>
      <w:r w:rsidR="002E7B1E">
        <w:rPr>
          <w:rFonts w:cstheme="minorHAnsi"/>
        </w:rPr>
        <w:t>. Since Article 383 required companies to disclose granted compensation to executives, the introduction of IFRS 2 involved a shift from disclosure to recognition of compensation costs</w:t>
      </w:r>
      <w:r w:rsidRPr="00BB26C2">
        <w:rPr>
          <w:rFonts w:cstheme="minorHAnsi"/>
        </w:rPr>
        <w:t>. Robinson and Burton (2004</w:t>
      </w:r>
      <w:r w:rsidR="002E7B1E">
        <w:rPr>
          <w:rFonts w:cstheme="minorHAnsi"/>
        </w:rPr>
        <w:t>, p. 101</w:t>
      </w:r>
      <w:r w:rsidRPr="00BB26C2">
        <w:rPr>
          <w:rFonts w:cstheme="minorHAnsi"/>
        </w:rPr>
        <w:t>) found that investors think the adoption of the fair value method is value relevant. This suggests that recognizing items is seen as more value-relevant than disclosed items. However, Cotter and Zimmer (2003) argued that the value relevance of recognized items is not different from disclosed items, but the perception of the reliability of the information is a determinant. Also Frederickson et al. (2006</w:t>
      </w:r>
      <w:r w:rsidR="002E7B1E">
        <w:rPr>
          <w:rFonts w:cstheme="minorHAnsi"/>
        </w:rPr>
        <w:t>, p. 1087</w:t>
      </w:r>
      <w:r w:rsidRPr="00BB26C2">
        <w:rPr>
          <w:rFonts w:cstheme="minorHAnsi"/>
        </w:rPr>
        <w:t>) found that items disclosed in the notes is perceived as less reliable than recognized items. Financial statement users invest more in the firm that recognizes items than in the firm that discloses items.</w:t>
      </w:r>
    </w:p>
    <w:p w:rsidR="0088553E" w:rsidRPr="00BB26C2" w:rsidRDefault="0088553E" w:rsidP="0088553E">
      <w:pPr>
        <w:spacing w:line="360" w:lineRule="auto"/>
        <w:jc w:val="both"/>
        <w:rPr>
          <w:rFonts w:cstheme="minorHAnsi"/>
        </w:rPr>
      </w:pPr>
      <w:r w:rsidRPr="00BB26C2">
        <w:rPr>
          <w:rFonts w:cstheme="minorHAnsi"/>
        </w:rPr>
        <w:lastRenderedPageBreak/>
        <w:t>Deshmukh et al. (2006</w:t>
      </w:r>
      <w:r w:rsidR="00AA0B33">
        <w:rPr>
          <w:rFonts w:cstheme="minorHAnsi"/>
        </w:rPr>
        <w:t>, p. 103</w:t>
      </w:r>
      <w:r w:rsidRPr="00BB26C2">
        <w:rPr>
          <w:rFonts w:cstheme="minorHAnsi"/>
        </w:rPr>
        <w:t>) show that the announcement to expense stock options do not have a significant influence on the share price. It seems that the financial market has already taken into account the information that is disclosed in the notes or that there is not a different perception of recognized items and disclosed items. Dechow et al. (1996</w:t>
      </w:r>
      <w:r w:rsidR="00AA0B33">
        <w:rPr>
          <w:rFonts w:cstheme="minorHAnsi"/>
        </w:rPr>
        <w:t>, p. 16</w:t>
      </w:r>
      <w:r w:rsidRPr="00BB26C2">
        <w:rPr>
          <w:rFonts w:cstheme="minorHAnsi"/>
        </w:rPr>
        <w:t xml:space="preserve">) also found that investors did not act when the mandatory expensing of stock options was announced. The stock market did not react, as if there were negative economic consequences for high-growth firms. This is contradictory to the previous studies, because in this study the perceived reliability of disclosures and recognized items are apparently not different. This study suggests that there is not a different treatment of disclosures and recognized items or that the market is efficient, according to the efficient market hypothesis. </w:t>
      </w:r>
    </w:p>
    <w:p w:rsidR="00F03F33" w:rsidRDefault="00F03F33" w:rsidP="00F03F33">
      <w:pPr>
        <w:pStyle w:val="Heading3"/>
      </w:pPr>
      <w:bookmarkStart w:id="38" w:name="_Toc298944556"/>
      <w:r>
        <w:t>4.1.3 Conclusion</w:t>
      </w:r>
      <w:bookmarkEnd w:id="38"/>
    </w:p>
    <w:p w:rsidR="00A30740" w:rsidRDefault="00A30740" w:rsidP="00A30740">
      <w:pPr>
        <w:spacing w:line="360" w:lineRule="auto"/>
        <w:jc w:val="both"/>
      </w:pPr>
      <w:r>
        <w:t xml:space="preserve">The introduction of IFRS 2 is expected to have a negative influence on financial figures, shown by Sweeney (1994), Dechow et al. (1996), and Chalmers and Godfrey (2005). </w:t>
      </w:r>
      <w:r w:rsidR="00F03F33">
        <w:t xml:space="preserve">Additionally, firms are found to be more risky when the fair value of remuneration is recognized in the financial statements (Viger et al., 2008). </w:t>
      </w:r>
      <w:r>
        <w:t xml:space="preserve">On the other hand, investors seem to have incorporated the fair value of compensation costs, as the share price shows no reaction to the announcement to expense the fair value of stock options (Dechow et al., 1996; Deshmukh et al., 2006). Nonetheless, </w:t>
      </w:r>
      <w:r w:rsidR="00936274">
        <w:t xml:space="preserve">the shift from disclosed compensation costs to recognition in the profit and loss account is found to be value relevant (Cotter and Zimmer, 2003; Robinson and Burton, 2004; Frederickson et al., 2006). </w:t>
      </w:r>
      <w:r>
        <w:t xml:space="preserve">The aforementioned results might indicate incentives for companies to mitigate the impact of the adoption of the fair value method in IFRS 2. </w:t>
      </w:r>
      <w:r w:rsidR="00936274">
        <w:t>Where firms might mitigate the deterioration of financial ratios and risk level increment, they might alter remuneration practices by decreasing stock option compensation.</w:t>
      </w:r>
    </w:p>
    <w:p w:rsidR="001D5F43" w:rsidRPr="000B3455" w:rsidRDefault="001D5F43" w:rsidP="0088553E">
      <w:pPr>
        <w:pStyle w:val="Heading2"/>
        <w:spacing w:line="360" w:lineRule="auto"/>
        <w:jc w:val="both"/>
      </w:pPr>
      <w:bookmarkStart w:id="39" w:name="_Ref298924317"/>
      <w:bookmarkStart w:id="40" w:name="_Toc298944557"/>
      <w:r w:rsidRPr="000B3455">
        <w:t>4.</w:t>
      </w:r>
      <w:r w:rsidR="0088553E">
        <w:t>2</w:t>
      </w:r>
      <w:r w:rsidRPr="000B3455">
        <w:t xml:space="preserve"> US-based studies</w:t>
      </w:r>
      <w:bookmarkEnd w:id="39"/>
      <w:bookmarkEnd w:id="40"/>
    </w:p>
    <w:p w:rsidR="001D5F43" w:rsidRPr="000B3455" w:rsidRDefault="001D5F43" w:rsidP="0088553E">
      <w:pPr>
        <w:spacing w:line="360" w:lineRule="auto"/>
        <w:jc w:val="both"/>
      </w:pPr>
      <w:r w:rsidRPr="000B3455">
        <w:t>As discussed in the previous chapter the situation in the U.S. made it ideal to investigate the influence of the mandatory adoption of the fair value method on stock option compensation, while accounting methods for other forms of compensation remained unchanged. This section provides an overview on how the change to fair value accounting for stock options affects the amount of stock option compensation, and whether stock options are substituted for other forms of compensation. This section deals with studies of Feng and Tian (2007), Brown and Lee (2007), Carter et al. (2007), and Choudhary (2008) respectively.</w:t>
      </w:r>
    </w:p>
    <w:p w:rsidR="001D5F43" w:rsidRPr="000B3455" w:rsidRDefault="001D5F43" w:rsidP="0088553E">
      <w:pPr>
        <w:pStyle w:val="Heading3"/>
        <w:spacing w:line="360" w:lineRule="auto"/>
        <w:jc w:val="both"/>
      </w:pPr>
      <w:bookmarkStart w:id="41" w:name="_Toc286230424"/>
      <w:bookmarkStart w:id="42" w:name="_Toc298944558"/>
      <w:r w:rsidRPr="000B3455">
        <w:lastRenderedPageBreak/>
        <w:t>4.</w:t>
      </w:r>
      <w:r w:rsidR="0088553E">
        <w:t>2</w:t>
      </w:r>
      <w:r w:rsidRPr="000B3455">
        <w:t>.1 Feng and Tian (2007)</w:t>
      </w:r>
      <w:bookmarkEnd w:id="41"/>
      <w:bookmarkEnd w:id="42"/>
    </w:p>
    <w:p w:rsidR="001D5F43" w:rsidRPr="000B3455" w:rsidRDefault="001D5F43" w:rsidP="0088553E">
      <w:pPr>
        <w:spacing w:line="360" w:lineRule="auto"/>
        <w:jc w:val="both"/>
      </w:pPr>
      <w:r w:rsidRPr="000B3455">
        <w:t xml:space="preserve">Feng and Tian (2007) investigated the effect of mandatory option expensing on the composition of total executive compensation from an agency theory perspective. They included an optimal contracting model in their research, whereby the incentive component (e.g. stock option compensation and/or restricted stock compensation) of an agent is dependent on an agent’s marginal productivity, firm volatility, risk aversion and effort. This model implied that the mandatory expensing of options will lead to a change in the optimal contract, and therefore the incentive component of an agent’s salary will decrease. To test whether it was true what the model predicted they conducted an empirical research on the trend of executive compensation. Feng and Tian took a sample of 1,609 firms, and 1993-2004 as the sample period. The </w:t>
      </w:r>
      <w:r w:rsidR="00D92336" w:rsidRPr="000B3455">
        <w:t>amount of equity incentives for executives is</w:t>
      </w:r>
      <w:r w:rsidRPr="000B3455">
        <w:t xml:space="preserve"> measured by the pay-performance sensitivity developed by Jensen and Murphy (1990). The pay-performance sensitivity calculates the change in a CEO’s compensation for an increase of shareholder wealth (i.e. firm value). However, stock option expensing has become mandatory in the U.S. in 2005, the event date to see a change was 2002. This is due to the Sarbanes-Oxley Act and the release of SFAS 148 (an amendment to SFAS 123) in 2002. The FASB issued SFAS 148 in 2002 to provide guidance on how to transfer from disclosure to recognition of the fair value of stock options. According to Feng and Tian (2007, </w:t>
      </w:r>
      <w:r w:rsidR="00EB350F" w:rsidRPr="000B3455">
        <w:t xml:space="preserve">p. </w:t>
      </w:r>
      <w:r w:rsidRPr="000B3455">
        <w:t xml:space="preserve">6), the introduction of SFAS 148 was a sign for many companies indicating that the mandatory expensing of options becomes reality in the near future, and therefore start to adopt or prepare to adopt the fair value method voluntarily. In their research they use two models: a quadratic </w:t>
      </w:r>
      <w:r w:rsidR="00D92336" w:rsidRPr="000B3455">
        <w:t>model</w:t>
      </w:r>
      <w:r w:rsidRPr="000B3455">
        <w:t xml:space="preserve"> and a piecewise linear model. The latter requires an event date, and the quadratic model estimates the event date of the change in trend itself. The piecewise linear model is stated as: </w:t>
      </w:r>
    </w:p>
    <w:p w:rsidR="00095D8B" w:rsidRDefault="001D5F43" w:rsidP="0088553E">
      <w:pPr>
        <w:spacing w:line="360" w:lineRule="auto"/>
        <w:jc w:val="both"/>
      </w:pPr>
      <w:r w:rsidRPr="000B3455">
        <w:rPr>
          <w:i/>
          <w:iCs/>
        </w:rPr>
        <w:t>Comp</w:t>
      </w:r>
      <w:r w:rsidRPr="000B3455">
        <w:rPr>
          <w:i/>
          <w:iCs/>
          <w:vertAlign w:val="subscript"/>
        </w:rPr>
        <w:t>it</w:t>
      </w:r>
      <w:r w:rsidRPr="000B3455">
        <w:rPr>
          <w:i/>
          <w:iCs/>
        </w:rPr>
        <w:t xml:space="preserve"> </w:t>
      </w:r>
      <w:r w:rsidRPr="000B3455">
        <w:rPr>
          <w:i/>
        </w:rPr>
        <w:t>= α</w:t>
      </w:r>
      <w:r w:rsidRPr="000B3455">
        <w:rPr>
          <w:i/>
          <w:vertAlign w:val="subscript"/>
        </w:rPr>
        <w:t>i</w:t>
      </w:r>
      <w:r w:rsidRPr="000B3455">
        <w:rPr>
          <w:i/>
        </w:rPr>
        <w:t xml:space="preserve"> + β</w:t>
      </w:r>
      <w:r w:rsidRPr="000B3455">
        <w:rPr>
          <w:i/>
          <w:vertAlign w:val="subscript"/>
        </w:rPr>
        <w:t>1</w:t>
      </w:r>
      <w:r w:rsidRPr="000B3455">
        <w:rPr>
          <w:i/>
        </w:rPr>
        <w:t>TL1</w:t>
      </w:r>
      <w:r w:rsidRPr="000B3455">
        <w:rPr>
          <w:i/>
          <w:vertAlign w:val="subscript"/>
        </w:rPr>
        <w:t>t</w:t>
      </w:r>
      <w:r w:rsidRPr="000B3455">
        <w:rPr>
          <w:i/>
        </w:rPr>
        <w:t xml:space="preserve"> + β</w:t>
      </w:r>
      <w:r w:rsidRPr="000B3455">
        <w:rPr>
          <w:i/>
          <w:vertAlign w:val="subscript"/>
        </w:rPr>
        <w:t>2</w:t>
      </w:r>
      <w:r w:rsidRPr="000B3455">
        <w:rPr>
          <w:i/>
        </w:rPr>
        <w:t>TL2</w:t>
      </w:r>
      <w:r w:rsidRPr="000B3455">
        <w:rPr>
          <w:i/>
          <w:vertAlign w:val="subscript"/>
        </w:rPr>
        <w:t>t</w:t>
      </w:r>
      <w:r w:rsidRPr="000B3455">
        <w:rPr>
          <w:i/>
        </w:rPr>
        <w:t xml:space="preserve"> + (control variables)</w:t>
      </w:r>
      <w:r w:rsidRPr="000B3455">
        <w:rPr>
          <w:i/>
          <w:vertAlign w:val="subscript"/>
        </w:rPr>
        <w:t>it</w:t>
      </w:r>
      <w:r w:rsidRPr="000B3455">
        <w:rPr>
          <w:i/>
        </w:rPr>
        <w:t xml:space="preserve"> + e</w:t>
      </w:r>
      <w:r w:rsidRPr="000B3455">
        <w:rPr>
          <w:i/>
          <w:vertAlign w:val="subscript"/>
        </w:rPr>
        <w:t>it</w:t>
      </w:r>
      <w:r w:rsidRPr="000B3455">
        <w:t xml:space="preserve"> , </w:t>
      </w:r>
    </w:p>
    <w:p w:rsidR="001D5F43" w:rsidRPr="000B3455" w:rsidRDefault="001D5F43" w:rsidP="0088553E">
      <w:pPr>
        <w:spacing w:line="360" w:lineRule="auto"/>
        <w:jc w:val="both"/>
      </w:pPr>
      <w:r w:rsidRPr="000B3455">
        <w:t>where TL1</w:t>
      </w:r>
      <w:r w:rsidRPr="000B3455">
        <w:rPr>
          <w:vertAlign w:val="subscript"/>
        </w:rPr>
        <w:t>t</w:t>
      </w:r>
      <w:r w:rsidRPr="000B3455">
        <w:t xml:space="preserve"> and TL2</w:t>
      </w:r>
      <w:r w:rsidRPr="000B3455">
        <w:rPr>
          <w:vertAlign w:val="subscript"/>
        </w:rPr>
        <w:t>t</w:t>
      </w:r>
      <w:r w:rsidRPr="000B3455">
        <w:t xml:space="preserve"> are time indexes, where TL1</w:t>
      </w:r>
      <w:r w:rsidRPr="000B3455">
        <w:rPr>
          <w:vertAlign w:val="subscript"/>
        </w:rPr>
        <w:t>t</w:t>
      </w:r>
      <w:r w:rsidRPr="000B3455">
        <w:t xml:space="preserve"> is equal to </w:t>
      </w:r>
      <w:r w:rsidRPr="000B3455">
        <w:rPr>
          <w:i/>
        </w:rPr>
        <w:t>t</w:t>
      </w:r>
      <w:r w:rsidRPr="000B3455">
        <w:t xml:space="preserve"> before the event year 2002 and zero after, and TL2</w:t>
      </w:r>
      <w:r w:rsidRPr="000B3455">
        <w:rPr>
          <w:vertAlign w:val="subscript"/>
        </w:rPr>
        <w:t>t</w:t>
      </w:r>
      <w:r w:rsidRPr="000B3455">
        <w:t xml:space="preserve"> is equal to zero before 2002 and t-t</w:t>
      </w:r>
      <w:r w:rsidRPr="000B3455">
        <w:rPr>
          <w:vertAlign w:val="subscript"/>
        </w:rPr>
        <w:t>2002</w:t>
      </w:r>
      <w:r w:rsidRPr="000B3455">
        <w:t xml:space="preserve"> after. The t equals values of 1,2,3,... and so on. The year 1993 is assigned with t = 1.</w:t>
      </w:r>
    </w:p>
    <w:p w:rsidR="001D5F43" w:rsidRPr="000B3455" w:rsidRDefault="001D5F43" w:rsidP="0088553E">
      <w:pPr>
        <w:spacing w:line="360" w:lineRule="auto"/>
        <w:jc w:val="both"/>
      </w:pPr>
      <w:r w:rsidRPr="000B3455">
        <w:t xml:space="preserve"> The quadratic model is specified as: </w:t>
      </w:r>
    </w:p>
    <w:p w:rsidR="001D5F43" w:rsidRPr="000B3455" w:rsidRDefault="001D5F43" w:rsidP="0088553E">
      <w:pPr>
        <w:spacing w:line="360" w:lineRule="auto"/>
        <w:jc w:val="both"/>
      </w:pPr>
      <w:r w:rsidRPr="000B3455">
        <w:rPr>
          <w:i/>
        </w:rPr>
        <w:t>Comp</w:t>
      </w:r>
      <w:r w:rsidRPr="000B3455">
        <w:rPr>
          <w:i/>
          <w:vertAlign w:val="subscript"/>
        </w:rPr>
        <w:t>it</w:t>
      </w:r>
      <w:r w:rsidRPr="000B3455">
        <w:rPr>
          <w:i/>
        </w:rPr>
        <w:t xml:space="preserve"> = </w:t>
      </w:r>
      <w:r w:rsidRPr="000B3455">
        <w:t>θ</w:t>
      </w:r>
      <w:r w:rsidRPr="000B3455">
        <w:rPr>
          <w:i/>
          <w:vertAlign w:val="subscript"/>
        </w:rPr>
        <w:t>i</w:t>
      </w:r>
      <w:r w:rsidRPr="000B3455">
        <w:rPr>
          <w:i/>
        </w:rPr>
        <w:t xml:space="preserve"> + γ</w:t>
      </w:r>
      <w:r w:rsidRPr="000B3455">
        <w:rPr>
          <w:i/>
          <w:vertAlign w:val="subscript"/>
        </w:rPr>
        <w:t>1</w:t>
      </w:r>
      <w:r w:rsidRPr="000B3455">
        <w:rPr>
          <w:i/>
        </w:rPr>
        <w:t>t + γ</w:t>
      </w:r>
      <w:r w:rsidRPr="000B3455">
        <w:rPr>
          <w:i/>
          <w:vertAlign w:val="subscript"/>
        </w:rPr>
        <w:t>2</w:t>
      </w:r>
      <w:r w:rsidRPr="000B3455">
        <w:rPr>
          <w:i/>
        </w:rPr>
        <w:t>t</w:t>
      </w:r>
      <w:r w:rsidRPr="000B3455">
        <w:rPr>
          <w:i/>
          <w:vertAlign w:val="superscript"/>
        </w:rPr>
        <w:t>2</w:t>
      </w:r>
      <w:r w:rsidRPr="000B3455">
        <w:rPr>
          <w:i/>
        </w:rPr>
        <w:t xml:space="preserve"> + (control variables)</w:t>
      </w:r>
      <w:r w:rsidRPr="000B3455">
        <w:rPr>
          <w:i/>
          <w:vertAlign w:val="subscript"/>
        </w:rPr>
        <w:t>it</w:t>
      </w:r>
      <w:r w:rsidRPr="000B3455">
        <w:rPr>
          <w:i/>
        </w:rPr>
        <w:t xml:space="preserve"> + e</w:t>
      </w:r>
      <w:r w:rsidRPr="000B3455">
        <w:rPr>
          <w:i/>
          <w:vertAlign w:val="subscript"/>
        </w:rPr>
        <w:t>it</w:t>
      </w:r>
      <w:r w:rsidRPr="000B3455">
        <w:t xml:space="preserve"> , </w:t>
      </w:r>
    </w:p>
    <w:p w:rsidR="001D5F43" w:rsidRPr="000B3455" w:rsidRDefault="001D5F43" w:rsidP="0088553E">
      <w:pPr>
        <w:spacing w:line="360" w:lineRule="auto"/>
        <w:jc w:val="both"/>
      </w:pPr>
      <w:r w:rsidRPr="000B3455">
        <w:t xml:space="preserve">where </w:t>
      </w:r>
      <w:r w:rsidRPr="000B3455">
        <w:rPr>
          <w:i/>
        </w:rPr>
        <w:t>Comp</w:t>
      </w:r>
      <w:r w:rsidRPr="000B3455">
        <w:rPr>
          <w:i/>
          <w:vertAlign w:val="subscript"/>
        </w:rPr>
        <w:t>it</w:t>
      </w:r>
      <w:r w:rsidRPr="000B3455">
        <w:t xml:space="preserve"> is the incentive compensation, which can be either cash compensation, stock option or restricted stock compensation in dollars, stock option or restricted stock compensation as a proportion of total shares outstanding, the sum of the latter two and total compensation in dollars. The control </w:t>
      </w:r>
      <w:r w:rsidRPr="000B3455">
        <w:lastRenderedPageBreak/>
        <w:t xml:space="preserve">variables within both models are firm size, stock volatility, CEO tenure, growth opportunities, financial leverage, liquidity constraints, past firm performance, corporate governance, deviations from the optimal incentive level, and marginal taxes. The two models provide consistent evidence that from 1993 to 2001 the amount of executive compensation had a rising trend. In the same period the granting of employee stock options had also a rising trend. From 2002 to 2004 granted stock options decreased. Although stock compensation still increased, the total executive compensation has decreased. According to the results of Feng and Tian this is completely driven by the decrease in stock options. They also conclude that the decrease in stock options is the result of mandatory option expense (fair value method), which make options less attractive as compensation. Also other events that occurred around 2002 contribute to the reduction of stock options. These events are the Sarbanes-Oxley Act, the option backdating scandal and the 2000 stock market crash. </w:t>
      </w:r>
    </w:p>
    <w:p w:rsidR="001D5F43" w:rsidRPr="000B3455" w:rsidRDefault="001D5F43" w:rsidP="0088553E">
      <w:pPr>
        <w:pStyle w:val="Heading3"/>
        <w:spacing w:line="360" w:lineRule="auto"/>
        <w:jc w:val="both"/>
      </w:pPr>
      <w:bookmarkStart w:id="43" w:name="_Toc286230425"/>
      <w:bookmarkStart w:id="44" w:name="_Toc298944559"/>
      <w:r w:rsidRPr="000B3455">
        <w:t>4.</w:t>
      </w:r>
      <w:r w:rsidR="0088553E">
        <w:t>2</w:t>
      </w:r>
      <w:r w:rsidRPr="000B3455">
        <w:t>.2 Brown and Lee (2007)</w:t>
      </w:r>
      <w:bookmarkEnd w:id="43"/>
      <w:bookmarkEnd w:id="44"/>
    </w:p>
    <w:p w:rsidR="001D5F43" w:rsidRPr="000B3455" w:rsidRDefault="001D5F43" w:rsidP="0088553E">
      <w:pPr>
        <w:spacing w:line="360" w:lineRule="auto"/>
        <w:jc w:val="both"/>
      </w:pPr>
      <w:r w:rsidRPr="000B3455">
        <w:t xml:space="preserve">Also Brown and Lee (2007) found that the issuance of SFAS 123 (R) (the fair value method) caused a decrease in ESO compensation for executives. They hypothesize that different firm specific characteristics in the period before the mandatory expensing of stock options may have an effect on the magnitude of the change in granting the top 5 executives with stock options. In their six hypotheses they state that the likelihood of firms cutting back more on ESOs is dependent on firms with respectively tighter debt covenants, greater tendency to achieve earnings benchmarks, weaker corporate governance, higher levels of stock option compensation, higher grant-date fair values of outstanding and unvested ESOs, and accelerated vesting of outstanding ESOs. They took a sample of 1,022 firms that have granted the top 5 executives with stock options in 2001-2003, and 2005. Their OLS model is specified as: </w:t>
      </w:r>
    </w:p>
    <w:p w:rsidR="001D5F43" w:rsidRPr="000B3455" w:rsidRDefault="001D5F43" w:rsidP="000D47B5">
      <w:pPr>
        <w:spacing w:line="360" w:lineRule="auto"/>
        <w:jc w:val="both"/>
        <w:rPr>
          <w:i/>
        </w:rPr>
      </w:pPr>
      <w:r w:rsidRPr="000B3455">
        <w:rPr>
          <w:i/>
          <w:iCs/>
        </w:rPr>
        <w:t xml:space="preserve">CHG_ESO% = </w:t>
      </w:r>
      <w:r w:rsidRPr="000B3455">
        <w:rPr>
          <w:i/>
        </w:rPr>
        <w:t>β</w:t>
      </w:r>
      <w:r w:rsidRPr="000B3455">
        <w:rPr>
          <w:i/>
          <w:iCs/>
          <w:vertAlign w:val="subscript"/>
        </w:rPr>
        <w:t>0</w:t>
      </w:r>
      <w:r w:rsidRPr="000B3455">
        <w:rPr>
          <w:i/>
          <w:iCs/>
        </w:rPr>
        <w:t xml:space="preserve"> + </w:t>
      </w:r>
      <w:r w:rsidRPr="000B3455">
        <w:rPr>
          <w:i/>
        </w:rPr>
        <w:t>β</w:t>
      </w:r>
      <w:r w:rsidRPr="000B3455">
        <w:rPr>
          <w:i/>
          <w:iCs/>
          <w:vertAlign w:val="subscript"/>
        </w:rPr>
        <w:t>1</w:t>
      </w:r>
      <w:r w:rsidRPr="000B3455">
        <w:rPr>
          <w:i/>
          <w:iCs/>
        </w:rPr>
        <w:t xml:space="preserve"> BINDING_COV + </w:t>
      </w:r>
      <w:r w:rsidRPr="000B3455">
        <w:rPr>
          <w:i/>
        </w:rPr>
        <w:t>β</w:t>
      </w:r>
      <w:r w:rsidRPr="000B3455">
        <w:rPr>
          <w:i/>
          <w:iCs/>
          <w:vertAlign w:val="subscript"/>
        </w:rPr>
        <w:t>2</w:t>
      </w:r>
      <w:r w:rsidRPr="000B3455">
        <w:rPr>
          <w:i/>
          <w:iCs/>
        </w:rPr>
        <w:t xml:space="preserve"> MEET_POS + </w:t>
      </w:r>
      <w:r w:rsidRPr="000B3455">
        <w:rPr>
          <w:i/>
        </w:rPr>
        <w:t>β</w:t>
      </w:r>
      <w:r w:rsidRPr="000B3455">
        <w:rPr>
          <w:i/>
          <w:iCs/>
          <w:vertAlign w:val="subscript"/>
        </w:rPr>
        <w:t>3</w:t>
      </w:r>
      <w:r w:rsidRPr="000B3455">
        <w:rPr>
          <w:i/>
          <w:iCs/>
        </w:rPr>
        <w:t xml:space="preserve"> MEET_INC + </w:t>
      </w:r>
      <w:r w:rsidRPr="000B3455">
        <w:rPr>
          <w:i/>
        </w:rPr>
        <w:t>β</w:t>
      </w:r>
      <w:r w:rsidRPr="000B3455">
        <w:rPr>
          <w:i/>
          <w:iCs/>
          <w:vertAlign w:val="subscript"/>
        </w:rPr>
        <w:t xml:space="preserve">4 </w:t>
      </w:r>
      <w:r w:rsidRPr="000B3455">
        <w:rPr>
          <w:i/>
          <w:iCs/>
        </w:rPr>
        <w:t xml:space="preserve">Governance Variables + </w:t>
      </w:r>
      <w:r w:rsidRPr="000B3455">
        <w:rPr>
          <w:i/>
        </w:rPr>
        <w:t>β</w:t>
      </w:r>
      <w:r w:rsidRPr="000B3455">
        <w:rPr>
          <w:i/>
          <w:iCs/>
          <w:vertAlign w:val="subscript"/>
        </w:rPr>
        <w:t>5</w:t>
      </w:r>
      <w:r w:rsidRPr="000B3455">
        <w:rPr>
          <w:i/>
          <w:iCs/>
        </w:rPr>
        <w:t xml:space="preserve"> IMPACT + </w:t>
      </w:r>
      <w:r w:rsidRPr="000B3455">
        <w:rPr>
          <w:i/>
        </w:rPr>
        <w:t>β</w:t>
      </w:r>
      <w:r w:rsidRPr="000B3455">
        <w:rPr>
          <w:i/>
          <w:iCs/>
          <w:vertAlign w:val="subscript"/>
        </w:rPr>
        <w:t>6</w:t>
      </w:r>
      <w:r w:rsidRPr="000B3455">
        <w:rPr>
          <w:i/>
          <w:iCs/>
        </w:rPr>
        <w:t xml:space="preserve"> UNVESTED + </w:t>
      </w:r>
      <w:r w:rsidRPr="000B3455">
        <w:rPr>
          <w:i/>
        </w:rPr>
        <w:t>β</w:t>
      </w:r>
      <w:r w:rsidRPr="000B3455">
        <w:rPr>
          <w:i/>
          <w:iCs/>
          <w:vertAlign w:val="subscript"/>
        </w:rPr>
        <w:t>7</w:t>
      </w:r>
      <w:r w:rsidRPr="000B3455">
        <w:rPr>
          <w:i/>
          <w:iCs/>
        </w:rPr>
        <w:t xml:space="preserve"> ACC_VEST + </w:t>
      </w:r>
      <w:r w:rsidRPr="000B3455">
        <w:rPr>
          <w:i/>
        </w:rPr>
        <w:t>β</w:t>
      </w:r>
      <w:r w:rsidRPr="000B3455">
        <w:rPr>
          <w:i/>
          <w:iCs/>
          <w:vertAlign w:val="subscript"/>
        </w:rPr>
        <w:t>8</w:t>
      </w:r>
      <w:r w:rsidRPr="000B3455">
        <w:rPr>
          <w:i/>
          <w:iCs/>
        </w:rPr>
        <w:t xml:space="preserve"> TOP5% + </w:t>
      </w:r>
      <w:r w:rsidRPr="000B3455">
        <w:rPr>
          <w:i/>
        </w:rPr>
        <w:t>β</w:t>
      </w:r>
      <w:r w:rsidRPr="000B3455">
        <w:rPr>
          <w:i/>
          <w:iCs/>
          <w:vertAlign w:val="subscript"/>
        </w:rPr>
        <w:t>9</w:t>
      </w:r>
      <w:r w:rsidRPr="000B3455">
        <w:rPr>
          <w:i/>
          <w:iCs/>
        </w:rPr>
        <w:t xml:space="preserve"> SIZE + </w:t>
      </w:r>
      <w:r w:rsidRPr="000B3455">
        <w:rPr>
          <w:i/>
        </w:rPr>
        <w:t>β</w:t>
      </w:r>
      <w:r w:rsidRPr="000B3455">
        <w:rPr>
          <w:i/>
          <w:iCs/>
          <w:vertAlign w:val="subscript"/>
        </w:rPr>
        <w:t>10</w:t>
      </w:r>
      <w:r w:rsidRPr="000B3455">
        <w:rPr>
          <w:i/>
          <w:iCs/>
        </w:rPr>
        <w:t xml:space="preserve"> CUMRET + </w:t>
      </w:r>
      <w:r w:rsidRPr="000B3455">
        <w:rPr>
          <w:i/>
        </w:rPr>
        <w:t>β</w:t>
      </w:r>
      <w:r w:rsidRPr="000B3455">
        <w:rPr>
          <w:i/>
          <w:iCs/>
          <w:vertAlign w:val="subscript"/>
        </w:rPr>
        <w:t xml:space="preserve">11 </w:t>
      </w:r>
      <w:r w:rsidRPr="000B3455">
        <w:rPr>
          <w:i/>
          <w:iCs/>
        </w:rPr>
        <w:t xml:space="preserve">CHG_SALES + </w:t>
      </w:r>
      <w:r w:rsidRPr="000B3455">
        <w:rPr>
          <w:i/>
        </w:rPr>
        <w:t>β</w:t>
      </w:r>
      <w:r w:rsidRPr="000B3455">
        <w:rPr>
          <w:i/>
          <w:iCs/>
          <w:vertAlign w:val="subscript"/>
        </w:rPr>
        <w:t xml:space="preserve">12 </w:t>
      </w:r>
      <w:r w:rsidRPr="000B3455">
        <w:rPr>
          <w:i/>
          <w:iCs/>
        </w:rPr>
        <w:t>CHG_BM +</w:t>
      </w:r>
      <w:r w:rsidRPr="000B3455">
        <w:rPr>
          <w:i/>
        </w:rPr>
        <w:t>β</w:t>
      </w:r>
      <w:r w:rsidRPr="000B3455">
        <w:rPr>
          <w:i/>
          <w:iCs/>
          <w:vertAlign w:val="subscript"/>
        </w:rPr>
        <w:t>13</w:t>
      </w:r>
      <w:r w:rsidRPr="000B3455">
        <w:rPr>
          <w:i/>
          <w:iCs/>
        </w:rPr>
        <w:t xml:space="preserve"> CHG_NOL + </w:t>
      </w:r>
      <w:r w:rsidRPr="000B3455">
        <w:rPr>
          <w:i/>
        </w:rPr>
        <w:t>β</w:t>
      </w:r>
      <w:r w:rsidRPr="000B3455">
        <w:rPr>
          <w:i/>
          <w:iCs/>
          <w:vertAlign w:val="subscript"/>
        </w:rPr>
        <w:t>14</w:t>
      </w:r>
      <w:r w:rsidRPr="000B3455">
        <w:rPr>
          <w:i/>
          <w:iCs/>
        </w:rPr>
        <w:t xml:space="preserve"> CHG_SHORTFALL + </w:t>
      </w:r>
      <w:r w:rsidRPr="000B3455">
        <w:rPr>
          <w:i/>
        </w:rPr>
        <w:t>β</w:t>
      </w:r>
      <w:r w:rsidRPr="000B3455">
        <w:rPr>
          <w:i/>
          <w:iCs/>
          <w:vertAlign w:val="subscript"/>
        </w:rPr>
        <w:t>15</w:t>
      </w:r>
      <w:r w:rsidRPr="000B3455">
        <w:rPr>
          <w:i/>
          <w:iCs/>
        </w:rPr>
        <w:t xml:space="preserve"> CHG_DIVCON + </w:t>
      </w:r>
      <w:r w:rsidRPr="000B3455">
        <w:rPr>
          <w:i/>
        </w:rPr>
        <w:t xml:space="preserve">Σ </w:t>
      </w:r>
      <w:r w:rsidRPr="000B3455">
        <w:rPr>
          <w:i/>
          <w:iCs/>
        </w:rPr>
        <w:t xml:space="preserve">Industry Dummies + </w:t>
      </w:r>
      <w:r w:rsidRPr="000B3455">
        <w:rPr>
          <w:i/>
        </w:rPr>
        <w:t xml:space="preserve">ε. </w:t>
      </w:r>
    </w:p>
    <w:p w:rsidR="001D5F43" w:rsidRPr="000B3455" w:rsidRDefault="001D5F43" w:rsidP="0088553E">
      <w:pPr>
        <w:spacing w:line="360" w:lineRule="auto"/>
        <w:jc w:val="both"/>
      </w:pPr>
      <w:r w:rsidRPr="000B3455">
        <w:t>The change in stock option compensation (i.e. CHG_ESO%) is a percentage of total compensation. The stock option grants and total compensation are measured at fair value. This model controls for debt constraints (</w:t>
      </w:r>
      <w:r w:rsidRPr="000B3455">
        <w:rPr>
          <w:i/>
          <w:iCs/>
        </w:rPr>
        <w:t>BINDING_COV</w:t>
      </w:r>
      <w:r w:rsidRPr="000B3455">
        <w:t>), earnings benchmarks (</w:t>
      </w:r>
      <w:r w:rsidRPr="000B3455">
        <w:rPr>
          <w:i/>
          <w:iCs/>
        </w:rPr>
        <w:t xml:space="preserve">MEET_POS </w:t>
      </w:r>
      <w:r w:rsidRPr="000B3455">
        <w:rPr>
          <w:iCs/>
        </w:rPr>
        <w:t>and</w:t>
      </w:r>
      <w:r w:rsidRPr="000B3455">
        <w:rPr>
          <w:i/>
          <w:iCs/>
        </w:rPr>
        <w:t xml:space="preserve"> MEET_INC</w:t>
      </w:r>
      <w:r w:rsidRPr="000B3455">
        <w:t>)</w:t>
      </w:r>
      <w:r w:rsidRPr="000B3455">
        <w:rPr>
          <w:rStyle w:val="FootnoteReference"/>
        </w:rPr>
        <w:footnoteReference w:id="3"/>
      </w:r>
      <w:r w:rsidRPr="000B3455">
        <w:t xml:space="preserve">, corporate governance </w:t>
      </w:r>
      <w:r w:rsidRPr="000B3455">
        <w:lastRenderedPageBreak/>
        <w:t>(</w:t>
      </w:r>
      <w:r w:rsidRPr="000B3455">
        <w:rPr>
          <w:i/>
          <w:iCs/>
        </w:rPr>
        <w:t>Governance Variables</w:t>
      </w:r>
      <w:r w:rsidRPr="000B3455">
        <w:t>)</w:t>
      </w:r>
      <w:r w:rsidRPr="000B3455">
        <w:rPr>
          <w:rStyle w:val="FootnoteReference"/>
        </w:rPr>
        <w:footnoteReference w:id="4"/>
      </w:r>
      <w:r w:rsidRPr="000B3455">
        <w:t>, the impact of ESO expensing on future earnings (</w:t>
      </w:r>
      <w:r w:rsidRPr="000B3455">
        <w:rPr>
          <w:i/>
          <w:iCs/>
        </w:rPr>
        <w:t>IMPACT</w:t>
      </w:r>
      <w:r w:rsidRPr="000B3455">
        <w:t>), unvested ESOs (</w:t>
      </w:r>
      <w:r w:rsidRPr="000B3455">
        <w:rPr>
          <w:i/>
          <w:iCs/>
        </w:rPr>
        <w:t>UNVESTED</w:t>
      </w:r>
      <w:r w:rsidRPr="000B3455">
        <w:t>), accelerated vesting (</w:t>
      </w:r>
      <w:r w:rsidRPr="000B3455">
        <w:rPr>
          <w:i/>
          <w:iCs/>
        </w:rPr>
        <w:t>ACC_VEST</w:t>
      </w:r>
      <w:r w:rsidRPr="000B3455">
        <w:t>), options granted to the top five executives relative to all employees (</w:t>
      </w:r>
      <w:r w:rsidRPr="000B3455">
        <w:rPr>
          <w:i/>
          <w:iCs/>
        </w:rPr>
        <w:t>TOP5%</w:t>
      </w:r>
      <w:r w:rsidRPr="000B3455">
        <w:rPr>
          <w:iCs/>
        </w:rPr>
        <w:t>),</w:t>
      </w:r>
      <w:r w:rsidRPr="000B3455">
        <w:t xml:space="preserve"> firm size (</w:t>
      </w:r>
      <w:r w:rsidRPr="000B3455">
        <w:rPr>
          <w:i/>
          <w:iCs/>
        </w:rPr>
        <w:t>SIZE</w:t>
      </w:r>
      <w:r w:rsidRPr="000B3455">
        <w:t>), cumulative stock returns (</w:t>
      </w:r>
      <w:r w:rsidRPr="000B3455">
        <w:rPr>
          <w:i/>
          <w:iCs/>
        </w:rPr>
        <w:t>CUMRET</w:t>
      </w:r>
      <w:r w:rsidRPr="000B3455">
        <w:t>), different industries (</w:t>
      </w:r>
      <w:r w:rsidRPr="000B3455">
        <w:rPr>
          <w:i/>
          <w:iCs/>
        </w:rPr>
        <w:t>Industry Dummies</w:t>
      </w:r>
      <w:r w:rsidRPr="000B3455">
        <w:t>), and changes in sales (</w:t>
      </w:r>
      <w:r w:rsidRPr="000B3455">
        <w:rPr>
          <w:i/>
          <w:iCs/>
        </w:rPr>
        <w:t>CHG_SALES</w:t>
      </w:r>
      <w:r w:rsidRPr="000B3455">
        <w:t>), book to market ratio (</w:t>
      </w:r>
      <w:r w:rsidRPr="000B3455">
        <w:rPr>
          <w:i/>
          <w:iCs/>
        </w:rPr>
        <w:t>CHG_BM</w:t>
      </w:r>
      <w:r w:rsidRPr="000B3455">
        <w:t>), marginal taxes (</w:t>
      </w:r>
      <w:r w:rsidRPr="000B3455">
        <w:rPr>
          <w:i/>
          <w:iCs/>
        </w:rPr>
        <w:t>CHG_NOL</w:t>
      </w:r>
      <w:r w:rsidRPr="000B3455">
        <w:t>), cash flow (</w:t>
      </w:r>
      <w:r w:rsidRPr="000B3455">
        <w:rPr>
          <w:i/>
          <w:iCs/>
        </w:rPr>
        <w:t>CHG_SHORTFALL</w:t>
      </w:r>
      <w:r w:rsidRPr="000B3455">
        <w:t>), and dividend constraints (</w:t>
      </w:r>
      <w:r w:rsidRPr="000B3455">
        <w:rPr>
          <w:i/>
          <w:iCs/>
        </w:rPr>
        <w:t>CHG_DIVCON</w:t>
      </w:r>
      <w:r w:rsidRPr="000B3455">
        <w:t xml:space="preserve">). Thus, this model controls for several economic factors. The industry dummies are multiple dummy variables. One of the twenty dummies is set as one, when a company is classified within that industry, thereby controlling for different industries. The empirical findings of this research provide support to accept their six hypotheses about different firm specific characteristics. </w:t>
      </w:r>
    </w:p>
    <w:p w:rsidR="001D5F43" w:rsidRPr="000B3455" w:rsidRDefault="001D5F43" w:rsidP="0088553E">
      <w:pPr>
        <w:spacing w:line="360" w:lineRule="auto"/>
        <w:jc w:val="both"/>
      </w:pPr>
      <w:r w:rsidRPr="000B3455">
        <w:t xml:space="preserve">Furthermore, Brown and Lee (2007) investigated whether the decrease of stock option compensation is made up by alternative compensation for the top five executives. Their model specifies as: </w:t>
      </w:r>
    </w:p>
    <w:p w:rsidR="001D5F43" w:rsidRPr="000B3455" w:rsidRDefault="001D5F43" w:rsidP="0088553E">
      <w:pPr>
        <w:spacing w:line="360" w:lineRule="auto"/>
        <w:jc w:val="both"/>
        <w:rPr>
          <w:rFonts w:eastAsia="SymbolMT"/>
          <w:lang w:eastAsia="nl-NL"/>
        </w:rPr>
      </w:pPr>
      <w:r w:rsidRPr="000B3455">
        <w:rPr>
          <w:rFonts w:eastAsia="SymbolMT"/>
          <w:i/>
          <w:lang w:eastAsia="nl-NL"/>
        </w:rPr>
        <w:t>Δ</w:t>
      </w:r>
      <w:r w:rsidRPr="000B3455">
        <w:rPr>
          <w:rFonts w:eastAsia="SymbolMT"/>
          <w:i/>
          <w:iCs/>
          <w:lang w:eastAsia="nl-NL"/>
        </w:rPr>
        <w:t xml:space="preserve">(Compensation Alternative) = </w:t>
      </w:r>
      <w:r w:rsidRPr="000B3455">
        <w:rPr>
          <w:rFonts w:eastAsia="SymbolMT"/>
          <w:i/>
          <w:lang w:eastAsia="nl-NL"/>
        </w:rPr>
        <w:t>δ</w:t>
      </w:r>
      <w:r w:rsidRPr="000B3455">
        <w:rPr>
          <w:rFonts w:eastAsia="SymbolMT"/>
          <w:i/>
          <w:iCs/>
          <w:vertAlign w:val="subscript"/>
          <w:lang w:eastAsia="nl-NL"/>
        </w:rPr>
        <w:t>0</w:t>
      </w:r>
      <w:r w:rsidRPr="000B3455">
        <w:rPr>
          <w:rFonts w:eastAsia="SymbolMT"/>
          <w:i/>
          <w:iCs/>
          <w:lang w:eastAsia="nl-NL"/>
        </w:rPr>
        <w:t xml:space="preserve"> + </w:t>
      </w:r>
      <w:r w:rsidRPr="000B3455">
        <w:rPr>
          <w:rFonts w:eastAsia="SymbolMT"/>
          <w:i/>
          <w:lang w:eastAsia="nl-NL"/>
        </w:rPr>
        <w:t>δ</w:t>
      </w:r>
      <w:r w:rsidRPr="000B3455">
        <w:rPr>
          <w:rFonts w:eastAsia="SymbolMT"/>
          <w:i/>
          <w:iCs/>
          <w:vertAlign w:val="subscript"/>
          <w:lang w:eastAsia="nl-NL"/>
        </w:rPr>
        <w:t>1</w:t>
      </w:r>
      <w:r w:rsidRPr="000B3455">
        <w:rPr>
          <w:rFonts w:eastAsia="SymbolMT"/>
          <w:i/>
          <w:lang w:eastAsia="nl-NL"/>
        </w:rPr>
        <w:t>Δ</w:t>
      </w:r>
      <w:r w:rsidRPr="000B3455">
        <w:rPr>
          <w:rFonts w:eastAsia="SymbolMT"/>
          <w:i/>
          <w:iCs/>
          <w:lang w:eastAsia="nl-NL"/>
        </w:rPr>
        <w:t xml:space="preserve">(ESO) + </w:t>
      </w:r>
      <w:r w:rsidRPr="000B3455">
        <w:rPr>
          <w:rFonts w:eastAsia="SymbolMT"/>
          <w:i/>
          <w:lang w:eastAsia="nl-NL"/>
        </w:rPr>
        <w:t>δ</w:t>
      </w:r>
      <w:r w:rsidRPr="000B3455">
        <w:rPr>
          <w:rFonts w:eastAsia="SymbolMT"/>
          <w:i/>
          <w:iCs/>
          <w:vertAlign w:val="subscript"/>
          <w:lang w:eastAsia="nl-NL"/>
        </w:rPr>
        <w:t>2</w:t>
      </w:r>
      <w:r w:rsidRPr="000B3455">
        <w:rPr>
          <w:rFonts w:eastAsia="SymbolMT"/>
          <w:i/>
          <w:iCs/>
          <w:lang w:eastAsia="nl-NL"/>
        </w:rPr>
        <w:t xml:space="preserve"> POST + </w:t>
      </w:r>
      <w:r w:rsidRPr="000B3455">
        <w:rPr>
          <w:rFonts w:eastAsia="SymbolMT"/>
          <w:i/>
          <w:lang w:eastAsia="nl-NL"/>
        </w:rPr>
        <w:t>δ</w:t>
      </w:r>
      <w:r w:rsidRPr="000B3455">
        <w:rPr>
          <w:rFonts w:eastAsia="SymbolMT"/>
          <w:i/>
          <w:iCs/>
          <w:vertAlign w:val="subscript"/>
          <w:lang w:eastAsia="nl-NL"/>
        </w:rPr>
        <w:t>3</w:t>
      </w:r>
      <w:r w:rsidRPr="000B3455">
        <w:rPr>
          <w:rFonts w:eastAsia="SymbolMT"/>
          <w:i/>
          <w:iCs/>
          <w:lang w:eastAsia="nl-NL"/>
        </w:rPr>
        <w:t xml:space="preserve"> </w:t>
      </w:r>
      <w:r w:rsidRPr="000B3455">
        <w:rPr>
          <w:rFonts w:eastAsia="SymbolMT"/>
          <w:i/>
          <w:lang w:eastAsia="nl-NL"/>
        </w:rPr>
        <w:t>Δ</w:t>
      </w:r>
      <w:r w:rsidRPr="000B3455">
        <w:rPr>
          <w:rFonts w:eastAsia="SymbolMT"/>
          <w:i/>
          <w:iCs/>
          <w:lang w:eastAsia="nl-NL"/>
        </w:rPr>
        <w:t xml:space="preserve">(ESO) </w:t>
      </w:r>
      <w:r w:rsidRPr="000B3455">
        <w:rPr>
          <w:rFonts w:eastAsia="SymbolMT"/>
          <w:i/>
          <w:lang w:eastAsia="nl-NL"/>
        </w:rPr>
        <w:t xml:space="preserve">× </w:t>
      </w:r>
      <w:r w:rsidRPr="000B3455">
        <w:rPr>
          <w:rFonts w:eastAsia="SymbolMT"/>
          <w:i/>
          <w:iCs/>
          <w:lang w:eastAsia="nl-NL"/>
        </w:rPr>
        <w:t xml:space="preserve">POST + </w:t>
      </w:r>
      <w:r w:rsidRPr="000B3455">
        <w:rPr>
          <w:rFonts w:eastAsia="SymbolMT"/>
          <w:i/>
          <w:lang w:eastAsia="nl-NL"/>
        </w:rPr>
        <w:t>δ</w:t>
      </w:r>
      <w:r w:rsidRPr="000B3455">
        <w:rPr>
          <w:rFonts w:eastAsia="SymbolMT"/>
          <w:i/>
          <w:iCs/>
          <w:vertAlign w:val="subscript"/>
          <w:lang w:eastAsia="nl-NL"/>
        </w:rPr>
        <w:t>4</w:t>
      </w:r>
      <w:r w:rsidRPr="000B3455">
        <w:rPr>
          <w:rFonts w:eastAsia="SymbolMT"/>
          <w:i/>
          <w:iCs/>
          <w:lang w:eastAsia="nl-NL"/>
        </w:rPr>
        <w:t xml:space="preserve"> </w:t>
      </w:r>
      <w:r w:rsidRPr="000B3455">
        <w:rPr>
          <w:rFonts w:eastAsia="SymbolMT"/>
          <w:i/>
          <w:lang w:eastAsia="nl-NL"/>
        </w:rPr>
        <w:t xml:space="preserve">ΣΔ </w:t>
      </w:r>
      <w:r w:rsidRPr="000B3455">
        <w:rPr>
          <w:rFonts w:eastAsia="SymbolMT"/>
          <w:i/>
          <w:iCs/>
          <w:lang w:eastAsia="nl-NL"/>
        </w:rPr>
        <w:t xml:space="preserve">Economic Determinants + </w:t>
      </w:r>
      <w:r w:rsidRPr="000B3455">
        <w:rPr>
          <w:rFonts w:eastAsia="SymbolMT"/>
          <w:i/>
          <w:lang w:eastAsia="nl-NL"/>
        </w:rPr>
        <w:t xml:space="preserve">Σ </w:t>
      </w:r>
      <w:r w:rsidRPr="000B3455">
        <w:rPr>
          <w:rFonts w:eastAsia="SymbolMT"/>
          <w:i/>
          <w:iCs/>
          <w:lang w:eastAsia="nl-NL"/>
        </w:rPr>
        <w:t xml:space="preserve">Industry Dummies + </w:t>
      </w:r>
      <w:r w:rsidRPr="000B3455">
        <w:rPr>
          <w:rFonts w:eastAsia="SymbolMT"/>
          <w:i/>
          <w:lang w:eastAsia="nl-NL"/>
        </w:rPr>
        <w:t>ε</w:t>
      </w:r>
      <w:r w:rsidRPr="000B3455">
        <w:rPr>
          <w:rFonts w:eastAsia="SymbolMT"/>
          <w:lang w:eastAsia="nl-NL"/>
        </w:rPr>
        <w:t xml:space="preserve">. </w:t>
      </w:r>
    </w:p>
    <w:p w:rsidR="001D5F43" w:rsidRPr="000B3455" w:rsidRDefault="001D5F43" w:rsidP="0088553E">
      <w:pPr>
        <w:spacing w:line="360" w:lineRule="auto"/>
        <w:jc w:val="both"/>
        <w:rPr>
          <w:rFonts w:eastAsia="SymbolMT"/>
          <w:lang w:eastAsia="nl-NL"/>
        </w:rPr>
      </w:pPr>
      <w:r w:rsidRPr="000B3455">
        <w:rPr>
          <w:rFonts w:eastAsia="SymbolMT"/>
          <w:lang w:eastAsia="nl-NL"/>
        </w:rPr>
        <w:t>The compensation alternative</w:t>
      </w:r>
      <w:r w:rsidRPr="000B3455">
        <w:rPr>
          <w:rFonts w:eastAsia="SymbolMT"/>
          <w:i/>
          <w:lang w:eastAsia="nl-NL"/>
        </w:rPr>
        <w:t xml:space="preserve"> </w:t>
      </w:r>
      <w:r w:rsidRPr="000B3455">
        <w:rPr>
          <w:rFonts w:eastAsia="SymbolMT"/>
          <w:i/>
          <w:iCs/>
          <w:lang w:eastAsia="nl-NL"/>
        </w:rPr>
        <w:t>(Compensation Alternative)</w:t>
      </w:r>
      <w:r w:rsidRPr="000B3455">
        <w:rPr>
          <w:rFonts w:eastAsia="SymbolMT"/>
          <w:iCs/>
          <w:lang w:eastAsia="nl-NL"/>
        </w:rPr>
        <w:t xml:space="preserve"> is either</w:t>
      </w:r>
      <w:r w:rsidRPr="000B3455">
        <w:rPr>
          <w:rFonts w:eastAsia="SymbolMT"/>
          <w:lang w:eastAsia="nl-NL"/>
        </w:rPr>
        <w:t xml:space="preserve">: salary, bonus, restricted stock, long-term incentive payments, other annual compensation, or all other compensation. All compensation forms are measured at fair value. </w:t>
      </w:r>
      <w:r w:rsidRPr="000B3455">
        <w:rPr>
          <w:rFonts w:eastAsia="SymbolMT"/>
          <w:i/>
          <w:iCs/>
          <w:lang w:eastAsia="nl-NL"/>
        </w:rPr>
        <w:t>POST</w:t>
      </w:r>
      <w:r w:rsidRPr="000B3455">
        <w:rPr>
          <w:rFonts w:eastAsia="SymbolMT"/>
          <w:lang w:eastAsia="nl-NL"/>
        </w:rPr>
        <w:t xml:space="preserve"> is a dummy variable, which equals 1 if the observation is from 2005, and equals to zero if otherwise. And the economic determinants are changes in sales, book to market ratio, and marginal taxes. </w:t>
      </w:r>
    </w:p>
    <w:p w:rsidR="001D5F43" w:rsidRPr="000B3455" w:rsidRDefault="001D5F43" w:rsidP="0088553E">
      <w:pPr>
        <w:spacing w:line="360" w:lineRule="auto"/>
        <w:jc w:val="both"/>
        <w:rPr>
          <w:rFonts w:eastAsia="SymbolMT"/>
          <w:lang w:eastAsia="nl-NL"/>
        </w:rPr>
      </w:pPr>
      <w:r w:rsidRPr="000B3455">
        <w:rPr>
          <w:rFonts w:eastAsia="SymbolMT"/>
          <w:lang w:eastAsia="nl-NL"/>
        </w:rPr>
        <w:t xml:space="preserve">They suggest that ESOs and compensation alternatives are substitutes in the period before the mandatory expensing of options. And that firms are more likely to substitute ESOs for restricted stock in the period when ESO expensing became mandatory. To investigate this further they used another regression: </w:t>
      </w:r>
    </w:p>
    <w:p w:rsidR="00E52E87" w:rsidRDefault="001D5F43" w:rsidP="0088553E">
      <w:pPr>
        <w:spacing w:line="360" w:lineRule="auto"/>
        <w:jc w:val="both"/>
        <w:rPr>
          <w:rFonts w:eastAsia="SymbolMT"/>
          <w:i/>
          <w:lang w:eastAsia="nl-NL"/>
        </w:rPr>
      </w:pPr>
      <w:r w:rsidRPr="000B3455">
        <w:rPr>
          <w:rFonts w:eastAsia="SymbolMT"/>
          <w:i/>
          <w:lang w:eastAsia="nl-NL"/>
        </w:rPr>
        <w:t>ΔRESTRICTED = δ</w:t>
      </w:r>
      <w:r w:rsidRPr="000B3455">
        <w:rPr>
          <w:rFonts w:eastAsia="SymbolMT"/>
          <w:i/>
          <w:vertAlign w:val="subscript"/>
          <w:lang w:eastAsia="nl-NL"/>
        </w:rPr>
        <w:t>0</w:t>
      </w:r>
      <w:r w:rsidRPr="000B3455">
        <w:rPr>
          <w:rFonts w:eastAsia="SymbolMT"/>
          <w:i/>
          <w:lang w:eastAsia="nl-NL"/>
        </w:rPr>
        <w:t xml:space="preserve"> + δ</w:t>
      </w:r>
      <w:r w:rsidRPr="000B3455">
        <w:rPr>
          <w:rFonts w:eastAsia="SymbolMT"/>
          <w:i/>
          <w:vertAlign w:val="subscript"/>
          <w:lang w:eastAsia="nl-NL"/>
        </w:rPr>
        <w:t>1</w:t>
      </w:r>
      <w:r w:rsidRPr="000B3455">
        <w:rPr>
          <w:rFonts w:eastAsia="SymbolMT"/>
          <w:i/>
          <w:lang w:eastAsia="nl-NL"/>
        </w:rPr>
        <w:t>Δ(ESO) + (INITIATE, ESO%× INITIATE) + δ</w:t>
      </w:r>
      <w:r w:rsidRPr="000B3455">
        <w:rPr>
          <w:rFonts w:eastAsia="SymbolMT"/>
          <w:i/>
          <w:vertAlign w:val="subscript"/>
          <w:lang w:eastAsia="nl-NL"/>
        </w:rPr>
        <w:t>2</w:t>
      </w:r>
      <w:r w:rsidRPr="000B3455">
        <w:rPr>
          <w:rFonts w:eastAsia="SymbolMT"/>
          <w:i/>
          <w:lang w:eastAsia="nl-NL"/>
        </w:rPr>
        <w:t xml:space="preserve"> Σ Δ Economic Determinants + Σ Industry Dummies + ε</w:t>
      </w:r>
    </w:p>
    <w:p w:rsidR="001D5F43" w:rsidRPr="000B3455" w:rsidRDefault="001D5F43" w:rsidP="0088553E">
      <w:pPr>
        <w:spacing w:line="360" w:lineRule="auto"/>
        <w:jc w:val="both"/>
        <w:rPr>
          <w:rFonts w:eastAsia="SymbolMT"/>
          <w:lang w:eastAsia="nl-NL"/>
        </w:rPr>
      </w:pPr>
      <w:r w:rsidRPr="000B3455">
        <w:rPr>
          <w:rFonts w:eastAsia="SymbolMT"/>
          <w:lang w:eastAsia="nl-NL"/>
        </w:rPr>
        <w:lastRenderedPageBreak/>
        <w:t>INITIATE is a dummy variable, which is set to zero when companies granted restricted stock in 2001-2003 and 2005, and set to one when companies did not grant restricted stock in 2001-2003, but did in 2005. All other variables are as specified in the previous regression models.</w:t>
      </w:r>
    </w:p>
    <w:p w:rsidR="001D5F43" w:rsidRPr="000B3455" w:rsidRDefault="001D5F43" w:rsidP="0088553E">
      <w:pPr>
        <w:spacing w:line="360" w:lineRule="auto"/>
        <w:jc w:val="both"/>
      </w:pPr>
      <w:r w:rsidRPr="000B3455">
        <w:rPr>
          <w:rFonts w:eastAsia="SymbolMT"/>
          <w:lang w:eastAsia="nl-NL"/>
        </w:rPr>
        <w:t>Their results suggest that a</w:t>
      </w:r>
      <w:r w:rsidRPr="000B3455">
        <w:t xml:space="preserve">fter the introduction of SFAS 123 (R) the firms are more likely to grant executives restricted stock, instead of stock options. However, the increase in restricted stock is less than the decrease of stock options. Which implies that executive compensation has been reconstructed and </w:t>
      </w:r>
      <w:r w:rsidR="00D92336">
        <w:t>that</w:t>
      </w:r>
      <w:r w:rsidRPr="000B3455">
        <w:t xml:space="preserve"> total compensation has decreased.</w:t>
      </w:r>
    </w:p>
    <w:p w:rsidR="001D5F43" w:rsidRPr="000B3455" w:rsidRDefault="001D5F43" w:rsidP="0088553E">
      <w:pPr>
        <w:spacing w:line="360" w:lineRule="auto"/>
        <w:jc w:val="both"/>
      </w:pPr>
      <w:r w:rsidRPr="000B3455">
        <w:t>The decline of total compensation can be explained by a theory of Hall and Murphy (200</w:t>
      </w:r>
      <w:r w:rsidR="00F95C11" w:rsidRPr="000B3455">
        <w:t>2</w:t>
      </w:r>
      <w:r w:rsidRPr="000B3455">
        <w:t>). They argue that since stock options are more risky than restricted stock, executives demand a risk premium. Stock option compensation is risky, because there is a chance that the exercise price is higher than the share price, implying that holders of options do not exercise them. To make up for the increased risk, executives are paid a higher amount of stock option compensation relative to restricted stock. The options cannot be hedged, nor traded by the recipients of stock option compensation, which makes the risk premium even higher. They conclude that stock options are more expensive form of compensation relative to restricted stock and cash.</w:t>
      </w:r>
    </w:p>
    <w:p w:rsidR="001D5F43" w:rsidRPr="000B3455" w:rsidRDefault="001D5F43" w:rsidP="0088553E">
      <w:pPr>
        <w:pStyle w:val="Heading3"/>
        <w:spacing w:line="360" w:lineRule="auto"/>
        <w:jc w:val="both"/>
        <w:rPr>
          <w:lang w:val="nl-NL"/>
        </w:rPr>
      </w:pPr>
      <w:bookmarkStart w:id="45" w:name="_Toc286230426"/>
      <w:bookmarkStart w:id="46" w:name="_Toc298944560"/>
      <w:r w:rsidRPr="000B3455">
        <w:rPr>
          <w:lang w:val="nl-NL"/>
        </w:rPr>
        <w:t>4.</w:t>
      </w:r>
      <w:r w:rsidR="0088553E">
        <w:rPr>
          <w:lang w:val="nl-NL"/>
        </w:rPr>
        <w:t>2</w:t>
      </w:r>
      <w:r w:rsidRPr="000B3455">
        <w:rPr>
          <w:lang w:val="nl-NL"/>
        </w:rPr>
        <w:t>.3 Carter et al. (2007)</w:t>
      </w:r>
      <w:bookmarkEnd w:id="45"/>
      <w:bookmarkEnd w:id="46"/>
    </w:p>
    <w:p w:rsidR="001D5F43" w:rsidRPr="000B3455" w:rsidRDefault="001D5F43" w:rsidP="0088553E">
      <w:pPr>
        <w:spacing w:line="360" w:lineRule="auto"/>
        <w:jc w:val="both"/>
      </w:pPr>
      <w:r w:rsidRPr="000B3455">
        <w:rPr>
          <w:lang w:val="nl-NL"/>
        </w:rPr>
        <w:t xml:space="preserve">Carter et al. </w:t>
      </w:r>
      <w:r w:rsidRPr="000B3455">
        <w:t xml:space="preserve">(2007) also focus on the composition of CEO equity compensation. First, they conducted a research to investigate whether financial reporting concerns are associated with equity compensation granted to CEOs. With a sample of 6,242 CEO-year observations in the period 1995-2001, they conducted a multivariate regression. They took restricted stock compensation, stock option compensation, and total compensation for CEOs. They use the regression: </w:t>
      </w:r>
    </w:p>
    <w:p w:rsidR="001D5F43" w:rsidRPr="000B3455" w:rsidRDefault="001D5F43" w:rsidP="0088553E">
      <w:pPr>
        <w:spacing w:line="360" w:lineRule="auto"/>
        <w:jc w:val="both"/>
      </w:pPr>
      <w:r w:rsidRPr="000B3455">
        <w:rPr>
          <w:i/>
          <w:lang w:eastAsia="nl-NL"/>
        </w:rPr>
        <w:t>DEP_VBL</w:t>
      </w:r>
      <w:r w:rsidRPr="000B3455">
        <w:rPr>
          <w:i/>
          <w:vertAlign w:val="subscript"/>
          <w:lang w:eastAsia="nl-NL"/>
        </w:rPr>
        <w:t>jt</w:t>
      </w:r>
      <w:r w:rsidRPr="000B3455">
        <w:rPr>
          <w:i/>
          <w:lang w:eastAsia="nl-NL"/>
        </w:rPr>
        <w:t xml:space="preserve"> = α</w:t>
      </w:r>
      <w:r w:rsidRPr="000B3455">
        <w:rPr>
          <w:i/>
          <w:vertAlign w:val="subscript"/>
          <w:lang w:eastAsia="nl-NL"/>
        </w:rPr>
        <w:t>0</w:t>
      </w:r>
      <w:r w:rsidRPr="000B3455">
        <w:rPr>
          <w:i/>
          <w:lang w:eastAsia="nl-NL"/>
        </w:rPr>
        <w:t xml:space="preserve"> + α</w:t>
      </w:r>
      <w:r w:rsidRPr="000B3455">
        <w:rPr>
          <w:i/>
          <w:vertAlign w:val="subscript"/>
          <w:lang w:eastAsia="nl-NL"/>
        </w:rPr>
        <w:t>1</w:t>
      </w:r>
      <w:r w:rsidRPr="000B3455">
        <w:rPr>
          <w:i/>
          <w:lang w:eastAsia="nl-NL"/>
        </w:rPr>
        <w:t>FINRPT_1</w:t>
      </w:r>
      <w:r w:rsidRPr="000B3455">
        <w:rPr>
          <w:i/>
          <w:vertAlign w:val="subscript"/>
          <w:lang w:eastAsia="nl-NL"/>
        </w:rPr>
        <w:t>jt</w:t>
      </w:r>
      <w:r w:rsidRPr="000B3455">
        <w:rPr>
          <w:i/>
          <w:lang w:eastAsia="nl-NL"/>
        </w:rPr>
        <w:t xml:space="preserve"> + α</w:t>
      </w:r>
      <w:r w:rsidRPr="000B3455">
        <w:rPr>
          <w:i/>
          <w:vertAlign w:val="subscript"/>
          <w:lang w:eastAsia="nl-NL"/>
        </w:rPr>
        <w:t>2</w:t>
      </w:r>
      <w:r w:rsidRPr="000B3455">
        <w:rPr>
          <w:i/>
          <w:lang w:eastAsia="nl-NL"/>
        </w:rPr>
        <w:t>FINRPT_2</w:t>
      </w:r>
      <w:r w:rsidRPr="000B3455">
        <w:rPr>
          <w:i/>
          <w:vertAlign w:val="subscript"/>
          <w:lang w:eastAsia="nl-NL"/>
        </w:rPr>
        <w:t>jt</w:t>
      </w:r>
      <w:r w:rsidRPr="000B3455">
        <w:rPr>
          <w:i/>
          <w:lang w:eastAsia="nl-NL"/>
        </w:rPr>
        <w:t xml:space="preserve"> + α</w:t>
      </w:r>
      <w:r w:rsidRPr="000B3455">
        <w:rPr>
          <w:i/>
          <w:vertAlign w:val="subscript"/>
          <w:lang w:eastAsia="nl-NL"/>
        </w:rPr>
        <w:t>3</w:t>
      </w:r>
      <w:r w:rsidRPr="000B3455">
        <w:rPr>
          <w:i/>
          <w:lang w:eastAsia="nl-NL"/>
        </w:rPr>
        <w:t>DEV_INC</w:t>
      </w:r>
      <w:r w:rsidRPr="000B3455">
        <w:rPr>
          <w:i/>
          <w:vertAlign w:val="subscript"/>
          <w:lang w:eastAsia="nl-NL"/>
        </w:rPr>
        <w:t>jt</w:t>
      </w:r>
      <w:r w:rsidRPr="000B3455">
        <w:rPr>
          <w:i/>
          <w:lang w:eastAsia="nl-NL"/>
        </w:rPr>
        <w:t xml:space="preserve"> + α</w:t>
      </w:r>
      <w:r w:rsidRPr="000B3455">
        <w:rPr>
          <w:i/>
          <w:vertAlign w:val="subscript"/>
          <w:lang w:eastAsia="nl-NL"/>
        </w:rPr>
        <w:t>4</w:t>
      </w:r>
      <w:r w:rsidRPr="000B3455">
        <w:rPr>
          <w:i/>
          <w:lang w:eastAsia="nl-NL"/>
        </w:rPr>
        <w:t>CASH_CONSTR</w:t>
      </w:r>
      <w:r w:rsidRPr="000B3455">
        <w:rPr>
          <w:i/>
          <w:vertAlign w:val="subscript"/>
          <w:lang w:eastAsia="nl-NL"/>
        </w:rPr>
        <w:t>jt</w:t>
      </w:r>
      <w:r w:rsidRPr="000B3455">
        <w:rPr>
          <w:i/>
          <w:lang w:eastAsia="nl-NL"/>
        </w:rPr>
        <w:t xml:space="preserve"> + α</w:t>
      </w:r>
      <w:r w:rsidRPr="000B3455">
        <w:rPr>
          <w:i/>
          <w:vertAlign w:val="subscript"/>
          <w:lang w:eastAsia="nl-NL"/>
        </w:rPr>
        <w:t>5</w:t>
      </w:r>
      <w:r w:rsidRPr="000B3455">
        <w:rPr>
          <w:i/>
          <w:lang w:eastAsia="nl-NL"/>
        </w:rPr>
        <w:t>DIV_YLD</w:t>
      </w:r>
      <w:r w:rsidRPr="000B3455">
        <w:rPr>
          <w:i/>
          <w:vertAlign w:val="subscript"/>
          <w:lang w:eastAsia="nl-NL"/>
        </w:rPr>
        <w:t>jt</w:t>
      </w:r>
      <w:r w:rsidRPr="000B3455">
        <w:rPr>
          <w:i/>
          <w:lang w:eastAsia="nl-NL"/>
        </w:rPr>
        <w:t xml:space="preserve"> +  </w:t>
      </w:r>
      <w:r w:rsidRPr="000B3455">
        <w:rPr>
          <w:i/>
          <w:vertAlign w:val="subscript"/>
          <w:lang w:eastAsia="nl-NL"/>
        </w:rPr>
        <w:t>6</w:t>
      </w:r>
      <w:r w:rsidRPr="000B3455">
        <w:rPr>
          <w:i/>
          <w:lang w:eastAsia="nl-NL"/>
        </w:rPr>
        <w:t>EARN_VOL</w:t>
      </w:r>
      <w:r w:rsidRPr="000B3455">
        <w:rPr>
          <w:i/>
          <w:vertAlign w:val="subscript"/>
          <w:lang w:eastAsia="nl-NL"/>
        </w:rPr>
        <w:t>jt</w:t>
      </w:r>
      <w:r w:rsidRPr="000B3455">
        <w:rPr>
          <w:i/>
          <w:lang w:eastAsia="nl-NL"/>
        </w:rPr>
        <w:t xml:space="preserve"> + α</w:t>
      </w:r>
      <w:r w:rsidRPr="000B3455">
        <w:rPr>
          <w:i/>
          <w:vertAlign w:val="subscript"/>
          <w:lang w:eastAsia="nl-NL"/>
        </w:rPr>
        <w:t>7</w:t>
      </w:r>
      <w:r w:rsidRPr="000B3455">
        <w:rPr>
          <w:i/>
          <w:lang w:eastAsia="nl-NL"/>
        </w:rPr>
        <w:t>EQ_CONSTR</w:t>
      </w:r>
      <w:r w:rsidRPr="000B3455">
        <w:rPr>
          <w:i/>
          <w:vertAlign w:val="subscript"/>
          <w:lang w:eastAsia="nl-NL"/>
        </w:rPr>
        <w:t>jt</w:t>
      </w:r>
      <w:r w:rsidRPr="000B3455">
        <w:rPr>
          <w:i/>
          <w:lang w:eastAsia="nl-NL"/>
        </w:rPr>
        <w:t xml:space="preserve"> + α</w:t>
      </w:r>
      <w:r w:rsidRPr="000B3455">
        <w:rPr>
          <w:i/>
          <w:vertAlign w:val="subscript"/>
          <w:lang w:eastAsia="nl-NL"/>
        </w:rPr>
        <w:t>8</w:t>
      </w:r>
      <w:r w:rsidRPr="000B3455">
        <w:rPr>
          <w:i/>
          <w:lang w:eastAsia="nl-NL"/>
        </w:rPr>
        <w:t>TENURE</w:t>
      </w:r>
      <w:r w:rsidRPr="000B3455">
        <w:rPr>
          <w:i/>
          <w:vertAlign w:val="subscript"/>
          <w:lang w:eastAsia="nl-NL"/>
        </w:rPr>
        <w:t>jt</w:t>
      </w:r>
      <w:r w:rsidRPr="000B3455">
        <w:rPr>
          <w:i/>
          <w:lang w:eastAsia="nl-NL"/>
        </w:rPr>
        <w:t xml:space="preserve"> + α</w:t>
      </w:r>
      <w:r w:rsidRPr="000B3455">
        <w:rPr>
          <w:i/>
          <w:vertAlign w:val="subscript"/>
          <w:lang w:eastAsia="nl-NL"/>
        </w:rPr>
        <w:t>9</w:t>
      </w:r>
      <w:r w:rsidRPr="000B3455">
        <w:rPr>
          <w:i/>
          <w:lang w:eastAsia="nl-NL"/>
        </w:rPr>
        <w:t>LNASSET</w:t>
      </w:r>
      <w:r w:rsidRPr="000B3455">
        <w:rPr>
          <w:i/>
          <w:vertAlign w:val="subscript"/>
          <w:lang w:eastAsia="nl-NL"/>
        </w:rPr>
        <w:t>jt</w:t>
      </w:r>
      <w:r w:rsidRPr="000B3455">
        <w:rPr>
          <w:i/>
          <w:lang w:eastAsia="nl-NL"/>
        </w:rPr>
        <w:t xml:space="preserve"> + α</w:t>
      </w:r>
      <w:r w:rsidRPr="000B3455">
        <w:rPr>
          <w:i/>
          <w:vertAlign w:val="subscript"/>
          <w:lang w:eastAsia="nl-NL"/>
        </w:rPr>
        <w:t>10</w:t>
      </w:r>
      <w:r w:rsidRPr="000B3455">
        <w:rPr>
          <w:i/>
          <w:lang w:eastAsia="nl-NL"/>
        </w:rPr>
        <w:t>BOOK_MKT</w:t>
      </w:r>
      <w:r w:rsidRPr="000B3455">
        <w:rPr>
          <w:i/>
          <w:vertAlign w:val="subscript"/>
          <w:lang w:eastAsia="nl-NL"/>
        </w:rPr>
        <w:t>jt</w:t>
      </w:r>
      <w:r w:rsidRPr="000B3455">
        <w:rPr>
          <w:i/>
          <w:lang w:eastAsia="nl-NL"/>
        </w:rPr>
        <w:t xml:space="preserve"> + α</w:t>
      </w:r>
      <w:r w:rsidRPr="000B3455">
        <w:rPr>
          <w:i/>
          <w:vertAlign w:val="subscript"/>
          <w:lang w:eastAsia="nl-NL"/>
        </w:rPr>
        <w:t>11</w:t>
      </w:r>
      <w:r w:rsidRPr="000B3455">
        <w:rPr>
          <w:i/>
          <w:lang w:eastAsia="nl-NL"/>
        </w:rPr>
        <w:t>RET</w:t>
      </w:r>
      <w:r w:rsidRPr="000B3455">
        <w:rPr>
          <w:i/>
          <w:vertAlign w:val="subscript"/>
          <w:lang w:eastAsia="nl-NL"/>
        </w:rPr>
        <w:t>jt</w:t>
      </w:r>
      <w:r w:rsidRPr="000B3455">
        <w:rPr>
          <w:i/>
          <w:lang w:eastAsia="nl-NL"/>
        </w:rPr>
        <w:t xml:space="preserve"> + α</w:t>
      </w:r>
      <w:r w:rsidRPr="000B3455">
        <w:rPr>
          <w:i/>
          <w:vertAlign w:val="subscript"/>
          <w:lang w:eastAsia="nl-NL"/>
        </w:rPr>
        <w:t>12</w:t>
      </w:r>
      <w:r w:rsidRPr="000B3455">
        <w:rPr>
          <w:i/>
          <w:lang w:eastAsia="nl-NL"/>
        </w:rPr>
        <w:t>ln_pre_DEP_VBL</w:t>
      </w:r>
      <w:r w:rsidRPr="000B3455">
        <w:rPr>
          <w:i/>
          <w:vertAlign w:val="subscript"/>
          <w:lang w:eastAsia="nl-NL"/>
        </w:rPr>
        <w:t>jt</w:t>
      </w:r>
      <w:r w:rsidRPr="000B3455">
        <w:rPr>
          <w:i/>
          <w:lang w:eastAsia="nl-NL"/>
        </w:rPr>
        <w:t xml:space="preserve"> + ε</w:t>
      </w:r>
      <w:r w:rsidRPr="000B3455">
        <w:rPr>
          <w:i/>
          <w:vertAlign w:val="subscript"/>
          <w:lang w:eastAsia="nl-NL"/>
        </w:rPr>
        <w:t>jt</w:t>
      </w:r>
    </w:p>
    <w:p w:rsidR="001D5F43" w:rsidRPr="000B3455" w:rsidRDefault="001D5F43" w:rsidP="0088553E">
      <w:pPr>
        <w:spacing w:line="360" w:lineRule="auto"/>
        <w:jc w:val="both"/>
      </w:pPr>
      <w:r w:rsidRPr="000B3455">
        <w:t>The dependent variable</w:t>
      </w:r>
      <w:r w:rsidRPr="000B3455">
        <w:rPr>
          <w:i/>
          <w:lang w:eastAsia="nl-NL"/>
        </w:rPr>
        <w:t xml:space="preserve"> </w:t>
      </w:r>
      <w:r w:rsidRPr="000B3455">
        <w:rPr>
          <w:lang w:eastAsia="nl-NL"/>
        </w:rPr>
        <w:t>(</w:t>
      </w:r>
      <w:r w:rsidRPr="000B3455">
        <w:rPr>
          <w:i/>
          <w:lang w:eastAsia="nl-NL"/>
        </w:rPr>
        <w:t>DEP_VBL</w:t>
      </w:r>
      <w:r w:rsidRPr="000B3455">
        <w:rPr>
          <w:i/>
          <w:vertAlign w:val="subscript"/>
          <w:lang w:eastAsia="nl-NL"/>
        </w:rPr>
        <w:t>jt</w:t>
      </w:r>
      <w:r w:rsidRPr="000B3455">
        <w:t xml:space="preserve">) </w:t>
      </w:r>
      <w:r w:rsidR="00D92336">
        <w:t>is</w:t>
      </w:r>
      <w:r w:rsidRPr="000B3455">
        <w:t xml:space="preserve"> the natural logarithm of either: </w:t>
      </w:r>
    </w:p>
    <w:p w:rsidR="001D5F43" w:rsidRPr="000B3455" w:rsidRDefault="001D5F43" w:rsidP="0088553E">
      <w:pPr>
        <w:pStyle w:val="ListParagraph"/>
        <w:numPr>
          <w:ilvl w:val="0"/>
          <w:numId w:val="1"/>
        </w:numPr>
        <w:spacing w:line="360" w:lineRule="auto"/>
        <w:jc w:val="both"/>
      </w:pPr>
      <w:r w:rsidRPr="000B3455">
        <w:t>The value of stock options granted to the CEO in a year;</w:t>
      </w:r>
    </w:p>
    <w:p w:rsidR="001D5F43" w:rsidRPr="000B3455" w:rsidRDefault="001D5F43" w:rsidP="0088553E">
      <w:pPr>
        <w:pStyle w:val="ListParagraph"/>
        <w:numPr>
          <w:ilvl w:val="0"/>
          <w:numId w:val="1"/>
        </w:numPr>
        <w:spacing w:line="360" w:lineRule="auto"/>
        <w:jc w:val="both"/>
      </w:pPr>
      <w:r w:rsidRPr="000B3455">
        <w:t>The value of restricted stock granted to the CEO in a year;</w:t>
      </w:r>
    </w:p>
    <w:p w:rsidR="001D5F43" w:rsidRPr="000B3455" w:rsidRDefault="001D5F43" w:rsidP="0088553E">
      <w:pPr>
        <w:pStyle w:val="ListParagraph"/>
        <w:numPr>
          <w:ilvl w:val="0"/>
          <w:numId w:val="1"/>
        </w:numPr>
        <w:spacing w:line="360" w:lineRule="auto"/>
        <w:jc w:val="both"/>
      </w:pPr>
      <w:r w:rsidRPr="000B3455">
        <w:t>The total compensation to the CEO in a year.</w:t>
      </w:r>
    </w:p>
    <w:p w:rsidR="001D5F43" w:rsidRPr="000B3455" w:rsidRDefault="001D5F43" w:rsidP="0088553E">
      <w:pPr>
        <w:spacing w:line="360" w:lineRule="auto"/>
        <w:jc w:val="both"/>
      </w:pPr>
      <w:r w:rsidRPr="000B3455">
        <w:lastRenderedPageBreak/>
        <w:t xml:space="preserve">They controlled for the financial reporting concerns with participating in capital markets (e.g. leverage) </w:t>
      </w:r>
      <w:r w:rsidRPr="000B3455">
        <w:rPr>
          <w:i/>
        </w:rPr>
        <w:t>(FINRPT</w:t>
      </w:r>
      <w:r w:rsidRPr="000B3455">
        <w:rPr>
          <w:i/>
          <w:lang w:eastAsia="nl-NL"/>
        </w:rPr>
        <w:t>_1</w:t>
      </w:r>
      <w:r w:rsidRPr="000B3455">
        <w:rPr>
          <w:i/>
          <w:vertAlign w:val="subscript"/>
          <w:lang w:eastAsia="nl-NL"/>
        </w:rPr>
        <w:t>jt</w:t>
      </w:r>
      <w:r w:rsidRPr="000B3455">
        <w:rPr>
          <w:i/>
          <w:lang w:eastAsia="nl-NL"/>
        </w:rPr>
        <w:t>)</w:t>
      </w:r>
      <w:r w:rsidRPr="000B3455">
        <w:rPr>
          <w:rStyle w:val="FootnoteReference"/>
          <w:i/>
          <w:lang w:eastAsia="nl-NL"/>
        </w:rPr>
        <w:footnoteReference w:id="5"/>
      </w:r>
      <w:r w:rsidRPr="000B3455">
        <w:t>, and with plans to access capital markets (</w:t>
      </w:r>
      <w:r w:rsidRPr="000B3455">
        <w:rPr>
          <w:i/>
          <w:lang w:eastAsia="nl-NL"/>
        </w:rPr>
        <w:t>FINRPT_2</w:t>
      </w:r>
      <w:r w:rsidRPr="000B3455">
        <w:rPr>
          <w:i/>
          <w:vertAlign w:val="subscript"/>
          <w:lang w:eastAsia="nl-NL"/>
        </w:rPr>
        <w:t>jt</w:t>
      </w:r>
      <w:r w:rsidRPr="000B3455">
        <w:t>)</w:t>
      </w:r>
      <w:r w:rsidRPr="000B3455">
        <w:rPr>
          <w:rStyle w:val="FootnoteReference"/>
        </w:rPr>
        <w:footnoteReference w:id="6"/>
      </w:r>
      <w:r w:rsidRPr="000B3455">
        <w:t>. Also for the deviation from the predicted incentive levels (</w:t>
      </w:r>
      <w:r w:rsidRPr="000B3455">
        <w:rPr>
          <w:i/>
          <w:lang w:eastAsia="nl-NL"/>
        </w:rPr>
        <w:t>DEV_INC</w:t>
      </w:r>
      <w:r w:rsidRPr="000B3455">
        <w:rPr>
          <w:i/>
          <w:vertAlign w:val="subscript"/>
          <w:lang w:eastAsia="nl-NL"/>
        </w:rPr>
        <w:t>jt</w:t>
      </w:r>
      <w:r w:rsidRPr="000B3455">
        <w:rPr>
          <w:i/>
          <w:lang w:eastAsia="nl-NL"/>
        </w:rPr>
        <w:t>)</w:t>
      </w:r>
      <w:r w:rsidRPr="000B3455">
        <w:t xml:space="preserve">, cash constraints </w:t>
      </w:r>
      <w:r w:rsidRPr="000B3455">
        <w:rPr>
          <w:i/>
        </w:rPr>
        <w:t>(</w:t>
      </w:r>
      <w:r w:rsidRPr="000B3455">
        <w:rPr>
          <w:i/>
          <w:lang w:eastAsia="nl-NL"/>
        </w:rPr>
        <w:t>CASH_CONSTR</w:t>
      </w:r>
      <w:r w:rsidRPr="000B3455">
        <w:rPr>
          <w:i/>
          <w:vertAlign w:val="subscript"/>
          <w:lang w:eastAsia="nl-NL"/>
        </w:rPr>
        <w:t>jt</w:t>
      </w:r>
      <w:r w:rsidRPr="000B3455">
        <w:rPr>
          <w:i/>
          <w:lang w:eastAsia="nl-NL"/>
        </w:rPr>
        <w:t>)</w:t>
      </w:r>
      <w:r w:rsidRPr="000B3455">
        <w:t xml:space="preserve">, dividend yield </w:t>
      </w:r>
      <w:r w:rsidRPr="000B3455">
        <w:rPr>
          <w:i/>
        </w:rPr>
        <w:t>(</w:t>
      </w:r>
      <w:r w:rsidRPr="000B3455">
        <w:rPr>
          <w:i/>
          <w:lang w:eastAsia="nl-NL"/>
        </w:rPr>
        <w:t>DIV_YLD</w:t>
      </w:r>
      <w:r w:rsidRPr="000B3455">
        <w:rPr>
          <w:i/>
          <w:vertAlign w:val="subscript"/>
          <w:lang w:eastAsia="nl-NL"/>
        </w:rPr>
        <w:t>jt</w:t>
      </w:r>
      <w:r w:rsidRPr="000B3455">
        <w:rPr>
          <w:i/>
          <w:lang w:eastAsia="nl-NL"/>
        </w:rPr>
        <w:t>)</w:t>
      </w:r>
      <w:r w:rsidRPr="000B3455">
        <w:t xml:space="preserve">, earnings volatility </w:t>
      </w:r>
      <w:r w:rsidRPr="000B3455">
        <w:rPr>
          <w:i/>
        </w:rPr>
        <w:t>(</w:t>
      </w:r>
      <w:r w:rsidRPr="000B3455">
        <w:rPr>
          <w:i/>
          <w:lang w:eastAsia="nl-NL"/>
        </w:rPr>
        <w:t>EARN_VOL</w:t>
      </w:r>
      <w:r w:rsidRPr="000B3455">
        <w:rPr>
          <w:i/>
          <w:vertAlign w:val="subscript"/>
          <w:lang w:eastAsia="nl-NL"/>
        </w:rPr>
        <w:t>jt</w:t>
      </w:r>
      <w:r w:rsidRPr="000B3455">
        <w:rPr>
          <w:i/>
          <w:lang w:eastAsia="nl-NL"/>
        </w:rPr>
        <w:t>)</w:t>
      </w:r>
      <w:r w:rsidRPr="000B3455">
        <w:t xml:space="preserve">, issuing equity constraints </w:t>
      </w:r>
      <w:r w:rsidRPr="000B3455">
        <w:rPr>
          <w:i/>
        </w:rPr>
        <w:t>(</w:t>
      </w:r>
      <w:r w:rsidRPr="000B3455">
        <w:rPr>
          <w:i/>
          <w:lang w:eastAsia="nl-NL"/>
        </w:rPr>
        <w:t>EQ_CONSTR</w:t>
      </w:r>
      <w:r w:rsidRPr="000B3455">
        <w:rPr>
          <w:i/>
          <w:vertAlign w:val="subscript"/>
          <w:lang w:eastAsia="nl-NL"/>
        </w:rPr>
        <w:t>jt</w:t>
      </w:r>
      <w:r w:rsidRPr="000B3455">
        <w:rPr>
          <w:i/>
          <w:lang w:eastAsia="nl-NL"/>
        </w:rPr>
        <w:t>)</w:t>
      </w:r>
      <w:r w:rsidRPr="000B3455">
        <w:t xml:space="preserve">, CEO tenure </w:t>
      </w:r>
      <w:r w:rsidRPr="000B3455">
        <w:rPr>
          <w:i/>
        </w:rPr>
        <w:t>(</w:t>
      </w:r>
      <w:r w:rsidRPr="000B3455">
        <w:rPr>
          <w:i/>
          <w:lang w:eastAsia="nl-NL"/>
        </w:rPr>
        <w:t>TENURE</w:t>
      </w:r>
      <w:r w:rsidRPr="000B3455">
        <w:rPr>
          <w:i/>
          <w:vertAlign w:val="subscript"/>
          <w:lang w:eastAsia="nl-NL"/>
        </w:rPr>
        <w:t>jt</w:t>
      </w:r>
      <w:r w:rsidRPr="000B3455">
        <w:rPr>
          <w:i/>
        </w:rPr>
        <w:t>)</w:t>
      </w:r>
      <w:r w:rsidRPr="000B3455">
        <w:t xml:space="preserve">, economic determinants of compensation like size </w:t>
      </w:r>
      <w:r w:rsidRPr="000B3455">
        <w:rPr>
          <w:i/>
        </w:rPr>
        <w:t>(</w:t>
      </w:r>
      <w:r w:rsidRPr="000B3455">
        <w:rPr>
          <w:i/>
          <w:lang w:eastAsia="nl-NL"/>
        </w:rPr>
        <w:t>LNASSET</w:t>
      </w:r>
      <w:r w:rsidRPr="000B3455">
        <w:rPr>
          <w:i/>
          <w:vertAlign w:val="subscript"/>
          <w:lang w:eastAsia="nl-NL"/>
        </w:rPr>
        <w:t>jt</w:t>
      </w:r>
      <w:r w:rsidRPr="000B3455">
        <w:rPr>
          <w:i/>
        </w:rPr>
        <w:t>),</w:t>
      </w:r>
      <w:r w:rsidRPr="000B3455">
        <w:t xml:space="preserve"> investment opportunities </w:t>
      </w:r>
      <w:r w:rsidRPr="000B3455">
        <w:rPr>
          <w:i/>
        </w:rPr>
        <w:t>(</w:t>
      </w:r>
      <w:r w:rsidRPr="000B3455">
        <w:rPr>
          <w:i/>
          <w:lang w:eastAsia="nl-NL"/>
        </w:rPr>
        <w:t>BOOK_MKT</w:t>
      </w:r>
      <w:r w:rsidRPr="000B3455">
        <w:rPr>
          <w:i/>
          <w:vertAlign w:val="subscript"/>
          <w:lang w:eastAsia="nl-NL"/>
        </w:rPr>
        <w:t>jt</w:t>
      </w:r>
      <w:r w:rsidRPr="000B3455">
        <w:rPr>
          <w:i/>
        </w:rPr>
        <w:t>),</w:t>
      </w:r>
      <w:r w:rsidRPr="000B3455">
        <w:t xml:space="preserve"> and performance </w:t>
      </w:r>
      <w:r w:rsidRPr="000B3455">
        <w:rPr>
          <w:i/>
        </w:rPr>
        <w:t>(</w:t>
      </w:r>
      <w:r w:rsidRPr="000B3455">
        <w:rPr>
          <w:i/>
          <w:lang w:eastAsia="nl-NL"/>
        </w:rPr>
        <w:t>RET</w:t>
      </w:r>
      <w:r w:rsidRPr="000B3455">
        <w:rPr>
          <w:i/>
          <w:vertAlign w:val="subscript"/>
          <w:lang w:eastAsia="nl-NL"/>
        </w:rPr>
        <w:t>jt</w:t>
      </w:r>
      <w:r w:rsidRPr="000B3455">
        <w:rPr>
          <w:i/>
        </w:rPr>
        <w:t>)</w:t>
      </w:r>
      <w:r w:rsidRPr="000B3455">
        <w:t xml:space="preserve">, and for the granted compensation in the prior year </w:t>
      </w:r>
      <w:r w:rsidRPr="000B3455">
        <w:rPr>
          <w:i/>
        </w:rPr>
        <w:t>(</w:t>
      </w:r>
      <w:r w:rsidRPr="000B3455">
        <w:rPr>
          <w:i/>
          <w:lang w:eastAsia="nl-NL"/>
        </w:rPr>
        <w:t>ln_pre_DEP_VBL</w:t>
      </w:r>
      <w:r w:rsidRPr="000B3455">
        <w:rPr>
          <w:i/>
          <w:vertAlign w:val="subscript"/>
          <w:lang w:eastAsia="nl-NL"/>
        </w:rPr>
        <w:t>jt</w:t>
      </w:r>
      <w:r w:rsidRPr="000B3455">
        <w:rPr>
          <w:i/>
        </w:rPr>
        <w:t>).</w:t>
      </w:r>
      <w:r w:rsidRPr="000B3455">
        <w:t xml:space="preserve"> Their results show that firms with more financial reporting concerns use less restricted stock, and use more stock option compensation. Financial reporting concerns are defined as the concern about adverse earnings impact by new financial reporting standards.</w:t>
      </w:r>
    </w:p>
    <w:p w:rsidR="001D5F43" w:rsidRPr="000B3455" w:rsidRDefault="001D5F43" w:rsidP="0088553E">
      <w:pPr>
        <w:spacing w:line="360" w:lineRule="auto"/>
        <w:jc w:val="both"/>
      </w:pPr>
      <w:r w:rsidRPr="000B3455">
        <w:t>Second, they examined how the expensing of stock options would result in a changing composition of executive compensation. Their sample included 206 firms that began to expense stock options in 2002 or 2003, and a control group of 1,483 firms that were not expensing stock options. Using a control group will reduce the influence of economic factors. Their univariate analysis of the executive compensation of both groups supports that firms that decide to expense stock options are shifting towards the use of restricted stock. By using the following regression they control for economic trends and other factors that can influence executive compensation:</w:t>
      </w:r>
    </w:p>
    <w:p w:rsidR="001D5F43" w:rsidRPr="000B3455" w:rsidRDefault="001D5F43" w:rsidP="0088553E">
      <w:pPr>
        <w:spacing w:line="360" w:lineRule="auto"/>
        <w:jc w:val="both"/>
        <w:rPr>
          <w:i/>
          <w:lang w:eastAsia="nl-NL"/>
        </w:rPr>
      </w:pPr>
      <w:r w:rsidRPr="000B3455">
        <w:rPr>
          <w:i/>
          <w:lang w:eastAsia="nl-NL"/>
        </w:rPr>
        <w:t>DEP_VBL</w:t>
      </w:r>
      <w:r w:rsidRPr="000B3455">
        <w:rPr>
          <w:i/>
          <w:vertAlign w:val="subscript"/>
          <w:lang w:eastAsia="nl-NL"/>
        </w:rPr>
        <w:t>jt</w:t>
      </w:r>
      <w:r w:rsidRPr="000B3455">
        <w:rPr>
          <w:i/>
          <w:lang w:eastAsia="nl-NL"/>
        </w:rPr>
        <w:t xml:space="preserve"> = α</w:t>
      </w:r>
      <w:r w:rsidRPr="000B3455">
        <w:rPr>
          <w:i/>
          <w:vertAlign w:val="subscript"/>
          <w:lang w:eastAsia="nl-NL"/>
        </w:rPr>
        <w:t>0</w:t>
      </w:r>
      <w:r w:rsidRPr="000B3455">
        <w:rPr>
          <w:i/>
          <w:lang w:eastAsia="nl-NL"/>
        </w:rPr>
        <w:t xml:space="preserve"> + α</w:t>
      </w:r>
      <w:r w:rsidRPr="000B3455">
        <w:rPr>
          <w:i/>
          <w:vertAlign w:val="subscript"/>
          <w:lang w:eastAsia="nl-NL"/>
        </w:rPr>
        <w:t>1</w:t>
      </w:r>
      <w:r w:rsidRPr="000B3455">
        <w:rPr>
          <w:i/>
          <w:lang w:eastAsia="nl-NL"/>
        </w:rPr>
        <w:t>EXPENSER</w:t>
      </w:r>
      <w:r w:rsidRPr="000B3455">
        <w:rPr>
          <w:i/>
          <w:vertAlign w:val="subscript"/>
          <w:lang w:eastAsia="nl-NL"/>
        </w:rPr>
        <w:t>jt</w:t>
      </w:r>
      <w:r w:rsidRPr="000B3455">
        <w:rPr>
          <w:i/>
          <w:lang w:eastAsia="nl-NL"/>
        </w:rPr>
        <w:t xml:space="preserve"> + α</w:t>
      </w:r>
      <w:r w:rsidRPr="000B3455">
        <w:rPr>
          <w:i/>
          <w:vertAlign w:val="subscript"/>
          <w:lang w:eastAsia="nl-NL"/>
        </w:rPr>
        <w:t>2</w:t>
      </w:r>
      <w:r w:rsidRPr="000B3455">
        <w:rPr>
          <w:i/>
          <w:lang w:eastAsia="nl-NL"/>
        </w:rPr>
        <w:t>DEV_INC</w:t>
      </w:r>
      <w:r w:rsidRPr="000B3455">
        <w:rPr>
          <w:i/>
          <w:vertAlign w:val="subscript"/>
          <w:lang w:eastAsia="nl-NL"/>
        </w:rPr>
        <w:t>jt</w:t>
      </w:r>
      <w:r w:rsidRPr="000B3455">
        <w:rPr>
          <w:i/>
          <w:lang w:eastAsia="nl-NL"/>
        </w:rPr>
        <w:t xml:space="preserve"> + α</w:t>
      </w:r>
      <w:r w:rsidRPr="000B3455">
        <w:rPr>
          <w:i/>
          <w:vertAlign w:val="subscript"/>
          <w:lang w:eastAsia="nl-NL"/>
        </w:rPr>
        <w:t>3</w:t>
      </w:r>
      <w:r w:rsidRPr="000B3455">
        <w:rPr>
          <w:i/>
          <w:lang w:eastAsia="nl-NL"/>
        </w:rPr>
        <w:t>CASH_CONSTR</w:t>
      </w:r>
      <w:r w:rsidRPr="000B3455">
        <w:rPr>
          <w:i/>
          <w:vertAlign w:val="subscript"/>
          <w:lang w:eastAsia="nl-NL"/>
        </w:rPr>
        <w:t>jt</w:t>
      </w:r>
      <w:r w:rsidRPr="000B3455">
        <w:rPr>
          <w:i/>
          <w:lang w:eastAsia="nl-NL"/>
        </w:rPr>
        <w:t xml:space="preserve"> + α</w:t>
      </w:r>
      <w:r w:rsidRPr="000B3455">
        <w:rPr>
          <w:i/>
          <w:vertAlign w:val="subscript"/>
          <w:lang w:eastAsia="nl-NL"/>
        </w:rPr>
        <w:t>4</w:t>
      </w:r>
      <w:r w:rsidRPr="000B3455">
        <w:rPr>
          <w:i/>
          <w:lang w:eastAsia="nl-NL"/>
        </w:rPr>
        <w:t>DIV_YLD</w:t>
      </w:r>
      <w:r w:rsidRPr="000B3455">
        <w:rPr>
          <w:i/>
          <w:vertAlign w:val="subscript"/>
          <w:lang w:eastAsia="nl-NL"/>
        </w:rPr>
        <w:t>jt</w:t>
      </w:r>
      <w:r w:rsidRPr="000B3455">
        <w:rPr>
          <w:i/>
          <w:lang w:eastAsia="nl-NL"/>
        </w:rPr>
        <w:t xml:space="preserve"> + α</w:t>
      </w:r>
      <w:r w:rsidRPr="000B3455">
        <w:rPr>
          <w:i/>
          <w:vertAlign w:val="subscript"/>
          <w:lang w:eastAsia="nl-NL"/>
        </w:rPr>
        <w:t>5</w:t>
      </w:r>
      <w:r w:rsidRPr="000B3455">
        <w:rPr>
          <w:i/>
          <w:lang w:eastAsia="nl-NL"/>
        </w:rPr>
        <w:t>EARN_VOL</w:t>
      </w:r>
      <w:r w:rsidRPr="000B3455">
        <w:rPr>
          <w:i/>
          <w:vertAlign w:val="subscript"/>
          <w:lang w:eastAsia="nl-NL"/>
        </w:rPr>
        <w:t>jt</w:t>
      </w:r>
      <w:r w:rsidRPr="000B3455">
        <w:rPr>
          <w:i/>
          <w:lang w:eastAsia="nl-NL"/>
        </w:rPr>
        <w:t xml:space="preserve"> + α</w:t>
      </w:r>
      <w:r w:rsidRPr="000B3455">
        <w:rPr>
          <w:i/>
          <w:vertAlign w:val="subscript"/>
          <w:lang w:eastAsia="nl-NL"/>
        </w:rPr>
        <w:t>6</w:t>
      </w:r>
      <w:r w:rsidRPr="000B3455">
        <w:rPr>
          <w:i/>
          <w:lang w:eastAsia="nl-NL"/>
        </w:rPr>
        <w:t>EQ_CONSTR</w:t>
      </w:r>
      <w:r w:rsidRPr="000B3455">
        <w:rPr>
          <w:i/>
          <w:vertAlign w:val="subscript"/>
          <w:lang w:eastAsia="nl-NL"/>
        </w:rPr>
        <w:t>jt</w:t>
      </w:r>
      <w:r w:rsidRPr="000B3455">
        <w:rPr>
          <w:i/>
          <w:lang w:eastAsia="nl-NL"/>
        </w:rPr>
        <w:t xml:space="preserve"> + α</w:t>
      </w:r>
      <w:r w:rsidRPr="000B3455">
        <w:rPr>
          <w:i/>
          <w:vertAlign w:val="subscript"/>
          <w:lang w:eastAsia="nl-NL"/>
        </w:rPr>
        <w:t>7</w:t>
      </w:r>
      <w:r w:rsidRPr="000B3455">
        <w:rPr>
          <w:i/>
          <w:lang w:eastAsia="nl-NL"/>
        </w:rPr>
        <w:t>TENURE</w:t>
      </w:r>
      <w:r w:rsidRPr="000B3455">
        <w:rPr>
          <w:i/>
          <w:vertAlign w:val="subscript"/>
          <w:lang w:eastAsia="nl-NL"/>
        </w:rPr>
        <w:t>jt</w:t>
      </w:r>
      <w:r w:rsidRPr="000B3455">
        <w:rPr>
          <w:i/>
          <w:lang w:eastAsia="nl-NL"/>
        </w:rPr>
        <w:t xml:space="preserve"> + α</w:t>
      </w:r>
      <w:r w:rsidRPr="000B3455">
        <w:rPr>
          <w:i/>
          <w:vertAlign w:val="subscript"/>
          <w:lang w:eastAsia="nl-NL"/>
        </w:rPr>
        <w:t>8</w:t>
      </w:r>
      <w:r w:rsidRPr="000B3455">
        <w:rPr>
          <w:i/>
          <w:lang w:eastAsia="nl-NL"/>
        </w:rPr>
        <w:t>LNASSET</w:t>
      </w:r>
      <w:r w:rsidRPr="000B3455">
        <w:rPr>
          <w:i/>
          <w:vertAlign w:val="subscript"/>
          <w:lang w:eastAsia="nl-NL"/>
        </w:rPr>
        <w:t>jt</w:t>
      </w:r>
      <w:r w:rsidRPr="000B3455">
        <w:rPr>
          <w:i/>
          <w:lang w:eastAsia="nl-NL"/>
        </w:rPr>
        <w:t xml:space="preserve"> + α</w:t>
      </w:r>
      <w:r w:rsidRPr="000B3455">
        <w:rPr>
          <w:i/>
          <w:vertAlign w:val="subscript"/>
          <w:lang w:eastAsia="nl-NL"/>
        </w:rPr>
        <w:t>9</w:t>
      </w:r>
      <w:r w:rsidRPr="000B3455">
        <w:rPr>
          <w:i/>
          <w:lang w:eastAsia="nl-NL"/>
        </w:rPr>
        <w:t>BOOK_MKT</w:t>
      </w:r>
      <w:r w:rsidRPr="000B3455">
        <w:rPr>
          <w:i/>
          <w:vertAlign w:val="subscript"/>
          <w:lang w:eastAsia="nl-NL"/>
        </w:rPr>
        <w:t>jt</w:t>
      </w:r>
      <w:r w:rsidRPr="000B3455">
        <w:rPr>
          <w:i/>
          <w:lang w:eastAsia="nl-NL"/>
        </w:rPr>
        <w:t xml:space="preserve"> + α</w:t>
      </w:r>
      <w:r w:rsidRPr="000B3455">
        <w:rPr>
          <w:i/>
          <w:vertAlign w:val="subscript"/>
          <w:lang w:eastAsia="nl-NL"/>
        </w:rPr>
        <w:t>10</w:t>
      </w:r>
      <w:r w:rsidRPr="000B3455">
        <w:rPr>
          <w:i/>
          <w:lang w:eastAsia="nl-NL"/>
        </w:rPr>
        <w:t>RET</w:t>
      </w:r>
      <w:r w:rsidRPr="000B3455">
        <w:rPr>
          <w:i/>
          <w:vertAlign w:val="subscript"/>
          <w:lang w:eastAsia="nl-NL"/>
        </w:rPr>
        <w:t>jt</w:t>
      </w:r>
      <w:r w:rsidRPr="000B3455">
        <w:rPr>
          <w:i/>
          <w:lang w:eastAsia="nl-NL"/>
        </w:rPr>
        <w:t xml:space="preserve"> + α</w:t>
      </w:r>
      <w:r w:rsidRPr="000B3455">
        <w:rPr>
          <w:i/>
          <w:vertAlign w:val="subscript"/>
          <w:lang w:eastAsia="nl-NL"/>
        </w:rPr>
        <w:t>11</w:t>
      </w:r>
      <w:r w:rsidRPr="000B3455">
        <w:rPr>
          <w:i/>
          <w:lang w:eastAsia="nl-NL"/>
        </w:rPr>
        <w:t>ln_pre_DEP_VBL</w:t>
      </w:r>
      <w:r w:rsidRPr="000B3455">
        <w:rPr>
          <w:i/>
          <w:vertAlign w:val="subscript"/>
          <w:lang w:eastAsia="nl-NL"/>
        </w:rPr>
        <w:t>jt</w:t>
      </w:r>
      <w:r w:rsidRPr="000B3455">
        <w:rPr>
          <w:i/>
          <w:lang w:eastAsia="nl-NL"/>
        </w:rPr>
        <w:t xml:space="preserve"> + ε</w:t>
      </w:r>
      <w:r w:rsidRPr="000B3455">
        <w:rPr>
          <w:i/>
          <w:vertAlign w:val="subscript"/>
          <w:lang w:eastAsia="nl-NL"/>
        </w:rPr>
        <w:t>jt</w:t>
      </w:r>
    </w:p>
    <w:p w:rsidR="001D5F43" w:rsidRPr="000B3455" w:rsidRDefault="001D5F43" w:rsidP="0088553E">
      <w:pPr>
        <w:spacing w:line="360" w:lineRule="auto"/>
        <w:jc w:val="both"/>
      </w:pPr>
      <w:r w:rsidRPr="000B3455">
        <w:t xml:space="preserve">Where the dependent variables are the same as in the previous regression. EXPENSER is a dummy variable that is 0 when firms do not expense options in 2002 or 2003. The other independent variables are also the same as in the previous regression. Their results suggest that firms that decide to expense options increased the use of restricted stock significantly relative to the control group, without increasing total executive compensation. According to Carter et al. </w:t>
      </w:r>
      <w:r w:rsidR="000D47B5">
        <w:t xml:space="preserve">(2007), </w:t>
      </w:r>
      <w:r w:rsidRPr="000B3455">
        <w:t>the shift from stock options to restricted stock is the result of eliminating the favorable accounting treatment of stock options. The favorable accounting treatment has led to an overweighting of stock option compensation, and an underweighting of restricted stock in executive compensation.</w:t>
      </w:r>
    </w:p>
    <w:p w:rsidR="001D5F43" w:rsidRPr="000B3455" w:rsidRDefault="001D5F43" w:rsidP="0088553E">
      <w:pPr>
        <w:spacing w:line="360" w:lineRule="auto"/>
        <w:jc w:val="both"/>
      </w:pPr>
      <w:r w:rsidRPr="000B3455">
        <w:lastRenderedPageBreak/>
        <w:t>Due to the favorable accounting treatment of stock options, executives received more stock options relative to the situation where stock options had to be expensed. Since they found these results after controlling for economic factors and trends, their overall conclusion is that accounting is a determinant in the design of executives compensations.</w:t>
      </w:r>
    </w:p>
    <w:p w:rsidR="001D5F43" w:rsidRPr="000B3455" w:rsidRDefault="001D5F43" w:rsidP="0088553E">
      <w:pPr>
        <w:pStyle w:val="Heading3"/>
        <w:spacing w:line="360" w:lineRule="auto"/>
        <w:jc w:val="both"/>
      </w:pPr>
      <w:bookmarkStart w:id="47" w:name="_Toc286230427"/>
      <w:bookmarkStart w:id="48" w:name="_Toc298944561"/>
      <w:r w:rsidRPr="000B3455">
        <w:t>4.</w:t>
      </w:r>
      <w:r w:rsidR="0088553E">
        <w:t>2</w:t>
      </w:r>
      <w:r w:rsidRPr="000B3455">
        <w:t>.4 Choudhary (2008)</w:t>
      </w:r>
      <w:bookmarkEnd w:id="47"/>
      <w:bookmarkEnd w:id="48"/>
    </w:p>
    <w:p w:rsidR="001D5F43" w:rsidRPr="000B3455" w:rsidRDefault="001D5F43" w:rsidP="0088553E">
      <w:pPr>
        <w:spacing w:line="360" w:lineRule="auto"/>
        <w:jc w:val="both"/>
      </w:pPr>
      <w:r w:rsidRPr="000B3455">
        <w:t xml:space="preserve">Choudhary (2008) investigates how the composition of compensation contracts change with respect to adopting the fair value method. He focuses on the shift from disclosed amounts under the intrinsic value method to recognized amounts under the fair value method, and emphasizes how managers react to recognition and disclosures, and how this impacts compensation contracts. To analyze the change in ESO compensation he uses the following regression: </w:t>
      </w:r>
    </w:p>
    <w:p w:rsidR="001D5F43" w:rsidRPr="000B3455" w:rsidRDefault="001D5F43" w:rsidP="0088553E">
      <w:pPr>
        <w:spacing w:line="360" w:lineRule="auto"/>
        <w:jc w:val="both"/>
        <w:rPr>
          <w:i/>
        </w:rPr>
      </w:pPr>
      <w:r w:rsidRPr="000B3455">
        <w:rPr>
          <w:i/>
        </w:rPr>
        <w:t>Δ Log (# Option grant</w:t>
      </w:r>
      <w:r w:rsidRPr="000B3455">
        <w:rPr>
          <w:i/>
          <w:vertAlign w:val="subscript"/>
        </w:rPr>
        <w:t>it</w:t>
      </w:r>
      <w:r w:rsidRPr="000B3455">
        <w:rPr>
          <w:i/>
        </w:rPr>
        <w:t>) = δ</w:t>
      </w:r>
      <w:r w:rsidRPr="000B3455">
        <w:rPr>
          <w:i/>
          <w:vertAlign w:val="subscript"/>
        </w:rPr>
        <w:t>0</w:t>
      </w:r>
      <w:r w:rsidRPr="000B3455">
        <w:rPr>
          <w:i/>
        </w:rPr>
        <w:t xml:space="preserve"> + δ</w:t>
      </w:r>
      <w:r w:rsidRPr="000B3455">
        <w:rPr>
          <w:i/>
          <w:vertAlign w:val="subscript"/>
        </w:rPr>
        <w:t>1</w:t>
      </w:r>
      <w:r w:rsidRPr="000B3455">
        <w:rPr>
          <w:i/>
        </w:rPr>
        <w:t>Δ Log (Sales)</w:t>
      </w:r>
      <w:r w:rsidRPr="000B3455">
        <w:rPr>
          <w:i/>
          <w:vertAlign w:val="subscript"/>
        </w:rPr>
        <w:t xml:space="preserve">it </w:t>
      </w:r>
      <w:r w:rsidRPr="000B3455">
        <w:rPr>
          <w:i/>
        </w:rPr>
        <w:t>+ δ</w:t>
      </w:r>
      <w:r w:rsidRPr="000B3455">
        <w:rPr>
          <w:i/>
          <w:vertAlign w:val="subscript"/>
        </w:rPr>
        <w:t>2</w:t>
      </w:r>
      <w:r w:rsidRPr="000B3455">
        <w:rPr>
          <w:i/>
        </w:rPr>
        <w:t xml:space="preserve"> Δ ROA</w:t>
      </w:r>
      <w:r w:rsidRPr="000B3455">
        <w:rPr>
          <w:i/>
          <w:vertAlign w:val="subscript"/>
        </w:rPr>
        <w:t xml:space="preserve">it </w:t>
      </w:r>
      <w:r w:rsidRPr="000B3455">
        <w:rPr>
          <w:i/>
        </w:rPr>
        <w:t>+ δ</w:t>
      </w:r>
      <w:r w:rsidRPr="000B3455">
        <w:rPr>
          <w:i/>
          <w:vertAlign w:val="subscript"/>
        </w:rPr>
        <w:t>3</w:t>
      </w:r>
      <w:r w:rsidRPr="000B3455">
        <w:rPr>
          <w:i/>
        </w:rPr>
        <w:t xml:space="preserve"> Return</w:t>
      </w:r>
      <w:r w:rsidRPr="000B3455">
        <w:rPr>
          <w:i/>
          <w:vertAlign w:val="subscript"/>
        </w:rPr>
        <w:t xml:space="preserve">it </w:t>
      </w:r>
      <w:r w:rsidRPr="000B3455">
        <w:rPr>
          <w:i/>
        </w:rPr>
        <w:t>+ δ</w:t>
      </w:r>
      <w:r w:rsidRPr="000B3455">
        <w:rPr>
          <w:i/>
          <w:vertAlign w:val="subscript"/>
        </w:rPr>
        <w:t>4</w:t>
      </w:r>
      <w:r w:rsidRPr="000B3455">
        <w:rPr>
          <w:i/>
        </w:rPr>
        <w:t xml:space="preserve"> Post Voluntary</w:t>
      </w:r>
      <w:r w:rsidRPr="000B3455">
        <w:rPr>
          <w:i/>
          <w:vertAlign w:val="subscript"/>
        </w:rPr>
        <w:t xml:space="preserve">it </w:t>
      </w:r>
      <w:r w:rsidRPr="000B3455">
        <w:rPr>
          <w:i/>
        </w:rPr>
        <w:t>+ δ5 Mandatory</w:t>
      </w:r>
      <w:r w:rsidRPr="000B3455">
        <w:rPr>
          <w:i/>
          <w:vertAlign w:val="subscript"/>
        </w:rPr>
        <w:t>it</w:t>
      </w:r>
      <w:r w:rsidRPr="000B3455">
        <w:rPr>
          <w:i/>
        </w:rPr>
        <w:t xml:space="preserve"> + δ</w:t>
      </w:r>
      <w:r w:rsidRPr="000B3455">
        <w:rPr>
          <w:i/>
          <w:vertAlign w:val="subscript"/>
        </w:rPr>
        <w:t>6</w:t>
      </w:r>
      <w:r w:rsidRPr="000B3455">
        <w:rPr>
          <w:i/>
        </w:rPr>
        <w:t xml:space="preserve"> Δ Volatility</w:t>
      </w:r>
      <w:r w:rsidRPr="000B3455">
        <w:rPr>
          <w:i/>
          <w:vertAlign w:val="subscript"/>
        </w:rPr>
        <w:t xml:space="preserve">it </w:t>
      </w:r>
      <w:r w:rsidRPr="000B3455">
        <w:rPr>
          <w:i/>
        </w:rPr>
        <w:t>+ δ</w:t>
      </w:r>
      <w:r w:rsidRPr="000B3455">
        <w:rPr>
          <w:i/>
          <w:vertAlign w:val="subscript"/>
        </w:rPr>
        <w:t>7</w:t>
      </w:r>
      <w:r w:rsidRPr="000B3455">
        <w:rPr>
          <w:i/>
        </w:rPr>
        <w:t xml:space="preserve"> Dependent Variable</w:t>
      </w:r>
      <w:r w:rsidRPr="000B3455">
        <w:rPr>
          <w:i/>
          <w:vertAlign w:val="subscript"/>
        </w:rPr>
        <w:t xml:space="preserve">it-1 </w:t>
      </w:r>
      <w:r w:rsidRPr="000B3455">
        <w:rPr>
          <w:i/>
        </w:rPr>
        <w:t>+ Σδ</w:t>
      </w:r>
      <w:r w:rsidRPr="000B3455">
        <w:rPr>
          <w:i/>
          <w:vertAlign w:val="subscript"/>
        </w:rPr>
        <w:t>j</w:t>
      </w:r>
      <w:r w:rsidRPr="000B3455">
        <w:rPr>
          <w:i/>
        </w:rPr>
        <w:t>(year</w:t>
      </w:r>
      <w:r w:rsidRPr="000B3455">
        <w:rPr>
          <w:i/>
          <w:vertAlign w:val="subscript"/>
        </w:rPr>
        <w:t>it</w:t>
      </w:r>
      <w:r w:rsidRPr="000B3455">
        <w:rPr>
          <w:i/>
        </w:rPr>
        <w:t>) + e</w:t>
      </w:r>
      <w:r w:rsidRPr="000B3455">
        <w:rPr>
          <w:i/>
          <w:vertAlign w:val="subscript"/>
        </w:rPr>
        <w:t>it</w:t>
      </w:r>
      <w:r w:rsidRPr="000B3455">
        <w:rPr>
          <w:i/>
        </w:rPr>
        <w:t xml:space="preserve"> </w:t>
      </w:r>
    </w:p>
    <w:p w:rsidR="001D5F43" w:rsidRPr="000B3455" w:rsidRDefault="001D5F43" w:rsidP="0088553E">
      <w:pPr>
        <w:spacing w:line="360" w:lineRule="auto"/>
        <w:jc w:val="both"/>
      </w:pPr>
      <w:r w:rsidRPr="000B3455">
        <w:t xml:space="preserve">He tests for changes for three groups in the dependent variable, namely CEO, non-CEO executives, and rank and file employees (i.e. non-management employees). He controls for size (sales), performance (ROA and returns), stock price volatility (volatility), and includes two dummy variables (post voluntary, and mandatory). The </w:t>
      </w:r>
      <w:r w:rsidRPr="000B3455">
        <w:rPr>
          <w:i/>
        </w:rPr>
        <w:t>Post Voluntary</w:t>
      </w:r>
      <w:r w:rsidRPr="000B3455">
        <w:t xml:space="preserve"> dummy variable indicates whether firms reduced stock option compensation in 2005.</w:t>
      </w:r>
    </w:p>
    <w:p w:rsidR="001D5F43" w:rsidRPr="000B3455" w:rsidRDefault="001D5F43" w:rsidP="0088553E">
      <w:pPr>
        <w:spacing w:line="360" w:lineRule="auto"/>
        <w:jc w:val="both"/>
      </w:pPr>
      <w:r w:rsidRPr="000B3455">
        <w:t xml:space="preserve">To test whether stock options are substituted for other forms of compensation (e.g. restricted stock), he uses a regression of Core and Guay, and modified it to: </w:t>
      </w:r>
    </w:p>
    <w:p w:rsidR="001D5F43" w:rsidRPr="000B3455" w:rsidRDefault="001D5F43" w:rsidP="0088553E">
      <w:pPr>
        <w:spacing w:line="360" w:lineRule="auto"/>
        <w:jc w:val="both"/>
        <w:rPr>
          <w:i/>
        </w:rPr>
      </w:pPr>
      <w:r w:rsidRPr="000B3455">
        <w:rPr>
          <w:i/>
        </w:rPr>
        <w:t>Log (New incentive grant +1)</w:t>
      </w:r>
      <w:r w:rsidRPr="000B3455">
        <w:rPr>
          <w:i/>
          <w:vertAlign w:val="subscript"/>
        </w:rPr>
        <w:t xml:space="preserve">jt </w:t>
      </w:r>
      <w:r w:rsidRPr="000B3455">
        <w:rPr>
          <w:i/>
        </w:rPr>
        <w:t>= δ</w:t>
      </w:r>
      <w:r w:rsidRPr="000B3455">
        <w:rPr>
          <w:i/>
          <w:vertAlign w:val="subscript"/>
        </w:rPr>
        <w:t>0</w:t>
      </w:r>
      <w:r w:rsidRPr="000B3455">
        <w:rPr>
          <w:i/>
        </w:rPr>
        <w:t xml:space="preserve"> + δ</w:t>
      </w:r>
      <w:r w:rsidRPr="000B3455">
        <w:rPr>
          <w:i/>
          <w:vertAlign w:val="subscript"/>
        </w:rPr>
        <w:t>1</w:t>
      </w:r>
      <w:r w:rsidRPr="000B3455">
        <w:rPr>
          <w:i/>
        </w:rPr>
        <w:t>(Incentive residual</w:t>
      </w:r>
      <w:r w:rsidRPr="000B3455">
        <w:rPr>
          <w:i/>
          <w:vertAlign w:val="subscript"/>
        </w:rPr>
        <w:t>jt-1</w:t>
      </w:r>
      <w:r w:rsidRPr="000B3455">
        <w:rPr>
          <w:i/>
        </w:rPr>
        <w:t>) + δ</w:t>
      </w:r>
      <w:r w:rsidRPr="000B3455">
        <w:rPr>
          <w:i/>
          <w:vertAlign w:val="subscript"/>
        </w:rPr>
        <w:t>2</w:t>
      </w:r>
      <w:r w:rsidRPr="000B3455">
        <w:rPr>
          <w:i/>
        </w:rPr>
        <w:t>Log (Sales</w:t>
      </w:r>
      <w:r w:rsidRPr="000B3455">
        <w:rPr>
          <w:i/>
          <w:vertAlign w:val="subscript"/>
        </w:rPr>
        <w:t>jt-1</w:t>
      </w:r>
      <w:r w:rsidRPr="000B3455">
        <w:rPr>
          <w:i/>
        </w:rPr>
        <w:t>) + δ</w:t>
      </w:r>
      <w:r w:rsidRPr="000B3455">
        <w:rPr>
          <w:i/>
          <w:vertAlign w:val="subscript"/>
        </w:rPr>
        <w:t>3</w:t>
      </w:r>
      <w:r w:rsidRPr="000B3455">
        <w:rPr>
          <w:i/>
        </w:rPr>
        <w:t>(BTM</w:t>
      </w:r>
      <w:r w:rsidRPr="000B3455">
        <w:rPr>
          <w:i/>
          <w:vertAlign w:val="subscript"/>
        </w:rPr>
        <w:t>jt-1</w:t>
      </w:r>
      <w:r w:rsidRPr="000B3455">
        <w:rPr>
          <w:i/>
        </w:rPr>
        <w:t>) + δ</w:t>
      </w:r>
      <w:r w:rsidRPr="000B3455">
        <w:rPr>
          <w:i/>
          <w:vertAlign w:val="subscript"/>
        </w:rPr>
        <w:t>4</w:t>
      </w:r>
      <w:r w:rsidRPr="000B3455">
        <w:rPr>
          <w:i/>
        </w:rPr>
        <w:t>(NOL</w:t>
      </w:r>
      <w:r w:rsidRPr="000B3455">
        <w:rPr>
          <w:i/>
          <w:vertAlign w:val="subscript"/>
        </w:rPr>
        <w:t>jt-1</w:t>
      </w:r>
      <w:r w:rsidRPr="000B3455">
        <w:rPr>
          <w:i/>
        </w:rPr>
        <w:t>) + δ</w:t>
      </w:r>
      <w:r w:rsidRPr="000B3455">
        <w:rPr>
          <w:i/>
          <w:vertAlign w:val="subscript"/>
        </w:rPr>
        <w:t>5</w:t>
      </w:r>
      <w:r w:rsidRPr="000B3455">
        <w:rPr>
          <w:i/>
        </w:rPr>
        <w:t>(CF short</w:t>
      </w:r>
      <w:r w:rsidRPr="000B3455">
        <w:rPr>
          <w:i/>
          <w:vertAlign w:val="subscript"/>
        </w:rPr>
        <w:t>jt-1</w:t>
      </w:r>
      <w:r w:rsidRPr="000B3455">
        <w:rPr>
          <w:i/>
        </w:rPr>
        <w:t>) + δ</w:t>
      </w:r>
      <w:r w:rsidRPr="000B3455">
        <w:rPr>
          <w:i/>
          <w:vertAlign w:val="subscript"/>
        </w:rPr>
        <w:t>6</w:t>
      </w:r>
      <w:r w:rsidRPr="000B3455">
        <w:rPr>
          <w:i/>
        </w:rPr>
        <w:t>(Div constraint</w:t>
      </w:r>
      <w:r w:rsidRPr="000B3455">
        <w:rPr>
          <w:i/>
          <w:vertAlign w:val="subscript"/>
        </w:rPr>
        <w:t>jt-1</w:t>
      </w:r>
      <w:r w:rsidRPr="000B3455">
        <w:rPr>
          <w:i/>
        </w:rPr>
        <w:t>) + δ</w:t>
      </w:r>
      <w:r w:rsidRPr="000B3455">
        <w:rPr>
          <w:i/>
          <w:vertAlign w:val="subscript"/>
        </w:rPr>
        <w:t>7</w:t>
      </w:r>
      <w:r w:rsidRPr="000B3455">
        <w:rPr>
          <w:i/>
        </w:rPr>
        <w:t>(RET</w:t>
      </w:r>
      <w:r w:rsidRPr="000B3455">
        <w:rPr>
          <w:i/>
          <w:vertAlign w:val="subscript"/>
        </w:rPr>
        <w:t>jt</w:t>
      </w:r>
      <w:r w:rsidRPr="000B3455">
        <w:rPr>
          <w:i/>
        </w:rPr>
        <w:t>) + δ</w:t>
      </w:r>
      <w:r w:rsidRPr="000B3455">
        <w:rPr>
          <w:i/>
          <w:vertAlign w:val="subscript"/>
        </w:rPr>
        <w:t>8</w:t>
      </w:r>
      <w:r w:rsidRPr="000B3455">
        <w:rPr>
          <w:i/>
        </w:rPr>
        <w:t>(Volatility</w:t>
      </w:r>
      <w:r w:rsidRPr="000B3455">
        <w:rPr>
          <w:i/>
          <w:vertAlign w:val="subscript"/>
        </w:rPr>
        <w:t>jt</w:t>
      </w:r>
      <w:r w:rsidRPr="000B3455">
        <w:rPr>
          <w:i/>
        </w:rPr>
        <w:t>) + δ</w:t>
      </w:r>
      <w:r w:rsidRPr="000B3455">
        <w:rPr>
          <w:i/>
          <w:vertAlign w:val="subscript"/>
        </w:rPr>
        <w:t>9</w:t>
      </w:r>
      <w:r w:rsidRPr="000B3455">
        <w:rPr>
          <w:i/>
        </w:rPr>
        <w:t>(Accounting Treatment</w:t>
      </w:r>
      <w:r w:rsidRPr="000B3455">
        <w:rPr>
          <w:i/>
          <w:vertAlign w:val="subscript"/>
        </w:rPr>
        <w:t>jt</w:t>
      </w:r>
      <w:r w:rsidRPr="000B3455">
        <w:rPr>
          <w:i/>
        </w:rPr>
        <w:t>)+ δ</w:t>
      </w:r>
      <w:r w:rsidRPr="000B3455">
        <w:rPr>
          <w:i/>
          <w:vertAlign w:val="subscript"/>
        </w:rPr>
        <w:t>10</w:t>
      </w:r>
      <w:r w:rsidRPr="000B3455">
        <w:rPr>
          <w:i/>
        </w:rPr>
        <w:t>(Voluntary*2005</w:t>
      </w:r>
      <w:r w:rsidRPr="000B3455">
        <w:rPr>
          <w:i/>
          <w:vertAlign w:val="subscript"/>
        </w:rPr>
        <w:t>jt</w:t>
      </w:r>
      <w:r w:rsidRPr="000B3455">
        <w:rPr>
          <w:i/>
        </w:rPr>
        <w:t>) + Σδ</w:t>
      </w:r>
      <w:r w:rsidRPr="000B3455">
        <w:rPr>
          <w:i/>
          <w:vertAlign w:val="subscript"/>
        </w:rPr>
        <w:t>11</w:t>
      </w:r>
      <w:r w:rsidRPr="000B3455">
        <w:rPr>
          <w:i/>
        </w:rPr>
        <w:t>(Industry</w:t>
      </w:r>
      <w:r w:rsidRPr="000B3455">
        <w:rPr>
          <w:i/>
          <w:vertAlign w:val="subscript"/>
        </w:rPr>
        <w:t>jt</w:t>
      </w:r>
      <w:r w:rsidRPr="000B3455">
        <w:rPr>
          <w:i/>
        </w:rPr>
        <w:t>) + e</w:t>
      </w:r>
      <w:r w:rsidRPr="000B3455">
        <w:rPr>
          <w:i/>
          <w:vertAlign w:val="subscript"/>
        </w:rPr>
        <w:t>jt</w:t>
      </w:r>
      <w:r w:rsidRPr="000B3455">
        <w:rPr>
          <w:i/>
        </w:rPr>
        <w:t xml:space="preserve"> </w:t>
      </w:r>
    </w:p>
    <w:p w:rsidR="001D5F43" w:rsidRPr="000B3455" w:rsidRDefault="001D5F43" w:rsidP="0088553E">
      <w:pPr>
        <w:spacing w:line="360" w:lineRule="auto"/>
        <w:jc w:val="both"/>
      </w:pPr>
      <w:r w:rsidRPr="000B3455">
        <w:t>The dependent variable is equal to stock option compensation, restricted stock, or total compensation depending on what to test. The dummy variables net operating loss (</w:t>
      </w:r>
      <w:r w:rsidRPr="000B3455">
        <w:rPr>
          <w:i/>
        </w:rPr>
        <w:t>NOL</w:t>
      </w:r>
      <w:r w:rsidRPr="000B3455">
        <w:rPr>
          <w:i/>
          <w:vertAlign w:val="subscript"/>
        </w:rPr>
        <w:t>jt-1</w:t>
      </w:r>
      <w:r w:rsidRPr="000B3455">
        <w:t>) equals 1 if there was an operating loss in the past three years, dividend constraint</w:t>
      </w:r>
      <w:r w:rsidRPr="000B3455">
        <w:rPr>
          <w:i/>
        </w:rPr>
        <w:t xml:space="preserve"> </w:t>
      </w:r>
      <w:r w:rsidRPr="000B3455">
        <w:t>(</w:t>
      </w:r>
      <w:r w:rsidRPr="000B3455">
        <w:rPr>
          <w:i/>
        </w:rPr>
        <w:t>Div constraint</w:t>
      </w:r>
      <w:r w:rsidRPr="000B3455">
        <w:rPr>
          <w:i/>
          <w:vertAlign w:val="subscript"/>
        </w:rPr>
        <w:t>jt-1</w:t>
      </w:r>
      <w:r w:rsidRPr="000B3455">
        <w:t>) indicates whether the ratio of retained earnings, cash dividends, and share repurchases divided by past year’s cash dividends and share repurchases is less than two of the past three years, industry controls (</w:t>
      </w:r>
      <w:r w:rsidRPr="000B3455">
        <w:rPr>
          <w:i/>
        </w:rPr>
        <w:t>Industry</w:t>
      </w:r>
      <w:r w:rsidRPr="000B3455">
        <w:rPr>
          <w:i/>
          <w:vertAlign w:val="subscript"/>
        </w:rPr>
        <w:t>jt</w:t>
      </w:r>
      <w:r w:rsidRPr="000B3455">
        <w:t>) indicates industries, accounting treatment (</w:t>
      </w:r>
      <w:r w:rsidRPr="000B3455">
        <w:rPr>
          <w:i/>
        </w:rPr>
        <w:t>Accounting Treatment</w:t>
      </w:r>
      <w:r w:rsidRPr="000B3455">
        <w:rPr>
          <w:i/>
          <w:vertAlign w:val="subscript"/>
        </w:rPr>
        <w:t>jt</w:t>
      </w:r>
      <w:r w:rsidRPr="000B3455">
        <w:t xml:space="preserve">) equals 1 in case of a fiscal year with mandatory fair value disclosure, recognition of fair value after June 15, 2006 or if firm is a voluntary </w:t>
      </w:r>
      <w:r w:rsidRPr="000B3455">
        <w:lastRenderedPageBreak/>
        <w:t>adopter of fair value recognition before 2005. The dummy variable (</w:t>
      </w:r>
      <w:r w:rsidRPr="000B3455">
        <w:rPr>
          <w:i/>
        </w:rPr>
        <w:t>Voluntary*2005</w:t>
      </w:r>
      <w:r w:rsidRPr="000B3455">
        <w:rPr>
          <w:i/>
          <w:vertAlign w:val="subscript"/>
        </w:rPr>
        <w:t>jt</w:t>
      </w:r>
      <w:r w:rsidRPr="000B3455">
        <w:t>) is equal to 1 if the firm is a voluntary adopter of the fair value method during 2005. Furthermore, he controls for the optimal level of equity incentives (</w:t>
      </w:r>
      <w:r w:rsidRPr="000B3455">
        <w:rPr>
          <w:i/>
        </w:rPr>
        <w:t>Incentive residual</w:t>
      </w:r>
      <w:r w:rsidRPr="000B3455">
        <w:rPr>
          <w:i/>
          <w:vertAlign w:val="subscript"/>
        </w:rPr>
        <w:t>jt-1</w:t>
      </w:r>
      <w:r w:rsidRPr="000B3455">
        <w:t>), firm sales</w:t>
      </w:r>
      <w:r w:rsidRPr="000B3455">
        <w:rPr>
          <w:i/>
        </w:rPr>
        <w:t xml:space="preserve"> </w:t>
      </w:r>
      <w:r w:rsidRPr="000B3455">
        <w:t>(</w:t>
      </w:r>
      <w:r w:rsidRPr="000B3455">
        <w:rPr>
          <w:i/>
        </w:rPr>
        <w:t>Log (Sales</w:t>
      </w:r>
      <w:r w:rsidRPr="000B3455">
        <w:rPr>
          <w:i/>
          <w:vertAlign w:val="subscript"/>
        </w:rPr>
        <w:t>jt-1</w:t>
      </w:r>
      <w:r w:rsidRPr="000B3455">
        <w:rPr>
          <w:i/>
        </w:rPr>
        <w:t>)</w:t>
      </w:r>
      <w:r w:rsidRPr="000B3455">
        <w:t>), book to market ratio (</w:t>
      </w:r>
      <w:r w:rsidRPr="000B3455">
        <w:rPr>
          <w:i/>
        </w:rPr>
        <w:t>BTM</w:t>
      </w:r>
      <w:r w:rsidRPr="000B3455">
        <w:rPr>
          <w:i/>
          <w:vertAlign w:val="subscript"/>
        </w:rPr>
        <w:t>jt-1</w:t>
      </w:r>
      <w:r w:rsidRPr="000B3455">
        <w:t>), cash flow shortfall (</w:t>
      </w:r>
      <w:r w:rsidRPr="000B3455">
        <w:rPr>
          <w:i/>
        </w:rPr>
        <w:t>CF short</w:t>
      </w:r>
      <w:r w:rsidRPr="000B3455">
        <w:rPr>
          <w:i/>
          <w:vertAlign w:val="subscript"/>
        </w:rPr>
        <w:t>jt-1</w:t>
      </w:r>
      <w:r w:rsidRPr="000B3455">
        <w:t>), compounded annual return (</w:t>
      </w:r>
      <w:r w:rsidRPr="000B3455">
        <w:rPr>
          <w:i/>
        </w:rPr>
        <w:t>RET</w:t>
      </w:r>
      <w:r w:rsidRPr="000B3455">
        <w:rPr>
          <w:i/>
          <w:vertAlign w:val="subscript"/>
        </w:rPr>
        <w:t>jt</w:t>
      </w:r>
      <w:r w:rsidRPr="000B3455">
        <w:t>), and volatility of returns (</w:t>
      </w:r>
      <w:r w:rsidRPr="000B3455">
        <w:rPr>
          <w:i/>
        </w:rPr>
        <w:t>Volatility</w:t>
      </w:r>
      <w:r w:rsidRPr="000B3455">
        <w:rPr>
          <w:i/>
          <w:vertAlign w:val="subscript"/>
        </w:rPr>
        <w:t>jt</w:t>
      </w:r>
      <w:r w:rsidRPr="000B3455">
        <w:t xml:space="preserve">). </w:t>
      </w:r>
    </w:p>
    <w:p w:rsidR="001D5F43" w:rsidRPr="000B3455" w:rsidRDefault="001D5F43" w:rsidP="0088553E">
      <w:pPr>
        <w:spacing w:line="360" w:lineRule="auto"/>
        <w:jc w:val="both"/>
      </w:pPr>
      <w:r w:rsidRPr="000B3455">
        <w:t>In his tests he uses two time periods: one around 1995 (1994-1996), and one around 2005 (2003-2005). In 1995 US firms were able to choose between the intrinsic value method, and the fair value method. Before 1995 the intrinsic value method had to be applied. In order to see the effect of disclosure of ESOs he took this time period. In 2005 the fair value method had to be applied. To see the effect of recognition of ESOs he took this time period. His sample consisted of 795 mandatory disclosure firms, 783 mandatory recognition firms, and 127 voluntary recognition firms.</w:t>
      </w:r>
    </w:p>
    <w:p w:rsidR="001D5F43" w:rsidRPr="000B3455" w:rsidRDefault="001D5F43" w:rsidP="0088553E">
      <w:pPr>
        <w:spacing w:line="360" w:lineRule="auto"/>
        <w:jc w:val="both"/>
      </w:pPr>
      <w:r w:rsidRPr="000B3455">
        <w:t xml:space="preserve">In the first test, he found that the number, fair value, and contractual length of options were reduced when firms had to adopt the fair value method, but not when firms had to disclose the fair value of stock options. This is applicable for all three groups that were investigated. The results of the second test also showed a decrease in ESO compensation when firms had to recognize ESO expenses. At the same time, the use of restricted stock, bonuses, salary, and other compensation increased significantly. The control group also increased bonuses, salary, and other compensation, but the increase in restricted stock compensation was insignificant. These results suggest that the mandatory expensing of ESOs started a shift from stock option compensation to more restricted stock compensation. </w:t>
      </w:r>
    </w:p>
    <w:p w:rsidR="001D5F43" w:rsidRPr="000B3455" w:rsidRDefault="001D5F43" w:rsidP="0088553E">
      <w:pPr>
        <w:pStyle w:val="Heading3"/>
        <w:spacing w:line="360" w:lineRule="auto"/>
        <w:jc w:val="both"/>
      </w:pPr>
      <w:bookmarkStart w:id="49" w:name="_Toc286230428"/>
      <w:bookmarkStart w:id="50" w:name="_Toc298944562"/>
      <w:r w:rsidRPr="000B3455">
        <w:t>4.</w:t>
      </w:r>
      <w:r w:rsidR="0088553E">
        <w:t>2</w:t>
      </w:r>
      <w:r w:rsidRPr="000B3455">
        <w:t>.5 Conclusion</w:t>
      </w:r>
      <w:bookmarkEnd w:id="49"/>
      <w:bookmarkEnd w:id="50"/>
    </w:p>
    <w:p w:rsidR="001D5F43" w:rsidRPr="000B3455" w:rsidRDefault="001D5F43" w:rsidP="0088553E">
      <w:pPr>
        <w:spacing w:line="360" w:lineRule="auto"/>
        <w:jc w:val="both"/>
      </w:pPr>
      <w:r w:rsidRPr="000B3455">
        <w:t xml:space="preserve">The last three studies have shown that after the introduction of SFAS 123 (R), and thus the mandatory expensing of stock options, stock option compensation decreased. The increase of restricted stock compensation was relatively less than the decrease of stock options, which implied that executive compensation has decreased. The studies of Brown and Lee (2007), Carter et al. (2007), and Choudhary (2008) also showed that the decrease of stock option compensation is mainly caused by the mandatory option expensing. Feng and Tian (2007) concluded that the voluntary expensing of stock options caused a decrease of granted stock options in 2002. Also other events around that time have contributed to the decrease of stock options. These other events may also have contributed to the adoption of SFAS 123 (R). As Brown and Lee (2007) argue that good governed companies had already adopted the fair value method and are less likely to decrease stock option compensation relative to companies that had not adopted the fair value method, shows that accounting change is the primary cause for the decrease in </w:t>
      </w:r>
      <w:r w:rsidRPr="000B3455">
        <w:lastRenderedPageBreak/>
        <w:t>stock options. Also Carter et al. (2007) showed that accounting change is key in the decrease of stock option compensation, as they have controlled their finding for economic factors and trends. Choudhary (2008) also found that compensation contracts were changed, due to SFAS 123 (R). Results showed that other forms of compensation were not increased, except for restricted stock. Concluding that the expensing of ESOs caused a shift from stock option compensation to restricted stock compensation in the United States.</w:t>
      </w:r>
    </w:p>
    <w:p w:rsidR="001D5F43" w:rsidRPr="000B3455" w:rsidRDefault="001D5F43" w:rsidP="0088553E">
      <w:pPr>
        <w:spacing w:line="360" w:lineRule="auto"/>
        <w:jc w:val="both"/>
      </w:pPr>
      <w:r w:rsidRPr="000B3455">
        <w:t>IFRS 2 does not significantly differ from SFAS 123 (R), due to the convergence project of the IASB and FASB. However, these results cannot be generalized for the Netherlands, since the situation before 2005 in both countries was different. Whereas, US GAAP remained unchanged for all forms of compensation, but stock options, IFRS 2 involved changes in accounting methods for all forms of equity-settled share-based payment, including restricted stock. According to chapter 3, the change from Dutch GAAP to IFRS 2 implied expensing the fair value of both stock options and restricted stock. Before 2005, stock options were expensed at intrinsic value, and restricted stock was not expensed in the profit and loss account at all. The accounting method for restricted stock under IFRS can, therefore, be seen as a more unfavorable method compared to Dutch GAAP. This might cause the amount of restricted stock compensation, as well as stock option compensation to be negatively affected after the introduction of IFRS 2.</w:t>
      </w:r>
    </w:p>
    <w:p w:rsidR="001D5F43" w:rsidRPr="000B3455" w:rsidRDefault="001D5F43" w:rsidP="0088553E">
      <w:pPr>
        <w:pStyle w:val="Heading2"/>
        <w:spacing w:line="360" w:lineRule="auto"/>
        <w:jc w:val="both"/>
      </w:pPr>
      <w:bookmarkStart w:id="51" w:name="_Ref298924343"/>
      <w:bookmarkStart w:id="52" w:name="_Toc298944563"/>
      <w:r w:rsidRPr="000B3455">
        <w:t>4.</w:t>
      </w:r>
      <w:r w:rsidR="0088553E">
        <w:t>3</w:t>
      </w:r>
      <w:r w:rsidRPr="000B3455">
        <w:t xml:space="preserve"> Netherlands-based studies</w:t>
      </w:r>
      <w:bookmarkEnd w:id="51"/>
      <w:bookmarkEnd w:id="52"/>
    </w:p>
    <w:p w:rsidR="001D5F43" w:rsidRPr="000B3455" w:rsidRDefault="001D5F43" w:rsidP="0088553E">
      <w:pPr>
        <w:spacing w:line="360" w:lineRule="auto"/>
        <w:jc w:val="both"/>
      </w:pPr>
      <w:r w:rsidRPr="000B3455">
        <w:t>As partly discussed before, there are two main reasons why the US-based empirical literature may not be generalized to a Dutch context. First, the guidelines provided under Dutch GAAP included a different accounting treatment for share compensation compared to US GAAP. Whereas US GAAP required recognition of the fair value of shares granted as remuneration before and after 2005, Dutch GAAP did not require recognition of fair value before 2005. These guidelines have been changed, due to the introduction of IFRS 2.  Second, the Corporate Governance Codes may differ. The typical Dutch board structure is a two-tier version, whereas the Anglo-Saxon (i.e. the US, and United Kingdom) board structure is an unitary one, with executive and non-executive directors in the same board (Swagerman &amp; Terpstra</w:t>
      </w:r>
      <w:r w:rsidR="00502BB0" w:rsidRPr="000B3455">
        <w:t>, 2</w:t>
      </w:r>
      <w:r w:rsidRPr="000B3455">
        <w:t xml:space="preserve">009 </w:t>
      </w:r>
      <w:r w:rsidR="00EB350F" w:rsidRPr="000B3455">
        <w:t xml:space="preserve">p. </w:t>
      </w:r>
      <w:r w:rsidRPr="000B3455">
        <w:t xml:space="preserve"> 62). To enhance the insight in the consequence of IFRS 2 on the remuneration of the board of management several empirical studies conducted in the Netherlands will be discussed in this section.</w:t>
      </w:r>
    </w:p>
    <w:p w:rsidR="001D5F43" w:rsidRPr="000B3455" w:rsidRDefault="001D5F43" w:rsidP="0088553E">
      <w:pPr>
        <w:pStyle w:val="Heading3"/>
        <w:spacing w:line="360" w:lineRule="auto"/>
        <w:jc w:val="both"/>
      </w:pPr>
      <w:bookmarkStart w:id="53" w:name="_Toc298944564"/>
      <w:r w:rsidRPr="000B3455">
        <w:t>4.</w:t>
      </w:r>
      <w:r w:rsidR="0088553E">
        <w:t>3</w:t>
      </w:r>
      <w:r w:rsidRPr="000B3455">
        <w:t>.1 Swagerman and Terpstra (2009)</w:t>
      </w:r>
      <w:bookmarkEnd w:id="53"/>
    </w:p>
    <w:p w:rsidR="001D5F43" w:rsidRPr="000B3455" w:rsidRDefault="001D5F43" w:rsidP="0088553E">
      <w:pPr>
        <w:spacing w:line="360" w:lineRule="auto"/>
        <w:jc w:val="both"/>
      </w:pPr>
      <w:r w:rsidRPr="000B3455">
        <w:t xml:space="preserve">Swagerman and Terpstra (2009) have investigated the trend in Dutch executive compensation. Since 2002, Dutch-listed companies are required to disclose information about the remuneration of its board </w:t>
      </w:r>
      <w:r w:rsidRPr="000B3455">
        <w:lastRenderedPageBreak/>
        <w:t xml:space="preserve">of management. This legal requirement creates the opportunity for a research to remuneration practices. Their research is based on a sample of 75 listed companies, of which 71, that met the data requirements, were included in the final sample. Although there are approximately 150 listed companies in the Netherlands, they included only the 75 biggest companies for comparability and relevance issues. The sample period was 2002-2004. </w:t>
      </w:r>
    </w:p>
    <w:p w:rsidR="001D5F43" w:rsidRPr="000B3455" w:rsidRDefault="001D5F43" w:rsidP="0088553E">
      <w:pPr>
        <w:spacing w:line="360" w:lineRule="auto"/>
        <w:jc w:val="both"/>
      </w:pPr>
      <w:r w:rsidRPr="000B3455">
        <w:t xml:space="preserve">Their findings provided supporting evidence for three trends. </w:t>
      </w:r>
    </w:p>
    <w:p w:rsidR="001D5F43" w:rsidRPr="000B3455" w:rsidRDefault="001D5F43" w:rsidP="0088553E">
      <w:pPr>
        <w:spacing w:line="360" w:lineRule="auto"/>
        <w:jc w:val="both"/>
      </w:pPr>
      <w:r w:rsidRPr="000B3455">
        <w:t xml:space="preserve">First, the Dutch Corporate Governance Code has had a significant impact on remuneration. An important factor in the Dutch Corporate Governance Code is that performance measures are predetermined, measurable, and influential. The evaluation of the performance of an executive board member is, therefore, more objective than before the Code was introduced. Another impact of the Corporate Governance Code is that stock options should include a vesting period. </w:t>
      </w:r>
    </w:p>
    <w:p w:rsidR="001D5F43" w:rsidRPr="000B3455" w:rsidRDefault="001D5F43" w:rsidP="0088553E">
      <w:pPr>
        <w:spacing w:line="360" w:lineRule="auto"/>
        <w:jc w:val="both"/>
      </w:pPr>
      <w:r w:rsidRPr="000B3455">
        <w:t>Second, they found a shift from stock option compensation to other forms of share-based payment. Particularly, stock options were replaced by performance shares. The decrease in stock option compensation can be explained by the negative reputation that stock options have been given after accounting scandals in the early 2000’s. Performance shares were considered to be more efficient in aligning interests of the principals and agents. When share prices have declined stock options are worthless and there is no payout to executives, because they will not exercise their options. In the case of performance shares a payout is guaranteed, but has become less, due to the declining share price. They suggest that the introduction of IFRS 2 has probably triggered the switch from stock options to performance shares. However, as stated in chapter 2, IFRS 2 was issued in February, 2004. Since the performance measures were predetermined</w:t>
      </w:r>
      <w:r w:rsidRPr="000B3455">
        <w:rPr>
          <w:rStyle w:val="FootnoteReference"/>
        </w:rPr>
        <w:footnoteReference w:id="7"/>
      </w:r>
      <w:r w:rsidRPr="000B3455">
        <w:t xml:space="preserve">, and IFRS 2 was effective in 2005, the proposed causal relation between the shift and IFRS 2 seems to be arguable. </w:t>
      </w:r>
    </w:p>
    <w:p w:rsidR="001D5F43" w:rsidRPr="000B3455" w:rsidRDefault="001D5F43" w:rsidP="0088553E">
      <w:pPr>
        <w:spacing w:line="360" w:lineRule="auto"/>
        <w:jc w:val="both"/>
      </w:pPr>
      <w:r w:rsidRPr="000B3455">
        <w:t xml:space="preserve">The third trend was the increase in total compensation, due to an increase in share-based compensation. They found that executives received more share-based compensation with companies that have introduced performance share programs in 2003 or 2004. They do not provide a clear explanation for this. </w:t>
      </w:r>
    </w:p>
    <w:p w:rsidR="001D5F43" w:rsidRPr="000B3455" w:rsidRDefault="001D5F43" w:rsidP="0088553E">
      <w:pPr>
        <w:spacing w:line="360" w:lineRule="auto"/>
        <w:jc w:val="both"/>
      </w:pPr>
      <w:r w:rsidRPr="000B3455">
        <w:lastRenderedPageBreak/>
        <w:t>Swagerman and Terpstra argue that the introduction of IFRS 2, and the Dutch Corporate Governance Code have triggered a shift from stock option compensation towards performance shares. The impact of IFRS 2 is arguable. Additionally, scientific power of the evidence found in this study is not considerably high, because Swagerman and Terpstra did not perform statistical tests to evaluate the trend and to see whether the changes are significant.</w:t>
      </w:r>
    </w:p>
    <w:p w:rsidR="001D5F43" w:rsidRPr="000B3455" w:rsidRDefault="001D5F43" w:rsidP="0088553E">
      <w:pPr>
        <w:pStyle w:val="Heading3"/>
        <w:spacing w:line="360" w:lineRule="auto"/>
        <w:jc w:val="both"/>
      </w:pPr>
      <w:bookmarkStart w:id="54" w:name="_Toc298944565"/>
      <w:r w:rsidRPr="000B3455">
        <w:t>4.</w:t>
      </w:r>
      <w:r w:rsidR="0088553E">
        <w:t>3</w:t>
      </w:r>
      <w:r w:rsidRPr="000B3455">
        <w:t>.2 Thesis Kraakman (2010)</w:t>
      </w:r>
      <w:bookmarkEnd w:id="54"/>
    </w:p>
    <w:p w:rsidR="001D5F43" w:rsidRPr="000B3455" w:rsidRDefault="001D5F43" w:rsidP="0088553E">
      <w:pPr>
        <w:spacing w:line="360" w:lineRule="auto"/>
        <w:jc w:val="both"/>
      </w:pPr>
      <w:r w:rsidRPr="000B3455">
        <w:t xml:space="preserve">In her </w:t>
      </w:r>
      <w:r w:rsidR="005006DF" w:rsidRPr="000B3455">
        <w:t xml:space="preserve">master’s </w:t>
      </w:r>
      <w:r w:rsidRPr="000B3455">
        <w:t xml:space="preserve">thesis, Kraakman investigates whether the introduction of IFRS 2 has led to a decrease in fair value of options granted to both CEOs and all employees in the Netherlands. Her study focuses only on stock option compensation and is based on the findings in the US-based studies, which were also discussed previously in this chapter. Key element in her thesis is that she investigates the fair value of the stock options granted, and in addition she also investigates the amount of stock options granted. Her sample consisted of the 75 listed companies on the AEX, AMX, and AScX, of which 34 were excluded, due to a lack of data or not meeting the data requirements. Her final sample consisted of 41 firms in the period 2002-2007. </w:t>
      </w:r>
    </w:p>
    <w:p w:rsidR="001D5F43" w:rsidRPr="000B3455" w:rsidRDefault="001D5F43" w:rsidP="0088553E">
      <w:pPr>
        <w:spacing w:line="360" w:lineRule="auto"/>
        <w:jc w:val="both"/>
      </w:pPr>
      <w:r w:rsidRPr="000B3455">
        <w:t>The model she uses is based on the Feng and Tian (2007) model, and adjusted for a different dependent variable and different control variables. The model is specified as:</w:t>
      </w:r>
    </w:p>
    <w:p w:rsidR="001D5F43" w:rsidRPr="000B3455" w:rsidRDefault="001D5F43" w:rsidP="0088553E">
      <w:pPr>
        <w:spacing w:line="360" w:lineRule="auto"/>
        <w:jc w:val="both"/>
        <w:rPr>
          <w:i/>
          <w:vertAlign w:val="subscript"/>
        </w:rPr>
      </w:pPr>
      <w:r w:rsidRPr="000B3455">
        <w:rPr>
          <w:i/>
        </w:rPr>
        <w:t>ESO use for CEOs</w:t>
      </w:r>
      <w:r w:rsidRPr="000B3455">
        <w:rPr>
          <w:i/>
          <w:vertAlign w:val="subscript"/>
        </w:rPr>
        <w:t>it</w:t>
      </w:r>
      <w:r w:rsidRPr="000B3455">
        <w:rPr>
          <w:i/>
        </w:rPr>
        <w:t xml:space="preserve"> = α</w:t>
      </w:r>
      <w:r w:rsidRPr="000B3455">
        <w:rPr>
          <w:i/>
          <w:vertAlign w:val="subscript"/>
        </w:rPr>
        <w:t>i</w:t>
      </w:r>
      <w:r w:rsidRPr="000B3455">
        <w:rPr>
          <w:i/>
        </w:rPr>
        <w:t xml:space="preserve"> + β</w:t>
      </w:r>
      <w:r w:rsidRPr="000B3455">
        <w:rPr>
          <w:i/>
          <w:vertAlign w:val="subscript"/>
        </w:rPr>
        <w:t>1</w:t>
      </w:r>
      <w:r w:rsidRPr="000B3455">
        <w:rPr>
          <w:i/>
        </w:rPr>
        <w:t>TL1</w:t>
      </w:r>
      <w:r w:rsidRPr="000B3455">
        <w:rPr>
          <w:i/>
          <w:vertAlign w:val="subscript"/>
        </w:rPr>
        <w:t>t</w:t>
      </w:r>
      <w:r w:rsidRPr="000B3455">
        <w:rPr>
          <w:i/>
        </w:rPr>
        <w:t xml:space="preserve"> + β</w:t>
      </w:r>
      <w:r w:rsidRPr="000B3455">
        <w:rPr>
          <w:i/>
          <w:vertAlign w:val="subscript"/>
        </w:rPr>
        <w:t>2</w:t>
      </w:r>
      <w:r w:rsidRPr="000B3455">
        <w:rPr>
          <w:i/>
        </w:rPr>
        <w:t>TL2</w:t>
      </w:r>
      <w:r w:rsidRPr="000B3455">
        <w:rPr>
          <w:i/>
          <w:vertAlign w:val="subscript"/>
        </w:rPr>
        <w:t>t</w:t>
      </w:r>
      <w:r w:rsidRPr="000B3455">
        <w:rPr>
          <w:i/>
        </w:rPr>
        <w:t xml:space="preserve"> + β</w:t>
      </w:r>
      <w:r w:rsidRPr="000B3455">
        <w:rPr>
          <w:i/>
          <w:vertAlign w:val="subscript"/>
        </w:rPr>
        <w:t>3</w:t>
      </w:r>
      <w:r w:rsidRPr="000B3455">
        <w:rPr>
          <w:i/>
        </w:rPr>
        <w:t>Investment</w:t>
      </w:r>
      <w:r w:rsidRPr="000B3455">
        <w:rPr>
          <w:i/>
          <w:vertAlign w:val="subscript"/>
        </w:rPr>
        <w:t>it</w:t>
      </w:r>
      <w:r w:rsidRPr="000B3455">
        <w:rPr>
          <w:i/>
        </w:rPr>
        <w:t xml:space="preserve"> + β</w:t>
      </w:r>
      <w:r w:rsidRPr="000B3455">
        <w:rPr>
          <w:i/>
          <w:vertAlign w:val="subscript"/>
        </w:rPr>
        <w:t>4</w:t>
      </w:r>
      <w:r w:rsidRPr="000B3455">
        <w:rPr>
          <w:i/>
        </w:rPr>
        <w:t>Size</w:t>
      </w:r>
      <w:r w:rsidRPr="000B3455">
        <w:rPr>
          <w:i/>
          <w:vertAlign w:val="subscript"/>
        </w:rPr>
        <w:t>it</w:t>
      </w:r>
      <w:r w:rsidRPr="000B3455">
        <w:rPr>
          <w:i/>
        </w:rPr>
        <w:t xml:space="preserve"> + β</w:t>
      </w:r>
      <w:r w:rsidRPr="000B3455">
        <w:rPr>
          <w:i/>
          <w:vertAlign w:val="subscript"/>
        </w:rPr>
        <w:t>5</w:t>
      </w:r>
      <w:r w:rsidRPr="000B3455">
        <w:rPr>
          <w:i/>
        </w:rPr>
        <w:t>Performance</w:t>
      </w:r>
      <w:r w:rsidRPr="000B3455">
        <w:rPr>
          <w:i/>
          <w:vertAlign w:val="subscript"/>
        </w:rPr>
        <w:t>it</w:t>
      </w:r>
      <w:r w:rsidRPr="000B3455">
        <w:rPr>
          <w:i/>
        </w:rPr>
        <w:t xml:space="preserve"> + β</w:t>
      </w:r>
      <w:r w:rsidRPr="000B3455">
        <w:rPr>
          <w:i/>
          <w:vertAlign w:val="subscript"/>
        </w:rPr>
        <w:t>6</w:t>
      </w:r>
      <w:r w:rsidRPr="000B3455">
        <w:rPr>
          <w:i/>
        </w:rPr>
        <w:t>Leverage</w:t>
      </w:r>
      <w:r w:rsidRPr="000B3455">
        <w:rPr>
          <w:i/>
          <w:vertAlign w:val="subscript"/>
        </w:rPr>
        <w:t>it</w:t>
      </w:r>
      <w:r w:rsidRPr="000B3455">
        <w:rPr>
          <w:i/>
        </w:rPr>
        <w:t xml:space="preserve"> + β</w:t>
      </w:r>
      <w:r w:rsidRPr="000B3455">
        <w:rPr>
          <w:i/>
          <w:vertAlign w:val="subscript"/>
        </w:rPr>
        <w:t>7</w:t>
      </w:r>
      <w:r w:rsidRPr="000B3455">
        <w:rPr>
          <w:i/>
        </w:rPr>
        <w:t>Liquidity</w:t>
      </w:r>
      <w:r w:rsidRPr="000B3455">
        <w:rPr>
          <w:i/>
          <w:vertAlign w:val="subscript"/>
        </w:rPr>
        <w:t>it</w:t>
      </w:r>
      <w:r w:rsidRPr="000B3455">
        <w:rPr>
          <w:i/>
        </w:rPr>
        <w:t xml:space="preserve"> + β</w:t>
      </w:r>
      <w:r w:rsidRPr="000B3455">
        <w:rPr>
          <w:i/>
          <w:vertAlign w:val="subscript"/>
        </w:rPr>
        <w:t>8</w:t>
      </w:r>
      <w:r w:rsidRPr="000B3455">
        <w:rPr>
          <w:i/>
        </w:rPr>
        <w:t>CEOtenure</w:t>
      </w:r>
      <w:r w:rsidRPr="000B3455">
        <w:rPr>
          <w:i/>
          <w:vertAlign w:val="subscript"/>
        </w:rPr>
        <w:t>it</w:t>
      </w:r>
      <w:r w:rsidRPr="000B3455">
        <w:rPr>
          <w:i/>
        </w:rPr>
        <w:t xml:space="preserve"> + β</w:t>
      </w:r>
      <w:r w:rsidRPr="000B3455">
        <w:rPr>
          <w:i/>
          <w:vertAlign w:val="subscript"/>
        </w:rPr>
        <w:t>9</w:t>
      </w:r>
      <w:r w:rsidRPr="000B3455">
        <w:rPr>
          <w:i/>
        </w:rPr>
        <w:t>Volatility</w:t>
      </w:r>
      <w:r w:rsidRPr="000B3455">
        <w:rPr>
          <w:i/>
          <w:vertAlign w:val="subscript"/>
        </w:rPr>
        <w:t>it</w:t>
      </w:r>
      <w:r w:rsidRPr="000B3455">
        <w:rPr>
          <w:i/>
        </w:rPr>
        <w:t xml:space="preserve"> + β</w:t>
      </w:r>
      <w:r w:rsidRPr="000B3455">
        <w:rPr>
          <w:i/>
          <w:vertAlign w:val="subscript"/>
        </w:rPr>
        <w:t>10</w:t>
      </w:r>
      <w:r w:rsidRPr="000B3455">
        <w:rPr>
          <w:i/>
        </w:rPr>
        <w:t>Ownership</w:t>
      </w:r>
      <w:r w:rsidRPr="000B3455">
        <w:rPr>
          <w:i/>
          <w:vertAlign w:val="subscript"/>
        </w:rPr>
        <w:t>it</w:t>
      </w:r>
      <w:r w:rsidRPr="000B3455">
        <w:rPr>
          <w:i/>
        </w:rPr>
        <w:t xml:space="preserve"> + ε</w:t>
      </w:r>
      <w:r w:rsidRPr="000B3455">
        <w:rPr>
          <w:i/>
          <w:vertAlign w:val="subscript"/>
        </w:rPr>
        <w:t>it</w:t>
      </w:r>
    </w:p>
    <w:p w:rsidR="001D5F43" w:rsidRPr="000B3455" w:rsidRDefault="001D5F43" w:rsidP="0088553E">
      <w:pPr>
        <w:spacing w:line="360" w:lineRule="auto"/>
        <w:jc w:val="both"/>
      </w:pPr>
      <w:r w:rsidRPr="000B3455">
        <w:t>Where (</w:t>
      </w:r>
      <w:r w:rsidRPr="000B3455">
        <w:rPr>
          <w:i/>
        </w:rPr>
        <w:t>ESO use for CEOs</w:t>
      </w:r>
      <w:r w:rsidRPr="000B3455">
        <w:rPr>
          <w:i/>
          <w:vertAlign w:val="subscript"/>
        </w:rPr>
        <w:t>it</w:t>
      </w:r>
      <w:r w:rsidRPr="000B3455">
        <w:t xml:space="preserve">) is the fair value of stock options granted to the CEO, </w:t>
      </w:r>
      <w:r w:rsidRPr="000B3455">
        <w:rPr>
          <w:i/>
        </w:rPr>
        <w:t>TL1</w:t>
      </w:r>
      <w:r w:rsidRPr="000B3455">
        <w:rPr>
          <w:i/>
          <w:vertAlign w:val="subscript"/>
        </w:rPr>
        <w:t>t</w:t>
      </w:r>
      <w:r w:rsidRPr="000B3455">
        <w:rPr>
          <w:i/>
        </w:rPr>
        <w:t xml:space="preserve"> </w:t>
      </w:r>
      <w:r w:rsidRPr="000B3455">
        <w:t>and</w:t>
      </w:r>
      <w:r w:rsidRPr="000B3455">
        <w:rPr>
          <w:i/>
        </w:rPr>
        <w:t xml:space="preserve"> TL2</w:t>
      </w:r>
      <w:r w:rsidRPr="000B3455">
        <w:rPr>
          <w:i/>
          <w:vertAlign w:val="subscript"/>
        </w:rPr>
        <w:t>t</w:t>
      </w:r>
      <w:r w:rsidRPr="000B3455">
        <w:t xml:space="preserve"> are the same time indexes as used in the model of Feng and Tian (2007) with an event year of 2005, (</w:t>
      </w:r>
      <w:r w:rsidRPr="000B3455">
        <w:rPr>
          <w:i/>
        </w:rPr>
        <w:t>Investment</w:t>
      </w:r>
      <w:r w:rsidRPr="000B3455">
        <w:rPr>
          <w:i/>
          <w:vertAlign w:val="subscript"/>
        </w:rPr>
        <w:t>it</w:t>
      </w:r>
      <w:r w:rsidRPr="000B3455">
        <w:t>) is the market to book ratio, (</w:t>
      </w:r>
      <w:r w:rsidRPr="000B3455">
        <w:rPr>
          <w:i/>
        </w:rPr>
        <w:t>Size</w:t>
      </w:r>
      <w:r w:rsidRPr="000B3455">
        <w:rPr>
          <w:i/>
          <w:vertAlign w:val="subscript"/>
        </w:rPr>
        <w:t>it</w:t>
      </w:r>
      <w:r w:rsidRPr="000B3455">
        <w:t>) is measured by the natural logarithm of assets. In addition, the return on assets indicates the performance of a company (</w:t>
      </w:r>
      <w:r w:rsidRPr="000B3455">
        <w:rPr>
          <w:i/>
        </w:rPr>
        <w:t>Performance</w:t>
      </w:r>
      <w:r w:rsidRPr="000B3455">
        <w:rPr>
          <w:i/>
          <w:vertAlign w:val="subscript"/>
        </w:rPr>
        <w:t>it</w:t>
      </w:r>
      <w:r w:rsidRPr="000B3455">
        <w:t>), (</w:t>
      </w:r>
      <w:r w:rsidRPr="000B3455">
        <w:rPr>
          <w:i/>
        </w:rPr>
        <w:t>Leverage</w:t>
      </w:r>
      <w:r w:rsidRPr="000B3455">
        <w:rPr>
          <w:i/>
          <w:vertAlign w:val="subscript"/>
        </w:rPr>
        <w:t>it</w:t>
      </w:r>
      <w:r w:rsidRPr="000B3455">
        <w:t>) indicates the company’s leverage, liquidity constraints (</w:t>
      </w:r>
      <w:r w:rsidRPr="000B3455">
        <w:rPr>
          <w:i/>
        </w:rPr>
        <w:t>Liquidity</w:t>
      </w:r>
      <w:r w:rsidRPr="000B3455">
        <w:rPr>
          <w:i/>
          <w:vertAlign w:val="subscript"/>
        </w:rPr>
        <w:t>it</w:t>
      </w:r>
      <w:r w:rsidRPr="000B3455">
        <w:t>) are measured by the negative value of free cash flow divided by total assets, CEO tenure (</w:t>
      </w:r>
      <w:r w:rsidRPr="000B3455">
        <w:rPr>
          <w:i/>
        </w:rPr>
        <w:t>CEOtenure</w:t>
      </w:r>
      <w:r w:rsidRPr="000B3455">
        <w:rPr>
          <w:i/>
          <w:vertAlign w:val="subscript"/>
        </w:rPr>
        <w:t>it</w:t>
      </w:r>
      <w:r w:rsidRPr="000B3455">
        <w:t>), as well as stock volatility (</w:t>
      </w:r>
      <w:r w:rsidRPr="000B3455">
        <w:rPr>
          <w:i/>
        </w:rPr>
        <w:t>Volatility</w:t>
      </w:r>
      <w:r w:rsidRPr="000B3455">
        <w:rPr>
          <w:i/>
          <w:vertAlign w:val="subscript"/>
        </w:rPr>
        <w:t>it</w:t>
      </w:r>
      <w:r w:rsidRPr="000B3455">
        <w:t>) are also incorporated. The proportion of common shares owned by the CEO (</w:t>
      </w:r>
      <w:r w:rsidRPr="000B3455">
        <w:rPr>
          <w:i/>
        </w:rPr>
        <w:t>Ownership</w:t>
      </w:r>
      <w:r w:rsidRPr="000B3455">
        <w:rPr>
          <w:i/>
          <w:vertAlign w:val="subscript"/>
        </w:rPr>
        <w:t>it</w:t>
      </w:r>
      <w:r w:rsidRPr="000B3455">
        <w:t>) is the last control variable.</w:t>
      </w:r>
    </w:p>
    <w:p w:rsidR="001D5F43" w:rsidRPr="000B3455" w:rsidRDefault="001D5F43" w:rsidP="0088553E">
      <w:pPr>
        <w:spacing w:line="360" w:lineRule="auto"/>
        <w:jc w:val="both"/>
      </w:pPr>
      <w:r w:rsidRPr="000B3455">
        <w:t>She concludes that stock option compensation for CEOs as well as for all employees has significantly been changed after the introduction of IFRS 2. And that IFRS 2 was the main cause for this declining trend.</w:t>
      </w:r>
    </w:p>
    <w:p w:rsidR="001D5F43" w:rsidRPr="000B3455" w:rsidRDefault="001D5F43" w:rsidP="0088553E">
      <w:pPr>
        <w:spacing w:line="360" w:lineRule="auto"/>
        <w:jc w:val="both"/>
      </w:pPr>
      <w:r w:rsidRPr="000B3455">
        <w:lastRenderedPageBreak/>
        <w:t xml:space="preserve">Along her thesis, she identified that more companies use other long-term incentive plans since the introduction of IFRS 2 in 2005. She suggests that the introduction of IFRS 2, therefore, causes a substitution from stock option to other forms of equity-based compensation. She does not provide empirical evidence for this suggestion. Besides, she documents only the number of companies that have other forms of equity-based compensation plans, and not the fair value of equity grants. The number of companies that introduced other incentive programs </w:t>
      </w:r>
      <w:r w:rsidR="00261BE2" w:rsidRPr="000B3455">
        <w:t>is</w:t>
      </w:r>
      <w:r w:rsidRPr="000B3455">
        <w:t xml:space="preserve"> increased, but the amount of remuneration might be decreased. When the latter is the case, it does not provide support to the substitution of other her equity-based compensation for stock options. </w:t>
      </w:r>
    </w:p>
    <w:p w:rsidR="001D5F43" w:rsidRPr="000B3455" w:rsidRDefault="001D5F43" w:rsidP="0088553E">
      <w:pPr>
        <w:pStyle w:val="Heading3"/>
        <w:spacing w:line="360" w:lineRule="auto"/>
        <w:jc w:val="both"/>
      </w:pPr>
      <w:bookmarkStart w:id="55" w:name="_Toc298944566"/>
      <w:r w:rsidRPr="000B3455">
        <w:t>4.</w:t>
      </w:r>
      <w:r w:rsidR="0088553E">
        <w:t>3</w:t>
      </w:r>
      <w:r w:rsidRPr="000B3455">
        <w:t>.3 Conclusion</w:t>
      </w:r>
      <w:bookmarkEnd w:id="55"/>
    </w:p>
    <w:p w:rsidR="001D5F43" w:rsidRPr="000B3455" w:rsidRDefault="001D5F43" w:rsidP="0088553E">
      <w:pPr>
        <w:spacing w:line="360" w:lineRule="auto"/>
        <w:jc w:val="both"/>
      </w:pPr>
      <w:r w:rsidRPr="000B3455">
        <w:t xml:space="preserve">Both the studies of Swagerman and Terpstra (2009) and the thesis of Kraakman (2010) have investigated the trend of stock option compensation for 75 listed companies in the Netherlands. Swagerman and Terpstra (2009) suggest that the introduction of IFRS 2 has caused a shift from stock option compensation to performance shares in 2003 and 2004. However, IFRS 2 was published in February, 2004. And since they also argue that performance measures are predetermined, this explanation seems not to hold. Kraakman (2010) found empirical evidence that stock option compensation was decreased by the introduction of IFRS 2 in 2005. From this study it can, therefore, be concluded that, caused by the introduction of IFRS 2, stock option compensation has been decreased in the Netherlands. Additionally, she suggests that the decrease of stock option compensation is made up by other forms of share-based compensation. Her suggestion is based on the finding of an increasing number of companies that are granting other forms of equity-based compensation. However, she does not take the value of the other forms of equity-based compensation into account, and does not support her suggestion with statistical evidence. Both studies found that stock option compensation are declining over the years. Swagerman and Terpstra (2009) suggest that the substitution from stock options to other forms of share-based compensation started in 2003, whereas Kraakman (2010) suggests it started after the introduction of IFRS 2 in 2005. </w:t>
      </w:r>
    </w:p>
    <w:p w:rsidR="001D5F43" w:rsidRPr="000B3455" w:rsidRDefault="001D5F43" w:rsidP="0088553E">
      <w:pPr>
        <w:pStyle w:val="Heading2"/>
        <w:spacing w:line="360" w:lineRule="auto"/>
        <w:jc w:val="both"/>
      </w:pPr>
      <w:bookmarkStart w:id="56" w:name="_Ref298924368"/>
      <w:bookmarkStart w:id="57" w:name="_Toc298944567"/>
      <w:r w:rsidRPr="000B3455">
        <w:t>4.</w:t>
      </w:r>
      <w:r w:rsidR="0088553E">
        <w:t>4</w:t>
      </w:r>
      <w:r w:rsidRPr="000B3455">
        <w:t xml:space="preserve"> Determinants for remuneration</w:t>
      </w:r>
      <w:bookmarkEnd w:id="56"/>
      <w:bookmarkEnd w:id="57"/>
    </w:p>
    <w:p w:rsidR="001D5F43" w:rsidRPr="000B3455" w:rsidRDefault="001D5F43" w:rsidP="0088553E">
      <w:pPr>
        <w:spacing w:line="360" w:lineRule="auto"/>
        <w:jc w:val="both"/>
      </w:pPr>
      <w:r w:rsidRPr="000B3455">
        <w:t xml:space="preserve">As a start to develop a research model, this section identifies the determinants of compensation. Since this thesis deals with fixed salary, bonus payments, </w:t>
      </w:r>
      <w:r w:rsidR="00596D60" w:rsidRPr="000B3455">
        <w:t xml:space="preserve">and </w:t>
      </w:r>
      <w:r w:rsidRPr="000B3455">
        <w:t xml:space="preserve">share-based payment transactions, the determinants for all these forms of compensation should be identified. Chalmers et al. (2006) empirically researched determinants for CEO compensation, while distinguishing in compensation </w:t>
      </w:r>
      <w:r w:rsidRPr="000B3455">
        <w:lastRenderedPageBreak/>
        <w:t>components as salary, bonus, options, and shares. Their study is based on an Australian sample of the top 200 of listed firms at the Australian Stock Exchange.</w:t>
      </w:r>
    </w:p>
    <w:p w:rsidR="001D5F43" w:rsidRPr="000B3455" w:rsidRDefault="001D5F43" w:rsidP="0088553E">
      <w:pPr>
        <w:pStyle w:val="Heading3"/>
        <w:spacing w:line="360" w:lineRule="auto"/>
        <w:jc w:val="both"/>
      </w:pPr>
      <w:bookmarkStart w:id="58" w:name="_Toc298944568"/>
      <w:r w:rsidRPr="000B3455">
        <w:t>4.</w:t>
      </w:r>
      <w:r w:rsidR="0088553E">
        <w:t>4</w:t>
      </w:r>
      <w:r w:rsidRPr="000B3455">
        <w:t>.1 Size</w:t>
      </w:r>
      <w:bookmarkEnd w:id="58"/>
    </w:p>
    <w:p w:rsidR="001D5F43" w:rsidRPr="000B3455" w:rsidRDefault="001D5F43" w:rsidP="0088553E">
      <w:pPr>
        <w:spacing w:line="360" w:lineRule="auto"/>
        <w:jc w:val="both"/>
      </w:pPr>
      <w:r w:rsidRPr="000B3455">
        <w:t>In the study of Chalmers et al. (2006</w:t>
      </w:r>
      <w:r w:rsidR="00AF2001" w:rsidRPr="000B3455">
        <w:t>,</w:t>
      </w:r>
      <w:r w:rsidRPr="000B3455">
        <w:t xml:space="preserve"> </w:t>
      </w:r>
      <w:r w:rsidR="00EB350F" w:rsidRPr="000B3455">
        <w:t xml:space="preserve">pp. </w:t>
      </w:r>
      <w:r w:rsidRPr="000B3455">
        <w:t>268-269) results showed that firm size, measured by the natural logarithm of the firm’s assets, was the only significant variable in all forms of compensation. The relation between size and compensation was positive. Accordingly, they suggest that larger firms will pay more for the CEO, as the CEO should be of high quality. This is consistent with the studies of Murphy (199</w:t>
      </w:r>
      <w:r w:rsidR="007A0CBE" w:rsidRPr="000B3455">
        <w:t>8</w:t>
      </w:r>
      <w:r w:rsidR="00D56956" w:rsidRPr="000B3455">
        <w:t>,</w:t>
      </w:r>
      <w:r w:rsidRPr="000B3455">
        <w:t xml:space="preserve"> </w:t>
      </w:r>
      <w:r w:rsidR="00EB350F" w:rsidRPr="000B3455">
        <w:t xml:space="preserve">p. </w:t>
      </w:r>
      <w:r w:rsidRPr="000B3455">
        <w:t>6) and Kraakman (2010</w:t>
      </w:r>
      <w:r w:rsidR="00D56956" w:rsidRPr="000B3455">
        <w:t>,</w:t>
      </w:r>
      <w:r w:rsidRPr="000B3455">
        <w:t xml:space="preserve"> </w:t>
      </w:r>
      <w:r w:rsidR="00EB350F" w:rsidRPr="000B3455">
        <w:t xml:space="preserve">p. </w:t>
      </w:r>
      <w:r w:rsidRPr="000B3455">
        <w:t>67), in which is respectively concluded that levels of compensation for CEOs and stock option compensation for CEOs increase with the size of the company. Additionally, Feng and Tian (2007</w:t>
      </w:r>
      <w:r w:rsidR="00D56956" w:rsidRPr="000B3455">
        <w:t>,</w:t>
      </w:r>
      <w:r w:rsidRPr="000B3455">
        <w:t xml:space="preserve"> </w:t>
      </w:r>
      <w:r w:rsidR="00EB350F" w:rsidRPr="000B3455">
        <w:t xml:space="preserve">p. </w:t>
      </w:r>
      <w:r w:rsidRPr="000B3455">
        <w:t>41) showed that firm size is positively related to the level of cash compensation, stock option compensation, stock compensation, and total compensation. These results are consistent with the study of Carter et al. (2007</w:t>
      </w:r>
      <w:r w:rsidR="00D56956" w:rsidRPr="000B3455">
        <w:t>,</w:t>
      </w:r>
      <w:r w:rsidRPr="000B3455">
        <w:t xml:space="preserve"> </w:t>
      </w:r>
      <w:r w:rsidR="00EB350F" w:rsidRPr="000B3455">
        <w:t>p</w:t>
      </w:r>
      <w:r w:rsidR="00C523A8" w:rsidRPr="000B3455">
        <w:t>p</w:t>
      </w:r>
      <w:r w:rsidR="00EB350F" w:rsidRPr="000B3455">
        <w:t xml:space="preserve">. </w:t>
      </w:r>
      <w:r w:rsidRPr="000B3455">
        <w:t>341-343) with respect to stock options, stock, and total compensation. They conclude that larger firms use relatively more restricted stock.</w:t>
      </w:r>
    </w:p>
    <w:p w:rsidR="001D5F43" w:rsidRPr="000B3455" w:rsidRDefault="001D5F43" w:rsidP="0088553E">
      <w:pPr>
        <w:pStyle w:val="Heading3"/>
        <w:spacing w:line="360" w:lineRule="auto"/>
        <w:jc w:val="both"/>
      </w:pPr>
      <w:bookmarkStart w:id="59" w:name="_Toc298944569"/>
      <w:r w:rsidRPr="000B3455">
        <w:t>4.</w:t>
      </w:r>
      <w:r w:rsidR="0088553E">
        <w:t>4</w:t>
      </w:r>
      <w:r w:rsidRPr="000B3455">
        <w:t>.2 Performance</w:t>
      </w:r>
      <w:bookmarkEnd w:id="59"/>
    </w:p>
    <w:p w:rsidR="001D5F43" w:rsidRPr="000B3455" w:rsidRDefault="001D5F43" w:rsidP="0088553E">
      <w:pPr>
        <w:spacing w:line="360" w:lineRule="auto"/>
        <w:jc w:val="both"/>
      </w:pPr>
      <w:r w:rsidRPr="000B3455">
        <w:t>The amount of stock options, shares, and bonus payments are dependent on predetermined performance measures. One of these might be the performance of the firm. In the study of Chalmers et al. (2006</w:t>
      </w:r>
      <w:r w:rsidR="00D56956" w:rsidRPr="000B3455">
        <w:t>,</w:t>
      </w:r>
      <w:r w:rsidRPr="000B3455">
        <w:t xml:space="preserve"> </w:t>
      </w:r>
      <w:r w:rsidR="00EB350F" w:rsidRPr="000B3455">
        <w:t>p</w:t>
      </w:r>
      <w:r w:rsidR="00C523A8" w:rsidRPr="000B3455">
        <w:t>p</w:t>
      </w:r>
      <w:r w:rsidR="00EB350F" w:rsidRPr="000B3455">
        <w:t xml:space="preserve">. </w:t>
      </w:r>
      <w:r w:rsidRPr="000B3455">
        <w:t>268-269) the firm performance, measured by return on assets, is positively related with all compensation forms, but shares. Kraakman (2010</w:t>
      </w:r>
      <w:r w:rsidR="00D56956" w:rsidRPr="000B3455">
        <w:t>,</w:t>
      </w:r>
      <w:r w:rsidRPr="000B3455">
        <w:t xml:space="preserve"> </w:t>
      </w:r>
      <w:r w:rsidR="00EB350F" w:rsidRPr="000B3455">
        <w:t>p</w:t>
      </w:r>
      <w:r w:rsidR="00C523A8" w:rsidRPr="000B3455">
        <w:t>p</w:t>
      </w:r>
      <w:r w:rsidR="00EB350F" w:rsidRPr="000B3455">
        <w:t xml:space="preserve">. </w:t>
      </w:r>
      <w:r w:rsidRPr="000B3455">
        <w:t>67-68) also measures performance by return on assets. She finds a positive association with stock option compensation. Feng &amp; Tian (2007</w:t>
      </w:r>
      <w:r w:rsidR="00D56956" w:rsidRPr="000B3455">
        <w:t>,</w:t>
      </w:r>
      <w:r w:rsidRPr="000B3455">
        <w:t xml:space="preserve"> </w:t>
      </w:r>
      <w:r w:rsidR="00EB350F" w:rsidRPr="000B3455">
        <w:t xml:space="preserve">p. </w:t>
      </w:r>
      <w:r w:rsidR="00D56956" w:rsidRPr="000B3455">
        <w:t xml:space="preserve">41) and Carter et al. (2007, </w:t>
      </w:r>
      <w:r w:rsidR="00EB350F" w:rsidRPr="000B3455">
        <w:t>p</w:t>
      </w:r>
      <w:r w:rsidR="00C523A8" w:rsidRPr="000B3455">
        <w:t>p</w:t>
      </w:r>
      <w:r w:rsidR="00EB350F" w:rsidRPr="000B3455">
        <w:t xml:space="preserve">. </w:t>
      </w:r>
      <w:r w:rsidRPr="000B3455">
        <w:t>341-343) found the past stock return is related to total compensation, and stock compen</w:t>
      </w:r>
      <w:r w:rsidR="00D56956" w:rsidRPr="000B3455">
        <w:t xml:space="preserve">sation. Feng and Tian (2007, </w:t>
      </w:r>
      <w:r w:rsidR="00EB350F" w:rsidRPr="000B3455">
        <w:t xml:space="preserve">p. </w:t>
      </w:r>
      <w:r w:rsidRPr="000B3455">
        <w:t>41) also found that past stock return is positively associated with cash compensation. In addition, Carter et al. (2007</w:t>
      </w:r>
      <w:r w:rsidR="00D56956" w:rsidRPr="000B3455">
        <w:t>,</w:t>
      </w:r>
      <w:r w:rsidRPr="000B3455">
        <w:t xml:space="preserve"> </w:t>
      </w:r>
      <w:r w:rsidR="00EB350F" w:rsidRPr="000B3455">
        <w:t>p</w:t>
      </w:r>
      <w:r w:rsidR="00C523A8" w:rsidRPr="000B3455">
        <w:t>p</w:t>
      </w:r>
      <w:r w:rsidR="00EB350F" w:rsidRPr="000B3455">
        <w:t xml:space="preserve">. </w:t>
      </w:r>
      <w:r w:rsidRPr="000B3455">
        <w:t>341-343) found that past stock returns are positively related to stock option compensation. However, they conclude that better performing firms use relatively more restricted stock compensation. Whereas Feng and Tian (2007</w:t>
      </w:r>
      <w:r w:rsidR="00D56956" w:rsidRPr="000B3455">
        <w:t>,</w:t>
      </w:r>
      <w:r w:rsidRPr="000B3455">
        <w:t xml:space="preserve"> </w:t>
      </w:r>
      <w:r w:rsidR="00EB350F" w:rsidRPr="000B3455">
        <w:t xml:space="preserve">p. </w:t>
      </w:r>
      <w:r w:rsidRPr="000B3455">
        <w:t xml:space="preserve">41) found a negative, but insignificant, relation. </w:t>
      </w:r>
    </w:p>
    <w:p w:rsidR="001D5F43" w:rsidRPr="000B3455" w:rsidRDefault="001D5F43" w:rsidP="0088553E">
      <w:pPr>
        <w:pStyle w:val="Heading3"/>
        <w:spacing w:line="360" w:lineRule="auto"/>
        <w:jc w:val="both"/>
      </w:pPr>
      <w:bookmarkStart w:id="60" w:name="_Toc298944570"/>
      <w:r w:rsidRPr="000B3455">
        <w:t>4.</w:t>
      </w:r>
      <w:r w:rsidR="0088553E">
        <w:t>4</w:t>
      </w:r>
      <w:r w:rsidRPr="000B3455">
        <w:t>.3 Risk</w:t>
      </w:r>
      <w:bookmarkEnd w:id="60"/>
    </w:p>
    <w:p w:rsidR="001D5F43" w:rsidRPr="000B3455" w:rsidRDefault="001D5F43" w:rsidP="0088553E">
      <w:pPr>
        <w:spacing w:line="360" w:lineRule="auto"/>
        <w:jc w:val="both"/>
      </w:pPr>
      <w:r w:rsidRPr="000B3455">
        <w:t>The resul</w:t>
      </w:r>
      <w:r w:rsidR="00D56956" w:rsidRPr="000B3455">
        <w:t xml:space="preserve">ts of Chalmers et al. (2006, </w:t>
      </w:r>
      <w:r w:rsidR="00EB350F" w:rsidRPr="000B3455">
        <w:t>p</w:t>
      </w:r>
      <w:r w:rsidR="00C523A8" w:rsidRPr="000B3455">
        <w:t>p</w:t>
      </w:r>
      <w:r w:rsidR="00EB350F" w:rsidRPr="000B3455">
        <w:t xml:space="preserve">. </w:t>
      </w:r>
      <w:r w:rsidRPr="000B3455">
        <w:t>268-269) and Feng and</w:t>
      </w:r>
      <w:r w:rsidR="00D56956" w:rsidRPr="000B3455">
        <w:t xml:space="preserve"> Tian (2007, </w:t>
      </w:r>
      <w:r w:rsidR="00EB350F" w:rsidRPr="000B3455">
        <w:t xml:space="preserve">p. </w:t>
      </w:r>
      <w:r w:rsidRPr="000B3455">
        <w:t>40) show that option compensation is more pervasive in riskier firms. For shares, however, Chalmers et al. (2006</w:t>
      </w:r>
      <w:r w:rsidR="00D56956" w:rsidRPr="000B3455">
        <w:t xml:space="preserve">, </w:t>
      </w:r>
      <w:r w:rsidR="00EB350F" w:rsidRPr="000B3455">
        <w:t>p</w:t>
      </w:r>
      <w:r w:rsidR="00C523A8" w:rsidRPr="000B3455">
        <w:t>p</w:t>
      </w:r>
      <w:r w:rsidR="00EB350F" w:rsidRPr="000B3455">
        <w:t xml:space="preserve">. </w:t>
      </w:r>
      <w:r w:rsidRPr="000B3455">
        <w:t>268-269) find the opposite relation. In both studies risk is measured by the standard deviation of the stock market return. However, the results in the study of Kraakman (2010</w:t>
      </w:r>
      <w:r w:rsidR="00D56956" w:rsidRPr="000B3455">
        <w:t>,</w:t>
      </w:r>
      <w:r w:rsidRPr="000B3455">
        <w:t xml:space="preserve"> </w:t>
      </w:r>
      <w:r w:rsidR="00EB350F" w:rsidRPr="000B3455">
        <w:t xml:space="preserve">p. </w:t>
      </w:r>
      <w:r w:rsidRPr="000B3455">
        <w:t>69) were not significant.</w:t>
      </w:r>
      <w:r w:rsidR="00E93555" w:rsidRPr="000B3455">
        <w:t xml:space="preserve"> Choudhary (2008, </w:t>
      </w:r>
      <w:r w:rsidR="00EB350F" w:rsidRPr="000B3455">
        <w:t xml:space="preserve">p. </w:t>
      </w:r>
      <w:r w:rsidR="00E93555" w:rsidRPr="000B3455">
        <w:t xml:space="preserve">43) used the volatility of the share price as a proxy for risk. His results indicated </w:t>
      </w:r>
      <w:r w:rsidR="00E93555" w:rsidRPr="000B3455">
        <w:lastRenderedPageBreak/>
        <w:t>that volatility is a significant determinant for both stock options and shares. According to Murphy (199</w:t>
      </w:r>
      <w:r w:rsidR="007A0CBE" w:rsidRPr="000B3455">
        <w:t>8</w:t>
      </w:r>
      <w:r w:rsidR="00E93555" w:rsidRPr="000B3455">
        <w:t xml:space="preserve">, </w:t>
      </w:r>
      <w:r w:rsidR="00EB350F" w:rsidRPr="000B3455">
        <w:t xml:space="preserve">p. </w:t>
      </w:r>
      <w:r w:rsidR="00E93555" w:rsidRPr="000B3455">
        <w:t>17) granted stock options provide incentives to executives to engage in riskier investments, as the fair value of stock options are positively related with the share price volatility.</w:t>
      </w:r>
    </w:p>
    <w:p w:rsidR="001D5F43" w:rsidRPr="000B3455" w:rsidRDefault="001D5F43" w:rsidP="0088553E">
      <w:pPr>
        <w:pStyle w:val="Heading3"/>
        <w:spacing w:line="360" w:lineRule="auto"/>
        <w:jc w:val="both"/>
      </w:pPr>
      <w:bookmarkStart w:id="61" w:name="_Toc298944571"/>
      <w:r w:rsidRPr="000B3455">
        <w:t>4.</w:t>
      </w:r>
      <w:r w:rsidR="0088553E">
        <w:t>4</w:t>
      </w:r>
      <w:r w:rsidRPr="000B3455">
        <w:t>.4 Growth opportunities</w:t>
      </w:r>
      <w:bookmarkEnd w:id="61"/>
    </w:p>
    <w:p w:rsidR="001D5F43" w:rsidRPr="000B3455" w:rsidRDefault="00D56956" w:rsidP="0088553E">
      <w:pPr>
        <w:spacing w:line="360" w:lineRule="auto"/>
        <w:jc w:val="both"/>
      </w:pPr>
      <w:r w:rsidRPr="000B3455">
        <w:t xml:space="preserve">Chalmers et al. (2006, </w:t>
      </w:r>
      <w:r w:rsidR="00EB350F" w:rsidRPr="000B3455">
        <w:t>p</w:t>
      </w:r>
      <w:r w:rsidR="00C523A8" w:rsidRPr="000B3455">
        <w:t>p</w:t>
      </w:r>
      <w:r w:rsidR="00EB350F" w:rsidRPr="000B3455">
        <w:t xml:space="preserve">. </w:t>
      </w:r>
      <w:r w:rsidRPr="000B3455">
        <w:t xml:space="preserve">268-269) and </w:t>
      </w:r>
      <w:r w:rsidR="00795E82" w:rsidRPr="000B3455">
        <w:t xml:space="preserve">Kraakman (2010, </w:t>
      </w:r>
      <w:r w:rsidR="00EB350F" w:rsidRPr="000B3455">
        <w:t xml:space="preserve">p. </w:t>
      </w:r>
      <w:r w:rsidR="00795E82" w:rsidRPr="000B3455">
        <w:t>67</w:t>
      </w:r>
      <w:r w:rsidR="001D5F43" w:rsidRPr="000B3455">
        <w:t>) found that growth opportunities, in both studies represented by the market to book ratio, is positively related to option compensation. In addition, Chalmers et al. (2006</w:t>
      </w:r>
      <w:r w:rsidRPr="000B3455">
        <w:t>,</w:t>
      </w:r>
      <w:r w:rsidR="001D5F43" w:rsidRPr="000B3455">
        <w:t xml:space="preserve"> </w:t>
      </w:r>
      <w:r w:rsidR="00EB350F" w:rsidRPr="000B3455">
        <w:t>p</w:t>
      </w:r>
      <w:r w:rsidR="00C523A8" w:rsidRPr="000B3455">
        <w:t>p</w:t>
      </w:r>
      <w:r w:rsidR="00EB350F" w:rsidRPr="000B3455">
        <w:t xml:space="preserve">. </w:t>
      </w:r>
      <w:r w:rsidR="001D5F43" w:rsidRPr="000B3455">
        <w:t>268-269) found that shares, and total compensation are also positively associated with growth opportunities. Whereas it should be noted that the total compensation is also dependent on options and shares granted. They provide two explanations. First, granting stock compensation should tackle monitoring problems that arise when management uses private information for investment decisions. Second, high growth opportunity companies have less cash, and, therefore, use stock option and shares as compensation more often. This is consistent with the finding</w:t>
      </w:r>
      <w:r w:rsidR="00650EF9" w:rsidRPr="000B3455">
        <w:t>s</w:t>
      </w:r>
      <w:r w:rsidR="001D5F43" w:rsidRPr="000B3455">
        <w:t xml:space="preserve"> of Core and Guay (2001</w:t>
      </w:r>
      <w:r w:rsidRPr="000B3455">
        <w:t>,</w:t>
      </w:r>
      <w:r w:rsidR="001D5F43" w:rsidRPr="000B3455">
        <w:t xml:space="preserve"> </w:t>
      </w:r>
      <w:r w:rsidR="00EB350F" w:rsidRPr="000B3455">
        <w:t xml:space="preserve">p. </w:t>
      </w:r>
      <w:r w:rsidR="001D5F43" w:rsidRPr="000B3455">
        <w:t>275) that companies with cash constraints use stock option compensation relatively more.</w:t>
      </w:r>
      <w:r w:rsidR="00650EF9" w:rsidRPr="000B3455">
        <w:t xml:space="preserve"> Bryan et al. (2000, p. 684) argue that shares are not as efficient as stock options for firms with growth opportunities. </w:t>
      </w:r>
    </w:p>
    <w:p w:rsidR="001D5F43" w:rsidRPr="000B3455" w:rsidRDefault="001D5F43" w:rsidP="0088553E">
      <w:pPr>
        <w:pStyle w:val="Heading3"/>
        <w:spacing w:line="360" w:lineRule="auto"/>
        <w:jc w:val="both"/>
      </w:pPr>
      <w:bookmarkStart w:id="62" w:name="_Toc298944572"/>
      <w:r w:rsidRPr="000B3455">
        <w:t>4.</w:t>
      </w:r>
      <w:r w:rsidR="0088553E">
        <w:t>4</w:t>
      </w:r>
      <w:r w:rsidRPr="000B3455">
        <w:t>.5 Corporate Governance</w:t>
      </w:r>
      <w:bookmarkEnd w:id="62"/>
    </w:p>
    <w:p w:rsidR="001D5F43" w:rsidRPr="000B3455" w:rsidRDefault="00D56956" w:rsidP="0088553E">
      <w:pPr>
        <w:spacing w:line="360" w:lineRule="auto"/>
        <w:jc w:val="both"/>
      </w:pPr>
      <w:r w:rsidRPr="000B3455">
        <w:t xml:space="preserve">Chalmers et al. (2006, </w:t>
      </w:r>
      <w:r w:rsidR="00EB350F" w:rsidRPr="000B3455">
        <w:t>p</w:t>
      </w:r>
      <w:r w:rsidR="00C523A8" w:rsidRPr="000B3455">
        <w:t>p</w:t>
      </w:r>
      <w:r w:rsidR="00EB350F" w:rsidRPr="000B3455">
        <w:t xml:space="preserve">. </w:t>
      </w:r>
      <w:r w:rsidR="001D5F43" w:rsidRPr="000B3455">
        <w:t>264-269) examine the influence of different factors of governance on compensation. These factors include whether the CEO is the chairman of the board of directors, board size, non-executive directors, non-executive directors with related party transactions, and whether the firm has appointed a remuneration committee. They found that board size is positively related to total compensation, fixed salary, and bonus payments. In addition, the number of non-executives with related party transactions is negatively related to fixed salary, but positively related to bonuses. The appointment of a remuneration committee would have a positive effect on stock option compensation, but has a negative relation to shares.</w:t>
      </w:r>
    </w:p>
    <w:p w:rsidR="001D5F43" w:rsidRPr="000B3455" w:rsidRDefault="001D5F43" w:rsidP="0088553E">
      <w:pPr>
        <w:pStyle w:val="Heading3"/>
        <w:spacing w:line="360" w:lineRule="auto"/>
        <w:jc w:val="both"/>
      </w:pPr>
      <w:bookmarkStart w:id="63" w:name="_Toc298944573"/>
      <w:r w:rsidRPr="000B3455">
        <w:t>4.</w:t>
      </w:r>
      <w:r w:rsidR="0088553E">
        <w:t>4</w:t>
      </w:r>
      <w:r w:rsidRPr="000B3455">
        <w:t>.6 Financial constraints</w:t>
      </w:r>
      <w:bookmarkEnd w:id="63"/>
    </w:p>
    <w:p w:rsidR="001D5F43" w:rsidRPr="000B3455" w:rsidRDefault="001D5F43" w:rsidP="0088553E">
      <w:pPr>
        <w:spacing w:line="360" w:lineRule="auto"/>
        <w:jc w:val="both"/>
      </w:pPr>
      <w:r w:rsidRPr="000B3455">
        <w:t>Core and Guay (2001) investigated stock option compensation for non-executive employees. They state that firms with financial constraints grant non-executives with stock options more relative to other companies as a means of internal financing. The same applies for stock option compensation for CEOs. According to Yermack (1995</w:t>
      </w:r>
      <w:r w:rsidR="00D56956" w:rsidRPr="000B3455">
        <w:t>,</w:t>
      </w:r>
      <w:r w:rsidRPr="000B3455">
        <w:t xml:space="preserve"> </w:t>
      </w:r>
      <w:r w:rsidR="00EB350F" w:rsidRPr="000B3455">
        <w:t>p</w:t>
      </w:r>
      <w:r w:rsidR="00C523A8" w:rsidRPr="000B3455">
        <w:t>p</w:t>
      </w:r>
      <w:r w:rsidR="00EB350F" w:rsidRPr="000B3455">
        <w:t xml:space="preserve">. </w:t>
      </w:r>
      <w:r w:rsidRPr="000B3455">
        <w:t>24-25)</w:t>
      </w:r>
      <w:r w:rsidR="003D4C0F" w:rsidRPr="000B3455">
        <w:t>, Bryan et al. (2000, p. 663)</w:t>
      </w:r>
      <w:r w:rsidRPr="000B3455">
        <w:t xml:space="preserve"> and Feng and Tian (2007</w:t>
      </w:r>
      <w:r w:rsidR="00D56956" w:rsidRPr="000B3455">
        <w:t>,</w:t>
      </w:r>
      <w:r w:rsidRPr="000B3455">
        <w:t xml:space="preserve"> </w:t>
      </w:r>
      <w:r w:rsidR="00EB350F" w:rsidRPr="000B3455">
        <w:t xml:space="preserve">p. </w:t>
      </w:r>
      <w:r w:rsidRPr="000B3455">
        <w:t xml:space="preserve">41) companies facing liquidity constraints use relatively more stock options as remuneration for CEOs. Kadan and Swinkels (2008) found a relation between several proxies for default risk and the probability </w:t>
      </w:r>
      <w:r w:rsidRPr="000B3455">
        <w:lastRenderedPageBreak/>
        <w:t xml:space="preserve">of using specific forms of compensation for a panel of American firms. Companies with signs indicating a high likelihood of bankruptcy will make relatively greater use of </w:t>
      </w:r>
      <w:r w:rsidR="00596D60" w:rsidRPr="000B3455">
        <w:t>share</w:t>
      </w:r>
      <w:r w:rsidRPr="000B3455">
        <w:t xml:space="preserve"> compensation. Eventually, when they have emerged from the risk of bankruptcy, they will use stock option compensation more intensively. However, the studies of Carter et al. (2007</w:t>
      </w:r>
      <w:r w:rsidR="00D56956" w:rsidRPr="000B3455">
        <w:t>,</w:t>
      </w:r>
      <w:r w:rsidRPr="000B3455">
        <w:t xml:space="preserve"> </w:t>
      </w:r>
      <w:r w:rsidR="00EB350F" w:rsidRPr="000B3455">
        <w:t>p</w:t>
      </w:r>
      <w:r w:rsidR="00C523A8" w:rsidRPr="000B3455">
        <w:t>p</w:t>
      </w:r>
      <w:r w:rsidR="00EB350F" w:rsidRPr="000B3455">
        <w:t xml:space="preserve">. </w:t>
      </w:r>
      <w:r w:rsidRPr="000B3455">
        <w:t>341-343) and Kraakman (2010</w:t>
      </w:r>
      <w:r w:rsidR="00D56956" w:rsidRPr="000B3455">
        <w:t>,</w:t>
      </w:r>
      <w:r w:rsidRPr="000B3455">
        <w:t xml:space="preserve"> </w:t>
      </w:r>
      <w:r w:rsidR="00EB350F" w:rsidRPr="000B3455">
        <w:t>p</w:t>
      </w:r>
      <w:r w:rsidR="00C523A8" w:rsidRPr="000B3455">
        <w:t>p</w:t>
      </w:r>
      <w:r w:rsidR="00EB350F" w:rsidRPr="000B3455">
        <w:t xml:space="preserve">. </w:t>
      </w:r>
      <w:r w:rsidRPr="000B3455">
        <w:t>68-69) found no significant relationships.</w:t>
      </w:r>
    </w:p>
    <w:p w:rsidR="001D5F43" w:rsidRPr="000B3455" w:rsidRDefault="001D5F43" w:rsidP="0088553E">
      <w:pPr>
        <w:pStyle w:val="Heading3"/>
        <w:spacing w:line="360" w:lineRule="auto"/>
        <w:jc w:val="both"/>
      </w:pPr>
      <w:bookmarkStart w:id="64" w:name="_Toc298944574"/>
      <w:r w:rsidRPr="000B3455">
        <w:t>4.</w:t>
      </w:r>
      <w:r w:rsidR="0088553E">
        <w:t>4</w:t>
      </w:r>
      <w:r w:rsidRPr="000B3455">
        <w:t>.7 Industries</w:t>
      </w:r>
      <w:bookmarkEnd w:id="64"/>
    </w:p>
    <w:p w:rsidR="001D5F43" w:rsidRPr="000B3455" w:rsidRDefault="001D5F43" w:rsidP="0088553E">
      <w:pPr>
        <w:spacing w:line="360" w:lineRule="auto"/>
        <w:jc w:val="both"/>
      </w:pPr>
      <w:r w:rsidRPr="000B3455">
        <w:t>Murphy (199</w:t>
      </w:r>
      <w:r w:rsidR="007A0CBE" w:rsidRPr="000B3455">
        <w:t>8</w:t>
      </w:r>
      <w:r w:rsidR="00D56956" w:rsidRPr="000B3455">
        <w:t>,</w:t>
      </w:r>
      <w:r w:rsidRPr="000B3455">
        <w:t xml:space="preserve"> </w:t>
      </w:r>
      <w:r w:rsidR="00EB350F" w:rsidRPr="000B3455">
        <w:t>p</w:t>
      </w:r>
      <w:r w:rsidR="00C523A8" w:rsidRPr="000B3455">
        <w:t>p</w:t>
      </w:r>
      <w:r w:rsidR="00EB350F" w:rsidRPr="000B3455">
        <w:t xml:space="preserve">. </w:t>
      </w:r>
      <w:r w:rsidRPr="000B3455">
        <w:t>5-6) and Yermack (1995</w:t>
      </w:r>
      <w:r w:rsidR="00D56956" w:rsidRPr="000B3455">
        <w:t>,</w:t>
      </w:r>
      <w:r w:rsidRPr="000B3455">
        <w:t xml:space="preserve"> </w:t>
      </w:r>
      <w:r w:rsidR="00EB350F" w:rsidRPr="000B3455">
        <w:t xml:space="preserve">p. </w:t>
      </w:r>
      <w:r w:rsidRPr="000B3455">
        <w:t xml:space="preserve">20) found that pay levels are dependent on industries. They found that in regulated industries the level of CEO pay is lower, and stock option compensation is used less intensively. </w:t>
      </w:r>
    </w:p>
    <w:p w:rsidR="001D5F43" w:rsidRPr="000B3455" w:rsidRDefault="001D5F43" w:rsidP="0088553E">
      <w:pPr>
        <w:pStyle w:val="Heading3"/>
        <w:spacing w:line="360" w:lineRule="auto"/>
        <w:jc w:val="both"/>
      </w:pPr>
      <w:bookmarkStart w:id="65" w:name="_Toc298944575"/>
      <w:r w:rsidRPr="000B3455">
        <w:t>4.</w:t>
      </w:r>
      <w:r w:rsidR="0088553E">
        <w:t>4</w:t>
      </w:r>
      <w:r w:rsidRPr="000B3455">
        <w:t>.8 Ownership</w:t>
      </w:r>
      <w:bookmarkEnd w:id="65"/>
    </w:p>
    <w:p w:rsidR="001D5F43" w:rsidRPr="000B3455" w:rsidRDefault="001D5F43" w:rsidP="0088553E">
      <w:pPr>
        <w:spacing w:line="360" w:lineRule="auto"/>
        <w:jc w:val="both"/>
      </w:pPr>
      <w:r w:rsidRPr="000B3455">
        <w:t>The stu</w:t>
      </w:r>
      <w:r w:rsidR="00D56956" w:rsidRPr="000B3455">
        <w:t xml:space="preserve">dy of Chalmers et al. (2006, </w:t>
      </w:r>
      <w:r w:rsidR="00EB350F" w:rsidRPr="000B3455">
        <w:t>p</w:t>
      </w:r>
      <w:r w:rsidR="00C523A8" w:rsidRPr="000B3455">
        <w:t>p</w:t>
      </w:r>
      <w:r w:rsidR="00EB350F" w:rsidRPr="000B3455">
        <w:t xml:space="preserve">. </w:t>
      </w:r>
      <w:r w:rsidRPr="000B3455">
        <w:t>268-270) show that the percentage of the shareholding of the CEO is negatively related to all forms of compensation, except for shares, which are positively associated. They suggest that it is caused by the existing alignment effects. When a CEO has a higher stake in the shares of the company his interests will be automatically aligned with those of the other shareholders. Inconsistent with this view, Yermack (1995</w:t>
      </w:r>
      <w:r w:rsidR="00D56956" w:rsidRPr="000B3455">
        <w:t>,</w:t>
      </w:r>
      <w:r w:rsidRPr="000B3455">
        <w:t xml:space="preserve"> </w:t>
      </w:r>
      <w:r w:rsidR="00EB350F" w:rsidRPr="000B3455">
        <w:t>p</w:t>
      </w:r>
      <w:r w:rsidR="00C523A8" w:rsidRPr="000B3455">
        <w:t>p</w:t>
      </w:r>
      <w:r w:rsidR="00EB350F" w:rsidRPr="000B3455">
        <w:t xml:space="preserve">. </w:t>
      </w:r>
      <w:r w:rsidRPr="000B3455">
        <w:t xml:space="preserve">20-21) found that the percentage of shares owned by CEOs is not significantly related to stock option compensation in the United States. In the Netherlands, </w:t>
      </w:r>
      <w:r w:rsidR="00D56956" w:rsidRPr="000B3455">
        <w:t xml:space="preserve">the study of Kraakman (2010, </w:t>
      </w:r>
      <w:r w:rsidR="00EB350F" w:rsidRPr="000B3455">
        <w:t xml:space="preserve">p. </w:t>
      </w:r>
      <w:r w:rsidRPr="000B3455">
        <w:t>69) shows that ownership of the CEO is also not significant in the Netherlands.</w:t>
      </w:r>
    </w:p>
    <w:p w:rsidR="00D65A3B" w:rsidRPr="000B3455" w:rsidRDefault="00D65A3B" w:rsidP="0088553E">
      <w:pPr>
        <w:pStyle w:val="Heading3"/>
        <w:spacing w:line="360" w:lineRule="auto"/>
        <w:jc w:val="both"/>
      </w:pPr>
      <w:bookmarkStart w:id="66" w:name="_Toc298944576"/>
      <w:r w:rsidRPr="000B3455">
        <w:t>4.</w:t>
      </w:r>
      <w:r w:rsidR="0088553E">
        <w:t>4</w:t>
      </w:r>
      <w:r w:rsidRPr="000B3455">
        <w:t>.9 Insignificant variables</w:t>
      </w:r>
      <w:bookmarkEnd w:id="66"/>
    </w:p>
    <w:p w:rsidR="00D65A3B" w:rsidRPr="000B3455" w:rsidRDefault="00D65A3B" w:rsidP="0088553E">
      <w:pPr>
        <w:spacing w:line="360" w:lineRule="auto"/>
        <w:jc w:val="both"/>
      </w:pPr>
      <w:r w:rsidRPr="000B3455">
        <w:t>This section elaborates on which variables that are investigated in previous studies turned out to be insignificant</w:t>
      </w:r>
      <w:r w:rsidR="00F27A2B" w:rsidRPr="000B3455">
        <w:t xml:space="preserve"> (</w:t>
      </w:r>
      <w:r w:rsidR="00F27A2B" w:rsidRPr="000B3455">
        <w:rPr>
          <w:rFonts w:cstheme="minorHAnsi"/>
        </w:rPr>
        <w:t>α</w:t>
      </w:r>
      <w:r w:rsidR="00F27A2B" w:rsidRPr="000B3455">
        <w:t xml:space="preserve"> = 5%)</w:t>
      </w:r>
      <w:r w:rsidRPr="000B3455">
        <w:t xml:space="preserve"> or are not prevalent. As these insignificant variables are considered to be irrelevant in determining compensation, these variables will not be used in the research model. </w:t>
      </w:r>
      <w:r w:rsidR="00347F2B" w:rsidRPr="000B3455">
        <w:t>As a small sample implies a small selection of control variables, the least prevalent ones are not included in the research model.</w:t>
      </w:r>
    </w:p>
    <w:p w:rsidR="00D65A3B" w:rsidRPr="000B3455" w:rsidRDefault="00AF2001" w:rsidP="0088553E">
      <w:pPr>
        <w:spacing w:line="360" w:lineRule="auto"/>
        <w:jc w:val="both"/>
      </w:pPr>
      <w:r w:rsidRPr="000B3455">
        <w:t xml:space="preserve">Kraakman (2010, </w:t>
      </w:r>
      <w:r w:rsidR="00EB350F" w:rsidRPr="000B3455">
        <w:t>p</w:t>
      </w:r>
      <w:r w:rsidR="00C523A8" w:rsidRPr="000B3455">
        <w:t>p</w:t>
      </w:r>
      <w:r w:rsidR="00EB350F" w:rsidRPr="000B3455">
        <w:t xml:space="preserve">. </w:t>
      </w:r>
      <w:r w:rsidRPr="000B3455">
        <w:t>68</w:t>
      </w:r>
      <w:r w:rsidR="00795E82" w:rsidRPr="000B3455">
        <w:t>-69</w:t>
      </w:r>
      <w:r w:rsidRPr="000B3455">
        <w:t xml:space="preserve">), and Feng </w:t>
      </w:r>
      <w:r w:rsidR="00E62EA8" w:rsidRPr="000B3455">
        <w:t>and</w:t>
      </w:r>
      <w:r w:rsidRPr="000B3455">
        <w:t xml:space="preserve"> Tian (2007, </w:t>
      </w:r>
      <w:r w:rsidR="00EB350F" w:rsidRPr="000B3455">
        <w:t xml:space="preserve">p. </w:t>
      </w:r>
      <w:r w:rsidRPr="000B3455">
        <w:t>40)</w:t>
      </w:r>
      <w:r w:rsidR="00E62EA8" w:rsidRPr="000B3455">
        <w:t xml:space="preserve"> </w:t>
      </w:r>
      <w:r w:rsidRPr="000B3455">
        <w:t>found that leverage is an insignificant determinant</w:t>
      </w:r>
      <w:r w:rsidR="00E62EA8" w:rsidRPr="000B3455">
        <w:t xml:space="preserve"> for comp</w:t>
      </w:r>
      <w:r w:rsidR="00795E82" w:rsidRPr="000B3455">
        <w:t xml:space="preserve">ensation, as well as CEO tenure. </w:t>
      </w:r>
      <w:r w:rsidR="00C62DDF" w:rsidRPr="000B3455">
        <w:t xml:space="preserve">The results of Choudhary (2008, </w:t>
      </w:r>
      <w:r w:rsidR="00EB350F" w:rsidRPr="000B3455">
        <w:t xml:space="preserve">p. </w:t>
      </w:r>
      <w:r w:rsidR="00C62DDF" w:rsidRPr="000B3455">
        <w:t>4</w:t>
      </w:r>
      <w:r w:rsidR="00F27A2B" w:rsidRPr="000B3455">
        <w:t>7</w:t>
      </w:r>
      <w:r w:rsidR="00C62DDF" w:rsidRPr="000B3455">
        <w:t>) showed that dividend constraints</w:t>
      </w:r>
      <w:r w:rsidR="00F27A2B" w:rsidRPr="000B3455">
        <w:t xml:space="preserve">, </w:t>
      </w:r>
      <w:r w:rsidR="00F0093F" w:rsidRPr="000B3455">
        <w:t xml:space="preserve">and </w:t>
      </w:r>
      <w:r w:rsidR="00F27A2B" w:rsidRPr="000B3455">
        <w:t>net operating loss</w:t>
      </w:r>
      <w:r w:rsidR="00C62DDF" w:rsidRPr="000B3455">
        <w:t xml:space="preserve"> are not explaining the value of remuneration</w:t>
      </w:r>
      <w:r w:rsidR="00F27A2B" w:rsidRPr="000B3455">
        <w:t xml:space="preserve"> at a significance level of 5%</w:t>
      </w:r>
      <w:r w:rsidR="00C62DDF" w:rsidRPr="000B3455">
        <w:t>.</w:t>
      </w:r>
      <w:r w:rsidR="00F27A2B" w:rsidRPr="000B3455">
        <w:t xml:space="preserve"> </w:t>
      </w:r>
      <w:r w:rsidR="00F47D68" w:rsidRPr="000B3455">
        <w:t xml:space="preserve">Other variables like the deviation from optimal incentive level and equity constraints </w:t>
      </w:r>
      <w:r w:rsidR="00347F2B" w:rsidRPr="000B3455">
        <w:t>are only investigated in the study of Carter et al. (2007), and are, therefore, not considered to be prevalent enough to also incorporate those variables.</w:t>
      </w:r>
    </w:p>
    <w:p w:rsidR="001D5F43" w:rsidRPr="000B3455" w:rsidRDefault="00D65A3B" w:rsidP="0088553E">
      <w:pPr>
        <w:pStyle w:val="Heading3"/>
        <w:spacing w:line="360" w:lineRule="auto"/>
        <w:jc w:val="both"/>
      </w:pPr>
      <w:bookmarkStart w:id="67" w:name="_Toc298944577"/>
      <w:r w:rsidRPr="000B3455">
        <w:lastRenderedPageBreak/>
        <w:t>4.</w:t>
      </w:r>
      <w:r w:rsidR="0088553E">
        <w:t>4</w:t>
      </w:r>
      <w:r w:rsidRPr="000B3455">
        <w:t>.10</w:t>
      </w:r>
      <w:r w:rsidR="001D5F43" w:rsidRPr="000B3455">
        <w:t xml:space="preserve"> Conclusion</w:t>
      </w:r>
      <w:bookmarkEnd w:id="67"/>
    </w:p>
    <w:p w:rsidR="001D5F43" w:rsidRPr="000B3455" w:rsidRDefault="001D5F43" w:rsidP="0088553E">
      <w:pPr>
        <w:spacing w:line="360" w:lineRule="auto"/>
        <w:jc w:val="both"/>
      </w:pPr>
      <w:r w:rsidRPr="000B3455">
        <w:t>According to the findings of existing literature as discussed in this section, the level of compensation is dependent on several determinants. Size and growth opportunities belong to the most prevalent determinants. In all studies discussed in this section, both size and growth opportunities are positively related to compensation. The results of performance and risk are both contradicted by one study. The corporate governance indicates that board size is positively related to compensation forms. The board size might be a proxy for the complexity of a firm, which might indicate that directors of more complex firms are granted with higher remuneration. There is mixed evidence on financial constraints and ownership structure as determinants for compensation.</w:t>
      </w:r>
      <w:r w:rsidR="00596D60" w:rsidRPr="000B3455">
        <w:t xml:space="preserve"> </w:t>
      </w:r>
      <w:r w:rsidRPr="000B3455">
        <w:t>Different industries are a significant determinant for compensation. The determinants found in this section will form the basis for the development of the research model, as it will be discussed in the next chapter.</w:t>
      </w:r>
    </w:p>
    <w:p w:rsidR="001D5F43" w:rsidRPr="000B3455" w:rsidRDefault="001D5F43" w:rsidP="0088553E">
      <w:pPr>
        <w:spacing w:line="360" w:lineRule="auto"/>
        <w:jc w:val="both"/>
      </w:pPr>
      <w:r w:rsidRPr="000B3455">
        <w:br w:type="page"/>
      </w:r>
    </w:p>
    <w:p w:rsidR="001D5F43" w:rsidRPr="000B3455" w:rsidRDefault="001D5F43" w:rsidP="00ED7148">
      <w:pPr>
        <w:pStyle w:val="Kop1Thesis"/>
      </w:pPr>
      <w:bookmarkStart w:id="68" w:name="_Toc298944578"/>
      <w:r w:rsidRPr="000B3455">
        <w:lastRenderedPageBreak/>
        <w:t xml:space="preserve">Chapter 5: Research </w:t>
      </w:r>
      <w:r w:rsidR="009F7BFF">
        <w:t>d</w:t>
      </w:r>
      <w:r w:rsidRPr="000B3455">
        <w:t>esign</w:t>
      </w:r>
      <w:bookmarkEnd w:id="68"/>
    </w:p>
    <w:p w:rsidR="001D5F43" w:rsidRPr="000B3455" w:rsidRDefault="00A62D2C" w:rsidP="0088553E">
      <w:pPr>
        <w:spacing w:line="360" w:lineRule="auto"/>
        <w:jc w:val="both"/>
      </w:pPr>
      <w:r>
        <w:br/>
      </w:r>
      <w:r w:rsidR="001D5F43" w:rsidRPr="000B3455">
        <w:t>The literature review in the previous section does not provide a clear answer to the research question, as formulated in the introduction of this thesis</w:t>
      </w:r>
      <w:r w:rsidR="00596D60" w:rsidRPr="000B3455">
        <w:t xml:space="preserve">: </w:t>
      </w:r>
      <w:r w:rsidR="00596D60" w:rsidRPr="000B3455">
        <w:rPr>
          <w:rFonts w:cstheme="minorHAnsi"/>
          <w:i/>
        </w:rPr>
        <w:t xml:space="preserve">Has IFRS 2 caused a substitution from stock option compensation to other forms of compensation for Dutch-listed companies? </w:t>
      </w:r>
      <w:r w:rsidR="00596D60" w:rsidRPr="000B3455">
        <w:t>It can be</w:t>
      </w:r>
      <w:r w:rsidR="001D5F43" w:rsidRPr="000B3455">
        <w:t xml:space="preserve"> concluded that the mandatory adoption of the fair value method for stock option compensation caused a substitution from stock options to restricted stock to compensate employees</w:t>
      </w:r>
      <w:r w:rsidR="00E21A75" w:rsidRPr="000B3455">
        <w:t xml:space="preserve"> in the United States</w:t>
      </w:r>
      <w:r w:rsidR="001D5F43" w:rsidRPr="000B3455">
        <w:t xml:space="preserve">. These results can, however, not be generalized to the Dutch institutional setting, as appeared from chapter 3. In conducting a specific research to the substitution from stock option to other forms of compensation the research design of this empirical research is discussed here. </w:t>
      </w:r>
      <w:r w:rsidR="001D4378" w:rsidRPr="000B3455">
        <w:t>F</w:t>
      </w:r>
      <w:r w:rsidR="001D5F43" w:rsidRPr="000B3455">
        <w:t xml:space="preserve">irst the hypothesis of my empirical research is stated. The second section elaborates on the sample items and period. In the third section a new research model is developed, since the previously discussed models do not qualify to be used in this research. </w:t>
      </w:r>
    </w:p>
    <w:p w:rsidR="001D5F43" w:rsidRPr="000B3455" w:rsidRDefault="001D5F43" w:rsidP="0088553E">
      <w:pPr>
        <w:pStyle w:val="Heading2"/>
        <w:spacing w:line="360" w:lineRule="auto"/>
        <w:jc w:val="both"/>
      </w:pPr>
      <w:bookmarkStart w:id="69" w:name="_Toc298944579"/>
      <w:r w:rsidRPr="000B3455">
        <w:t>5.1 Hypotheses development</w:t>
      </w:r>
      <w:bookmarkEnd w:id="69"/>
    </w:p>
    <w:p w:rsidR="001D5F43" w:rsidRPr="000B3455" w:rsidRDefault="001D5F43" w:rsidP="0088553E">
      <w:pPr>
        <w:spacing w:line="360" w:lineRule="auto"/>
        <w:jc w:val="both"/>
        <w:rPr>
          <w:rFonts w:cstheme="minorHAnsi"/>
        </w:rPr>
      </w:pPr>
      <w:r w:rsidRPr="000B3455">
        <w:t>The studies of Feng and Tian (2007), Carter et al. (2007), Brown and Lee (2007), and Choudhary (2008) indicate that (voluntary and mandatory) expensing of stock options has caused a decrease in the level of stock option compensation. In the period 2002-2007 the accounting treatment of other forms of compensation (e.g. restricted stock, cash, and bonuses) ha</w:t>
      </w:r>
      <w:r w:rsidR="001D4378" w:rsidRPr="000B3455">
        <w:t>s</w:t>
      </w:r>
      <w:r w:rsidRPr="000B3455">
        <w:t xml:space="preserve"> not changed in the United States </w:t>
      </w:r>
      <w:r w:rsidRPr="000B3455">
        <w:rPr>
          <w:rFonts w:cstheme="minorHAnsi"/>
        </w:rPr>
        <w:t>(Brown and Lee</w:t>
      </w:r>
      <w:r w:rsidR="00502BB0" w:rsidRPr="000B3455">
        <w:rPr>
          <w:rFonts w:cstheme="minorHAnsi"/>
        </w:rPr>
        <w:t>, 2</w:t>
      </w:r>
      <w:r w:rsidRPr="000B3455">
        <w:rPr>
          <w:rFonts w:cstheme="minorHAnsi"/>
        </w:rPr>
        <w:t>007</w:t>
      </w:r>
      <w:r w:rsidR="0096665C" w:rsidRPr="000B3455">
        <w:rPr>
          <w:rFonts w:cstheme="minorHAnsi"/>
        </w:rPr>
        <w:t>,</w:t>
      </w:r>
      <w:r w:rsidRPr="000B3455">
        <w:rPr>
          <w:rFonts w:cstheme="minorHAnsi"/>
        </w:rPr>
        <w:t xml:space="preserve"> </w:t>
      </w:r>
      <w:r w:rsidR="00EB350F" w:rsidRPr="000B3455">
        <w:rPr>
          <w:rFonts w:cstheme="minorHAnsi"/>
        </w:rPr>
        <w:t xml:space="preserve">p. </w:t>
      </w:r>
      <w:r w:rsidRPr="000B3455">
        <w:rPr>
          <w:rFonts w:cstheme="minorHAnsi"/>
        </w:rPr>
        <w:t xml:space="preserve"> 5)</w:t>
      </w:r>
      <w:r w:rsidRPr="000B3455">
        <w:t xml:space="preserve">. The situation in the U.S. made it ideal to study the effect of the introduction of mandatory expensing of the fair value of stock options in 2005. Additionally, the findings </w:t>
      </w:r>
      <w:r w:rsidR="001D4378" w:rsidRPr="000B3455">
        <w:t xml:space="preserve">of </w:t>
      </w:r>
      <w:r w:rsidRPr="000B3455">
        <w:t xml:space="preserve">Carter et al. (2007), Brown and Lee (2007), and Choudhary (2008) provide evidence that the composition of remuneration has changed since the introduction of SFAS 123 (R) in 2005. All three found that stock option compensation has been substituted for by restricted stock compensation. Mandatory expensing of the fair value of stock options by the introduction of SFAS 123 (R) is held accountable for this shift in composition of remuneration. </w:t>
      </w:r>
      <w:r w:rsidRPr="000B3455">
        <w:rPr>
          <w:rFonts w:cstheme="minorHAnsi"/>
        </w:rPr>
        <w:t>Hall and Murphy (200</w:t>
      </w:r>
      <w:r w:rsidR="00795E82" w:rsidRPr="000B3455">
        <w:rPr>
          <w:rFonts w:cstheme="minorHAnsi"/>
        </w:rPr>
        <w:t>3</w:t>
      </w:r>
      <w:r w:rsidRPr="000B3455">
        <w:rPr>
          <w:rFonts w:cstheme="minorHAnsi"/>
        </w:rPr>
        <w:t xml:space="preserve">) say that in theory restricted stock compensation is preferred to stock option compensation. They suggest that the favorable accounting treatment of stock options before 2005 has made stock options a more preferable form of compensation. In 2005 the extra benefit of stock option (i.e. recognition of intrinsic value) </w:t>
      </w:r>
      <w:r w:rsidR="0096665C" w:rsidRPr="000B3455">
        <w:rPr>
          <w:rFonts w:cstheme="minorHAnsi"/>
        </w:rPr>
        <w:t>was disposed</w:t>
      </w:r>
      <w:r w:rsidRPr="000B3455">
        <w:rPr>
          <w:rFonts w:cstheme="minorHAnsi"/>
        </w:rPr>
        <w:t xml:space="preserve"> with the introduction of SFAS 123 (R), involving the costs of stock options should outweigh the benefits in theory. Accordingly, stock option compensation has been substituted by restricted stock. </w:t>
      </w:r>
    </w:p>
    <w:p w:rsidR="001D5F43" w:rsidRPr="000B3455" w:rsidRDefault="001D5F43" w:rsidP="0088553E">
      <w:pPr>
        <w:spacing w:line="360" w:lineRule="auto"/>
        <w:jc w:val="both"/>
        <w:rPr>
          <w:rFonts w:cstheme="minorHAnsi"/>
        </w:rPr>
      </w:pPr>
      <w:r w:rsidRPr="000B3455">
        <w:rPr>
          <w:rFonts w:cstheme="minorHAnsi"/>
        </w:rPr>
        <w:lastRenderedPageBreak/>
        <w:t xml:space="preserve">The setting in the Netherlands is different </w:t>
      </w:r>
      <w:r w:rsidR="00E21A75" w:rsidRPr="000B3455">
        <w:rPr>
          <w:rFonts w:cstheme="minorHAnsi"/>
        </w:rPr>
        <w:t>compared to</w:t>
      </w:r>
      <w:r w:rsidRPr="000B3455">
        <w:rPr>
          <w:rFonts w:cstheme="minorHAnsi"/>
        </w:rPr>
        <w:t xml:space="preserve"> the setting in the United States. In the period before 2005 Dutch-listed companies had to comply with Dutch GAAP, and since 2005 with IFRS. As stated in chapter 3, Dutch GAAP required the adoption of the intrinsic value method for stock option compensation, similar to US GAAP. IFRS 2, in accordance with SFAS 123 (R), requires that the fair value method to account for stock option compensation should be applied. The intrinsic value method is seen as a more favorable method, as the recognized compensation cost can easily be determined at null, implying no impact on the profit and loss account. Whereas, the application of the fair value method for stock options will always show costs in the profit and loss account. The accounting principles for stock options have become less favorable since 2005 in both the Netherlands and the United States.</w:t>
      </w:r>
    </w:p>
    <w:p w:rsidR="001D5F43" w:rsidRPr="000B3455" w:rsidRDefault="001D5F43" w:rsidP="0088553E">
      <w:pPr>
        <w:spacing w:line="360" w:lineRule="auto"/>
        <w:jc w:val="both"/>
        <w:rPr>
          <w:rFonts w:cstheme="minorHAnsi"/>
        </w:rPr>
      </w:pPr>
      <w:r w:rsidRPr="000B3455">
        <w:rPr>
          <w:rFonts w:cstheme="minorHAnsi"/>
        </w:rPr>
        <w:t xml:space="preserve">Basically the same happened with granted shares in the Netherlands. Whereas the FASB has not changed its guidelines on stock compensation, the mandatory adoption of IFRS caused a change in guidelines for listed companies the Netherlands. The guidelines of Dutch GAAP did not require the recognition of fair value of shares as US GAAP did before 2005. In Dutch GAAP the face value of granted shares was deducted from the reserves, implying no impact on the profit and loss account. IFRS 2 requires the recognition of the fair value of granted shares in the profit and loss account. The accounting method before 2005 can be seen as a more favorable one, since it did not have an impact on the profit and loss account. The accounting method required by IFRS can be considered as more unfavorable compared to the method before 2005. </w:t>
      </w:r>
    </w:p>
    <w:p w:rsidR="001D5F43" w:rsidRPr="000B3455" w:rsidRDefault="001D5F43" w:rsidP="0088553E">
      <w:pPr>
        <w:spacing w:line="360" w:lineRule="auto"/>
        <w:jc w:val="both"/>
        <w:rPr>
          <w:rFonts w:cstheme="minorHAnsi"/>
        </w:rPr>
      </w:pPr>
      <w:r w:rsidRPr="000B3455">
        <w:rPr>
          <w:rFonts w:cstheme="minorHAnsi"/>
        </w:rPr>
        <w:t>While US-based studies found a substitution effect from stock option compensation to restricted stock compensation, it might be questionable if this same substitution will have been taken place in the Netherlands, since the accounting methods for both share compensation and stock option compensation changed into less favorable ones</w:t>
      </w:r>
      <w:r w:rsidRPr="000B3455">
        <w:rPr>
          <w:rStyle w:val="FootnoteReference"/>
          <w:rFonts w:cstheme="minorHAnsi"/>
        </w:rPr>
        <w:footnoteReference w:id="8"/>
      </w:r>
      <w:r w:rsidRPr="000B3455">
        <w:rPr>
          <w:rFonts w:cstheme="minorHAnsi"/>
        </w:rPr>
        <w:t>. IFRS 2 might have a negative effect on the fair value of both granted shares and stock options. The negative effect of IFRS 2 on stock option compensation in the Netherlands has already been researched by Kraakman (2010), as discussed in the literature review in chapter 4. However, to be certain that this research captures the same effect, the trend of stock option compensation is also investigated. Additionally, the possible decrease of share compensation and stock option compensation might be made up by other forms of compensation (i.e. fixed salary,</w:t>
      </w:r>
      <w:r w:rsidR="00554FB1" w:rsidRPr="000B3455">
        <w:rPr>
          <w:rFonts w:cstheme="minorHAnsi"/>
        </w:rPr>
        <w:t xml:space="preserve"> and</w:t>
      </w:r>
      <w:r w:rsidRPr="000B3455">
        <w:rPr>
          <w:rFonts w:cstheme="minorHAnsi"/>
        </w:rPr>
        <w:t xml:space="preserve"> cash bonus</w:t>
      </w:r>
      <w:r w:rsidR="00554FB1" w:rsidRPr="000B3455">
        <w:rPr>
          <w:rFonts w:cstheme="minorHAnsi"/>
        </w:rPr>
        <w:t>es</w:t>
      </w:r>
      <w:r w:rsidRPr="000B3455">
        <w:rPr>
          <w:rFonts w:cstheme="minorHAnsi"/>
        </w:rPr>
        <w:t xml:space="preserve">). The fair value of granted stock options is expected to decrease after the adoption of IFRS, </w:t>
      </w:r>
      <w:r w:rsidRPr="000B3455">
        <w:rPr>
          <w:rFonts w:cstheme="minorHAnsi"/>
        </w:rPr>
        <w:lastRenderedPageBreak/>
        <w:t xml:space="preserve">as well as the fair value of granted shares, due to the more unfavorable accounting methods applied in IFRS. The likely decrease of granted stock options is expected to be made up by other forms of compensation. Therefore, negative relations are expected between the change in granted stock options and the level of fixed salary, </w:t>
      </w:r>
      <w:r w:rsidR="00A102E4" w:rsidRPr="000B3455">
        <w:rPr>
          <w:rFonts w:cstheme="minorHAnsi"/>
        </w:rPr>
        <w:t xml:space="preserve">and </w:t>
      </w:r>
      <w:r w:rsidRPr="000B3455">
        <w:rPr>
          <w:rFonts w:cstheme="minorHAnsi"/>
        </w:rPr>
        <w:t>cash bonuses. The following hypotheses have been developed to test for these possible effects:</w:t>
      </w:r>
    </w:p>
    <w:p w:rsidR="001D5F43" w:rsidRPr="000B3455" w:rsidRDefault="001D5F43" w:rsidP="00E52E87">
      <w:pPr>
        <w:spacing w:line="360" w:lineRule="auto"/>
        <w:jc w:val="center"/>
        <w:rPr>
          <w:rFonts w:cstheme="minorHAnsi"/>
          <w:i/>
        </w:rPr>
      </w:pPr>
      <w:r w:rsidRPr="000B3455">
        <w:rPr>
          <w:rFonts w:cstheme="minorHAnsi"/>
          <w:i/>
        </w:rPr>
        <w:t xml:space="preserve">H1: The </w:t>
      </w:r>
      <w:r w:rsidR="00885762" w:rsidRPr="000B3455">
        <w:rPr>
          <w:rFonts w:cstheme="minorHAnsi"/>
          <w:i/>
        </w:rPr>
        <w:t xml:space="preserve">proportion of the </w:t>
      </w:r>
      <w:r w:rsidRPr="000B3455">
        <w:rPr>
          <w:rFonts w:cstheme="minorHAnsi"/>
          <w:i/>
        </w:rPr>
        <w:t>fair value of stock options</w:t>
      </w:r>
      <w:r w:rsidR="00885762" w:rsidRPr="000B3455">
        <w:rPr>
          <w:rFonts w:cstheme="minorHAnsi"/>
          <w:i/>
        </w:rPr>
        <w:t xml:space="preserve"> </w:t>
      </w:r>
      <w:r w:rsidR="000D243E">
        <w:rPr>
          <w:rFonts w:cstheme="minorHAnsi"/>
          <w:i/>
        </w:rPr>
        <w:t>to</w:t>
      </w:r>
      <w:r w:rsidR="00885762" w:rsidRPr="000B3455">
        <w:rPr>
          <w:rFonts w:cstheme="minorHAnsi"/>
          <w:i/>
        </w:rPr>
        <w:t xml:space="preserve"> total compensation</w:t>
      </w:r>
      <w:r w:rsidRPr="000B3455">
        <w:rPr>
          <w:rFonts w:cstheme="minorHAnsi"/>
          <w:i/>
        </w:rPr>
        <w:t xml:space="preserve"> </w:t>
      </w:r>
      <w:r w:rsidR="003210AE" w:rsidRPr="000B3455">
        <w:rPr>
          <w:rFonts w:cstheme="minorHAnsi"/>
          <w:i/>
        </w:rPr>
        <w:t xml:space="preserve">granted to the board of directors </w:t>
      </w:r>
      <w:r w:rsidRPr="000B3455">
        <w:rPr>
          <w:rFonts w:cstheme="minorHAnsi"/>
          <w:i/>
        </w:rPr>
        <w:t>has decreased after the mandatory adoption of IFRS for Dutch-listed companies.</w:t>
      </w:r>
    </w:p>
    <w:p w:rsidR="001D5F43" w:rsidRPr="000B3455" w:rsidRDefault="001D5F43" w:rsidP="00E52E87">
      <w:pPr>
        <w:spacing w:line="360" w:lineRule="auto"/>
        <w:jc w:val="center"/>
        <w:rPr>
          <w:rFonts w:cstheme="minorHAnsi"/>
          <w:i/>
        </w:rPr>
      </w:pPr>
      <w:r w:rsidRPr="000B3455">
        <w:rPr>
          <w:rFonts w:cstheme="minorHAnsi"/>
          <w:i/>
        </w:rPr>
        <w:t xml:space="preserve">H2: The </w:t>
      </w:r>
      <w:r w:rsidR="00885762" w:rsidRPr="000B3455">
        <w:rPr>
          <w:rFonts w:cstheme="minorHAnsi"/>
          <w:i/>
        </w:rPr>
        <w:t xml:space="preserve">proportion of the </w:t>
      </w:r>
      <w:r w:rsidRPr="000B3455">
        <w:rPr>
          <w:rFonts w:cstheme="minorHAnsi"/>
          <w:i/>
        </w:rPr>
        <w:t>fair value of shares</w:t>
      </w:r>
      <w:r w:rsidR="00885762" w:rsidRPr="000B3455">
        <w:rPr>
          <w:rFonts w:cstheme="minorHAnsi"/>
          <w:i/>
        </w:rPr>
        <w:t xml:space="preserve"> </w:t>
      </w:r>
      <w:r w:rsidR="000D243E">
        <w:rPr>
          <w:rFonts w:cstheme="minorHAnsi"/>
          <w:i/>
        </w:rPr>
        <w:t>to</w:t>
      </w:r>
      <w:r w:rsidR="00885762" w:rsidRPr="000B3455">
        <w:rPr>
          <w:rFonts w:cstheme="minorHAnsi"/>
          <w:i/>
        </w:rPr>
        <w:t xml:space="preserve"> total compensation</w:t>
      </w:r>
      <w:r w:rsidRPr="000B3455">
        <w:rPr>
          <w:rFonts w:cstheme="minorHAnsi"/>
          <w:i/>
        </w:rPr>
        <w:t xml:space="preserve"> </w:t>
      </w:r>
      <w:r w:rsidR="000D243E" w:rsidRPr="000B3455">
        <w:rPr>
          <w:rFonts w:cstheme="minorHAnsi"/>
          <w:i/>
        </w:rPr>
        <w:t xml:space="preserve">granted to the board of directors </w:t>
      </w:r>
      <w:r w:rsidRPr="000B3455">
        <w:rPr>
          <w:rFonts w:cstheme="minorHAnsi"/>
          <w:i/>
        </w:rPr>
        <w:t>has decreased after the mandatory adoption of IFRS for Dutch-listed companies.</w:t>
      </w:r>
    </w:p>
    <w:p w:rsidR="001D5F43" w:rsidRPr="000B3455" w:rsidRDefault="001D5F43" w:rsidP="00E52E87">
      <w:pPr>
        <w:spacing w:line="360" w:lineRule="auto"/>
        <w:jc w:val="center"/>
        <w:rPr>
          <w:rFonts w:cstheme="minorHAnsi"/>
          <w:i/>
        </w:rPr>
      </w:pPr>
      <w:r w:rsidRPr="000B3455">
        <w:rPr>
          <w:rFonts w:cstheme="minorHAnsi"/>
          <w:i/>
        </w:rPr>
        <w:t xml:space="preserve">H3: </w:t>
      </w:r>
      <w:r w:rsidR="001C29A3">
        <w:rPr>
          <w:rFonts w:cstheme="minorHAnsi"/>
          <w:i/>
        </w:rPr>
        <w:t>T</w:t>
      </w:r>
      <w:r w:rsidRPr="000B3455">
        <w:rPr>
          <w:rFonts w:cstheme="minorHAnsi"/>
          <w:i/>
        </w:rPr>
        <w:t xml:space="preserve">he mandatory adoption of IFRS for Dutch-listed companies </w:t>
      </w:r>
      <w:r w:rsidR="001C29A3">
        <w:rPr>
          <w:rFonts w:cstheme="minorHAnsi"/>
          <w:i/>
        </w:rPr>
        <w:t xml:space="preserve">has triggered a substitution from </w:t>
      </w:r>
      <w:r w:rsidRPr="000B3455">
        <w:rPr>
          <w:rFonts w:cstheme="minorHAnsi"/>
          <w:i/>
        </w:rPr>
        <w:t xml:space="preserve">the fair value of stock options </w:t>
      </w:r>
      <w:r w:rsidR="001C29A3">
        <w:rPr>
          <w:rFonts w:cstheme="minorHAnsi"/>
          <w:i/>
        </w:rPr>
        <w:t xml:space="preserve">to </w:t>
      </w:r>
      <w:r w:rsidRPr="000B3455">
        <w:rPr>
          <w:rFonts w:cstheme="minorHAnsi"/>
          <w:i/>
        </w:rPr>
        <w:t xml:space="preserve"> fixed salary </w:t>
      </w:r>
      <w:r w:rsidR="001C29A3">
        <w:rPr>
          <w:rFonts w:cstheme="minorHAnsi"/>
          <w:i/>
        </w:rPr>
        <w:t xml:space="preserve">granted </w:t>
      </w:r>
      <w:r w:rsidRPr="000B3455">
        <w:rPr>
          <w:rFonts w:cstheme="minorHAnsi"/>
          <w:i/>
        </w:rPr>
        <w:t>to the board of directors.</w:t>
      </w:r>
    </w:p>
    <w:p w:rsidR="001D5F43" w:rsidRPr="000B3455" w:rsidRDefault="001D5F43" w:rsidP="00E52E87">
      <w:pPr>
        <w:spacing w:line="360" w:lineRule="auto"/>
        <w:jc w:val="center"/>
        <w:rPr>
          <w:rFonts w:cstheme="minorHAnsi"/>
          <w:i/>
        </w:rPr>
      </w:pPr>
      <w:r w:rsidRPr="000B3455">
        <w:rPr>
          <w:rFonts w:cstheme="minorHAnsi"/>
          <w:i/>
        </w:rPr>
        <w:t xml:space="preserve">H4: </w:t>
      </w:r>
      <w:r w:rsidR="001C29A3">
        <w:rPr>
          <w:rFonts w:cstheme="minorHAnsi"/>
          <w:i/>
        </w:rPr>
        <w:t>T</w:t>
      </w:r>
      <w:r w:rsidRPr="000B3455">
        <w:rPr>
          <w:rFonts w:cstheme="minorHAnsi"/>
          <w:i/>
        </w:rPr>
        <w:t xml:space="preserve">he mandatory adoption of IFRS for Dutch-listed companies </w:t>
      </w:r>
      <w:r w:rsidR="001C29A3">
        <w:rPr>
          <w:rFonts w:cstheme="minorHAnsi"/>
          <w:i/>
        </w:rPr>
        <w:t xml:space="preserve">has triggered a substitution from </w:t>
      </w:r>
      <w:r w:rsidRPr="000B3455">
        <w:rPr>
          <w:rFonts w:cstheme="minorHAnsi"/>
          <w:i/>
        </w:rPr>
        <w:t xml:space="preserve">the fair value of stock options </w:t>
      </w:r>
      <w:r w:rsidR="001C29A3">
        <w:rPr>
          <w:rFonts w:cstheme="minorHAnsi"/>
          <w:i/>
        </w:rPr>
        <w:t>to</w:t>
      </w:r>
      <w:r w:rsidRPr="000B3455">
        <w:rPr>
          <w:rFonts w:cstheme="minorHAnsi"/>
          <w:i/>
        </w:rPr>
        <w:t xml:space="preserve"> cash bonuses </w:t>
      </w:r>
      <w:r w:rsidR="001C29A3">
        <w:rPr>
          <w:rFonts w:cstheme="minorHAnsi"/>
          <w:i/>
        </w:rPr>
        <w:t xml:space="preserve">granted </w:t>
      </w:r>
      <w:r w:rsidRPr="000B3455">
        <w:rPr>
          <w:rFonts w:cstheme="minorHAnsi"/>
          <w:i/>
        </w:rPr>
        <w:t>to the board of directors.</w:t>
      </w:r>
    </w:p>
    <w:p w:rsidR="001D5F43" w:rsidRPr="000B3455" w:rsidRDefault="001D5F43" w:rsidP="0088553E">
      <w:pPr>
        <w:spacing w:line="360" w:lineRule="auto"/>
        <w:jc w:val="both"/>
      </w:pPr>
      <w:r w:rsidRPr="000B3455">
        <w:t xml:space="preserve">Note that the fair value and the level of compensation are denoted in Euros. </w:t>
      </w:r>
    </w:p>
    <w:p w:rsidR="002A7FF2" w:rsidRPr="000B3455" w:rsidRDefault="0072533B" w:rsidP="0088553E">
      <w:pPr>
        <w:spacing w:line="360" w:lineRule="auto"/>
        <w:jc w:val="both"/>
      </w:pPr>
      <w:r w:rsidRPr="000B3455">
        <w:t>Although there are other forms of share-based compensation, these will not be taken into account. The o</w:t>
      </w:r>
      <w:r w:rsidR="002A7FF2" w:rsidRPr="000B3455">
        <w:t xml:space="preserve">ther forms of share-based payment include stock appreciation rights, phantom shares, and phantom stock options. </w:t>
      </w:r>
      <w:r w:rsidRPr="000B3455">
        <w:t>Since these forms are respectively used in 2, 6, and 4 firm years of 264 firm years in the final sample, and by re</w:t>
      </w:r>
      <w:r w:rsidR="0014046C" w:rsidRPr="000B3455">
        <w:t>s</w:t>
      </w:r>
      <w:r w:rsidRPr="000B3455">
        <w:t xml:space="preserve">pectively 1, 2, and 1 firm, the </w:t>
      </w:r>
      <w:r w:rsidR="0014046C" w:rsidRPr="000B3455">
        <w:t>data about these forms is too small to conduct a proper research.</w:t>
      </w:r>
    </w:p>
    <w:p w:rsidR="001D5F43" w:rsidRPr="000B3455" w:rsidRDefault="001D5F43" w:rsidP="0088553E">
      <w:pPr>
        <w:pStyle w:val="Heading2"/>
        <w:spacing w:line="360" w:lineRule="auto"/>
        <w:jc w:val="both"/>
      </w:pPr>
      <w:bookmarkStart w:id="70" w:name="_Toc298944580"/>
      <w:r w:rsidRPr="000B3455">
        <w:t>5.2 Sample</w:t>
      </w:r>
      <w:bookmarkEnd w:id="70"/>
    </w:p>
    <w:p w:rsidR="001D5F43" w:rsidRPr="000B3455" w:rsidRDefault="001D5F43" w:rsidP="0088553E">
      <w:pPr>
        <w:spacing w:line="360" w:lineRule="auto"/>
        <w:jc w:val="both"/>
      </w:pPr>
      <w:r w:rsidRPr="000B3455">
        <w:t xml:space="preserve">As it is already discussed in my hypotheses and the previous chapters, my research will only include listed companies in the Netherlands. The reason to incorporate only listed firms is threefold. First, the remuneration of the board of directors has to be publicly available according to Article 383 in Book 2 of the Dutch Civil Code. Second, only listed firms are mandatory to apply IFRSs. Third, listed companies are more likely to grant share-based payments to directors, since other types of business entities do not have shares, or are restricted by several rules in issuing equity. The sample includes the 73 firms that are listed on the three main indexes at the NYSE Euronext. The sample is compiled out of 26 firms listed at the AEX index, 24 listed at the AMX index, and 23 listed at the AScX index. Since the Netherlands lacks a </w:t>
      </w:r>
      <w:r w:rsidRPr="000B3455">
        <w:lastRenderedPageBreak/>
        <w:t>database with information about remuneration, all remunera</w:t>
      </w:r>
      <w:r w:rsidR="00E21A75" w:rsidRPr="000B3455">
        <w:t>tion data have to be handpicked from annual reports.</w:t>
      </w:r>
    </w:p>
    <w:p w:rsidR="001D5F43" w:rsidRPr="000B3455" w:rsidRDefault="001D5F43" w:rsidP="0088553E">
      <w:pPr>
        <w:spacing w:line="360" w:lineRule="auto"/>
        <w:jc w:val="both"/>
      </w:pPr>
      <w:r w:rsidRPr="000B3455">
        <w:t xml:space="preserve">According to Article 383 in Book 2 of the Dutch Civil Code the remuneration of the board of directors should be publicly available since 2002. It is, therefore, possible to collect remuneration data from 2002 and later. In order to see a trend in compensation practices before 2005 the sample period includes the years 2002-2004. To investigate whether the effect of the introduction of IFRS on remuneration is not a one-time event, the sample period will also include two years after 2005, namely 2006 and 2007. Thus, the sample period will include the years 2002-2004 where Dutch GAAP is applied, and 2005-2007 where IFRS is applied. </w:t>
      </w:r>
    </w:p>
    <w:p w:rsidR="001D5F43" w:rsidRPr="000B3455" w:rsidRDefault="001D5F43" w:rsidP="0088553E">
      <w:pPr>
        <w:spacing w:line="360" w:lineRule="auto"/>
        <w:jc w:val="both"/>
      </w:pPr>
      <w:r w:rsidRPr="000B3455">
        <w:t>To incorporate data in the sample, it has to meet certain requirements. Data that does not meet with these requirements cannot be included in the sample, because they might bias the outcome. For this research data is only included when:</w:t>
      </w:r>
    </w:p>
    <w:p w:rsidR="001D5F43" w:rsidRPr="000B3455" w:rsidRDefault="001D5F43" w:rsidP="0088553E">
      <w:pPr>
        <w:pStyle w:val="ListParagraph"/>
        <w:numPr>
          <w:ilvl w:val="0"/>
          <w:numId w:val="2"/>
        </w:numPr>
        <w:spacing w:line="360" w:lineRule="auto"/>
        <w:jc w:val="both"/>
      </w:pPr>
      <w:r w:rsidRPr="000B3455">
        <w:t>The firm has been listed at the AEX, AMX, or AScX index during 2002-2007;</w:t>
      </w:r>
    </w:p>
    <w:p w:rsidR="00A45ED9" w:rsidRPr="000B3455" w:rsidRDefault="00A45ED9" w:rsidP="0088553E">
      <w:pPr>
        <w:pStyle w:val="ListParagraph"/>
        <w:numPr>
          <w:ilvl w:val="0"/>
          <w:numId w:val="2"/>
        </w:numPr>
        <w:spacing w:line="360" w:lineRule="auto"/>
        <w:jc w:val="both"/>
      </w:pPr>
      <w:r w:rsidRPr="000B3455">
        <w:t>I</w:t>
      </w:r>
      <w:r w:rsidR="001D5F43" w:rsidRPr="000B3455">
        <w:t>nformation about at least the granted amounts (in numbers)</w:t>
      </w:r>
      <w:r w:rsidRPr="000B3455">
        <w:t>, exercise prices, and expiration date</w:t>
      </w:r>
      <w:r w:rsidR="001D5F43" w:rsidRPr="000B3455">
        <w:t xml:space="preserve"> of stock options</w:t>
      </w:r>
      <w:r w:rsidRPr="000B3455">
        <w:t xml:space="preserve"> to the board of directors is available;</w:t>
      </w:r>
    </w:p>
    <w:p w:rsidR="001D5F43" w:rsidRPr="000B3455" w:rsidRDefault="001D5F43" w:rsidP="0088553E">
      <w:pPr>
        <w:pStyle w:val="ListParagraph"/>
        <w:numPr>
          <w:ilvl w:val="0"/>
          <w:numId w:val="2"/>
        </w:numPr>
        <w:spacing w:line="360" w:lineRule="auto"/>
        <w:jc w:val="both"/>
      </w:pPr>
      <w:r w:rsidRPr="000B3455">
        <w:t xml:space="preserve"> </w:t>
      </w:r>
      <w:r w:rsidR="00A45ED9" w:rsidRPr="000B3455">
        <w:t xml:space="preserve">Information about at least the granted amounts (in numbers) </w:t>
      </w:r>
      <w:r w:rsidRPr="000B3455">
        <w:t>o</w:t>
      </w:r>
      <w:r w:rsidR="00A45ED9" w:rsidRPr="000B3455">
        <w:t>f</w:t>
      </w:r>
      <w:r w:rsidRPr="000B3455">
        <w:t xml:space="preserve"> shares to the board of directors is available;</w:t>
      </w:r>
    </w:p>
    <w:p w:rsidR="001D5F43" w:rsidRPr="000B3455" w:rsidRDefault="001D5F43" w:rsidP="0088553E">
      <w:pPr>
        <w:pStyle w:val="ListParagraph"/>
        <w:numPr>
          <w:ilvl w:val="0"/>
          <w:numId w:val="2"/>
        </w:numPr>
        <w:spacing w:line="360" w:lineRule="auto"/>
        <w:jc w:val="both"/>
      </w:pPr>
      <w:r w:rsidRPr="000B3455">
        <w:t>The firm has applied Dutch GAAP in 2002-2004;</w:t>
      </w:r>
    </w:p>
    <w:p w:rsidR="001D5F43" w:rsidRPr="000B3455" w:rsidRDefault="001D5F43" w:rsidP="0088553E">
      <w:pPr>
        <w:pStyle w:val="ListParagraph"/>
        <w:numPr>
          <w:ilvl w:val="0"/>
          <w:numId w:val="2"/>
        </w:numPr>
        <w:spacing w:line="360" w:lineRule="auto"/>
        <w:jc w:val="both"/>
      </w:pPr>
      <w:r w:rsidRPr="000B3455">
        <w:t>The firm has applied IFRS in 2005-2007;</w:t>
      </w:r>
    </w:p>
    <w:p w:rsidR="00AB4FD8" w:rsidRPr="000B3455" w:rsidRDefault="00AB4FD8" w:rsidP="0088553E">
      <w:pPr>
        <w:pStyle w:val="ListParagraph"/>
        <w:numPr>
          <w:ilvl w:val="0"/>
          <w:numId w:val="2"/>
        </w:numPr>
        <w:spacing w:line="360" w:lineRule="auto"/>
        <w:jc w:val="both"/>
      </w:pPr>
      <w:r w:rsidRPr="000B3455">
        <w:t>The firm has not been involved in a significant merger of acquisition that may in itself create a change in remuneration;</w:t>
      </w:r>
    </w:p>
    <w:p w:rsidR="001D5F43" w:rsidRPr="000B3455" w:rsidRDefault="001D5F43" w:rsidP="0088553E">
      <w:pPr>
        <w:pStyle w:val="ListParagraph"/>
        <w:numPr>
          <w:ilvl w:val="0"/>
          <w:numId w:val="2"/>
        </w:numPr>
        <w:spacing w:line="360" w:lineRule="auto"/>
        <w:jc w:val="both"/>
      </w:pPr>
      <w:r w:rsidRPr="000B3455">
        <w:t>The data for control variables are available.</w:t>
      </w:r>
    </w:p>
    <w:p w:rsidR="00B27362" w:rsidRDefault="001D5F43" w:rsidP="0088553E">
      <w:pPr>
        <w:spacing w:line="360" w:lineRule="auto"/>
        <w:jc w:val="both"/>
      </w:pPr>
      <w:r w:rsidRPr="000B3455">
        <w:t xml:space="preserve">The data that meets these criteria are included in the final sample, which consists of </w:t>
      </w:r>
      <w:r w:rsidR="00554FB1" w:rsidRPr="000B3455">
        <w:t>44</w:t>
      </w:r>
      <w:r w:rsidRPr="000B3455">
        <w:t xml:space="preserve"> firms.</w:t>
      </w:r>
      <w:r w:rsidR="00A102E4" w:rsidRPr="000B3455">
        <w:t xml:space="preserve"> </w:t>
      </w:r>
    </w:p>
    <w:p w:rsidR="00C90F5C" w:rsidRPr="000B3455" w:rsidRDefault="00B27362" w:rsidP="00B27362">
      <w:r>
        <w:br w:type="page"/>
      </w:r>
    </w:p>
    <w:tbl>
      <w:tblPr>
        <w:tblStyle w:val="LightList-Accent11"/>
        <w:tblpPr w:leftFromText="141" w:rightFromText="141" w:vertAnchor="text" w:tblpY="1"/>
        <w:tblOverlap w:val="never"/>
        <w:tblW w:w="7302" w:type="dxa"/>
        <w:tblBorders>
          <w:top w:val="none" w:sz="0" w:space="0" w:color="auto"/>
          <w:left w:val="none" w:sz="0" w:space="0" w:color="auto"/>
          <w:bottom w:val="none" w:sz="0" w:space="0" w:color="auto"/>
          <w:right w:val="none" w:sz="0" w:space="0" w:color="auto"/>
        </w:tblBorders>
        <w:tblLook w:val="04A0"/>
      </w:tblPr>
      <w:tblGrid>
        <w:gridCol w:w="4644"/>
        <w:gridCol w:w="1276"/>
        <w:gridCol w:w="1382"/>
      </w:tblGrid>
      <w:tr w:rsidR="00C90F5C" w:rsidRPr="00B34E9A" w:rsidTr="00720136">
        <w:trPr>
          <w:cnfStyle w:val="100000000000"/>
        </w:trPr>
        <w:tc>
          <w:tcPr>
            <w:cnfStyle w:val="001000000000"/>
            <w:tcW w:w="5920" w:type="dxa"/>
            <w:gridSpan w:val="2"/>
            <w:shd w:val="clear" w:color="auto" w:fill="8DB3E2" w:themeFill="text2" w:themeFillTint="66"/>
            <w:vAlign w:val="bottom"/>
          </w:tcPr>
          <w:p w:rsidR="00C90F5C" w:rsidRPr="00B34E9A" w:rsidRDefault="00C90F5C" w:rsidP="00B34E9A">
            <w:pPr>
              <w:spacing w:line="360" w:lineRule="auto"/>
            </w:pPr>
            <w:r w:rsidRPr="00B34E9A">
              <w:lastRenderedPageBreak/>
              <w:t>Number of companies at starting point:</w:t>
            </w:r>
          </w:p>
        </w:tc>
        <w:tc>
          <w:tcPr>
            <w:tcW w:w="1382" w:type="dxa"/>
            <w:shd w:val="clear" w:color="auto" w:fill="8DB3E2" w:themeFill="text2" w:themeFillTint="66"/>
            <w:vAlign w:val="bottom"/>
          </w:tcPr>
          <w:p w:rsidR="00C90F5C" w:rsidRPr="00B34E9A" w:rsidRDefault="00C90F5C" w:rsidP="00B34E9A">
            <w:pPr>
              <w:spacing w:line="360" w:lineRule="auto"/>
              <w:jc w:val="center"/>
              <w:cnfStyle w:val="100000000000"/>
            </w:pPr>
            <w:r w:rsidRPr="00B34E9A">
              <w:t>73</w:t>
            </w:r>
          </w:p>
        </w:tc>
      </w:tr>
      <w:tr w:rsidR="00C90F5C" w:rsidRPr="00B34E9A" w:rsidTr="00B27362">
        <w:trPr>
          <w:cnfStyle w:val="000000100000"/>
        </w:trPr>
        <w:tc>
          <w:tcPr>
            <w:cnfStyle w:val="001000000000"/>
            <w:tcW w:w="4644" w:type="dxa"/>
            <w:tcBorders>
              <w:top w:val="none" w:sz="0" w:space="0" w:color="auto"/>
              <w:left w:val="none" w:sz="0" w:space="0" w:color="auto"/>
              <w:bottom w:val="none" w:sz="0" w:space="0" w:color="auto"/>
            </w:tcBorders>
          </w:tcPr>
          <w:p w:rsidR="00C90F5C" w:rsidRPr="00B34E9A" w:rsidRDefault="00C90F5C" w:rsidP="00B27362">
            <w:pPr>
              <w:spacing w:line="360" w:lineRule="auto"/>
              <w:jc w:val="both"/>
              <w:rPr>
                <w:i/>
              </w:rPr>
            </w:pPr>
            <w:r w:rsidRPr="00B34E9A">
              <w:rPr>
                <w:i/>
              </w:rPr>
              <w:t>Reason to exclude</w:t>
            </w:r>
          </w:p>
        </w:tc>
        <w:tc>
          <w:tcPr>
            <w:tcW w:w="1276" w:type="dxa"/>
            <w:tcBorders>
              <w:top w:val="none" w:sz="0" w:space="0" w:color="auto"/>
              <w:bottom w:val="none" w:sz="0" w:space="0" w:color="auto"/>
            </w:tcBorders>
            <w:vAlign w:val="center"/>
          </w:tcPr>
          <w:p w:rsidR="00C90F5C" w:rsidRPr="00B34E9A" w:rsidRDefault="00C90F5C" w:rsidP="00B27362">
            <w:pPr>
              <w:spacing w:line="360" w:lineRule="auto"/>
              <w:jc w:val="both"/>
              <w:cnfStyle w:val="000000100000"/>
              <w:rPr>
                <w:b/>
                <w:i/>
              </w:rPr>
            </w:pPr>
            <w:r w:rsidRPr="00B34E9A">
              <w:rPr>
                <w:b/>
                <w:i/>
              </w:rPr>
              <w:t>Frequency</w:t>
            </w:r>
          </w:p>
        </w:tc>
        <w:tc>
          <w:tcPr>
            <w:tcW w:w="1382" w:type="dxa"/>
            <w:tcBorders>
              <w:top w:val="none" w:sz="0" w:space="0" w:color="auto"/>
              <w:bottom w:val="none" w:sz="0" w:space="0" w:color="auto"/>
              <w:right w:val="none" w:sz="0" w:space="0" w:color="auto"/>
            </w:tcBorders>
            <w:vAlign w:val="center"/>
          </w:tcPr>
          <w:p w:rsidR="00C90F5C" w:rsidRPr="00B34E9A" w:rsidRDefault="00C90F5C" w:rsidP="00B27362">
            <w:pPr>
              <w:spacing w:line="360" w:lineRule="auto"/>
              <w:jc w:val="center"/>
              <w:cnfStyle w:val="000000100000"/>
              <w:rPr>
                <w:b/>
                <w:i/>
              </w:rPr>
            </w:pPr>
          </w:p>
        </w:tc>
      </w:tr>
      <w:tr w:rsidR="00C90F5C" w:rsidRPr="000B3455" w:rsidTr="00B27362">
        <w:tc>
          <w:tcPr>
            <w:cnfStyle w:val="001000000000"/>
            <w:tcW w:w="4644" w:type="dxa"/>
            <w:vAlign w:val="center"/>
          </w:tcPr>
          <w:p w:rsidR="00C90F5C" w:rsidRPr="000B3455" w:rsidRDefault="00C90F5C" w:rsidP="00B27362">
            <w:pPr>
              <w:spacing w:line="360" w:lineRule="auto"/>
              <w:jc w:val="both"/>
              <w:rPr>
                <w:b w:val="0"/>
              </w:rPr>
            </w:pPr>
            <w:r w:rsidRPr="000B3455">
              <w:rPr>
                <w:b w:val="0"/>
              </w:rPr>
              <w:t>Lacking data on remuneration</w:t>
            </w:r>
          </w:p>
        </w:tc>
        <w:tc>
          <w:tcPr>
            <w:tcW w:w="1276" w:type="dxa"/>
            <w:vAlign w:val="bottom"/>
          </w:tcPr>
          <w:p w:rsidR="00C90F5C" w:rsidRPr="000B3455" w:rsidRDefault="00C90F5C" w:rsidP="00B27362">
            <w:pPr>
              <w:spacing w:line="360" w:lineRule="auto"/>
              <w:jc w:val="center"/>
              <w:cnfStyle w:val="000000000000"/>
            </w:pPr>
            <w:r w:rsidRPr="000B3455">
              <w:t>5</w:t>
            </w:r>
          </w:p>
        </w:tc>
        <w:tc>
          <w:tcPr>
            <w:tcW w:w="1382" w:type="dxa"/>
            <w:vAlign w:val="center"/>
          </w:tcPr>
          <w:p w:rsidR="00C90F5C" w:rsidRPr="000B3455" w:rsidRDefault="00C90F5C" w:rsidP="00B27362">
            <w:pPr>
              <w:spacing w:line="360" w:lineRule="auto"/>
              <w:jc w:val="center"/>
              <w:cnfStyle w:val="000000000000"/>
            </w:pPr>
          </w:p>
        </w:tc>
      </w:tr>
      <w:tr w:rsidR="00C90F5C" w:rsidRPr="000B3455" w:rsidTr="00B27362">
        <w:trPr>
          <w:cnfStyle w:val="000000100000"/>
        </w:trPr>
        <w:tc>
          <w:tcPr>
            <w:cnfStyle w:val="001000000000"/>
            <w:tcW w:w="4644" w:type="dxa"/>
            <w:tcBorders>
              <w:top w:val="none" w:sz="0" w:space="0" w:color="auto"/>
              <w:left w:val="none" w:sz="0" w:space="0" w:color="auto"/>
              <w:bottom w:val="none" w:sz="0" w:space="0" w:color="auto"/>
            </w:tcBorders>
            <w:vAlign w:val="center"/>
          </w:tcPr>
          <w:p w:rsidR="00C90F5C" w:rsidRPr="000B3455" w:rsidRDefault="00C90F5C" w:rsidP="00B27362">
            <w:pPr>
              <w:spacing w:line="360" w:lineRule="auto"/>
              <w:jc w:val="both"/>
              <w:rPr>
                <w:b w:val="0"/>
              </w:rPr>
            </w:pPr>
            <w:r w:rsidRPr="000B3455">
              <w:rPr>
                <w:b w:val="0"/>
              </w:rPr>
              <w:t>Not listed for whole sample period</w:t>
            </w:r>
          </w:p>
        </w:tc>
        <w:tc>
          <w:tcPr>
            <w:tcW w:w="1276" w:type="dxa"/>
            <w:tcBorders>
              <w:top w:val="none" w:sz="0" w:space="0" w:color="auto"/>
              <w:bottom w:val="none" w:sz="0" w:space="0" w:color="auto"/>
            </w:tcBorders>
            <w:vAlign w:val="bottom"/>
          </w:tcPr>
          <w:p w:rsidR="00C90F5C" w:rsidRPr="000B3455" w:rsidRDefault="00C90F5C" w:rsidP="00B27362">
            <w:pPr>
              <w:spacing w:line="360" w:lineRule="auto"/>
              <w:jc w:val="center"/>
              <w:cnfStyle w:val="000000100000"/>
            </w:pPr>
            <w:r w:rsidRPr="000B3455">
              <w:t>9</w:t>
            </w:r>
          </w:p>
        </w:tc>
        <w:tc>
          <w:tcPr>
            <w:tcW w:w="1382" w:type="dxa"/>
            <w:tcBorders>
              <w:top w:val="none" w:sz="0" w:space="0" w:color="auto"/>
              <w:bottom w:val="none" w:sz="0" w:space="0" w:color="auto"/>
              <w:right w:val="none" w:sz="0" w:space="0" w:color="auto"/>
            </w:tcBorders>
            <w:vAlign w:val="center"/>
          </w:tcPr>
          <w:p w:rsidR="00C90F5C" w:rsidRPr="000B3455" w:rsidRDefault="00C90F5C" w:rsidP="00B27362">
            <w:pPr>
              <w:spacing w:line="360" w:lineRule="auto"/>
              <w:jc w:val="center"/>
              <w:cnfStyle w:val="000000100000"/>
            </w:pPr>
          </w:p>
        </w:tc>
      </w:tr>
      <w:tr w:rsidR="00C90F5C" w:rsidRPr="000B3455" w:rsidTr="00B27362">
        <w:tc>
          <w:tcPr>
            <w:cnfStyle w:val="001000000000"/>
            <w:tcW w:w="4644" w:type="dxa"/>
            <w:vAlign w:val="center"/>
          </w:tcPr>
          <w:p w:rsidR="00C90F5C" w:rsidRPr="000B3455" w:rsidRDefault="00C90F5C" w:rsidP="00B27362">
            <w:pPr>
              <w:spacing w:line="360" w:lineRule="auto"/>
              <w:jc w:val="both"/>
              <w:rPr>
                <w:b w:val="0"/>
              </w:rPr>
            </w:pPr>
            <w:r w:rsidRPr="000B3455">
              <w:rPr>
                <w:b w:val="0"/>
              </w:rPr>
              <w:t>Applying other accounting standards</w:t>
            </w:r>
          </w:p>
        </w:tc>
        <w:tc>
          <w:tcPr>
            <w:tcW w:w="1276" w:type="dxa"/>
            <w:vAlign w:val="bottom"/>
          </w:tcPr>
          <w:p w:rsidR="00C90F5C" w:rsidRPr="000B3455" w:rsidRDefault="00C90F5C" w:rsidP="00B27362">
            <w:pPr>
              <w:spacing w:line="360" w:lineRule="auto"/>
              <w:jc w:val="center"/>
              <w:cnfStyle w:val="000000000000"/>
            </w:pPr>
            <w:r w:rsidRPr="000B3455">
              <w:t>3</w:t>
            </w:r>
          </w:p>
        </w:tc>
        <w:tc>
          <w:tcPr>
            <w:tcW w:w="1382" w:type="dxa"/>
            <w:vAlign w:val="center"/>
          </w:tcPr>
          <w:p w:rsidR="00C90F5C" w:rsidRPr="000B3455" w:rsidRDefault="00C90F5C" w:rsidP="00B27362">
            <w:pPr>
              <w:spacing w:line="360" w:lineRule="auto"/>
              <w:jc w:val="center"/>
              <w:cnfStyle w:val="000000000000"/>
            </w:pPr>
          </w:p>
        </w:tc>
      </w:tr>
      <w:tr w:rsidR="00C90F5C" w:rsidRPr="000B3455" w:rsidTr="00B27362">
        <w:trPr>
          <w:cnfStyle w:val="000000100000"/>
        </w:trPr>
        <w:tc>
          <w:tcPr>
            <w:cnfStyle w:val="001000000000"/>
            <w:tcW w:w="4644" w:type="dxa"/>
            <w:tcBorders>
              <w:top w:val="none" w:sz="0" w:space="0" w:color="auto"/>
              <w:left w:val="none" w:sz="0" w:space="0" w:color="auto"/>
              <w:bottom w:val="none" w:sz="0" w:space="0" w:color="auto"/>
            </w:tcBorders>
            <w:vAlign w:val="center"/>
          </w:tcPr>
          <w:p w:rsidR="00C90F5C" w:rsidRPr="000B3455" w:rsidRDefault="00C90F5C" w:rsidP="00B27362">
            <w:pPr>
              <w:spacing w:line="360" w:lineRule="auto"/>
              <w:jc w:val="both"/>
              <w:rPr>
                <w:b w:val="0"/>
              </w:rPr>
            </w:pPr>
            <w:r w:rsidRPr="000B3455">
              <w:rPr>
                <w:b w:val="0"/>
              </w:rPr>
              <w:t>Involved in a merger and/or acquisition</w:t>
            </w:r>
          </w:p>
        </w:tc>
        <w:tc>
          <w:tcPr>
            <w:tcW w:w="1276" w:type="dxa"/>
            <w:tcBorders>
              <w:top w:val="none" w:sz="0" w:space="0" w:color="auto"/>
              <w:bottom w:val="none" w:sz="0" w:space="0" w:color="auto"/>
            </w:tcBorders>
            <w:vAlign w:val="bottom"/>
          </w:tcPr>
          <w:p w:rsidR="00C90F5C" w:rsidRPr="000B3455" w:rsidRDefault="00C90F5C" w:rsidP="00B27362">
            <w:pPr>
              <w:spacing w:line="360" w:lineRule="auto"/>
              <w:jc w:val="center"/>
              <w:cnfStyle w:val="000000100000"/>
            </w:pPr>
            <w:r w:rsidRPr="000B3455">
              <w:t>2</w:t>
            </w:r>
          </w:p>
        </w:tc>
        <w:tc>
          <w:tcPr>
            <w:tcW w:w="1382" w:type="dxa"/>
            <w:tcBorders>
              <w:top w:val="none" w:sz="0" w:space="0" w:color="auto"/>
              <w:bottom w:val="none" w:sz="0" w:space="0" w:color="auto"/>
              <w:right w:val="none" w:sz="0" w:space="0" w:color="auto"/>
            </w:tcBorders>
            <w:vAlign w:val="center"/>
          </w:tcPr>
          <w:p w:rsidR="00C90F5C" w:rsidRPr="000B3455" w:rsidRDefault="00C90F5C" w:rsidP="00B27362">
            <w:pPr>
              <w:spacing w:line="360" w:lineRule="auto"/>
              <w:jc w:val="center"/>
              <w:cnfStyle w:val="000000100000"/>
            </w:pPr>
          </w:p>
        </w:tc>
      </w:tr>
      <w:tr w:rsidR="00C90F5C" w:rsidRPr="000B3455" w:rsidTr="00B27362">
        <w:tc>
          <w:tcPr>
            <w:cnfStyle w:val="001000000000"/>
            <w:tcW w:w="4644" w:type="dxa"/>
            <w:vAlign w:val="center"/>
          </w:tcPr>
          <w:p w:rsidR="00C90F5C" w:rsidRPr="000B3455" w:rsidRDefault="00C90F5C" w:rsidP="00B27362">
            <w:pPr>
              <w:spacing w:line="360" w:lineRule="auto"/>
              <w:jc w:val="both"/>
              <w:rPr>
                <w:b w:val="0"/>
              </w:rPr>
            </w:pPr>
            <w:r w:rsidRPr="000B3455">
              <w:rPr>
                <w:b w:val="0"/>
              </w:rPr>
              <w:t>Lacking data for control variables</w:t>
            </w:r>
          </w:p>
        </w:tc>
        <w:tc>
          <w:tcPr>
            <w:tcW w:w="1276" w:type="dxa"/>
            <w:vAlign w:val="bottom"/>
          </w:tcPr>
          <w:p w:rsidR="00C90F5C" w:rsidRPr="000B3455" w:rsidRDefault="00C90F5C" w:rsidP="00B27362">
            <w:pPr>
              <w:spacing w:line="360" w:lineRule="auto"/>
              <w:jc w:val="center"/>
              <w:cnfStyle w:val="000000000000"/>
            </w:pPr>
            <w:r w:rsidRPr="000B3455">
              <w:t>9</w:t>
            </w:r>
          </w:p>
        </w:tc>
        <w:tc>
          <w:tcPr>
            <w:tcW w:w="1382" w:type="dxa"/>
            <w:vAlign w:val="center"/>
          </w:tcPr>
          <w:p w:rsidR="00C90F5C" w:rsidRPr="000B3455" w:rsidRDefault="00C90F5C" w:rsidP="00B27362">
            <w:pPr>
              <w:spacing w:line="360" w:lineRule="auto"/>
              <w:jc w:val="center"/>
              <w:cnfStyle w:val="000000000000"/>
            </w:pPr>
          </w:p>
        </w:tc>
      </w:tr>
      <w:tr w:rsidR="00C90F5C" w:rsidRPr="000B3455" w:rsidTr="006663CD">
        <w:trPr>
          <w:cnfStyle w:val="000000100000"/>
        </w:trPr>
        <w:tc>
          <w:tcPr>
            <w:cnfStyle w:val="001000000000"/>
            <w:tcW w:w="4644" w:type="dxa"/>
            <w:tcBorders>
              <w:top w:val="none" w:sz="0" w:space="0" w:color="auto"/>
              <w:left w:val="none" w:sz="0" w:space="0" w:color="auto"/>
              <w:bottom w:val="none" w:sz="0" w:space="0" w:color="auto"/>
            </w:tcBorders>
            <w:vAlign w:val="center"/>
          </w:tcPr>
          <w:p w:rsidR="00C90F5C" w:rsidRPr="000B3455" w:rsidRDefault="00C90F5C" w:rsidP="00B27362">
            <w:pPr>
              <w:spacing w:line="360" w:lineRule="auto"/>
              <w:jc w:val="both"/>
              <w:rPr>
                <w:b w:val="0"/>
              </w:rPr>
            </w:pPr>
            <w:r w:rsidRPr="000B3455">
              <w:rPr>
                <w:b w:val="0"/>
              </w:rPr>
              <w:t>Daughter company of other listed company</w:t>
            </w:r>
          </w:p>
        </w:tc>
        <w:tc>
          <w:tcPr>
            <w:tcW w:w="1276" w:type="dxa"/>
            <w:tcBorders>
              <w:top w:val="none" w:sz="0" w:space="0" w:color="auto"/>
              <w:bottom w:val="single" w:sz="4" w:space="0" w:color="auto"/>
            </w:tcBorders>
            <w:vAlign w:val="bottom"/>
          </w:tcPr>
          <w:p w:rsidR="00C90F5C" w:rsidRPr="000B3455" w:rsidRDefault="00C90F5C" w:rsidP="00B27362">
            <w:pPr>
              <w:spacing w:line="360" w:lineRule="auto"/>
              <w:jc w:val="center"/>
              <w:cnfStyle w:val="000000100000"/>
            </w:pPr>
            <w:r w:rsidRPr="000B3455">
              <w:t>1</w:t>
            </w:r>
          </w:p>
        </w:tc>
        <w:tc>
          <w:tcPr>
            <w:tcW w:w="1382" w:type="dxa"/>
            <w:tcBorders>
              <w:top w:val="none" w:sz="0" w:space="0" w:color="auto"/>
              <w:bottom w:val="none" w:sz="0" w:space="0" w:color="auto"/>
              <w:right w:val="none" w:sz="0" w:space="0" w:color="auto"/>
            </w:tcBorders>
            <w:vAlign w:val="center"/>
          </w:tcPr>
          <w:p w:rsidR="00C90F5C" w:rsidRPr="000B3455" w:rsidRDefault="00C90F5C" w:rsidP="00B27362">
            <w:pPr>
              <w:spacing w:line="360" w:lineRule="auto"/>
              <w:jc w:val="center"/>
              <w:cnfStyle w:val="000000100000"/>
            </w:pPr>
          </w:p>
        </w:tc>
      </w:tr>
      <w:tr w:rsidR="00C90F5C" w:rsidRPr="00B34E9A" w:rsidTr="006663CD">
        <w:tc>
          <w:tcPr>
            <w:cnfStyle w:val="001000000000"/>
            <w:tcW w:w="4644" w:type="dxa"/>
            <w:shd w:val="clear" w:color="auto" w:fill="8DB3E2" w:themeFill="text2" w:themeFillTint="66"/>
          </w:tcPr>
          <w:p w:rsidR="00C90F5C" w:rsidRPr="00B34E9A" w:rsidRDefault="00143F64" w:rsidP="001C29A3">
            <w:pPr>
              <w:spacing w:line="360" w:lineRule="auto"/>
              <w:jc w:val="both"/>
              <w:rPr>
                <w:color w:val="FFFFFF" w:themeColor="background1"/>
              </w:rPr>
            </w:pPr>
            <w:r w:rsidRPr="00B34E9A">
              <w:rPr>
                <w:color w:val="FFFFFF" w:themeColor="background1"/>
              </w:rPr>
              <w:t xml:space="preserve">Total </w:t>
            </w:r>
            <w:r w:rsidR="001C29A3">
              <w:rPr>
                <w:color w:val="FFFFFF" w:themeColor="background1"/>
              </w:rPr>
              <w:t>excluded companies</w:t>
            </w:r>
          </w:p>
        </w:tc>
        <w:tc>
          <w:tcPr>
            <w:tcW w:w="1276" w:type="dxa"/>
            <w:tcBorders>
              <w:top w:val="single" w:sz="4" w:space="0" w:color="auto"/>
            </w:tcBorders>
            <w:shd w:val="clear" w:color="auto" w:fill="8DB3E2" w:themeFill="text2" w:themeFillTint="66"/>
            <w:vAlign w:val="center"/>
          </w:tcPr>
          <w:p w:rsidR="00C90F5C" w:rsidRPr="00B34E9A" w:rsidRDefault="00143F64" w:rsidP="00B27362">
            <w:pPr>
              <w:spacing w:line="360" w:lineRule="auto"/>
              <w:jc w:val="both"/>
              <w:cnfStyle w:val="000000000000"/>
              <w:rPr>
                <w:b/>
                <w:color w:val="FFFFFF" w:themeColor="background1"/>
              </w:rPr>
            </w:pPr>
            <w:r w:rsidRPr="00B34E9A">
              <w:rPr>
                <w:b/>
                <w:color w:val="FFFFFF" w:themeColor="background1"/>
              </w:rPr>
              <w:t xml:space="preserve">        </w:t>
            </w:r>
          </w:p>
        </w:tc>
        <w:tc>
          <w:tcPr>
            <w:tcW w:w="1382" w:type="dxa"/>
            <w:tcBorders>
              <w:bottom w:val="single" w:sz="4" w:space="0" w:color="FFFFFF" w:themeColor="background1"/>
            </w:tcBorders>
            <w:shd w:val="clear" w:color="auto" w:fill="8DB3E2" w:themeFill="text2" w:themeFillTint="66"/>
            <w:vAlign w:val="center"/>
          </w:tcPr>
          <w:p w:rsidR="00C90F5C" w:rsidRPr="00B34E9A" w:rsidRDefault="00B27362" w:rsidP="00B27362">
            <w:pPr>
              <w:spacing w:line="360" w:lineRule="auto"/>
              <w:jc w:val="center"/>
              <w:cnfStyle w:val="000000000000"/>
              <w:rPr>
                <w:b/>
                <w:color w:val="FFFFFF" w:themeColor="background1"/>
              </w:rPr>
            </w:pPr>
            <w:r w:rsidRPr="00B34E9A">
              <w:rPr>
                <w:b/>
                <w:color w:val="FFFFFF" w:themeColor="background1"/>
              </w:rPr>
              <w:t>29</w:t>
            </w:r>
          </w:p>
        </w:tc>
      </w:tr>
      <w:tr w:rsidR="00C90F5C" w:rsidRPr="00B27362" w:rsidTr="006663CD">
        <w:trPr>
          <w:cnfStyle w:val="000000100000"/>
        </w:trPr>
        <w:tc>
          <w:tcPr>
            <w:cnfStyle w:val="001000000000"/>
            <w:tcW w:w="4644" w:type="dxa"/>
            <w:tcBorders>
              <w:top w:val="none" w:sz="0" w:space="0" w:color="auto"/>
              <w:left w:val="none" w:sz="0" w:space="0" w:color="auto"/>
              <w:bottom w:val="none" w:sz="0" w:space="0" w:color="auto"/>
            </w:tcBorders>
            <w:shd w:val="clear" w:color="auto" w:fill="4F81BD" w:themeFill="accent1"/>
            <w:vAlign w:val="bottom"/>
          </w:tcPr>
          <w:p w:rsidR="00C90F5C" w:rsidRPr="00B27362" w:rsidRDefault="00C90F5C" w:rsidP="00720136">
            <w:pPr>
              <w:spacing w:line="360" w:lineRule="auto"/>
              <w:rPr>
                <w:color w:val="FFFFFF" w:themeColor="background1"/>
              </w:rPr>
            </w:pPr>
            <w:r w:rsidRPr="00B27362">
              <w:rPr>
                <w:color w:val="FFFFFF" w:themeColor="background1"/>
              </w:rPr>
              <w:t>Total</w:t>
            </w:r>
          </w:p>
        </w:tc>
        <w:tc>
          <w:tcPr>
            <w:tcW w:w="1276" w:type="dxa"/>
            <w:tcBorders>
              <w:top w:val="none" w:sz="0" w:space="0" w:color="auto"/>
              <w:bottom w:val="none" w:sz="0" w:space="0" w:color="auto"/>
            </w:tcBorders>
            <w:shd w:val="clear" w:color="auto" w:fill="4F81BD" w:themeFill="accent1"/>
            <w:vAlign w:val="bottom"/>
          </w:tcPr>
          <w:p w:rsidR="00C90F5C" w:rsidRPr="00B27362" w:rsidRDefault="00C90F5C" w:rsidP="00B27362">
            <w:pPr>
              <w:spacing w:line="360" w:lineRule="auto"/>
              <w:cnfStyle w:val="000000100000"/>
              <w:rPr>
                <w:b/>
                <w:color w:val="FFFFFF" w:themeColor="background1"/>
              </w:rPr>
            </w:pPr>
          </w:p>
        </w:tc>
        <w:tc>
          <w:tcPr>
            <w:tcW w:w="1382" w:type="dxa"/>
            <w:tcBorders>
              <w:top w:val="single" w:sz="4" w:space="0" w:color="FFFFFF" w:themeColor="background1"/>
              <w:bottom w:val="none" w:sz="0" w:space="0" w:color="auto"/>
              <w:right w:val="none" w:sz="0" w:space="0" w:color="auto"/>
            </w:tcBorders>
            <w:shd w:val="clear" w:color="auto" w:fill="4F81BD" w:themeFill="accent1"/>
            <w:vAlign w:val="bottom"/>
          </w:tcPr>
          <w:p w:rsidR="00C90F5C" w:rsidRPr="00B27362" w:rsidRDefault="00C90F5C" w:rsidP="00B27362">
            <w:pPr>
              <w:spacing w:line="360" w:lineRule="auto"/>
              <w:jc w:val="center"/>
              <w:cnfStyle w:val="000000100000"/>
              <w:rPr>
                <w:b/>
                <w:color w:val="FFFFFF" w:themeColor="background1"/>
              </w:rPr>
            </w:pPr>
            <w:r w:rsidRPr="00B27362">
              <w:rPr>
                <w:b/>
                <w:color w:val="FFFFFF" w:themeColor="background1"/>
              </w:rPr>
              <w:t>44</w:t>
            </w:r>
          </w:p>
        </w:tc>
      </w:tr>
    </w:tbl>
    <w:p w:rsidR="001D5F43" w:rsidRPr="000B3455" w:rsidRDefault="00B27362" w:rsidP="0088553E">
      <w:pPr>
        <w:spacing w:line="360" w:lineRule="auto"/>
        <w:jc w:val="both"/>
      </w:pPr>
      <w:r w:rsidRPr="00B34E9A">
        <w:rPr>
          <w:color w:val="FFFFFF" w:themeColor="background1"/>
        </w:rPr>
        <w:br w:type="textWrapping" w:clear="all"/>
      </w:r>
      <w:r w:rsidR="00B34E9A">
        <w:br/>
      </w:r>
      <w:r w:rsidR="00A102E4" w:rsidRPr="000B3455">
        <w:t xml:space="preserve">The 44 firms in the sample should meet additional requirements to be incorporated in the hypotheses, since including firms that did not grant stock options to the board of directors might lead to biased results. The requirements are </w:t>
      </w:r>
      <w:r w:rsidR="002A7FF2" w:rsidRPr="000B3455">
        <w:t>the same for hypotheses 1, 3, and 4, since they all require granted stock option compensation. The requirement for hypothesis 2 requires shares</w:t>
      </w:r>
      <w:r w:rsidR="00A102E4" w:rsidRPr="000B3455">
        <w:t xml:space="preserve"> </w:t>
      </w:r>
      <w:r w:rsidR="002A7FF2" w:rsidRPr="000B3455">
        <w:t>to be granted to the board of directors.</w:t>
      </w:r>
    </w:p>
    <w:p w:rsidR="00A102E4" w:rsidRPr="000B3455" w:rsidRDefault="002A7FF2" w:rsidP="0088553E">
      <w:pPr>
        <w:spacing w:line="360" w:lineRule="auto"/>
        <w:jc w:val="both"/>
      </w:pPr>
      <w:r w:rsidRPr="000B3455">
        <w:t>For hypothese</w:t>
      </w:r>
      <w:r w:rsidR="00A102E4" w:rsidRPr="000B3455">
        <w:t>s 1</w:t>
      </w:r>
      <w:r w:rsidRPr="000B3455">
        <w:t>, 3, and 4</w:t>
      </w:r>
      <w:r w:rsidR="00A102E4" w:rsidRPr="000B3455">
        <w:t>:</w:t>
      </w:r>
    </w:p>
    <w:p w:rsidR="00A102E4" w:rsidRPr="000B3455" w:rsidRDefault="00A102E4" w:rsidP="0088553E">
      <w:pPr>
        <w:pStyle w:val="ListParagraph"/>
        <w:numPr>
          <w:ilvl w:val="0"/>
          <w:numId w:val="8"/>
        </w:numPr>
        <w:spacing w:line="360" w:lineRule="auto"/>
        <w:jc w:val="both"/>
      </w:pPr>
      <w:r w:rsidRPr="000B3455">
        <w:t>The firm has granted stock option</w:t>
      </w:r>
      <w:r w:rsidR="002A7FF2" w:rsidRPr="000B3455">
        <w:t>s to the board of directors</w:t>
      </w:r>
      <w:r w:rsidR="00012463" w:rsidRPr="000B3455">
        <w:t xml:space="preserve"> in </w:t>
      </w:r>
      <w:r w:rsidR="00E21A75" w:rsidRPr="000B3455">
        <w:t>at least one</w:t>
      </w:r>
      <w:r w:rsidR="00012463" w:rsidRPr="000B3455">
        <w:t xml:space="preserve"> year of the period 2002-2007</w:t>
      </w:r>
      <w:r w:rsidRPr="000B3455">
        <w:t>.</w:t>
      </w:r>
    </w:p>
    <w:p w:rsidR="002A7FF2" w:rsidRPr="000B3455" w:rsidRDefault="002A7FF2" w:rsidP="0088553E">
      <w:pPr>
        <w:spacing w:line="360" w:lineRule="auto"/>
        <w:jc w:val="both"/>
      </w:pPr>
      <w:r w:rsidRPr="000B3455">
        <w:t xml:space="preserve">Of the 44 firms </w:t>
      </w:r>
      <w:r w:rsidR="00012463" w:rsidRPr="000B3455">
        <w:t>3</w:t>
      </w:r>
      <w:r w:rsidR="008029DA" w:rsidRPr="000B3455">
        <w:t>4</w:t>
      </w:r>
      <w:r w:rsidRPr="000B3455">
        <w:t xml:space="preserve"> firms meet this additional requirement, leading to a sample size for hypotheses 1, 3, and 4 of </w:t>
      </w:r>
      <w:r w:rsidR="00012463" w:rsidRPr="000B3455">
        <w:t>3</w:t>
      </w:r>
      <w:r w:rsidR="008029DA" w:rsidRPr="000B3455">
        <w:t>4</w:t>
      </w:r>
      <w:r w:rsidRPr="000B3455">
        <w:t xml:space="preserve"> firms.</w:t>
      </w:r>
    </w:p>
    <w:p w:rsidR="00A102E4" w:rsidRPr="000B3455" w:rsidRDefault="00A102E4" w:rsidP="0088553E">
      <w:pPr>
        <w:spacing w:line="360" w:lineRule="auto"/>
        <w:jc w:val="both"/>
      </w:pPr>
      <w:r w:rsidRPr="000B3455">
        <w:t>For hypothesis 2:</w:t>
      </w:r>
    </w:p>
    <w:p w:rsidR="002A7FF2" w:rsidRPr="000B3455" w:rsidRDefault="002A7FF2" w:rsidP="0088553E">
      <w:pPr>
        <w:pStyle w:val="ListParagraph"/>
        <w:numPr>
          <w:ilvl w:val="0"/>
          <w:numId w:val="8"/>
        </w:numPr>
        <w:spacing w:line="360" w:lineRule="auto"/>
        <w:jc w:val="both"/>
      </w:pPr>
      <w:r w:rsidRPr="000B3455">
        <w:t xml:space="preserve">The firm has granted shares to the board of directors in </w:t>
      </w:r>
      <w:r w:rsidR="00E21A75" w:rsidRPr="000B3455">
        <w:t>at least one year</w:t>
      </w:r>
      <w:r w:rsidR="00012463" w:rsidRPr="000B3455">
        <w:t xml:space="preserve"> of the period 2002-2007.</w:t>
      </w:r>
    </w:p>
    <w:p w:rsidR="002A7FF2" w:rsidRPr="000B3455" w:rsidRDefault="002A7FF2" w:rsidP="0088553E">
      <w:pPr>
        <w:spacing w:line="360" w:lineRule="auto"/>
        <w:jc w:val="both"/>
      </w:pPr>
      <w:r w:rsidRPr="000B3455">
        <w:t xml:space="preserve">For hypothesis 2, </w:t>
      </w:r>
      <w:r w:rsidR="00012463" w:rsidRPr="000B3455">
        <w:t>2</w:t>
      </w:r>
      <w:r w:rsidR="006C764C" w:rsidRPr="000B3455">
        <w:t>9</w:t>
      </w:r>
      <w:r w:rsidRPr="000B3455">
        <w:t xml:space="preserve"> firms meet this requirement.</w:t>
      </w:r>
    </w:p>
    <w:p w:rsidR="001D5F43" w:rsidRPr="000B3455" w:rsidRDefault="001D5F43" w:rsidP="0088553E">
      <w:pPr>
        <w:spacing w:line="360" w:lineRule="auto"/>
        <w:jc w:val="both"/>
      </w:pPr>
      <w:r w:rsidRPr="000B3455">
        <w:t>The data about remuneration of the board of management is manually collected from company’s annual reports. Missing data about share prices are replaced by the year end share price, as retrieved from Thomson One Banker. For the calculation of the missing fair values of stock options granted to the board of management the Black-Scholes formula is used, as discussed in section 3.2.1</w:t>
      </w:r>
      <w:r w:rsidR="004D78BA" w:rsidRPr="000B3455">
        <w:t xml:space="preserve"> and Appendix I</w:t>
      </w:r>
      <w:r w:rsidRPr="000B3455">
        <w:t xml:space="preserve">. In this thesis it is assumed that dividends are proportional to the share price. Therefore, the dividend yield </w:t>
      </w:r>
      <w:r w:rsidRPr="000B3455">
        <w:lastRenderedPageBreak/>
        <w:t xml:space="preserve">retrieved from the Thomson One Banker database can be used in order to calculate </w:t>
      </w:r>
      <w:r w:rsidRPr="000B3455">
        <w:rPr>
          <w:i/>
        </w:rPr>
        <w:t>S</w:t>
      </w:r>
      <w:r w:rsidRPr="000B3455">
        <w:rPr>
          <w:i/>
          <w:vertAlign w:val="superscript"/>
        </w:rPr>
        <w:t>x</w:t>
      </w:r>
      <w:r w:rsidRPr="000B3455">
        <w:t xml:space="preserve">. In addition, information of stock volatility is also available in Thomson One Banker. The </w:t>
      </w:r>
      <w:r w:rsidR="00A45ED9" w:rsidRPr="000B3455">
        <w:t xml:space="preserve">risk free </w:t>
      </w:r>
      <w:r w:rsidRPr="000B3455">
        <w:t>interest rates are not company</w:t>
      </w:r>
      <w:r w:rsidR="00C523A8" w:rsidRPr="000B3455">
        <w:t>-</w:t>
      </w:r>
      <w:r w:rsidRPr="000B3455">
        <w:t>specific, therefore the same</w:t>
      </w:r>
      <w:r w:rsidR="00A45ED9" w:rsidRPr="000B3455">
        <w:t xml:space="preserve"> rates will be used for a</w:t>
      </w:r>
      <w:r w:rsidRPr="000B3455">
        <w:t xml:space="preserve"> specific year. </w:t>
      </w:r>
      <w:r w:rsidR="00A13CB2" w:rsidRPr="000B3455">
        <w:t>As IFRS 2 prescribes in section B37, t</w:t>
      </w:r>
      <w:r w:rsidRPr="000B3455">
        <w:t xml:space="preserve">he </w:t>
      </w:r>
      <w:r w:rsidR="00A45ED9" w:rsidRPr="000B3455">
        <w:t xml:space="preserve">risk free </w:t>
      </w:r>
      <w:r w:rsidRPr="000B3455">
        <w:t>interest rates are as specified by the Dutch Central Bank (I</w:t>
      </w:r>
      <w:r w:rsidR="00A45ED9" w:rsidRPr="000B3455">
        <w:t xml:space="preserve">n Dutch: De Nederlandsche Bank), and are defined as the interest rate on Dutch government bonds. </w:t>
      </w:r>
    </w:p>
    <w:p w:rsidR="001D5F43" w:rsidRPr="000B3455" w:rsidRDefault="001D5F43" w:rsidP="0088553E">
      <w:pPr>
        <w:pStyle w:val="Heading2"/>
        <w:spacing w:line="360" w:lineRule="auto"/>
        <w:jc w:val="both"/>
      </w:pPr>
      <w:bookmarkStart w:id="71" w:name="_Toc298944581"/>
      <w:r w:rsidRPr="000B3455">
        <w:t>5.3 Research model</w:t>
      </w:r>
      <w:bookmarkEnd w:id="71"/>
    </w:p>
    <w:p w:rsidR="001D5F43" w:rsidRPr="000B3455" w:rsidRDefault="001D5F43" w:rsidP="0088553E">
      <w:pPr>
        <w:spacing w:line="360" w:lineRule="auto"/>
        <w:jc w:val="both"/>
      </w:pPr>
      <w:r w:rsidRPr="000B3455">
        <w:t xml:space="preserve">The Dutch accounting standards were different than the FASB standards before 2005. The adoption of IFRS in 2005 caused a convergence between the IFRSs in the Netherlands and the FASB standards. Because of the different institutional setting the used research models in the discussed U.S.-based studies cannot be used to test for a substitution effect in the Netherlands. The study of Feng and Tian (2007) focuses primarily on the trend of stock option compensation with an event date of 2002. Additionally, they discuss the trend of other compensation forms briefly without linking it to the trend of stock option compensation in their model. The models of Brown and Lee (2007), Carter et al. (2007), and Choudhary (2008) do focus on the substitution effect in 2005, but they incorporate the choice between the intrinsic value method and the fair value method for stock options in their research models. Swagerman and Terpstra (2009) did not include a research model in their article. In addition, their sample period consisted of the period 2002-2004, and the scientific power of this research is questionable. Kraakman (2010) uses the same model as Feng and Tian (2007). Besides, she studies the trend of only stock option compensation. All previously discussed studies do not include appropriate research models for the purpose of this study. However, </w:t>
      </w:r>
      <w:r w:rsidR="009C1B94" w:rsidRPr="000B3455">
        <w:t xml:space="preserve">as </w:t>
      </w:r>
      <w:r w:rsidRPr="000B3455">
        <w:t>they might provide support in developing a new research model specific to the Dutch institutional setting</w:t>
      </w:r>
      <w:r w:rsidR="009C1B94" w:rsidRPr="000B3455">
        <w:t>, the research models are based on the models discussed in the literature review</w:t>
      </w:r>
      <w:r w:rsidRPr="000B3455">
        <w:t xml:space="preserve">. Hypotheses 1 and 2 require a different research model relative to the other three hypotheses. The first two hypotheses are developed to research the trend of granted stock options and shares to the board of directors. Whereas hypotheses 3, 4, and 5 deal with the substitution effect of stock options towards other forms of compensation. </w:t>
      </w:r>
    </w:p>
    <w:p w:rsidR="001D5F43" w:rsidRPr="000B3455" w:rsidRDefault="001D5F43" w:rsidP="0088553E">
      <w:pPr>
        <w:pStyle w:val="Heading3"/>
        <w:spacing w:line="360" w:lineRule="auto"/>
        <w:jc w:val="both"/>
      </w:pPr>
      <w:bookmarkStart w:id="72" w:name="_Toc298944582"/>
      <w:r w:rsidRPr="000B3455">
        <w:t>5.3.1 Control variables</w:t>
      </w:r>
      <w:bookmarkEnd w:id="72"/>
    </w:p>
    <w:p w:rsidR="001D5F43" w:rsidRPr="000B3455" w:rsidRDefault="001D5F43" w:rsidP="0088553E">
      <w:pPr>
        <w:spacing w:line="360" w:lineRule="auto"/>
        <w:jc w:val="both"/>
      </w:pPr>
      <w:r w:rsidRPr="000B3455">
        <w:t xml:space="preserve">As discussed in section </w:t>
      </w:r>
      <w:r w:rsidR="000C2368">
        <w:t>4.4</w:t>
      </w:r>
      <w:r w:rsidRPr="000B3455">
        <w:t>, the level of compensation depends on several other factors than only the accounting treatment applied. To investigate the impact of the change of Dutch GAAP to IFRS on the level of remuneration, it is necessary to filter out the impact of other fact</w:t>
      </w:r>
      <w:r w:rsidR="002F28BB" w:rsidRPr="000B3455">
        <w:t>ors. The most prevalent factors will be used as control variables</w:t>
      </w:r>
      <w:r w:rsidRPr="000B3455">
        <w:t xml:space="preserve">. </w:t>
      </w:r>
      <w:r w:rsidR="002F28BB" w:rsidRPr="000B3455">
        <w:t xml:space="preserve">Since the sample size is small, the research model includes only 7 control variables, as indicated by the literature review in the previous chapter. </w:t>
      </w:r>
      <w:r w:rsidRPr="000B3455">
        <w:t xml:space="preserve">The control variables </w:t>
      </w:r>
      <w:r w:rsidRPr="000B3455">
        <w:lastRenderedPageBreak/>
        <w:t>should reduce the influence of other factors on remuneration. The control variables that will be included in both research models are: size, growth opportunities, performance, risk, board size, and liquidity constraints. In addition, dummy variables are included to distinguish between different industries.</w:t>
      </w:r>
      <w:r w:rsidR="00715EAA" w:rsidRPr="000B3455">
        <w:t xml:space="preserve"> As the categorical predictor variables in a multiple regression should consist of two categories (Field</w:t>
      </w:r>
      <w:r w:rsidR="00502BB0" w:rsidRPr="000B3455">
        <w:t>, 2</w:t>
      </w:r>
      <w:r w:rsidR="00715EAA" w:rsidRPr="000B3455">
        <w:t xml:space="preserve">005, </w:t>
      </w:r>
      <w:r w:rsidR="00EB350F" w:rsidRPr="000B3455">
        <w:t xml:space="preserve">p. </w:t>
      </w:r>
      <w:r w:rsidR="00715EAA" w:rsidRPr="000B3455">
        <w:t xml:space="preserve">169), 11 dummy variables are included that can each equal the value of 1 or 0. </w:t>
      </w:r>
      <w:r w:rsidRPr="000B3455">
        <w:t xml:space="preserve"> The next table shows how the control variables are measured, and which articles use the same measure:</w:t>
      </w:r>
    </w:p>
    <w:tbl>
      <w:tblPr>
        <w:tblStyle w:val="Gemiddeldearcering1-accent11"/>
        <w:tblW w:w="0" w:type="auto"/>
        <w:tblLook w:val="04A0"/>
      </w:tblPr>
      <w:tblGrid>
        <w:gridCol w:w="2460"/>
        <w:gridCol w:w="3763"/>
        <w:gridCol w:w="3353"/>
      </w:tblGrid>
      <w:tr w:rsidR="001D5F43" w:rsidRPr="00716C98" w:rsidTr="00716C98">
        <w:trPr>
          <w:cnfStyle w:val="100000000000"/>
        </w:trPr>
        <w:tc>
          <w:tcPr>
            <w:cnfStyle w:val="001000000000"/>
            <w:tcW w:w="2460" w:type="dxa"/>
          </w:tcPr>
          <w:p w:rsidR="001D5F43" w:rsidRPr="00716C98" w:rsidRDefault="001D5F43" w:rsidP="0088553E">
            <w:pPr>
              <w:spacing w:line="360" w:lineRule="auto"/>
              <w:jc w:val="both"/>
            </w:pPr>
            <w:r w:rsidRPr="00716C98">
              <w:t>Control Variable</w:t>
            </w:r>
          </w:p>
        </w:tc>
        <w:tc>
          <w:tcPr>
            <w:tcW w:w="3763" w:type="dxa"/>
          </w:tcPr>
          <w:p w:rsidR="001D5F43" w:rsidRPr="00716C98" w:rsidRDefault="001D5F43" w:rsidP="0088553E">
            <w:pPr>
              <w:spacing w:line="360" w:lineRule="auto"/>
              <w:jc w:val="both"/>
              <w:cnfStyle w:val="100000000000"/>
            </w:pPr>
            <w:r w:rsidRPr="00716C98">
              <w:t>Measurement</w:t>
            </w:r>
          </w:p>
        </w:tc>
        <w:tc>
          <w:tcPr>
            <w:tcW w:w="3353" w:type="dxa"/>
          </w:tcPr>
          <w:p w:rsidR="001D5F43" w:rsidRPr="00716C98" w:rsidRDefault="001D5F43" w:rsidP="0088553E">
            <w:pPr>
              <w:spacing w:line="360" w:lineRule="auto"/>
              <w:jc w:val="both"/>
              <w:cnfStyle w:val="100000000000"/>
            </w:pPr>
            <w:r w:rsidRPr="00716C98">
              <w:t>Article</w:t>
            </w:r>
          </w:p>
        </w:tc>
      </w:tr>
      <w:tr w:rsidR="001D5F43" w:rsidRPr="000B3455" w:rsidTr="00716C98">
        <w:trPr>
          <w:cnfStyle w:val="000000100000"/>
        </w:trPr>
        <w:tc>
          <w:tcPr>
            <w:cnfStyle w:val="001000000000"/>
            <w:tcW w:w="2460" w:type="dxa"/>
            <w:tcBorders>
              <w:right w:val="single" w:sz="8" w:space="0" w:color="7BA0CD" w:themeColor="accent1" w:themeTint="BF"/>
            </w:tcBorders>
          </w:tcPr>
          <w:p w:rsidR="001D5F43" w:rsidRPr="000B3455" w:rsidRDefault="001D5F43" w:rsidP="0088553E">
            <w:pPr>
              <w:spacing w:line="360" w:lineRule="auto"/>
              <w:jc w:val="both"/>
            </w:pPr>
            <w:r w:rsidRPr="000B3455">
              <w:t>Size (LN_ASSET</w:t>
            </w:r>
            <w:r w:rsidRPr="000B3455">
              <w:rPr>
                <w:vertAlign w:val="subscript"/>
              </w:rPr>
              <w:t>it</w:t>
            </w:r>
            <w:r w:rsidRPr="000B3455">
              <w:t>)</w:t>
            </w:r>
          </w:p>
        </w:tc>
        <w:tc>
          <w:tcPr>
            <w:tcW w:w="3763" w:type="dxa"/>
            <w:tcBorders>
              <w:left w:val="single" w:sz="8" w:space="0" w:color="7BA0CD" w:themeColor="accent1" w:themeTint="BF"/>
              <w:right w:val="single" w:sz="8" w:space="0" w:color="7BA0CD" w:themeColor="accent1" w:themeTint="BF"/>
            </w:tcBorders>
          </w:tcPr>
          <w:p w:rsidR="001D5F43" w:rsidRPr="000B3455" w:rsidRDefault="001D5F43" w:rsidP="0088553E">
            <w:pPr>
              <w:spacing w:line="360" w:lineRule="auto"/>
              <w:jc w:val="both"/>
              <w:cnfStyle w:val="000000100000"/>
            </w:pPr>
            <w:r w:rsidRPr="000B3455">
              <w:t>The natural logarithm of a firm’s total assets</w:t>
            </w:r>
          </w:p>
        </w:tc>
        <w:tc>
          <w:tcPr>
            <w:tcW w:w="3353" w:type="dxa"/>
            <w:tcBorders>
              <w:left w:val="single" w:sz="8" w:space="0" w:color="7BA0CD" w:themeColor="accent1" w:themeTint="BF"/>
            </w:tcBorders>
          </w:tcPr>
          <w:p w:rsidR="001D5F43" w:rsidRPr="000B3455" w:rsidRDefault="001D5F43" w:rsidP="0088553E">
            <w:pPr>
              <w:spacing w:line="360" w:lineRule="auto"/>
              <w:jc w:val="both"/>
              <w:cnfStyle w:val="000000100000"/>
            </w:pPr>
            <w:r w:rsidRPr="000B3455">
              <w:t>Chalmers et al. (2006</w:t>
            </w:r>
            <w:r w:rsidR="00924983" w:rsidRPr="000B3455">
              <w:t>,</w:t>
            </w:r>
            <w:r w:rsidRPr="000B3455">
              <w:t xml:space="preserve"> </w:t>
            </w:r>
            <w:r w:rsidR="00EB350F" w:rsidRPr="000B3455">
              <w:t>p</w:t>
            </w:r>
            <w:r w:rsidR="00C523A8" w:rsidRPr="000B3455">
              <w:t>p</w:t>
            </w:r>
            <w:r w:rsidR="00EB350F" w:rsidRPr="000B3455">
              <w:t xml:space="preserve">. </w:t>
            </w:r>
            <w:r w:rsidR="00924983" w:rsidRPr="000B3455">
              <w:t>268-269), Murphy (199</w:t>
            </w:r>
            <w:r w:rsidR="007A0CBE" w:rsidRPr="000B3455">
              <w:t>8</w:t>
            </w:r>
            <w:r w:rsidR="00924983" w:rsidRPr="000B3455">
              <w:t xml:space="preserve">, </w:t>
            </w:r>
            <w:r w:rsidR="00EB350F" w:rsidRPr="000B3455">
              <w:t xml:space="preserve">p. </w:t>
            </w:r>
            <w:r w:rsidRPr="000B3455">
              <w:t>6), and Carter et al. (2007</w:t>
            </w:r>
            <w:r w:rsidR="00924983" w:rsidRPr="000B3455">
              <w:t>,</w:t>
            </w:r>
            <w:r w:rsidRPr="000B3455">
              <w:t xml:space="preserve"> </w:t>
            </w:r>
            <w:r w:rsidR="00EB350F" w:rsidRPr="000B3455">
              <w:t>p</w:t>
            </w:r>
            <w:r w:rsidR="00C523A8" w:rsidRPr="000B3455">
              <w:t>p</w:t>
            </w:r>
            <w:r w:rsidR="00EB350F" w:rsidRPr="000B3455">
              <w:t xml:space="preserve">. </w:t>
            </w:r>
            <w:r w:rsidRPr="000B3455">
              <w:t>341-343)</w:t>
            </w:r>
          </w:p>
        </w:tc>
      </w:tr>
      <w:tr w:rsidR="001D5F43" w:rsidRPr="000B3455" w:rsidTr="00716C98">
        <w:trPr>
          <w:cnfStyle w:val="000000010000"/>
        </w:trPr>
        <w:tc>
          <w:tcPr>
            <w:cnfStyle w:val="001000000000"/>
            <w:tcW w:w="2460" w:type="dxa"/>
            <w:tcBorders>
              <w:right w:val="single" w:sz="8" w:space="0" w:color="7BA0CD" w:themeColor="accent1" w:themeTint="BF"/>
            </w:tcBorders>
          </w:tcPr>
          <w:p w:rsidR="001D5F43" w:rsidRPr="000B3455" w:rsidRDefault="001D5F43" w:rsidP="0088553E">
            <w:pPr>
              <w:spacing w:line="360" w:lineRule="auto"/>
              <w:jc w:val="both"/>
            </w:pPr>
            <w:r w:rsidRPr="000B3455">
              <w:t>Growth opportunities (MTB</w:t>
            </w:r>
            <w:r w:rsidRPr="000B3455">
              <w:rPr>
                <w:vertAlign w:val="subscript"/>
              </w:rPr>
              <w:t>it</w:t>
            </w:r>
            <w:r w:rsidRPr="000B3455">
              <w:t>)</w:t>
            </w:r>
          </w:p>
        </w:tc>
        <w:tc>
          <w:tcPr>
            <w:tcW w:w="3763" w:type="dxa"/>
            <w:tcBorders>
              <w:left w:val="single" w:sz="8" w:space="0" w:color="7BA0CD" w:themeColor="accent1" w:themeTint="BF"/>
              <w:right w:val="single" w:sz="8" w:space="0" w:color="7BA0CD" w:themeColor="accent1" w:themeTint="BF"/>
            </w:tcBorders>
          </w:tcPr>
          <w:p w:rsidR="001D5F43" w:rsidRPr="000B3455" w:rsidRDefault="001D5F43" w:rsidP="0088553E">
            <w:pPr>
              <w:spacing w:line="360" w:lineRule="auto"/>
              <w:jc w:val="both"/>
              <w:cnfStyle w:val="000000010000"/>
            </w:pPr>
            <w:r w:rsidRPr="000B3455">
              <w:t>Market to book ratio (market value of equity / book value of equity)</w:t>
            </w:r>
          </w:p>
        </w:tc>
        <w:tc>
          <w:tcPr>
            <w:tcW w:w="3353" w:type="dxa"/>
            <w:tcBorders>
              <w:left w:val="single" w:sz="8" w:space="0" w:color="7BA0CD" w:themeColor="accent1" w:themeTint="BF"/>
            </w:tcBorders>
          </w:tcPr>
          <w:p w:rsidR="001D5F43" w:rsidRPr="000B3455" w:rsidRDefault="001D5F43" w:rsidP="0088553E">
            <w:pPr>
              <w:spacing w:line="360" w:lineRule="auto"/>
              <w:jc w:val="both"/>
              <w:cnfStyle w:val="000000010000"/>
            </w:pPr>
            <w:r w:rsidRPr="000B3455">
              <w:t>Chalmers et al. (2006</w:t>
            </w:r>
            <w:r w:rsidR="00924983" w:rsidRPr="000B3455">
              <w:t>,</w:t>
            </w:r>
            <w:r w:rsidRPr="000B3455">
              <w:t xml:space="preserve"> </w:t>
            </w:r>
            <w:r w:rsidR="00EB350F" w:rsidRPr="000B3455">
              <w:t>p</w:t>
            </w:r>
            <w:r w:rsidR="00C523A8" w:rsidRPr="000B3455">
              <w:t>p</w:t>
            </w:r>
            <w:r w:rsidR="00EB350F" w:rsidRPr="000B3455">
              <w:t xml:space="preserve">. </w:t>
            </w:r>
            <w:r w:rsidRPr="000B3455">
              <w:t>268-269) and Brown and Lee (2007</w:t>
            </w:r>
            <w:r w:rsidR="00924983" w:rsidRPr="000B3455">
              <w:t xml:space="preserve">, </w:t>
            </w:r>
            <w:r w:rsidR="00EB350F" w:rsidRPr="000B3455">
              <w:t xml:space="preserve">p. </w:t>
            </w:r>
            <w:r w:rsidRPr="000B3455">
              <w:t>17)</w:t>
            </w:r>
          </w:p>
        </w:tc>
      </w:tr>
      <w:tr w:rsidR="001D5F43" w:rsidRPr="000B3455" w:rsidTr="00716C98">
        <w:trPr>
          <w:cnfStyle w:val="000000100000"/>
        </w:trPr>
        <w:tc>
          <w:tcPr>
            <w:cnfStyle w:val="001000000000"/>
            <w:tcW w:w="2460" w:type="dxa"/>
            <w:tcBorders>
              <w:right w:val="single" w:sz="8" w:space="0" w:color="7BA0CD" w:themeColor="accent1" w:themeTint="BF"/>
            </w:tcBorders>
          </w:tcPr>
          <w:p w:rsidR="001D5F43" w:rsidRPr="000B3455" w:rsidRDefault="001D5F43" w:rsidP="0088553E">
            <w:pPr>
              <w:spacing w:line="360" w:lineRule="auto"/>
              <w:jc w:val="both"/>
            </w:pPr>
            <w:r w:rsidRPr="000B3455">
              <w:t>Performance (RET</w:t>
            </w:r>
            <w:r w:rsidRPr="000B3455">
              <w:rPr>
                <w:vertAlign w:val="subscript"/>
              </w:rPr>
              <w:t>it</w:t>
            </w:r>
            <w:r w:rsidRPr="000B3455">
              <w:t>)</w:t>
            </w:r>
          </w:p>
        </w:tc>
        <w:tc>
          <w:tcPr>
            <w:tcW w:w="3763" w:type="dxa"/>
            <w:tcBorders>
              <w:left w:val="single" w:sz="8" w:space="0" w:color="7BA0CD" w:themeColor="accent1" w:themeTint="BF"/>
              <w:right w:val="single" w:sz="8" w:space="0" w:color="7BA0CD" w:themeColor="accent1" w:themeTint="BF"/>
            </w:tcBorders>
          </w:tcPr>
          <w:p w:rsidR="001D5F43" w:rsidRPr="000B3455" w:rsidRDefault="001D18C9" w:rsidP="0088553E">
            <w:pPr>
              <w:spacing w:line="360" w:lineRule="auto"/>
              <w:jc w:val="both"/>
              <w:cnfStyle w:val="000000100000"/>
            </w:pPr>
            <w:r w:rsidRPr="000B3455">
              <w:t>Past stock returns measured by total investment return</w:t>
            </w:r>
          </w:p>
        </w:tc>
        <w:tc>
          <w:tcPr>
            <w:tcW w:w="3353" w:type="dxa"/>
            <w:tcBorders>
              <w:left w:val="single" w:sz="8" w:space="0" w:color="7BA0CD" w:themeColor="accent1" w:themeTint="BF"/>
            </w:tcBorders>
          </w:tcPr>
          <w:p w:rsidR="001D5F43" w:rsidRPr="000B3455" w:rsidRDefault="001D18C9" w:rsidP="0088553E">
            <w:pPr>
              <w:spacing w:line="360" w:lineRule="auto"/>
              <w:jc w:val="both"/>
              <w:cnfStyle w:val="000000100000"/>
            </w:pPr>
            <w:r w:rsidRPr="000B3455">
              <w:t xml:space="preserve">Feng &amp; Tian (2007, </w:t>
            </w:r>
            <w:r w:rsidR="00EB350F" w:rsidRPr="000B3455">
              <w:t xml:space="preserve">p. </w:t>
            </w:r>
            <w:r w:rsidRPr="000B3455">
              <w:t xml:space="preserve">41) and Carter et al. (2007, </w:t>
            </w:r>
            <w:r w:rsidR="00EB350F" w:rsidRPr="000B3455">
              <w:t>p</w:t>
            </w:r>
            <w:r w:rsidR="00C523A8" w:rsidRPr="000B3455">
              <w:t>p</w:t>
            </w:r>
            <w:r w:rsidR="00EB350F" w:rsidRPr="000B3455">
              <w:t xml:space="preserve">. </w:t>
            </w:r>
            <w:r w:rsidRPr="000B3455">
              <w:t>341-343)</w:t>
            </w:r>
          </w:p>
        </w:tc>
      </w:tr>
      <w:tr w:rsidR="001D5F43" w:rsidRPr="000B3455" w:rsidTr="00716C98">
        <w:trPr>
          <w:cnfStyle w:val="000000010000"/>
        </w:trPr>
        <w:tc>
          <w:tcPr>
            <w:cnfStyle w:val="001000000000"/>
            <w:tcW w:w="2460" w:type="dxa"/>
            <w:tcBorders>
              <w:right w:val="single" w:sz="8" w:space="0" w:color="7BA0CD" w:themeColor="accent1" w:themeTint="BF"/>
            </w:tcBorders>
          </w:tcPr>
          <w:p w:rsidR="001D5F43" w:rsidRPr="000B3455" w:rsidRDefault="001D5F43" w:rsidP="0088553E">
            <w:pPr>
              <w:spacing w:line="360" w:lineRule="auto"/>
              <w:jc w:val="both"/>
            </w:pPr>
            <w:r w:rsidRPr="000B3455">
              <w:t>Risk (</w:t>
            </w:r>
            <w:r w:rsidR="001D18C9" w:rsidRPr="000B3455">
              <w:t>VOL</w:t>
            </w:r>
            <w:r w:rsidRPr="000B3455">
              <w:rPr>
                <w:vertAlign w:val="subscript"/>
              </w:rPr>
              <w:t>it</w:t>
            </w:r>
            <w:r w:rsidRPr="000B3455">
              <w:t>)</w:t>
            </w:r>
          </w:p>
        </w:tc>
        <w:tc>
          <w:tcPr>
            <w:tcW w:w="3763" w:type="dxa"/>
            <w:tcBorders>
              <w:left w:val="single" w:sz="8" w:space="0" w:color="7BA0CD" w:themeColor="accent1" w:themeTint="BF"/>
              <w:right w:val="single" w:sz="8" w:space="0" w:color="7BA0CD" w:themeColor="accent1" w:themeTint="BF"/>
            </w:tcBorders>
          </w:tcPr>
          <w:p w:rsidR="001D5F43" w:rsidRPr="000B3455" w:rsidRDefault="001D18C9" w:rsidP="0088553E">
            <w:pPr>
              <w:spacing w:line="360" w:lineRule="auto"/>
              <w:jc w:val="both"/>
              <w:cnfStyle w:val="000000010000"/>
            </w:pPr>
            <w:r w:rsidRPr="000B3455">
              <w:t>Share price volatility</w:t>
            </w:r>
          </w:p>
        </w:tc>
        <w:tc>
          <w:tcPr>
            <w:tcW w:w="3353" w:type="dxa"/>
            <w:tcBorders>
              <w:left w:val="single" w:sz="8" w:space="0" w:color="7BA0CD" w:themeColor="accent1" w:themeTint="BF"/>
            </w:tcBorders>
          </w:tcPr>
          <w:p w:rsidR="001D5F43" w:rsidRPr="000B3455" w:rsidRDefault="001D18C9" w:rsidP="0088553E">
            <w:pPr>
              <w:spacing w:line="360" w:lineRule="auto"/>
              <w:jc w:val="both"/>
              <w:cnfStyle w:val="000000010000"/>
            </w:pPr>
            <w:r w:rsidRPr="000B3455">
              <w:t xml:space="preserve">Choudhary (2008, </w:t>
            </w:r>
            <w:r w:rsidR="00EB350F" w:rsidRPr="000B3455">
              <w:t xml:space="preserve">p. </w:t>
            </w:r>
            <w:r w:rsidRPr="000B3455">
              <w:t>43) and</w:t>
            </w:r>
            <w:r w:rsidRPr="000B3455">
              <w:tab/>
              <w:t xml:space="preserve"> Murphy (199</w:t>
            </w:r>
            <w:r w:rsidR="007A0CBE" w:rsidRPr="000B3455">
              <w:t>8</w:t>
            </w:r>
            <w:r w:rsidRPr="000B3455">
              <w:t xml:space="preserve">, </w:t>
            </w:r>
            <w:r w:rsidR="00EB350F" w:rsidRPr="000B3455">
              <w:t xml:space="preserve">p. </w:t>
            </w:r>
            <w:r w:rsidRPr="000B3455">
              <w:t>17)</w:t>
            </w:r>
          </w:p>
        </w:tc>
      </w:tr>
      <w:tr w:rsidR="001D5F43" w:rsidRPr="000B3455" w:rsidTr="00716C98">
        <w:trPr>
          <w:cnfStyle w:val="000000100000"/>
        </w:trPr>
        <w:tc>
          <w:tcPr>
            <w:cnfStyle w:val="001000000000"/>
            <w:tcW w:w="2460" w:type="dxa"/>
            <w:tcBorders>
              <w:right w:val="single" w:sz="8" w:space="0" w:color="7BA0CD" w:themeColor="accent1" w:themeTint="BF"/>
            </w:tcBorders>
          </w:tcPr>
          <w:p w:rsidR="001D5F43" w:rsidRPr="000B3455" w:rsidRDefault="001D5F43" w:rsidP="0088553E">
            <w:pPr>
              <w:spacing w:line="360" w:lineRule="auto"/>
              <w:jc w:val="both"/>
            </w:pPr>
            <w:r w:rsidRPr="000B3455">
              <w:t>Board size (BOA_SIZE</w:t>
            </w:r>
            <w:r w:rsidRPr="000B3455">
              <w:rPr>
                <w:vertAlign w:val="subscript"/>
              </w:rPr>
              <w:t>it</w:t>
            </w:r>
            <w:r w:rsidRPr="000B3455">
              <w:t>)</w:t>
            </w:r>
          </w:p>
        </w:tc>
        <w:tc>
          <w:tcPr>
            <w:tcW w:w="3763" w:type="dxa"/>
            <w:tcBorders>
              <w:left w:val="single" w:sz="8" w:space="0" w:color="7BA0CD" w:themeColor="accent1" w:themeTint="BF"/>
              <w:right w:val="single" w:sz="8" w:space="0" w:color="7BA0CD" w:themeColor="accent1" w:themeTint="BF"/>
            </w:tcBorders>
          </w:tcPr>
          <w:p w:rsidR="001D5F43" w:rsidRPr="000B3455" w:rsidRDefault="001D5F43" w:rsidP="0088553E">
            <w:pPr>
              <w:spacing w:line="360" w:lineRule="auto"/>
              <w:jc w:val="both"/>
              <w:cnfStyle w:val="000000100000"/>
            </w:pPr>
            <w:r w:rsidRPr="000B3455">
              <w:t>Number of directors on the board during the year</w:t>
            </w:r>
          </w:p>
        </w:tc>
        <w:tc>
          <w:tcPr>
            <w:tcW w:w="3353" w:type="dxa"/>
            <w:tcBorders>
              <w:left w:val="single" w:sz="8" w:space="0" w:color="7BA0CD" w:themeColor="accent1" w:themeTint="BF"/>
            </w:tcBorders>
          </w:tcPr>
          <w:p w:rsidR="001D5F43" w:rsidRPr="000B3455" w:rsidRDefault="001D5F43" w:rsidP="0088553E">
            <w:pPr>
              <w:spacing w:line="360" w:lineRule="auto"/>
              <w:jc w:val="both"/>
              <w:cnfStyle w:val="000000100000"/>
            </w:pPr>
            <w:r w:rsidRPr="000B3455">
              <w:t>Chalmers et al. (2006</w:t>
            </w:r>
            <w:r w:rsidR="00924983" w:rsidRPr="000B3455">
              <w:t>,</w:t>
            </w:r>
            <w:r w:rsidRPr="000B3455">
              <w:t xml:space="preserve"> </w:t>
            </w:r>
            <w:r w:rsidR="00EB350F" w:rsidRPr="000B3455">
              <w:t>p</w:t>
            </w:r>
            <w:r w:rsidR="00C523A8" w:rsidRPr="000B3455">
              <w:t>p</w:t>
            </w:r>
            <w:r w:rsidR="00EB350F" w:rsidRPr="000B3455">
              <w:t xml:space="preserve">. </w:t>
            </w:r>
            <w:r w:rsidRPr="000B3455">
              <w:t>264-269)</w:t>
            </w:r>
          </w:p>
        </w:tc>
      </w:tr>
      <w:tr w:rsidR="001D5F43" w:rsidRPr="000B3455" w:rsidTr="00716C98">
        <w:trPr>
          <w:cnfStyle w:val="000000010000"/>
        </w:trPr>
        <w:tc>
          <w:tcPr>
            <w:cnfStyle w:val="001000000000"/>
            <w:tcW w:w="2460" w:type="dxa"/>
            <w:tcBorders>
              <w:right w:val="single" w:sz="8" w:space="0" w:color="7BA0CD" w:themeColor="accent1" w:themeTint="BF"/>
            </w:tcBorders>
          </w:tcPr>
          <w:p w:rsidR="001D5F43" w:rsidRPr="000B3455" w:rsidRDefault="001D5F43" w:rsidP="0088553E">
            <w:pPr>
              <w:spacing w:line="360" w:lineRule="auto"/>
              <w:jc w:val="both"/>
            </w:pPr>
            <w:r w:rsidRPr="000B3455">
              <w:t>Liquidity constraints (LIQ_CON</w:t>
            </w:r>
            <w:r w:rsidRPr="000B3455">
              <w:rPr>
                <w:vertAlign w:val="subscript"/>
              </w:rPr>
              <w:t>it</w:t>
            </w:r>
            <w:r w:rsidRPr="000B3455">
              <w:t>)</w:t>
            </w:r>
          </w:p>
        </w:tc>
        <w:tc>
          <w:tcPr>
            <w:tcW w:w="3763" w:type="dxa"/>
            <w:tcBorders>
              <w:left w:val="single" w:sz="8" w:space="0" w:color="7BA0CD" w:themeColor="accent1" w:themeTint="BF"/>
              <w:right w:val="single" w:sz="8" w:space="0" w:color="7BA0CD" w:themeColor="accent1" w:themeTint="BF"/>
            </w:tcBorders>
          </w:tcPr>
          <w:p w:rsidR="001D5F43" w:rsidRPr="000B3455" w:rsidRDefault="001D5F43" w:rsidP="0088553E">
            <w:pPr>
              <w:spacing w:line="360" w:lineRule="auto"/>
              <w:jc w:val="both"/>
              <w:cnfStyle w:val="000000010000"/>
            </w:pPr>
            <w:r w:rsidRPr="000B3455">
              <w:t>The three year average of (common + preferred dividends + cash flow used in investing activities – cash flow generated from operations) / total assets</w:t>
            </w:r>
          </w:p>
        </w:tc>
        <w:tc>
          <w:tcPr>
            <w:tcW w:w="3353" w:type="dxa"/>
            <w:tcBorders>
              <w:left w:val="single" w:sz="8" w:space="0" w:color="7BA0CD" w:themeColor="accent1" w:themeTint="BF"/>
            </w:tcBorders>
          </w:tcPr>
          <w:p w:rsidR="001D5F43" w:rsidRPr="000B3455" w:rsidRDefault="001D5F43" w:rsidP="0088553E">
            <w:pPr>
              <w:spacing w:line="360" w:lineRule="auto"/>
              <w:jc w:val="both"/>
              <w:cnfStyle w:val="000000010000"/>
            </w:pPr>
            <w:r w:rsidRPr="000B3455">
              <w:t>Feng and Tian (2007</w:t>
            </w:r>
            <w:r w:rsidR="00924983" w:rsidRPr="000B3455">
              <w:t>,</w:t>
            </w:r>
            <w:r w:rsidRPr="000B3455">
              <w:t xml:space="preserve"> </w:t>
            </w:r>
            <w:r w:rsidR="00EB350F" w:rsidRPr="000B3455">
              <w:t xml:space="preserve">p. </w:t>
            </w:r>
            <w:r w:rsidR="00924983" w:rsidRPr="000B3455">
              <w:t xml:space="preserve">15) and Core and Guay (2001, </w:t>
            </w:r>
            <w:r w:rsidR="00EB350F" w:rsidRPr="000B3455">
              <w:t xml:space="preserve">p. </w:t>
            </w:r>
            <w:r w:rsidRPr="000B3455">
              <w:t>259)</w:t>
            </w:r>
          </w:p>
        </w:tc>
      </w:tr>
      <w:tr w:rsidR="001D5F43" w:rsidRPr="000B3455" w:rsidTr="00716C98">
        <w:trPr>
          <w:cnfStyle w:val="000000100000"/>
        </w:trPr>
        <w:tc>
          <w:tcPr>
            <w:cnfStyle w:val="001000000000"/>
            <w:tcW w:w="2460" w:type="dxa"/>
            <w:tcBorders>
              <w:right w:val="single" w:sz="8" w:space="0" w:color="7BA0CD" w:themeColor="accent1" w:themeTint="BF"/>
            </w:tcBorders>
          </w:tcPr>
          <w:p w:rsidR="001D5F43" w:rsidRPr="000B3455" w:rsidRDefault="001D5F43" w:rsidP="0088553E">
            <w:pPr>
              <w:spacing w:line="360" w:lineRule="auto"/>
              <w:jc w:val="both"/>
            </w:pPr>
            <w:r w:rsidRPr="000B3455">
              <w:t>Industry dummies (IND_DUMM</w:t>
            </w:r>
            <w:r w:rsidRPr="000B3455">
              <w:rPr>
                <w:vertAlign w:val="subscript"/>
              </w:rPr>
              <w:t>it</w:t>
            </w:r>
            <w:r w:rsidRPr="000B3455">
              <w:t>)</w:t>
            </w:r>
          </w:p>
        </w:tc>
        <w:tc>
          <w:tcPr>
            <w:tcW w:w="3763" w:type="dxa"/>
            <w:tcBorders>
              <w:left w:val="single" w:sz="8" w:space="0" w:color="7BA0CD" w:themeColor="accent1" w:themeTint="BF"/>
              <w:right w:val="single" w:sz="8" w:space="0" w:color="7BA0CD" w:themeColor="accent1" w:themeTint="BF"/>
            </w:tcBorders>
          </w:tcPr>
          <w:p w:rsidR="001D5F43" w:rsidRPr="000B3455" w:rsidRDefault="001D5F43" w:rsidP="0088553E">
            <w:pPr>
              <w:spacing w:line="360" w:lineRule="auto"/>
              <w:jc w:val="both"/>
              <w:cnfStyle w:val="000000100000"/>
            </w:pPr>
            <w:r w:rsidRPr="000B3455">
              <w:t>Dummy variables for each industry according to</w:t>
            </w:r>
            <w:r w:rsidR="002F28BB" w:rsidRPr="000B3455">
              <w:t xml:space="preserve"> primary SIC</w:t>
            </w:r>
            <w:r w:rsidR="002B3CBC" w:rsidRPr="000B3455">
              <w:t xml:space="preserve"> codes</w:t>
            </w:r>
            <w:r w:rsidR="002F28BB" w:rsidRPr="000B3455">
              <w:t>.</w:t>
            </w:r>
            <w:r w:rsidR="00964355">
              <w:t xml:space="preserve"> See </w:t>
            </w:r>
            <w:fldSimple w:instr=" REF IV \h  \* MERGEFORMAT ">
              <w:r w:rsidR="001D5F9A" w:rsidRPr="000B3455">
                <w:t>Appendix IV</w:t>
              </w:r>
            </w:fldSimple>
            <w:r w:rsidR="002B3D57">
              <w:t xml:space="preserve"> </w:t>
            </w:r>
            <w:r w:rsidR="00FB351B" w:rsidRPr="000B3455">
              <w:t xml:space="preserve">for </w:t>
            </w:r>
            <w:r w:rsidR="002B3CBC" w:rsidRPr="000B3455">
              <w:t>a list of primary SIC codes.</w:t>
            </w:r>
          </w:p>
        </w:tc>
        <w:tc>
          <w:tcPr>
            <w:tcW w:w="3353" w:type="dxa"/>
            <w:tcBorders>
              <w:left w:val="single" w:sz="8" w:space="0" w:color="7BA0CD" w:themeColor="accent1" w:themeTint="BF"/>
            </w:tcBorders>
          </w:tcPr>
          <w:p w:rsidR="001D5F43" w:rsidRPr="000B3455" w:rsidRDefault="001D5F43" w:rsidP="0088553E">
            <w:pPr>
              <w:spacing w:line="360" w:lineRule="auto"/>
              <w:jc w:val="both"/>
              <w:cnfStyle w:val="000000100000"/>
            </w:pPr>
            <w:r w:rsidRPr="000B3455">
              <w:t>Brown and Lee (2007</w:t>
            </w:r>
            <w:r w:rsidR="00924983" w:rsidRPr="000B3455">
              <w:t>,</w:t>
            </w:r>
            <w:r w:rsidRPr="000B3455">
              <w:t xml:space="preserve"> </w:t>
            </w:r>
            <w:r w:rsidR="00EB350F" w:rsidRPr="000B3455">
              <w:t xml:space="preserve">p. </w:t>
            </w:r>
            <w:r w:rsidRPr="000B3455">
              <w:t>18)</w:t>
            </w:r>
          </w:p>
        </w:tc>
      </w:tr>
    </w:tbl>
    <w:p w:rsidR="00196D6F" w:rsidRPr="000B3455" w:rsidRDefault="00196D6F" w:rsidP="0088553E">
      <w:pPr>
        <w:spacing w:line="360" w:lineRule="auto"/>
        <w:jc w:val="both"/>
      </w:pPr>
      <w:r w:rsidRPr="000B3455">
        <w:t xml:space="preserve">For definitions of these variables, as used in the Thomson One Banker database, and </w:t>
      </w:r>
      <w:r w:rsidR="00964355">
        <w:t xml:space="preserve">for calculations see </w:t>
      </w:r>
      <w:fldSimple w:instr=" REF III \h  \* MERGEFORMAT ">
        <w:r w:rsidR="001D5F9A" w:rsidRPr="000B3455">
          <w:t>Appendix III</w:t>
        </w:r>
      </w:fldSimple>
      <w:r w:rsidRPr="000B3455">
        <w:t>.</w:t>
      </w:r>
    </w:p>
    <w:p w:rsidR="001D5F43" w:rsidRPr="000B3455" w:rsidRDefault="001D5F43" w:rsidP="0088553E">
      <w:pPr>
        <w:pStyle w:val="Heading3"/>
        <w:spacing w:line="360" w:lineRule="auto"/>
        <w:jc w:val="both"/>
      </w:pPr>
      <w:bookmarkStart w:id="73" w:name="_Toc298944583"/>
      <w:r w:rsidRPr="000B3455">
        <w:lastRenderedPageBreak/>
        <w:t>5.3.2 Model specification for hypotheses 1 and 2</w:t>
      </w:r>
      <w:bookmarkEnd w:id="73"/>
      <w:r w:rsidRPr="000B3455">
        <w:t xml:space="preserve"> </w:t>
      </w:r>
    </w:p>
    <w:p w:rsidR="00486FD2" w:rsidRPr="000B3455" w:rsidRDefault="001D5F43" w:rsidP="0088553E">
      <w:pPr>
        <w:spacing w:line="360" w:lineRule="auto"/>
        <w:jc w:val="both"/>
      </w:pPr>
      <w:r w:rsidRPr="000B3455">
        <w:t xml:space="preserve">For testing hypotheses 1 and 2 a research model </w:t>
      </w:r>
      <w:r w:rsidR="00885762" w:rsidRPr="000B3455">
        <w:t xml:space="preserve">that will </w:t>
      </w:r>
      <w:r w:rsidR="00223684" w:rsidRPr="000B3455">
        <w:t>control for</w:t>
      </w:r>
      <w:r w:rsidR="00885762" w:rsidRPr="000B3455">
        <w:t xml:space="preserve"> the influence of each year of the period 2002 until 2007 on the proportion of the fair value of stock option compensation and share compensation of total compensation. Scaling the fair value of stock options by total compensation automatically involves controlling the amount of stock option compensation</w:t>
      </w:r>
      <w:r w:rsidR="00D72A2F" w:rsidRPr="000B3455">
        <w:t xml:space="preserve"> and share compensation</w:t>
      </w:r>
      <w:r w:rsidR="00885762" w:rsidRPr="000B3455">
        <w:t xml:space="preserve"> for </w:t>
      </w:r>
      <w:r w:rsidR="00D72A2F" w:rsidRPr="000B3455">
        <w:t>an changing</w:t>
      </w:r>
      <w:r w:rsidR="00885762" w:rsidRPr="000B3455">
        <w:t xml:space="preserve"> </w:t>
      </w:r>
      <w:r w:rsidR="00D72A2F" w:rsidRPr="000B3455">
        <w:t xml:space="preserve">total </w:t>
      </w:r>
      <w:r w:rsidR="00486FD2" w:rsidRPr="000B3455">
        <w:t xml:space="preserve">compensation. </w:t>
      </w:r>
      <w:r w:rsidR="00D72A2F" w:rsidRPr="000B3455">
        <w:t>A declining proportion of, for example, the fair value of granted stock options</w:t>
      </w:r>
      <w:r w:rsidR="00486FD2" w:rsidRPr="000B3455">
        <w:t xml:space="preserve"> of total compensation means that the fair value of granted stock options </w:t>
      </w:r>
      <w:r w:rsidR="00824618" w:rsidRPr="000B3455">
        <w:t>is</w:t>
      </w:r>
      <w:r w:rsidR="00486FD2" w:rsidRPr="000B3455">
        <w:t xml:space="preserve"> declining faster than total compensation. This</w:t>
      </w:r>
      <w:r w:rsidR="00D72A2F" w:rsidRPr="000B3455">
        <w:t xml:space="preserve"> suggests that stock options </w:t>
      </w:r>
      <w:r w:rsidR="00486FD2" w:rsidRPr="000B3455">
        <w:t>have</w:t>
      </w:r>
      <w:r w:rsidR="00D72A2F" w:rsidRPr="000B3455">
        <w:t xml:space="preserve"> becom</w:t>
      </w:r>
      <w:r w:rsidR="00486FD2" w:rsidRPr="000B3455">
        <w:t>e</w:t>
      </w:r>
      <w:r w:rsidR="00D72A2F" w:rsidRPr="000B3455">
        <w:t xml:space="preserve"> less prevalent as a compensation form. </w:t>
      </w:r>
      <w:r w:rsidR="00486FD2" w:rsidRPr="000B3455">
        <w:t xml:space="preserve">A faster increase of the fair value of granted stock options compared to total compensation suggests that stock options have become more prevalent as compensation form. </w:t>
      </w:r>
    </w:p>
    <w:p w:rsidR="00E85616" w:rsidRPr="000B3455" w:rsidRDefault="00E85616" w:rsidP="0088553E">
      <w:pPr>
        <w:spacing w:line="360" w:lineRule="auto"/>
        <w:jc w:val="both"/>
      </w:pPr>
      <w:r w:rsidRPr="000B3455">
        <w:t xml:space="preserve">The proportion of the fair value of granted stock options to the board of directors of total compensation in year </w:t>
      </w:r>
      <w:r w:rsidRPr="000C2368">
        <w:rPr>
          <w:i/>
        </w:rPr>
        <w:t>t</w:t>
      </w:r>
      <w:r w:rsidRPr="000B3455">
        <w:t xml:space="preserve"> for firm </w:t>
      </w:r>
      <w:r w:rsidRPr="000C2368">
        <w:rPr>
          <w:i/>
        </w:rPr>
        <w:t>i</w:t>
      </w:r>
      <w:r w:rsidRPr="000B3455">
        <w:t xml:space="preserve"> is calculated as:</w:t>
      </w:r>
    </w:p>
    <w:p w:rsidR="00E85616" w:rsidRPr="000B3455" w:rsidRDefault="00E85616" w:rsidP="0088553E">
      <w:pPr>
        <w:spacing w:line="360" w:lineRule="auto"/>
        <w:jc w:val="both"/>
        <w:rPr>
          <w:i/>
          <w:vertAlign w:val="subscript"/>
          <w:lang w:val="nl-NL"/>
        </w:rPr>
      </w:pPr>
      <w:r w:rsidRPr="000B3455">
        <w:rPr>
          <w:i/>
          <w:lang w:val="nl-NL"/>
        </w:rPr>
        <w:t>PR_FV_STO</w:t>
      </w:r>
      <w:r w:rsidRPr="000B3455">
        <w:rPr>
          <w:i/>
          <w:vertAlign w:val="subscript"/>
          <w:lang w:val="nl-NL"/>
        </w:rPr>
        <w:t>it</w:t>
      </w:r>
      <w:r w:rsidRPr="000B3455">
        <w:rPr>
          <w:i/>
          <w:lang w:val="nl-NL"/>
        </w:rPr>
        <w:t xml:space="preserve"> = </w:t>
      </w:r>
      <m:oMath>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Fair</m:t>
                </m:r>
                <m:r>
                  <w:rPr>
                    <w:rFonts w:ascii="Cambria Math" w:cstheme="minorHAnsi"/>
                    <w:lang w:val="nl-NL"/>
                  </w:rPr>
                  <m:t xml:space="preserve"> </m:t>
                </m:r>
                <m:r>
                  <w:rPr>
                    <w:rFonts w:ascii="Cambria Math" w:hAnsi="Cambria Math" w:cstheme="minorHAnsi"/>
                  </w:rPr>
                  <m:t>value</m:t>
                </m:r>
                <m:r>
                  <w:rPr>
                    <w:rFonts w:ascii="Cambria Math" w:cstheme="minorHAnsi"/>
                    <w:lang w:val="nl-NL"/>
                  </w:rPr>
                  <m:t xml:space="preserve"> </m:t>
                </m:r>
                <m:r>
                  <w:rPr>
                    <w:rFonts w:ascii="Cambria Math" w:hAnsi="Cambria Math" w:cstheme="minorHAnsi"/>
                  </w:rPr>
                  <m:t>of</m:t>
                </m:r>
                <m:r>
                  <w:rPr>
                    <w:rFonts w:ascii="Cambria Math" w:cstheme="minorHAnsi"/>
                    <w:lang w:val="nl-NL"/>
                  </w:rPr>
                  <m:t xml:space="preserve"> </m:t>
                </m:r>
                <m:r>
                  <w:rPr>
                    <w:rFonts w:ascii="Cambria Math" w:hAnsi="Cambria Math" w:cstheme="minorHAnsi"/>
                  </w:rPr>
                  <m:t>granted</m:t>
                </m:r>
                <m:r>
                  <w:rPr>
                    <w:rFonts w:ascii="Cambria Math" w:cstheme="minorHAnsi"/>
                    <w:lang w:val="nl-NL"/>
                  </w:rPr>
                  <m:t xml:space="preserve"> </m:t>
                </m:r>
                <m:r>
                  <w:rPr>
                    <w:rFonts w:ascii="Cambria Math" w:hAnsi="Cambria Math" w:cstheme="minorHAnsi"/>
                  </w:rPr>
                  <m:t>stock</m:t>
                </m:r>
                <m:r>
                  <w:rPr>
                    <w:rFonts w:ascii="Cambria Math" w:cstheme="minorHAnsi"/>
                    <w:lang w:val="nl-NL"/>
                  </w:rPr>
                  <m:t xml:space="preserve"> </m:t>
                </m:r>
                <m:r>
                  <w:rPr>
                    <w:rFonts w:ascii="Cambria Math" w:hAnsi="Cambria Math" w:cstheme="minorHAnsi"/>
                  </w:rPr>
                  <m:t>options</m:t>
                </m:r>
              </m:e>
              <m:sub>
                <m:r>
                  <w:rPr>
                    <w:rFonts w:ascii="Cambria Math" w:hAnsi="Cambria Math" w:cstheme="minorHAnsi"/>
                  </w:rPr>
                  <m:t>it</m:t>
                </m:r>
              </m:sub>
            </m:sSub>
          </m:num>
          <m:den>
            <m:sSub>
              <m:sSubPr>
                <m:ctrlPr>
                  <w:rPr>
                    <w:rFonts w:ascii="Cambria Math" w:hAnsi="Cambria Math" w:cstheme="minorHAnsi"/>
                    <w:i/>
                  </w:rPr>
                </m:ctrlPr>
              </m:sSubPr>
              <m:e>
                <m:r>
                  <w:rPr>
                    <w:rFonts w:ascii="Cambria Math" w:hAnsi="Cambria Math" w:cstheme="minorHAnsi"/>
                  </w:rPr>
                  <m:t>Total</m:t>
                </m:r>
                <m:r>
                  <w:rPr>
                    <w:rFonts w:ascii="Cambria Math" w:cstheme="minorHAnsi"/>
                    <w:lang w:val="nl-NL"/>
                  </w:rPr>
                  <m:t xml:space="preserve"> </m:t>
                </m:r>
                <m:r>
                  <w:rPr>
                    <w:rFonts w:ascii="Cambria Math" w:hAnsi="Cambria Math" w:cstheme="minorHAnsi"/>
                  </w:rPr>
                  <m:t>compensation</m:t>
                </m:r>
              </m:e>
              <m:sub>
                <m:r>
                  <w:rPr>
                    <w:rFonts w:ascii="Cambria Math" w:hAnsi="Cambria Math" w:cstheme="minorHAnsi"/>
                  </w:rPr>
                  <m:t>it</m:t>
                </m:r>
              </m:sub>
            </m:sSub>
          </m:den>
        </m:f>
      </m:oMath>
    </w:p>
    <w:p w:rsidR="00F63453" w:rsidRPr="000B3455" w:rsidRDefault="00F63453" w:rsidP="0088553E">
      <w:pPr>
        <w:spacing w:line="360" w:lineRule="auto"/>
        <w:jc w:val="both"/>
      </w:pPr>
      <w:r w:rsidRPr="000B3455">
        <w:t xml:space="preserve">The proportion of the fair value of granted shares to the board of directors of total compensation in year </w:t>
      </w:r>
      <w:r w:rsidRPr="000C2368">
        <w:rPr>
          <w:i/>
        </w:rPr>
        <w:t>t</w:t>
      </w:r>
      <w:r w:rsidRPr="000B3455">
        <w:t xml:space="preserve"> for firm </w:t>
      </w:r>
      <w:r w:rsidRPr="000C2368">
        <w:rPr>
          <w:i/>
        </w:rPr>
        <w:t>i</w:t>
      </w:r>
      <w:r w:rsidRPr="000B3455">
        <w:t xml:space="preserve"> is calculated as:</w:t>
      </w:r>
    </w:p>
    <w:p w:rsidR="00F63453" w:rsidRPr="000B3455" w:rsidRDefault="00F63453" w:rsidP="0088553E">
      <w:pPr>
        <w:spacing w:line="360" w:lineRule="auto"/>
        <w:jc w:val="both"/>
        <w:rPr>
          <w:i/>
          <w:vertAlign w:val="subscript"/>
        </w:rPr>
      </w:pPr>
      <w:r w:rsidRPr="000B3455">
        <w:rPr>
          <w:i/>
        </w:rPr>
        <w:t>PR_FV_SHA</w:t>
      </w:r>
      <w:r w:rsidRPr="000B3455">
        <w:rPr>
          <w:i/>
          <w:vertAlign w:val="subscript"/>
        </w:rPr>
        <w:t>it</w:t>
      </w:r>
      <w:r w:rsidRPr="000B3455">
        <w:rPr>
          <w:i/>
        </w:rPr>
        <w:t xml:space="preserve"> = </w:t>
      </w:r>
      <m:oMath>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Fair</m:t>
                </m:r>
                <m:r>
                  <w:rPr>
                    <w:rFonts w:ascii="Cambria Math" w:cstheme="minorHAnsi"/>
                  </w:rPr>
                  <m:t xml:space="preserve"> </m:t>
                </m:r>
                <m:r>
                  <w:rPr>
                    <w:rFonts w:ascii="Cambria Math" w:hAnsi="Cambria Math" w:cstheme="minorHAnsi"/>
                  </w:rPr>
                  <m:t>value</m:t>
                </m:r>
                <m:r>
                  <w:rPr>
                    <w:rFonts w:ascii="Cambria Math" w:cstheme="minorHAnsi"/>
                  </w:rPr>
                  <m:t xml:space="preserve"> </m:t>
                </m:r>
                <m:r>
                  <w:rPr>
                    <w:rFonts w:ascii="Cambria Math" w:hAnsi="Cambria Math" w:cstheme="minorHAnsi"/>
                  </w:rPr>
                  <m:t>of</m:t>
                </m:r>
                <m:r>
                  <w:rPr>
                    <w:rFonts w:ascii="Cambria Math" w:cstheme="minorHAnsi"/>
                  </w:rPr>
                  <m:t xml:space="preserve"> </m:t>
                </m:r>
                <m:r>
                  <w:rPr>
                    <w:rFonts w:ascii="Cambria Math" w:hAnsi="Cambria Math" w:cstheme="minorHAnsi"/>
                  </w:rPr>
                  <m:t>granted</m:t>
                </m:r>
                <m:r>
                  <w:rPr>
                    <w:rFonts w:ascii="Cambria Math" w:cstheme="minorHAnsi"/>
                  </w:rPr>
                  <m:t xml:space="preserve"> </m:t>
                </m:r>
                <m:r>
                  <w:rPr>
                    <w:rFonts w:ascii="Cambria Math" w:hAnsi="Cambria Math" w:cstheme="minorHAnsi"/>
                  </w:rPr>
                  <m:t>shares</m:t>
                </m:r>
              </m:e>
              <m:sub>
                <m:r>
                  <w:rPr>
                    <w:rFonts w:ascii="Cambria Math" w:hAnsi="Cambria Math" w:cstheme="minorHAnsi"/>
                  </w:rPr>
                  <m:t>it</m:t>
                </m:r>
              </m:sub>
            </m:sSub>
          </m:num>
          <m:den>
            <m:sSub>
              <m:sSubPr>
                <m:ctrlPr>
                  <w:rPr>
                    <w:rFonts w:ascii="Cambria Math" w:hAnsi="Cambria Math" w:cstheme="minorHAnsi"/>
                    <w:i/>
                  </w:rPr>
                </m:ctrlPr>
              </m:sSubPr>
              <m:e>
                <m:r>
                  <w:rPr>
                    <w:rFonts w:ascii="Cambria Math" w:hAnsi="Cambria Math" w:cstheme="minorHAnsi"/>
                  </w:rPr>
                  <m:t>Total</m:t>
                </m:r>
                <m:r>
                  <w:rPr>
                    <w:rFonts w:ascii="Cambria Math" w:cstheme="minorHAnsi"/>
                  </w:rPr>
                  <m:t xml:space="preserve"> </m:t>
                </m:r>
                <m:r>
                  <w:rPr>
                    <w:rFonts w:ascii="Cambria Math" w:hAnsi="Cambria Math" w:cstheme="minorHAnsi"/>
                  </w:rPr>
                  <m:t>compensation</m:t>
                </m:r>
              </m:e>
              <m:sub>
                <m:r>
                  <w:rPr>
                    <w:rFonts w:ascii="Cambria Math" w:hAnsi="Cambria Math" w:cstheme="minorHAnsi"/>
                  </w:rPr>
                  <m:t>it</m:t>
                </m:r>
              </m:sub>
            </m:sSub>
          </m:den>
        </m:f>
      </m:oMath>
    </w:p>
    <w:p w:rsidR="00E85616" w:rsidRPr="000B3455" w:rsidRDefault="00F63453" w:rsidP="0088553E">
      <w:pPr>
        <w:spacing w:line="360" w:lineRule="auto"/>
        <w:jc w:val="both"/>
      </w:pPr>
      <w:r w:rsidRPr="000B3455">
        <w:t>Where t</w:t>
      </w:r>
      <w:r w:rsidR="00E85616" w:rsidRPr="000B3455">
        <w:t xml:space="preserve">he total compensation in year </w:t>
      </w:r>
      <w:r w:rsidR="00E85616" w:rsidRPr="000B3455">
        <w:rPr>
          <w:i/>
        </w:rPr>
        <w:t>t</w:t>
      </w:r>
      <w:r w:rsidR="00E85616" w:rsidRPr="000B3455">
        <w:t xml:space="preserve"> for firm </w:t>
      </w:r>
      <w:r w:rsidR="00E85616" w:rsidRPr="000B3455">
        <w:rPr>
          <w:i/>
        </w:rPr>
        <w:t>i</w:t>
      </w:r>
      <w:r w:rsidR="00E85616" w:rsidRPr="000B3455">
        <w:t xml:space="preserve"> is calculated as follows: </w:t>
      </w:r>
    </w:p>
    <w:p w:rsidR="00E85616" w:rsidRPr="000B3455" w:rsidRDefault="00E85616" w:rsidP="0088553E">
      <w:pPr>
        <w:spacing w:line="360" w:lineRule="auto"/>
        <w:jc w:val="both"/>
        <w:rPr>
          <w:i/>
          <w:vertAlign w:val="subscript"/>
        </w:rPr>
      </w:pPr>
      <w:r w:rsidRPr="000B3455">
        <w:rPr>
          <w:i/>
        </w:rPr>
        <w:t>Total compensation</w:t>
      </w:r>
      <w:r w:rsidRPr="000B3455">
        <w:rPr>
          <w:i/>
          <w:vertAlign w:val="subscript"/>
        </w:rPr>
        <w:t>it</w:t>
      </w:r>
      <w:r w:rsidRPr="000B3455">
        <w:rPr>
          <w:i/>
        </w:rPr>
        <w:t xml:space="preserve"> = granted fixed salary</w:t>
      </w:r>
      <w:r w:rsidRPr="000B3455">
        <w:rPr>
          <w:i/>
          <w:vertAlign w:val="subscript"/>
        </w:rPr>
        <w:t>it</w:t>
      </w:r>
      <w:r w:rsidRPr="000B3455">
        <w:rPr>
          <w:i/>
        </w:rPr>
        <w:t xml:space="preserve"> + granted cash bonuses</w:t>
      </w:r>
      <w:r w:rsidRPr="000B3455">
        <w:rPr>
          <w:i/>
          <w:vertAlign w:val="subscript"/>
        </w:rPr>
        <w:t>it</w:t>
      </w:r>
      <w:r w:rsidRPr="000B3455">
        <w:rPr>
          <w:i/>
        </w:rPr>
        <w:t xml:space="preserve"> + fair value of granted stock options</w:t>
      </w:r>
      <w:r w:rsidRPr="000B3455">
        <w:rPr>
          <w:i/>
          <w:vertAlign w:val="subscript"/>
        </w:rPr>
        <w:t>it</w:t>
      </w:r>
      <w:r w:rsidRPr="000B3455">
        <w:rPr>
          <w:i/>
        </w:rPr>
        <w:t xml:space="preserve"> + fair value of granted shares</w:t>
      </w:r>
      <w:r w:rsidRPr="000B3455">
        <w:rPr>
          <w:i/>
          <w:vertAlign w:val="subscript"/>
        </w:rPr>
        <w:t>it</w:t>
      </w:r>
      <w:r w:rsidRPr="000B3455">
        <w:rPr>
          <w:i/>
        </w:rPr>
        <w:t xml:space="preserve"> </w:t>
      </w:r>
    </w:p>
    <w:p w:rsidR="00486FD2" w:rsidRPr="000B3455" w:rsidRDefault="00486FD2" w:rsidP="0088553E">
      <w:pPr>
        <w:spacing w:line="360" w:lineRule="auto"/>
        <w:jc w:val="both"/>
      </w:pPr>
      <w:r w:rsidRPr="000B3455">
        <w:t xml:space="preserve">The research model to test for the first two hypotheses includes dummy variables that will </w:t>
      </w:r>
      <w:r w:rsidR="00223684" w:rsidRPr="000B3455">
        <w:t>control for</w:t>
      </w:r>
      <w:r w:rsidRPr="000B3455">
        <w:t xml:space="preserve"> the influence of the years 2002 until 2007. </w:t>
      </w:r>
      <w:r w:rsidR="00223684" w:rsidRPr="000B3455">
        <w:t xml:space="preserve">Therefore, the model will include dummies for the years 2003, 2004, 2005, 2006, and 2007. When each year dummy is zero it indicates the year 2002. </w:t>
      </w:r>
      <w:r w:rsidR="007A6575" w:rsidRPr="000B3455">
        <w:t>A significant value of a year dummy suggests that the composition of remuneration is altered in that specific year. To concise</w:t>
      </w:r>
      <w:r w:rsidR="00E85616" w:rsidRPr="000B3455">
        <w:t>, the model includes 5 dummy variables for the time period and an additional 11 dummy variables to distinguish among different industries, as</w:t>
      </w:r>
      <w:r w:rsidR="000C2368">
        <w:t xml:space="preserve"> listed</w:t>
      </w:r>
      <w:r w:rsidR="00E85616" w:rsidRPr="000B3455">
        <w:t xml:space="preserve"> in </w:t>
      </w:r>
      <w:r w:rsidR="00964355">
        <w:t>Appendix IV</w:t>
      </w:r>
      <w:r w:rsidR="00E85616" w:rsidRPr="000B3455">
        <w:t xml:space="preserve">. </w:t>
      </w:r>
    </w:p>
    <w:p w:rsidR="00B34E9A" w:rsidRDefault="00B34E9A" w:rsidP="0088553E">
      <w:pPr>
        <w:spacing w:line="360" w:lineRule="auto"/>
        <w:jc w:val="both"/>
      </w:pPr>
    </w:p>
    <w:p w:rsidR="00B34E9A" w:rsidRDefault="00B34E9A" w:rsidP="0088553E">
      <w:pPr>
        <w:spacing w:line="360" w:lineRule="auto"/>
        <w:jc w:val="both"/>
      </w:pPr>
    </w:p>
    <w:p w:rsidR="001D5F43" w:rsidRPr="000B3455" w:rsidRDefault="001D5F43" w:rsidP="0088553E">
      <w:pPr>
        <w:spacing w:line="360" w:lineRule="auto"/>
        <w:jc w:val="both"/>
      </w:pPr>
      <w:r w:rsidRPr="000B3455">
        <w:lastRenderedPageBreak/>
        <w:t xml:space="preserve">The ordinary least squares regression model for stock options specifies as: </w:t>
      </w:r>
    </w:p>
    <w:p w:rsidR="001D5F43" w:rsidRPr="000B3455" w:rsidRDefault="001D5F43" w:rsidP="0088553E">
      <w:pPr>
        <w:spacing w:line="360" w:lineRule="auto"/>
        <w:jc w:val="both"/>
        <w:rPr>
          <w:i/>
        </w:rPr>
      </w:pPr>
      <w:r w:rsidRPr="000B3455">
        <w:rPr>
          <w:b/>
        </w:rPr>
        <w:t>(1):</w:t>
      </w:r>
      <w:r w:rsidRPr="000B3455">
        <w:rPr>
          <w:i/>
        </w:rPr>
        <w:t xml:space="preserve"> </w:t>
      </w:r>
      <w:r w:rsidR="00F63453" w:rsidRPr="000B3455">
        <w:rPr>
          <w:i/>
        </w:rPr>
        <w:t>PR_</w:t>
      </w:r>
      <w:r w:rsidRPr="000B3455">
        <w:rPr>
          <w:i/>
        </w:rPr>
        <w:t>FV_STO</w:t>
      </w:r>
      <w:r w:rsidRPr="000B3455">
        <w:rPr>
          <w:i/>
          <w:vertAlign w:val="subscript"/>
        </w:rPr>
        <w:t>it</w:t>
      </w:r>
      <w:r w:rsidRPr="000B3455">
        <w:rPr>
          <w:i/>
        </w:rPr>
        <w:t xml:space="preserve"> = </w:t>
      </w:r>
      <w:r w:rsidRPr="000B3455">
        <w:rPr>
          <w:rFonts w:cstheme="minorHAnsi"/>
          <w:i/>
        </w:rPr>
        <w:t>β</w:t>
      </w:r>
      <w:r w:rsidRPr="000B3455">
        <w:rPr>
          <w:i/>
          <w:vertAlign w:val="subscript"/>
        </w:rPr>
        <w:t>0</w:t>
      </w:r>
      <w:r w:rsidRPr="000B3455">
        <w:rPr>
          <w:i/>
        </w:rPr>
        <w:t xml:space="preserve"> + </w:t>
      </w:r>
      <w:r w:rsidRPr="000B3455">
        <w:rPr>
          <w:rFonts w:cstheme="minorHAnsi"/>
          <w:i/>
        </w:rPr>
        <w:t>β</w:t>
      </w:r>
      <w:r w:rsidRPr="000B3455">
        <w:rPr>
          <w:i/>
          <w:vertAlign w:val="subscript"/>
        </w:rPr>
        <w:t>1</w:t>
      </w:r>
      <w:r w:rsidRPr="000B3455">
        <w:rPr>
          <w:i/>
        </w:rPr>
        <w:t xml:space="preserve"> </w:t>
      </w:r>
      <w:r w:rsidR="00F63453" w:rsidRPr="000B3455">
        <w:rPr>
          <w:i/>
        </w:rPr>
        <w:t>2003</w:t>
      </w:r>
      <w:r w:rsidRPr="000B3455">
        <w:rPr>
          <w:i/>
        </w:rPr>
        <w:t xml:space="preserve"> + </w:t>
      </w:r>
      <w:r w:rsidRPr="000B3455">
        <w:rPr>
          <w:rFonts w:cstheme="minorHAnsi"/>
          <w:i/>
        </w:rPr>
        <w:t>β</w:t>
      </w:r>
      <w:r w:rsidRPr="000B3455">
        <w:rPr>
          <w:rFonts w:cstheme="minorHAnsi"/>
          <w:i/>
          <w:vertAlign w:val="subscript"/>
        </w:rPr>
        <w:t>2</w:t>
      </w:r>
      <w:r w:rsidR="00F63453" w:rsidRPr="000B3455">
        <w:rPr>
          <w:rFonts w:cstheme="minorHAnsi"/>
          <w:i/>
          <w:vertAlign w:val="subscript"/>
        </w:rPr>
        <w:t xml:space="preserve"> </w:t>
      </w:r>
      <w:r w:rsidR="00F63453" w:rsidRPr="000B3455">
        <w:rPr>
          <w:rFonts w:cstheme="minorHAnsi"/>
          <w:i/>
        </w:rPr>
        <w:t>2004</w:t>
      </w:r>
      <w:r w:rsidRPr="000B3455">
        <w:rPr>
          <w:rFonts w:cstheme="minorHAnsi"/>
          <w:i/>
        </w:rPr>
        <w:t xml:space="preserve"> +</w:t>
      </w:r>
      <w:r w:rsidR="00F63453" w:rsidRPr="000B3455">
        <w:rPr>
          <w:rFonts w:cstheme="minorHAnsi"/>
          <w:i/>
        </w:rPr>
        <w:t xml:space="preserve"> β</w:t>
      </w:r>
      <w:r w:rsidR="00F63453" w:rsidRPr="000B3455">
        <w:rPr>
          <w:rFonts w:cstheme="minorHAnsi"/>
          <w:i/>
          <w:vertAlign w:val="subscript"/>
        </w:rPr>
        <w:t>3</w:t>
      </w:r>
      <w:r w:rsidR="00F63453" w:rsidRPr="000B3455">
        <w:rPr>
          <w:rFonts w:cstheme="minorHAnsi"/>
          <w:i/>
        </w:rPr>
        <w:t xml:space="preserve"> 2005 + β</w:t>
      </w:r>
      <w:r w:rsidR="00F63453" w:rsidRPr="000B3455">
        <w:rPr>
          <w:rFonts w:cstheme="minorHAnsi"/>
          <w:i/>
          <w:vertAlign w:val="subscript"/>
        </w:rPr>
        <w:t>4</w:t>
      </w:r>
      <w:r w:rsidR="00F63453" w:rsidRPr="000B3455">
        <w:rPr>
          <w:rFonts w:cstheme="minorHAnsi"/>
          <w:i/>
        </w:rPr>
        <w:t xml:space="preserve"> 2006 + β</w:t>
      </w:r>
      <w:r w:rsidR="00F63453" w:rsidRPr="000B3455">
        <w:rPr>
          <w:rFonts w:cstheme="minorHAnsi"/>
          <w:i/>
          <w:vertAlign w:val="subscript"/>
        </w:rPr>
        <w:t>5</w:t>
      </w:r>
      <w:r w:rsidR="00F63453" w:rsidRPr="000B3455">
        <w:rPr>
          <w:rFonts w:cstheme="minorHAnsi"/>
          <w:i/>
        </w:rPr>
        <w:t xml:space="preserve"> 2007 + </w:t>
      </w:r>
      <w:r w:rsidRPr="000B3455">
        <w:rPr>
          <w:rFonts w:cstheme="minorHAnsi"/>
          <w:i/>
        </w:rPr>
        <w:t>β</w:t>
      </w:r>
      <w:r w:rsidR="00F63453" w:rsidRPr="000B3455">
        <w:rPr>
          <w:rFonts w:cstheme="minorHAnsi"/>
          <w:i/>
          <w:vertAlign w:val="subscript"/>
        </w:rPr>
        <w:t>6</w:t>
      </w:r>
      <w:r w:rsidRPr="000B3455">
        <w:rPr>
          <w:i/>
        </w:rPr>
        <w:t xml:space="preserve"> LN_ASSET</w:t>
      </w:r>
      <w:r w:rsidR="00E53B40" w:rsidRPr="000B3455">
        <w:rPr>
          <w:i/>
        </w:rPr>
        <w:t>S</w:t>
      </w:r>
      <w:r w:rsidRPr="000B3455">
        <w:rPr>
          <w:i/>
          <w:vertAlign w:val="subscript"/>
        </w:rPr>
        <w:t>it</w:t>
      </w:r>
      <w:r w:rsidRPr="000B3455">
        <w:rPr>
          <w:i/>
        </w:rPr>
        <w:t xml:space="preserve"> + </w:t>
      </w:r>
      <w:r w:rsidRPr="000B3455">
        <w:rPr>
          <w:rFonts w:cstheme="minorHAnsi"/>
          <w:i/>
        </w:rPr>
        <w:t>β</w:t>
      </w:r>
      <w:r w:rsidR="00F63453" w:rsidRPr="000B3455">
        <w:rPr>
          <w:rFonts w:cstheme="minorHAnsi"/>
          <w:i/>
          <w:vertAlign w:val="subscript"/>
        </w:rPr>
        <w:t>7</w:t>
      </w:r>
      <w:r w:rsidRPr="000B3455">
        <w:rPr>
          <w:i/>
          <w:vertAlign w:val="subscript"/>
        </w:rPr>
        <w:t xml:space="preserve"> </w:t>
      </w:r>
      <w:r w:rsidRPr="000B3455">
        <w:rPr>
          <w:i/>
        </w:rPr>
        <w:t>MTB</w:t>
      </w:r>
      <w:r w:rsidRPr="000B3455">
        <w:rPr>
          <w:i/>
          <w:vertAlign w:val="subscript"/>
        </w:rPr>
        <w:t>it</w:t>
      </w:r>
      <w:r w:rsidRPr="000B3455">
        <w:rPr>
          <w:rFonts w:cstheme="minorHAnsi"/>
          <w:i/>
        </w:rPr>
        <w:t xml:space="preserve"> + β</w:t>
      </w:r>
      <w:r w:rsidR="00F63453" w:rsidRPr="000B3455">
        <w:rPr>
          <w:rFonts w:cstheme="minorHAnsi"/>
          <w:i/>
          <w:vertAlign w:val="subscript"/>
        </w:rPr>
        <w:t>8</w:t>
      </w:r>
      <w:r w:rsidRPr="000B3455">
        <w:rPr>
          <w:i/>
        </w:rPr>
        <w:t xml:space="preserve"> RET</w:t>
      </w:r>
      <w:r w:rsidRPr="000B3455">
        <w:rPr>
          <w:i/>
          <w:vertAlign w:val="subscript"/>
        </w:rPr>
        <w:t>it</w:t>
      </w:r>
      <w:r w:rsidRPr="000B3455">
        <w:rPr>
          <w:rFonts w:cstheme="minorHAnsi"/>
          <w:i/>
        </w:rPr>
        <w:t xml:space="preserve"> + β</w:t>
      </w:r>
      <w:r w:rsidR="00F63453" w:rsidRPr="000B3455">
        <w:rPr>
          <w:rFonts w:cstheme="minorHAnsi"/>
          <w:i/>
          <w:vertAlign w:val="subscript"/>
        </w:rPr>
        <w:t>9</w:t>
      </w:r>
      <w:r w:rsidR="004F75F4" w:rsidRPr="000B3455">
        <w:rPr>
          <w:i/>
        </w:rPr>
        <w:t xml:space="preserve"> VOL</w:t>
      </w:r>
      <w:r w:rsidRPr="000B3455">
        <w:rPr>
          <w:i/>
          <w:vertAlign w:val="subscript"/>
        </w:rPr>
        <w:t>it</w:t>
      </w:r>
      <w:r w:rsidRPr="000B3455">
        <w:rPr>
          <w:rFonts w:cstheme="minorHAnsi"/>
          <w:i/>
        </w:rPr>
        <w:t xml:space="preserve"> + β</w:t>
      </w:r>
      <w:r w:rsidR="00F63453" w:rsidRPr="000B3455">
        <w:rPr>
          <w:rFonts w:cstheme="minorHAnsi"/>
          <w:i/>
          <w:vertAlign w:val="subscript"/>
        </w:rPr>
        <w:t>10</w:t>
      </w:r>
      <w:r w:rsidRPr="000B3455">
        <w:rPr>
          <w:i/>
        </w:rPr>
        <w:t xml:space="preserve"> BOA_SIZE</w:t>
      </w:r>
      <w:r w:rsidRPr="000B3455">
        <w:rPr>
          <w:i/>
          <w:vertAlign w:val="subscript"/>
        </w:rPr>
        <w:t>it</w:t>
      </w:r>
      <w:r w:rsidRPr="000B3455">
        <w:rPr>
          <w:rFonts w:cstheme="minorHAnsi"/>
          <w:i/>
        </w:rPr>
        <w:t xml:space="preserve"> + β</w:t>
      </w:r>
      <w:r w:rsidR="00F63453" w:rsidRPr="000B3455">
        <w:rPr>
          <w:rFonts w:cstheme="minorHAnsi"/>
          <w:i/>
          <w:vertAlign w:val="subscript"/>
        </w:rPr>
        <w:t>11</w:t>
      </w:r>
      <w:r w:rsidRPr="000B3455">
        <w:rPr>
          <w:i/>
        </w:rPr>
        <w:t xml:space="preserve"> LIQ_CON</w:t>
      </w:r>
      <w:r w:rsidRPr="000B3455">
        <w:rPr>
          <w:i/>
          <w:vertAlign w:val="subscript"/>
        </w:rPr>
        <w:t>it</w:t>
      </w:r>
      <w:r w:rsidR="00F63453" w:rsidRPr="000B3455">
        <w:rPr>
          <w:rFonts w:cstheme="minorHAnsi"/>
          <w:i/>
        </w:rPr>
        <w:t xml:space="preserve"> + ∑</w:t>
      </w:r>
      <w:r w:rsidR="00F63453" w:rsidRPr="000B3455">
        <w:rPr>
          <w:i/>
        </w:rPr>
        <w:t xml:space="preserve"> </w:t>
      </w:r>
      <w:r w:rsidRPr="000B3455">
        <w:rPr>
          <w:i/>
        </w:rPr>
        <w:t>IND_DUMM</w:t>
      </w:r>
      <w:r w:rsidRPr="000B3455">
        <w:rPr>
          <w:i/>
          <w:vertAlign w:val="subscript"/>
        </w:rPr>
        <w:t>it</w:t>
      </w:r>
      <w:r w:rsidRPr="000B3455">
        <w:rPr>
          <w:i/>
        </w:rPr>
        <w:t xml:space="preserve"> + </w:t>
      </w:r>
      <w:r w:rsidRPr="000B3455">
        <w:rPr>
          <w:rFonts w:hAnsi="Times New Roman" w:cs="Times New Roman"/>
          <w:i/>
        </w:rPr>
        <w:t>ɛ</w:t>
      </w:r>
      <w:r w:rsidRPr="000B3455">
        <w:rPr>
          <w:i/>
          <w:vertAlign w:val="subscript"/>
        </w:rPr>
        <w:t>it</w:t>
      </w:r>
    </w:p>
    <w:p w:rsidR="001D5F43" w:rsidRPr="000B3455" w:rsidRDefault="001D5F43" w:rsidP="0088553E">
      <w:pPr>
        <w:spacing w:line="360" w:lineRule="auto"/>
        <w:jc w:val="both"/>
      </w:pPr>
      <w:r w:rsidRPr="000B3455">
        <w:t>And for shares as:</w:t>
      </w:r>
    </w:p>
    <w:p w:rsidR="00F63453" w:rsidRPr="000B3455" w:rsidRDefault="001D5F43" w:rsidP="0088553E">
      <w:pPr>
        <w:spacing w:line="360" w:lineRule="auto"/>
        <w:jc w:val="both"/>
      </w:pPr>
      <w:r w:rsidRPr="000B3455">
        <w:rPr>
          <w:b/>
        </w:rPr>
        <w:t>(2):</w:t>
      </w:r>
      <w:r w:rsidRPr="000B3455">
        <w:rPr>
          <w:i/>
        </w:rPr>
        <w:t xml:space="preserve"> </w:t>
      </w:r>
      <w:r w:rsidR="00F63453" w:rsidRPr="000B3455">
        <w:rPr>
          <w:i/>
        </w:rPr>
        <w:t>PR_</w:t>
      </w:r>
      <w:r w:rsidRPr="000B3455">
        <w:rPr>
          <w:i/>
        </w:rPr>
        <w:t>FV_SHA</w:t>
      </w:r>
      <w:r w:rsidRPr="000B3455">
        <w:rPr>
          <w:i/>
          <w:vertAlign w:val="subscript"/>
        </w:rPr>
        <w:t>it</w:t>
      </w:r>
      <w:r w:rsidRPr="000B3455">
        <w:rPr>
          <w:i/>
        </w:rPr>
        <w:t xml:space="preserve"> = </w:t>
      </w:r>
      <w:r w:rsidR="00F63453" w:rsidRPr="000B3455">
        <w:rPr>
          <w:rFonts w:cstheme="minorHAnsi"/>
          <w:i/>
        </w:rPr>
        <w:t>β</w:t>
      </w:r>
      <w:r w:rsidR="00F63453" w:rsidRPr="000B3455">
        <w:rPr>
          <w:i/>
          <w:vertAlign w:val="subscript"/>
        </w:rPr>
        <w:t>0</w:t>
      </w:r>
      <w:r w:rsidR="00F63453" w:rsidRPr="000B3455">
        <w:rPr>
          <w:i/>
        </w:rPr>
        <w:t xml:space="preserve"> + </w:t>
      </w:r>
      <w:r w:rsidR="00F63453" w:rsidRPr="000B3455">
        <w:rPr>
          <w:rFonts w:cstheme="minorHAnsi"/>
          <w:i/>
        </w:rPr>
        <w:t>β</w:t>
      </w:r>
      <w:r w:rsidR="00F63453" w:rsidRPr="000B3455">
        <w:rPr>
          <w:i/>
          <w:vertAlign w:val="subscript"/>
        </w:rPr>
        <w:t>1</w:t>
      </w:r>
      <w:r w:rsidR="00F63453" w:rsidRPr="000B3455">
        <w:rPr>
          <w:i/>
        </w:rPr>
        <w:t xml:space="preserve"> 2003 + </w:t>
      </w:r>
      <w:r w:rsidR="00F63453" w:rsidRPr="000B3455">
        <w:rPr>
          <w:rFonts w:cstheme="minorHAnsi"/>
          <w:i/>
        </w:rPr>
        <w:t>β</w:t>
      </w:r>
      <w:r w:rsidR="00F63453" w:rsidRPr="000B3455">
        <w:rPr>
          <w:rFonts w:cstheme="minorHAnsi"/>
          <w:i/>
          <w:vertAlign w:val="subscript"/>
        </w:rPr>
        <w:t xml:space="preserve">2 </w:t>
      </w:r>
      <w:r w:rsidR="00F63453" w:rsidRPr="000B3455">
        <w:rPr>
          <w:rFonts w:cstheme="minorHAnsi"/>
          <w:i/>
        </w:rPr>
        <w:t>2004 + β</w:t>
      </w:r>
      <w:r w:rsidR="00F63453" w:rsidRPr="000B3455">
        <w:rPr>
          <w:rFonts w:cstheme="minorHAnsi"/>
          <w:i/>
          <w:vertAlign w:val="subscript"/>
        </w:rPr>
        <w:t>3</w:t>
      </w:r>
      <w:r w:rsidR="00F63453" w:rsidRPr="000B3455">
        <w:rPr>
          <w:rFonts w:cstheme="minorHAnsi"/>
          <w:i/>
        </w:rPr>
        <w:t xml:space="preserve"> 2005 + β</w:t>
      </w:r>
      <w:r w:rsidR="00F63453" w:rsidRPr="000B3455">
        <w:rPr>
          <w:rFonts w:cstheme="minorHAnsi"/>
          <w:i/>
          <w:vertAlign w:val="subscript"/>
        </w:rPr>
        <w:t>4</w:t>
      </w:r>
      <w:r w:rsidR="00F63453" w:rsidRPr="000B3455">
        <w:rPr>
          <w:rFonts w:cstheme="minorHAnsi"/>
          <w:i/>
        </w:rPr>
        <w:t xml:space="preserve"> 2006 + β</w:t>
      </w:r>
      <w:r w:rsidR="00F63453" w:rsidRPr="000B3455">
        <w:rPr>
          <w:rFonts w:cstheme="minorHAnsi"/>
          <w:i/>
          <w:vertAlign w:val="subscript"/>
        </w:rPr>
        <w:t>5</w:t>
      </w:r>
      <w:r w:rsidR="00F63453" w:rsidRPr="000B3455">
        <w:rPr>
          <w:rFonts w:cstheme="minorHAnsi"/>
          <w:i/>
        </w:rPr>
        <w:t xml:space="preserve"> 2007 + β</w:t>
      </w:r>
      <w:r w:rsidR="00F63453" w:rsidRPr="000B3455">
        <w:rPr>
          <w:rFonts w:cstheme="minorHAnsi"/>
          <w:i/>
          <w:vertAlign w:val="subscript"/>
        </w:rPr>
        <w:t>6</w:t>
      </w:r>
      <w:r w:rsidR="00F63453" w:rsidRPr="000B3455">
        <w:rPr>
          <w:i/>
        </w:rPr>
        <w:t xml:space="preserve"> LN_ASSETS</w:t>
      </w:r>
      <w:r w:rsidR="00F63453" w:rsidRPr="000B3455">
        <w:rPr>
          <w:i/>
          <w:vertAlign w:val="subscript"/>
        </w:rPr>
        <w:t>it</w:t>
      </w:r>
      <w:r w:rsidR="00F63453" w:rsidRPr="000B3455">
        <w:rPr>
          <w:i/>
        </w:rPr>
        <w:t xml:space="preserve"> + </w:t>
      </w:r>
      <w:r w:rsidR="00F63453" w:rsidRPr="000B3455">
        <w:rPr>
          <w:rFonts w:cstheme="minorHAnsi"/>
          <w:i/>
        </w:rPr>
        <w:t>β</w:t>
      </w:r>
      <w:r w:rsidR="00F63453" w:rsidRPr="000B3455">
        <w:rPr>
          <w:rFonts w:cstheme="minorHAnsi"/>
          <w:i/>
          <w:vertAlign w:val="subscript"/>
        </w:rPr>
        <w:t>7</w:t>
      </w:r>
      <w:r w:rsidR="00F63453" w:rsidRPr="000B3455">
        <w:rPr>
          <w:i/>
          <w:vertAlign w:val="subscript"/>
        </w:rPr>
        <w:t xml:space="preserve"> </w:t>
      </w:r>
      <w:r w:rsidR="00F63453" w:rsidRPr="000B3455">
        <w:rPr>
          <w:i/>
        </w:rPr>
        <w:t>MTB</w:t>
      </w:r>
      <w:r w:rsidR="00F63453" w:rsidRPr="000B3455">
        <w:rPr>
          <w:i/>
          <w:vertAlign w:val="subscript"/>
        </w:rPr>
        <w:t>it</w:t>
      </w:r>
      <w:r w:rsidR="00F63453" w:rsidRPr="000B3455">
        <w:rPr>
          <w:rFonts w:cstheme="minorHAnsi"/>
          <w:i/>
        </w:rPr>
        <w:t xml:space="preserve"> + β</w:t>
      </w:r>
      <w:r w:rsidR="00F63453" w:rsidRPr="000B3455">
        <w:rPr>
          <w:rFonts w:cstheme="minorHAnsi"/>
          <w:i/>
          <w:vertAlign w:val="subscript"/>
        </w:rPr>
        <w:t>8</w:t>
      </w:r>
      <w:r w:rsidR="00F63453" w:rsidRPr="000B3455">
        <w:rPr>
          <w:i/>
        </w:rPr>
        <w:t xml:space="preserve"> RET</w:t>
      </w:r>
      <w:r w:rsidR="00F63453" w:rsidRPr="000B3455">
        <w:rPr>
          <w:i/>
          <w:vertAlign w:val="subscript"/>
        </w:rPr>
        <w:t>it</w:t>
      </w:r>
      <w:r w:rsidR="00F63453" w:rsidRPr="000B3455">
        <w:rPr>
          <w:rFonts w:cstheme="minorHAnsi"/>
          <w:i/>
        </w:rPr>
        <w:t xml:space="preserve"> + β</w:t>
      </w:r>
      <w:r w:rsidR="00F63453" w:rsidRPr="000B3455">
        <w:rPr>
          <w:rFonts w:cstheme="minorHAnsi"/>
          <w:i/>
          <w:vertAlign w:val="subscript"/>
        </w:rPr>
        <w:t>9</w:t>
      </w:r>
      <w:r w:rsidR="00F63453" w:rsidRPr="000B3455">
        <w:rPr>
          <w:i/>
        </w:rPr>
        <w:t xml:space="preserve"> VOL</w:t>
      </w:r>
      <w:r w:rsidR="00F63453" w:rsidRPr="000B3455">
        <w:rPr>
          <w:i/>
          <w:vertAlign w:val="subscript"/>
        </w:rPr>
        <w:t>it</w:t>
      </w:r>
      <w:r w:rsidR="00F63453" w:rsidRPr="000B3455">
        <w:rPr>
          <w:rFonts w:cstheme="minorHAnsi"/>
          <w:i/>
        </w:rPr>
        <w:t xml:space="preserve"> + β</w:t>
      </w:r>
      <w:r w:rsidR="00F63453" w:rsidRPr="000B3455">
        <w:rPr>
          <w:rFonts w:cstheme="minorHAnsi"/>
          <w:i/>
          <w:vertAlign w:val="subscript"/>
        </w:rPr>
        <w:t>10</w:t>
      </w:r>
      <w:r w:rsidR="00F63453" w:rsidRPr="000B3455">
        <w:rPr>
          <w:i/>
        </w:rPr>
        <w:t xml:space="preserve"> BOA_SIZE</w:t>
      </w:r>
      <w:r w:rsidR="00F63453" w:rsidRPr="000B3455">
        <w:rPr>
          <w:i/>
          <w:vertAlign w:val="subscript"/>
        </w:rPr>
        <w:t>it</w:t>
      </w:r>
      <w:r w:rsidR="00F63453" w:rsidRPr="000B3455">
        <w:rPr>
          <w:rFonts w:cstheme="minorHAnsi"/>
          <w:i/>
        </w:rPr>
        <w:t xml:space="preserve"> + β</w:t>
      </w:r>
      <w:r w:rsidR="00F63453" w:rsidRPr="000B3455">
        <w:rPr>
          <w:rFonts w:cstheme="minorHAnsi"/>
          <w:i/>
          <w:vertAlign w:val="subscript"/>
        </w:rPr>
        <w:t>11</w:t>
      </w:r>
      <w:r w:rsidR="00F63453" w:rsidRPr="000B3455">
        <w:rPr>
          <w:i/>
        </w:rPr>
        <w:t xml:space="preserve"> LIQ_CON</w:t>
      </w:r>
      <w:r w:rsidR="00F63453" w:rsidRPr="000B3455">
        <w:rPr>
          <w:i/>
          <w:vertAlign w:val="subscript"/>
        </w:rPr>
        <w:t>it</w:t>
      </w:r>
      <w:r w:rsidR="00F63453" w:rsidRPr="000B3455">
        <w:rPr>
          <w:rFonts w:cstheme="minorHAnsi"/>
          <w:i/>
        </w:rPr>
        <w:t xml:space="preserve"> + ∑</w:t>
      </w:r>
      <w:r w:rsidR="00F63453" w:rsidRPr="000B3455">
        <w:rPr>
          <w:i/>
        </w:rPr>
        <w:t xml:space="preserve"> IND_DUMM</w:t>
      </w:r>
      <w:r w:rsidR="00F63453" w:rsidRPr="000B3455">
        <w:rPr>
          <w:i/>
          <w:vertAlign w:val="subscript"/>
        </w:rPr>
        <w:t>it</w:t>
      </w:r>
      <w:r w:rsidR="00F63453" w:rsidRPr="000B3455">
        <w:rPr>
          <w:i/>
        </w:rPr>
        <w:t xml:space="preserve"> + </w:t>
      </w:r>
      <w:r w:rsidR="00F63453" w:rsidRPr="000B3455">
        <w:rPr>
          <w:rFonts w:hAnsi="Times New Roman" w:cs="Times New Roman"/>
          <w:i/>
        </w:rPr>
        <w:t>ɛ</w:t>
      </w:r>
      <w:r w:rsidR="00F63453" w:rsidRPr="000B3455">
        <w:rPr>
          <w:i/>
          <w:vertAlign w:val="subscript"/>
        </w:rPr>
        <w:t>it</w:t>
      </w:r>
      <w:r w:rsidR="00F63453" w:rsidRPr="000B3455">
        <w:t xml:space="preserve"> </w:t>
      </w:r>
    </w:p>
    <w:p w:rsidR="001D5F43" w:rsidRPr="000B3455" w:rsidRDefault="001D5F43" w:rsidP="0088553E">
      <w:pPr>
        <w:spacing w:line="360" w:lineRule="auto"/>
        <w:jc w:val="both"/>
      </w:pPr>
      <w:r w:rsidRPr="000B3455">
        <w:t xml:space="preserve">These research models should reflect a trend in the </w:t>
      </w:r>
      <w:r w:rsidR="00F63453" w:rsidRPr="000B3455">
        <w:t>proportion of stock option compensation and share compensation,</w:t>
      </w:r>
      <w:r w:rsidRPr="000B3455">
        <w:t xml:space="preserve"> while controlling for other factors of remuneration.</w:t>
      </w:r>
      <w:r w:rsidR="00A80E06" w:rsidRPr="000B3455">
        <w:t xml:space="preserve"> </w:t>
      </w:r>
      <w:r w:rsidR="009E7A9A" w:rsidRPr="000B3455">
        <w:t>Since IFRS 2 is expected to have a negative influence on the dependent variables of both models, t</w:t>
      </w:r>
      <w:r w:rsidR="00A80E06" w:rsidRPr="000B3455">
        <w:t>he year dummy for 2005 is expected to be negative. For the other year dummies the relation to the proportion of stock options</w:t>
      </w:r>
      <w:r w:rsidR="009E7A9A" w:rsidRPr="000B3455">
        <w:t xml:space="preserve"> is unknown.</w:t>
      </w:r>
      <w:r w:rsidRPr="000B3455">
        <w:t xml:space="preserve"> It is expected for both models that the natural logarithm of assets (</w:t>
      </w:r>
      <w:r w:rsidRPr="000B3455">
        <w:rPr>
          <w:i/>
        </w:rPr>
        <w:t>LN_ASSET</w:t>
      </w:r>
      <w:r w:rsidRPr="000B3455">
        <w:rPr>
          <w:i/>
          <w:vertAlign w:val="subscript"/>
        </w:rPr>
        <w:t>it</w:t>
      </w:r>
      <w:r w:rsidRPr="000B3455">
        <w:t>), as a proxy for size, is positively associated with the dependent variables in accordance with Murphy (199</w:t>
      </w:r>
      <w:r w:rsidR="007A0CBE" w:rsidRPr="000B3455">
        <w:t>8</w:t>
      </w:r>
      <w:r w:rsidR="00A257E3" w:rsidRPr="000B3455">
        <w:t>,</w:t>
      </w:r>
      <w:r w:rsidRPr="000B3455">
        <w:t xml:space="preserve"> </w:t>
      </w:r>
      <w:r w:rsidR="00EB350F" w:rsidRPr="000B3455">
        <w:t xml:space="preserve">p. </w:t>
      </w:r>
      <w:r w:rsidRPr="000B3455">
        <w:t>6), Carter et al. (2007</w:t>
      </w:r>
      <w:r w:rsidR="00A257E3" w:rsidRPr="000B3455">
        <w:t xml:space="preserve">, </w:t>
      </w:r>
      <w:r w:rsidR="00EB350F" w:rsidRPr="000B3455">
        <w:t>p</w:t>
      </w:r>
      <w:r w:rsidR="00C523A8" w:rsidRPr="000B3455">
        <w:t>p</w:t>
      </w:r>
      <w:r w:rsidR="00EB350F" w:rsidRPr="000B3455">
        <w:t xml:space="preserve">. </w:t>
      </w:r>
      <w:r w:rsidRPr="000B3455">
        <w:t>341-343)</w:t>
      </w:r>
      <w:r w:rsidR="00A257E3" w:rsidRPr="000B3455">
        <w:t xml:space="preserve">, and Chalmers et al. (2006, </w:t>
      </w:r>
      <w:r w:rsidR="00EB350F" w:rsidRPr="000B3455">
        <w:t>p</w:t>
      </w:r>
      <w:r w:rsidR="00C523A8" w:rsidRPr="000B3455">
        <w:t>p</w:t>
      </w:r>
      <w:r w:rsidR="00EB350F" w:rsidRPr="000B3455">
        <w:t xml:space="preserve">. </w:t>
      </w:r>
      <w:r w:rsidRPr="000B3455">
        <w:t>268-269). The market to book ratio serves as a proxy to measure growth opportunities (</w:t>
      </w:r>
      <w:r w:rsidRPr="000B3455">
        <w:rPr>
          <w:i/>
        </w:rPr>
        <w:t>MTB</w:t>
      </w:r>
      <w:r w:rsidRPr="000B3455">
        <w:rPr>
          <w:i/>
          <w:vertAlign w:val="subscript"/>
        </w:rPr>
        <w:t>it</w:t>
      </w:r>
      <w:r w:rsidRPr="000B3455">
        <w:t>). Since the share price is expected to reflect a company’s future earnings, a high market to book ratio will imply high growth opportunities. The expected relation is positive, as Chalmers et al. (2006</w:t>
      </w:r>
      <w:r w:rsidR="00924983" w:rsidRPr="000B3455">
        <w:t>,</w:t>
      </w:r>
      <w:r w:rsidRPr="000B3455">
        <w:t xml:space="preserve"> </w:t>
      </w:r>
      <w:r w:rsidR="00EB350F" w:rsidRPr="000B3455">
        <w:t>p</w:t>
      </w:r>
      <w:r w:rsidR="00C523A8" w:rsidRPr="000B3455">
        <w:t>p</w:t>
      </w:r>
      <w:r w:rsidR="00EB350F" w:rsidRPr="000B3455">
        <w:t xml:space="preserve">. </w:t>
      </w:r>
      <w:r w:rsidRPr="000B3455">
        <w:t>268-269)  also indicated. The performance of a company</w:t>
      </w:r>
      <w:r w:rsidRPr="000B3455">
        <w:rPr>
          <w:i/>
        </w:rPr>
        <w:t xml:space="preserve"> </w:t>
      </w:r>
      <w:r w:rsidRPr="000B3455">
        <w:t>(</w:t>
      </w:r>
      <w:r w:rsidRPr="000B3455">
        <w:rPr>
          <w:i/>
        </w:rPr>
        <w:t>RET</w:t>
      </w:r>
      <w:r w:rsidRPr="000B3455">
        <w:rPr>
          <w:i/>
          <w:vertAlign w:val="subscript"/>
        </w:rPr>
        <w:t>it</w:t>
      </w:r>
      <w:r w:rsidRPr="000B3455">
        <w:t xml:space="preserve">), measured by stock returns, is expected to be positively related to the dependent variables. According to the Dutch Corporate Governance Code the level of remuneration should be related to, for example, the share price performance. High share returns might, therefore, influence the level of granted stock options and shares. </w:t>
      </w:r>
      <w:r w:rsidR="00D87FFA" w:rsidRPr="000B3455">
        <w:t>According to Murphy (199</w:t>
      </w:r>
      <w:r w:rsidR="007A0CBE" w:rsidRPr="000B3455">
        <w:t>8</w:t>
      </w:r>
      <w:r w:rsidR="00D87FFA" w:rsidRPr="000B3455">
        <w:t xml:space="preserve">, </w:t>
      </w:r>
      <w:r w:rsidR="00EB350F" w:rsidRPr="000B3455">
        <w:t xml:space="preserve">p. </w:t>
      </w:r>
      <w:r w:rsidR="00D87FFA" w:rsidRPr="000B3455">
        <w:t>17), executives with stock options are provided with more incentives to engage in riskier investments, resulting in a riskier firm</w:t>
      </w:r>
      <w:r w:rsidR="008D2248" w:rsidRPr="000B3455">
        <w:t xml:space="preserve"> with volatility (</w:t>
      </w:r>
      <w:r w:rsidR="008D2248" w:rsidRPr="000B3455">
        <w:rPr>
          <w:i/>
        </w:rPr>
        <w:t>VOL</w:t>
      </w:r>
      <w:r w:rsidR="008D2248" w:rsidRPr="000B3455">
        <w:rPr>
          <w:i/>
          <w:vertAlign w:val="subscript"/>
        </w:rPr>
        <w:t>it</w:t>
      </w:r>
      <w:r w:rsidR="008D2248" w:rsidRPr="000B3455">
        <w:t>) as proxy</w:t>
      </w:r>
      <w:r w:rsidR="00D87FFA" w:rsidRPr="000B3455">
        <w:t>.</w:t>
      </w:r>
      <w:r w:rsidR="00D87FFA" w:rsidRPr="000B3455">
        <w:rPr>
          <w:color w:val="FF0000"/>
        </w:rPr>
        <w:t xml:space="preserve"> </w:t>
      </w:r>
      <w:r w:rsidR="00D87FFA" w:rsidRPr="000B3455">
        <w:t xml:space="preserve">In addition, </w:t>
      </w:r>
      <w:r w:rsidRPr="000B3455">
        <w:t>Chalmers et al. (2006</w:t>
      </w:r>
      <w:r w:rsidR="00924983" w:rsidRPr="000B3455">
        <w:t>,</w:t>
      </w:r>
      <w:r w:rsidRPr="000B3455">
        <w:t xml:space="preserve"> </w:t>
      </w:r>
      <w:r w:rsidR="00EB350F" w:rsidRPr="000B3455">
        <w:t>p</w:t>
      </w:r>
      <w:r w:rsidR="00C523A8" w:rsidRPr="000B3455">
        <w:t>p</w:t>
      </w:r>
      <w:r w:rsidR="00EB350F" w:rsidRPr="000B3455">
        <w:t xml:space="preserve">. </w:t>
      </w:r>
      <w:r w:rsidRPr="000B3455">
        <w:t>268-269) and Feng and Tian (2007</w:t>
      </w:r>
      <w:r w:rsidR="00A257E3" w:rsidRPr="000B3455">
        <w:t xml:space="preserve">, </w:t>
      </w:r>
      <w:r w:rsidR="00EB350F" w:rsidRPr="000B3455">
        <w:t xml:space="preserve">p. </w:t>
      </w:r>
      <w:r w:rsidRPr="000B3455">
        <w:t>40) showed that riskier firms, use relatively</w:t>
      </w:r>
      <w:r w:rsidR="00D87FFA" w:rsidRPr="000B3455">
        <w:t xml:space="preserve"> more stock options. However, </w:t>
      </w:r>
      <w:r w:rsidRPr="000B3455">
        <w:t>Chalmers et al. (2006</w:t>
      </w:r>
      <w:r w:rsidR="00924983" w:rsidRPr="000B3455">
        <w:t>,</w:t>
      </w:r>
      <w:r w:rsidRPr="000B3455">
        <w:t xml:space="preserve"> </w:t>
      </w:r>
      <w:r w:rsidR="00EB350F" w:rsidRPr="000B3455">
        <w:t>p</w:t>
      </w:r>
      <w:r w:rsidR="00C523A8" w:rsidRPr="000B3455">
        <w:t>p</w:t>
      </w:r>
      <w:r w:rsidR="00EB350F" w:rsidRPr="000B3455">
        <w:t xml:space="preserve">. </w:t>
      </w:r>
      <w:r w:rsidRPr="000B3455">
        <w:t xml:space="preserve">268-269) found </w:t>
      </w:r>
      <w:r w:rsidR="00D87FFA" w:rsidRPr="000B3455">
        <w:t xml:space="preserve">stronger </w:t>
      </w:r>
      <w:r w:rsidRPr="000B3455">
        <w:t>evidence for the opposite relation regarding shares. In the case of stock options the profit at exercising is either the share price less the exercise price or nothing, whereas the gain of granted shares is always the share price. Having stock options are, therefore, riskier than shares. Therefore, I expect the same results as Chalmers et al. (2006)</w:t>
      </w:r>
      <w:r w:rsidR="00D87FFA" w:rsidRPr="000B3455">
        <w:t>, Murphy (199</w:t>
      </w:r>
      <w:r w:rsidR="007A0CBE" w:rsidRPr="000B3455">
        <w:t>8</w:t>
      </w:r>
      <w:r w:rsidR="00D87FFA" w:rsidRPr="000B3455">
        <w:t>),</w:t>
      </w:r>
      <w:r w:rsidRPr="000B3455">
        <w:t xml:space="preserve"> and Feng and Tian (2007) have found regarding stock options. And the same results as Chalmers et al. (2006) have found regarding </w:t>
      </w:r>
      <w:r w:rsidR="009F210C" w:rsidRPr="000B3455">
        <w:t>share</w:t>
      </w:r>
      <w:r w:rsidRPr="000B3455">
        <w:t xml:space="preserve"> compensation.</w:t>
      </w:r>
      <w:r w:rsidR="00D87FFA" w:rsidRPr="000B3455">
        <w:t xml:space="preserve"> </w:t>
      </w:r>
      <w:r w:rsidRPr="000B3455">
        <w:t>Although Chalmers et al. (2006</w:t>
      </w:r>
      <w:r w:rsidR="00924983" w:rsidRPr="000B3455">
        <w:t>,</w:t>
      </w:r>
      <w:r w:rsidRPr="000B3455">
        <w:t xml:space="preserve"> </w:t>
      </w:r>
      <w:r w:rsidR="00EB350F" w:rsidRPr="000B3455">
        <w:t>p</w:t>
      </w:r>
      <w:r w:rsidR="00C523A8" w:rsidRPr="000B3455">
        <w:t>p</w:t>
      </w:r>
      <w:r w:rsidR="00EB350F" w:rsidRPr="000B3455">
        <w:t xml:space="preserve">. </w:t>
      </w:r>
      <w:r w:rsidRPr="000B3455">
        <w:t>264-269) found that board size (</w:t>
      </w:r>
      <w:r w:rsidRPr="000B3455">
        <w:rPr>
          <w:i/>
        </w:rPr>
        <w:t>BOA_SIZE</w:t>
      </w:r>
      <w:r w:rsidRPr="000B3455">
        <w:rPr>
          <w:i/>
          <w:vertAlign w:val="subscript"/>
        </w:rPr>
        <w:t>it</w:t>
      </w:r>
      <w:r w:rsidRPr="000B3455">
        <w:t xml:space="preserve">) is positively associated with only fixed salary, cash bonuses, and total compensation, I expect that this would also be the case </w:t>
      </w:r>
      <w:r w:rsidRPr="000B3455">
        <w:lastRenderedPageBreak/>
        <w:t>with stock options and shares. High liquidity constraints, synonymous with cash shortage, will use relatively more stock options (Core and Guay</w:t>
      </w:r>
      <w:r w:rsidR="00502BB0" w:rsidRPr="000B3455">
        <w:t>, 2</w:t>
      </w:r>
      <w:r w:rsidRPr="000B3455">
        <w:t>001</w:t>
      </w:r>
      <w:r w:rsidR="00924983" w:rsidRPr="000B3455">
        <w:t>,</w:t>
      </w:r>
      <w:r w:rsidRPr="000B3455">
        <w:t xml:space="preserve"> </w:t>
      </w:r>
      <w:r w:rsidR="00EB350F" w:rsidRPr="000B3455">
        <w:t xml:space="preserve">p. </w:t>
      </w:r>
      <w:r w:rsidRPr="000B3455">
        <w:t>275; Yermack 1995</w:t>
      </w:r>
      <w:r w:rsidR="00924983" w:rsidRPr="000B3455">
        <w:t>,</w:t>
      </w:r>
      <w:r w:rsidRPr="000B3455">
        <w:t xml:space="preserve"> </w:t>
      </w:r>
      <w:r w:rsidR="00EB350F" w:rsidRPr="000B3455">
        <w:t>p</w:t>
      </w:r>
      <w:r w:rsidR="00C523A8" w:rsidRPr="000B3455">
        <w:t>p</w:t>
      </w:r>
      <w:r w:rsidR="00EB350F" w:rsidRPr="000B3455">
        <w:t xml:space="preserve">. </w:t>
      </w:r>
      <w:r w:rsidRPr="000B3455">
        <w:t>24-25; Feng and Tian</w:t>
      </w:r>
      <w:r w:rsidR="00502BB0" w:rsidRPr="000B3455">
        <w:t>, 2</w:t>
      </w:r>
      <w:r w:rsidRPr="000B3455">
        <w:t>007</w:t>
      </w:r>
      <w:r w:rsidR="00924983" w:rsidRPr="000B3455">
        <w:t>,</w:t>
      </w:r>
      <w:r w:rsidRPr="000B3455">
        <w:t xml:space="preserve"> </w:t>
      </w:r>
      <w:r w:rsidR="00EB350F" w:rsidRPr="000B3455">
        <w:t xml:space="preserve">p. </w:t>
      </w:r>
      <w:r w:rsidRPr="000B3455">
        <w:t>41) and shares (Kadan and Swinkels</w:t>
      </w:r>
      <w:r w:rsidR="00502BB0" w:rsidRPr="000B3455">
        <w:t>, 2</w:t>
      </w:r>
      <w:r w:rsidRPr="000B3455">
        <w:t>008</w:t>
      </w:r>
      <w:r w:rsidR="00924983" w:rsidRPr="000B3455">
        <w:t>,</w:t>
      </w:r>
      <w:r w:rsidRPr="000B3455">
        <w:t xml:space="preserve"> </w:t>
      </w:r>
      <w:r w:rsidR="00EB350F" w:rsidRPr="000B3455">
        <w:t xml:space="preserve">p. </w:t>
      </w:r>
      <w:r w:rsidRPr="000B3455">
        <w:t>477). I expect the same relations regarding stock options and shares of liquidity constraints (</w:t>
      </w:r>
      <w:r w:rsidRPr="000B3455">
        <w:rPr>
          <w:i/>
        </w:rPr>
        <w:t>LIQ_CON</w:t>
      </w:r>
      <w:r w:rsidRPr="000B3455">
        <w:rPr>
          <w:i/>
          <w:vertAlign w:val="subscript"/>
        </w:rPr>
        <w:t>it</w:t>
      </w:r>
      <w:r w:rsidRPr="000B3455">
        <w:t>). Since the industry dummy variables (</w:t>
      </w:r>
      <w:r w:rsidRPr="000B3455">
        <w:rPr>
          <w:rFonts w:cstheme="minorHAnsi"/>
          <w:i/>
        </w:rPr>
        <w:t xml:space="preserve">∑ </w:t>
      </w:r>
      <w:r w:rsidRPr="000B3455">
        <w:rPr>
          <w:i/>
        </w:rPr>
        <w:t>IND_DUMM</w:t>
      </w:r>
      <w:r w:rsidRPr="000B3455">
        <w:rPr>
          <w:i/>
          <w:vertAlign w:val="subscript"/>
        </w:rPr>
        <w:t>it</w:t>
      </w:r>
      <w:r w:rsidRPr="000B3455">
        <w:t>) are categorical dummies I will not predict a relation.</w:t>
      </w:r>
    </w:p>
    <w:tbl>
      <w:tblPr>
        <w:tblStyle w:val="Gemiddeldearcering1-accent11"/>
        <w:tblW w:w="0" w:type="auto"/>
        <w:tblLook w:val="04A0"/>
      </w:tblPr>
      <w:tblGrid>
        <w:gridCol w:w="2518"/>
        <w:gridCol w:w="2835"/>
        <w:gridCol w:w="3192"/>
      </w:tblGrid>
      <w:tr w:rsidR="00716C98" w:rsidRPr="000B3455" w:rsidTr="00C71A75">
        <w:trPr>
          <w:cnfStyle w:val="100000000000"/>
        </w:trPr>
        <w:tc>
          <w:tcPr>
            <w:cnfStyle w:val="001000000000"/>
            <w:tcW w:w="2518" w:type="dxa"/>
            <w:shd w:val="clear" w:color="auto" w:fill="auto"/>
            <w:vAlign w:val="bottom"/>
          </w:tcPr>
          <w:p w:rsidR="00716C98" w:rsidRPr="000B3455" w:rsidRDefault="00716C98" w:rsidP="00716C98">
            <w:pPr>
              <w:spacing w:line="360" w:lineRule="auto"/>
              <w:rPr>
                <w:rFonts w:cstheme="minorHAnsi"/>
              </w:rPr>
            </w:pPr>
          </w:p>
        </w:tc>
        <w:tc>
          <w:tcPr>
            <w:tcW w:w="6027" w:type="dxa"/>
            <w:gridSpan w:val="2"/>
            <w:tcBorders>
              <w:bottom w:val="single" w:sz="2" w:space="0" w:color="8DB3E2" w:themeColor="text2" w:themeTint="66"/>
            </w:tcBorders>
          </w:tcPr>
          <w:p w:rsidR="00716C98" w:rsidRPr="00716C98" w:rsidRDefault="00716C98" w:rsidP="0088553E">
            <w:pPr>
              <w:spacing w:line="360" w:lineRule="auto"/>
              <w:jc w:val="both"/>
              <w:cnfStyle w:val="100000000000"/>
              <w:rPr>
                <w:rFonts w:cstheme="minorHAnsi"/>
                <w:b w:val="0"/>
                <w:bCs w:val="0"/>
              </w:rPr>
            </w:pPr>
            <w:r w:rsidRPr="000B3455">
              <w:rPr>
                <w:rFonts w:cstheme="minorHAnsi"/>
              </w:rPr>
              <w:t>Expected relation for the model with the dependent variable:</w:t>
            </w:r>
          </w:p>
        </w:tc>
      </w:tr>
      <w:tr w:rsidR="00716C98" w:rsidRPr="00716C98" w:rsidTr="00C71A75">
        <w:trPr>
          <w:cnfStyle w:val="000000100000"/>
        </w:trPr>
        <w:tc>
          <w:tcPr>
            <w:cnfStyle w:val="001000000000"/>
            <w:tcW w:w="2518" w:type="dxa"/>
            <w:tcBorders>
              <w:right w:val="single" w:sz="2" w:space="0" w:color="8DB3E2" w:themeColor="text2" w:themeTint="66"/>
            </w:tcBorders>
            <w:shd w:val="clear" w:color="auto" w:fill="4F81BD" w:themeFill="accent1"/>
          </w:tcPr>
          <w:p w:rsidR="00716C98" w:rsidRPr="00716C98" w:rsidRDefault="00716C98" w:rsidP="0088553E">
            <w:pPr>
              <w:spacing w:line="360" w:lineRule="auto"/>
              <w:jc w:val="both"/>
              <w:rPr>
                <w:rFonts w:cstheme="minorHAnsi"/>
                <w:color w:val="FFFFFF" w:themeColor="background1"/>
              </w:rPr>
            </w:pPr>
            <w:r w:rsidRPr="00716C98">
              <w:rPr>
                <w:rFonts w:cstheme="minorHAnsi"/>
                <w:color w:val="FFFFFF" w:themeColor="background1"/>
              </w:rPr>
              <w:t>Independent variable</w:t>
            </w:r>
          </w:p>
        </w:tc>
        <w:tc>
          <w:tcPr>
            <w:tcW w:w="2835" w:type="dxa"/>
            <w:tcBorders>
              <w:top w:val="single" w:sz="2" w:space="0" w:color="8DB3E2" w:themeColor="text2" w:themeTint="66"/>
              <w:left w:val="single" w:sz="2" w:space="0" w:color="8DB3E2" w:themeColor="text2" w:themeTint="66"/>
              <w:right w:val="single" w:sz="2" w:space="0" w:color="8DB3E2" w:themeColor="text2" w:themeTint="66"/>
            </w:tcBorders>
            <w:shd w:val="clear" w:color="8DB3E2" w:themeColor="text2" w:themeTint="66" w:fill="4F81BD" w:themeFill="accent1"/>
            <w:vAlign w:val="bottom"/>
          </w:tcPr>
          <w:p w:rsidR="00716C98" w:rsidRPr="00716C98" w:rsidRDefault="00716C98" w:rsidP="00716C98">
            <w:pPr>
              <w:spacing w:line="360" w:lineRule="auto"/>
              <w:jc w:val="center"/>
              <w:cnfStyle w:val="000000100000"/>
              <w:rPr>
                <w:rFonts w:cstheme="minorHAnsi"/>
                <w:b/>
                <w:color w:val="FFFFFF" w:themeColor="background1"/>
              </w:rPr>
            </w:pPr>
            <w:r w:rsidRPr="00716C98">
              <w:rPr>
                <w:b/>
                <w:i/>
                <w:color w:val="FFFFFF" w:themeColor="background1"/>
              </w:rPr>
              <w:t>PR_FV_STO</w:t>
            </w:r>
            <w:r w:rsidRPr="00716C98">
              <w:rPr>
                <w:b/>
                <w:i/>
                <w:color w:val="FFFFFF" w:themeColor="background1"/>
                <w:vertAlign w:val="subscript"/>
              </w:rPr>
              <w:t>it</w:t>
            </w:r>
          </w:p>
        </w:tc>
        <w:tc>
          <w:tcPr>
            <w:tcW w:w="3192" w:type="dxa"/>
            <w:tcBorders>
              <w:top w:val="single" w:sz="2" w:space="0" w:color="8DB3E2" w:themeColor="text2" w:themeTint="66"/>
              <w:left w:val="single" w:sz="2" w:space="0" w:color="8DB3E2" w:themeColor="text2" w:themeTint="66"/>
            </w:tcBorders>
            <w:shd w:val="clear" w:color="8DB3E2" w:themeColor="text2" w:themeTint="66" w:fill="4F81BD" w:themeFill="accent1"/>
            <w:vAlign w:val="bottom"/>
          </w:tcPr>
          <w:p w:rsidR="00716C98" w:rsidRPr="00716C98" w:rsidRDefault="00716C98" w:rsidP="00716C98">
            <w:pPr>
              <w:spacing w:line="360" w:lineRule="auto"/>
              <w:jc w:val="center"/>
              <w:cnfStyle w:val="000000100000"/>
              <w:rPr>
                <w:rFonts w:cstheme="minorHAnsi"/>
                <w:b/>
                <w:color w:val="FFFFFF" w:themeColor="background1"/>
              </w:rPr>
            </w:pPr>
            <w:r w:rsidRPr="00716C98">
              <w:rPr>
                <w:b/>
                <w:i/>
                <w:color w:val="FFFFFF" w:themeColor="background1"/>
              </w:rPr>
              <w:t>PR_FV_SHA</w:t>
            </w:r>
            <w:r w:rsidRPr="00716C98">
              <w:rPr>
                <w:b/>
                <w:i/>
                <w:color w:val="FFFFFF" w:themeColor="background1"/>
                <w:vertAlign w:val="subscript"/>
              </w:rPr>
              <w:t>it</w:t>
            </w:r>
          </w:p>
        </w:tc>
      </w:tr>
      <w:tr w:rsidR="00AA1C90" w:rsidRPr="000B3455" w:rsidTr="00716C98">
        <w:trPr>
          <w:cnfStyle w:val="000000010000"/>
        </w:trPr>
        <w:tc>
          <w:tcPr>
            <w:cnfStyle w:val="001000000000"/>
            <w:tcW w:w="2518" w:type="dxa"/>
          </w:tcPr>
          <w:p w:rsidR="00AA1C90" w:rsidRPr="000B3455" w:rsidRDefault="00AA1C90" w:rsidP="0088553E">
            <w:pPr>
              <w:spacing w:line="360" w:lineRule="auto"/>
              <w:jc w:val="both"/>
              <w:rPr>
                <w:rFonts w:cstheme="minorHAnsi"/>
              </w:rPr>
            </w:pPr>
            <w:r w:rsidRPr="000B3455">
              <w:rPr>
                <w:i/>
              </w:rPr>
              <w:t>LN_ASSETS</w:t>
            </w:r>
            <w:r w:rsidRPr="000B3455">
              <w:rPr>
                <w:i/>
                <w:vertAlign w:val="subscript"/>
              </w:rPr>
              <w:t>it</w:t>
            </w:r>
          </w:p>
        </w:tc>
        <w:tc>
          <w:tcPr>
            <w:tcW w:w="2835" w:type="dxa"/>
            <w:vAlign w:val="bottom"/>
          </w:tcPr>
          <w:p w:rsidR="00AA1C90" w:rsidRPr="000B3455" w:rsidRDefault="00AA1C90" w:rsidP="00716C98">
            <w:pPr>
              <w:spacing w:line="360" w:lineRule="auto"/>
              <w:jc w:val="center"/>
              <w:cnfStyle w:val="000000010000"/>
              <w:rPr>
                <w:rFonts w:cstheme="minorHAnsi"/>
              </w:rPr>
            </w:pPr>
            <w:r w:rsidRPr="000B3455">
              <w:rPr>
                <w:rFonts w:cstheme="minorHAnsi"/>
              </w:rPr>
              <w:t>+</w:t>
            </w:r>
          </w:p>
        </w:tc>
        <w:tc>
          <w:tcPr>
            <w:tcW w:w="3192" w:type="dxa"/>
            <w:vAlign w:val="bottom"/>
          </w:tcPr>
          <w:p w:rsidR="00AA1C90" w:rsidRPr="000B3455" w:rsidRDefault="00AA1C90" w:rsidP="00716C98">
            <w:pPr>
              <w:spacing w:line="360" w:lineRule="auto"/>
              <w:jc w:val="center"/>
              <w:cnfStyle w:val="000000010000"/>
              <w:rPr>
                <w:rFonts w:cstheme="minorHAnsi"/>
              </w:rPr>
            </w:pPr>
            <w:r w:rsidRPr="000B3455">
              <w:rPr>
                <w:rFonts w:cstheme="minorHAnsi"/>
              </w:rPr>
              <w:t>+</w:t>
            </w:r>
          </w:p>
        </w:tc>
      </w:tr>
      <w:tr w:rsidR="00AA1C90" w:rsidRPr="000B3455" w:rsidTr="00716C98">
        <w:trPr>
          <w:cnfStyle w:val="000000100000"/>
        </w:trPr>
        <w:tc>
          <w:tcPr>
            <w:cnfStyle w:val="001000000000"/>
            <w:tcW w:w="2518" w:type="dxa"/>
          </w:tcPr>
          <w:p w:rsidR="00AA1C90" w:rsidRPr="000B3455" w:rsidRDefault="00AA1C90" w:rsidP="0088553E">
            <w:pPr>
              <w:spacing w:line="360" w:lineRule="auto"/>
              <w:jc w:val="both"/>
              <w:rPr>
                <w:rFonts w:cstheme="minorHAnsi"/>
              </w:rPr>
            </w:pPr>
            <w:r w:rsidRPr="000B3455">
              <w:rPr>
                <w:i/>
              </w:rPr>
              <w:t>MTB</w:t>
            </w:r>
            <w:r w:rsidRPr="000B3455">
              <w:rPr>
                <w:i/>
                <w:vertAlign w:val="subscript"/>
              </w:rPr>
              <w:t>it</w:t>
            </w:r>
          </w:p>
        </w:tc>
        <w:tc>
          <w:tcPr>
            <w:tcW w:w="2835" w:type="dxa"/>
            <w:vAlign w:val="bottom"/>
          </w:tcPr>
          <w:p w:rsidR="00AA1C90" w:rsidRPr="000B3455" w:rsidRDefault="00AA1C90" w:rsidP="00716C98">
            <w:pPr>
              <w:spacing w:line="360" w:lineRule="auto"/>
              <w:jc w:val="center"/>
              <w:cnfStyle w:val="000000100000"/>
              <w:rPr>
                <w:rFonts w:cstheme="minorHAnsi"/>
              </w:rPr>
            </w:pPr>
            <w:r w:rsidRPr="000B3455">
              <w:rPr>
                <w:rFonts w:cstheme="minorHAnsi"/>
              </w:rPr>
              <w:t>+</w:t>
            </w:r>
          </w:p>
        </w:tc>
        <w:tc>
          <w:tcPr>
            <w:tcW w:w="3192" w:type="dxa"/>
            <w:vAlign w:val="bottom"/>
          </w:tcPr>
          <w:p w:rsidR="00AA1C90" w:rsidRPr="000B3455" w:rsidRDefault="00AA1C90" w:rsidP="00716C98">
            <w:pPr>
              <w:spacing w:line="360" w:lineRule="auto"/>
              <w:jc w:val="center"/>
              <w:cnfStyle w:val="000000100000"/>
              <w:rPr>
                <w:rFonts w:cstheme="minorHAnsi"/>
              </w:rPr>
            </w:pPr>
            <w:r w:rsidRPr="000B3455">
              <w:rPr>
                <w:rFonts w:cstheme="minorHAnsi"/>
              </w:rPr>
              <w:t>+</w:t>
            </w:r>
          </w:p>
        </w:tc>
      </w:tr>
      <w:tr w:rsidR="00AA1C90" w:rsidRPr="000B3455" w:rsidTr="00716C98">
        <w:trPr>
          <w:cnfStyle w:val="000000010000"/>
        </w:trPr>
        <w:tc>
          <w:tcPr>
            <w:cnfStyle w:val="001000000000"/>
            <w:tcW w:w="2518" w:type="dxa"/>
          </w:tcPr>
          <w:p w:rsidR="00AA1C90" w:rsidRPr="000B3455" w:rsidRDefault="00AA1C90" w:rsidP="0088553E">
            <w:pPr>
              <w:spacing w:line="360" w:lineRule="auto"/>
              <w:jc w:val="both"/>
              <w:rPr>
                <w:rFonts w:cstheme="minorHAnsi"/>
              </w:rPr>
            </w:pPr>
            <w:r w:rsidRPr="000B3455">
              <w:rPr>
                <w:i/>
              </w:rPr>
              <w:t>RET</w:t>
            </w:r>
            <w:r w:rsidRPr="000B3455">
              <w:rPr>
                <w:i/>
                <w:vertAlign w:val="subscript"/>
              </w:rPr>
              <w:t>it</w:t>
            </w:r>
          </w:p>
        </w:tc>
        <w:tc>
          <w:tcPr>
            <w:tcW w:w="2835" w:type="dxa"/>
            <w:vAlign w:val="bottom"/>
          </w:tcPr>
          <w:p w:rsidR="00AA1C90" w:rsidRPr="000B3455" w:rsidRDefault="00AA1C90" w:rsidP="00716C98">
            <w:pPr>
              <w:spacing w:line="360" w:lineRule="auto"/>
              <w:jc w:val="center"/>
              <w:cnfStyle w:val="000000010000"/>
              <w:rPr>
                <w:rFonts w:cstheme="minorHAnsi"/>
              </w:rPr>
            </w:pPr>
            <w:r w:rsidRPr="000B3455">
              <w:rPr>
                <w:rFonts w:cstheme="minorHAnsi"/>
              </w:rPr>
              <w:t>+</w:t>
            </w:r>
          </w:p>
        </w:tc>
        <w:tc>
          <w:tcPr>
            <w:tcW w:w="3192" w:type="dxa"/>
            <w:vAlign w:val="bottom"/>
          </w:tcPr>
          <w:p w:rsidR="00AA1C90" w:rsidRPr="000B3455" w:rsidRDefault="00AA1C90" w:rsidP="00716C98">
            <w:pPr>
              <w:spacing w:line="360" w:lineRule="auto"/>
              <w:jc w:val="center"/>
              <w:cnfStyle w:val="000000010000"/>
              <w:rPr>
                <w:rFonts w:cstheme="minorHAnsi"/>
              </w:rPr>
            </w:pPr>
            <w:r w:rsidRPr="000B3455">
              <w:rPr>
                <w:rFonts w:cstheme="minorHAnsi"/>
              </w:rPr>
              <w:t>+</w:t>
            </w:r>
          </w:p>
        </w:tc>
      </w:tr>
      <w:tr w:rsidR="00AA1C90" w:rsidRPr="000B3455" w:rsidTr="00716C98">
        <w:trPr>
          <w:cnfStyle w:val="000000100000"/>
        </w:trPr>
        <w:tc>
          <w:tcPr>
            <w:cnfStyle w:val="001000000000"/>
            <w:tcW w:w="2518" w:type="dxa"/>
          </w:tcPr>
          <w:p w:rsidR="00AA1C90" w:rsidRPr="000B3455" w:rsidRDefault="00AA1C90" w:rsidP="0088553E">
            <w:pPr>
              <w:spacing w:line="360" w:lineRule="auto"/>
              <w:jc w:val="both"/>
              <w:rPr>
                <w:rFonts w:cstheme="minorHAnsi"/>
              </w:rPr>
            </w:pPr>
            <w:r w:rsidRPr="000B3455">
              <w:rPr>
                <w:i/>
              </w:rPr>
              <w:t>VOL</w:t>
            </w:r>
            <w:r w:rsidRPr="000B3455">
              <w:rPr>
                <w:i/>
                <w:vertAlign w:val="subscript"/>
              </w:rPr>
              <w:t>it</w:t>
            </w:r>
          </w:p>
        </w:tc>
        <w:tc>
          <w:tcPr>
            <w:tcW w:w="2835" w:type="dxa"/>
            <w:vAlign w:val="bottom"/>
          </w:tcPr>
          <w:p w:rsidR="00AA1C90" w:rsidRPr="000B3455" w:rsidRDefault="00AA1C90" w:rsidP="00716C98">
            <w:pPr>
              <w:spacing w:line="360" w:lineRule="auto"/>
              <w:jc w:val="center"/>
              <w:cnfStyle w:val="000000100000"/>
              <w:rPr>
                <w:rFonts w:cstheme="minorHAnsi"/>
              </w:rPr>
            </w:pPr>
            <w:r w:rsidRPr="000B3455">
              <w:rPr>
                <w:rFonts w:cstheme="minorHAnsi"/>
              </w:rPr>
              <w:t>+</w:t>
            </w:r>
          </w:p>
        </w:tc>
        <w:tc>
          <w:tcPr>
            <w:tcW w:w="3192" w:type="dxa"/>
            <w:vAlign w:val="bottom"/>
          </w:tcPr>
          <w:p w:rsidR="00AA1C90" w:rsidRPr="000B3455" w:rsidRDefault="00AA1C90" w:rsidP="00716C98">
            <w:pPr>
              <w:spacing w:line="360" w:lineRule="auto"/>
              <w:jc w:val="center"/>
              <w:cnfStyle w:val="000000100000"/>
              <w:rPr>
                <w:rFonts w:cstheme="minorHAnsi"/>
              </w:rPr>
            </w:pPr>
            <w:r w:rsidRPr="000B3455">
              <w:rPr>
                <w:rFonts w:cstheme="minorHAnsi"/>
              </w:rPr>
              <w:t>-</w:t>
            </w:r>
          </w:p>
        </w:tc>
      </w:tr>
      <w:tr w:rsidR="00AA1C90" w:rsidRPr="000B3455" w:rsidTr="00716C98">
        <w:trPr>
          <w:cnfStyle w:val="000000010000"/>
        </w:trPr>
        <w:tc>
          <w:tcPr>
            <w:cnfStyle w:val="001000000000"/>
            <w:tcW w:w="2518" w:type="dxa"/>
          </w:tcPr>
          <w:p w:rsidR="00AA1C90" w:rsidRPr="000B3455" w:rsidRDefault="00AA1C90" w:rsidP="0088553E">
            <w:pPr>
              <w:spacing w:line="360" w:lineRule="auto"/>
              <w:jc w:val="both"/>
              <w:rPr>
                <w:rFonts w:cstheme="minorHAnsi"/>
              </w:rPr>
            </w:pPr>
            <w:r w:rsidRPr="000B3455">
              <w:rPr>
                <w:i/>
              </w:rPr>
              <w:t>BOA_SIZE</w:t>
            </w:r>
            <w:r w:rsidRPr="000B3455">
              <w:rPr>
                <w:i/>
                <w:vertAlign w:val="subscript"/>
              </w:rPr>
              <w:t>it</w:t>
            </w:r>
          </w:p>
        </w:tc>
        <w:tc>
          <w:tcPr>
            <w:tcW w:w="2835" w:type="dxa"/>
            <w:vAlign w:val="bottom"/>
          </w:tcPr>
          <w:p w:rsidR="00AA1C90" w:rsidRPr="000B3455" w:rsidRDefault="00AA1C90" w:rsidP="00716C98">
            <w:pPr>
              <w:spacing w:line="360" w:lineRule="auto"/>
              <w:jc w:val="center"/>
              <w:cnfStyle w:val="000000010000"/>
              <w:rPr>
                <w:rFonts w:cstheme="minorHAnsi"/>
              </w:rPr>
            </w:pPr>
            <w:r w:rsidRPr="000B3455">
              <w:rPr>
                <w:rFonts w:cstheme="minorHAnsi"/>
              </w:rPr>
              <w:t>+</w:t>
            </w:r>
          </w:p>
        </w:tc>
        <w:tc>
          <w:tcPr>
            <w:tcW w:w="3192" w:type="dxa"/>
            <w:vAlign w:val="bottom"/>
          </w:tcPr>
          <w:p w:rsidR="00AA1C90" w:rsidRPr="000B3455" w:rsidRDefault="00AA1C90" w:rsidP="00716C98">
            <w:pPr>
              <w:spacing w:line="360" w:lineRule="auto"/>
              <w:jc w:val="center"/>
              <w:cnfStyle w:val="000000010000"/>
              <w:rPr>
                <w:rFonts w:cstheme="minorHAnsi"/>
              </w:rPr>
            </w:pPr>
            <w:r w:rsidRPr="000B3455">
              <w:rPr>
                <w:rFonts w:cstheme="minorHAnsi"/>
              </w:rPr>
              <w:t>+</w:t>
            </w:r>
          </w:p>
        </w:tc>
      </w:tr>
      <w:tr w:rsidR="00AA1C90" w:rsidRPr="000B3455" w:rsidTr="00716C98">
        <w:trPr>
          <w:cnfStyle w:val="000000100000"/>
        </w:trPr>
        <w:tc>
          <w:tcPr>
            <w:cnfStyle w:val="001000000000"/>
            <w:tcW w:w="2518" w:type="dxa"/>
          </w:tcPr>
          <w:p w:rsidR="00AA1C90" w:rsidRPr="000B3455" w:rsidRDefault="00AA1C90" w:rsidP="0088553E">
            <w:pPr>
              <w:spacing w:line="360" w:lineRule="auto"/>
              <w:jc w:val="both"/>
              <w:rPr>
                <w:rFonts w:cstheme="minorHAnsi"/>
              </w:rPr>
            </w:pPr>
            <w:r w:rsidRPr="000B3455">
              <w:rPr>
                <w:i/>
              </w:rPr>
              <w:t>LIQ_CON</w:t>
            </w:r>
            <w:r w:rsidRPr="000B3455">
              <w:rPr>
                <w:i/>
                <w:vertAlign w:val="subscript"/>
              </w:rPr>
              <w:t>it</w:t>
            </w:r>
          </w:p>
        </w:tc>
        <w:tc>
          <w:tcPr>
            <w:tcW w:w="2835" w:type="dxa"/>
            <w:vAlign w:val="bottom"/>
          </w:tcPr>
          <w:p w:rsidR="00AA1C90" w:rsidRPr="000B3455" w:rsidRDefault="00AA1C90" w:rsidP="00716C98">
            <w:pPr>
              <w:spacing w:line="360" w:lineRule="auto"/>
              <w:jc w:val="center"/>
              <w:cnfStyle w:val="000000100000"/>
              <w:rPr>
                <w:rFonts w:cstheme="minorHAnsi"/>
              </w:rPr>
            </w:pPr>
            <w:r w:rsidRPr="000B3455">
              <w:rPr>
                <w:rFonts w:cstheme="minorHAnsi"/>
              </w:rPr>
              <w:t>+</w:t>
            </w:r>
          </w:p>
        </w:tc>
        <w:tc>
          <w:tcPr>
            <w:tcW w:w="3192" w:type="dxa"/>
            <w:vAlign w:val="bottom"/>
          </w:tcPr>
          <w:p w:rsidR="00AA1C90" w:rsidRPr="000B3455" w:rsidRDefault="00AA1C90" w:rsidP="00716C98">
            <w:pPr>
              <w:spacing w:line="360" w:lineRule="auto"/>
              <w:jc w:val="center"/>
              <w:cnfStyle w:val="000000100000"/>
              <w:rPr>
                <w:rFonts w:cstheme="minorHAnsi"/>
              </w:rPr>
            </w:pPr>
            <w:r w:rsidRPr="000B3455">
              <w:rPr>
                <w:rFonts w:cstheme="minorHAnsi"/>
              </w:rPr>
              <w:t>+</w:t>
            </w:r>
          </w:p>
        </w:tc>
      </w:tr>
    </w:tbl>
    <w:p w:rsidR="00AA1C90" w:rsidRPr="000B3455" w:rsidRDefault="00AA1C90" w:rsidP="0088553E">
      <w:pPr>
        <w:spacing w:line="360" w:lineRule="auto"/>
        <w:jc w:val="both"/>
      </w:pPr>
    </w:p>
    <w:p w:rsidR="00554FB1" w:rsidRPr="000B3455" w:rsidRDefault="001D5F43" w:rsidP="0088553E">
      <w:pPr>
        <w:pStyle w:val="Heading3"/>
        <w:spacing w:line="360" w:lineRule="auto"/>
        <w:jc w:val="both"/>
      </w:pPr>
      <w:bookmarkStart w:id="74" w:name="_Toc298944584"/>
      <w:r w:rsidRPr="000B3455">
        <w:t>5.3.3 Model</w:t>
      </w:r>
      <w:r w:rsidR="00554FB1" w:rsidRPr="000B3455">
        <w:t xml:space="preserve"> specification for hypotheses 3 and 4</w:t>
      </w:r>
      <w:bookmarkEnd w:id="74"/>
    </w:p>
    <w:p w:rsidR="007A08F4" w:rsidRPr="000B3455" w:rsidRDefault="001D5F43" w:rsidP="0088553E">
      <w:pPr>
        <w:spacing w:line="360" w:lineRule="auto"/>
        <w:jc w:val="both"/>
        <w:rPr>
          <w:rFonts w:eastAsia="SymbolMT"/>
          <w:lang w:eastAsia="nl-NL"/>
        </w:rPr>
      </w:pPr>
      <w:r w:rsidRPr="000B3455">
        <w:t>Hypotheses 3</w:t>
      </w:r>
      <w:r w:rsidR="00554FB1" w:rsidRPr="000B3455">
        <w:t xml:space="preserve"> and</w:t>
      </w:r>
      <w:r w:rsidRPr="000B3455">
        <w:t xml:space="preserve"> 4 require adjustments with respect to the previous model. In these hypotheses there is a direct link between the change in</w:t>
      </w:r>
      <w:r w:rsidR="000A2EF1" w:rsidRPr="000B3455">
        <w:t xml:space="preserve"> the proportion of</w:t>
      </w:r>
      <w:r w:rsidRPr="000B3455">
        <w:t xml:space="preserve"> stock option compensation and respectively fixed salary, </w:t>
      </w:r>
      <w:r w:rsidR="00554FB1" w:rsidRPr="000B3455">
        <w:t>and cash bonuses</w:t>
      </w:r>
      <w:r w:rsidRPr="000B3455">
        <w:t xml:space="preserve">. This implies that the change in granted fair value of stock options should be incorporated in the research model. The model of Brown and Lee (2007) does incorporate an explanatory variable indicating the change in stock option compensation, namely </w:t>
      </w:r>
      <w:r w:rsidRPr="000B3455">
        <w:rPr>
          <w:rFonts w:eastAsia="SymbolMT"/>
          <w:i/>
          <w:lang w:eastAsia="nl-NL"/>
        </w:rPr>
        <w:t>Δ</w:t>
      </w:r>
      <w:r w:rsidRPr="000B3455">
        <w:rPr>
          <w:rFonts w:eastAsia="SymbolMT"/>
          <w:i/>
          <w:iCs/>
          <w:lang w:eastAsia="nl-NL"/>
        </w:rPr>
        <w:t>(ESO)</w:t>
      </w:r>
      <w:r w:rsidRPr="000B3455">
        <w:rPr>
          <w:rFonts w:eastAsia="SymbolMT"/>
          <w:iCs/>
          <w:lang w:eastAsia="nl-NL"/>
        </w:rPr>
        <w:t>. Their dependent variable can be the change in either salary, bonus</w:t>
      </w:r>
      <w:r w:rsidRPr="000B3455">
        <w:rPr>
          <w:rFonts w:eastAsia="SymbolMT"/>
          <w:lang w:eastAsia="nl-NL"/>
        </w:rPr>
        <w:t>, restricted stock, long-term incentive payments, other annual compensation, or all other compensation. Accordingly, the model of Brown and Lee (2007) does also investigate the substitution from stock options to other forms of compensation. Partly based on the model of Brown and Lee (2007)</w:t>
      </w:r>
      <w:r w:rsidR="000A2EF1" w:rsidRPr="000B3455">
        <w:rPr>
          <w:rFonts w:eastAsia="SymbolMT"/>
          <w:lang w:eastAsia="nl-NL"/>
        </w:rPr>
        <w:t>,</w:t>
      </w:r>
      <w:r w:rsidRPr="000B3455">
        <w:rPr>
          <w:rFonts w:eastAsia="SymbolMT"/>
          <w:lang w:eastAsia="nl-NL"/>
        </w:rPr>
        <w:t xml:space="preserve"> the research model for hypotheses 3</w:t>
      </w:r>
      <w:r w:rsidR="00554FB1" w:rsidRPr="000B3455">
        <w:rPr>
          <w:rFonts w:eastAsia="SymbolMT"/>
          <w:lang w:eastAsia="nl-NL"/>
        </w:rPr>
        <w:t xml:space="preserve"> and</w:t>
      </w:r>
      <w:r w:rsidRPr="000B3455">
        <w:rPr>
          <w:rFonts w:eastAsia="SymbolMT"/>
          <w:lang w:eastAsia="nl-NL"/>
        </w:rPr>
        <w:t xml:space="preserve"> 4 include a similar dependent variable and explanatory variables for</w:t>
      </w:r>
      <w:r w:rsidR="000A2EF1" w:rsidRPr="000B3455">
        <w:rPr>
          <w:rFonts w:eastAsia="SymbolMT"/>
          <w:lang w:eastAsia="nl-NL"/>
        </w:rPr>
        <w:t xml:space="preserve"> testing</w:t>
      </w:r>
      <w:r w:rsidRPr="000B3455">
        <w:rPr>
          <w:rFonts w:eastAsia="SymbolMT"/>
          <w:lang w:eastAsia="nl-NL"/>
        </w:rPr>
        <w:t xml:space="preserve"> the </w:t>
      </w:r>
      <w:r w:rsidR="000A2EF1" w:rsidRPr="000B3455">
        <w:rPr>
          <w:rFonts w:eastAsia="SymbolMT"/>
          <w:lang w:eastAsia="nl-NL"/>
        </w:rPr>
        <w:t>subst</w:t>
      </w:r>
      <w:r w:rsidR="00824618" w:rsidRPr="000B3455">
        <w:rPr>
          <w:rFonts w:eastAsia="SymbolMT"/>
          <w:lang w:eastAsia="nl-NL"/>
        </w:rPr>
        <w:t>itu</w:t>
      </w:r>
      <w:r w:rsidR="000A2EF1" w:rsidRPr="000B3455">
        <w:rPr>
          <w:rFonts w:eastAsia="SymbolMT"/>
          <w:lang w:eastAsia="nl-NL"/>
        </w:rPr>
        <w:t>tion effect of</w:t>
      </w:r>
      <w:r w:rsidRPr="000B3455">
        <w:rPr>
          <w:rFonts w:eastAsia="SymbolMT"/>
          <w:lang w:eastAsia="nl-NL"/>
        </w:rPr>
        <w:t xml:space="preserve"> stock option compensation</w:t>
      </w:r>
      <w:r w:rsidR="000A2EF1" w:rsidRPr="000B3455">
        <w:rPr>
          <w:rFonts w:eastAsia="SymbolMT"/>
          <w:lang w:eastAsia="nl-NL"/>
        </w:rPr>
        <w:t>. In addition, it provides an</w:t>
      </w:r>
      <w:r w:rsidRPr="000B3455">
        <w:rPr>
          <w:rFonts w:eastAsia="SymbolMT"/>
          <w:lang w:eastAsia="nl-NL"/>
        </w:rPr>
        <w:t xml:space="preserve"> indication </w:t>
      </w:r>
      <w:r w:rsidR="000A2EF1" w:rsidRPr="000B3455">
        <w:rPr>
          <w:rFonts w:eastAsia="SymbolMT"/>
          <w:lang w:eastAsia="nl-NL"/>
        </w:rPr>
        <w:t xml:space="preserve">if the substitution is </w:t>
      </w:r>
      <w:r w:rsidR="007A08F4" w:rsidRPr="000B3455">
        <w:rPr>
          <w:rFonts w:eastAsia="SymbolMT"/>
          <w:lang w:eastAsia="nl-NL"/>
        </w:rPr>
        <w:t>accelerated in</w:t>
      </w:r>
      <w:r w:rsidRPr="000B3455">
        <w:rPr>
          <w:rFonts w:eastAsia="SymbolMT"/>
          <w:lang w:eastAsia="nl-NL"/>
        </w:rPr>
        <w:t xml:space="preserve"> the period after mandatory adoption of IFRS. In order to show the change in the composition of remuneration</w:t>
      </w:r>
      <w:r w:rsidR="007A08F4" w:rsidRPr="000B3455">
        <w:rPr>
          <w:rFonts w:eastAsia="SymbolMT"/>
          <w:lang w:eastAsia="nl-NL"/>
        </w:rPr>
        <w:t>,</w:t>
      </w:r>
      <w:r w:rsidRPr="000B3455">
        <w:rPr>
          <w:rFonts w:eastAsia="SymbolMT"/>
          <w:lang w:eastAsia="nl-NL"/>
        </w:rPr>
        <w:t xml:space="preserve"> the</w:t>
      </w:r>
      <w:r w:rsidR="007A08F4" w:rsidRPr="000B3455">
        <w:rPr>
          <w:rFonts w:eastAsia="SymbolMT"/>
          <w:lang w:eastAsia="nl-NL"/>
        </w:rPr>
        <w:t xml:space="preserve"> change in the proportion of, respectively, the</w:t>
      </w:r>
      <w:r w:rsidRPr="000B3455">
        <w:rPr>
          <w:rFonts w:eastAsia="SymbolMT"/>
          <w:lang w:eastAsia="nl-NL"/>
        </w:rPr>
        <w:t xml:space="preserve"> granted fair value of stock options</w:t>
      </w:r>
      <w:r w:rsidR="007A08F4" w:rsidRPr="000B3455">
        <w:rPr>
          <w:rFonts w:eastAsia="SymbolMT"/>
          <w:lang w:eastAsia="nl-NL"/>
        </w:rPr>
        <w:t>, fixed salary, and cash bonuses have to be calculated. The change for in the proportion of all three compensation forms</w:t>
      </w:r>
      <w:r w:rsidR="00A10F59">
        <w:rPr>
          <w:rFonts w:eastAsia="SymbolMT"/>
          <w:lang w:eastAsia="nl-NL"/>
        </w:rPr>
        <w:t xml:space="preserve"> for firm </w:t>
      </w:r>
      <w:r w:rsidR="00A10F59" w:rsidRPr="00A10F59">
        <w:rPr>
          <w:rFonts w:eastAsia="SymbolMT"/>
          <w:i/>
          <w:lang w:eastAsia="nl-NL"/>
        </w:rPr>
        <w:t>i</w:t>
      </w:r>
      <w:r w:rsidR="00A10F59">
        <w:rPr>
          <w:rFonts w:eastAsia="SymbolMT"/>
          <w:lang w:eastAsia="nl-NL"/>
        </w:rPr>
        <w:t xml:space="preserve"> in year </w:t>
      </w:r>
      <w:r w:rsidR="00A10F59" w:rsidRPr="00A10F59">
        <w:rPr>
          <w:rFonts w:eastAsia="SymbolMT"/>
          <w:i/>
          <w:lang w:eastAsia="nl-NL"/>
        </w:rPr>
        <w:t>t</w:t>
      </w:r>
      <w:r w:rsidR="007A08F4" w:rsidRPr="000B3455">
        <w:rPr>
          <w:rFonts w:eastAsia="SymbolMT"/>
          <w:lang w:eastAsia="nl-NL"/>
        </w:rPr>
        <w:t xml:space="preserve"> is calculated as:</w:t>
      </w:r>
    </w:p>
    <w:p w:rsidR="00125B78" w:rsidRPr="000B3455" w:rsidRDefault="00125B78" w:rsidP="0088553E">
      <w:pPr>
        <w:spacing w:line="360" w:lineRule="auto"/>
        <w:jc w:val="both"/>
        <w:rPr>
          <w:rFonts w:eastAsia="SymbolMT" w:cstheme="minorHAnsi"/>
          <w:i/>
          <w:lang w:eastAsia="nl-NL"/>
        </w:rPr>
      </w:pPr>
      <w:r w:rsidRPr="000B3455">
        <w:rPr>
          <w:rFonts w:eastAsia="SymbolMT" w:cstheme="minorHAnsi"/>
          <w:i/>
          <w:lang w:eastAsia="nl-NL"/>
        </w:rPr>
        <w:lastRenderedPageBreak/>
        <w:t>Δ PR_FV_ST</w:t>
      </w:r>
      <w:r w:rsidR="005F41A9" w:rsidRPr="000B3455">
        <w:rPr>
          <w:rFonts w:eastAsia="SymbolMT" w:cstheme="minorHAnsi"/>
          <w:i/>
          <w:lang w:eastAsia="nl-NL"/>
        </w:rPr>
        <w:t>O</w:t>
      </w:r>
      <w:r w:rsidRPr="000B3455">
        <w:rPr>
          <w:rFonts w:eastAsia="SymbolMT" w:cstheme="minorHAnsi"/>
          <w:i/>
          <w:vertAlign w:val="subscript"/>
          <w:lang w:eastAsia="nl-NL"/>
        </w:rPr>
        <w:t>it</w:t>
      </w:r>
      <w:r w:rsidRPr="000B3455">
        <w:rPr>
          <w:rFonts w:eastAsia="SymbolMT" w:cstheme="minorHAnsi"/>
          <w:i/>
          <w:lang w:eastAsia="nl-NL"/>
        </w:rPr>
        <w:t xml:space="preserve"> = PR_FV_ST</w:t>
      </w:r>
      <w:r w:rsidR="005F41A9" w:rsidRPr="000B3455">
        <w:rPr>
          <w:rFonts w:eastAsia="SymbolMT" w:cstheme="minorHAnsi"/>
          <w:i/>
          <w:lang w:eastAsia="nl-NL"/>
        </w:rPr>
        <w:t>O</w:t>
      </w:r>
      <w:r w:rsidRPr="000B3455">
        <w:rPr>
          <w:rFonts w:eastAsia="SymbolMT" w:cstheme="minorHAnsi"/>
          <w:i/>
          <w:vertAlign w:val="subscript"/>
          <w:lang w:eastAsia="nl-NL"/>
        </w:rPr>
        <w:t>it</w:t>
      </w:r>
      <w:r w:rsidR="00FF26C0" w:rsidRPr="000B3455">
        <w:rPr>
          <w:rFonts w:eastAsia="SymbolMT" w:cstheme="minorHAnsi"/>
          <w:i/>
          <w:lang w:eastAsia="nl-NL"/>
        </w:rPr>
        <w:t>*100 %</w:t>
      </w:r>
      <w:r w:rsidRPr="000B3455">
        <w:rPr>
          <w:rFonts w:eastAsia="SymbolMT" w:cstheme="minorHAnsi"/>
          <w:i/>
          <w:vertAlign w:val="subscript"/>
          <w:lang w:eastAsia="nl-NL"/>
        </w:rPr>
        <w:t xml:space="preserve"> </w:t>
      </w:r>
      <w:r w:rsidRPr="000B3455">
        <w:rPr>
          <w:rFonts w:eastAsia="SymbolMT" w:cstheme="minorHAnsi"/>
          <w:i/>
          <w:lang w:eastAsia="nl-NL"/>
        </w:rPr>
        <w:t>- PR_FV_ST</w:t>
      </w:r>
      <w:r w:rsidR="005F41A9" w:rsidRPr="000B3455">
        <w:rPr>
          <w:rFonts w:eastAsia="SymbolMT" w:cstheme="minorHAnsi"/>
          <w:i/>
          <w:lang w:eastAsia="nl-NL"/>
        </w:rPr>
        <w:t>O</w:t>
      </w:r>
      <w:r w:rsidRPr="000B3455">
        <w:rPr>
          <w:rFonts w:eastAsia="SymbolMT" w:cstheme="minorHAnsi"/>
          <w:i/>
          <w:vertAlign w:val="subscript"/>
          <w:lang w:eastAsia="nl-NL"/>
        </w:rPr>
        <w:t>it-1</w:t>
      </w:r>
      <w:r w:rsidR="00FF26C0" w:rsidRPr="000B3455">
        <w:rPr>
          <w:rFonts w:eastAsia="SymbolMT" w:cstheme="minorHAnsi"/>
          <w:i/>
          <w:lang w:eastAsia="nl-NL"/>
        </w:rPr>
        <w:t xml:space="preserve"> *</w:t>
      </w:r>
      <w:r w:rsidR="000C2368">
        <w:rPr>
          <w:rFonts w:eastAsia="SymbolMT" w:cstheme="minorHAnsi"/>
          <w:i/>
          <w:lang w:eastAsia="nl-NL"/>
        </w:rPr>
        <w:t xml:space="preserve"> </w:t>
      </w:r>
      <w:r w:rsidR="00FF26C0" w:rsidRPr="000B3455">
        <w:rPr>
          <w:rFonts w:eastAsia="SymbolMT" w:cstheme="minorHAnsi"/>
          <w:i/>
          <w:lang w:eastAsia="nl-NL"/>
        </w:rPr>
        <w:t>100 %</w:t>
      </w:r>
      <w:r w:rsidR="005F41A9" w:rsidRPr="000B3455">
        <w:rPr>
          <w:rFonts w:eastAsia="SymbolMT" w:cstheme="minorHAnsi"/>
          <w:i/>
          <w:lang w:eastAsia="nl-NL"/>
        </w:rPr>
        <w:t xml:space="preserve"> = </w:t>
      </w:r>
      <m:oMath>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Fair</m:t>
                </m:r>
                <m:r>
                  <w:rPr>
                    <w:rFonts w:ascii="Cambria Math" w:cstheme="minorHAnsi"/>
                  </w:rPr>
                  <m:t xml:space="preserve"> </m:t>
                </m:r>
                <m:r>
                  <w:rPr>
                    <w:rFonts w:ascii="Cambria Math" w:hAnsi="Cambria Math" w:cstheme="minorHAnsi"/>
                  </w:rPr>
                  <m:t>value</m:t>
                </m:r>
                <m:r>
                  <w:rPr>
                    <w:rFonts w:ascii="Cambria Math" w:cstheme="minorHAnsi"/>
                  </w:rPr>
                  <m:t xml:space="preserve"> </m:t>
                </m:r>
                <m:r>
                  <w:rPr>
                    <w:rFonts w:ascii="Cambria Math" w:hAnsi="Cambria Math" w:cstheme="minorHAnsi"/>
                  </w:rPr>
                  <m:t>of</m:t>
                </m:r>
                <m:r>
                  <w:rPr>
                    <w:rFonts w:ascii="Cambria Math" w:cstheme="minorHAnsi"/>
                  </w:rPr>
                  <m:t xml:space="preserve"> </m:t>
                </m:r>
                <m:r>
                  <w:rPr>
                    <w:rFonts w:ascii="Cambria Math" w:hAnsi="Cambria Math" w:cstheme="minorHAnsi"/>
                  </w:rPr>
                  <m:t>granted</m:t>
                </m:r>
                <m:r>
                  <w:rPr>
                    <w:rFonts w:ascii="Cambria Math" w:cstheme="minorHAnsi"/>
                  </w:rPr>
                  <m:t xml:space="preserve"> </m:t>
                </m:r>
                <m:r>
                  <w:rPr>
                    <w:rFonts w:ascii="Cambria Math" w:hAnsi="Cambria Math" w:cstheme="minorHAnsi"/>
                  </w:rPr>
                  <m:t>stock</m:t>
                </m:r>
                <m:r>
                  <w:rPr>
                    <w:rFonts w:ascii="Cambria Math" w:cstheme="minorHAnsi"/>
                  </w:rPr>
                  <m:t xml:space="preserve"> </m:t>
                </m:r>
                <m:r>
                  <w:rPr>
                    <w:rFonts w:ascii="Cambria Math" w:hAnsi="Cambria Math" w:cstheme="minorHAnsi"/>
                  </w:rPr>
                  <m:t>options</m:t>
                </m:r>
              </m:e>
              <m:sub>
                <m:r>
                  <w:rPr>
                    <w:rFonts w:ascii="Cambria Math" w:hAnsi="Cambria Math" w:cstheme="minorHAnsi"/>
                  </w:rPr>
                  <m:t>it</m:t>
                </m:r>
              </m:sub>
            </m:sSub>
          </m:num>
          <m:den>
            <m:sSub>
              <m:sSubPr>
                <m:ctrlPr>
                  <w:rPr>
                    <w:rFonts w:ascii="Cambria Math" w:hAnsi="Cambria Math" w:cstheme="minorHAnsi"/>
                    <w:i/>
                  </w:rPr>
                </m:ctrlPr>
              </m:sSubPr>
              <m:e>
                <m:r>
                  <w:rPr>
                    <w:rFonts w:ascii="Cambria Math" w:hAnsi="Cambria Math" w:cstheme="minorHAnsi"/>
                  </w:rPr>
                  <m:t>Total</m:t>
                </m:r>
                <m:r>
                  <w:rPr>
                    <w:rFonts w:ascii="Cambria Math" w:cstheme="minorHAnsi"/>
                  </w:rPr>
                  <m:t xml:space="preserve"> </m:t>
                </m:r>
                <m:r>
                  <w:rPr>
                    <w:rFonts w:ascii="Cambria Math" w:hAnsi="Cambria Math" w:cstheme="minorHAnsi"/>
                  </w:rPr>
                  <m:t>compensation</m:t>
                </m:r>
              </m:e>
              <m:sub>
                <m:r>
                  <w:rPr>
                    <w:rFonts w:ascii="Cambria Math" w:hAnsi="Cambria Math" w:cstheme="minorHAnsi"/>
                  </w:rPr>
                  <m:t>it</m:t>
                </m:r>
              </m:sub>
            </m:sSub>
          </m:den>
        </m:f>
      </m:oMath>
      <w:r w:rsidR="00FF26C0" w:rsidRPr="000B3455">
        <w:rPr>
          <w:rFonts w:eastAsia="SymbolMT" w:cstheme="minorHAnsi"/>
          <w:i/>
        </w:rPr>
        <w:t>*</w:t>
      </w:r>
      <w:r w:rsidR="000C2368">
        <w:rPr>
          <w:rFonts w:eastAsia="SymbolMT" w:cstheme="minorHAnsi"/>
          <w:i/>
        </w:rPr>
        <w:t xml:space="preserve"> </w:t>
      </w:r>
      <w:r w:rsidR="00FF26C0" w:rsidRPr="000B3455">
        <w:rPr>
          <w:rFonts w:eastAsia="SymbolMT" w:cstheme="minorHAnsi"/>
          <w:i/>
        </w:rPr>
        <w:t>100 %</w:t>
      </w:r>
      <w:r w:rsidR="005F41A9" w:rsidRPr="000B3455">
        <w:rPr>
          <w:rFonts w:eastAsia="SymbolMT" w:cstheme="minorHAnsi"/>
          <w:i/>
        </w:rPr>
        <w:t xml:space="preserve"> - </w:t>
      </w:r>
      <m:oMath>
        <m:f>
          <m:fPr>
            <m:ctrlPr>
              <w:rPr>
                <w:rFonts w:ascii="Cambria Math" w:hAnsi="Cambria Math" w:cstheme="minorHAnsi"/>
                <w:i/>
              </w:rPr>
            </m:ctrlPr>
          </m:fPr>
          <m:num>
            <m:sSub>
              <m:sSubPr>
                <m:ctrlPr>
                  <w:rPr>
                    <w:rFonts w:ascii="Cambria Math" w:hAnsi="Cambria Math" w:cstheme="minorHAnsi"/>
                    <w:i/>
                  </w:rPr>
                </m:ctrlPr>
              </m:sSubPr>
              <m:e>
                <m:r>
                  <w:rPr>
                    <w:rFonts w:ascii="Cambria Math" w:hAnsi="Cambria Math" w:cstheme="minorHAnsi"/>
                  </w:rPr>
                  <m:t>Fair</m:t>
                </m:r>
                <m:r>
                  <w:rPr>
                    <w:rFonts w:ascii="Cambria Math" w:cstheme="minorHAnsi"/>
                  </w:rPr>
                  <m:t xml:space="preserve"> </m:t>
                </m:r>
                <m:r>
                  <w:rPr>
                    <w:rFonts w:ascii="Cambria Math" w:hAnsi="Cambria Math" w:cstheme="minorHAnsi"/>
                  </w:rPr>
                  <m:t>value</m:t>
                </m:r>
                <m:r>
                  <w:rPr>
                    <w:rFonts w:ascii="Cambria Math" w:cstheme="minorHAnsi"/>
                  </w:rPr>
                  <m:t xml:space="preserve"> </m:t>
                </m:r>
                <m:r>
                  <w:rPr>
                    <w:rFonts w:ascii="Cambria Math" w:hAnsi="Cambria Math" w:cstheme="minorHAnsi"/>
                  </w:rPr>
                  <m:t>of</m:t>
                </m:r>
                <m:r>
                  <w:rPr>
                    <w:rFonts w:ascii="Cambria Math" w:cstheme="minorHAnsi"/>
                  </w:rPr>
                  <m:t xml:space="preserve"> </m:t>
                </m:r>
                <m:r>
                  <w:rPr>
                    <w:rFonts w:ascii="Cambria Math" w:hAnsi="Cambria Math" w:cstheme="minorHAnsi"/>
                  </w:rPr>
                  <m:t>granted</m:t>
                </m:r>
                <m:r>
                  <w:rPr>
                    <w:rFonts w:ascii="Cambria Math" w:cstheme="minorHAnsi"/>
                  </w:rPr>
                  <m:t xml:space="preserve"> </m:t>
                </m:r>
                <m:r>
                  <w:rPr>
                    <w:rFonts w:ascii="Cambria Math" w:hAnsi="Cambria Math" w:cstheme="minorHAnsi"/>
                  </w:rPr>
                  <m:t>stock</m:t>
                </m:r>
                <m:r>
                  <w:rPr>
                    <w:rFonts w:ascii="Cambria Math" w:cstheme="minorHAnsi"/>
                  </w:rPr>
                  <m:t xml:space="preserve"> </m:t>
                </m:r>
                <m:r>
                  <w:rPr>
                    <w:rFonts w:ascii="Cambria Math" w:hAnsi="Cambria Math" w:cstheme="minorHAnsi"/>
                  </w:rPr>
                  <m:t>options</m:t>
                </m:r>
              </m:e>
              <m:sub>
                <m:r>
                  <w:rPr>
                    <w:rFonts w:ascii="Cambria Math" w:hAnsi="Cambria Math" w:cstheme="minorHAnsi"/>
                  </w:rPr>
                  <m:t>it-</m:t>
                </m:r>
                <m:r>
                  <w:rPr>
                    <w:rFonts w:ascii="Cambria Math" w:cstheme="minorHAnsi"/>
                  </w:rPr>
                  <m:t>1</m:t>
                </m:r>
              </m:sub>
            </m:sSub>
          </m:num>
          <m:den>
            <m:sSub>
              <m:sSubPr>
                <m:ctrlPr>
                  <w:rPr>
                    <w:rFonts w:ascii="Cambria Math" w:hAnsi="Cambria Math" w:cstheme="minorHAnsi"/>
                    <w:i/>
                  </w:rPr>
                </m:ctrlPr>
              </m:sSubPr>
              <m:e>
                <m:r>
                  <w:rPr>
                    <w:rFonts w:ascii="Cambria Math" w:hAnsi="Cambria Math" w:cstheme="minorHAnsi"/>
                  </w:rPr>
                  <m:t>Total</m:t>
                </m:r>
                <m:r>
                  <w:rPr>
                    <w:rFonts w:ascii="Cambria Math" w:cstheme="minorHAnsi"/>
                  </w:rPr>
                  <m:t xml:space="preserve"> </m:t>
                </m:r>
                <m:r>
                  <w:rPr>
                    <w:rFonts w:ascii="Cambria Math" w:hAnsi="Cambria Math" w:cstheme="minorHAnsi"/>
                  </w:rPr>
                  <m:t>compensation</m:t>
                </m:r>
              </m:e>
              <m:sub>
                <m:r>
                  <w:rPr>
                    <w:rFonts w:ascii="Cambria Math" w:hAnsi="Cambria Math" w:cstheme="minorHAnsi"/>
                  </w:rPr>
                  <m:t>it-</m:t>
                </m:r>
                <m:r>
                  <w:rPr>
                    <w:rFonts w:ascii="Cambria Math" w:cstheme="minorHAnsi"/>
                  </w:rPr>
                  <m:t>1</m:t>
                </m:r>
              </m:sub>
            </m:sSub>
          </m:den>
        </m:f>
      </m:oMath>
      <w:r w:rsidR="00FF26C0" w:rsidRPr="000B3455">
        <w:rPr>
          <w:rFonts w:eastAsia="SymbolMT" w:cstheme="minorHAnsi"/>
          <w:i/>
        </w:rPr>
        <w:t>* 100 %</w:t>
      </w:r>
    </w:p>
    <w:p w:rsidR="00125B78" w:rsidRPr="000B3455" w:rsidRDefault="00125B78" w:rsidP="0088553E">
      <w:pPr>
        <w:spacing w:line="360" w:lineRule="auto"/>
        <w:jc w:val="both"/>
        <w:rPr>
          <w:rFonts w:eastAsia="SymbolMT"/>
          <w:i/>
          <w:lang w:eastAsia="nl-NL"/>
        </w:rPr>
      </w:pPr>
      <w:r w:rsidRPr="000B3455">
        <w:rPr>
          <w:rFonts w:cstheme="minorHAnsi"/>
          <w:i/>
        </w:rPr>
        <w:t>Δ PR_FIX_SAL</w:t>
      </w:r>
      <w:r w:rsidRPr="000B3455">
        <w:rPr>
          <w:rFonts w:eastAsia="SymbolMT" w:cstheme="minorHAnsi"/>
          <w:i/>
          <w:vertAlign w:val="subscript"/>
          <w:lang w:eastAsia="nl-NL"/>
        </w:rPr>
        <w:t>it</w:t>
      </w:r>
      <w:r w:rsidRPr="000B3455">
        <w:rPr>
          <w:rFonts w:eastAsia="SymbolMT" w:cstheme="minorHAnsi"/>
          <w:i/>
          <w:lang w:eastAsia="nl-NL"/>
        </w:rPr>
        <w:t xml:space="preserve"> = </w:t>
      </w:r>
      <w:r w:rsidRPr="000B3455">
        <w:rPr>
          <w:rFonts w:cstheme="minorHAnsi"/>
          <w:i/>
        </w:rPr>
        <w:t>PR_FIX_SAL</w:t>
      </w:r>
      <w:r w:rsidRPr="000B3455">
        <w:rPr>
          <w:rFonts w:eastAsia="SymbolMT" w:cstheme="minorHAnsi"/>
          <w:i/>
          <w:vertAlign w:val="subscript"/>
          <w:lang w:eastAsia="nl-NL"/>
        </w:rPr>
        <w:t>it</w:t>
      </w:r>
      <w:r w:rsidRPr="000B3455">
        <w:rPr>
          <w:rFonts w:eastAsia="SymbolMT" w:cstheme="minorHAnsi"/>
          <w:i/>
          <w:lang w:eastAsia="nl-NL"/>
        </w:rPr>
        <w:t xml:space="preserve"> </w:t>
      </w:r>
      <w:r w:rsidR="00FF26C0" w:rsidRPr="000B3455">
        <w:rPr>
          <w:rFonts w:eastAsia="SymbolMT" w:cstheme="minorHAnsi"/>
          <w:i/>
        </w:rPr>
        <w:t xml:space="preserve">* 100 % </w:t>
      </w:r>
      <w:r w:rsidRPr="000B3455">
        <w:rPr>
          <w:rFonts w:eastAsia="SymbolMT" w:cstheme="minorHAnsi"/>
          <w:i/>
          <w:lang w:eastAsia="nl-NL"/>
        </w:rPr>
        <w:t xml:space="preserve">- </w:t>
      </w:r>
      <w:r w:rsidRPr="000B3455">
        <w:rPr>
          <w:rFonts w:cstheme="minorHAnsi"/>
          <w:i/>
        </w:rPr>
        <w:t>PR_FIX_SAL</w:t>
      </w:r>
      <w:r w:rsidRPr="000B3455">
        <w:rPr>
          <w:rFonts w:eastAsia="SymbolMT" w:cstheme="minorHAnsi"/>
          <w:i/>
          <w:vertAlign w:val="subscript"/>
          <w:lang w:eastAsia="nl-NL"/>
        </w:rPr>
        <w:t>it-1</w:t>
      </w:r>
      <w:r w:rsidR="00FF26C0" w:rsidRPr="000B3455">
        <w:rPr>
          <w:rFonts w:eastAsia="SymbolMT" w:cstheme="minorHAnsi"/>
          <w:i/>
        </w:rPr>
        <w:t>* 100 %</w:t>
      </w:r>
      <w:r w:rsidRPr="000B3455">
        <w:rPr>
          <w:rFonts w:eastAsia="SymbolMT" w:cstheme="minorHAnsi"/>
          <w:i/>
          <w:lang w:eastAsia="nl-NL"/>
        </w:rPr>
        <w:t xml:space="preserve"> =  </w:t>
      </w:r>
      <m:oMath>
        <m:f>
          <m:fPr>
            <m:ctrlPr>
              <w:rPr>
                <w:rFonts w:ascii="Cambria Math" w:eastAsia="SymbolMT" w:hAnsi="Cambria Math" w:cstheme="minorHAnsi"/>
                <w:i/>
                <w:lang w:eastAsia="nl-NL"/>
              </w:rPr>
            </m:ctrlPr>
          </m:fPr>
          <m:num>
            <m:sSub>
              <m:sSubPr>
                <m:ctrlPr>
                  <w:rPr>
                    <w:rFonts w:ascii="Cambria Math" w:eastAsia="SymbolMT" w:hAnsi="Cambria Math" w:cstheme="minorHAnsi"/>
                    <w:i/>
                    <w:lang w:eastAsia="nl-NL"/>
                  </w:rPr>
                </m:ctrlPr>
              </m:sSubPr>
              <m:e>
                <m:r>
                  <w:rPr>
                    <w:rFonts w:ascii="Cambria Math" w:eastAsia="SymbolMT" w:hAnsi="Cambria Math" w:cstheme="minorHAnsi"/>
                    <w:lang w:eastAsia="nl-NL"/>
                  </w:rPr>
                  <m:t>Granted</m:t>
                </m:r>
                <m:r>
                  <w:rPr>
                    <w:rFonts w:ascii="Cambria Math" w:eastAsia="SymbolMT" w:cstheme="minorHAnsi"/>
                    <w:lang w:eastAsia="nl-NL"/>
                  </w:rPr>
                  <m:t xml:space="preserve"> </m:t>
                </m:r>
                <m:r>
                  <w:rPr>
                    <w:rFonts w:ascii="Cambria Math" w:eastAsia="SymbolMT" w:hAnsi="Cambria Math" w:cstheme="minorHAnsi"/>
                    <w:lang w:eastAsia="nl-NL"/>
                  </w:rPr>
                  <m:t>fixed</m:t>
                </m:r>
                <m:r>
                  <w:rPr>
                    <w:rFonts w:ascii="Cambria Math" w:eastAsia="SymbolMT" w:cstheme="minorHAnsi"/>
                    <w:lang w:eastAsia="nl-NL"/>
                  </w:rPr>
                  <m:t xml:space="preserve"> </m:t>
                </m:r>
                <m:r>
                  <w:rPr>
                    <w:rFonts w:ascii="Cambria Math" w:eastAsia="SymbolMT" w:hAnsi="Cambria Math" w:cstheme="minorHAnsi"/>
                    <w:lang w:eastAsia="nl-NL"/>
                  </w:rPr>
                  <m:t>salary</m:t>
                </m:r>
              </m:e>
              <m:sub>
                <m:r>
                  <w:rPr>
                    <w:rFonts w:ascii="Cambria Math" w:eastAsia="SymbolMT" w:hAnsi="Cambria Math" w:cstheme="minorHAnsi"/>
                    <w:lang w:eastAsia="nl-NL"/>
                  </w:rPr>
                  <m:t>it</m:t>
                </m:r>
              </m:sub>
            </m:sSub>
          </m:num>
          <m:den>
            <m:sSub>
              <m:sSubPr>
                <m:ctrlPr>
                  <w:rPr>
                    <w:rFonts w:ascii="Cambria Math" w:eastAsia="SymbolMT" w:hAnsi="Cambria Math" w:cstheme="minorHAnsi"/>
                    <w:i/>
                    <w:lang w:eastAsia="nl-NL"/>
                  </w:rPr>
                </m:ctrlPr>
              </m:sSubPr>
              <m:e>
                <m:r>
                  <w:rPr>
                    <w:rFonts w:ascii="Cambria Math" w:eastAsia="SymbolMT" w:hAnsi="Cambria Math" w:cstheme="minorHAnsi"/>
                    <w:lang w:eastAsia="nl-NL"/>
                  </w:rPr>
                  <m:t>Total</m:t>
                </m:r>
                <m:r>
                  <w:rPr>
                    <w:rFonts w:ascii="Cambria Math" w:eastAsia="SymbolMT" w:cstheme="minorHAnsi"/>
                    <w:lang w:eastAsia="nl-NL"/>
                  </w:rPr>
                  <m:t xml:space="preserve"> </m:t>
                </m:r>
                <m:r>
                  <w:rPr>
                    <w:rFonts w:ascii="Cambria Math" w:eastAsia="SymbolMT" w:hAnsi="Cambria Math" w:cstheme="minorHAnsi"/>
                    <w:lang w:eastAsia="nl-NL"/>
                  </w:rPr>
                  <m:t>compensation</m:t>
                </m:r>
              </m:e>
              <m:sub>
                <m:r>
                  <w:rPr>
                    <w:rFonts w:ascii="Cambria Math" w:eastAsia="SymbolMT" w:hAnsi="Cambria Math" w:cstheme="minorHAnsi"/>
                    <w:lang w:eastAsia="nl-NL"/>
                  </w:rPr>
                  <m:t>it</m:t>
                </m:r>
              </m:sub>
            </m:sSub>
          </m:den>
        </m:f>
      </m:oMath>
      <w:r w:rsidRPr="000B3455">
        <w:rPr>
          <w:rFonts w:eastAsia="SymbolMT" w:cstheme="minorHAnsi"/>
          <w:i/>
          <w:lang w:eastAsia="nl-NL"/>
        </w:rPr>
        <w:t xml:space="preserve"> </w:t>
      </w:r>
      <w:r w:rsidR="00FF26C0" w:rsidRPr="000B3455">
        <w:rPr>
          <w:rFonts w:eastAsia="SymbolMT" w:cstheme="minorHAnsi"/>
          <w:i/>
        </w:rPr>
        <w:t xml:space="preserve">* 100 % </w:t>
      </w:r>
      <w:r w:rsidRPr="000B3455">
        <w:rPr>
          <w:rFonts w:eastAsia="SymbolMT" w:cstheme="minorHAnsi"/>
          <w:i/>
          <w:lang w:eastAsia="nl-NL"/>
        </w:rPr>
        <w:t xml:space="preserve">- </w:t>
      </w:r>
      <m:oMath>
        <m:f>
          <m:fPr>
            <m:ctrlPr>
              <w:rPr>
                <w:rFonts w:ascii="Cambria Math" w:eastAsia="SymbolMT" w:hAnsi="Cambria Math" w:cstheme="minorHAnsi"/>
                <w:i/>
                <w:lang w:eastAsia="nl-NL"/>
              </w:rPr>
            </m:ctrlPr>
          </m:fPr>
          <m:num>
            <m:sSub>
              <m:sSubPr>
                <m:ctrlPr>
                  <w:rPr>
                    <w:rFonts w:ascii="Cambria Math" w:eastAsia="SymbolMT" w:hAnsi="Cambria Math" w:cstheme="minorHAnsi"/>
                    <w:i/>
                    <w:lang w:eastAsia="nl-NL"/>
                  </w:rPr>
                </m:ctrlPr>
              </m:sSubPr>
              <m:e>
                <m:r>
                  <w:rPr>
                    <w:rFonts w:ascii="Cambria Math" w:eastAsia="SymbolMT" w:hAnsi="Cambria Math" w:cstheme="minorHAnsi"/>
                    <w:lang w:eastAsia="nl-NL"/>
                  </w:rPr>
                  <m:t>Granted</m:t>
                </m:r>
                <m:r>
                  <w:rPr>
                    <w:rFonts w:ascii="Cambria Math" w:eastAsia="SymbolMT" w:cstheme="minorHAnsi"/>
                    <w:lang w:eastAsia="nl-NL"/>
                  </w:rPr>
                  <m:t xml:space="preserve"> </m:t>
                </m:r>
                <m:r>
                  <w:rPr>
                    <w:rFonts w:ascii="Cambria Math" w:eastAsia="SymbolMT" w:hAnsi="Cambria Math" w:cstheme="minorHAnsi"/>
                    <w:lang w:eastAsia="nl-NL"/>
                  </w:rPr>
                  <m:t>fixed</m:t>
                </m:r>
                <m:r>
                  <w:rPr>
                    <w:rFonts w:ascii="Cambria Math" w:eastAsia="SymbolMT" w:cstheme="minorHAnsi"/>
                    <w:lang w:eastAsia="nl-NL"/>
                  </w:rPr>
                  <m:t xml:space="preserve"> </m:t>
                </m:r>
                <m:r>
                  <w:rPr>
                    <w:rFonts w:ascii="Cambria Math" w:eastAsia="SymbolMT" w:hAnsi="Cambria Math" w:cstheme="minorHAnsi"/>
                    <w:lang w:eastAsia="nl-NL"/>
                  </w:rPr>
                  <m:t>salary</m:t>
                </m:r>
              </m:e>
              <m:sub>
                <m:r>
                  <w:rPr>
                    <w:rFonts w:ascii="Cambria Math" w:eastAsia="SymbolMT" w:hAnsi="Cambria Math" w:cstheme="minorHAnsi"/>
                    <w:lang w:eastAsia="nl-NL"/>
                  </w:rPr>
                  <m:t>it-</m:t>
                </m:r>
                <m:r>
                  <w:rPr>
                    <w:rFonts w:ascii="Cambria Math" w:eastAsia="SymbolMT" w:cstheme="minorHAnsi"/>
                    <w:lang w:eastAsia="nl-NL"/>
                  </w:rPr>
                  <m:t>1</m:t>
                </m:r>
              </m:sub>
            </m:sSub>
          </m:num>
          <m:den>
            <m:sSub>
              <m:sSubPr>
                <m:ctrlPr>
                  <w:rPr>
                    <w:rFonts w:ascii="Cambria Math" w:eastAsia="SymbolMT" w:hAnsi="Cambria Math" w:cstheme="minorHAnsi"/>
                    <w:i/>
                    <w:lang w:eastAsia="nl-NL"/>
                  </w:rPr>
                </m:ctrlPr>
              </m:sSubPr>
              <m:e>
                <m:r>
                  <w:rPr>
                    <w:rFonts w:ascii="Cambria Math" w:eastAsia="SymbolMT" w:hAnsi="Cambria Math" w:cstheme="minorHAnsi"/>
                    <w:lang w:eastAsia="nl-NL"/>
                  </w:rPr>
                  <m:t>Total</m:t>
                </m:r>
                <m:r>
                  <w:rPr>
                    <w:rFonts w:ascii="Cambria Math" w:eastAsia="SymbolMT" w:cstheme="minorHAnsi"/>
                    <w:lang w:eastAsia="nl-NL"/>
                  </w:rPr>
                  <m:t xml:space="preserve"> </m:t>
                </m:r>
                <m:r>
                  <w:rPr>
                    <w:rFonts w:ascii="Cambria Math" w:eastAsia="SymbolMT" w:hAnsi="Cambria Math" w:cstheme="minorHAnsi"/>
                    <w:lang w:eastAsia="nl-NL"/>
                  </w:rPr>
                  <m:t>compensation</m:t>
                </m:r>
              </m:e>
              <m:sub>
                <m:r>
                  <w:rPr>
                    <w:rFonts w:ascii="Cambria Math" w:eastAsia="SymbolMT" w:hAnsi="Cambria Math" w:cstheme="minorHAnsi"/>
                    <w:lang w:eastAsia="nl-NL"/>
                  </w:rPr>
                  <m:t>it-</m:t>
                </m:r>
                <m:r>
                  <w:rPr>
                    <w:rFonts w:ascii="Cambria Math" w:eastAsia="SymbolMT" w:cstheme="minorHAnsi"/>
                    <w:lang w:eastAsia="nl-NL"/>
                  </w:rPr>
                  <m:t>1</m:t>
                </m:r>
              </m:sub>
            </m:sSub>
          </m:den>
        </m:f>
      </m:oMath>
      <w:r w:rsidR="00FF26C0" w:rsidRPr="000B3455">
        <w:rPr>
          <w:rFonts w:eastAsia="SymbolMT" w:cstheme="minorHAnsi"/>
          <w:i/>
        </w:rPr>
        <w:t>* 100 %</w:t>
      </w:r>
    </w:p>
    <w:p w:rsidR="007A08F4" w:rsidRPr="000B3455" w:rsidRDefault="00125B78" w:rsidP="0088553E">
      <w:pPr>
        <w:spacing w:line="360" w:lineRule="auto"/>
        <w:jc w:val="both"/>
        <w:rPr>
          <w:rFonts w:eastAsia="SymbolMT"/>
          <w:lang w:eastAsia="nl-NL"/>
        </w:rPr>
      </w:pPr>
      <w:r w:rsidRPr="000B3455">
        <w:rPr>
          <w:rFonts w:cstheme="minorHAnsi"/>
          <w:i/>
        </w:rPr>
        <w:t>Δ PR_CSH_BON</w:t>
      </w:r>
      <w:r w:rsidRPr="000B3455">
        <w:rPr>
          <w:rFonts w:eastAsia="SymbolMT" w:cstheme="minorHAnsi"/>
          <w:i/>
          <w:vertAlign w:val="subscript"/>
          <w:lang w:eastAsia="nl-NL"/>
        </w:rPr>
        <w:t>it</w:t>
      </w:r>
      <w:r w:rsidRPr="000B3455">
        <w:rPr>
          <w:rFonts w:eastAsia="SymbolMT" w:cstheme="minorHAnsi"/>
          <w:i/>
          <w:lang w:eastAsia="nl-NL"/>
        </w:rPr>
        <w:t xml:space="preserve"> = </w:t>
      </w:r>
      <w:r w:rsidRPr="000B3455">
        <w:rPr>
          <w:rFonts w:cstheme="minorHAnsi"/>
          <w:i/>
        </w:rPr>
        <w:t>PR_CSH_BON</w:t>
      </w:r>
      <w:r w:rsidRPr="000B3455">
        <w:rPr>
          <w:rFonts w:eastAsia="SymbolMT" w:cstheme="minorHAnsi"/>
          <w:i/>
          <w:vertAlign w:val="subscript"/>
          <w:lang w:eastAsia="nl-NL"/>
        </w:rPr>
        <w:t>it</w:t>
      </w:r>
      <w:r w:rsidR="00FF26C0" w:rsidRPr="000B3455">
        <w:rPr>
          <w:rFonts w:eastAsia="SymbolMT" w:cstheme="minorHAnsi"/>
          <w:i/>
        </w:rPr>
        <w:t>* 100 %</w:t>
      </w:r>
      <w:r w:rsidRPr="000B3455">
        <w:rPr>
          <w:rFonts w:eastAsia="SymbolMT" w:cstheme="minorHAnsi"/>
          <w:i/>
          <w:lang w:eastAsia="nl-NL"/>
        </w:rPr>
        <w:t xml:space="preserve"> </w:t>
      </w:r>
      <w:r w:rsidR="00FF26C0" w:rsidRPr="000B3455">
        <w:rPr>
          <w:rFonts w:eastAsia="SymbolMT" w:cstheme="minorHAnsi"/>
          <w:i/>
          <w:lang w:eastAsia="nl-NL"/>
        </w:rPr>
        <w:t xml:space="preserve"> </w:t>
      </w:r>
      <w:r w:rsidRPr="000B3455">
        <w:rPr>
          <w:rFonts w:eastAsia="SymbolMT" w:cstheme="minorHAnsi"/>
          <w:i/>
          <w:lang w:eastAsia="nl-NL"/>
        </w:rPr>
        <w:t xml:space="preserve">- </w:t>
      </w:r>
      <w:r w:rsidRPr="000B3455">
        <w:rPr>
          <w:rFonts w:cstheme="minorHAnsi"/>
          <w:i/>
        </w:rPr>
        <w:t>PR_CSH_BON</w:t>
      </w:r>
      <w:r w:rsidRPr="000B3455">
        <w:rPr>
          <w:rFonts w:eastAsia="SymbolMT" w:cstheme="minorHAnsi"/>
          <w:i/>
          <w:vertAlign w:val="subscript"/>
          <w:lang w:eastAsia="nl-NL"/>
        </w:rPr>
        <w:t>it-1</w:t>
      </w:r>
      <w:r w:rsidR="00FF26C0" w:rsidRPr="000B3455">
        <w:rPr>
          <w:rFonts w:eastAsia="SymbolMT" w:cstheme="minorHAnsi"/>
          <w:i/>
        </w:rPr>
        <w:t>* 100 %</w:t>
      </w:r>
      <w:r w:rsidRPr="000B3455">
        <w:rPr>
          <w:rFonts w:eastAsia="SymbolMT" w:cstheme="minorHAnsi"/>
          <w:i/>
          <w:lang w:eastAsia="nl-NL"/>
        </w:rPr>
        <w:t xml:space="preserve"> = </w:t>
      </w:r>
      <m:oMath>
        <m:f>
          <m:fPr>
            <m:ctrlPr>
              <w:rPr>
                <w:rFonts w:ascii="Cambria Math" w:eastAsia="SymbolMT" w:hAnsi="Cambria Math" w:cstheme="minorHAnsi"/>
                <w:i/>
                <w:lang w:eastAsia="nl-NL"/>
              </w:rPr>
            </m:ctrlPr>
          </m:fPr>
          <m:num>
            <m:sSub>
              <m:sSubPr>
                <m:ctrlPr>
                  <w:rPr>
                    <w:rFonts w:ascii="Cambria Math" w:eastAsia="SymbolMT" w:hAnsi="Cambria Math" w:cstheme="minorHAnsi"/>
                    <w:i/>
                    <w:lang w:eastAsia="nl-NL"/>
                  </w:rPr>
                </m:ctrlPr>
              </m:sSubPr>
              <m:e>
                <m:r>
                  <w:rPr>
                    <w:rFonts w:ascii="Cambria Math" w:eastAsia="SymbolMT" w:hAnsi="Cambria Math" w:cstheme="minorHAnsi"/>
                    <w:lang w:eastAsia="nl-NL"/>
                  </w:rPr>
                  <m:t>Granted</m:t>
                </m:r>
                <m:r>
                  <w:rPr>
                    <w:rFonts w:ascii="Cambria Math" w:eastAsia="SymbolMT" w:cstheme="minorHAnsi"/>
                    <w:lang w:eastAsia="nl-NL"/>
                  </w:rPr>
                  <m:t xml:space="preserve"> </m:t>
                </m:r>
                <m:r>
                  <w:rPr>
                    <w:rFonts w:ascii="Cambria Math" w:eastAsia="SymbolMT" w:hAnsi="Cambria Math" w:cstheme="minorHAnsi"/>
                    <w:lang w:eastAsia="nl-NL"/>
                  </w:rPr>
                  <m:t>cash</m:t>
                </m:r>
                <m:r>
                  <w:rPr>
                    <w:rFonts w:ascii="Cambria Math" w:eastAsia="SymbolMT" w:cstheme="minorHAnsi"/>
                    <w:lang w:eastAsia="nl-NL"/>
                  </w:rPr>
                  <m:t xml:space="preserve"> </m:t>
                </m:r>
                <m:r>
                  <w:rPr>
                    <w:rFonts w:ascii="Cambria Math" w:eastAsia="SymbolMT" w:hAnsi="Cambria Math" w:cstheme="minorHAnsi"/>
                    <w:lang w:eastAsia="nl-NL"/>
                  </w:rPr>
                  <m:t>bonus</m:t>
                </m:r>
              </m:e>
              <m:sub>
                <m:r>
                  <w:rPr>
                    <w:rFonts w:ascii="Cambria Math" w:eastAsia="SymbolMT" w:hAnsi="Cambria Math" w:cstheme="minorHAnsi"/>
                    <w:lang w:eastAsia="nl-NL"/>
                  </w:rPr>
                  <m:t>it</m:t>
                </m:r>
              </m:sub>
            </m:sSub>
          </m:num>
          <m:den>
            <m:sSub>
              <m:sSubPr>
                <m:ctrlPr>
                  <w:rPr>
                    <w:rFonts w:ascii="Cambria Math" w:eastAsia="SymbolMT" w:hAnsi="Cambria Math" w:cstheme="minorHAnsi"/>
                    <w:i/>
                    <w:lang w:eastAsia="nl-NL"/>
                  </w:rPr>
                </m:ctrlPr>
              </m:sSubPr>
              <m:e>
                <m:r>
                  <w:rPr>
                    <w:rFonts w:ascii="Cambria Math" w:eastAsia="SymbolMT" w:hAnsi="Cambria Math" w:cstheme="minorHAnsi"/>
                    <w:lang w:eastAsia="nl-NL"/>
                  </w:rPr>
                  <m:t>Total</m:t>
                </m:r>
                <m:r>
                  <w:rPr>
                    <w:rFonts w:ascii="Cambria Math" w:eastAsia="SymbolMT" w:cstheme="minorHAnsi"/>
                    <w:lang w:eastAsia="nl-NL"/>
                  </w:rPr>
                  <m:t xml:space="preserve"> </m:t>
                </m:r>
                <m:r>
                  <w:rPr>
                    <w:rFonts w:ascii="Cambria Math" w:eastAsia="SymbolMT" w:hAnsi="Cambria Math" w:cstheme="minorHAnsi"/>
                    <w:lang w:eastAsia="nl-NL"/>
                  </w:rPr>
                  <m:t>compensation</m:t>
                </m:r>
              </m:e>
              <m:sub>
                <m:r>
                  <w:rPr>
                    <w:rFonts w:ascii="Cambria Math" w:eastAsia="SymbolMT" w:hAnsi="Cambria Math" w:cstheme="minorHAnsi"/>
                    <w:lang w:eastAsia="nl-NL"/>
                  </w:rPr>
                  <m:t>it</m:t>
                </m:r>
              </m:sub>
            </m:sSub>
          </m:den>
        </m:f>
      </m:oMath>
      <w:r w:rsidRPr="000B3455">
        <w:rPr>
          <w:rFonts w:eastAsia="SymbolMT" w:cstheme="minorHAnsi"/>
          <w:i/>
          <w:lang w:eastAsia="nl-NL"/>
        </w:rPr>
        <w:t xml:space="preserve"> </w:t>
      </w:r>
      <w:r w:rsidR="00FF26C0" w:rsidRPr="000B3455">
        <w:rPr>
          <w:rFonts w:eastAsia="SymbolMT" w:cstheme="minorHAnsi"/>
          <w:i/>
        </w:rPr>
        <w:t xml:space="preserve">* 100 % </w:t>
      </w:r>
      <w:r w:rsidRPr="000B3455">
        <w:rPr>
          <w:rFonts w:eastAsia="SymbolMT" w:cstheme="minorHAnsi"/>
          <w:i/>
          <w:lang w:eastAsia="nl-NL"/>
        </w:rPr>
        <w:t xml:space="preserve">- </w:t>
      </w:r>
      <m:oMath>
        <m:f>
          <m:fPr>
            <m:ctrlPr>
              <w:rPr>
                <w:rFonts w:ascii="Cambria Math" w:eastAsia="SymbolMT" w:hAnsi="Cambria Math" w:cstheme="minorHAnsi"/>
                <w:i/>
                <w:lang w:eastAsia="nl-NL"/>
              </w:rPr>
            </m:ctrlPr>
          </m:fPr>
          <m:num>
            <m:sSub>
              <m:sSubPr>
                <m:ctrlPr>
                  <w:rPr>
                    <w:rFonts w:ascii="Cambria Math" w:eastAsia="SymbolMT" w:hAnsi="Cambria Math" w:cstheme="minorHAnsi"/>
                    <w:i/>
                    <w:lang w:eastAsia="nl-NL"/>
                  </w:rPr>
                </m:ctrlPr>
              </m:sSubPr>
              <m:e>
                <m:r>
                  <w:rPr>
                    <w:rFonts w:ascii="Cambria Math" w:eastAsia="SymbolMT" w:hAnsi="Cambria Math" w:cstheme="minorHAnsi"/>
                    <w:lang w:eastAsia="nl-NL"/>
                  </w:rPr>
                  <m:t>Granted</m:t>
                </m:r>
                <m:r>
                  <w:rPr>
                    <w:rFonts w:ascii="Cambria Math" w:eastAsia="SymbolMT" w:cstheme="minorHAnsi"/>
                    <w:lang w:eastAsia="nl-NL"/>
                  </w:rPr>
                  <m:t xml:space="preserve"> </m:t>
                </m:r>
                <m:r>
                  <w:rPr>
                    <w:rFonts w:ascii="Cambria Math" w:eastAsia="SymbolMT" w:hAnsi="Cambria Math" w:cstheme="minorHAnsi"/>
                    <w:lang w:eastAsia="nl-NL"/>
                  </w:rPr>
                  <m:t>cash</m:t>
                </m:r>
                <m:r>
                  <w:rPr>
                    <w:rFonts w:ascii="Cambria Math" w:eastAsia="SymbolMT" w:cstheme="minorHAnsi"/>
                    <w:lang w:eastAsia="nl-NL"/>
                  </w:rPr>
                  <m:t xml:space="preserve"> </m:t>
                </m:r>
                <m:r>
                  <w:rPr>
                    <w:rFonts w:ascii="Cambria Math" w:eastAsia="SymbolMT" w:hAnsi="Cambria Math" w:cstheme="minorHAnsi"/>
                    <w:lang w:eastAsia="nl-NL"/>
                  </w:rPr>
                  <m:t>bonus</m:t>
                </m:r>
              </m:e>
              <m:sub>
                <m:r>
                  <w:rPr>
                    <w:rFonts w:ascii="Cambria Math" w:eastAsia="SymbolMT" w:hAnsi="Cambria Math" w:cstheme="minorHAnsi"/>
                    <w:lang w:eastAsia="nl-NL"/>
                  </w:rPr>
                  <m:t>it-</m:t>
                </m:r>
                <m:r>
                  <w:rPr>
                    <w:rFonts w:ascii="Cambria Math" w:eastAsia="SymbolMT" w:cstheme="minorHAnsi"/>
                    <w:lang w:eastAsia="nl-NL"/>
                  </w:rPr>
                  <m:t>1</m:t>
                </m:r>
              </m:sub>
            </m:sSub>
          </m:num>
          <m:den>
            <m:sSub>
              <m:sSubPr>
                <m:ctrlPr>
                  <w:rPr>
                    <w:rFonts w:ascii="Cambria Math" w:eastAsia="SymbolMT" w:hAnsi="Cambria Math" w:cstheme="minorHAnsi"/>
                    <w:i/>
                    <w:lang w:eastAsia="nl-NL"/>
                  </w:rPr>
                </m:ctrlPr>
              </m:sSubPr>
              <m:e>
                <m:r>
                  <w:rPr>
                    <w:rFonts w:ascii="Cambria Math" w:eastAsia="SymbolMT" w:hAnsi="Cambria Math" w:cstheme="minorHAnsi"/>
                    <w:lang w:eastAsia="nl-NL"/>
                  </w:rPr>
                  <m:t>Total</m:t>
                </m:r>
                <m:r>
                  <w:rPr>
                    <w:rFonts w:ascii="Cambria Math" w:eastAsia="SymbolMT" w:cstheme="minorHAnsi"/>
                    <w:lang w:eastAsia="nl-NL"/>
                  </w:rPr>
                  <m:t xml:space="preserve"> </m:t>
                </m:r>
                <m:r>
                  <w:rPr>
                    <w:rFonts w:ascii="Cambria Math" w:eastAsia="SymbolMT" w:hAnsi="Cambria Math" w:cstheme="minorHAnsi"/>
                    <w:lang w:eastAsia="nl-NL"/>
                  </w:rPr>
                  <m:t>compensation</m:t>
                </m:r>
              </m:e>
              <m:sub>
                <m:r>
                  <w:rPr>
                    <w:rFonts w:ascii="Cambria Math" w:eastAsia="SymbolMT" w:hAnsi="Cambria Math" w:cstheme="minorHAnsi"/>
                    <w:lang w:eastAsia="nl-NL"/>
                  </w:rPr>
                  <m:t>it-</m:t>
                </m:r>
                <m:r>
                  <w:rPr>
                    <w:rFonts w:ascii="Cambria Math" w:eastAsia="SymbolMT" w:cstheme="minorHAnsi"/>
                    <w:lang w:eastAsia="nl-NL"/>
                  </w:rPr>
                  <m:t>1</m:t>
                </m:r>
              </m:sub>
            </m:sSub>
          </m:den>
        </m:f>
      </m:oMath>
      <w:r w:rsidR="00FF26C0" w:rsidRPr="000B3455">
        <w:rPr>
          <w:rFonts w:eastAsia="SymbolMT" w:cstheme="minorHAnsi"/>
          <w:i/>
        </w:rPr>
        <w:t>* 100 %</w:t>
      </w:r>
    </w:p>
    <w:p w:rsidR="00951B0D" w:rsidRPr="000B3455" w:rsidRDefault="001D5F43" w:rsidP="0088553E">
      <w:pPr>
        <w:spacing w:line="360" w:lineRule="auto"/>
        <w:jc w:val="both"/>
        <w:rPr>
          <w:rFonts w:eastAsia="SymbolMT"/>
          <w:lang w:eastAsia="nl-NL"/>
        </w:rPr>
      </w:pPr>
      <w:r w:rsidRPr="000B3455">
        <w:rPr>
          <w:rFonts w:eastAsia="SymbolMT"/>
          <w:lang w:eastAsia="nl-NL"/>
        </w:rPr>
        <w:t>The dependent variable indicates the change of other forms of compensation due to the change of granted stock options</w:t>
      </w:r>
      <w:r w:rsidR="005F41A9" w:rsidRPr="000B3455">
        <w:rPr>
          <w:rFonts w:eastAsia="SymbolMT"/>
          <w:lang w:eastAsia="nl-NL"/>
        </w:rPr>
        <w:t xml:space="preserve">, these are </w:t>
      </w:r>
      <w:r w:rsidR="005F41A9" w:rsidRPr="000B3455">
        <w:rPr>
          <w:rFonts w:cstheme="minorHAnsi"/>
          <w:i/>
        </w:rPr>
        <w:t>Δ PR_FIX_SAL</w:t>
      </w:r>
      <w:r w:rsidR="005F41A9" w:rsidRPr="000B3455">
        <w:rPr>
          <w:rFonts w:eastAsia="SymbolMT" w:cstheme="minorHAnsi"/>
          <w:i/>
          <w:vertAlign w:val="subscript"/>
          <w:lang w:eastAsia="nl-NL"/>
        </w:rPr>
        <w:t>it</w:t>
      </w:r>
      <w:r w:rsidR="005F41A9" w:rsidRPr="000B3455">
        <w:rPr>
          <w:rFonts w:eastAsia="SymbolMT" w:cstheme="minorHAnsi"/>
          <w:lang w:eastAsia="nl-NL"/>
        </w:rPr>
        <w:t xml:space="preserve"> and </w:t>
      </w:r>
      <w:r w:rsidR="005F41A9" w:rsidRPr="000B3455">
        <w:rPr>
          <w:rFonts w:cstheme="minorHAnsi"/>
          <w:i/>
        </w:rPr>
        <w:t>Δ PR_CSH_BON</w:t>
      </w:r>
      <w:r w:rsidR="005F41A9" w:rsidRPr="000B3455">
        <w:rPr>
          <w:rFonts w:eastAsia="SymbolMT" w:cstheme="minorHAnsi"/>
          <w:i/>
          <w:vertAlign w:val="subscript"/>
          <w:lang w:eastAsia="nl-NL"/>
        </w:rPr>
        <w:t>it</w:t>
      </w:r>
      <w:r w:rsidR="005F41A9" w:rsidRPr="000B3455">
        <w:rPr>
          <w:rFonts w:eastAsia="SymbolMT" w:cstheme="minorHAnsi"/>
          <w:lang w:eastAsia="nl-NL"/>
        </w:rPr>
        <w:t xml:space="preserve"> for the change in proportion of fixed salary and cash bonuses respectively</w:t>
      </w:r>
      <w:r w:rsidRPr="000B3455">
        <w:rPr>
          <w:rFonts w:eastAsia="SymbolMT"/>
          <w:lang w:eastAsia="nl-NL"/>
        </w:rPr>
        <w:t>. The</w:t>
      </w:r>
      <w:r w:rsidR="00B30B94" w:rsidRPr="000B3455">
        <w:rPr>
          <w:rFonts w:eastAsia="SymbolMT"/>
          <w:lang w:eastAsia="nl-NL"/>
        </w:rPr>
        <w:t xml:space="preserve"> change in the proportion</w:t>
      </w:r>
      <w:r w:rsidRPr="000B3455">
        <w:rPr>
          <w:rFonts w:eastAsia="SymbolMT"/>
          <w:lang w:eastAsia="nl-NL"/>
        </w:rPr>
        <w:t xml:space="preserve"> granted fair value of stock options </w:t>
      </w:r>
      <w:r w:rsidR="00B30B94" w:rsidRPr="000B3455">
        <w:rPr>
          <w:rFonts w:eastAsia="SymbolMT"/>
          <w:lang w:eastAsia="nl-NL"/>
        </w:rPr>
        <w:t>of</w:t>
      </w:r>
      <w:r w:rsidRPr="000B3455">
        <w:rPr>
          <w:rFonts w:eastAsia="SymbolMT"/>
          <w:lang w:eastAsia="nl-NL"/>
        </w:rPr>
        <w:t xml:space="preserve"> total compensation is expressed in the regression model as </w:t>
      </w:r>
      <w:r w:rsidR="00207799" w:rsidRPr="000B3455">
        <w:rPr>
          <w:rFonts w:eastAsia="SymbolMT" w:cstheme="minorHAnsi"/>
          <w:i/>
          <w:lang w:eastAsia="nl-NL"/>
        </w:rPr>
        <w:t xml:space="preserve">Δ </w:t>
      </w:r>
      <w:r w:rsidR="00B30B94" w:rsidRPr="000B3455">
        <w:rPr>
          <w:rFonts w:eastAsia="SymbolMT" w:cstheme="minorHAnsi"/>
          <w:i/>
          <w:lang w:eastAsia="nl-NL"/>
        </w:rPr>
        <w:t>PR_FV_ST</w:t>
      </w:r>
      <w:r w:rsidR="00A10F59">
        <w:rPr>
          <w:rFonts w:eastAsia="SymbolMT" w:cstheme="minorHAnsi"/>
          <w:i/>
          <w:lang w:eastAsia="nl-NL"/>
        </w:rPr>
        <w:t>O</w:t>
      </w:r>
      <w:r w:rsidRPr="000B3455">
        <w:rPr>
          <w:rFonts w:eastAsia="SymbolMT" w:cstheme="minorHAnsi"/>
          <w:i/>
          <w:vertAlign w:val="subscript"/>
          <w:lang w:eastAsia="nl-NL"/>
        </w:rPr>
        <w:t>it</w:t>
      </w:r>
      <w:r w:rsidR="006663CD">
        <w:rPr>
          <w:rFonts w:eastAsia="SymbolMT" w:cstheme="minorHAnsi"/>
          <w:i/>
          <w:lang w:eastAsia="nl-NL"/>
        </w:rPr>
        <w:t xml:space="preserve"> </w:t>
      </w:r>
      <w:r w:rsidRPr="000B3455">
        <w:rPr>
          <w:rFonts w:eastAsia="SymbolMT" w:cstheme="minorHAnsi"/>
          <w:lang w:eastAsia="nl-NL"/>
        </w:rPr>
        <w:t xml:space="preserve">for firm </w:t>
      </w:r>
      <w:r w:rsidRPr="000B3455">
        <w:rPr>
          <w:rFonts w:eastAsia="SymbolMT" w:cstheme="minorHAnsi"/>
          <w:i/>
          <w:lang w:eastAsia="nl-NL"/>
        </w:rPr>
        <w:t>i</w:t>
      </w:r>
      <w:r w:rsidRPr="000B3455">
        <w:rPr>
          <w:rFonts w:eastAsia="SymbolMT" w:cstheme="minorHAnsi"/>
          <w:lang w:eastAsia="nl-NL"/>
        </w:rPr>
        <w:t xml:space="preserve"> in year </w:t>
      </w:r>
      <w:r w:rsidRPr="000B3455">
        <w:rPr>
          <w:rFonts w:eastAsia="SymbolMT" w:cstheme="minorHAnsi"/>
          <w:i/>
          <w:lang w:eastAsia="nl-NL"/>
        </w:rPr>
        <w:t>t</w:t>
      </w:r>
      <w:r w:rsidRPr="000B3455">
        <w:rPr>
          <w:rFonts w:eastAsia="SymbolMT" w:cstheme="minorHAnsi"/>
          <w:lang w:eastAsia="nl-NL"/>
        </w:rPr>
        <w:t xml:space="preserve">. </w:t>
      </w:r>
      <w:r w:rsidRPr="000B3455">
        <w:rPr>
          <w:rFonts w:eastAsia="SymbolMT"/>
          <w:lang w:eastAsia="nl-NL"/>
        </w:rPr>
        <w:t xml:space="preserve">In addition, the research model includes the same control variables, as model (1) and (2). </w:t>
      </w:r>
    </w:p>
    <w:p w:rsidR="00951B0D" w:rsidRPr="000B3455" w:rsidRDefault="00951B0D" w:rsidP="0088553E">
      <w:pPr>
        <w:spacing w:line="360" w:lineRule="auto"/>
        <w:jc w:val="both"/>
      </w:pPr>
      <w:r w:rsidRPr="000B3455">
        <w:t xml:space="preserve">The change in </w:t>
      </w:r>
      <w:r w:rsidR="00B30B94" w:rsidRPr="000B3455">
        <w:t xml:space="preserve">the proportion of the </w:t>
      </w:r>
      <w:r w:rsidRPr="000B3455">
        <w:t>fair value of granted stock options (</w:t>
      </w:r>
      <w:r w:rsidRPr="000B3455">
        <w:rPr>
          <w:rFonts w:eastAsia="SymbolMT" w:cstheme="minorHAnsi"/>
          <w:i/>
          <w:lang w:eastAsia="nl-NL"/>
        </w:rPr>
        <w:t>Δ</w:t>
      </w:r>
      <w:r w:rsidR="00B30B94" w:rsidRPr="000B3455">
        <w:rPr>
          <w:rFonts w:eastAsia="SymbolMT" w:cstheme="minorHAnsi"/>
          <w:i/>
          <w:lang w:eastAsia="nl-NL"/>
        </w:rPr>
        <w:t xml:space="preserve"> PR_</w:t>
      </w:r>
      <w:r w:rsidRPr="000B3455">
        <w:rPr>
          <w:rFonts w:eastAsia="SymbolMT" w:cstheme="minorHAnsi"/>
          <w:i/>
          <w:lang w:eastAsia="nl-NL"/>
        </w:rPr>
        <w:t>FV_ST</w:t>
      </w:r>
      <w:r w:rsidR="00A10F59">
        <w:rPr>
          <w:rFonts w:eastAsia="SymbolMT" w:cstheme="minorHAnsi"/>
          <w:i/>
          <w:lang w:eastAsia="nl-NL"/>
        </w:rPr>
        <w:t>O</w:t>
      </w:r>
      <w:r w:rsidRPr="000B3455">
        <w:rPr>
          <w:rFonts w:eastAsia="SymbolMT" w:cstheme="minorHAnsi"/>
          <w:i/>
          <w:vertAlign w:val="subscript"/>
          <w:lang w:eastAsia="nl-NL"/>
        </w:rPr>
        <w:t>it</w:t>
      </w:r>
      <w:r w:rsidRPr="000B3455">
        <w:t>), granted fixed salary (</w:t>
      </w:r>
      <w:r w:rsidRPr="000B3455">
        <w:rPr>
          <w:rFonts w:cstheme="minorHAnsi"/>
          <w:i/>
        </w:rPr>
        <w:t xml:space="preserve">Δ </w:t>
      </w:r>
      <w:r w:rsidR="00B30B94" w:rsidRPr="000B3455">
        <w:rPr>
          <w:rFonts w:cstheme="minorHAnsi"/>
          <w:i/>
        </w:rPr>
        <w:t>PR_</w:t>
      </w:r>
      <w:r w:rsidRPr="000B3455">
        <w:rPr>
          <w:rFonts w:cstheme="minorHAnsi"/>
          <w:i/>
        </w:rPr>
        <w:t>FIX_SAL</w:t>
      </w:r>
      <w:r w:rsidRPr="000B3455">
        <w:rPr>
          <w:rFonts w:eastAsia="SymbolMT" w:cstheme="minorHAnsi"/>
          <w:i/>
          <w:vertAlign w:val="subscript"/>
          <w:lang w:eastAsia="nl-NL"/>
        </w:rPr>
        <w:t>it</w:t>
      </w:r>
      <w:r w:rsidRPr="000B3455">
        <w:t>),</w:t>
      </w:r>
      <w:r w:rsidR="00554FB1" w:rsidRPr="000B3455">
        <w:t xml:space="preserve"> and</w:t>
      </w:r>
      <w:r w:rsidRPr="000B3455">
        <w:t xml:space="preserve"> granted cash bonuses (</w:t>
      </w:r>
      <w:r w:rsidRPr="000B3455">
        <w:rPr>
          <w:rFonts w:cstheme="minorHAnsi"/>
          <w:i/>
        </w:rPr>
        <w:t xml:space="preserve">Δ </w:t>
      </w:r>
      <w:r w:rsidR="00B30B94" w:rsidRPr="000B3455">
        <w:rPr>
          <w:rFonts w:cstheme="minorHAnsi"/>
          <w:i/>
        </w:rPr>
        <w:t>PR_</w:t>
      </w:r>
      <w:r w:rsidRPr="000B3455">
        <w:rPr>
          <w:rFonts w:cstheme="minorHAnsi"/>
          <w:i/>
        </w:rPr>
        <w:t>CSH_BON</w:t>
      </w:r>
      <w:r w:rsidRPr="000B3455">
        <w:rPr>
          <w:rFonts w:eastAsia="SymbolMT" w:cstheme="minorHAnsi"/>
          <w:i/>
          <w:vertAlign w:val="subscript"/>
          <w:lang w:eastAsia="nl-NL"/>
        </w:rPr>
        <w:t>it</w:t>
      </w:r>
      <w:r w:rsidRPr="000B3455">
        <w:t xml:space="preserve">) for 2002 involves data about remuneration in 2001. Since Article 383 in Book 2 of the Dutch Civil Code has been effective since 2002, many companies did not disclose information about specific forms of remuneration granted to the board of management. In the current sample 23 companies did not disclose remuneration practices in 2001. Since the final sample of </w:t>
      </w:r>
      <w:r w:rsidR="00554FB1" w:rsidRPr="000B3455">
        <w:t>44</w:t>
      </w:r>
      <w:r w:rsidRPr="000B3455">
        <w:t xml:space="preserve"> companies is relatively small, another reduction with 23 companies leads to a sharp decrease of the representativeness of the sample. Although incorporating 2001 gives more insight in the trend of remuneration practices, I prefer to exclude 2001 to ensure the representativeness of the sample, and more reliable results. To conclude, the sample period consists of the change in years: 2002-2003, 2003-2004, 2004-2005, 2005-2006, </w:t>
      </w:r>
      <w:r w:rsidR="00261BE2" w:rsidRPr="000B3455">
        <w:t>and 2006</w:t>
      </w:r>
      <w:r w:rsidRPr="000B3455">
        <w:t>-2007.</w:t>
      </w:r>
    </w:p>
    <w:p w:rsidR="00951B0D" w:rsidRPr="000B3455" w:rsidRDefault="005C25CC" w:rsidP="0088553E">
      <w:pPr>
        <w:spacing w:line="360" w:lineRule="auto"/>
        <w:jc w:val="both"/>
      </w:pPr>
      <w:r w:rsidRPr="000B3455">
        <w:t>I</w:t>
      </w:r>
      <w:r w:rsidR="00951B0D" w:rsidRPr="000B3455">
        <w:t>nvestigat</w:t>
      </w:r>
      <w:r w:rsidRPr="000B3455">
        <w:t>ing</w:t>
      </w:r>
      <w:r w:rsidR="00951B0D" w:rsidRPr="000B3455">
        <w:t xml:space="preserve"> whether the introduction of IFRS 2 </w:t>
      </w:r>
      <w:r w:rsidRPr="000B3455">
        <w:t>has resulted in a substitution from granted fair value of stock options to other compensation forms, implies including dummy variables in the research model to indicate the period. Separate dummy variables are included for the</w:t>
      </w:r>
      <w:r w:rsidR="00F30B6B" w:rsidRPr="000B3455">
        <w:t xml:space="preserve"> </w:t>
      </w:r>
      <w:r w:rsidR="00632B67" w:rsidRPr="000B3455">
        <w:t>changes in the years 200</w:t>
      </w:r>
      <w:r w:rsidR="005F41A9" w:rsidRPr="000B3455">
        <w:t>4</w:t>
      </w:r>
      <w:r w:rsidR="00632B67" w:rsidRPr="000B3455">
        <w:t>-2007</w:t>
      </w:r>
      <w:r w:rsidR="005F41A9" w:rsidRPr="000B3455">
        <w:t xml:space="preserve"> and 2003 serves as the base year,</w:t>
      </w:r>
      <w:r w:rsidRPr="000B3455">
        <w:t xml:space="preserve"> as can be seen in the regression model</w:t>
      </w:r>
      <w:r w:rsidR="00151F1F" w:rsidRPr="000B3455">
        <w:t xml:space="preserve"> below.</w:t>
      </w:r>
      <w:r w:rsidRPr="000B3455">
        <w:t xml:space="preserve"> </w:t>
      </w:r>
    </w:p>
    <w:p w:rsidR="00B34E9A" w:rsidRDefault="00B34E9A" w:rsidP="0088553E">
      <w:pPr>
        <w:spacing w:line="360" w:lineRule="auto"/>
        <w:jc w:val="both"/>
      </w:pPr>
    </w:p>
    <w:p w:rsidR="001D5F43" w:rsidRPr="000B3455" w:rsidRDefault="001D5F43" w:rsidP="0088553E">
      <w:pPr>
        <w:spacing w:line="360" w:lineRule="auto"/>
        <w:jc w:val="both"/>
        <w:rPr>
          <w:rFonts w:eastAsia="SymbolMT"/>
          <w:lang w:eastAsia="nl-NL"/>
        </w:rPr>
      </w:pPr>
      <w:r w:rsidRPr="000B3455">
        <w:rPr>
          <w:rFonts w:eastAsia="SymbolMT"/>
          <w:lang w:eastAsia="nl-NL"/>
        </w:rPr>
        <w:lastRenderedPageBreak/>
        <w:t>To avoid confusion with the research models (1) and (2) alpha symbols are used instead of betas. The ordinary least squares regression model for hypotheses 3</w:t>
      </w:r>
      <w:r w:rsidR="00554FB1" w:rsidRPr="000B3455">
        <w:rPr>
          <w:rFonts w:eastAsia="SymbolMT"/>
          <w:lang w:eastAsia="nl-NL"/>
        </w:rPr>
        <w:t xml:space="preserve"> </w:t>
      </w:r>
      <w:r w:rsidR="00A10F59">
        <w:rPr>
          <w:rFonts w:eastAsia="SymbolMT"/>
          <w:lang w:eastAsia="nl-NL"/>
        </w:rPr>
        <w:t>regarding the change of the proportion of fixed salary</w:t>
      </w:r>
      <w:r w:rsidRPr="000B3455">
        <w:rPr>
          <w:rFonts w:eastAsia="SymbolMT"/>
          <w:lang w:eastAsia="nl-NL"/>
        </w:rPr>
        <w:t xml:space="preserve"> is:</w:t>
      </w:r>
    </w:p>
    <w:p w:rsidR="001D5F43" w:rsidRDefault="001D5F43" w:rsidP="0088553E">
      <w:pPr>
        <w:spacing w:line="360" w:lineRule="auto"/>
        <w:jc w:val="both"/>
        <w:rPr>
          <w:i/>
          <w:vertAlign w:val="subscript"/>
        </w:rPr>
      </w:pPr>
      <w:r w:rsidRPr="006663CD">
        <w:rPr>
          <w:rFonts w:eastAsia="SymbolMT" w:cstheme="minorHAnsi"/>
          <w:b/>
          <w:lang w:eastAsia="nl-NL"/>
        </w:rPr>
        <w:t>(3):</w:t>
      </w:r>
      <w:r w:rsidRPr="000B3455">
        <w:rPr>
          <w:rFonts w:eastAsia="SymbolMT" w:cstheme="minorHAnsi"/>
          <w:b/>
          <w:i/>
          <w:lang w:eastAsia="nl-NL"/>
        </w:rPr>
        <w:t xml:space="preserve"> </w:t>
      </w:r>
      <w:r w:rsidR="00A10F59" w:rsidRPr="000B3455">
        <w:rPr>
          <w:rFonts w:cstheme="minorHAnsi"/>
          <w:i/>
        </w:rPr>
        <w:t>Δ PR_FIX_SAL</w:t>
      </w:r>
      <w:r w:rsidR="00A10F59" w:rsidRPr="000B3455">
        <w:rPr>
          <w:rFonts w:eastAsia="SymbolMT" w:cstheme="minorHAnsi"/>
          <w:i/>
          <w:vertAlign w:val="subscript"/>
          <w:lang w:eastAsia="nl-NL"/>
        </w:rPr>
        <w:t>it</w:t>
      </w:r>
      <w:r w:rsidR="00A10F59" w:rsidRPr="000B3455">
        <w:rPr>
          <w:rFonts w:eastAsia="SymbolMT" w:cstheme="minorHAnsi"/>
          <w:lang w:eastAsia="nl-NL"/>
        </w:rPr>
        <w:t xml:space="preserve"> = </w:t>
      </w:r>
      <w:r w:rsidRPr="000B3455">
        <w:rPr>
          <w:rFonts w:eastAsia="SymbolMT" w:cstheme="minorHAnsi"/>
          <w:i/>
          <w:lang w:eastAsia="nl-NL"/>
        </w:rPr>
        <w:t>α</w:t>
      </w:r>
      <w:r w:rsidRPr="000B3455">
        <w:rPr>
          <w:rFonts w:eastAsia="SymbolMT" w:cstheme="minorHAnsi"/>
          <w:i/>
          <w:vertAlign w:val="subscript"/>
          <w:lang w:eastAsia="nl-NL"/>
        </w:rPr>
        <w:t>0</w:t>
      </w:r>
      <w:r w:rsidRPr="000B3455">
        <w:rPr>
          <w:rFonts w:eastAsia="SymbolMT" w:cstheme="minorHAnsi"/>
          <w:i/>
          <w:lang w:eastAsia="nl-NL"/>
        </w:rPr>
        <w:t xml:space="preserve"> + α</w:t>
      </w:r>
      <w:r w:rsidRPr="000B3455">
        <w:rPr>
          <w:rFonts w:eastAsia="SymbolMT" w:cstheme="minorHAnsi"/>
          <w:i/>
          <w:vertAlign w:val="subscript"/>
          <w:lang w:eastAsia="nl-NL"/>
        </w:rPr>
        <w:t xml:space="preserve">1 </w:t>
      </w:r>
      <w:r w:rsidRPr="000B3455">
        <w:rPr>
          <w:rFonts w:eastAsia="SymbolMT" w:cstheme="minorHAnsi"/>
          <w:i/>
          <w:lang w:eastAsia="nl-NL"/>
        </w:rPr>
        <w:t>Δ</w:t>
      </w:r>
      <w:r w:rsidR="00B30B94" w:rsidRPr="000B3455">
        <w:rPr>
          <w:rFonts w:eastAsia="SymbolMT" w:cstheme="minorHAnsi"/>
          <w:i/>
          <w:lang w:eastAsia="nl-NL"/>
        </w:rPr>
        <w:t xml:space="preserve"> PR_</w:t>
      </w:r>
      <w:r w:rsidR="00FE6F84" w:rsidRPr="000B3455">
        <w:rPr>
          <w:rFonts w:eastAsia="SymbolMT" w:cstheme="minorHAnsi"/>
          <w:i/>
          <w:lang w:eastAsia="nl-NL"/>
        </w:rPr>
        <w:t>FV_ST</w:t>
      </w:r>
      <w:r w:rsidR="00AA1C90" w:rsidRPr="000B3455">
        <w:rPr>
          <w:rFonts w:eastAsia="SymbolMT" w:cstheme="minorHAnsi"/>
          <w:i/>
          <w:lang w:eastAsia="nl-NL"/>
        </w:rPr>
        <w:t>O</w:t>
      </w:r>
      <w:r w:rsidRPr="000B3455">
        <w:rPr>
          <w:rFonts w:eastAsia="SymbolMT" w:cstheme="minorHAnsi"/>
          <w:i/>
          <w:vertAlign w:val="subscript"/>
          <w:lang w:eastAsia="nl-NL"/>
        </w:rPr>
        <w:t>it</w:t>
      </w:r>
      <w:r w:rsidRPr="000B3455">
        <w:rPr>
          <w:rFonts w:eastAsia="SymbolMT" w:cstheme="minorHAnsi"/>
          <w:i/>
          <w:lang w:eastAsia="nl-NL"/>
        </w:rPr>
        <w:t xml:space="preserve"> +  </w:t>
      </w:r>
      <w:r w:rsidR="00632B67" w:rsidRPr="000B3455">
        <w:rPr>
          <w:rFonts w:eastAsia="SymbolMT" w:cstheme="minorHAnsi"/>
          <w:i/>
          <w:lang w:eastAsia="nl-NL"/>
        </w:rPr>
        <w:t>α</w:t>
      </w:r>
      <w:r w:rsidR="00C82E29" w:rsidRPr="000B3455">
        <w:rPr>
          <w:rFonts w:eastAsia="SymbolMT" w:cstheme="minorHAnsi"/>
          <w:i/>
          <w:vertAlign w:val="subscript"/>
          <w:lang w:eastAsia="nl-NL"/>
        </w:rPr>
        <w:t>2</w:t>
      </w:r>
      <w:r w:rsidR="00632B67" w:rsidRPr="000B3455">
        <w:rPr>
          <w:rFonts w:eastAsia="SymbolMT" w:cstheme="minorHAnsi"/>
          <w:i/>
          <w:lang w:eastAsia="nl-NL"/>
        </w:rPr>
        <w:t xml:space="preserve"> 2004 + α</w:t>
      </w:r>
      <w:r w:rsidR="00C82E29" w:rsidRPr="000B3455">
        <w:rPr>
          <w:rFonts w:eastAsia="SymbolMT" w:cstheme="minorHAnsi"/>
          <w:i/>
          <w:vertAlign w:val="subscript"/>
          <w:lang w:eastAsia="nl-NL"/>
        </w:rPr>
        <w:t>3</w:t>
      </w:r>
      <w:r w:rsidR="00647611" w:rsidRPr="000B3455">
        <w:rPr>
          <w:rFonts w:eastAsia="SymbolMT" w:cstheme="minorHAnsi"/>
          <w:i/>
          <w:vertAlign w:val="subscript"/>
          <w:lang w:eastAsia="nl-NL"/>
        </w:rPr>
        <w:t xml:space="preserve"> </w:t>
      </w:r>
      <w:r w:rsidR="00632B67" w:rsidRPr="000B3455">
        <w:rPr>
          <w:rFonts w:eastAsia="SymbolMT" w:cstheme="minorHAnsi"/>
          <w:i/>
          <w:lang w:eastAsia="nl-NL"/>
        </w:rPr>
        <w:t>2005 + α</w:t>
      </w:r>
      <w:r w:rsidR="00C82E29" w:rsidRPr="000B3455">
        <w:rPr>
          <w:rFonts w:eastAsia="SymbolMT" w:cstheme="minorHAnsi"/>
          <w:i/>
          <w:vertAlign w:val="subscript"/>
          <w:lang w:eastAsia="nl-NL"/>
        </w:rPr>
        <w:t>4</w:t>
      </w:r>
      <w:r w:rsidR="00632B67" w:rsidRPr="000B3455">
        <w:rPr>
          <w:rFonts w:eastAsia="SymbolMT" w:cstheme="minorHAnsi"/>
          <w:i/>
          <w:lang w:eastAsia="nl-NL"/>
        </w:rPr>
        <w:t xml:space="preserve"> </w:t>
      </w:r>
      <w:r w:rsidR="00647611" w:rsidRPr="000B3455">
        <w:rPr>
          <w:rFonts w:eastAsia="SymbolMT" w:cstheme="minorHAnsi"/>
          <w:i/>
          <w:lang w:eastAsia="nl-NL"/>
        </w:rPr>
        <w:t xml:space="preserve">2006 + </w:t>
      </w:r>
      <w:r w:rsidRPr="000B3455">
        <w:rPr>
          <w:rFonts w:eastAsia="SymbolMT" w:cstheme="minorHAnsi"/>
          <w:i/>
          <w:lang w:eastAsia="nl-NL"/>
        </w:rPr>
        <w:t>α</w:t>
      </w:r>
      <w:r w:rsidR="00C82E29" w:rsidRPr="000B3455">
        <w:rPr>
          <w:rFonts w:eastAsia="SymbolMT" w:cstheme="minorHAnsi"/>
          <w:i/>
          <w:vertAlign w:val="subscript"/>
          <w:lang w:eastAsia="nl-NL"/>
        </w:rPr>
        <w:t>5</w:t>
      </w:r>
      <w:r w:rsidRPr="000B3455">
        <w:rPr>
          <w:rFonts w:eastAsia="SymbolMT" w:cstheme="minorHAnsi"/>
          <w:i/>
          <w:vertAlign w:val="subscript"/>
          <w:lang w:eastAsia="nl-NL"/>
        </w:rPr>
        <w:t xml:space="preserve"> </w:t>
      </w:r>
      <w:r w:rsidR="00151F1F" w:rsidRPr="000B3455">
        <w:rPr>
          <w:rFonts w:cstheme="minorHAnsi"/>
          <w:i/>
        </w:rPr>
        <w:t>200</w:t>
      </w:r>
      <w:r w:rsidR="00647611" w:rsidRPr="000B3455">
        <w:rPr>
          <w:rFonts w:cstheme="minorHAnsi"/>
          <w:i/>
        </w:rPr>
        <w:t>7</w:t>
      </w:r>
      <w:r w:rsidR="00151F1F" w:rsidRPr="000B3455">
        <w:rPr>
          <w:rFonts w:cstheme="minorHAnsi"/>
          <w:i/>
        </w:rPr>
        <w:t xml:space="preserve"> + </w:t>
      </w:r>
      <w:r w:rsidR="00151F1F" w:rsidRPr="000B3455">
        <w:rPr>
          <w:rFonts w:eastAsia="SymbolMT" w:cstheme="minorHAnsi"/>
          <w:i/>
          <w:lang w:eastAsia="nl-NL"/>
        </w:rPr>
        <w:t>α</w:t>
      </w:r>
      <w:r w:rsidR="00C82E29" w:rsidRPr="000B3455">
        <w:rPr>
          <w:rFonts w:eastAsia="SymbolMT" w:cstheme="minorHAnsi"/>
          <w:i/>
          <w:vertAlign w:val="subscript"/>
          <w:lang w:eastAsia="nl-NL"/>
        </w:rPr>
        <w:t>6</w:t>
      </w:r>
      <w:r w:rsidR="00F30B6B" w:rsidRPr="000B3455">
        <w:rPr>
          <w:rFonts w:eastAsia="SymbolMT" w:cstheme="minorHAnsi"/>
          <w:i/>
          <w:vertAlign w:val="subscript"/>
          <w:lang w:eastAsia="nl-NL"/>
        </w:rPr>
        <w:t xml:space="preserve"> </w:t>
      </w:r>
      <w:r w:rsidRPr="000B3455">
        <w:rPr>
          <w:i/>
        </w:rPr>
        <w:t>LN_ASSET</w:t>
      </w:r>
      <w:r w:rsidR="00E53B40" w:rsidRPr="000B3455">
        <w:rPr>
          <w:i/>
        </w:rPr>
        <w:t>S</w:t>
      </w:r>
      <w:r w:rsidRPr="000B3455">
        <w:rPr>
          <w:i/>
          <w:vertAlign w:val="subscript"/>
        </w:rPr>
        <w:t>it</w:t>
      </w:r>
      <w:r w:rsidRPr="000B3455">
        <w:rPr>
          <w:i/>
        </w:rPr>
        <w:t xml:space="preserve"> + </w:t>
      </w:r>
      <w:r w:rsidRPr="000B3455">
        <w:rPr>
          <w:rFonts w:eastAsia="SymbolMT" w:cstheme="minorHAnsi"/>
          <w:i/>
          <w:lang w:eastAsia="nl-NL"/>
        </w:rPr>
        <w:t>α</w:t>
      </w:r>
      <w:r w:rsidR="00C82E29" w:rsidRPr="000B3455">
        <w:rPr>
          <w:rFonts w:cstheme="minorHAnsi"/>
          <w:i/>
          <w:vertAlign w:val="subscript"/>
        </w:rPr>
        <w:t>7</w:t>
      </w:r>
      <w:r w:rsidR="00F30B6B" w:rsidRPr="000B3455">
        <w:rPr>
          <w:rFonts w:cstheme="minorHAnsi"/>
          <w:i/>
          <w:vertAlign w:val="subscript"/>
        </w:rPr>
        <w:t xml:space="preserve"> </w:t>
      </w:r>
      <w:r w:rsidRPr="000B3455">
        <w:rPr>
          <w:i/>
        </w:rPr>
        <w:t>MTB</w:t>
      </w:r>
      <w:r w:rsidRPr="000B3455">
        <w:rPr>
          <w:i/>
          <w:vertAlign w:val="subscript"/>
        </w:rPr>
        <w:t>it</w:t>
      </w:r>
      <w:r w:rsidRPr="000B3455">
        <w:rPr>
          <w:rFonts w:cstheme="minorHAnsi"/>
          <w:i/>
        </w:rPr>
        <w:t xml:space="preserve"> + </w:t>
      </w:r>
      <w:r w:rsidRPr="000B3455">
        <w:rPr>
          <w:rFonts w:eastAsia="SymbolMT" w:cstheme="minorHAnsi"/>
          <w:i/>
          <w:lang w:eastAsia="nl-NL"/>
        </w:rPr>
        <w:t>α</w:t>
      </w:r>
      <w:r w:rsidR="00C82E29" w:rsidRPr="000B3455">
        <w:rPr>
          <w:rFonts w:cstheme="minorHAnsi"/>
          <w:i/>
          <w:vertAlign w:val="subscript"/>
        </w:rPr>
        <w:t>8</w:t>
      </w:r>
      <w:r w:rsidRPr="000B3455">
        <w:rPr>
          <w:rFonts w:cstheme="minorHAnsi"/>
          <w:i/>
          <w:vertAlign w:val="subscript"/>
        </w:rPr>
        <w:t xml:space="preserve"> </w:t>
      </w:r>
      <w:r w:rsidRPr="000B3455">
        <w:rPr>
          <w:i/>
        </w:rPr>
        <w:t>RET</w:t>
      </w:r>
      <w:r w:rsidRPr="000B3455">
        <w:rPr>
          <w:i/>
          <w:vertAlign w:val="subscript"/>
        </w:rPr>
        <w:t>it</w:t>
      </w:r>
      <w:r w:rsidRPr="000B3455">
        <w:rPr>
          <w:rFonts w:cstheme="minorHAnsi"/>
          <w:i/>
        </w:rPr>
        <w:t xml:space="preserve"> + </w:t>
      </w:r>
      <w:r w:rsidRPr="000B3455">
        <w:rPr>
          <w:rFonts w:eastAsia="SymbolMT" w:cstheme="minorHAnsi"/>
          <w:i/>
          <w:lang w:eastAsia="nl-NL"/>
        </w:rPr>
        <w:t>α</w:t>
      </w:r>
      <w:r w:rsidR="00C82E29" w:rsidRPr="000B3455">
        <w:rPr>
          <w:rFonts w:cstheme="minorHAnsi"/>
          <w:i/>
          <w:vertAlign w:val="subscript"/>
        </w:rPr>
        <w:t>9</w:t>
      </w:r>
      <w:r w:rsidRPr="000B3455">
        <w:rPr>
          <w:rFonts w:cstheme="minorHAnsi"/>
          <w:i/>
          <w:vertAlign w:val="subscript"/>
        </w:rPr>
        <w:t xml:space="preserve"> </w:t>
      </w:r>
      <w:r w:rsidR="004F75F4" w:rsidRPr="000B3455">
        <w:rPr>
          <w:i/>
        </w:rPr>
        <w:t>VOL</w:t>
      </w:r>
      <w:r w:rsidRPr="000B3455">
        <w:rPr>
          <w:i/>
          <w:vertAlign w:val="subscript"/>
        </w:rPr>
        <w:t>it</w:t>
      </w:r>
      <w:r w:rsidRPr="000B3455">
        <w:rPr>
          <w:rFonts w:cstheme="minorHAnsi"/>
          <w:i/>
        </w:rPr>
        <w:t xml:space="preserve"> + </w:t>
      </w:r>
      <w:r w:rsidRPr="000B3455">
        <w:rPr>
          <w:rFonts w:eastAsia="SymbolMT" w:cstheme="minorHAnsi"/>
          <w:i/>
          <w:lang w:eastAsia="nl-NL"/>
        </w:rPr>
        <w:t>α</w:t>
      </w:r>
      <w:r w:rsidR="00C82E29" w:rsidRPr="000B3455">
        <w:rPr>
          <w:rFonts w:cstheme="minorHAnsi"/>
          <w:i/>
          <w:vertAlign w:val="subscript"/>
        </w:rPr>
        <w:t>10</w:t>
      </w:r>
      <w:r w:rsidRPr="000B3455">
        <w:rPr>
          <w:rFonts w:cstheme="minorHAnsi"/>
          <w:i/>
          <w:vertAlign w:val="subscript"/>
        </w:rPr>
        <w:t xml:space="preserve"> </w:t>
      </w:r>
      <w:r w:rsidRPr="000B3455">
        <w:rPr>
          <w:i/>
        </w:rPr>
        <w:t>BOA_SIZE</w:t>
      </w:r>
      <w:r w:rsidRPr="000B3455">
        <w:rPr>
          <w:i/>
          <w:vertAlign w:val="subscript"/>
        </w:rPr>
        <w:t>it</w:t>
      </w:r>
      <w:r w:rsidRPr="000B3455">
        <w:rPr>
          <w:rFonts w:cstheme="minorHAnsi"/>
          <w:i/>
        </w:rPr>
        <w:t xml:space="preserve"> + </w:t>
      </w:r>
      <w:r w:rsidRPr="000B3455">
        <w:rPr>
          <w:rFonts w:eastAsia="SymbolMT" w:cstheme="minorHAnsi"/>
          <w:i/>
          <w:lang w:eastAsia="nl-NL"/>
        </w:rPr>
        <w:t>α</w:t>
      </w:r>
      <w:r w:rsidR="00C82E29" w:rsidRPr="000B3455">
        <w:rPr>
          <w:rFonts w:cstheme="minorHAnsi"/>
          <w:i/>
          <w:vertAlign w:val="subscript"/>
        </w:rPr>
        <w:t>11</w:t>
      </w:r>
      <w:r w:rsidRPr="000B3455">
        <w:rPr>
          <w:rFonts w:cstheme="minorHAnsi"/>
          <w:i/>
          <w:vertAlign w:val="subscript"/>
        </w:rPr>
        <w:t xml:space="preserve"> </w:t>
      </w:r>
      <w:r w:rsidRPr="000B3455">
        <w:rPr>
          <w:i/>
        </w:rPr>
        <w:t>LIQ_CON</w:t>
      </w:r>
      <w:r w:rsidRPr="000B3455">
        <w:rPr>
          <w:i/>
          <w:vertAlign w:val="subscript"/>
        </w:rPr>
        <w:t>it</w:t>
      </w:r>
      <w:r w:rsidRPr="000B3455">
        <w:rPr>
          <w:rFonts w:cstheme="minorHAnsi"/>
          <w:i/>
        </w:rPr>
        <w:t xml:space="preserve"> + ∑ </w:t>
      </w:r>
      <w:r w:rsidRPr="000B3455">
        <w:rPr>
          <w:i/>
        </w:rPr>
        <w:t>IND_DUMM</w:t>
      </w:r>
      <w:r w:rsidRPr="000B3455">
        <w:rPr>
          <w:i/>
          <w:vertAlign w:val="subscript"/>
        </w:rPr>
        <w:t>it</w:t>
      </w:r>
      <w:r w:rsidRPr="000B3455">
        <w:rPr>
          <w:i/>
        </w:rPr>
        <w:t xml:space="preserve"> + </w:t>
      </w:r>
      <w:r w:rsidRPr="000B3455">
        <w:rPr>
          <w:rFonts w:hAnsi="Times New Roman" w:cs="Times New Roman"/>
          <w:i/>
        </w:rPr>
        <w:t>ɛ</w:t>
      </w:r>
      <w:r w:rsidRPr="000B3455">
        <w:rPr>
          <w:i/>
          <w:vertAlign w:val="subscript"/>
        </w:rPr>
        <w:t>it</w:t>
      </w:r>
    </w:p>
    <w:p w:rsidR="00A10F59" w:rsidRDefault="00A10F59" w:rsidP="0088553E">
      <w:pPr>
        <w:spacing w:line="360" w:lineRule="auto"/>
        <w:jc w:val="both"/>
      </w:pPr>
      <w:r>
        <w:t>And for the change of the proportion of cash bonuses:</w:t>
      </w:r>
    </w:p>
    <w:p w:rsidR="00A10F59" w:rsidRPr="00A10F59" w:rsidRDefault="00A10F59" w:rsidP="0088553E">
      <w:pPr>
        <w:spacing w:line="360" w:lineRule="auto"/>
        <w:jc w:val="both"/>
      </w:pPr>
      <w:r w:rsidRPr="006663CD">
        <w:rPr>
          <w:rFonts w:cstheme="minorHAnsi"/>
          <w:b/>
        </w:rPr>
        <w:t>(4):</w:t>
      </w:r>
      <w:r>
        <w:rPr>
          <w:rFonts w:cstheme="minorHAnsi"/>
          <w:i/>
        </w:rPr>
        <w:t xml:space="preserve"> </w:t>
      </w:r>
      <w:r w:rsidRPr="000B3455">
        <w:rPr>
          <w:rFonts w:cstheme="minorHAnsi"/>
          <w:i/>
        </w:rPr>
        <w:t>Δ PR_CSH_BON</w:t>
      </w:r>
      <w:r w:rsidRPr="000B3455">
        <w:rPr>
          <w:rFonts w:eastAsia="SymbolMT" w:cstheme="minorHAnsi"/>
          <w:i/>
          <w:vertAlign w:val="subscript"/>
          <w:lang w:eastAsia="nl-NL"/>
        </w:rPr>
        <w:t>it</w:t>
      </w:r>
      <w:r w:rsidRPr="000B3455">
        <w:rPr>
          <w:rFonts w:eastAsia="SymbolMT" w:cstheme="minorHAnsi"/>
          <w:lang w:eastAsia="nl-NL"/>
        </w:rPr>
        <w:t xml:space="preserve"> = </w:t>
      </w:r>
      <w:r w:rsidRPr="000B3455">
        <w:rPr>
          <w:rFonts w:eastAsia="SymbolMT" w:cstheme="minorHAnsi"/>
          <w:i/>
          <w:lang w:eastAsia="nl-NL"/>
        </w:rPr>
        <w:t>α</w:t>
      </w:r>
      <w:r w:rsidRPr="000B3455">
        <w:rPr>
          <w:rFonts w:eastAsia="SymbolMT" w:cstheme="minorHAnsi"/>
          <w:i/>
          <w:vertAlign w:val="subscript"/>
          <w:lang w:eastAsia="nl-NL"/>
        </w:rPr>
        <w:t>0</w:t>
      </w:r>
      <w:r w:rsidRPr="000B3455">
        <w:rPr>
          <w:rFonts w:eastAsia="SymbolMT" w:cstheme="minorHAnsi"/>
          <w:i/>
          <w:lang w:eastAsia="nl-NL"/>
        </w:rPr>
        <w:t xml:space="preserve"> + α</w:t>
      </w:r>
      <w:r w:rsidRPr="000B3455">
        <w:rPr>
          <w:rFonts w:eastAsia="SymbolMT" w:cstheme="minorHAnsi"/>
          <w:i/>
          <w:vertAlign w:val="subscript"/>
          <w:lang w:eastAsia="nl-NL"/>
        </w:rPr>
        <w:t xml:space="preserve">1 </w:t>
      </w:r>
      <w:r w:rsidRPr="000B3455">
        <w:rPr>
          <w:rFonts w:eastAsia="SymbolMT" w:cstheme="minorHAnsi"/>
          <w:i/>
          <w:lang w:eastAsia="nl-NL"/>
        </w:rPr>
        <w:t>Δ PR_FV_STO</w:t>
      </w:r>
      <w:r w:rsidRPr="000B3455">
        <w:rPr>
          <w:rFonts w:eastAsia="SymbolMT" w:cstheme="minorHAnsi"/>
          <w:i/>
          <w:vertAlign w:val="subscript"/>
          <w:lang w:eastAsia="nl-NL"/>
        </w:rPr>
        <w:t>it</w:t>
      </w:r>
      <w:r w:rsidRPr="000B3455">
        <w:rPr>
          <w:rFonts w:eastAsia="SymbolMT" w:cstheme="minorHAnsi"/>
          <w:i/>
          <w:lang w:eastAsia="nl-NL"/>
        </w:rPr>
        <w:t xml:space="preserve"> +  α</w:t>
      </w:r>
      <w:r w:rsidRPr="000B3455">
        <w:rPr>
          <w:rFonts w:eastAsia="SymbolMT" w:cstheme="minorHAnsi"/>
          <w:i/>
          <w:vertAlign w:val="subscript"/>
          <w:lang w:eastAsia="nl-NL"/>
        </w:rPr>
        <w:t>2</w:t>
      </w:r>
      <w:r w:rsidRPr="000B3455">
        <w:rPr>
          <w:rFonts w:eastAsia="SymbolMT" w:cstheme="minorHAnsi"/>
          <w:i/>
          <w:lang w:eastAsia="nl-NL"/>
        </w:rPr>
        <w:t xml:space="preserve"> 2004 + α</w:t>
      </w:r>
      <w:r w:rsidRPr="000B3455">
        <w:rPr>
          <w:rFonts w:eastAsia="SymbolMT" w:cstheme="minorHAnsi"/>
          <w:i/>
          <w:vertAlign w:val="subscript"/>
          <w:lang w:eastAsia="nl-NL"/>
        </w:rPr>
        <w:t xml:space="preserve">3 </w:t>
      </w:r>
      <w:r w:rsidRPr="000B3455">
        <w:rPr>
          <w:rFonts w:eastAsia="SymbolMT" w:cstheme="minorHAnsi"/>
          <w:i/>
          <w:lang w:eastAsia="nl-NL"/>
        </w:rPr>
        <w:t>2005 + α</w:t>
      </w:r>
      <w:r w:rsidRPr="000B3455">
        <w:rPr>
          <w:rFonts w:eastAsia="SymbolMT" w:cstheme="minorHAnsi"/>
          <w:i/>
          <w:vertAlign w:val="subscript"/>
          <w:lang w:eastAsia="nl-NL"/>
        </w:rPr>
        <w:t>4</w:t>
      </w:r>
      <w:r w:rsidRPr="000B3455">
        <w:rPr>
          <w:rFonts w:eastAsia="SymbolMT" w:cstheme="minorHAnsi"/>
          <w:i/>
          <w:lang w:eastAsia="nl-NL"/>
        </w:rPr>
        <w:t xml:space="preserve"> 2006 + α</w:t>
      </w:r>
      <w:r w:rsidRPr="000B3455">
        <w:rPr>
          <w:rFonts w:eastAsia="SymbolMT" w:cstheme="minorHAnsi"/>
          <w:i/>
          <w:vertAlign w:val="subscript"/>
          <w:lang w:eastAsia="nl-NL"/>
        </w:rPr>
        <w:t xml:space="preserve">5 </w:t>
      </w:r>
      <w:r w:rsidRPr="000B3455">
        <w:rPr>
          <w:rFonts w:cstheme="minorHAnsi"/>
          <w:i/>
        </w:rPr>
        <w:t xml:space="preserve">2007 + </w:t>
      </w:r>
      <w:r w:rsidRPr="000B3455">
        <w:rPr>
          <w:rFonts w:eastAsia="SymbolMT" w:cstheme="minorHAnsi"/>
          <w:i/>
          <w:lang w:eastAsia="nl-NL"/>
        </w:rPr>
        <w:t>α</w:t>
      </w:r>
      <w:r w:rsidRPr="000B3455">
        <w:rPr>
          <w:rFonts w:eastAsia="SymbolMT" w:cstheme="minorHAnsi"/>
          <w:i/>
          <w:vertAlign w:val="subscript"/>
          <w:lang w:eastAsia="nl-NL"/>
        </w:rPr>
        <w:t xml:space="preserve">6 </w:t>
      </w:r>
      <w:r w:rsidRPr="000B3455">
        <w:rPr>
          <w:i/>
        </w:rPr>
        <w:t>LN_ASSETS</w:t>
      </w:r>
      <w:r w:rsidRPr="000B3455">
        <w:rPr>
          <w:i/>
          <w:vertAlign w:val="subscript"/>
        </w:rPr>
        <w:t>it</w:t>
      </w:r>
      <w:r w:rsidRPr="000B3455">
        <w:rPr>
          <w:i/>
        </w:rPr>
        <w:t xml:space="preserve"> + </w:t>
      </w:r>
      <w:r w:rsidRPr="000B3455">
        <w:rPr>
          <w:rFonts w:eastAsia="SymbolMT" w:cstheme="minorHAnsi"/>
          <w:i/>
          <w:lang w:eastAsia="nl-NL"/>
        </w:rPr>
        <w:t>α</w:t>
      </w:r>
      <w:r w:rsidRPr="000B3455">
        <w:rPr>
          <w:rFonts w:cstheme="minorHAnsi"/>
          <w:i/>
          <w:vertAlign w:val="subscript"/>
        </w:rPr>
        <w:t xml:space="preserve">7 </w:t>
      </w:r>
      <w:r w:rsidRPr="000B3455">
        <w:rPr>
          <w:i/>
        </w:rPr>
        <w:t>MTB</w:t>
      </w:r>
      <w:r w:rsidRPr="000B3455">
        <w:rPr>
          <w:i/>
          <w:vertAlign w:val="subscript"/>
        </w:rPr>
        <w:t>it</w:t>
      </w:r>
      <w:r w:rsidRPr="000B3455">
        <w:rPr>
          <w:rFonts w:cstheme="minorHAnsi"/>
          <w:i/>
        </w:rPr>
        <w:t xml:space="preserve"> + </w:t>
      </w:r>
      <w:r w:rsidRPr="000B3455">
        <w:rPr>
          <w:rFonts w:eastAsia="SymbolMT" w:cstheme="minorHAnsi"/>
          <w:i/>
          <w:lang w:eastAsia="nl-NL"/>
        </w:rPr>
        <w:t>α</w:t>
      </w:r>
      <w:r w:rsidRPr="000B3455">
        <w:rPr>
          <w:rFonts w:cstheme="minorHAnsi"/>
          <w:i/>
          <w:vertAlign w:val="subscript"/>
        </w:rPr>
        <w:t xml:space="preserve">8 </w:t>
      </w:r>
      <w:r w:rsidRPr="000B3455">
        <w:rPr>
          <w:i/>
        </w:rPr>
        <w:t>RET</w:t>
      </w:r>
      <w:r w:rsidRPr="000B3455">
        <w:rPr>
          <w:i/>
          <w:vertAlign w:val="subscript"/>
        </w:rPr>
        <w:t>it</w:t>
      </w:r>
      <w:r w:rsidRPr="000B3455">
        <w:rPr>
          <w:rFonts w:cstheme="minorHAnsi"/>
          <w:i/>
        </w:rPr>
        <w:t xml:space="preserve"> + </w:t>
      </w:r>
      <w:r w:rsidRPr="000B3455">
        <w:rPr>
          <w:rFonts w:eastAsia="SymbolMT" w:cstheme="minorHAnsi"/>
          <w:i/>
          <w:lang w:eastAsia="nl-NL"/>
        </w:rPr>
        <w:t>α</w:t>
      </w:r>
      <w:r w:rsidRPr="000B3455">
        <w:rPr>
          <w:rFonts w:cstheme="minorHAnsi"/>
          <w:i/>
          <w:vertAlign w:val="subscript"/>
        </w:rPr>
        <w:t xml:space="preserve">9 </w:t>
      </w:r>
      <w:r w:rsidRPr="000B3455">
        <w:rPr>
          <w:i/>
        </w:rPr>
        <w:t>VOL</w:t>
      </w:r>
      <w:r w:rsidRPr="000B3455">
        <w:rPr>
          <w:i/>
          <w:vertAlign w:val="subscript"/>
        </w:rPr>
        <w:t>it</w:t>
      </w:r>
      <w:r w:rsidRPr="000B3455">
        <w:rPr>
          <w:rFonts w:cstheme="minorHAnsi"/>
          <w:i/>
        </w:rPr>
        <w:t xml:space="preserve"> + </w:t>
      </w:r>
      <w:r w:rsidRPr="000B3455">
        <w:rPr>
          <w:rFonts w:eastAsia="SymbolMT" w:cstheme="minorHAnsi"/>
          <w:i/>
          <w:lang w:eastAsia="nl-NL"/>
        </w:rPr>
        <w:t>α</w:t>
      </w:r>
      <w:r w:rsidRPr="000B3455">
        <w:rPr>
          <w:rFonts w:cstheme="minorHAnsi"/>
          <w:i/>
          <w:vertAlign w:val="subscript"/>
        </w:rPr>
        <w:t xml:space="preserve">10 </w:t>
      </w:r>
      <w:r w:rsidRPr="000B3455">
        <w:rPr>
          <w:i/>
        </w:rPr>
        <w:t>BOA_SIZE</w:t>
      </w:r>
      <w:r w:rsidRPr="000B3455">
        <w:rPr>
          <w:i/>
          <w:vertAlign w:val="subscript"/>
        </w:rPr>
        <w:t>it</w:t>
      </w:r>
      <w:r w:rsidRPr="000B3455">
        <w:rPr>
          <w:rFonts w:cstheme="minorHAnsi"/>
          <w:i/>
        </w:rPr>
        <w:t xml:space="preserve"> + </w:t>
      </w:r>
      <w:r w:rsidRPr="000B3455">
        <w:rPr>
          <w:rFonts w:eastAsia="SymbolMT" w:cstheme="minorHAnsi"/>
          <w:i/>
          <w:lang w:eastAsia="nl-NL"/>
        </w:rPr>
        <w:t>α</w:t>
      </w:r>
      <w:r w:rsidRPr="000B3455">
        <w:rPr>
          <w:rFonts w:cstheme="minorHAnsi"/>
          <w:i/>
          <w:vertAlign w:val="subscript"/>
        </w:rPr>
        <w:t xml:space="preserve">11 </w:t>
      </w:r>
      <w:r w:rsidRPr="000B3455">
        <w:rPr>
          <w:i/>
        </w:rPr>
        <w:t>LIQ_CON</w:t>
      </w:r>
      <w:r w:rsidRPr="000B3455">
        <w:rPr>
          <w:i/>
          <w:vertAlign w:val="subscript"/>
        </w:rPr>
        <w:t>it</w:t>
      </w:r>
      <w:r w:rsidRPr="000B3455">
        <w:rPr>
          <w:rFonts w:cstheme="minorHAnsi"/>
          <w:i/>
        </w:rPr>
        <w:t xml:space="preserve"> + ∑ </w:t>
      </w:r>
      <w:r w:rsidRPr="000B3455">
        <w:rPr>
          <w:i/>
        </w:rPr>
        <w:t>IND_DUMM</w:t>
      </w:r>
      <w:r w:rsidRPr="000B3455">
        <w:rPr>
          <w:i/>
          <w:vertAlign w:val="subscript"/>
        </w:rPr>
        <w:t>it</w:t>
      </w:r>
      <w:r w:rsidRPr="000B3455">
        <w:rPr>
          <w:i/>
        </w:rPr>
        <w:t xml:space="preserve"> + </w:t>
      </w:r>
      <w:r w:rsidRPr="000B3455">
        <w:rPr>
          <w:rFonts w:hAnsi="Times New Roman" w:cs="Times New Roman"/>
          <w:i/>
        </w:rPr>
        <w:t>ɛ</w:t>
      </w:r>
      <w:r w:rsidRPr="000B3455">
        <w:rPr>
          <w:i/>
          <w:vertAlign w:val="subscript"/>
        </w:rPr>
        <w:t>it</w:t>
      </w:r>
    </w:p>
    <w:p w:rsidR="00D4028C" w:rsidRPr="000B3455" w:rsidRDefault="001D5F43" w:rsidP="0088553E">
      <w:pPr>
        <w:spacing w:line="360" w:lineRule="auto"/>
        <w:jc w:val="both"/>
        <w:rPr>
          <w:rFonts w:eastAsia="SymbolMT" w:cstheme="minorHAnsi"/>
          <w:lang w:eastAsia="nl-NL"/>
        </w:rPr>
      </w:pPr>
      <w:r w:rsidRPr="000B3455">
        <w:t>As also stated in hypotheses 3</w:t>
      </w:r>
      <w:r w:rsidR="00554FB1" w:rsidRPr="000B3455">
        <w:t xml:space="preserve"> and</w:t>
      </w:r>
      <w:r w:rsidRPr="000B3455">
        <w:t xml:space="preserve"> 4, I expect a negative relation between the change in fair value of granted stock options </w:t>
      </w:r>
      <w:r w:rsidR="00B30B94" w:rsidRPr="000B3455">
        <w:t>(</w:t>
      </w:r>
      <w:r w:rsidR="00B30B94" w:rsidRPr="000B3455">
        <w:rPr>
          <w:rFonts w:eastAsia="SymbolMT" w:cstheme="minorHAnsi"/>
          <w:i/>
          <w:lang w:eastAsia="nl-NL"/>
        </w:rPr>
        <w:t>Δ PR_FV_ST</w:t>
      </w:r>
      <w:r w:rsidR="00AA1C90" w:rsidRPr="000B3455">
        <w:rPr>
          <w:rFonts w:eastAsia="SymbolMT" w:cstheme="minorHAnsi"/>
          <w:i/>
          <w:lang w:eastAsia="nl-NL"/>
        </w:rPr>
        <w:t>O</w:t>
      </w:r>
      <w:r w:rsidR="00B30B94" w:rsidRPr="000B3455">
        <w:rPr>
          <w:rFonts w:eastAsia="SymbolMT" w:cstheme="minorHAnsi"/>
          <w:i/>
          <w:vertAlign w:val="subscript"/>
          <w:lang w:eastAsia="nl-NL"/>
        </w:rPr>
        <w:t>it</w:t>
      </w:r>
      <w:r w:rsidRPr="000B3455">
        <w:rPr>
          <w:rFonts w:eastAsia="SymbolMT" w:cstheme="minorHAnsi"/>
          <w:lang w:eastAsia="nl-NL"/>
        </w:rPr>
        <w:t>) and the dependent variables for fixed salary (</w:t>
      </w:r>
      <w:r w:rsidRPr="000B3455">
        <w:rPr>
          <w:rFonts w:cstheme="minorHAnsi"/>
          <w:i/>
        </w:rPr>
        <w:t xml:space="preserve">Δ </w:t>
      </w:r>
      <w:r w:rsidR="00FB1C14" w:rsidRPr="000B3455">
        <w:rPr>
          <w:rFonts w:cstheme="minorHAnsi"/>
          <w:i/>
        </w:rPr>
        <w:t>PR_</w:t>
      </w:r>
      <w:r w:rsidRPr="000B3455">
        <w:rPr>
          <w:rFonts w:cstheme="minorHAnsi"/>
          <w:i/>
        </w:rPr>
        <w:t>FIX_SAL</w:t>
      </w:r>
      <w:r w:rsidRPr="000B3455">
        <w:rPr>
          <w:rFonts w:eastAsia="SymbolMT" w:cstheme="minorHAnsi"/>
          <w:i/>
          <w:vertAlign w:val="subscript"/>
          <w:lang w:eastAsia="nl-NL"/>
        </w:rPr>
        <w:t>it</w:t>
      </w:r>
      <w:r w:rsidRPr="000B3455">
        <w:rPr>
          <w:rFonts w:eastAsia="SymbolMT" w:cstheme="minorHAnsi"/>
          <w:lang w:eastAsia="nl-NL"/>
        </w:rPr>
        <w:t>),</w:t>
      </w:r>
      <w:r w:rsidR="00554FB1" w:rsidRPr="000B3455">
        <w:rPr>
          <w:rFonts w:eastAsia="SymbolMT" w:cstheme="minorHAnsi"/>
          <w:lang w:eastAsia="nl-NL"/>
        </w:rPr>
        <w:t xml:space="preserve"> and</w:t>
      </w:r>
      <w:r w:rsidRPr="000B3455">
        <w:rPr>
          <w:rFonts w:eastAsia="SymbolMT" w:cstheme="minorHAnsi"/>
          <w:lang w:eastAsia="nl-NL"/>
        </w:rPr>
        <w:t xml:space="preserve"> cash bonuses (</w:t>
      </w:r>
      <w:r w:rsidRPr="000B3455">
        <w:rPr>
          <w:rFonts w:cstheme="minorHAnsi"/>
          <w:i/>
        </w:rPr>
        <w:t>Δ</w:t>
      </w:r>
      <w:r w:rsidR="00FB1C14" w:rsidRPr="000B3455">
        <w:rPr>
          <w:rFonts w:cstheme="minorHAnsi"/>
          <w:i/>
        </w:rPr>
        <w:t xml:space="preserve"> PR_</w:t>
      </w:r>
      <w:r w:rsidRPr="000B3455">
        <w:rPr>
          <w:rFonts w:cstheme="minorHAnsi"/>
          <w:i/>
        </w:rPr>
        <w:t>CSH_BON</w:t>
      </w:r>
      <w:r w:rsidRPr="000B3455">
        <w:rPr>
          <w:rFonts w:eastAsia="SymbolMT" w:cstheme="minorHAnsi"/>
          <w:i/>
          <w:vertAlign w:val="subscript"/>
          <w:lang w:eastAsia="nl-NL"/>
        </w:rPr>
        <w:t>it</w:t>
      </w:r>
      <w:r w:rsidR="00554FB1" w:rsidRPr="000B3455">
        <w:rPr>
          <w:rFonts w:eastAsia="SymbolMT" w:cstheme="minorHAnsi"/>
          <w:lang w:eastAsia="nl-NL"/>
        </w:rPr>
        <w:t>)</w:t>
      </w:r>
      <w:r w:rsidRPr="000B3455">
        <w:rPr>
          <w:rFonts w:eastAsia="SymbolMT" w:cstheme="minorHAnsi"/>
          <w:lang w:eastAsia="nl-NL"/>
        </w:rPr>
        <w:t xml:space="preserve">. It can be concluded that the change in the fair value of granted stock options is substituted by other forms of compensation when regression results show that </w:t>
      </w:r>
      <w:r w:rsidRPr="000B3455">
        <w:rPr>
          <w:rFonts w:eastAsia="SymbolMT" w:cstheme="minorHAnsi"/>
          <w:i/>
          <w:lang w:eastAsia="nl-NL"/>
        </w:rPr>
        <w:t>α</w:t>
      </w:r>
      <w:r w:rsidRPr="000B3455">
        <w:rPr>
          <w:rFonts w:eastAsia="SymbolMT" w:cstheme="minorHAnsi"/>
          <w:i/>
          <w:vertAlign w:val="subscript"/>
          <w:lang w:eastAsia="nl-NL"/>
        </w:rPr>
        <w:t>1</w:t>
      </w:r>
      <w:r w:rsidRPr="000B3455">
        <w:rPr>
          <w:rFonts w:eastAsia="SymbolMT" w:cstheme="minorHAnsi"/>
          <w:lang w:eastAsia="nl-NL"/>
        </w:rPr>
        <w:t xml:space="preserve"> is significantly negative.</w:t>
      </w:r>
      <w:r w:rsidR="00151F1F" w:rsidRPr="000B3455">
        <w:rPr>
          <w:rFonts w:eastAsia="SymbolMT" w:cstheme="minorHAnsi"/>
          <w:lang w:eastAsia="nl-NL"/>
        </w:rPr>
        <w:t xml:space="preserve"> The </w:t>
      </w:r>
      <w:r w:rsidR="005F41A9" w:rsidRPr="000B3455">
        <w:rPr>
          <w:rFonts w:eastAsia="SymbolMT" w:cstheme="minorHAnsi"/>
          <w:lang w:eastAsia="nl-NL"/>
        </w:rPr>
        <w:t xml:space="preserve">year </w:t>
      </w:r>
      <w:r w:rsidR="00151F1F" w:rsidRPr="000B3455">
        <w:rPr>
          <w:rFonts w:eastAsia="SymbolMT" w:cstheme="minorHAnsi"/>
          <w:lang w:eastAsia="nl-NL"/>
        </w:rPr>
        <w:t>dumm</w:t>
      </w:r>
      <w:r w:rsidR="005F41A9" w:rsidRPr="000B3455">
        <w:rPr>
          <w:rFonts w:eastAsia="SymbolMT" w:cstheme="minorHAnsi"/>
          <w:lang w:eastAsia="nl-NL"/>
        </w:rPr>
        <w:t>ie</w:t>
      </w:r>
      <w:r w:rsidR="00F30B6B" w:rsidRPr="000B3455">
        <w:rPr>
          <w:rFonts w:eastAsia="SymbolMT" w:cstheme="minorHAnsi"/>
          <w:lang w:eastAsia="nl-NL"/>
        </w:rPr>
        <w:t>s</w:t>
      </w:r>
      <w:r w:rsidR="00151F1F" w:rsidRPr="000B3455">
        <w:rPr>
          <w:rFonts w:eastAsia="SymbolMT" w:cstheme="minorHAnsi"/>
          <w:lang w:eastAsia="nl-NL"/>
        </w:rPr>
        <w:t xml:space="preserve"> should indicate whether the introduction of IFRS 2 has </w:t>
      </w:r>
      <w:r w:rsidR="005F41A9" w:rsidRPr="000B3455">
        <w:rPr>
          <w:rFonts w:eastAsia="SymbolMT" w:cstheme="minorHAnsi"/>
          <w:lang w:eastAsia="nl-NL"/>
        </w:rPr>
        <w:t xml:space="preserve">had </w:t>
      </w:r>
      <w:r w:rsidR="00151F1F" w:rsidRPr="000B3455">
        <w:rPr>
          <w:rFonts w:eastAsia="SymbolMT" w:cstheme="minorHAnsi"/>
          <w:lang w:eastAsia="nl-NL"/>
        </w:rPr>
        <w:t>an</w:t>
      </w:r>
      <w:r w:rsidR="005F41A9" w:rsidRPr="000B3455">
        <w:rPr>
          <w:rFonts w:eastAsia="SymbolMT" w:cstheme="minorHAnsi"/>
          <w:lang w:eastAsia="nl-NL"/>
        </w:rPr>
        <w:t xml:space="preserve"> accelerating</w:t>
      </w:r>
      <w:r w:rsidR="00151F1F" w:rsidRPr="000B3455">
        <w:rPr>
          <w:rFonts w:eastAsia="SymbolMT" w:cstheme="minorHAnsi"/>
          <w:lang w:eastAsia="nl-NL"/>
        </w:rPr>
        <w:t xml:space="preserve"> effect on the substitution from stock option compensation towards other compensation forms</w:t>
      </w:r>
      <w:r w:rsidR="004F0491" w:rsidRPr="000B3455">
        <w:rPr>
          <w:rFonts w:eastAsia="SymbolMT" w:cstheme="minorHAnsi"/>
          <w:lang w:eastAsia="nl-NL"/>
        </w:rPr>
        <w:t>.</w:t>
      </w:r>
      <w:r w:rsidR="00713383" w:rsidRPr="000B3455">
        <w:rPr>
          <w:rFonts w:eastAsia="SymbolMT" w:cstheme="minorHAnsi"/>
          <w:lang w:eastAsia="nl-NL"/>
        </w:rPr>
        <w:t xml:space="preserve"> The stronger substitution effect is twofold. Either the nominator is increased, or the denominator is decreased. </w:t>
      </w:r>
      <w:r w:rsidR="00D4028C" w:rsidRPr="000B3455">
        <w:rPr>
          <w:rFonts w:eastAsia="SymbolMT" w:cstheme="minorHAnsi"/>
          <w:lang w:eastAsia="nl-NL"/>
        </w:rPr>
        <w:t>As illustrated by:</w:t>
      </w:r>
    </w:p>
    <w:p w:rsidR="00D4028C" w:rsidRPr="000B3455" w:rsidRDefault="00D4028C" w:rsidP="0088553E">
      <w:pPr>
        <w:spacing w:line="360" w:lineRule="auto"/>
        <w:jc w:val="both"/>
        <w:rPr>
          <w:rFonts w:eastAsia="SymbolMT" w:cstheme="minorHAnsi"/>
          <w:lang w:eastAsia="nl-NL"/>
        </w:rPr>
      </w:pPr>
      <w:r w:rsidRPr="000B3455">
        <w:rPr>
          <w:rFonts w:eastAsia="SymbolMT" w:cstheme="minorHAnsi"/>
          <w:lang w:eastAsia="nl-NL"/>
        </w:rPr>
        <w:t>α</w:t>
      </w:r>
      <w:r w:rsidRPr="000B3455">
        <w:rPr>
          <w:rFonts w:eastAsia="SymbolMT" w:cstheme="minorHAnsi"/>
          <w:vertAlign w:val="subscript"/>
          <w:lang w:eastAsia="nl-NL"/>
        </w:rPr>
        <w:t>1</w:t>
      </w:r>
      <w:r w:rsidRPr="000B3455">
        <w:rPr>
          <w:rFonts w:eastAsia="SymbolMT" w:cstheme="minorHAnsi"/>
          <w:lang w:eastAsia="nl-NL"/>
        </w:rPr>
        <w:t xml:space="preserve"> = substitution effect = </w:t>
      </w:r>
      <m:oMath>
        <m:f>
          <m:fPr>
            <m:ctrlPr>
              <w:rPr>
                <w:rFonts w:ascii="Cambria Math" w:eastAsia="SymbolMT" w:hAnsi="Cambria Math" w:cstheme="minorHAnsi"/>
                <w:i/>
                <w:lang w:eastAsia="nl-NL"/>
              </w:rPr>
            </m:ctrlPr>
          </m:fPr>
          <m:num>
            <m:sSub>
              <m:sSubPr>
                <m:ctrlPr>
                  <w:rPr>
                    <w:rFonts w:ascii="Cambria Math" w:eastAsia="SymbolMT" w:hAnsi="Cambria Math" w:cstheme="minorHAnsi"/>
                    <w:i/>
                    <w:lang w:eastAsia="nl-NL"/>
                  </w:rPr>
                </m:ctrlPr>
              </m:sSubPr>
              <m:e>
                <m:r>
                  <w:rPr>
                    <w:rFonts w:ascii="Cambria Math" w:hAnsi="Cambria Math" w:cstheme="minorHAnsi"/>
                  </w:rPr>
                  <m:t>Δ</m:t>
                </m:r>
                <m:r>
                  <w:rPr>
                    <w:rFonts w:ascii="Cambria Math" w:cstheme="minorHAnsi"/>
                  </w:rPr>
                  <m:t xml:space="preserve"> </m:t>
                </m:r>
                <m:r>
                  <w:rPr>
                    <w:rFonts w:ascii="Cambria Math" w:hAnsi="Cambria Math" w:cstheme="minorHAnsi"/>
                  </w:rPr>
                  <m:t>PR</m:t>
                </m:r>
                <m:r>
                  <w:rPr>
                    <w:rFonts w:ascii="Cambria Math" w:cstheme="minorHAnsi"/>
                  </w:rPr>
                  <m:t>_</m:t>
                </m:r>
                <m:r>
                  <w:rPr>
                    <w:rFonts w:ascii="Cambria Math" w:hAnsi="Cambria Math" w:cstheme="minorHAnsi"/>
                  </w:rPr>
                  <m:t>FIX</m:t>
                </m:r>
                <m:r>
                  <w:rPr>
                    <w:rFonts w:ascii="Cambria Math" w:cstheme="minorHAnsi"/>
                  </w:rPr>
                  <m:t>_</m:t>
                </m:r>
                <m:r>
                  <w:rPr>
                    <w:rFonts w:ascii="Cambria Math" w:hAnsi="Cambria Math" w:cstheme="minorHAnsi"/>
                  </w:rPr>
                  <m:t>SAL</m:t>
                </m:r>
              </m:e>
              <m:sub>
                <m:r>
                  <w:rPr>
                    <w:rFonts w:ascii="Cambria Math" w:eastAsia="SymbolMT" w:hAnsi="Cambria Math" w:cstheme="minorHAnsi"/>
                    <w:lang w:eastAsia="nl-NL"/>
                  </w:rPr>
                  <m:t>it</m:t>
                </m:r>
                <m:r>
                  <w:rPr>
                    <w:rFonts w:ascii="Cambria Math" w:eastAsia="SymbolMT" w:cstheme="minorHAnsi"/>
                    <w:lang w:eastAsia="nl-NL"/>
                  </w:rPr>
                  <m:t xml:space="preserve">  </m:t>
                </m:r>
              </m:sub>
            </m:sSub>
          </m:num>
          <m:den>
            <m:sSub>
              <m:sSubPr>
                <m:ctrlPr>
                  <w:rPr>
                    <w:rFonts w:ascii="Cambria Math" w:eastAsia="SymbolMT" w:hAnsi="Cambria Math" w:cstheme="minorHAnsi"/>
                    <w:i/>
                    <w:lang w:eastAsia="nl-NL"/>
                  </w:rPr>
                </m:ctrlPr>
              </m:sSubPr>
              <m:e>
                <m:r>
                  <w:rPr>
                    <w:rFonts w:ascii="Cambria Math" w:eastAsia="SymbolMT" w:hAnsi="Cambria Math" w:cstheme="minorHAnsi"/>
                    <w:lang w:eastAsia="nl-NL"/>
                  </w:rPr>
                  <m:t>Δ</m:t>
                </m:r>
                <m:r>
                  <w:rPr>
                    <w:rFonts w:ascii="Cambria Math" w:eastAsia="SymbolMT" w:cstheme="minorHAnsi"/>
                    <w:lang w:eastAsia="nl-NL"/>
                  </w:rPr>
                  <m:t xml:space="preserve"> </m:t>
                </m:r>
                <m:r>
                  <w:rPr>
                    <w:rFonts w:ascii="Cambria Math" w:eastAsia="SymbolMT" w:hAnsi="Cambria Math" w:cstheme="minorHAnsi"/>
                    <w:lang w:eastAsia="nl-NL"/>
                  </w:rPr>
                  <m:t>PR</m:t>
                </m:r>
                <m:r>
                  <w:rPr>
                    <w:rFonts w:ascii="Cambria Math" w:eastAsia="SymbolMT" w:cstheme="minorHAnsi"/>
                    <w:lang w:eastAsia="nl-NL"/>
                  </w:rPr>
                  <m:t>_</m:t>
                </m:r>
                <m:r>
                  <w:rPr>
                    <w:rFonts w:ascii="Cambria Math" w:eastAsia="SymbolMT" w:hAnsi="Cambria Math" w:cstheme="minorHAnsi"/>
                    <w:lang w:eastAsia="nl-NL"/>
                  </w:rPr>
                  <m:t>FV</m:t>
                </m:r>
                <m:r>
                  <w:rPr>
                    <w:rFonts w:ascii="Cambria Math" w:eastAsia="SymbolMT" w:cstheme="minorHAnsi"/>
                    <w:lang w:eastAsia="nl-NL"/>
                  </w:rPr>
                  <m:t>_</m:t>
                </m:r>
                <m:r>
                  <w:rPr>
                    <w:rFonts w:ascii="Cambria Math" w:eastAsia="SymbolMT" w:hAnsi="Cambria Math" w:cstheme="minorHAnsi"/>
                    <w:lang w:eastAsia="nl-NL"/>
                  </w:rPr>
                  <m:t>STO</m:t>
                </m:r>
              </m:e>
              <m:sub>
                <m:r>
                  <w:rPr>
                    <w:rFonts w:ascii="Cambria Math" w:eastAsia="SymbolMT" w:hAnsi="Cambria Math" w:cstheme="minorHAnsi"/>
                    <w:lang w:eastAsia="nl-NL"/>
                  </w:rPr>
                  <m:t>it</m:t>
                </m:r>
              </m:sub>
            </m:sSub>
          </m:den>
        </m:f>
      </m:oMath>
      <w:r w:rsidRPr="000B3455">
        <w:rPr>
          <w:rFonts w:eastAsia="SymbolMT" w:cstheme="minorHAnsi"/>
          <w:lang w:eastAsia="nl-NL"/>
        </w:rPr>
        <w:t xml:space="preserve"> or </w:t>
      </w:r>
      <m:oMath>
        <m:f>
          <m:fPr>
            <m:ctrlPr>
              <w:rPr>
                <w:rFonts w:ascii="Cambria Math" w:eastAsia="SymbolMT" w:hAnsi="Cambria Math" w:cstheme="minorHAnsi"/>
                <w:i/>
                <w:lang w:eastAsia="nl-NL"/>
              </w:rPr>
            </m:ctrlPr>
          </m:fPr>
          <m:num>
            <m:sSub>
              <m:sSubPr>
                <m:ctrlPr>
                  <w:rPr>
                    <w:rFonts w:ascii="Cambria Math" w:eastAsia="SymbolMT" w:hAnsi="Cambria Math" w:cstheme="minorHAnsi"/>
                    <w:i/>
                    <w:lang w:eastAsia="nl-NL"/>
                  </w:rPr>
                </m:ctrlPr>
              </m:sSubPr>
              <m:e>
                <m:r>
                  <w:rPr>
                    <w:rFonts w:ascii="Cambria Math" w:hAnsi="Cambria Math" w:cstheme="minorHAnsi"/>
                  </w:rPr>
                  <m:t>Δ</m:t>
                </m:r>
                <m:r>
                  <w:rPr>
                    <w:rFonts w:ascii="Cambria Math" w:cstheme="minorHAnsi"/>
                  </w:rPr>
                  <m:t xml:space="preserve"> </m:t>
                </m:r>
                <m:r>
                  <w:rPr>
                    <w:rFonts w:ascii="Cambria Math" w:hAnsi="Cambria Math" w:cstheme="minorHAnsi"/>
                  </w:rPr>
                  <m:t>PR</m:t>
                </m:r>
                <m:r>
                  <w:rPr>
                    <w:rFonts w:ascii="Cambria Math" w:cstheme="minorHAnsi"/>
                  </w:rPr>
                  <m:t>_</m:t>
                </m:r>
                <m:r>
                  <w:rPr>
                    <w:rFonts w:ascii="Cambria Math" w:hAnsi="Cambria Math" w:cstheme="minorHAnsi"/>
                  </w:rPr>
                  <m:t>CSH</m:t>
                </m:r>
                <m:r>
                  <w:rPr>
                    <w:rFonts w:ascii="Cambria Math" w:cstheme="minorHAnsi"/>
                  </w:rPr>
                  <m:t>_</m:t>
                </m:r>
                <m:r>
                  <w:rPr>
                    <w:rFonts w:ascii="Cambria Math" w:hAnsi="Cambria Math" w:cstheme="minorHAnsi"/>
                  </w:rPr>
                  <m:t>BON</m:t>
                </m:r>
              </m:e>
              <m:sub>
                <m:r>
                  <w:rPr>
                    <w:rFonts w:ascii="Cambria Math" w:eastAsia="SymbolMT" w:hAnsi="Cambria Math" w:cstheme="minorHAnsi"/>
                    <w:lang w:eastAsia="nl-NL"/>
                  </w:rPr>
                  <m:t>it</m:t>
                </m:r>
                <m:r>
                  <w:rPr>
                    <w:rFonts w:ascii="Cambria Math" w:eastAsia="SymbolMT" w:cstheme="minorHAnsi"/>
                    <w:lang w:eastAsia="nl-NL"/>
                  </w:rPr>
                  <m:t xml:space="preserve">  </m:t>
                </m:r>
              </m:sub>
            </m:sSub>
          </m:num>
          <m:den>
            <m:sSub>
              <m:sSubPr>
                <m:ctrlPr>
                  <w:rPr>
                    <w:rFonts w:ascii="Cambria Math" w:eastAsia="SymbolMT" w:hAnsi="Cambria Math" w:cstheme="minorHAnsi"/>
                    <w:i/>
                    <w:lang w:eastAsia="nl-NL"/>
                  </w:rPr>
                </m:ctrlPr>
              </m:sSubPr>
              <m:e>
                <m:r>
                  <w:rPr>
                    <w:rFonts w:ascii="Cambria Math" w:eastAsia="SymbolMT" w:hAnsi="Cambria Math" w:cstheme="minorHAnsi"/>
                    <w:lang w:eastAsia="nl-NL"/>
                  </w:rPr>
                  <m:t>Δ</m:t>
                </m:r>
                <m:r>
                  <w:rPr>
                    <w:rFonts w:ascii="Cambria Math" w:eastAsia="SymbolMT" w:cstheme="minorHAnsi"/>
                    <w:lang w:eastAsia="nl-NL"/>
                  </w:rPr>
                  <m:t xml:space="preserve"> </m:t>
                </m:r>
                <m:r>
                  <w:rPr>
                    <w:rFonts w:ascii="Cambria Math" w:eastAsia="SymbolMT" w:hAnsi="Cambria Math" w:cstheme="minorHAnsi"/>
                    <w:lang w:eastAsia="nl-NL"/>
                  </w:rPr>
                  <m:t>PR</m:t>
                </m:r>
                <m:r>
                  <w:rPr>
                    <w:rFonts w:ascii="Cambria Math" w:eastAsia="SymbolMT" w:cstheme="minorHAnsi"/>
                    <w:lang w:eastAsia="nl-NL"/>
                  </w:rPr>
                  <m:t>_</m:t>
                </m:r>
                <m:r>
                  <w:rPr>
                    <w:rFonts w:ascii="Cambria Math" w:eastAsia="SymbolMT" w:hAnsi="Cambria Math" w:cstheme="minorHAnsi"/>
                    <w:lang w:eastAsia="nl-NL"/>
                  </w:rPr>
                  <m:t>FV</m:t>
                </m:r>
                <m:r>
                  <w:rPr>
                    <w:rFonts w:ascii="Cambria Math" w:eastAsia="SymbolMT" w:cstheme="minorHAnsi"/>
                    <w:lang w:eastAsia="nl-NL"/>
                  </w:rPr>
                  <m:t>_</m:t>
                </m:r>
                <m:r>
                  <w:rPr>
                    <w:rFonts w:ascii="Cambria Math" w:eastAsia="SymbolMT" w:hAnsi="Cambria Math" w:cstheme="minorHAnsi"/>
                    <w:lang w:eastAsia="nl-NL"/>
                  </w:rPr>
                  <m:t>STO</m:t>
                </m:r>
              </m:e>
              <m:sub>
                <m:r>
                  <w:rPr>
                    <w:rFonts w:ascii="Cambria Math" w:eastAsia="SymbolMT" w:hAnsi="Cambria Math" w:cstheme="minorHAnsi"/>
                    <w:lang w:eastAsia="nl-NL"/>
                  </w:rPr>
                  <m:t>it</m:t>
                </m:r>
              </m:sub>
            </m:sSub>
          </m:den>
        </m:f>
      </m:oMath>
    </w:p>
    <w:p w:rsidR="00D4028C" w:rsidRPr="000B3455" w:rsidRDefault="007A1D36" w:rsidP="0088553E">
      <w:pPr>
        <w:spacing w:line="360" w:lineRule="auto"/>
        <w:jc w:val="both"/>
        <w:rPr>
          <w:rFonts w:eastAsia="SymbolMT" w:cstheme="minorHAnsi"/>
          <w:lang w:eastAsia="nl-NL"/>
        </w:rPr>
      </w:pPr>
      <w:r w:rsidRPr="000B3455">
        <w:rPr>
          <w:rFonts w:eastAsia="SymbolMT" w:cstheme="minorHAnsi"/>
          <w:lang w:eastAsia="nl-NL"/>
        </w:rPr>
        <w:t>S</w:t>
      </w:r>
      <w:r w:rsidR="00D4028C" w:rsidRPr="000B3455">
        <w:rPr>
          <w:rFonts w:eastAsia="SymbolMT" w:cstheme="minorHAnsi"/>
          <w:lang w:eastAsia="nl-NL"/>
        </w:rPr>
        <w:t xml:space="preserve">ubstitution effect </w:t>
      </w:r>
      <w:r w:rsidR="00D4028C" w:rsidRPr="000B3455">
        <w:rPr>
          <w:rFonts w:eastAsia="SymbolMT" w:cs="Times New Roman"/>
          <w:lang w:eastAsia="nl-NL"/>
        </w:rPr>
        <w:t>↑</w:t>
      </w:r>
      <w:r w:rsidR="00D4028C" w:rsidRPr="000B3455">
        <w:rPr>
          <w:rFonts w:eastAsia="SymbolMT" w:cs="Cambria"/>
          <w:lang w:eastAsia="nl-NL"/>
        </w:rPr>
        <w:t xml:space="preserve">= </w:t>
      </w:r>
      <m:oMath>
        <m:f>
          <m:fPr>
            <m:ctrlPr>
              <w:rPr>
                <w:rFonts w:ascii="Cambria Math" w:eastAsia="SymbolMT" w:hAnsi="Cambria Math" w:cstheme="minorHAnsi"/>
                <w:i/>
                <w:lang w:eastAsia="nl-NL"/>
              </w:rPr>
            </m:ctrlPr>
          </m:fPr>
          <m:num>
            <m:sSub>
              <m:sSubPr>
                <m:ctrlPr>
                  <w:rPr>
                    <w:rFonts w:ascii="Cambria Math" w:eastAsia="SymbolMT" w:hAnsi="Cambria Math" w:cstheme="minorHAnsi"/>
                    <w:i/>
                    <w:lang w:eastAsia="nl-NL"/>
                  </w:rPr>
                </m:ctrlPr>
              </m:sSubPr>
              <m:e>
                <m:r>
                  <w:rPr>
                    <w:rFonts w:ascii="Cambria Math" w:cstheme="minorHAnsi"/>
                  </w:rPr>
                  <m:t>↑</m:t>
                </m:r>
                <m:r>
                  <w:rPr>
                    <w:rFonts w:ascii="Cambria Math" w:cstheme="minorHAnsi"/>
                  </w:rPr>
                  <m:t xml:space="preserve"> </m:t>
                </m:r>
                <m:r>
                  <w:rPr>
                    <w:rFonts w:ascii="Cambria Math" w:hAnsi="Cambria Math" w:cstheme="minorHAnsi"/>
                  </w:rPr>
                  <m:t>Δ</m:t>
                </m:r>
                <m:r>
                  <w:rPr>
                    <w:rFonts w:ascii="Cambria Math" w:cstheme="minorHAnsi"/>
                  </w:rPr>
                  <m:t xml:space="preserve"> </m:t>
                </m:r>
                <m:r>
                  <w:rPr>
                    <w:rFonts w:ascii="Cambria Math" w:hAnsi="Cambria Math" w:cstheme="minorHAnsi"/>
                  </w:rPr>
                  <m:t>PR</m:t>
                </m:r>
                <m:r>
                  <w:rPr>
                    <w:rFonts w:ascii="Cambria Math" w:cstheme="minorHAnsi"/>
                  </w:rPr>
                  <m:t>_</m:t>
                </m:r>
                <m:r>
                  <w:rPr>
                    <w:rFonts w:ascii="Cambria Math" w:hAnsi="Cambria Math" w:cstheme="minorHAnsi"/>
                  </w:rPr>
                  <m:t>FIX</m:t>
                </m:r>
                <m:r>
                  <w:rPr>
                    <w:rFonts w:ascii="Cambria Math" w:cstheme="minorHAnsi"/>
                  </w:rPr>
                  <m:t>_</m:t>
                </m:r>
                <m:r>
                  <w:rPr>
                    <w:rFonts w:ascii="Cambria Math" w:hAnsi="Cambria Math" w:cstheme="minorHAnsi"/>
                  </w:rPr>
                  <m:t>SAL</m:t>
                </m:r>
              </m:e>
              <m:sub>
                <m:r>
                  <w:rPr>
                    <w:rFonts w:ascii="Cambria Math" w:eastAsia="SymbolMT" w:hAnsi="Cambria Math" w:cstheme="minorHAnsi"/>
                    <w:lang w:eastAsia="nl-NL"/>
                  </w:rPr>
                  <m:t>it</m:t>
                </m:r>
                <m:r>
                  <w:rPr>
                    <w:rFonts w:ascii="Cambria Math" w:eastAsia="SymbolMT" w:cstheme="minorHAnsi"/>
                    <w:lang w:eastAsia="nl-NL"/>
                  </w:rPr>
                  <m:t xml:space="preserve">  </m:t>
                </m:r>
              </m:sub>
            </m:sSub>
          </m:num>
          <m:den>
            <m:sSub>
              <m:sSubPr>
                <m:ctrlPr>
                  <w:rPr>
                    <w:rFonts w:ascii="Cambria Math" w:eastAsia="SymbolMT" w:hAnsi="Cambria Math" w:cstheme="minorHAnsi"/>
                    <w:i/>
                    <w:lang w:eastAsia="nl-NL"/>
                  </w:rPr>
                </m:ctrlPr>
              </m:sSubPr>
              <m:e>
                <m:r>
                  <w:rPr>
                    <w:rFonts w:ascii="Cambria Math" w:eastAsia="SymbolMT" w:hAnsi="Cambria Math" w:cstheme="minorHAnsi"/>
                    <w:lang w:eastAsia="nl-NL"/>
                  </w:rPr>
                  <m:t>Δ</m:t>
                </m:r>
                <m:r>
                  <w:rPr>
                    <w:rFonts w:ascii="Cambria Math" w:eastAsia="SymbolMT" w:cstheme="minorHAnsi"/>
                    <w:lang w:eastAsia="nl-NL"/>
                  </w:rPr>
                  <m:t xml:space="preserve"> </m:t>
                </m:r>
                <m:r>
                  <w:rPr>
                    <w:rFonts w:ascii="Cambria Math" w:eastAsia="SymbolMT" w:hAnsi="Cambria Math" w:cstheme="minorHAnsi"/>
                    <w:lang w:eastAsia="nl-NL"/>
                  </w:rPr>
                  <m:t>PR</m:t>
                </m:r>
                <m:r>
                  <w:rPr>
                    <w:rFonts w:ascii="Cambria Math" w:eastAsia="SymbolMT" w:cstheme="minorHAnsi"/>
                    <w:lang w:eastAsia="nl-NL"/>
                  </w:rPr>
                  <m:t>_</m:t>
                </m:r>
                <m:r>
                  <w:rPr>
                    <w:rFonts w:ascii="Cambria Math" w:eastAsia="SymbolMT" w:hAnsi="Cambria Math" w:cstheme="minorHAnsi"/>
                    <w:lang w:eastAsia="nl-NL"/>
                  </w:rPr>
                  <m:t>FV</m:t>
                </m:r>
                <m:r>
                  <w:rPr>
                    <w:rFonts w:ascii="Cambria Math" w:eastAsia="SymbolMT" w:cstheme="minorHAnsi"/>
                    <w:lang w:eastAsia="nl-NL"/>
                  </w:rPr>
                  <m:t>_</m:t>
                </m:r>
                <m:r>
                  <w:rPr>
                    <w:rFonts w:ascii="Cambria Math" w:eastAsia="SymbolMT" w:hAnsi="Cambria Math" w:cstheme="minorHAnsi"/>
                    <w:lang w:eastAsia="nl-NL"/>
                  </w:rPr>
                  <m:t>STO</m:t>
                </m:r>
              </m:e>
              <m:sub>
                <m:r>
                  <w:rPr>
                    <w:rFonts w:ascii="Cambria Math" w:eastAsia="SymbolMT" w:hAnsi="Cambria Math" w:cstheme="minorHAnsi"/>
                    <w:lang w:eastAsia="nl-NL"/>
                  </w:rPr>
                  <m:t>it</m:t>
                </m:r>
              </m:sub>
            </m:sSub>
          </m:den>
        </m:f>
      </m:oMath>
      <w:r w:rsidR="00D4028C" w:rsidRPr="000B3455">
        <w:rPr>
          <w:rFonts w:eastAsia="SymbolMT" w:cstheme="minorHAnsi"/>
          <w:lang w:eastAsia="nl-NL"/>
        </w:rPr>
        <w:t xml:space="preserve"> or </w:t>
      </w:r>
      <m:oMath>
        <m:f>
          <m:fPr>
            <m:ctrlPr>
              <w:rPr>
                <w:rFonts w:ascii="Cambria Math" w:eastAsia="SymbolMT" w:hAnsi="Cambria Math" w:cstheme="minorHAnsi"/>
                <w:i/>
                <w:lang w:eastAsia="nl-NL"/>
              </w:rPr>
            </m:ctrlPr>
          </m:fPr>
          <m:num>
            <m:sSub>
              <m:sSubPr>
                <m:ctrlPr>
                  <w:rPr>
                    <w:rFonts w:ascii="Cambria Math" w:eastAsia="SymbolMT" w:hAnsi="Cambria Math" w:cstheme="minorHAnsi"/>
                    <w:i/>
                    <w:lang w:eastAsia="nl-NL"/>
                  </w:rPr>
                </m:ctrlPr>
              </m:sSubPr>
              <m:e>
                <m:r>
                  <w:rPr>
                    <w:rFonts w:ascii="Cambria Math" w:cstheme="minorHAnsi"/>
                  </w:rPr>
                  <m:t>↑</m:t>
                </m:r>
                <m:r>
                  <w:rPr>
                    <w:rFonts w:ascii="Cambria Math" w:hAnsi="Cambria Math" w:cstheme="minorHAnsi"/>
                  </w:rPr>
                  <m:t>Δ</m:t>
                </m:r>
                <m:r>
                  <w:rPr>
                    <w:rFonts w:ascii="Cambria Math" w:cstheme="minorHAnsi"/>
                  </w:rPr>
                  <m:t xml:space="preserve"> </m:t>
                </m:r>
                <m:r>
                  <w:rPr>
                    <w:rFonts w:ascii="Cambria Math" w:hAnsi="Cambria Math" w:cstheme="minorHAnsi"/>
                  </w:rPr>
                  <m:t>PR</m:t>
                </m:r>
                <m:r>
                  <w:rPr>
                    <w:rFonts w:ascii="Cambria Math" w:cstheme="minorHAnsi"/>
                  </w:rPr>
                  <m:t>_</m:t>
                </m:r>
                <m:r>
                  <w:rPr>
                    <w:rFonts w:ascii="Cambria Math" w:hAnsi="Cambria Math" w:cstheme="minorHAnsi"/>
                  </w:rPr>
                  <m:t>CSH</m:t>
                </m:r>
                <m:r>
                  <w:rPr>
                    <w:rFonts w:ascii="Cambria Math" w:cstheme="minorHAnsi"/>
                  </w:rPr>
                  <m:t>_</m:t>
                </m:r>
                <m:r>
                  <w:rPr>
                    <w:rFonts w:ascii="Cambria Math" w:hAnsi="Cambria Math" w:cstheme="minorHAnsi"/>
                  </w:rPr>
                  <m:t>BON</m:t>
                </m:r>
              </m:e>
              <m:sub>
                <m:r>
                  <w:rPr>
                    <w:rFonts w:ascii="Cambria Math" w:eastAsia="SymbolMT" w:hAnsi="Cambria Math" w:cstheme="minorHAnsi"/>
                    <w:lang w:eastAsia="nl-NL"/>
                  </w:rPr>
                  <m:t>it</m:t>
                </m:r>
                <m:r>
                  <w:rPr>
                    <w:rFonts w:ascii="Cambria Math" w:eastAsia="SymbolMT" w:cstheme="minorHAnsi"/>
                    <w:lang w:eastAsia="nl-NL"/>
                  </w:rPr>
                  <m:t xml:space="preserve">  </m:t>
                </m:r>
              </m:sub>
            </m:sSub>
          </m:num>
          <m:den>
            <m:sSub>
              <m:sSubPr>
                <m:ctrlPr>
                  <w:rPr>
                    <w:rFonts w:ascii="Cambria Math" w:eastAsia="SymbolMT" w:hAnsi="Cambria Math" w:cstheme="minorHAnsi"/>
                    <w:i/>
                    <w:lang w:eastAsia="nl-NL"/>
                  </w:rPr>
                </m:ctrlPr>
              </m:sSubPr>
              <m:e>
                <m:r>
                  <w:rPr>
                    <w:rFonts w:ascii="Cambria Math" w:eastAsia="SymbolMT" w:hAnsi="Cambria Math" w:cstheme="minorHAnsi"/>
                    <w:lang w:eastAsia="nl-NL"/>
                  </w:rPr>
                  <m:t>Δ</m:t>
                </m:r>
                <m:r>
                  <w:rPr>
                    <w:rFonts w:ascii="Cambria Math" w:eastAsia="SymbolMT" w:cstheme="minorHAnsi"/>
                    <w:lang w:eastAsia="nl-NL"/>
                  </w:rPr>
                  <m:t xml:space="preserve"> </m:t>
                </m:r>
                <m:r>
                  <w:rPr>
                    <w:rFonts w:ascii="Cambria Math" w:eastAsia="SymbolMT" w:hAnsi="Cambria Math" w:cstheme="minorHAnsi"/>
                    <w:lang w:eastAsia="nl-NL"/>
                  </w:rPr>
                  <m:t>PR</m:t>
                </m:r>
                <m:r>
                  <w:rPr>
                    <w:rFonts w:ascii="Cambria Math" w:eastAsia="SymbolMT" w:cstheme="minorHAnsi"/>
                    <w:lang w:eastAsia="nl-NL"/>
                  </w:rPr>
                  <m:t>_</m:t>
                </m:r>
                <m:r>
                  <w:rPr>
                    <w:rFonts w:ascii="Cambria Math" w:eastAsia="SymbolMT" w:hAnsi="Cambria Math" w:cstheme="minorHAnsi"/>
                    <w:lang w:eastAsia="nl-NL"/>
                  </w:rPr>
                  <m:t>FV</m:t>
                </m:r>
                <m:r>
                  <w:rPr>
                    <w:rFonts w:ascii="Cambria Math" w:eastAsia="SymbolMT" w:cstheme="minorHAnsi"/>
                    <w:lang w:eastAsia="nl-NL"/>
                  </w:rPr>
                  <m:t>_</m:t>
                </m:r>
                <m:r>
                  <w:rPr>
                    <w:rFonts w:ascii="Cambria Math" w:eastAsia="SymbolMT" w:hAnsi="Cambria Math" w:cstheme="minorHAnsi"/>
                    <w:lang w:eastAsia="nl-NL"/>
                  </w:rPr>
                  <m:t>STO</m:t>
                </m:r>
              </m:e>
              <m:sub>
                <m:r>
                  <w:rPr>
                    <w:rFonts w:ascii="Cambria Math" w:eastAsia="SymbolMT" w:hAnsi="Cambria Math" w:cstheme="minorHAnsi"/>
                    <w:lang w:eastAsia="nl-NL"/>
                  </w:rPr>
                  <m:t>it</m:t>
                </m:r>
              </m:sub>
            </m:sSub>
          </m:den>
        </m:f>
      </m:oMath>
      <w:r w:rsidRPr="000B3455">
        <w:rPr>
          <w:rFonts w:eastAsia="SymbolMT" w:cstheme="minorHAnsi"/>
          <w:lang w:eastAsia="nl-NL"/>
        </w:rPr>
        <w:t xml:space="preserve"> or</w:t>
      </w:r>
      <w:r w:rsidR="00D4028C" w:rsidRPr="000B3455">
        <w:rPr>
          <w:rFonts w:eastAsia="SymbolMT" w:cstheme="minorHAnsi"/>
          <w:lang w:eastAsia="nl-NL"/>
        </w:rPr>
        <w:t xml:space="preserve"> </w:t>
      </w:r>
      <m:oMath>
        <m:f>
          <m:fPr>
            <m:ctrlPr>
              <w:rPr>
                <w:rFonts w:ascii="Cambria Math" w:eastAsia="SymbolMT" w:hAnsi="Cambria Math" w:cstheme="minorHAnsi"/>
                <w:i/>
                <w:lang w:eastAsia="nl-NL"/>
              </w:rPr>
            </m:ctrlPr>
          </m:fPr>
          <m:num>
            <m:sSub>
              <m:sSubPr>
                <m:ctrlPr>
                  <w:rPr>
                    <w:rFonts w:ascii="Cambria Math" w:eastAsia="SymbolMT" w:hAnsi="Cambria Math" w:cstheme="minorHAnsi"/>
                    <w:i/>
                    <w:lang w:eastAsia="nl-NL"/>
                  </w:rPr>
                </m:ctrlPr>
              </m:sSubPr>
              <m:e>
                <m:r>
                  <w:rPr>
                    <w:rFonts w:ascii="Cambria Math" w:hAnsi="Cambria Math" w:cstheme="minorHAnsi"/>
                  </w:rPr>
                  <m:t>Δ</m:t>
                </m:r>
                <m:r>
                  <w:rPr>
                    <w:rFonts w:ascii="Cambria Math" w:cstheme="minorHAnsi"/>
                  </w:rPr>
                  <m:t xml:space="preserve"> </m:t>
                </m:r>
                <m:r>
                  <w:rPr>
                    <w:rFonts w:ascii="Cambria Math" w:hAnsi="Cambria Math" w:cstheme="minorHAnsi"/>
                  </w:rPr>
                  <m:t>PR</m:t>
                </m:r>
                <m:r>
                  <w:rPr>
                    <w:rFonts w:ascii="Cambria Math" w:cstheme="minorHAnsi"/>
                  </w:rPr>
                  <m:t>_</m:t>
                </m:r>
                <m:r>
                  <w:rPr>
                    <w:rFonts w:ascii="Cambria Math" w:hAnsi="Cambria Math" w:cstheme="minorHAnsi"/>
                  </w:rPr>
                  <m:t>FIX</m:t>
                </m:r>
                <m:r>
                  <w:rPr>
                    <w:rFonts w:ascii="Cambria Math" w:cstheme="minorHAnsi"/>
                  </w:rPr>
                  <m:t>_</m:t>
                </m:r>
                <m:r>
                  <w:rPr>
                    <w:rFonts w:ascii="Cambria Math" w:hAnsi="Cambria Math" w:cstheme="minorHAnsi"/>
                  </w:rPr>
                  <m:t>SAL</m:t>
                </m:r>
              </m:e>
              <m:sub>
                <m:r>
                  <w:rPr>
                    <w:rFonts w:ascii="Cambria Math" w:eastAsia="SymbolMT" w:hAnsi="Cambria Math" w:cstheme="minorHAnsi"/>
                    <w:lang w:eastAsia="nl-NL"/>
                  </w:rPr>
                  <m:t>it</m:t>
                </m:r>
                <m:r>
                  <w:rPr>
                    <w:rFonts w:ascii="Cambria Math" w:eastAsia="SymbolMT" w:cstheme="minorHAnsi"/>
                    <w:lang w:eastAsia="nl-NL"/>
                  </w:rPr>
                  <m:t xml:space="preserve">  </m:t>
                </m:r>
              </m:sub>
            </m:sSub>
          </m:num>
          <m:den>
            <m:r>
              <w:rPr>
                <w:rFonts w:ascii="Cambria Math" w:eastAsia="SymbolMT" w:cstheme="minorHAnsi"/>
                <w:lang w:eastAsia="nl-NL"/>
              </w:rPr>
              <m:t>↓</m:t>
            </m:r>
            <m:sSub>
              <m:sSubPr>
                <m:ctrlPr>
                  <w:rPr>
                    <w:rFonts w:ascii="Cambria Math" w:eastAsia="SymbolMT" w:hAnsi="Cambria Math" w:cstheme="minorHAnsi"/>
                    <w:i/>
                    <w:lang w:eastAsia="nl-NL"/>
                  </w:rPr>
                </m:ctrlPr>
              </m:sSubPr>
              <m:e>
                <m:r>
                  <w:rPr>
                    <w:rFonts w:ascii="Cambria Math" w:eastAsia="SymbolMT" w:hAnsi="Cambria Math" w:cstheme="minorHAnsi"/>
                    <w:lang w:eastAsia="nl-NL"/>
                  </w:rPr>
                  <m:t>Δ</m:t>
                </m:r>
                <m:r>
                  <w:rPr>
                    <w:rFonts w:ascii="Cambria Math" w:eastAsia="SymbolMT" w:cstheme="minorHAnsi"/>
                    <w:lang w:eastAsia="nl-NL"/>
                  </w:rPr>
                  <m:t xml:space="preserve"> </m:t>
                </m:r>
                <m:r>
                  <w:rPr>
                    <w:rFonts w:ascii="Cambria Math" w:eastAsia="SymbolMT" w:hAnsi="Cambria Math" w:cstheme="minorHAnsi"/>
                    <w:lang w:eastAsia="nl-NL"/>
                  </w:rPr>
                  <m:t>PR</m:t>
                </m:r>
                <m:r>
                  <w:rPr>
                    <w:rFonts w:ascii="Cambria Math" w:eastAsia="SymbolMT" w:cstheme="minorHAnsi"/>
                    <w:lang w:eastAsia="nl-NL"/>
                  </w:rPr>
                  <m:t>_</m:t>
                </m:r>
                <m:r>
                  <w:rPr>
                    <w:rFonts w:ascii="Cambria Math" w:eastAsia="SymbolMT" w:hAnsi="Cambria Math" w:cstheme="minorHAnsi"/>
                    <w:lang w:eastAsia="nl-NL"/>
                  </w:rPr>
                  <m:t>FV</m:t>
                </m:r>
                <m:r>
                  <w:rPr>
                    <w:rFonts w:ascii="Cambria Math" w:eastAsia="SymbolMT" w:cstheme="minorHAnsi"/>
                    <w:lang w:eastAsia="nl-NL"/>
                  </w:rPr>
                  <m:t>_</m:t>
                </m:r>
                <m:r>
                  <w:rPr>
                    <w:rFonts w:ascii="Cambria Math" w:eastAsia="SymbolMT" w:hAnsi="Cambria Math" w:cstheme="minorHAnsi"/>
                    <w:lang w:eastAsia="nl-NL"/>
                  </w:rPr>
                  <m:t>STO</m:t>
                </m:r>
              </m:e>
              <m:sub>
                <m:r>
                  <w:rPr>
                    <w:rFonts w:ascii="Cambria Math" w:eastAsia="SymbolMT" w:hAnsi="Cambria Math" w:cstheme="minorHAnsi"/>
                    <w:lang w:eastAsia="nl-NL"/>
                  </w:rPr>
                  <m:t>it</m:t>
                </m:r>
              </m:sub>
            </m:sSub>
          </m:den>
        </m:f>
      </m:oMath>
      <w:r w:rsidR="00D4028C" w:rsidRPr="000B3455">
        <w:rPr>
          <w:rFonts w:eastAsia="SymbolMT" w:cstheme="minorHAnsi"/>
          <w:lang w:eastAsia="nl-NL"/>
        </w:rPr>
        <w:t xml:space="preserve"> or </w:t>
      </w:r>
      <m:oMath>
        <m:f>
          <m:fPr>
            <m:ctrlPr>
              <w:rPr>
                <w:rFonts w:ascii="Cambria Math" w:eastAsia="SymbolMT" w:hAnsi="Cambria Math" w:cstheme="minorHAnsi"/>
                <w:i/>
                <w:lang w:eastAsia="nl-NL"/>
              </w:rPr>
            </m:ctrlPr>
          </m:fPr>
          <m:num>
            <m:sSub>
              <m:sSubPr>
                <m:ctrlPr>
                  <w:rPr>
                    <w:rFonts w:ascii="Cambria Math" w:eastAsia="SymbolMT" w:hAnsi="Cambria Math" w:cstheme="minorHAnsi"/>
                    <w:i/>
                    <w:lang w:eastAsia="nl-NL"/>
                  </w:rPr>
                </m:ctrlPr>
              </m:sSubPr>
              <m:e>
                <m:r>
                  <w:rPr>
                    <w:rFonts w:ascii="Cambria Math" w:hAnsi="Cambria Math" w:cstheme="minorHAnsi"/>
                  </w:rPr>
                  <m:t>Δ</m:t>
                </m:r>
                <m:r>
                  <w:rPr>
                    <w:rFonts w:ascii="Cambria Math" w:cstheme="minorHAnsi"/>
                  </w:rPr>
                  <m:t xml:space="preserve"> </m:t>
                </m:r>
                <m:r>
                  <w:rPr>
                    <w:rFonts w:ascii="Cambria Math" w:hAnsi="Cambria Math" w:cstheme="minorHAnsi"/>
                  </w:rPr>
                  <m:t>PR</m:t>
                </m:r>
                <m:r>
                  <w:rPr>
                    <w:rFonts w:ascii="Cambria Math" w:cstheme="minorHAnsi"/>
                  </w:rPr>
                  <m:t>_</m:t>
                </m:r>
                <m:r>
                  <w:rPr>
                    <w:rFonts w:ascii="Cambria Math" w:hAnsi="Cambria Math" w:cstheme="minorHAnsi"/>
                  </w:rPr>
                  <m:t>CSH</m:t>
                </m:r>
                <m:r>
                  <w:rPr>
                    <w:rFonts w:ascii="Cambria Math" w:cstheme="minorHAnsi"/>
                  </w:rPr>
                  <m:t>_</m:t>
                </m:r>
                <m:r>
                  <w:rPr>
                    <w:rFonts w:ascii="Cambria Math" w:hAnsi="Cambria Math" w:cstheme="minorHAnsi"/>
                  </w:rPr>
                  <m:t>BON</m:t>
                </m:r>
              </m:e>
              <m:sub>
                <m:r>
                  <w:rPr>
                    <w:rFonts w:ascii="Cambria Math" w:eastAsia="SymbolMT" w:hAnsi="Cambria Math" w:cstheme="minorHAnsi"/>
                    <w:lang w:eastAsia="nl-NL"/>
                  </w:rPr>
                  <m:t>it</m:t>
                </m:r>
                <m:r>
                  <w:rPr>
                    <w:rFonts w:ascii="Cambria Math" w:eastAsia="SymbolMT" w:cstheme="minorHAnsi"/>
                    <w:lang w:eastAsia="nl-NL"/>
                  </w:rPr>
                  <m:t xml:space="preserve">  </m:t>
                </m:r>
              </m:sub>
            </m:sSub>
          </m:num>
          <m:den>
            <m:sSub>
              <m:sSubPr>
                <m:ctrlPr>
                  <w:rPr>
                    <w:rFonts w:ascii="Cambria Math" w:eastAsia="SymbolMT" w:hAnsi="Cambria Math" w:cstheme="minorHAnsi"/>
                    <w:i/>
                    <w:lang w:eastAsia="nl-NL"/>
                  </w:rPr>
                </m:ctrlPr>
              </m:sSubPr>
              <m:e>
                <m:r>
                  <w:rPr>
                    <w:rFonts w:ascii="Cambria Math" w:eastAsia="SymbolMT" w:cstheme="minorHAnsi"/>
                    <w:lang w:eastAsia="nl-NL"/>
                  </w:rPr>
                  <m:t>↓</m:t>
                </m:r>
                <m:r>
                  <w:rPr>
                    <w:rFonts w:ascii="Cambria Math" w:eastAsia="SymbolMT" w:hAnsi="Cambria Math" w:cstheme="minorHAnsi"/>
                    <w:lang w:eastAsia="nl-NL"/>
                  </w:rPr>
                  <m:t>Δ</m:t>
                </m:r>
                <m:r>
                  <w:rPr>
                    <w:rFonts w:ascii="Cambria Math" w:eastAsia="SymbolMT" w:cstheme="minorHAnsi"/>
                    <w:lang w:eastAsia="nl-NL"/>
                  </w:rPr>
                  <m:t xml:space="preserve"> </m:t>
                </m:r>
                <m:r>
                  <w:rPr>
                    <w:rFonts w:ascii="Cambria Math" w:eastAsia="SymbolMT" w:hAnsi="Cambria Math" w:cstheme="minorHAnsi"/>
                    <w:lang w:eastAsia="nl-NL"/>
                  </w:rPr>
                  <m:t>PR</m:t>
                </m:r>
                <m:r>
                  <w:rPr>
                    <w:rFonts w:ascii="Cambria Math" w:eastAsia="SymbolMT" w:cstheme="minorHAnsi"/>
                    <w:lang w:eastAsia="nl-NL"/>
                  </w:rPr>
                  <m:t>_</m:t>
                </m:r>
                <m:r>
                  <w:rPr>
                    <w:rFonts w:ascii="Cambria Math" w:eastAsia="SymbolMT" w:hAnsi="Cambria Math" w:cstheme="minorHAnsi"/>
                    <w:lang w:eastAsia="nl-NL"/>
                  </w:rPr>
                  <m:t>FV</m:t>
                </m:r>
                <m:r>
                  <w:rPr>
                    <w:rFonts w:ascii="Cambria Math" w:eastAsia="SymbolMT" w:cstheme="minorHAnsi"/>
                    <w:lang w:eastAsia="nl-NL"/>
                  </w:rPr>
                  <m:t>_</m:t>
                </m:r>
                <m:r>
                  <w:rPr>
                    <w:rFonts w:ascii="Cambria Math" w:eastAsia="SymbolMT" w:hAnsi="Cambria Math" w:cstheme="minorHAnsi"/>
                    <w:lang w:eastAsia="nl-NL"/>
                  </w:rPr>
                  <m:t>STO</m:t>
                </m:r>
              </m:e>
              <m:sub>
                <m:r>
                  <w:rPr>
                    <w:rFonts w:ascii="Cambria Math" w:eastAsia="SymbolMT" w:hAnsi="Cambria Math" w:cstheme="minorHAnsi"/>
                    <w:lang w:eastAsia="nl-NL"/>
                  </w:rPr>
                  <m:t>it</m:t>
                </m:r>
              </m:sub>
            </m:sSub>
          </m:den>
        </m:f>
      </m:oMath>
    </w:p>
    <w:p w:rsidR="001D5F43" w:rsidRPr="000B3455" w:rsidRDefault="00D4028C" w:rsidP="0088553E">
      <w:pPr>
        <w:spacing w:line="360" w:lineRule="auto"/>
        <w:jc w:val="both"/>
      </w:pPr>
      <w:r w:rsidRPr="000B3455">
        <w:rPr>
          <w:rFonts w:eastAsia="SymbolMT" w:cstheme="minorHAnsi"/>
          <w:lang w:eastAsia="nl-NL"/>
        </w:rPr>
        <w:t xml:space="preserve">Accordingly, when the change in </w:t>
      </w:r>
      <w:r w:rsidR="007A1D36" w:rsidRPr="000B3455">
        <w:rPr>
          <w:rFonts w:eastAsia="SymbolMT" w:cstheme="minorHAnsi"/>
          <w:lang w:eastAsia="nl-NL"/>
        </w:rPr>
        <w:t xml:space="preserve">the proportion in </w:t>
      </w:r>
      <w:r w:rsidRPr="000B3455">
        <w:rPr>
          <w:rFonts w:eastAsia="SymbolMT" w:cstheme="minorHAnsi"/>
          <w:lang w:eastAsia="nl-NL"/>
        </w:rPr>
        <w:t>eith</w:t>
      </w:r>
      <w:r w:rsidR="007A1D36" w:rsidRPr="000B3455">
        <w:rPr>
          <w:rFonts w:eastAsia="SymbolMT" w:cstheme="minorHAnsi"/>
          <w:lang w:eastAsia="nl-NL"/>
        </w:rPr>
        <w:t xml:space="preserve">er fixed salary or cash bonus is increasing the substitution effect is also increasing, and when the change in the proportion of stock options is decreasing the substitution effect becomes larger. </w:t>
      </w:r>
      <w:r w:rsidR="00F30B6B" w:rsidRPr="000B3455">
        <w:rPr>
          <w:rFonts w:eastAsia="SymbolMT" w:cstheme="minorHAnsi"/>
          <w:lang w:eastAsia="nl-NL"/>
        </w:rPr>
        <w:t xml:space="preserve">When </w:t>
      </w:r>
      <w:r w:rsidR="00C82E29" w:rsidRPr="000B3455">
        <w:rPr>
          <w:rFonts w:eastAsia="SymbolMT" w:cstheme="minorHAnsi"/>
          <w:i/>
          <w:lang w:eastAsia="nl-NL"/>
        </w:rPr>
        <w:t>α</w:t>
      </w:r>
      <w:r w:rsidR="00C82E29" w:rsidRPr="000B3455">
        <w:rPr>
          <w:i/>
          <w:vertAlign w:val="subscript"/>
        </w:rPr>
        <w:t>3</w:t>
      </w:r>
      <w:r w:rsidR="004F0491" w:rsidRPr="000B3455">
        <w:rPr>
          <w:rFonts w:eastAsia="SymbolMT" w:cstheme="minorHAnsi"/>
          <w:lang w:eastAsia="nl-NL"/>
        </w:rPr>
        <w:t xml:space="preserve"> </w:t>
      </w:r>
      <w:r w:rsidR="00F30B6B" w:rsidRPr="000B3455">
        <w:rPr>
          <w:rFonts w:eastAsia="SymbolMT" w:cstheme="minorHAnsi"/>
          <w:lang w:eastAsia="nl-NL"/>
        </w:rPr>
        <w:t xml:space="preserve">is significantly </w:t>
      </w:r>
      <w:r w:rsidR="00CC1F65" w:rsidRPr="000B3455">
        <w:rPr>
          <w:rFonts w:eastAsia="SymbolMT" w:cstheme="minorHAnsi"/>
          <w:lang w:eastAsia="nl-NL"/>
        </w:rPr>
        <w:t>and</w:t>
      </w:r>
      <w:r w:rsidR="00F30B6B" w:rsidRPr="000B3455">
        <w:rPr>
          <w:rFonts w:eastAsia="SymbolMT" w:cstheme="minorHAnsi"/>
          <w:lang w:eastAsia="nl-NL"/>
        </w:rPr>
        <w:t xml:space="preserve"> </w:t>
      </w:r>
      <w:r w:rsidR="00F30B6B" w:rsidRPr="000B3455">
        <w:rPr>
          <w:rFonts w:eastAsia="SymbolMT" w:cstheme="minorHAnsi"/>
          <w:i/>
          <w:lang w:eastAsia="nl-NL"/>
        </w:rPr>
        <w:t>α</w:t>
      </w:r>
      <w:r w:rsidR="00F30B6B" w:rsidRPr="000B3455">
        <w:rPr>
          <w:i/>
          <w:vertAlign w:val="subscript"/>
        </w:rPr>
        <w:t>2</w:t>
      </w:r>
      <w:r w:rsidR="00CC1F65" w:rsidRPr="000B3455">
        <w:t xml:space="preserve"> is not,</w:t>
      </w:r>
      <w:r w:rsidR="00F30B6B" w:rsidRPr="000B3455">
        <w:rPr>
          <w:color w:val="FF0000"/>
        </w:rPr>
        <w:t xml:space="preserve"> </w:t>
      </w:r>
      <w:r w:rsidR="00F30B6B" w:rsidRPr="000B3455">
        <w:t>it indicates that the substitution from stock options towards other forms of compensation has been accelerated by the introduction of IFRS 2.</w:t>
      </w:r>
      <w:r w:rsidR="00647611" w:rsidRPr="000B3455">
        <w:t xml:space="preserve"> When </w:t>
      </w:r>
      <w:r w:rsidR="00647611" w:rsidRPr="000B3455">
        <w:rPr>
          <w:rFonts w:eastAsia="SymbolMT" w:cstheme="minorHAnsi"/>
          <w:i/>
          <w:lang w:eastAsia="nl-NL"/>
        </w:rPr>
        <w:t>α</w:t>
      </w:r>
      <w:r w:rsidR="00C82E29" w:rsidRPr="000B3455">
        <w:rPr>
          <w:rFonts w:eastAsia="SymbolMT" w:cstheme="minorHAnsi"/>
          <w:i/>
          <w:vertAlign w:val="subscript"/>
          <w:lang w:eastAsia="nl-NL"/>
        </w:rPr>
        <w:t>3</w:t>
      </w:r>
      <w:r w:rsidR="00647611" w:rsidRPr="000B3455">
        <w:rPr>
          <w:rFonts w:eastAsia="SymbolMT" w:cstheme="minorHAnsi"/>
          <w:i/>
          <w:vertAlign w:val="subscript"/>
          <w:lang w:eastAsia="nl-NL"/>
        </w:rPr>
        <w:t xml:space="preserve"> </w:t>
      </w:r>
      <w:r w:rsidR="00CC1F65" w:rsidRPr="000B3455">
        <w:t>is significant</w:t>
      </w:r>
      <w:r w:rsidR="00647611" w:rsidRPr="000B3455">
        <w:t xml:space="preserve"> </w:t>
      </w:r>
      <w:r w:rsidR="00CC1F65" w:rsidRPr="000B3455">
        <w:t>and</w:t>
      </w:r>
      <w:r w:rsidR="00647611" w:rsidRPr="000B3455">
        <w:t xml:space="preserve"> </w:t>
      </w:r>
      <w:r w:rsidR="00647611" w:rsidRPr="000B3455">
        <w:rPr>
          <w:rFonts w:eastAsia="SymbolMT" w:cstheme="minorHAnsi"/>
          <w:i/>
          <w:lang w:eastAsia="nl-NL"/>
        </w:rPr>
        <w:t>α</w:t>
      </w:r>
      <w:r w:rsidR="00C82E29" w:rsidRPr="000B3455">
        <w:rPr>
          <w:rFonts w:eastAsia="SymbolMT" w:cstheme="minorHAnsi"/>
          <w:i/>
          <w:vertAlign w:val="subscript"/>
          <w:lang w:eastAsia="nl-NL"/>
        </w:rPr>
        <w:t>4</w:t>
      </w:r>
      <w:r w:rsidR="00CC1F65" w:rsidRPr="000B3455">
        <w:rPr>
          <w:rFonts w:eastAsia="SymbolMT" w:cstheme="minorHAnsi"/>
          <w:lang w:eastAsia="nl-NL"/>
        </w:rPr>
        <w:t>,</w:t>
      </w:r>
      <w:r w:rsidR="00647611" w:rsidRPr="000B3455">
        <w:rPr>
          <w:rFonts w:eastAsia="SymbolMT" w:cstheme="minorHAnsi"/>
          <w:i/>
          <w:lang w:eastAsia="nl-NL"/>
        </w:rPr>
        <w:t xml:space="preserve"> and α</w:t>
      </w:r>
      <w:r w:rsidR="00C82E29" w:rsidRPr="000B3455">
        <w:rPr>
          <w:rFonts w:eastAsia="SymbolMT" w:cstheme="minorHAnsi"/>
          <w:i/>
          <w:vertAlign w:val="subscript"/>
          <w:lang w:eastAsia="nl-NL"/>
        </w:rPr>
        <w:t>5</w:t>
      </w:r>
      <w:r w:rsidR="00F30B6B" w:rsidRPr="000B3455">
        <w:t xml:space="preserve"> </w:t>
      </w:r>
      <w:r w:rsidR="00CC1F65" w:rsidRPr="000B3455">
        <w:t xml:space="preserve">are not, </w:t>
      </w:r>
      <w:r w:rsidR="00647611" w:rsidRPr="000B3455">
        <w:t xml:space="preserve">it indicates that the introduction IFRS 2 has caused a shock-effect in 2005, </w:t>
      </w:r>
      <w:r w:rsidR="00B7670E" w:rsidRPr="000B3455">
        <w:t>implying a big change in the composition of remuneration. Whe</w:t>
      </w:r>
      <w:r w:rsidR="00CC1F65" w:rsidRPr="000B3455">
        <w:t>n all alphas are insignificant</w:t>
      </w:r>
      <w:r w:rsidR="00B7670E" w:rsidRPr="000B3455">
        <w:t>, it might indicate that the introduction of IFRS 2 had no effect and that other factors played a role.</w:t>
      </w:r>
      <w:r w:rsidR="00F30B6B" w:rsidRPr="000B3455">
        <w:rPr>
          <w:color w:val="FF0000"/>
        </w:rPr>
        <w:t xml:space="preserve"> </w:t>
      </w:r>
      <w:r w:rsidR="001D5F43" w:rsidRPr="000B3455">
        <w:t>I expect that the market to book ratio (</w:t>
      </w:r>
      <w:r w:rsidR="001D5F43" w:rsidRPr="000B3455">
        <w:rPr>
          <w:i/>
        </w:rPr>
        <w:t>MTB</w:t>
      </w:r>
      <w:r w:rsidR="001D5F43" w:rsidRPr="000B3455">
        <w:rPr>
          <w:i/>
          <w:vertAlign w:val="subscript"/>
        </w:rPr>
        <w:t>it</w:t>
      </w:r>
      <w:r w:rsidR="008D2248" w:rsidRPr="000B3455">
        <w:t>) and</w:t>
      </w:r>
      <w:r w:rsidR="001D5F43" w:rsidRPr="000B3455">
        <w:t xml:space="preserve"> the </w:t>
      </w:r>
      <w:r w:rsidR="008D2248" w:rsidRPr="000B3455">
        <w:t>share price volatility</w:t>
      </w:r>
      <w:r w:rsidR="001D5F43" w:rsidRPr="000B3455">
        <w:t xml:space="preserve"> (</w:t>
      </w:r>
      <w:r w:rsidR="008D2248" w:rsidRPr="000B3455">
        <w:rPr>
          <w:i/>
        </w:rPr>
        <w:t>VOL</w:t>
      </w:r>
      <w:r w:rsidR="008D2248" w:rsidRPr="000B3455">
        <w:rPr>
          <w:i/>
          <w:vertAlign w:val="subscript"/>
        </w:rPr>
        <w:t>it</w:t>
      </w:r>
      <w:r w:rsidR="008D2248" w:rsidRPr="000B3455">
        <w:t xml:space="preserve">) are </w:t>
      </w:r>
      <w:r w:rsidR="00325181" w:rsidRPr="000B3455">
        <w:t>positively</w:t>
      </w:r>
      <w:r w:rsidR="008D2248" w:rsidRPr="000B3455">
        <w:t xml:space="preserve"> related to </w:t>
      </w:r>
      <w:r w:rsidR="00E04288" w:rsidRPr="000B3455">
        <w:t>cash bonuses, but not to fixed salary proportion. B</w:t>
      </w:r>
      <w:r w:rsidR="008D2248" w:rsidRPr="000B3455">
        <w:t xml:space="preserve">ecause empirical evidence suggests that share-based compensation are more prevalent and efficient in firms with growth </w:t>
      </w:r>
      <w:r w:rsidR="008D2248" w:rsidRPr="000B3455">
        <w:lastRenderedPageBreak/>
        <w:t xml:space="preserve">opportunities (Chalmers et al. (2006, </w:t>
      </w:r>
      <w:r w:rsidR="00EB350F" w:rsidRPr="000B3455">
        <w:t>p</w:t>
      </w:r>
      <w:r w:rsidR="00C523A8" w:rsidRPr="000B3455">
        <w:t>p</w:t>
      </w:r>
      <w:r w:rsidR="00EB350F" w:rsidRPr="000B3455">
        <w:t xml:space="preserve">. </w:t>
      </w:r>
      <w:r w:rsidR="008D2248" w:rsidRPr="000B3455">
        <w:t>268-269), as well as</w:t>
      </w:r>
      <w:r w:rsidR="004D087E" w:rsidRPr="000B3455">
        <w:t xml:space="preserve"> for</w:t>
      </w:r>
      <w:r w:rsidR="008D2248" w:rsidRPr="000B3455">
        <w:t xml:space="preserve"> highly volatile firms (Chalmers et al.</w:t>
      </w:r>
      <w:r w:rsidR="00C523A8" w:rsidRPr="000B3455">
        <w:t>,</w:t>
      </w:r>
      <w:r w:rsidR="008D2248" w:rsidRPr="000B3455">
        <w:t xml:space="preserve"> 2006, </w:t>
      </w:r>
      <w:r w:rsidR="00EB350F" w:rsidRPr="000B3455">
        <w:t>p</w:t>
      </w:r>
      <w:r w:rsidR="00C523A8" w:rsidRPr="000B3455">
        <w:t>p</w:t>
      </w:r>
      <w:r w:rsidR="00EB350F" w:rsidRPr="000B3455">
        <w:t xml:space="preserve">. </w:t>
      </w:r>
      <w:r w:rsidR="008D2248" w:rsidRPr="000B3455">
        <w:t>268-269; Feng and Tian</w:t>
      </w:r>
      <w:r w:rsidR="00C523A8" w:rsidRPr="000B3455">
        <w:t>,</w:t>
      </w:r>
      <w:r w:rsidR="008D2248" w:rsidRPr="000B3455">
        <w:t xml:space="preserve"> 2007, </w:t>
      </w:r>
      <w:r w:rsidR="00EB350F" w:rsidRPr="000B3455">
        <w:t xml:space="preserve">p. </w:t>
      </w:r>
      <w:r w:rsidR="008D2248" w:rsidRPr="000B3455">
        <w:t>40; Choudhary</w:t>
      </w:r>
      <w:r w:rsidR="00C523A8" w:rsidRPr="000B3455">
        <w:t>,</w:t>
      </w:r>
      <w:r w:rsidR="008D2248" w:rsidRPr="000B3455">
        <w:t xml:space="preserve"> 2008, </w:t>
      </w:r>
      <w:r w:rsidR="00EB350F" w:rsidRPr="000B3455">
        <w:t xml:space="preserve">p. </w:t>
      </w:r>
      <w:r w:rsidR="008D2248" w:rsidRPr="000B3455">
        <w:t>43; Murphy</w:t>
      </w:r>
      <w:r w:rsidR="00C523A8" w:rsidRPr="000B3455">
        <w:t>,</w:t>
      </w:r>
      <w:r w:rsidR="008D2248" w:rsidRPr="000B3455">
        <w:t xml:space="preserve"> 199</w:t>
      </w:r>
      <w:r w:rsidR="007A0CBE" w:rsidRPr="000B3455">
        <w:t>8</w:t>
      </w:r>
      <w:r w:rsidR="008D2248" w:rsidRPr="000B3455">
        <w:t xml:space="preserve">, </w:t>
      </w:r>
      <w:r w:rsidR="00EB350F" w:rsidRPr="000B3455">
        <w:t xml:space="preserve">p. </w:t>
      </w:r>
      <w:r w:rsidR="008D2248" w:rsidRPr="000B3455">
        <w:t>17)</w:t>
      </w:r>
      <w:r w:rsidR="00E04288" w:rsidRPr="000B3455">
        <w:t>, it can be expected that a decrease in proportion of stock options is made up by other forms of performance-related pay (e.g. cash bonus), and not by fixed salary</w:t>
      </w:r>
      <w:r w:rsidR="00CC1F65" w:rsidRPr="000B3455">
        <w:t xml:space="preserve">. </w:t>
      </w:r>
      <w:r w:rsidR="00E04288" w:rsidRPr="000B3455">
        <w:t xml:space="preserve">The effect on the change in proportion of fixed salary is expected to be negative, implying </w:t>
      </w:r>
      <w:r w:rsidR="00AA1C90" w:rsidRPr="000B3455">
        <w:t xml:space="preserve">a weaker substitution effect. </w:t>
      </w:r>
      <w:r w:rsidR="00CC1F65" w:rsidRPr="000B3455">
        <w:t>F</w:t>
      </w:r>
      <w:r w:rsidR="004D087E" w:rsidRPr="000B3455">
        <w:t>irms with l</w:t>
      </w:r>
      <w:r w:rsidR="001D5F43" w:rsidRPr="000B3455">
        <w:t>iquidity constraints (</w:t>
      </w:r>
      <w:r w:rsidR="001D5F43" w:rsidRPr="000B3455">
        <w:rPr>
          <w:i/>
        </w:rPr>
        <w:t>LIQ_CON</w:t>
      </w:r>
      <w:r w:rsidR="001D5F43" w:rsidRPr="000B3455">
        <w:rPr>
          <w:i/>
          <w:vertAlign w:val="subscript"/>
        </w:rPr>
        <w:t>it</w:t>
      </w:r>
      <w:r w:rsidR="001D5F43" w:rsidRPr="000B3455">
        <w:t>)</w:t>
      </w:r>
      <w:r w:rsidR="00CC1F65" w:rsidRPr="000B3455">
        <w:t xml:space="preserve"> tend to use share-based compensation in lieu of cash, because it does not require a cash outflow. </w:t>
      </w:r>
      <w:r w:rsidR="004D087E" w:rsidRPr="000B3455">
        <w:t>(Yermack</w:t>
      </w:r>
      <w:r w:rsidR="00C523A8" w:rsidRPr="000B3455">
        <w:t>,</w:t>
      </w:r>
      <w:r w:rsidR="004D087E" w:rsidRPr="000B3455">
        <w:t xml:space="preserve"> 1995, </w:t>
      </w:r>
      <w:r w:rsidR="00EB350F" w:rsidRPr="000B3455">
        <w:t xml:space="preserve">p. </w:t>
      </w:r>
      <w:r w:rsidR="004D087E" w:rsidRPr="000B3455">
        <w:t>24-25; Feng and Tian</w:t>
      </w:r>
      <w:r w:rsidR="00C523A8" w:rsidRPr="000B3455">
        <w:t>,</w:t>
      </w:r>
      <w:r w:rsidR="004D087E" w:rsidRPr="000B3455">
        <w:t xml:space="preserve"> 2007, </w:t>
      </w:r>
      <w:r w:rsidR="00EB350F" w:rsidRPr="000B3455">
        <w:t xml:space="preserve">p. </w:t>
      </w:r>
      <w:r w:rsidR="004D087E" w:rsidRPr="000B3455">
        <w:t>41; Kadan and Swinkels</w:t>
      </w:r>
      <w:r w:rsidR="00C523A8" w:rsidRPr="000B3455">
        <w:t>,</w:t>
      </w:r>
      <w:r w:rsidR="004D087E" w:rsidRPr="000B3455">
        <w:t xml:space="preserve"> 2008; Core and Guay</w:t>
      </w:r>
      <w:r w:rsidR="00C523A8" w:rsidRPr="000B3455">
        <w:t>,</w:t>
      </w:r>
      <w:r w:rsidR="004D087E" w:rsidRPr="000B3455">
        <w:t xml:space="preserve"> 2001).</w:t>
      </w:r>
      <w:r w:rsidR="001D5F43" w:rsidRPr="000B3455">
        <w:t xml:space="preserve"> </w:t>
      </w:r>
      <w:r w:rsidR="00CC1F65" w:rsidRPr="000B3455">
        <w:t xml:space="preserve">It can be expected that this high liquidity constraint firms do not have additional cash for additional fixed salary or cash bonuses. Therefore, the liquidity constraints-variable is expected to have a negative effect on </w:t>
      </w:r>
      <w:r w:rsidR="00645F0C" w:rsidRPr="000B3455">
        <w:t xml:space="preserve">the change in proportion of both fixed salary and cash bonuses. </w:t>
      </w:r>
      <w:r w:rsidR="00E63170" w:rsidRPr="000B3455">
        <w:t>A high proportion of cash bonus payments are considered to be dependent on a good market performance, measured by stock returns (</w:t>
      </w:r>
      <w:r w:rsidR="00E63170" w:rsidRPr="000B3455">
        <w:rPr>
          <w:i/>
        </w:rPr>
        <w:t>RET</w:t>
      </w:r>
      <w:r w:rsidR="00E63170" w:rsidRPr="000B3455">
        <w:rPr>
          <w:i/>
          <w:vertAlign w:val="subscript"/>
        </w:rPr>
        <w:t>it</w:t>
      </w:r>
      <w:r w:rsidR="00E63170" w:rsidRPr="000B3455">
        <w:t xml:space="preserve">). It is, therefore, expected that high share returns have a positive effect on the change in the proportion of cash bonus, but not on the change of fixed salary. </w:t>
      </w:r>
      <w:r w:rsidR="001D5F43" w:rsidRPr="000B3455">
        <w:t>The natural logarithm of assets (</w:t>
      </w:r>
      <w:r w:rsidR="001D5F43" w:rsidRPr="000B3455">
        <w:rPr>
          <w:i/>
        </w:rPr>
        <w:t>LN_ASSET</w:t>
      </w:r>
      <w:r w:rsidR="001D5F43" w:rsidRPr="000B3455">
        <w:rPr>
          <w:i/>
          <w:vertAlign w:val="subscript"/>
        </w:rPr>
        <w:t>it</w:t>
      </w:r>
      <w:r w:rsidR="001D5F43" w:rsidRPr="000B3455">
        <w:t>), and board size (</w:t>
      </w:r>
      <w:r w:rsidR="001D5F43" w:rsidRPr="000B3455">
        <w:rPr>
          <w:i/>
        </w:rPr>
        <w:t>BOA_SIZE</w:t>
      </w:r>
      <w:r w:rsidR="001D5F43" w:rsidRPr="000B3455">
        <w:rPr>
          <w:i/>
          <w:vertAlign w:val="subscript"/>
        </w:rPr>
        <w:t>it</w:t>
      </w:r>
      <w:r w:rsidR="001D5F43" w:rsidRPr="000B3455">
        <w:t>) have unknown relations with the dependent variables. The relation of the industry dummy variables (</w:t>
      </w:r>
      <w:r w:rsidR="001D5F43" w:rsidRPr="000B3455">
        <w:rPr>
          <w:rFonts w:cstheme="minorHAnsi"/>
          <w:i/>
        </w:rPr>
        <w:t xml:space="preserve">∑ </w:t>
      </w:r>
      <w:r w:rsidR="001D5F43" w:rsidRPr="000B3455">
        <w:rPr>
          <w:i/>
        </w:rPr>
        <w:t>IND_DUMM</w:t>
      </w:r>
      <w:r w:rsidR="001D5F43" w:rsidRPr="000B3455">
        <w:rPr>
          <w:i/>
          <w:vertAlign w:val="subscript"/>
        </w:rPr>
        <w:t>it</w:t>
      </w:r>
      <w:r w:rsidR="001D5F43" w:rsidRPr="000B3455">
        <w:t xml:space="preserve">) </w:t>
      </w:r>
      <w:r w:rsidR="003B7A5F" w:rsidRPr="000B3455">
        <w:t>is</w:t>
      </w:r>
      <w:r w:rsidR="001D5F43" w:rsidRPr="000B3455">
        <w:t xml:space="preserve"> not predicted, since </w:t>
      </w:r>
      <w:r w:rsidR="003B7A5F" w:rsidRPr="000B3455">
        <w:t>those</w:t>
      </w:r>
      <w:r w:rsidR="001D5F43" w:rsidRPr="000B3455">
        <w:t xml:space="preserve"> are categorical.</w:t>
      </w:r>
    </w:p>
    <w:tbl>
      <w:tblPr>
        <w:tblStyle w:val="Gemiddeldearcering1-accent11"/>
        <w:tblW w:w="0" w:type="auto"/>
        <w:tblLook w:val="04A0"/>
      </w:tblPr>
      <w:tblGrid>
        <w:gridCol w:w="3192"/>
        <w:gridCol w:w="3192"/>
        <w:gridCol w:w="3192"/>
      </w:tblGrid>
      <w:tr w:rsidR="00C71A75" w:rsidRPr="000B3455" w:rsidTr="00C71A75">
        <w:trPr>
          <w:cnfStyle w:val="100000000000"/>
          <w:trHeight w:val="411"/>
        </w:trPr>
        <w:tc>
          <w:tcPr>
            <w:cnfStyle w:val="001000000000"/>
            <w:tcW w:w="3192" w:type="dxa"/>
            <w:shd w:val="clear" w:color="auto" w:fill="auto"/>
          </w:tcPr>
          <w:p w:rsidR="00C71A75" w:rsidRPr="000B3455" w:rsidRDefault="00C71A75" w:rsidP="0088553E">
            <w:pPr>
              <w:spacing w:line="360" w:lineRule="auto"/>
              <w:jc w:val="both"/>
              <w:rPr>
                <w:rFonts w:cstheme="minorHAnsi"/>
              </w:rPr>
            </w:pPr>
          </w:p>
        </w:tc>
        <w:tc>
          <w:tcPr>
            <w:tcW w:w="6384" w:type="dxa"/>
            <w:gridSpan w:val="2"/>
          </w:tcPr>
          <w:p w:rsidR="00C71A75" w:rsidRPr="00C71A75" w:rsidRDefault="00C71A75" w:rsidP="0088553E">
            <w:pPr>
              <w:spacing w:line="360" w:lineRule="auto"/>
              <w:jc w:val="both"/>
              <w:cnfStyle w:val="100000000000"/>
              <w:rPr>
                <w:rFonts w:cstheme="minorHAnsi"/>
                <w:b w:val="0"/>
                <w:bCs w:val="0"/>
              </w:rPr>
            </w:pPr>
            <w:r w:rsidRPr="000B3455">
              <w:rPr>
                <w:rFonts w:cstheme="minorHAnsi"/>
              </w:rPr>
              <w:t>Expected relation for the model with the dependent variable:</w:t>
            </w:r>
          </w:p>
        </w:tc>
      </w:tr>
      <w:tr w:rsidR="00C71A75" w:rsidRPr="00C71A75" w:rsidTr="00E50388">
        <w:trPr>
          <w:cnfStyle w:val="000000100000"/>
          <w:trHeight w:val="402"/>
        </w:trPr>
        <w:tc>
          <w:tcPr>
            <w:cnfStyle w:val="001000000000"/>
            <w:tcW w:w="3192" w:type="dxa"/>
            <w:tcBorders>
              <w:bottom w:val="single" w:sz="8" w:space="0" w:color="7BA0CD" w:themeColor="accent1" w:themeTint="BF"/>
              <w:right w:val="single" w:sz="2" w:space="0" w:color="8DB3E2" w:themeColor="text2" w:themeTint="66"/>
            </w:tcBorders>
            <w:shd w:val="clear" w:color="auto" w:fill="4F81BD" w:themeFill="accent1"/>
          </w:tcPr>
          <w:p w:rsidR="00C71A75" w:rsidRPr="00C71A75" w:rsidRDefault="00C71A75" w:rsidP="0088553E">
            <w:pPr>
              <w:spacing w:line="360" w:lineRule="auto"/>
              <w:jc w:val="both"/>
              <w:rPr>
                <w:rFonts w:cstheme="minorHAnsi"/>
                <w:color w:val="FFFFFF" w:themeColor="background1"/>
              </w:rPr>
            </w:pPr>
            <w:r w:rsidRPr="00C71A75">
              <w:rPr>
                <w:rFonts w:cstheme="minorHAnsi"/>
                <w:color w:val="FFFFFF" w:themeColor="background1"/>
              </w:rPr>
              <w:t>Independent variable</w:t>
            </w:r>
          </w:p>
        </w:tc>
        <w:tc>
          <w:tcPr>
            <w:tcW w:w="3192" w:type="dxa"/>
            <w:tcBorders>
              <w:top w:val="single" w:sz="8" w:space="0" w:color="7BA0CD" w:themeColor="accent1" w:themeTint="BF"/>
              <w:left w:val="single" w:sz="2" w:space="0" w:color="8DB3E2" w:themeColor="text2" w:themeTint="66"/>
              <w:bottom w:val="single" w:sz="8" w:space="0" w:color="7BA0CD" w:themeColor="accent1" w:themeTint="BF"/>
              <w:right w:val="single" w:sz="2" w:space="0" w:color="8DB3E2" w:themeColor="text2" w:themeTint="66"/>
            </w:tcBorders>
            <w:shd w:val="clear" w:color="auto" w:fill="4F81BD" w:themeFill="accent1"/>
            <w:vAlign w:val="center"/>
          </w:tcPr>
          <w:p w:rsidR="00C71A75" w:rsidRPr="00C71A75" w:rsidRDefault="00C71A75" w:rsidP="00E50388">
            <w:pPr>
              <w:spacing w:line="360" w:lineRule="auto"/>
              <w:jc w:val="center"/>
              <w:cnfStyle w:val="000000100000"/>
              <w:rPr>
                <w:rFonts w:cstheme="minorHAnsi"/>
                <w:b/>
                <w:color w:val="FFFFFF" w:themeColor="background1"/>
              </w:rPr>
            </w:pPr>
            <w:r w:rsidRPr="00C71A75">
              <w:rPr>
                <w:rFonts w:cstheme="minorHAnsi"/>
                <w:b/>
                <w:i/>
                <w:color w:val="FFFFFF" w:themeColor="background1"/>
              </w:rPr>
              <w:t>Δ PR_FIX_SAL</w:t>
            </w:r>
            <w:r w:rsidRPr="00C71A75">
              <w:rPr>
                <w:rFonts w:eastAsia="SymbolMT" w:cstheme="minorHAnsi"/>
                <w:b/>
                <w:i/>
                <w:color w:val="FFFFFF" w:themeColor="background1"/>
                <w:vertAlign w:val="subscript"/>
                <w:lang w:eastAsia="nl-NL"/>
              </w:rPr>
              <w:t>it</w:t>
            </w:r>
          </w:p>
        </w:tc>
        <w:tc>
          <w:tcPr>
            <w:tcW w:w="3192" w:type="dxa"/>
            <w:tcBorders>
              <w:top w:val="single" w:sz="8" w:space="0" w:color="7BA0CD" w:themeColor="accent1" w:themeTint="BF"/>
              <w:left w:val="single" w:sz="2" w:space="0" w:color="8DB3E2" w:themeColor="text2" w:themeTint="66"/>
              <w:bottom w:val="single" w:sz="8" w:space="0" w:color="7BA0CD" w:themeColor="accent1" w:themeTint="BF"/>
              <w:right w:val="single" w:sz="8" w:space="0" w:color="7BA0CD" w:themeColor="accent1" w:themeTint="BF"/>
            </w:tcBorders>
            <w:shd w:val="clear" w:color="auto" w:fill="4F81BD" w:themeFill="accent1"/>
            <w:vAlign w:val="center"/>
          </w:tcPr>
          <w:p w:rsidR="00C71A75" w:rsidRPr="00C71A75" w:rsidRDefault="00C71A75" w:rsidP="00E50388">
            <w:pPr>
              <w:spacing w:line="360" w:lineRule="auto"/>
              <w:jc w:val="center"/>
              <w:cnfStyle w:val="000000100000"/>
              <w:rPr>
                <w:rFonts w:cstheme="minorHAnsi"/>
                <w:b/>
                <w:bCs/>
                <w:color w:val="FFFFFF" w:themeColor="background1"/>
              </w:rPr>
            </w:pPr>
            <w:r w:rsidRPr="00C71A75">
              <w:rPr>
                <w:rFonts w:cstheme="minorHAnsi"/>
                <w:b/>
                <w:i/>
                <w:color w:val="FFFFFF" w:themeColor="background1"/>
              </w:rPr>
              <w:t>Δ PR_CSH_BON</w:t>
            </w:r>
            <w:r w:rsidRPr="00C71A75">
              <w:rPr>
                <w:rFonts w:eastAsia="SymbolMT" w:cstheme="minorHAnsi"/>
                <w:b/>
                <w:i/>
                <w:color w:val="FFFFFF" w:themeColor="background1"/>
                <w:vertAlign w:val="subscript"/>
                <w:lang w:eastAsia="nl-NL"/>
              </w:rPr>
              <w:t>it</w:t>
            </w:r>
          </w:p>
        </w:tc>
      </w:tr>
      <w:tr w:rsidR="00E04288" w:rsidRPr="000B3455" w:rsidTr="00E50388">
        <w:trPr>
          <w:cnfStyle w:val="000000010000"/>
        </w:trPr>
        <w:tc>
          <w:tcPr>
            <w:cnfStyle w:val="001000000000"/>
            <w:tcW w:w="3192" w:type="dxa"/>
          </w:tcPr>
          <w:p w:rsidR="00E04288" w:rsidRPr="000B3455" w:rsidRDefault="00E04288" w:rsidP="0088553E">
            <w:pPr>
              <w:spacing w:line="360" w:lineRule="auto"/>
              <w:jc w:val="both"/>
              <w:rPr>
                <w:rFonts w:cstheme="minorHAnsi"/>
              </w:rPr>
            </w:pPr>
            <w:r w:rsidRPr="000B3455">
              <w:rPr>
                <w:rFonts w:eastAsia="SymbolMT" w:cstheme="minorHAnsi"/>
                <w:i/>
                <w:lang w:eastAsia="nl-NL"/>
              </w:rPr>
              <w:t>Δ PR_FV_ST</w:t>
            </w:r>
            <w:r w:rsidR="00261BE2">
              <w:rPr>
                <w:rFonts w:eastAsia="SymbolMT" w:cstheme="minorHAnsi"/>
                <w:i/>
                <w:lang w:eastAsia="nl-NL"/>
              </w:rPr>
              <w:t>O</w:t>
            </w:r>
            <w:r w:rsidRPr="000B3455">
              <w:rPr>
                <w:rFonts w:eastAsia="SymbolMT" w:cstheme="minorHAnsi"/>
                <w:i/>
                <w:vertAlign w:val="subscript"/>
                <w:lang w:eastAsia="nl-NL"/>
              </w:rPr>
              <w:t>it</w:t>
            </w:r>
          </w:p>
        </w:tc>
        <w:tc>
          <w:tcPr>
            <w:tcW w:w="3192" w:type="dxa"/>
            <w:vAlign w:val="center"/>
          </w:tcPr>
          <w:p w:rsidR="00E04288" w:rsidRPr="000B3455" w:rsidRDefault="00E04288" w:rsidP="00E50388">
            <w:pPr>
              <w:spacing w:line="360" w:lineRule="auto"/>
              <w:jc w:val="center"/>
              <w:cnfStyle w:val="000000010000"/>
              <w:rPr>
                <w:rFonts w:cstheme="minorHAnsi"/>
              </w:rPr>
            </w:pPr>
            <w:r w:rsidRPr="000B3455">
              <w:rPr>
                <w:rFonts w:cstheme="minorHAnsi"/>
              </w:rPr>
              <w:t>-</w:t>
            </w:r>
          </w:p>
        </w:tc>
        <w:tc>
          <w:tcPr>
            <w:tcW w:w="3192" w:type="dxa"/>
            <w:vAlign w:val="center"/>
          </w:tcPr>
          <w:p w:rsidR="00E04288" w:rsidRPr="000B3455" w:rsidRDefault="00E04288" w:rsidP="00E50388">
            <w:pPr>
              <w:spacing w:line="360" w:lineRule="auto"/>
              <w:jc w:val="center"/>
              <w:cnfStyle w:val="000000010000"/>
              <w:rPr>
                <w:rFonts w:cstheme="minorHAnsi"/>
              </w:rPr>
            </w:pPr>
            <w:r w:rsidRPr="000B3455">
              <w:rPr>
                <w:rFonts w:cstheme="minorHAnsi"/>
              </w:rPr>
              <w:t>-</w:t>
            </w:r>
          </w:p>
        </w:tc>
      </w:tr>
      <w:tr w:rsidR="00E04288" w:rsidRPr="000B3455" w:rsidTr="00E50388">
        <w:trPr>
          <w:cnfStyle w:val="000000100000"/>
        </w:trPr>
        <w:tc>
          <w:tcPr>
            <w:cnfStyle w:val="001000000000"/>
            <w:tcW w:w="3192" w:type="dxa"/>
          </w:tcPr>
          <w:p w:rsidR="00E04288" w:rsidRPr="000B3455" w:rsidRDefault="00E04288" w:rsidP="0088553E">
            <w:pPr>
              <w:spacing w:line="360" w:lineRule="auto"/>
              <w:jc w:val="both"/>
              <w:rPr>
                <w:rFonts w:cstheme="minorHAnsi"/>
              </w:rPr>
            </w:pPr>
            <w:r w:rsidRPr="000B3455">
              <w:rPr>
                <w:i/>
              </w:rPr>
              <w:t>LN_ASSETS</w:t>
            </w:r>
            <w:r w:rsidRPr="000B3455">
              <w:rPr>
                <w:i/>
                <w:vertAlign w:val="subscript"/>
              </w:rPr>
              <w:t>it</w:t>
            </w:r>
          </w:p>
        </w:tc>
        <w:tc>
          <w:tcPr>
            <w:tcW w:w="3192" w:type="dxa"/>
            <w:vAlign w:val="center"/>
          </w:tcPr>
          <w:p w:rsidR="00E04288" w:rsidRPr="000B3455" w:rsidRDefault="00E04288" w:rsidP="00E50388">
            <w:pPr>
              <w:spacing w:line="360" w:lineRule="auto"/>
              <w:jc w:val="center"/>
              <w:cnfStyle w:val="000000100000"/>
              <w:rPr>
                <w:rFonts w:cstheme="minorHAnsi"/>
              </w:rPr>
            </w:pPr>
            <w:r w:rsidRPr="000B3455">
              <w:rPr>
                <w:rFonts w:cstheme="minorHAnsi"/>
              </w:rPr>
              <w:t>?</w:t>
            </w:r>
          </w:p>
        </w:tc>
        <w:tc>
          <w:tcPr>
            <w:tcW w:w="3192" w:type="dxa"/>
            <w:vAlign w:val="center"/>
          </w:tcPr>
          <w:p w:rsidR="00E04288" w:rsidRPr="000B3455" w:rsidRDefault="00E04288" w:rsidP="00E50388">
            <w:pPr>
              <w:spacing w:line="360" w:lineRule="auto"/>
              <w:jc w:val="center"/>
              <w:cnfStyle w:val="000000100000"/>
              <w:rPr>
                <w:rFonts w:cstheme="minorHAnsi"/>
              </w:rPr>
            </w:pPr>
            <w:r w:rsidRPr="000B3455">
              <w:rPr>
                <w:rFonts w:cstheme="minorHAnsi"/>
              </w:rPr>
              <w:t>?</w:t>
            </w:r>
          </w:p>
        </w:tc>
      </w:tr>
      <w:tr w:rsidR="00E04288" w:rsidRPr="000B3455" w:rsidTr="00E50388">
        <w:trPr>
          <w:cnfStyle w:val="000000010000"/>
        </w:trPr>
        <w:tc>
          <w:tcPr>
            <w:cnfStyle w:val="001000000000"/>
            <w:tcW w:w="3192" w:type="dxa"/>
          </w:tcPr>
          <w:p w:rsidR="00E04288" w:rsidRPr="000B3455" w:rsidRDefault="00E04288" w:rsidP="0088553E">
            <w:pPr>
              <w:spacing w:line="360" w:lineRule="auto"/>
              <w:jc w:val="both"/>
              <w:rPr>
                <w:rFonts w:cstheme="minorHAnsi"/>
              </w:rPr>
            </w:pPr>
            <w:r w:rsidRPr="000B3455">
              <w:rPr>
                <w:i/>
              </w:rPr>
              <w:t>MTB</w:t>
            </w:r>
            <w:r w:rsidRPr="000B3455">
              <w:rPr>
                <w:i/>
                <w:vertAlign w:val="subscript"/>
              </w:rPr>
              <w:t>it</w:t>
            </w:r>
          </w:p>
        </w:tc>
        <w:tc>
          <w:tcPr>
            <w:tcW w:w="3192" w:type="dxa"/>
            <w:vAlign w:val="center"/>
          </w:tcPr>
          <w:p w:rsidR="00E04288" w:rsidRPr="000B3455" w:rsidRDefault="00AA1C90" w:rsidP="00E50388">
            <w:pPr>
              <w:spacing w:line="360" w:lineRule="auto"/>
              <w:jc w:val="center"/>
              <w:cnfStyle w:val="000000010000"/>
              <w:rPr>
                <w:rFonts w:cstheme="minorHAnsi"/>
              </w:rPr>
            </w:pPr>
            <w:r w:rsidRPr="000B3455">
              <w:rPr>
                <w:rFonts w:cstheme="minorHAnsi"/>
              </w:rPr>
              <w:t>-</w:t>
            </w:r>
          </w:p>
        </w:tc>
        <w:tc>
          <w:tcPr>
            <w:tcW w:w="3192" w:type="dxa"/>
            <w:vAlign w:val="center"/>
          </w:tcPr>
          <w:p w:rsidR="00E04288" w:rsidRPr="000B3455" w:rsidRDefault="00AA1C90" w:rsidP="00E50388">
            <w:pPr>
              <w:spacing w:line="360" w:lineRule="auto"/>
              <w:jc w:val="center"/>
              <w:cnfStyle w:val="000000010000"/>
              <w:rPr>
                <w:rFonts w:cstheme="minorHAnsi"/>
              </w:rPr>
            </w:pPr>
            <w:r w:rsidRPr="000B3455">
              <w:rPr>
                <w:rFonts w:cstheme="minorHAnsi"/>
              </w:rPr>
              <w:t>+</w:t>
            </w:r>
          </w:p>
        </w:tc>
      </w:tr>
      <w:tr w:rsidR="00E04288" w:rsidRPr="000B3455" w:rsidTr="00E50388">
        <w:trPr>
          <w:cnfStyle w:val="000000100000"/>
        </w:trPr>
        <w:tc>
          <w:tcPr>
            <w:cnfStyle w:val="001000000000"/>
            <w:tcW w:w="3192" w:type="dxa"/>
          </w:tcPr>
          <w:p w:rsidR="00E04288" w:rsidRPr="000B3455" w:rsidRDefault="00E04288" w:rsidP="0088553E">
            <w:pPr>
              <w:spacing w:line="360" w:lineRule="auto"/>
              <w:jc w:val="both"/>
              <w:rPr>
                <w:rFonts w:cstheme="minorHAnsi"/>
              </w:rPr>
            </w:pPr>
            <w:r w:rsidRPr="000B3455">
              <w:rPr>
                <w:i/>
              </w:rPr>
              <w:t>RET</w:t>
            </w:r>
            <w:r w:rsidRPr="000B3455">
              <w:rPr>
                <w:i/>
                <w:vertAlign w:val="subscript"/>
              </w:rPr>
              <w:t>it</w:t>
            </w:r>
          </w:p>
        </w:tc>
        <w:tc>
          <w:tcPr>
            <w:tcW w:w="3192" w:type="dxa"/>
            <w:vAlign w:val="center"/>
          </w:tcPr>
          <w:p w:rsidR="00E04288" w:rsidRPr="000B3455" w:rsidRDefault="00AA1C90" w:rsidP="00E50388">
            <w:pPr>
              <w:spacing w:line="360" w:lineRule="auto"/>
              <w:jc w:val="center"/>
              <w:cnfStyle w:val="000000100000"/>
              <w:rPr>
                <w:rFonts w:cstheme="minorHAnsi"/>
              </w:rPr>
            </w:pPr>
            <w:r w:rsidRPr="000B3455">
              <w:rPr>
                <w:rFonts w:cstheme="minorHAnsi"/>
              </w:rPr>
              <w:t>-</w:t>
            </w:r>
          </w:p>
        </w:tc>
        <w:tc>
          <w:tcPr>
            <w:tcW w:w="3192" w:type="dxa"/>
            <w:vAlign w:val="center"/>
          </w:tcPr>
          <w:p w:rsidR="00E04288" w:rsidRPr="000B3455" w:rsidRDefault="00AA1C90" w:rsidP="00E50388">
            <w:pPr>
              <w:spacing w:line="360" w:lineRule="auto"/>
              <w:jc w:val="center"/>
              <w:cnfStyle w:val="000000100000"/>
              <w:rPr>
                <w:rFonts w:cstheme="minorHAnsi"/>
              </w:rPr>
            </w:pPr>
            <w:r w:rsidRPr="000B3455">
              <w:rPr>
                <w:rFonts w:cstheme="minorHAnsi"/>
              </w:rPr>
              <w:t>+</w:t>
            </w:r>
          </w:p>
        </w:tc>
      </w:tr>
      <w:tr w:rsidR="00E04288" w:rsidRPr="000B3455" w:rsidTr="00E50388">
        <w:trPr>
          <w:cnfStyle w:val="000000010000"/>
        </w:trPr>
        <w:tc>
          <w:tcPr>
            <w:cnfStyle w:val="001000000000"/>
            <w:tcW w:w="3192" w:type="dxa"/>
          </w:tcPr>
          <w:p w:rsidR="00E04288" w:rsidRPr="000B3455" w:rsidRDefault="00E04288" w:rsidP="0088553E">
            <w:pPr>
              <w:spacing w:line="360" w:lineRule="auto"/>
              <w:jc w:val="both"/>
              <w:rPr>
                <w:rFonts w:cstheme="minorHAnsi"/>
              </w:rPr>
            </w:pPr>
            <w:r w:rsidRPr="000B3455">
              <w:rPr>
                <w:i/>
              </w:rPr>
              <w:t>VOL</w:t>
            </w:r>
            <w:r w:rsidRPr="000B3455">
              <w:rPr>
                <w:i/>
                <w:vertAlign w:val="subscript"/>
              </w:rPr>
              <w:t>it</w:t>
            </w:r>
          </w:p>
        </w:tc>
        <w:tc>
          <w:tcPr>
            <w:tcW w:w="3192" w:type="dxa"/>
            <w:vAlign w:val="center"/>
          </w:tcPr>
          <w:p w:rsidR="00E04288" w:rsidRPr="000B3455" w:rsidRDefault="00AA1C90" w:rsidP="00E50388">
            <w:pPr>
              <w:spacing w:line="360" w:lineRule="auto"/>
              <w:jc w:val="center"/>
              <w:cnfStyle w:val="000000010000"/>
              <w:rPr>
                <w:rFonts w:cstheme="minorHAnsi"/>
              </w:rPr>
            </w:pPr>
            <w:r w:rsidRPr="000B3455">
              <w:rPr>
                <w:rFonts w:cstheme="minorHAnsi"/>
              </w:rPr>
              <w:t>-</w:t>
            </w:r>
          </w:p>
        </w:tc>
        <w:tc>
          <w:tcPr>
            <w:tcW w:w="3192" w:type="dxa"/>
            <w:vAlign w:val="center"/>
          </w:tcPr>
          <w:p w:rsidR="00E04288" w:rsidRPr="000B3455" w:rsidRDefault="00E04288" w:rsidP="00E50388">
            <w:pPr>
              <w:spacing w:line="360" w:lineRule="auto"/>
              <w:jc w:val="center"/>
              <w:cnfStyle w:val="000000010000"/>
              <w:rPr>
                <w:rFonts w:cstheme="minorHAnsi"/>
              </w:rPr>
            </w:pPr>
            <w:r w:rsidRPr="000B3455">
              <w:rPr>
                <w:rFonts w:cstheme="minorHAnsi"/>
              </w:rPr>
              <w:t>+</w:t>
            </w:r>
          </w:p>
        </w:tc>
      </w:tr>
      <w:tr w:rsidR="00E04288" w:rsidRPr="000B3455" w:rsidTr="00E50388">
        <w:trPr>
          <w:cnfStyle w:val="000000100000"/>
        </w:trPr>
        <w:tc>
          <w:tcPr>
            <w:cnfStyle w:val="001000000000"/>
            <w:tcW w:w="3192" w:type="dxa"/>
          </w:tcPr>
          <w:p w:rsidR="00E04288" w:rsidRPr="000B3455" w:rsidRDefault="00E04288" w:rsidP="0088553E">
            <w:pPr>
              <w:spacing w:line="360" w:lineRule="auto"/>
              <w:jc w:val="both"/>
              <w:rPr>
                <w:rFonts w:cstheme="minorHAnsi"/>
              </w:rPr>
            </w:pPr>
            <w:r w:rsidRPr="000B3455">
              <w:rPr>
                <w:i/>
              </w:rPr>
              <w:t>BOA_SIZE</w:t>
            </w:r>
            <w:r w:rsidRPr="000B3455">
              <w:rPr>
                <w:i/>
                <w:vertAlign w:val="subscript"/>
              </w:rPr>
              <w:t>it</w:t>
            </w:r>
          </w:p>
        </w:tc>
        <w:tc>
          <w:tcPr>
            <w:tcW w:w="3192" w:type="dxa"/>
            <w:vAlign w:val="center"/>
          </w:tcPr>
          <w:p w:rsidR="00E04288" w:rsidRPr="000B3455" w:rsidRDefault="00AA1C90" w:rsidP="00E50388">
            <w:pPr>
              <w:spacing w:line="360" w:lineRule="auto"/>
              <w:jc w:val="center"/>
              <w:cnfStyle w:val="000000100000"/>
              <w:rPr>
                <w:rFonts w:cstheme="minorHAnsi"/>
              </w:rPr>
            </w:pPr>
            <w:r w:rsidRPr="000B3455">
              <w:rPr>
                <w:rFonts w:cstheme="minorHAnsi"/>
              </w:rPr>
              <w:t>?</w:t>
            </w:r>
          </w:p>
        </w:tc>
        <w:tc>
          <w:tcPr>
            <w:tcW w:w="3192" w:type="dxa"/>
            <w:vAlign w:val="center"/>
          </w:tcPr>
          <w:p w:rsidR="00E04288" w:rsidRPr="000B3455" w:rsidRDefault="00AA1C90" w:rsidP="00E50388">
            <w:pPr>
              <w:spacing w:line="360" w:lineRule="auto"/>
              <w:jc w:val="center"/>
              <w:cnfStyle w:val="000000100000"/>
              <w:rPr>
                <w:rFonts w:cstheme="minorHAnsi"/>
              </w:rPr>
            </w:pPr>
            <w:r w:rsidRPr="000B3455">
              <w:rPr>
                <w:rFonts w:cstheme="minorHAnsi"/>
              </w:rPr>
              <w:t>?</w:t>
            </w:r>
          </w:p>
        </w:tc>
      </w:tr>
      <w:tr w:rsidR="00E04288" w:rsidRPr="000B3455" w:rsidTr="00E50388">
        <w:trPr>
          <w:cnfStyle w:val="000000010000"/>
        </w:trPr>
        <w:tc>
          <w:tcPr>
            <w:cnfStyle w:val="001000000000"/>
            <w:tcW w:w="3192" w:type="dxa"/>
          </w:tcPr>
          <w:p w:rsidR="00E04288" w:rsidRPr="000B3455" w:rsidRDefault="00E04288" w:rsidP="0088553E">
            <w:pPr>
              <w:spacing w:line="360" w:lineRule="auto"/>
              <w:jc w:val="both"/>
              <w:rPr>
                <w:rFonts w:cstheme="minorHAnsi"/>
              </w:rPr>
            </w:pPr>
            <w:r w:rsidRPr="000B3455">
              <w:rPr>
                <w:i/>
              </w:rPr>
              <w:t>LIQ_CON</w:t>
            </w:r>
            <w:r w:rsidRPr="000B3455">
              <w:rPr>
                <w:i/>
                <w:vertAlign w:val="subscript"/>
              </w:rPr>
              <w:t>it</w:t>
            </w:r>
          </w:p>
        </w:tc>
        <w:tc>
          <w:tcPr>
            <w:tcW w:w="3192" w:type="dxa"/>
            <w:vAlign w:val="center"/>
          </w:tcPr>
          <w:p w:rsidR="00E04288" w:rsidRPr="000B3455" w:rsidRDefault="00AA1C90" w:rsidP="00E50388">
            <w:pPr>
              <w:spacing w:line="360" w:lineRule="auto"/>
              <w:jc w:val="center"/>
              <w:cnfStyle w:val="000000010000"/>
              <w:rPr>
                <w:rFonts w:cstheme="minorHAnsi"/>
              </w:rPr>
            </w:pPr>
            <w:r w:rsidRPr="000B3455">
              <w:rPr>
                <w:rFonts w:cstheme="minorHAnsi"/>
              </w:rPr>
              <w:t>-</w:t>
            </w:r>
          </w:p>
        </w:tc>
        <w:tc>
          <w:tcPr>
            <w:tcW w:w="3192" w:type="dxa"/>
            <w:vAlign w:val="center"/>
          </w:tcPr>
          <w:p w:rsidR="00E04288" w:rsidRPr="000B3455" w:rsidRDefault="00AA1C90" w:rsidP="00E50388">
            <w:pPr>
              <w:spacing w:line="360" w:lineRule="auto"/>
              <w:jc w:val="center"/>
              <w:cnfStyle w:val="000000010000"/>
              <w:rPr>
                <w:rFonts w:cstheme="minorHAnsi"/>
              </w:rPr>
            </w:pPr>
            <w:r w:rsidRPr="000B3455">
              <w:rPr>
                <w:rFonts w:cstheme="minorHAnsi"/>
              </w:rPr>
              <w:t>-</w:t>
            </w:r>
          </w:p>
        </w:tc>
      </w:tr>
    </w:tbl>
    <w:p w:rsidR="001D5F43" w:rsidRPr="000B3455" w:rsidRDefault="001D5F43" w:rsidP="0088553E">
      <w:pPr>
        <w:spacing w:line="360" w:lineRule="auto"/>
        <w:jc w:val="both"/>
        <w:rPr>
          <w:rFonts w:cstheme="minorHAnsi"/>
        </w:rPr>
      </w:pPr>
    </w:p>
    <w:p w:rsidR="00C5740A" w:rsidRPr="000B3455" w:rsidRDefault="00C5740A" w:rsidP="0088553E">
      <w:pPr>
        <w:pStyle w:val="Heading2"/>
        <w:spacing w:line="360" w:lineRule="auto"/>
        <w:jc w:val="both"/>
      </w:pPr>
      <w:bookmarkStart w:id="75" w:name="_Toc298944585"/>
      <w:r w:rsidRPr="000B3455">
        <w:t>5.4 Conclusion</w:t>
      </w:r>
      <w:bookmarkEnd w:id="75"/>
    </w:p>
    <w:p w:rsidR="00C5740A" w:rsidRPr="000B3455" w:rsidRDefault="00C5740A" w:rsidP="0088553E">
      <w:pPr>
        <w:spacing w:line="360" w:lineRule="auto"/>
        <w:jc w:val="both"/>
        <w:rPr>
          <w:rFonts w:cstheme="minorHAnsi"/>
        </w:rPr>
      </w:pPr>
      <w:r w:rsidRPr="000B3455">
        <w:rPr>
          <w:rFonts w:cstheme="minorHAnsi"/>
        </w:rPr>
        <w:t xml:space="preserve">Complementary to the studies of Brown and Lee (2007), Carter et al. (2007), and Choudhary (2008) the substitution effect of the decrease of stock options will be investigated in this thesis. The first hypothesis is formulated in order to test for the expected decline of stock options as remuneration. In addition, in the second hypothesis, it is expected that share compensation has also declined, since the accounting </w:t>
      </w:r>
      <w:r w:rsidRPr="000B3455">
        <w:rPr>
          <w:rFonts w:cstheme="minorHAnsi"/>
        </w:rPr>
        <w:lastRenderedPageBreak/>
        <w:t xml:space="preserve">treatment of shares has also become less favorable to companies with the introduction of IFRS 2. </w:t>
      </w:r>
      <w:r w:rsidR="00261BE2" w:rsidRPr="000B3455">
        <w:rPr>
          <w:rFonts w:cstheme="minorHAnsi"/>
        </w:rPr>
        <w:t>Hypotheses</w:t>
      </w:r>
      <w:r w:rsidR="002B5D78" w:rsidRPr="000B3455">
        <w:rPr>
          <w:rFonts w:cstheme="minorHAnsi"/>
        </w:rPr>
        <w:t xml:space="preserve"> 3 and 4 are focused on the substitution of stock options by an increase in fixed salary and cash bonus respectively. </w:t>
      </w:r>
      <w:r w:rsidR="00F248B4" w:rsidRPr="000B3455">
        <w:rPr>
          <w:rFonts w:cstheme="minorHAnsi"/>
        </w:rPr>
        <w:t>Although hypotheses 1 and 2 require a different sample, the research model is the same, except for the dependent variable. For hypotheses 3 and 4 the same sample is used as for hypothesis 1. In the regression model the change in proportion of stock options is added and the dummy variable for 2003 is removed. As also appears from the hypotheses, it is expected that IFRS 2 has triggered an abnormal substitution from stock options to fixed salary and cash bonuses, while controlling for economic factors, like size, growth opportunities, stock returns, risk, complexity of the firm and liquidity constraints</w:t>
      </w:r>
      <w:r w:rsidR="005436B9" w:rsidRPr="000B3455">
        <w:rPr>
          <w:rFonts w:cstheme="minorHAnsi"/>
        </w:rPr>
        <w:t>, and industry influences by primary SIC codes.</w:t>
      </w:r>
      <w:r w:rsidR="00F248B4" w:rsidRPr="000B3455">
        <w:rPr>
          <w:rFonts w:cstheme="minorHAnsi"/>
        </w:rPr>
        <w:t xml:space="preserve"> </w:t>
      </w:r>
    </w:p>
    <w:p w:rsidR="00C5740A" w:rsidRPr="000B3455" w:rsidRDefault="00C5740A" w:rsidP="0088553E">
      <w:pPr>
        <w:spacing w:line="360" w:lineRule="auto"/>
        <w:jc w:val="both"/>
        <w:rPr>
          <w:rFonts w:cstheme="minorHAnsi"/>
        </w:rPr>
      </w:pPr>
    </w:p>
    <w:p w:rsidR="00C5740A" w:rsidRPr="000B3455" w:rsidRDefault="00C5740A" w:rsidP="0088553E">
      <w:pPr>
        <w:spacing w:line="360" w:lineRule="auto"/>
        <w:jc w:val="both"/>
      </w:pPr>
      <w:r w:rsidRPr="000B3455">
        <w:br w:type="page"/>
      </w:r>
    </w:p>
    <w:p w:rsidR="00336E38" w:rsidRPr="000B3455" w:rsidRDefault="00336E38" w:rsidP="00ED7148">
      <w:pPr>
        <w:pStyle w:val="Kop1Thesis"/>
      </w:pPr>
      <w:bookmarkStart w:id="76" w:name="_Toc298944586"/>
      <w:r w:rsidRPr="000B3455">
        <w:lastRenderedPageBreak/>
        <w:t>Chapter 6: Results</w:t>
      </w:r>
      <w:bookmarkEnd w:id="76"/>
    </w:p>
    <w:p w:rsidR="00336E38" w:rsidRPr="000B3455" w:rsidRDefault="00A62D2C" w:rsidP="0088553E">
      <w:pPr>
        <w:spacing w:line="360" w:lineRule="auto"/>
        <w:jc w:val="both"/>
      </w:pPr>
      <w:r>
        <w:br/>
      </w:r>
      <w:r w:rsidR="004F5D4B" w:rsidRPr="000B3455">
        <w:t xml:space="preserve">The previous chapter discussed the research model to determine whether stock option compensation and share compensation has decreased after the introduction of IFRS 2 in 2005, and if stock options are substituted for by another type of compensation. This chapter shows the statistical results of </w:t>
      </w:r>
      <w:r w:rsidR="00336EFF" w:rsidRPr="000B3455">
        <w:t>the regression models, sequenced by hypothesis 1 to 4.</w:t>
      </w:r>
    </w:p>
    <w:p w:rsidR="0039315B" w:rsidRPr="00A62D2C" w:rsidRDefault="0039315B" w:rsidP="0088553E">
      <w:pPr>
        <w:pStyle w:val="Heading2"/>
        <w:spacing w:line="360" w:lineRule="auto"/>
        <w:jc w:val="both"/>
      </w:pPr>
      <w:bookmarkStart w:id="77" w:name="_Toc298944587"/>
      <w:r w:rsidRPr="00A62D2C">
        <w:t>6.1 Results on hypothesis 1</w:t>
      </w:r>
      <w:bookmarkEnd w:id="77"/>
    </w:p>
    <w:p w:rsidR="00AE184E" w:rsidRPr="000B3455" w:rsidRDefault="0039315B" w:rsidP="0088553E">
      <w:pPr>
        <w:spacing w:line="360" w:lineRule="auto"/>
        <w:jc w:val="both"/>
      </w:pPr>
      <w:r w:rsidRPr="000B3455">
        <w:t xml:space="preserve">This section </w:t>
      </w:r>
      <w:r w:rsidR="00AE184E" w:rsidRPr="000B3455">
        <w:t>shows results on hypothesis 1. In this hypothesis the proportion of the fair value of granted stock options of total compensation is expected to decrease after IFRS 2 became effective in 2005.</w:t>
      </w:r>
      <w:r w:rsidR="00FC3D57" w:rsidRPr="000B3455">
        <w:t xml:space="preserve"> </w:t>
      </w:r>
      <w:r w:rsidR="00AE184E" w:rsidRPr="000B3455">
        <w:t>As stated in section 5.1 the hypothesis is as follows:</w:t>
      </w:r>
    </w:p>
    <w:p w:rsidR="00AE184E" w:rsidRPr="000B3455" w:rsidRDefault="00AE184E" w:rsidP="0088553E">
      <w:pPr>
        <w:spacing w:line="360" w:lineRule="auto"/>
        <w:jc w:val="both"/>
        <w:rPr>
          <w:rFonts w:cstheme="minorHAnsi"/>
          <w:i/>
        </w:rPr>
      </w:pPr>
      <w:r w:rsidRPr="000B3455">
        <w:rPr>
          <w:rFonts w:cstheme="minorHAnsi"/>
          <w:i/>
        </w:rPr>
        <w:t xml:space="preserve">H1: The proportion of the fair value of granted stock options to the board of directors of total compensation has decreased after the mandatory adoption of IFRS for Dutch-listed companies. </w:t>
      </w:r>
    </w:p>
    <w:p w:rsidR="0039315B" w:rsidRPr="000B3455" w:rsidRDefault="0039315B" w:rsidP="0088553E">
      <w:pPr>
        <w:spacing w:line="360" w:lineRule="auto"/>
        <w:jc w:val="both"/>
      </w:pPr>
      <w:r w:rsidRPr="000B3455">
        <w:t>In this section the descriptive statistics</w:t>
      </w:r>
      <w:r w:rsidR="00AE184E" w:rsidRPr="000B3455">
        <w:t xml:space="preserve"> and the statistical findings of the regression model together with the </w:t>
      </w:r>
      <w:r w:rsidR="00FC3D57" w:rsidRPr="000B3455">
        <w:t xml:space="preserve">determinants </w:t>
      </w:r>
      <w:r w:rsidR="00AE184E" w:rsidRPr="000B3455">
        <w:t xml:space="preserve"> will be discussed respectively. </w:t>
      </w:r>
    </w:p>
    <w:p w:rsidR="004F5D4B" w:rsidRPr="00A62D2C" w:rsidRDefault="004F5D4B" w:rsidP="0088553E">
      <w:pPr>
        <w:pStyle w:val="Heading3"/>
        <w:spacing w:line="360" w:lineRule="auto"/>
        <w:jc w:val="both"/>
      </w:pPr>
      <w:bookmarkStart w:id="78" w:name="_Toc298944588"/>
      <w:r w:rsidRPr="00A62D2C">
        <w:t>6.1</w:t>
      </w:r>
      <w:r w:rsidR="00AE184E" w:rsidRPr="00A62D2C">
        <w:t>.1</w:t>
      </w:r>
      <w:r w:rsidRPr="00A62D2C">
        <w:t xml:space="preserve"> Descriptive statistics</w:t>
      </w:r>
      <w:bookmarkEnd w:id="78"/>
      <w:r w:rsidR="00336EFF" w:rsidRPr="00A62D2C">
        <w:t xml:space="preserve"> </w:t>
      </w:r>
    </w:p>
    <w:p w:rsidR="004F5D4B" w:rsidRPr="000B3455" w:rsidRDefault="00BE0048" w:rsidP="0088553E">
      <w:pPr>
        <w:spacing w:line="360" w:lineRule="auto"/>
        <w:jc w:val="both"/>
      </w:pPr>
      <w:r w:rsidRPr="000B3455">
        <w:t xml:space="preserve">The sample for hypothesis 1 includes 34 listed companies. </w:t>
      </w:r>
      <w:fldSimple w:instr=" REF _Ref298855735 \h  \* MERGEFORMAT ">
        <w:r w:rsidR="001D5F9A" w:rsidRPr="00D51742">
          <w:t xml:space="preserve">Table </w:t>
        </w:r>
        <w:r w:rsidR="001D5F9A">
          <w:rPr>
            <w:noProof/>
          </w:rPr>
          <w:t>1</w:t>
        </w:r>
      </w:fldSimple>
      <w:r w:rsidR="00FC3D57" w:rsidRPr="000B3455">
        <w:rPr>
          <w:color w:val="FF0000"/>
        </w:rPr>
        <w:t xml:space="preserve"> </w:t>
      </w:r>
      <w:r w:rsidR="00952E8B">
        <w:t>in</w:t>
      </w:r>
      <w:r w:rsidR="002E1A54" w:rsidRPr="00964355">
        <w:t xml:space="preserve"> </w:t>
      </w:r>
      <w:fldSimple w:instr=" REF V \h  \* MERGEFORMAT ">
        <w:r w:rsidR="001D5F9A" w:rsidRPr="000B3455">
          <w:t>Appendix V</w:t>
        </w:r>
      </w:fldSimple>
      <w:r w:rsidR="002E1A54" w:rsidRPr="00964355">
        <w:t xml:space="preserve"> shows</w:t>
      </w:r>
      <w:r w:rsidR="002E1A54" w:rsidRPr="000B3455">
        <w:t xml:space="preserve"> how the companies are divided among different industries. </w:t>
      </w:r>
      <w:r w:rsidRPr="000B3455">
        <w:t>Of these 34 companies the manufacturing industry is most represented with 13 companies. The agricultural, forestry and fishing industry</w:t>
      </w:r>
      <w:r w:rsidR="002E1A54" w:rsidRPr="000B3455">
        <w:t xml:space="preserve">, public administration, and nonclassifiable establishments are not represented in the sample. Consequently, the dummy variables for these three categories are not incorporated in the industry dummies in the research model. </w:t>
      </w:r>
      <w:fldSimple w:instr=" REF _Ref298855775 \h  \* MERGEFORMAT ">
        <w:r w:rsidR="001D5F9A" w:rsidRPr="00D51742">
          <w:t xml:space="preserve">Table </w:t>
        </w:r>
        <w:r w:rsidR="001D5F9A">
          <w:rPr>
            <w:noProof/>
          </w:rPr>
          <w:t>2</w:t>
        </w:r>
      </w:fldSimple>
      <w:r w:rsidR="00A257E3" w:rsidRPr="000B3455">
        <w:t xml:space="preserve"> and </w:t>
      </w:r>
      <w:fldSimple w:instr=" REF _Ref298855789 \h  \* MERGEFORMAT ">
        <w:r w:rsidR="001D5F9A">
          <w:t xml:space="preserve">Figure </w:t>
        </w:r>
        <w:r w:rsidR="001D5F9A">
          <w:rPr>
            <w:noProof/>
          </w:rPr>
          <w:t>1</w:t>
        </w:r>
      </w:fldSimple>
      <w:r w:rsidR="00964355">
        <w:t xml:space="preserve"> </w:t>
      </w:r>
      <w:r w:rsidR="00A257E3" w:rsidRPr="000B3455">
        <w:t xml:space="preserve">in </w:t>
      </w:r>
      <w:fldSimple w:instr=" REF V \h  \* MERGEFORMAT ">
        <w:r w:rsidR="001D5F9A" w:rsidRPr="000B3455">
          <w:t>Appendix V</w:t>
        </w:r>
      </w:fldSimple>
      <w:r w:rsidR="00952E8B">
        <w:t xml:space="preserve"> </w:t>
      </w:r>
      <w:r w:rsidR="00A257E3" w:rsidRPr="00964355">
        <w:t>displays</w:t>
      </w:r>
      <w:r w:rsidR="00A257E3" w:rsidRPr="000B3455">
        <w:t xml:space="preserve"> descriptive statistics on the proportion of the fair value of granted stock options of total compensation. In the 34 companies in the sample the average proportion of granted fair value of stock options per year is approximately 14 % of total compensation</w:t>
      </w:r>
      <w:r w:rsidR="00E73A60" w:rsidRPr="000B3455">
        <w:t xml:space="preserve">, with a minimum of 0 % and a maximum proportion of 67 %, as one can see from </w:t>
      </w:r>
      <w:fldSimple w:instr=" REF _Ref298855775 \h  \* MERGEFORMAT ">
        <w:r w:rsidR="001D5F9A" w:rsidRPr="00D51742">
          <w:t xml:space="preserve">Table </w:t>
        </w:r>
        <w:r w:rsidR="001D5F9A">
          <w:rPr>
            <w:noProof/>
          </w:rPr>
          <w:t>2</w:t>
        </w:r>
      </w:fldSimple>
      <w:r w:rsidR="00964355">
        <w:t xml:space="preserve">. </w:t>
      </w:r>
      <w:r w:rsidR="00E73A60" w:rsidRPr="000B3455">
        <w:t xml:space="preserve">According to </w:t>
      </w:r>
      <w:fldSimple w:instr=" REF _Ref298855789 \h  \* MERGEFORMAT ">
        <w:r w:rsidR="001D5F9A">
          <w:t xml:space="preserve">Figure </w:t>
        </w:r>
        <w:r w:rsidR="001D5F9A">
          <w:rPr>
            <w:noProof/>
          </w:rPr>
          <w:t>1</w:t>
        </w:r>
      </w:fldSimple>
      <w:r w:rsidR="00E73A60" w:rsidRPr="000B3455">
        <w:t>, a proportion between 0 % and 5 % is by far the most prevalent proportion in 204 firm years.</w:t>
      </w:r>
      <w:r w:rsidR="00EE73D2" w:rsidRPr="000B3455">
        <w:t xml:space="preserve"> As in 66 firm years no stock options were granted to the board of directors, this is not a surprising result. </w:t>
      </w:r>
      <w:r w:rsidR="0018342F" w:rsidRPr="000B3455">
        <w:t xml:space="preserve">The trend of the proportion of the fair value of granted stock options </w:t>
      </w:r>
      <w:r w:rsidR="003E0E1D" w:rsidRPr="000B3455">
        <w:t>to</w:t>
      </w:r>
      <w:r w:rsidR="0018342F" w:rsidRPr="000B3455">
        <w:t xml:space="preserve"> total compensation is displayed in </w:t>
      </w:r>
      <w:fldSimple w:instr=" REF _Ref298855828 \h  \* MERGEFORMAT ">
        <w:r w:rsidR="001D5F9A">
          <w:t xml:space="preserve">Figure </w:t>
        </w:r>
        <w:r w:rsidR="001D5F9A">
          <w:rPr>
            <w:noProof/>
          </w:rPr>
          <w:t>2</w:t>
        </w:r>
      </w:fldSimple>
      <w:r w:rsidR="0018342F" w:rsidRPr="000B3455">
        <w:t xml:space="preserve">. The average proportion was at a minimum in 2005, the same year in which IFRS 2 was effective. This might be caused by IFRS 2. However, this cannot be concluded from </w:t>
      </w:r>
      <w:r w:rsidR="0018342F" w:rsidRPr="000B3455">
        <w:lastRenderedPageBreak/>
        <w:t>this chart</w:t>
      </w:r>
      <w:r w:rsidR="003E0E1D" w:rsidRPr="000B3455">
        <w:t xml:space="preserve"> alone</w:t>
      </w:r>
      <w:r w:rsidR="0018342F" w:rsidRPr="000B3455">
        <w:t xml:space="preserve">. </w:t>
      </w:r>
      <w:r w:rsidR="00362689" w:rsidRPr="000B3455">
        <w:t xml:space="preserve">The proportion has a decreasing trend from 2003 to 2005, but has an increasing one from 2006 to 2007. </w:t>
      </w:r>
    </w:p>
    <w:p w:rsidR="00243D1D" w:rsidRPr="00A62D2C" w:rsidRDefault="00243D1D" w:rsidP="0088553E">
      <w:pPr>
        <w:pStyle w:val="Heading3"/>
        <w:spacing w:line="360" w:lineRule="auto"/>
        <w:jc w:val="both"/>
      </w:pPr>
      <w:bookmarkStart w:id="79" w:name="_Toc298944589"/>
      <w:r w:rsidRPr="00A62D2C">
        <w:t xml:space="preserve">6.1.2 Statistical findings </w:t>
      </w:r>
      <w:r w:rsidR="00341F47" w:rsidRPr="00A62D2C">
        <w:t>and analysis</w:t>
      </w:r>
      <w:bookmarkEnd w:id="79"/>
    </w:p>
    <w:p w:rsidR="00243D1D" w:rsidRPr="000B3455" w:rsidRDefault="00243D1D" w:rsidP="0088553E">
      <w:pPr>
        <w:spacing w:line="360" w:lineRule="auto"/>
        <w:jc w:val="both"/>
      </w:pPr>
      <w:r w:rsidRPr="000B3455">
        <w:t xml:space="preserve">This section discusses the statistical evidence </w:t>
      </w:r>
      <w:r w:rsidR="003E0E1D" w:rsidRPr="000B3455">
        <w:t>to determine whether hypothesis 1 should be</w:t>
      </w:r>
      <w:r w:rsidRPr="000B3455">
        <w:t xml:space="preserve"> accepted or rejected. </w:t>
      </w:r>
      <w:r w:rsidR="003E0E1D" w:rsidRPr="000B3455">
        <w:t>In s</w:t>
      </w:r>
      <w:r w:rsidRPr="000B3455">
        <w:t xml:space="preserve">ection 5.3.2 </w:t>
      </w:r>
      <w:r w:rsidR="003E0E1D" w:rsidRPr="000B3455">
        <w:t>t</w:t>
      </w:r>
      <w:r w:rsidRPr="000B3455">
        <w:t xml:space="preserve">he research model for hypothesis 1 is specified as: </w:t>
      </w:r>
    </w:p>
    <w:p w:rsidR="00243D1D" w:rsidRPr="000B3455" w:rsidRDefault="00243D1D" w:rsidP="0088553E">
      <w:pPr>
        <w:spacing w:line="360" w:lineRule="auto"/>
        <w:jc w:val="both"/>
      </w:pPr>
      <w:r w:rsidRPr="000B3455">
        <w:rPr>
          <w:i/>
        </w:rPr>
        <w:t>PR_FV_STO</w:t>
      </w:r>
      <w:r w:rsidRPr="000B3455">
        <w:rPr>
          <w:i/>
          <w:vertAlign w:val="subscript"/>
        </w:rPr>
        <w:t>it</w:t>
      </w:r>
      <w:r w:rsidRPr="000B3455">
        <w:rPr>
          <w:i/>
        </w:rPr>
        <w:t xml:space="preserve"> = </w:t>
      </w:r>
      <w:r w:rsidRPr="000B3455">
        <w:rPr>
          <w:rFonts w:cstheme="minorHAnsi"/>
          <w:i/>
        </w:rPr>
        <w:t>β</w:t>
      </w:r>
      <w:r w:rsidRPr="000B3455">
        <w:rPr>
          <w:i/>
          <w:vertAlign w:val="subscript"/>
        </w:rPr>
        <w:t>0</w:t>
      </w:r>
      <w:r w:rsidRPr="000B3455">
        <w:rPr>
          <w:i/>
        </w:rPr>
        <w:t xml:space="preserve"> + </w:t>
      </w:r>
      <w:r w:rsidRPr="000B3455">
        <w:rPr>
          <w:rFonts w:cstheme="minorHAnsi"/>
          <w:i/>
        </w:rPr>
        <w:t>β</w:t>
      </w:r>
      <w:r w:rsidRPr="000B3455">
        <w:rPr>
          <w:i/>
          <w:vertAlign w:val="subscript"/>
        </w:rPr>
        <w:t>1</w:t>
      </w:r>
      <w:r w:rsidRPr="000B3455">
        <w:rPr>
          <w:i/>
        </w:rPr>
        <w:t xml:space="preserve"> 2003 + </w:t>
      </w:r>
      <w:r w:rsidRPr="000B3455">
        <w:rPr>
          <w:rFonts w:cstheme="minorHAnsi"/>
          <w:i/>
        </w:rPr>
        <w:t>β</w:t>
      </w:r>
      <w:r w:rsidRPr="000B3455">
        <w:rPr>
          <w:rFonts w:cstheme="minorHAnsi"/>
          <w:i/>
          <w:vertAlign w:val="subscript"/>
        </w:rPr>
        <w:t xml:space="preserve">2 </w:t>
      </w:r>
      <w:r w:rsidRPr="000B3455">
        <w:rPr>
          <w:rFonts w:cstheme="minorHAnsi"/>
          <w:i/>
        </w:rPr>
        <w:t>2004 + β</w:t>
      </w:r>
      <w:r w:rsidRPr="000B3455">
        <w:rPr>
          <w:rFonts w:cstheme="minorHAnsi"/>
          <w:i/>
          <w:vertAlign w:val="subscript"/>
        </w:rPr>
        <w:t>3</w:t>
      </w:r>
      <w:r w:rsidRPr="000B3455">
        <w:rPr>
          <w:rFonts w:cstheme="minorHAnsi"/>
          <w:i/>
        </w:rPr>
        <w:t xml:space="preserve"> 2005 + β</w:t>
      </w:r>
      <w:r w:rsidRPr="000B3455">
        <w:rPr>
          <w:rFonts w:cstheme="minorHAnsi"/>
          <w:i/>
          <w:vertAlign w:val="subscript"/>
        </w:rPr>
        <w:t>4</w:t>
      </w:r>
      <w:r w:rsidRPr="000B3455">
        <w:rPr>
          <w:rFonts w:cstheme="minorHAnsi"/>
          <w:i/>
        </w:rPr>
        <w:t xml:space="preserve"> 2006 + β</w:t>
      </w:r>
      <w:r w:rsidRPr="000B3455">
        <w:rPr>
          <w:rFonts w:cstheme="minorHAnsi"/>
          <w:i/>
          <w:vertAlign w:val="subscript"/>
        </w:rPr>
        <w:t>5</w:t>
      </w:r>
      <w:r w:rsidRPr="000B3455">
        <w:rPr>
          <w:rFonts w:cstheme="minorHAnsi"/>
          <w:i/>
        </w:rPr>
        <w:t xml:space="preserve"> 2007 + β</w:t>
      </w:r>
      <w:r w:rsidRPr="000B3455">
        <w:rPr>
          <w:rFonts w:cstheme="minorHAnsi"/>
          <w:i/>
          <w:vertAlign w:val="subscript"/>
        </w:rPr>
        <w:t>6</w:t>
      </w:r>
      <w:r w:rsidRPr="000B3455">
        <w:rPr>
          <w:i/>
        </w:rPr>
        <w:t xml:space="preserve"> LN_ASSETS</w:t>
      </w:r>
      <w:r w:rsidRPr="000B3455">
        <w:rPr>
          <w:i/>
          <w:vertAlign w:val="subscript"/>
        </w:rPr>
        <w:t>it</w:t>
      </w:r>
      <w:r w:rsidRPr="000B3455">
        <w:rPr>
          <w:i/>
        </w:rPr>
        <w:t xml:space="preserve"> + </w:t>
      </w:r>
      <w:r w:rsidRPr="000B3455">
        <w:rPr>
          <w:rFonts w:cstheme="minorHAnsi"/>
          <w:i/>
        </w:rPr>
        <w:t>β</w:t>
      </w:r>
      <w:r w:rsidRPr="000B3455">
        <w:rPr>
          <w:rFonts w:cstheme="minorHAnsi"/>
          <w:i/>
          <w:vertAlign w:val="subscript"/>
        </w:rPr>
        <w:t>7</w:t>
      </w:r>
      <w:r w:rsidRPr="000B3455">
        <w:rPr>
          <w:i/>
          <w:vertAlign w:val="subscript"/>
        </w:rPr>
        <w:t xml:space="preserve"> </w:t>
      </w:r>
      <w:r w:rsidRPr="000B3455">
        <w:rPr>
          <w:i/>
        </w:rPr>
        <w:t>MTB</w:t>
      </w:r>
      <w:r w:rsidRPr="000B3455">
        <w:rPr>
          <w:i/>
          <w:vertAlign w:val="subscript"/>
        </w:rPr>
        <w:t>it</w:t>
      </w:r>
      <w:r w:rsidRPr="000B3455">
        <w:rPr>
          <w:rFonts w:cstheme="minorHAnsi"/>
          <w:i/>
        </w:rPr>
        <w:t xml:space="preserve"> + β</w:t>
      </w:r>
      <w:r w:rsidRPr="000B3455">
        <w:rPr>
          <w:rFonts w:cstheme="minorHAnsi"/>
          <w:i/>
          <w:vertAlign w:val="subscript"/>
        </w:rPr>
        <w:t>8</w:t>
      </w:r>
      <w:r w:rsidRPr="000B3455">
        <w:rPr>
          <w:i/>
        </w:rPr>
        <w:t xml:space="preserve"> RET</w:t>
      </w:r>
      <w:r w:rsidRPr="000B3455">
        <w:rPr>
          <w:i/>
          <w:vertAlign w:val="subscript"/>
        </w:rPr>
        <w:t>it</w:t>
      </w:r>
      <w:r w:rsidRPr="000B3455">
        <w:rPr>
          <w:rFonts w:cstheme="minorHAnsi"/>
          <w:i/>
        </w:rPr>
        <w:t xml:space="preserve"> + β</w:t>
      </w:r>
      <w:r w:rsidRPr="000B3455">
        <w:rPr>
          <w:rFonts w:cstheme="minorHAnsi"/>
          <w:i/>
          <w:vertAlign w:val="subscript"/>
        </w:rPr>
        <w:t>9</w:t>
      </w:r>
      <w:r w:rsidRPr="000B3455">
        <w:rPr>
          <w:i/>
        </w:rPr>
        <w:t xml:space="preserve"> VOL</w:t>
      </w:r>
      <w:r w:rsidRPr="000B3455">
        <w:rPr>
          <w:i/>
          <w:vertAlign w:val="subscript"/>
        </w:rPr>
        <w:t>it</w:t>
      </w:r>
      <w:r w:rsidRPr="000B3455">
        <w:rPr>
          <w:rFonts w:cstheme="minorHAnsi"/>
          <w:i/>
        </w:rPr>
        <w:t xml:space="preserve"> + β</w:t>
      </w:r>
      <w:r w:rsidRPr="000B3455">
        <w:rPr>
          <w:rFonts w:cstheme="minorHAnsi"/>
          <w:i/>
          <w:vertAlign w:val="subscript"/>
        </w:rPr>
        <w:t>10</w:t>
      </w:r>
      <w:r w:rsidRPr="000B3455">
        <w:rPr>
          <w:i/>
        </w:rPr>
        <w:t xml:space="preserve"> BOA_SIZE</w:t>
      </w:r>
      <w:r w:rsidRPr="000B3455">
        <w:rPr>
          <w:i/>
          <w:vertAlign w:val="subscript"/>
        </w:rPr>
        <w:t>it</w:t>
      </w:r>
      <w:r w:rsidRPr="000B3455">
        <w:rPr>
          <w:rFonts w:cstheme="minorHAnsi"/>
          <w:i/>
        </w:rPr>
        <w:t xml:space="preserve"> + β</w:t>
      </w:r>
      <w:r w:rsidRPr="000B3455">
        <w:rPr>
          <w:rFonts w:cstheme="minorHAnsi"/>
          <w:i/>
          <w:vertAlign w:val="subscript"/>
        </w:rPr>
        <w:t>11</w:t>
      </w:r>
      <w:r w:rsidRPr="000B3455">
        <w:rPr>
          <w:i/>
        </w:rPr>
        <w:t xml:space="preserve"> LIQ_CON</w:t>
      </w:r>
      <w:r w:rsidRPr="000B3455">
        <w:rPr>
          <w:i/>
          <w:vertAlign w:val="subscript"/>
        </w:rPr>
        <w:t>it</w:t>
      </w:r>
      <w:r w:rsidRPr="000B3455">
        <w:rPr>
          <w:rFonts w:cstheme="minorHAnsi"/>
          <w:i/>
        </w:rPr>
        <w:t xml:space="preserve"> + ∑</w:t>
      </w:r>
      <w:r w:rsidRPr="000B3455">
        <w:rPr>
          <w:i/>
        </w:rPr>
        <w:t xml:space="preserve"> IND_DUMM</w:t>
      </w:r>
      <w:r w:rsidRPr="000B3455">
        <w:rPr>
          <w:i/>
          <w:vertAlign w:val="subscript"/>
        </w:rPr>
        <w:t>it</w:t>
      </w:r>
      <w:r w:rsidRPr="000B3455">
        <w:rPr>
          <w:i/>
        </w:rPr>
        <w:t xml:space="preserve"> + </w:t>
      </w:r>
      <w:r w:rsidRPr="000B3455">
        <w:rPr>
          <w:rFonts w:hAnsi="Times New Roman" w:cs="Times New Roman"/>
          <w:i/>
        </w:rPr>
        <w:t>ɛ</w:t>
      </w:r>
      <w:r w:rsidRPr="000B3455">
        <w:rPr>
          <w:i/>
          <w:vertAlign w:val="subscript"/>
        </w:rPr>
        <w:t>it</w:t>
      </w:r>
    </w:p>
    <w:p w:rsidR="009C197F" w:rsidRPr="000B3455" w:rsidRDefault="00243D1D" w:rsidP="0088553E">
      <w:pPr>
        <w:spacing w:line="360" w:lineRule="auto"/>
        <w:jc w:val="both"/>
      </w:pPr>
      <w:r w:rsidRPr="000B3455">
        <w:t xml:space="preserve">It is important to keep in mind that the regression model distinguishes among each year in the period 2002-2007. The year 2002 is the starting year. Consequently, influences of other years (2003-2007) are indicated by the dummy variables for each year. </w:t>
      </w:r>
      <w:fldSimple w:instr=" REF VI \h  \* MERGEFORMAT ">
        <w:r w:rsidR="001D5F9A" w:rsidRPr="000B3455">
          <w:t>Appendix VI</w:t>
        </w:r>
      </w:fldSimple>
      <w:r w:rsidR="00952E8B">
        <w:t xml:space="preserve"> </w:t>
      </w:r>
      <w:r w:rsidR="00AB00B0" w:rsidRPr="00964355">
        <w:t>shows</w:t>
      </w:r>
      <w:r w:rsidR="00AB00B0" w:rsidRPr="000B3455">
        <w:t xml:space="preserve"> the output of the regression model. </w:t>
      </w:r>
      <w:r w:rsidR="00C424E9" w:rsidRPr="000B3455">
        <w:t>Note that because of the small sample size, a significance</w:t>
      </w:r>
      <w:r w:rsidR="008610DF" w:rsidRPr="000B3455">
        <w:t xml:space="preserve"> level</w:t>
      </w:r>
      <w:r w:rsidR="00C424E9" w:rsidRPr="000B3455">
        <w:t xml:space="preserve"> </w:t>
      </w:r>
      <w:r w:rsidR="008610DF" w:rsidRPr="000B3455">
        <w:t xml:space="preserve">of 10 % is used. </w:t>
      </w:r>
      <w:r w:rsidR="000864C0" w:rsidRPr="000B3455">
        <w:t xml:space="preserve">There are </w:t>
      </w:r>
      <w:r w:rsidR="00B841DF" w:rsidRPr="000B3455">
        <w:t>7</w:t>
      </w:r>
      <w:r w:rsidR="000864C0" w:rsidRPr="000B3455">
        <w:t xml:space="preserve"> dummy variables included in </w:t>
      </w:r>
      <w:r w:rsidR="000864C0" w:rsidRPr="000B3455">
        <w:rPr>
          <w:rFonts w:cstheme="minorHAnsi"/>
          <w:i/>
        </w:rPr>
        <w:t>∑</w:t>
      </w:r>
      <w:r w:rsidR="000864C0" w:rsidRPr="000B3455">
        <w:rPr>
          <w:i/>
        </w:rPr>
        <w:t xml:space="preserve"> IND_DUMM</w:t>
      </w:r>
      <w:r w:rsidR="000864C0" w:rsidRPr="000B3455">
        <w:rPr>
          <w:i/>
          <w:vertAlign w:val="subscript"/>
        </w:rPr>
        <w:t>it</w:t>
      </w:r>
      <w:r w:rsidR="000864C0" w:rsidRPr="000B3455">
        <w:t>.</w:t>
      </w:r>
      <w:r w:rsidR="00B841DF" w:rsidRPr="000B3455">
        <w:t xml:space="preserve"> </w:t>
      </w:r>
      <w:r w:rsidR="00AD3252" w:rsidRPr="000B3455">
        <w:t>Since the manufacturing industry is best represented, it will serve as the base value for comparison among different industries. Any significant industry dummy involves a significant deviation from the proportion of stock options in the manufacturing industry.</w:t>
      </w:r>
    </w:p>
    <w:p w:rsidR="004F5D4B" w:rsidRPr="000B3455" w:rsidRDefault="003236CF" w:rsidP="0088553E">
      <w:pPr>
        <w:spacing w:line="360" w:lineRule="auto"/>
        <w:jc w:val="both"/>
      </w:pPr>
      <w:fldSimple w:instr=" REF _Ref298855956 \h  \* MERGEFORMAT ">
        <w:r w:rsidR="001D5F9A">
          <w:t xml:space="preserve">Table </w:t>
        </w:r>
        <w:r w:rsidR="001D5F9A">
          <w:rPr>
            <w:noProof/>
          </w:rPr>
          <w:t>3</w:t>
        </w:r>
      </w:fldSimple>
      <w:r w:rsidR="00964355">
        <w:t xml:space="preserve"> </w:t>
      </w:r>
      <w:r w:rsidR="009C1BE9" w:rsidRPr="000B3455">
        <w:t xml:space="preserve">in </w:t>
      </w:r>
      <w:fldSimple w:instr=" REF VI \h  \* MERGEFORMAT ">
        <w:r w:rsidR="001D5F9A" w:rsidRPr="000B3455">
          <w:t>Appendix VI</w:t>
        </w:r>
      </w:fldSimple>
      <w:r w:rsidR="00952E8B">
        <w:t xml:space="preserve"> </w:t>
      </w:r>
      <w:r w:rsidR="009C1BE9" w:rsidRPr="000B3455">
        <w:t>shows a R</w:t>
      </w:r>
      <w:r w:rsidR="009C1BE9" w:rsidRPr="000B3455">
        <w:rPr>
          <w:vertAlign w:val="superscript"/>
        </w:rPr>
        <w:t>2</w:t>
      </w:r>
      <w:r w:rsidR="009C1BE9" w:rsidRPr="000B3455">
        <w:t xml:space="preserve"> of 0.141, implying an explanatory power of the regression model of 14.1 %. Although the regression model explains only 14.1 % of the variance of the proportion of the fair value of granted stock options</w:t>
      </w:r>
      <w:r w:rsidR="00F75108" w:rsidRPr="000B3455">
        <w:t xml:space="preserve">, the results of the ANOVA test in </w:t>
      </w:r>
      <w:fldSimple w:instr=" REF _Ref298856008 \h  \* MERGEFORMAT ">
        <w:r w:rsidR="001D5F9A">
          <w:t xml:space="preserve">Table </w:t>
        </w:r>
        <w:r w:rsidR="001D5F9A">
          <w:rPr>
            <w:noProof/>
          </w:rPr>
          <w:t>4</w:t>
        </w:r>
      </w:fldSimple>
      <w:r w:rsidR="00F75108" w:rsidRPr="000B3455">
        <w:t xml:space="preserve"> </w:t>
      </w:r>
      <w:r w:rsidR="008610DF" w:rsidRPr="000B3455">
        <w:t>show</w:t>
      </w:r>
      <w:r w:rsidR="00F75108" w:rsidRPr="000B3455">
        <w:t xml:space="preserve"> a p-value of 0.051, which is </w:t>
      </w:r>
      <w:r w:rsidR="00C424E9" w:rsidRPr="000B3455">
        <w:t>less</w:t>
      </w:r>
      <w:r w:rsidR="00F75108" w:rsidRPr="000B3455">
        <w:t xml:space="preserve"> than the significance level of </w:t>
      </w:r>
      <w:r w:rsidR="00C424E9" w:rsidRPr="000B3455">
        <w:t>10</w:t>
      </w:r>
      <w:r w:rsidR="00F75108" w:rsidRPr="000B3455">
        <w:t xml:space="preserve"> %</w:t>
      </w:r>
      <w:r w:rsidR="008610DF" w:rsidRPr="000B3455">
        <w:t xml:space="preserve">, indicating that the regression model is significant. </w:t>
      </w:r>
    </w:p>
    <w:p w:rsidR="00996D75" w:rsidRPr="000B3455" w:rsidRDefault="00727516" w:rsidP="0088553E">
      <w:pPr>
        <w:tabs>
          <w:tab w:val="left" w:pos="4253"/>
        </w:tabs>
        <w:spacing w:line="360" w:lineRule="auto"/>
        <w:jc w:val="both"/>
      </w:pPr>
      <w:r w:rsidRPr="000B3455">
        <w:t xml:space="preserve">As from </w:t>
      </w:r>
      <w:fldSimple w:instr=" REF _Ref298855999 \h  \* MERGEFORMAT ">
        <w:r w:rsidR="001D5F9A">
          <w:t xml:space="preserve">Table </w:t>
        </w:r>
        <w:r w:rsidR="001D5F9A">
          <w:rPr>
            <w:noProof/>
          </w:rPr>
          <w:t>5</w:t>
        </w:r>
      </w:fldSimple>
      <w:r w:rsidRPr="000B3455">
        <w:t xml:space="preserve"> in </w:t>
      </w:r>
      <w:fldSimple w:instr=" REF VI \h  \* MERGEFORMAT ">
        <w:r w:rsidR="001D5F9A" w:rsidRPr="000B3455">
          <w:t>Appendix VI</w:t>
        </w:r>
      </w:fldSimple>
      <w:r w:rsidRPr="000B3455">
        <w:t xml:space="preserve"> appears, the dummy variable for 2003 is insignificant with a p-value of 0.472</w:t>
      </w:r>
      <w:r w:rsidR="00F5182F" w:rsidRPr="000B3455">
        <w:rPr>
          <w:vertAlign w:val="superscript"/>
        </w:rPr>
        <w:footnoteReference w:id="9"/>
      </w:r>
      <w:r w:rsidRPr="000B3455">
        <w:t xml:space="preserve">. This suggests that the year 2003 has not got significant influence on the proportion of stock options to total compensation. For the years 2004, 2005 and 2006 the p-values (respectively 0.047, 0.018, and 0.015) are significant at a 10 % significance level. The unstandardized betas are all negative (-0.072, -0.098, and -0.095 respectively), which provide </w:t>
      </w:r>
      <w:r w:rsidR="00045BB5" w:rsidRPr="000B3455">
        <w:t>support for a decline in the proportion of stock options to total compensation starting in 2004,</w:t>
      </w:r>
      <w:r w:rsidR="00F5182F" w:rsidRPr="000B3455">
        <w:t xml:space="preserve"> while controlling for industry influences</w:t>
      </w:r>
      <w:r w:rsidR="00045BB5" w:rsidRPr="000B3455">
        <w:t xml:space="preserve"> and economic factors. The stronger p-values and lower </w:t>
      </w:r>
      <w:r w:rsidR="00F5182F" w:rsidRPr="000B3455">
        <w:t>un</w:t>
      </w:r>
      <w:r w:rsidR="00045BB5" w:rsidRPr="000B3455">
        <w:t xml:space="preserve">standardized betas of 2005 and 2006 compared to 2004 suggest that 2005 and 2006 had a greater impact on the decrease in proportion of stock option compensation. </w:t>
      </w:r>
      <w:r w:rsidR="009E7A9A" w:rsidRPr="000B3455">
        <w:t>T</w:t>
      </w:r>
      <w:r w:rsidR="009C197F" w:rsidRPr="000B3455">
        <w:t>he dummy for 2007 is slightly insignificant (p-value of 0.109)</w:t>
      </w:r>
      <w:r w:rsidR="009E7A9A" w:rsidRPr="000B3455">
        <w:t xml:space="preserve">. </w:t>
      </w:r>
      <w:r w:rsidR="00961F92" w:rsidRPr="000B3455">
        <w:t xml:space="preserve">The significantly negative beta for 2005 coincides with the expectations. The significantly negative beta for 2004 indicates that the </w:t>
      </w:r>
      <w:r w:rsidR="00961F92" w:rsidRPr="000B3455">
        <w:lastRenderedPageBreak/>
        <w:t>negative trend for stock option compensation already started in 2004</w:t>
      </w:r>
      <w:r w:rsidR="00310DCB" w:rsidRPr="000B3455">
        <w:t>, with a decrease of approximately 7 %-points</w:t>
      </w:r>
      <w:r w:rsidR="005B1ACB" w:rsidRPr="000B3455">
        <w:t xml:space="preserve"> compared to 2002 and 2003</w:t>
      </w:r>
      <w:r w:rsidR="005B1ACB" w:rsidRPr="000B3455">
        <w:rPr>
          <w:vertAlign w:val="superscript"/>
        </w:rPr>
        <w:footnoteReference w:id="10"/>
      </w:r>
      <w:r w:rsidR="002637C5" w:rsidRPr="000B3455">
        <w:t>.</w:t>
      </w:r>
      <w:r w:rsidR="00961F92" w:rsidRPr="000B3455">
        <w:t xml:space="preserve"> The betas for 2005 and 2006 show that the already declining trend dropped with almost 10 %-points in 2005 and 9.5 %-point</w:t>
      </w:r>
      <w:r w:rsidR="00310DCB" w:rsidRPr="000B3455">
        <w:t>s</w:t>
      </w:r>
      <w:r w:rsidR="00961F92" w:rsidRPr="000B3455">
        <w:t xml:space="preserve"> in 2006</w:t>
      </w:r>
      <w:r w:rsidR="005B1ACB" w:rsidRPr="000B3455">
        <w:t>, compared to 2002 and 2003</w:t>
      </w:r>
      <w:r w:rsidR="00961F92" w:rsidRPr="000B3455">
        <w:t xml:space="preserve">. </w:t>
      </w:r>
      <w:r w:rsidR="00C57ABD" w:rsidRPr="000B3455">
        <w:t xml:space="preserve"> </w:t>
      </w:r>
    </w:p>
    <w:p w:rsidR="00C57ABD" w:rsidRPr="003A7C47" w:rsidRDefault="00996D75" w:rsidP="0088553E">
      <w:pPr>
        <w:pStyle w:val="Caption"/>
        <w:spacing w:line="360" w:lineRule="auto"/>
        <w:jc w:val="both"/>
      </w:pPr>
      <w:r w:rsidRPr="003A7C47">
        <w:rPr>
          <w:noProof/>
          <w:lang w:val="nl-NL" w:eastAsia="nl-NL" w:bidi="ar-SA"/>
        </w:rPr>
        <w:drawing>
          <wp:anchor distT="0" distB="0" distL="114300" distR="114300" simplePos="0" relativeHeight="251658240" behindDoc="0" locked="0" layoutInCell="1" allowOverlap="1">
            <wp:simplePos x="0" y="0"/>
            <wp:positionH relativeFrom="column">
              <wp:posOffset>19050</wp:posOffset>
            </wp:positionH>
            <wp:positionV relativeFrom="paragraph">
              <wp:posOffset>39370</wp:posOffset>
            </wp:positionV>
            <wp:extent cx="3295650" cy="2371725"/>
            <wp:effectExtent l="19050" t="0" r="19050" b="0"/>
            <wp:wrapSquare wrapText="bothSides"/>
            <wp:docPr id="13"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sidR="00862B30" w:rsidRPr="003A7C47">
        <w:t>Figure</w:t>
      </w:r>
      <w:r w:rsidR="00D51742" w:rsidRPr="003A7C47">
        <w:t xml:space="preserve"> </w:t>
      </w:r>
      <w:r w:rsidR="00775062">
        <w:t>6-</w:t>
      </w:r>
      <w:r w:rsidR="00D51742" w:rsidRPr="003A7C47">
        <w:t>1</w:t>
      </w:r>
      <w:r w:rsidRPr="003A7C47">
        <w:t xml:space="preserve">: </w:t>
      </w:r>
      <w:r w:rsidRPr="00E52E87">
        <w:rPr>
          <w:b w:val="0"/>
          <w:i/>
          <w:color w:val="auto"/>
        </w:rPr>
        <w:t xml:space="preserve">This figure displays the trend of the proportion of stock options to total compensation, according to the unstandardized betas of the regression model, with a reference proportion of stock options to total compensation of 30 % in the years 2002, 2003 and 2007. The years 2004-2006 differ significantly with the </w:t>
      </w:r>
      <w:r w:rsidR="00862B30" w:rsidRPr="00E52E87">
        <w:rPr>
          <w:b w:val="0"/>
          <w:i/>
          <w:color w:val="auto"/>
        </w:rPr>
        <w:t>reference</w:t>
      </w:r>
      <w:r w:rsidRPr="00E52E87">
        <w:rPr>
          <w:b w:val="0"/>
          <w:i/>
          <w:color w:val="auto"/>
        </w:rPr>
        <w:t xml:space="preserve"> value of 30%.</w:t>
      </w:r>
    </w:p>
    <w:p w:rsidR="00996D75" w:rsidRPr="000B3455" w:rsidRDefault="00996D75" w:rsidP="0088553E">
      <w:pPr>
        <w:spacing w:line="360" w:lineRule="auto"/>
        <w:jc w:val="both"/>
      </w:pPr>
    </w:p>
    <w:p w:rsidR="00996D75" w:rsidRDefault="00996D75" w:rsidP="0088553E">
      <w:pPr>
        <w:spacing w:line="360" w:lineRule="auto"/>
        <w:jc w:val="both"/>
      </w:pPr>
    </w:p>
    <w:p w:rsidR="00AF711A" w:rsidRPr="000B3455" w:rsidRDefault="00E52E87" w:rsidP="0088553E">
      <w:pPr>
        <w:spacing w:line="360" w:lineRule="auto"/>
        <w:jc w:val="both"/>
      </w:pPr>
      <w:r>
        <w:br/>
      </w:r>
      <w:r w:rsidR="00C6005E" w:rsidRPr="000B3455">
        <w:t>Article 383c required companies to disclose the amounts of remuneration granted to t</w:t>
      </w:r>
      <w:r w:rsidR="00E77028" w:rsidRPr="000B3455">
        <w:t xml:space="preserve">he board of directors. While stock options </w:t>
      </w:r>
      <w:r w:rsidR="00DE6541" w:rsidRPr="000B3455">
        <w:t>had a disrepute, due to corporate scandals, and investors were concerned for excessive compensation (Aboody et al., 2004, p</w:t>
      </w:r>
      <w:r w:rsidR="00A00F8F">
        <w:t>.</w:t>
      </w:r>
      <w:r w:rsidR="00DE6541" w:rsidRPr="000B3455">
        <w:t xml:space="preserve"> 153), companies may have been afraid that the public exposure of remuneration leads to societal pressure to decrease remuneration. However, the influence of Article 383c </w:t>
      </w:r>
      <w:r w:rsidR="00C6005E" w:rsidRPr="000B3455">
        <w:t xml:space="preserve">on the proportion of stock option compensation can be arguable, since the proportion in 2003 did not significantly differ from the one in 2002. </w:t>
      </w:r>
      <w:r w:rsidR="00310DCB" w:rsidRPr="000B3455">
        <w:t xml:space="preserve">Although the </w:t>
      </w:r>
      <w:r w:rsidR="00754E7B" w:rsidRPr="000B3455">
        <w:t xml:space="preserve">decline started in 2004, the sharpest decrease in the proportion of stock option to total compensation took place in 2005 and 2006. IFRS 2 was published in February, 2004, after a period of receiving comments on the exposure </w:t>
      </w:r>
      <w:r w:rsidR="00261BE2" w:rsidRPr="000B3455">
        <w:t>draft that</w:t>
      </w:r>
      <w:r w:rsidR="00754E7B" w:rsidRPr="000B3455">
        <w:t xml:space="preserve"> was issued in November, 2002. </w:t>
      </w:r>
      <w:r w:rsidR="00CB221E" w:rsidRPr="000B3455">
        <w:t xml:space="preserve">Consistent with Swagerman and Terpstra (2009), the results show that the prevalence of stock option compensation was declining before 2005. Following Swagerman and Terpstra (2009), the change in stock option grants in 2004 </w:t>
      </w:r>
      <w:r w:rsidR="002861D5" w:rsidRPr="000B3455">
        <w:t xml:space="preserve">might </w:t>
      </w:r>
      <w:r w:rsidR="00CB221E" w:rsidRPr="000B3455">
        <w:t xml:space="preserve">indicate that companies were preparing for the mandatory expensing of stock options. The exposure draft in November, 2002 made it possible to change the remuneration policy for the next years. </w:t>
      </w:r>
      <w:r w:rsidR="00C57ABD" w:rsidRPr="000B3455">
        <w:t>On the other hand, the decline in 2004 might be the result of</w:t>
      </w:r>
      <w:r w:rsidR="00644052" w:rsidRPr="000B3455">
        <w:t xml:space="preserve"> </w:t>
      </w:r>
      <w:r w:rsidR="00C57ABD" w:rsidRPr="000B3455">
        <w:t>mandatory compliance</w:t>
      </w:r>
      <w:r w:rsidR="00644052" w:rsidRPr="000B3455">
        <w:t xml:space="preserve"> with the Dutch Corporate Governance Code</w:t>
      </w:r>
      <w:r w:rsidR="00C57ABD" w:rsidRPr="000B3455">
        <w:t>. First, s</w:t>
      </w:r>
      <w:r w:rsidR="00FB4CE2" w:rsidRPr="000B3455">
        <w:t xml:space="preserve">tock options </w:t>
      </w:r>
      <w:r w:rsidR="00C57ABD" w:rsidRPr="000B3455">
        <w:t>required a vesting period, making it less attractive to directors as a compensation form. Second, companies had to install</w:t>
      </w:r>
      <w:r w:rsidR="00FB4CE2" w:rsidRPr="000B3455">
        <w:t xml:space="preserve"> a remuneration policy for upcoming years</w:t>
      </w:r>
      <w:r w:rsidR="00996D75" w:rsidRPr="000B3455">
        <w:t xml:space="preserve"> and </w:t>
      </w:r>
      <w:r w:rsidR="00996D75" w:rsidRPr="000B3455">
        <w:lastRenderedPageBreak/>
        <w:t xml:space="preserve">disclose it in its annual report, causing an even bigger public exposure of remuneration practices. </w:t>
      </w:r>
      <w:r w:rsidR="00FB4CE2" w:rsidRPr="000B3455">
        <w:t>This may, as well, le</w:t>
      </w:r>
      <w:r w:rsidR="00D042AF" w:rsidRPr="000B3455">
        <w:t>a</w:t>
      </w:r>
      <w:r w:rsidR="00FB4CE2" w:rsidRPr="000B3455">
        <w:t xml:space="preserve">d to a decline in granted stock options. </w:t>
      </w:r>
    </w:p>
    <w:p w:rsidR="008F25A9" w:rsidRPr="000B3455" w:rsidRDefault="002B49EA" w:rsidP="0088553E">
      <w:pPr>
        <w:spacing w:line="360" w:lineRule="auto"/>
        <w:jc w:val="both"/>
      </w:pPr>
      <w:r w:rsidRPr="000B3455">
        <w:t xml:space="preserve">The regression model levels out economic and industry factors that might </w:t>
      </w:r>
      <w:r w:rsidR="00261BE2" w:rsidRPr="000B3455">
        <w:t>have</w:t>
      </w:r>
      <w:r w:rsidRPr="000B3455">
        <w:t xml:space="preserve"> an influence on the proportion of stock option compensation. According to the results, displayed in </w:t>
      </w:r>
      <w:fldSimple w:instr=" REF _Ref298855999 \h  \* MERGEFORMAT ">
        <w:r w:rsidR="001D5F9A">
          <w:t xml:space="preserve">Table </w:t>
        </w:r>
        <w:r w:rsidR="001D5F9A">
          <w:rPr>
            <w:noProof/>
          </w:rPr>
          <w:t>5</w:t>
        </w:r>
      </w:fldSimple>
      <w:r w:rsidRPr="000B3455">
        <w:t xml:space="preserve"> of </w:t>
      </w:r>
      <w:fldSimple w:instr=" REF VI \h  \* MERGEFORMAT ">
        <w:r w:rsidR="001D5F9A" w:rsidRPr="000B3455">
          <w:t>Appendix VI</w:t>
        </w:r>
      </w:fldSimple>
      <w:r w:rsidRPr="000B3455">
        <w:t xml:space="preserve">, all industries did not have any significant relation to the proportion of stock option compensation in total compensation. </w:t>
      </w:r>
      <w:r w:rsidR="004C1E2E" w:rsidRPr="000B3455">
        <w:t>For the economic factors concerned, the natural logarithm of assets and the market-to-book ratio are significantly positive explanatory variables</w:t>
      </w:r>
      <w:r w:rsidR="0096665C" w:rsidRPr="000B3455">
        <w:t xml:space="preserve">. </w:t>
      </w:r>
      <w:r w:rsidR="00674F53" w:rsidRPr="000B3455">
        <w:t>Consistent with the expectations</w:t>
      </w:r>
      <w:r w:rsidR="00EF0DFA" w:rsidRPr="000B3455">
        <w:t>,</w:t>
      </w:r>
      <w:r w:rsidR="00674F53" w:rsidRPr="000B3455">
        <w:t xml:space="preserve"> and the findings of Murphy (199</w:t>
      </w:r>
      <w:r w:rsidR="007A0CBE" w:rsidRPr="000B3455">
        <w:t>8</w:t>
      </w:r>
      <w:r w:rsidR="00674F53" w:rsidRPr="000B3455">
        <w:t xml:space="preserve">), Carter et al. (2007), and Chalmers et al. (2006), the size of a company, indicated by the natural logarithm of assets, explains the value of stock option compensation. </w:t>
      </w:r>
      <w:r w:rsidR="007703A4" w:rsidRPr="000B3455">
        <w:t xml:space="preserve">This supports the proposition that larger companies want better directors, </w:t>
      </w:r>
      <w:r w:rsidR="000B084D" w:rsidRPr="000B3455">
        <w:t>who</w:t>
      </w:r>
      <w:r w:rsidR="007703A4" w:rsidRPr="000B3455">
        <w:t xml:space="preserve"> demand higher pay. Because these better directors expect</w:t>
      </w:r>
      <w:r w:rsidR="006B0D31" w:rsidRPr="000B3455">
        <w:t xml:space="preserve"> themselves</w:t>
      </w:r>
      <w:r w:rsidR="007703A4" w:rsidRPr="000B3455">
        <w:t xml:space="preserve"> </w:t>
      </w:r>
      <w:r w:rsidR="006B0D31" w:rsidRPr="000B3455">
        <w:t>to increase the share price, they will favor relatively more stock options in their remuneration (Hall and Murphy</w:t>
      </w:r>
      <w:r w:rsidR="00502BB0" w:rsidRPr="000B3455">
        <w:t>, 2</w:t>
      </w:r>
      <w:r w:rsidR="006B0D31" w:rsidRPr="000B3455">
        <w:t xml:space="preserve">003, </w:t>
      </w:r>
      <w:r w:rsidR="00EB350F" w:rsidRPr="000B3455">
        <w:t>p</w:t>
      </w:r>
      <w:r w:rsidR="00C523A8" w:rsidRPr="000B3455">
        <w:t>p</w:t>
      </w:r>
      <w:r w:rsidR="00EB350F" w:rsidRPr="000B3455">
        <w:t xml:space="preserve">. </w:t>
      </w:r>
      <w:r w:rsidR="006B0D31" w:rsidRPr="000B3455">
        <w:t>56-57), which leads to a higher proportion of the fair value of stock options in total compensation.</w:t>
      </w:r>
      <w:r w:rsidR="000C0003" w:rsidRPr="000B3455">
        <w:t xml:space="preserve"> The market-to-book ratio stands for the growth opportunities of a firm. According to Chalmers et al. (2006, </w:t>
      </w:r>
      <w:r w:rsidR="00EB350F" w:rsidRPr="000B3455">
        <w:t xml:space="preserve">p. </w:t>
      </w:r>
      <w:r w:rsidR="000C0003" w:rsidRPr="000B3455">
        <w:t xml:space="preserve">268), there are two reasons for firms with growth opportunities to grant stock options as compensation. The first reason is that it should tackle the information asymmetry between the </w:t>
      </w:r>
      <w:r w:rsidR="00AF711A" w:rsidRPr="000B3455">
        <w:t>shareholder and the manager. Managers in high growth opportunity firms may have more information than the shareholder, causing information asymmetry and monitoring difficulties. To mitigate this problem the manager is granted with stock options to align the interests of the manager with those of the shareholder. The second reason involves the shortage of financial resources in a growth opportunity firm, which makes these firms tend to grant more stock options, as there is no cash outflow. Whether the second reason is applicable can be argued, since the variable for liquidity constraints is found to be insignificant.</w:t>
      </w:r>
      <w:r w:rsidR="008F25A9" w:rsidRPr="000B3455">
        <w:t xml:space="preserve"> From the same table, it also appears that finance, insurance and real estate industry, represented by 4 out of 34 companies, has a significantly lower proportion of stock options. The services industry, with 8 companies, grant directors with a significantly higher proportion of stock options. Although these results are significant</w:t>
      </w:r>
      <w:r w:rsidR="009E1F76" w:rsidRPr="000B3455">
        <w:t xml:space="preserve">, one should be aware of the low number of companies represented by the different industries. Accordingly, these industry dummies </w:t>
      </w:r>
    </w:p>
    <w:p w:rsidR="00812CEE" w:rsidRPr="000B3455" w:rsidRDefault="00812CEE" w:rsidP="0088553E">
      <w:pPr>
        <w:spacing w:line="360" w:lineRule="auto"/>
        <w:jc w:val="both"/>
      </w:pPr>
      <w:r w:rsidRPr="000B3455">
        <w:t xml:space="preserve">When performing a statistical regression one should be aware of multicollinearity. A problem arises when independent variables are mutually related. To see whether multicollinearity is a problem in this regression model, SPSS includes collinearity diagnostics. The results for this regression model are </w:t>
      </w:r>
      <w:r w:rsidRPr="000B3455">
        <w:lastRenderedPageBreak/>
        <w:t xml:space="preserve">displayed in </w:t>
      </w:r>
      <w:fldSimple w:instr=" REF _Ref298856950 \h  \* MERGEFORMAT ">
        <w:r w:rsidR="001D5F9A">
          <w:t xml:space="preserve">Table </w:t>
        </w:r>
        <w:r w:rsidR="001D5F9A">
          <w:rPr>
            <w:noProof/>
          </w:rPr>
          <w:t>6</w:t>
        </w:r>
      </w:fldSimple>
      <w:r w:rsidR="00952E8B">
        <w:t xml:space="preserve"> </w:t>
      </w:r>
      <w:r w:rsidRPr="000B3455">
        <w:t xml:space="preserve">in </w:t>
      </w:r>
      <w:fldSimple w:instr=" REF VI \h  \* MERGEFORMAT ">
        <w:r w:rsidR="001D5F9A" w:rsidRPr="000B3455">
          <w:t>Appendix VI</w:t>
        </w:r>
      </w:fldSimple>
      <w:r w:rsidRPr="000B3455">
        <w:t>, which shows that the VIF-values of all variables does not arise above 3.031. Since these values are well below 10, multicollinearity does not seem to be a problem.</w:t>
      </w:r>
    </w:p>
    <w:p w:rsidR="00644052" w:rsidRPr="000B3455" w:rsidRDefault="00644052" w:rsidP="0088553E">
      <w:pPr>
        <w:pStyle w:val="Heading3"/>
        <w:spacing w:line="360" w:lineRule="auto"/>
        <w:jc w:val="both"/>
      </w:pPr>
      <w:bookmarkStart w:id="80" w:name="_Toc298944590"/>
      <w:r w:rsidRPr="000B3455">
        <w:t>6.1.3 Conclusion</w:t>
      </w:r>
      <w:bookmarkEnd w:id="80"/>
    </w:p>
    <w:p w:rsidR="00644052" w:rsidRPr="000B3455" w:rsidRDefault="00644052" w:rsidP="0088553E">
      <w:pPr>
        <w:spacing w:line="360" w:lineRule="auto"/>
        <w:jc w:val="both"/>
      </w:pPr>
      <w:r w:rsidRPr="000B3455">
        <w:t>After controlling for industries and economic factors, the proportion of the fair value of stock options in total compensation has a declining trend starting in 2004</w:t>
      </w:r>
      <w:r w:rsidR="00B0343B" w:rsidRPr="000B3455">
        <w:t xml:space="preserve"> consistent with the results of Swagerman and Terpstra (2009)</w:t>
      </w:r>
      <w:r w:rsidRPr="000B3455">
        <w:t xml:space="preserve">. </w:t>
      </w:r>
      <w:r w:rsidR="00FB4CE2" w:rsidRPr="000B3455">
        <w:t>In both 2005 and 2006 the proportion of stock options sharply decreased with 10</w:t>
      </w:r>
      <w:r w:rsidR="00AC308C" w:rsidRPr="000B3455">
        <w:t xml:space="preserve"> %-points and 9.5 %-points, respectively. </w:t>
      </w:r>
      <w:r w:rsidR="002861D5" w:rsidRPr="000B3455">
        <w:t xml:space="preserve">As there was no sudden decline in 2005, it </w:t>
      </w:r>
      <w:r w:rsidR="009326A3" w:rsidRPr="000B3455">
        <w:t>is not plausible</w:t>
      </w:r>
      <w:r w:rsidR="002861D5" w:rsidRPr="000B3455">
        <w:t xml:space="preserve"> </w:t>
      </w:r>
      <w:r w:rsidR="009326A3" w:rsidRPr="000B3455">
        <w:t>that</w:t>
      </w:r>
      <w:r w:rsidR="002861D5" w:rsidRPr="000B3455">
        <w:t xml:space="preserve"> </w:t>
      </w:r>
      <w:r w:rsidR="00583A0B" w:rsidRPr="000B3455">
        <w:t>IFRS 2 was the only cause for a declining proportion of stock options. Although</w:t>
      </w:r>
      <w:r w:rsidR="00AC308C" w:rsidRPr="000B3455">
        <w:t xml:space="preserve"> the introduction o</w:t>
      </w:r>
      <w:r w:rsidR="00583A0B" w:rsidRPr="000B3455">
        <w:t>f IFRS 2 might likely cause the</w:t>
      </w:r>
      <w:r w:rsidR="00AC308C" w:rsidRPr="000B3455">
        <w:t xml:space="preserve"> sharp decline</w:t>
      </w:r>
      <w:r w:rsidR="00583A0B" w:rsidRPr="000B3455">
        <w:t xml:space="preserve"> in 2005 and 2006</w:t>
      </w:r>
      <w:r w:rsidR="00AC308C" w:rsidRPr="000B3455">
        <w:t>, the influence of the Dutch Corporate Govern</w:t>
      </w:r>
      <w:r w:rsidR="002861D5" w:rsidRPr="000B3455">
        <w:t>ance Code should not be ignored. Presumably, t</w:t>
      </w:r>
      <w:r w:rsidR="00AC308C" w:rsidRPr="000B3455">
        <w:t>he Code, in combination with Article 383c, led to exposing remuneration practi</w:t>
      </w:r>
      <w:r w:rsidR="002861D5" w:rsidRPr="000B3455">
        <w:t>ces of companies to the public and probable social pressure from the public to change remuneration practices.</w:t>
      </w:r>
      <w:r w:rsidR="00B0343B" w:rsidRPr="000B3455">
        <w:t xml:space="preserve"> In particular, the mandatory compliance with the Code since 2004 might be the main cause for the decline of stock option compensation in 2004, whereas the introduction of IFRS 2 might be held accountable for the decline in 2005 and 2006.</w:t>
      </w:r>
      <w:r w:rsidR="002861D5" w:rsidRPr="000B3455">
        <w:t xml:space="preserve"> </w:t>
      </w:r>
      <w:r w:rsidR="00B0343B" w:rsidRPr="000B3455">
        <w:t>Consequently, t</w:t>
      </w:r>
      <w:r w:rsidR="002861D5" w:rsidRPr="000B3455">
        <w:t xml:space="preserve">he influence of IFRS 2 on the proportion of stock options should not be considered independently, but in combination with </w:t>
      </w:r>
      <w:r w:rsidR="009326A3" w:rsidRPr="000B3455">
        <w:t>the influence o</w:t>
      </w:r>
      <w:r w:rsidR="00B0343B" w:rsidRPr="000B3455">
        <w:t>f the Corporate</w:t>
      </w:r>
      <w:r w:rsidR="003830D2" w:rsidRPr="000B3455">
        <w:t xml:space="preserve"> Governance Code</w:t>
      </w:r>
      <w:r w:rsidR="00B0343B" w:rsidRPr="000B3455">
        <w:t>. Afr</w:t>
      </w:r>
      <w:r w:rsidR="002861D5" w:rsidRPr="000B3455">
        <w:t>aid of social pressure from the public</w:t>
      </w:r>
      <w:r w:rsidR="00B0343B" w:rsidRPr="000B3455">
        <w:t xml:space="preserve"> </w:t>
      </w:r>
      <w:r w:rsidR="002861D5" w:rsidRPr="000B3455">
        <w:t xml:space="preserve">and the less favorable accounting methods prescribed by IFRS 2, companies might have altered stock option compensation schemes. </w:t>
      </w:r>
      <w:r w:rsidR="00DB6DAB" w:rsidRPr="000B3455">
        <w:t>Consistent with Murphy (1998), Carter et al. (2007), Chalmers et al. (2006), and (Hall and Murphy, 2003), bigger companies grant a higher proportion of stock options, because bigger firms require high quality directors, who are convinced that they are able to increase the share price. Additionally, high growth opportunity firms suffer from a higher level of information asymmetry. In order to tackle this problem, managers are often compensated with a relatively higher amount of stock options, as Chalmers et al. (2006) suggest.</w:t>
      </w:r>
    </w:p>
    <w:p w:rsidR="00583A0B" w:rsidRPr="000B3455" w:rsidRDefault="001A21A2" w:rsidP="0088553E">
      <w:pPr>
        <w:pStyle w:val="Heading2"/>
        <w:spacing w:line="360" w:lineRule="auto"/>
        <w:jc w:val="both"/>
      </w:pPr>
      <w:bookmarkStart w:id="81" w:name="_Toc298944591"/>
      <w:r w:rsidRPr="000B3455">
        <w:t>6.2 Results on hypothesis 2</w:t>
      </w:r>
      <w:bookmarkEnd w:id="81"/>
    </w:p>
    <w:p w:rsidR="0092075A" w:rsidRPr="000B3455" w:rsidRDefault="00A16680" w:rsidP="0088553E">
      <w:pPr>
        <w:spacing w:line="360" w:lineRule="auto"/>
        <w:jc w:val="both"/>
      </w:pPr>
      <w:r w:rsidRPr="000B3455">
        <w:t xml:space="preserve">As discussed in chapter 3, Dutch GAAP </w:t>
      </w:r>
      <w:r w:rsidR="0092075A" w:rsidRPr="000B3455">
        <w:t>ha</w:t>
      </w:r>
      <w:r w:rsidR="008F25A9" w:rsidRPr="000B3455">
        <w:t>d</w:t>
      </w:r>
      <w:r w:rsidR="0092075A" w:rsidRPr="000B3455">
        <w:t xml:space="preserve"> a more favorable accounting treatment of shares granted as remuneration relative to IFRS 2. This suggests that the proportion of shares granted to total compensation should decline after the effective date of IFRS 2, namely 2005. As stated in the hypothesis: </w:t>
      </w:r>
    </w:p>
    <w:p w:rsidR="0092075A" w:rsidRPr="000B3455" w:rsidRDefault="0092075A" w:rsidP="0088553E">
      <w:pPr>
        <w:spacing w:line="360" w:lineRule="auto"/>
        <w:jc w:val="both"/>
        <w:rPr>
          <w:rFonts w:cstheme="minorHAnsi"/>
          <w:i/>
        </w:rPr>
      </w:pPr>
      <w:r w:rsidRPr="000B3455">
        <w:rPr>
          <w:rFonts w:cstheme="minorHAnsi"/>
          <w:i/>
        </w:rPr>
        <w:t>H2: The proportion of the fair value of granted shares to the board of directors of total compensation has decreased after the mandatory adoption of IFRS for Dutch-listed companies.</w:t>
      </w:r>
    </w:p>
    <w:p w:rsidR="00A16680" w:rsidRPr="000B3455" w:rsidRDefault="0092075A" w:rsidP="0088553E">
      <w:pPr>
        <w:spacing w:line="360" w:lineRule="auto"/>
        <w:jc w:val="both"/>
      </w:pPr>
      <w:r w:rsidRPr="000B3455">
        <w:lastRenderedPageBreak/>
        <w:t>This section discusses the descriptive statistics, and the statistical findings on hypothesis 2 combined with an analysis of the results to provide an insight what effect the ch</w:t>
      </w:r>
      <w:r w:rsidR="008F25A9" w:rsidRPr="000B3455">
        <w:t>ange in accounting treatment has had</w:t>
      </w:r>
      <w:r w:rsidRPr="000B3455">
        <w:t xml:space="preserve"> on the value of granted shares as remuneration.</w:t>
      </w:r>
    </w:p>
    <w:p w:rsidR="0092075A" w:rsidRPr="000B3455" w:rsidRDefault="0092075A" w:rsidP="0088553E">
      <w:pPr>
        <w:pStyle w:val="Heading3"/>
        <w:spacing w:line="360" w:lineRule="auto"/>
        <w:jc w:val="both"/>
      </w:pPr>
      <w:bookmarkStart w:id="82" w:name="_Toc298944592"/>
      <w:r w:rsidRPr="000B3455">
        <w:t>6.2.1 Descriptive statistics</w:t>
      </w:r>
      <w:bookmarkEnd w:id="82"/>
    </w:p>
    <w:p w:rsidR="00CA149E" w:rsidRPr="000B3455" w:rsidRDefault="00A16680" w:rsidP="0088553E">
      <w:pPr>
        <w:spacing w:line="360" w:lineRule="auto"/>
        <w:jc w:val="both"/>
      </w:pPr>
      <w:r w:rsidRPr="000B3455">
        <w:t xml:space="preserve">Testing for the change in composition of remuneration regarding granted shares requires a different sample, compared to hypothesis 1. Of the 44 firms in the final sample, 29 firms meet the requirement to be included in the sample for hypothesis 2. </w:t>
      </w:r>
      <w:r w:rsidR="00A40E2A" w:rsidRPr="000B3455">
        <w:t xml:space="preserve">As appears from </w:t>
      </w:r>
      <w:fldSimple w:instr=" REF _Ref298857001 \h  \* MERGEFORMAT ">
        <w:r w:rsidR="001D5F9A" w:rsidRPr="00D51742">
          <w:t xml:space="preserve">Table </w:t>
        </w:r>
        <w:r w:rsidR="001D5F9A">
          <w:rPr>
            <w:noProof/>
          </w:rPr>
          <w:t>7</w:t>
        </w:r>
      </w:fldSimple>
      <w:r w:rsidR="00952E8B">
        <w:t xml:space="preserve"> </w:t>
      </w:r>
      <w:r w:rsidR="00A40E2A" w:rsidRPr="000B3455">
        <w:t xml:space="preserve">in </w:t>
      </w:r>
      <w:fldSimple w:instr=" REF VII \h  \* MERGEFORMAT ">
        <w:r w:rsidR="001D5F9A" w:rsidRPr="000B3455">
          <w:t>Appendix VII</w:t>
        </w:r>
      </w:fldSimple>
      <w:r w:rsidR="00A40E2A" w:rsidRPr="000B3455">
        <w:t xml:space="preserve">, the sample does not include any firms from the agricultural, forestry, and fishing industry, as well as from the public administration sectors. Neither are </w:t>
      </w:r>
      <w:r w:rsidR="008F25A9" w:rsidRPr="000B3455">
        <w:t xml:space="preserve">there </w:t>
      </w:r>
      <w:r w:rsidR="00A40E2A" w:rsidRPr="000B3455">
        <w:t>any nonclassif</w:t>
      </w:r>
      <w:r w:rsidR="004420B5" w:rsidRPr="000B3455">
        <w:t>iable establishments.</w:t>
      </w:r>
      <w:r w:rsidR="00A40E2A" w:rsidRPr="000B3455">
        <w:t xml:space="preserve"> </w:t>
      </w:r>
      <w:fldSimple w:instr=" REF _Ref298857048 \h  \* MERGEFORMAT ">
        <w:r w:rsidR="001D5F9A">
          <w:t xml:space="preserve">Table </w:t>
        </w:r>
        <w:r w:rsidR="001D5F9A">
          <w:rPr>
            <w:noProof/>
          </w:rPr>
          <w:t>8</w:t>
        </w:r>
      </w:fldSimple>
      <w:r w:rsidR="00952E8B">
        <w:t xml:space="preserve"> </w:t>
      </w:r>
      <w:r w:rsidR="00A40E2A" w:rsidRPr="000B3455">
        <w:t xml:space="preserve">in </w:t>
      </w:r>
      <w:fldSimple w:instr=" REF VII \h  \* MERGEFORMAT ">
        <w:r w:rsidR="001D5F9A" w:rsidRPr="000B3455">
          <w:t>Appendix VII</w:t>
        </w:r>
      </w:fldSimple>
      <w:r w:rsidR="00952E8B">
        <w:t xml:space="preserve"> </w:t>
      </w:r>
      <w:r w:rsidR="00A40E2A" w:rsidRPr="000B3455">
        <w:t xml:space="preserve">shows that the average proportion of shares to total compensation in 174 firm years is approximately 16.3 % and has a maximum proportion of almost 70 %. </w:t>
      </w:r>
      <w:r w:rsidR="00056A77" w:rsidRPr="000B3455">
        <w:t xml:space="preserve">As in 64 of the 174 firm years the proportion shares to total compensation was null, </w:t>
      </w:r>
      <w:fldSimple w:instr=" REF _Ref298857089 \h  \* MERGEFORMAT ">
        <w:r w:rsidR="001D5F9A">
          <w:t xml:space="preserve">Figure </w:t>
        </w:r>
        <w:r w:rsidR="001D5F9A">
          <w:rPr>
            <w:noProof/>
          </w:rPr>
          <w:t>3</w:t>
        </w:r>
      </w:fldSimple>
      <w:r w:rsidR="00952E8B">
        <w:t xml:space="preserve"> </w:t>
      </w:r>
      <w:r w:rsidR="00056A77" w:rsidRPr="000B3455">
        <w:t xml:space="preserve">in </w:t>
      </w:r>
      <w:fldSimple w:instr=" REF VII \h  \* MERGEFORMAT ">
        <w:r w:rsidR="001D5F9A" w:rsidRPr="000B3455">
          <w:t>Appendix VII</w:t>
        </w:r>
      </w:fldSimple>
      <w:r w:rsidR="00952E8B">
        <w:t xml:space="preserve"> </w:t>
      </w:r>
      <w:r w:rsidR="00056A77" w:rsidRPr="000B3455">
        <w:t xml:space="preserve">shows no surprising proportions. In contradiction to what the theory suggests, </w:t>
      </w:r>
      <w:fldSimple w:instr=" REF _Ref298857116 \h  \* MERGEFORMAT ">
        <w:r w:rsidR="001D5F9A">
          <w:t xml:space="preserve">Figure 4: </w:t>
        </w:r>
        <w:r w:rsidR="001D5F9A" w:rsidRPr="00252033">
          <w:rPr>
            <w:rFonts w:cstheme="minorHAnsi"/>
            <w:noProof/>
          </w:rPr>
          <w:t xml:space="preserve">Trend of proportion of granted </w:t>
        </w:r>
        <w:r w:rsidR="001D5F9A">
          <w:rPr>
            <w:rFonts w:cstheme="minorHAnsi"/>
            <w:noProof/>
          </w:rPr>
          <w:t>share</w:t>
        </w:r>
        <w:r w:rsidR="001D5F9A" w:rsidRPr="00252033">
          <w:rPr>
            <w:rFonts w:cstheme="minorHAnsi"/>
            <w:noProof/>
          </w:rPr>
          <w:t>s to total compensation</w:t>
        </w:r>
      </w:fldSimple>
      <w:r w:rsidR="00952E8B" w:rsidRPr="000B3455">
        <w:t xml:space="preserve"> </w:t>
      </w:r>
      <w:r w:rsidR="00056A77" w:rsidRPr="000B3455">
        <w:t xml:space="preserve">in </w:t>
      </w:r>
      <w:fldSimple w:instr=" REF VII \h  \* MERGEFORMAT ">
        <w:r w:rsidR="001D5F9A" w:rsidRPr="000B3455">
          <w:t>Appendix VII</w:t>
        </w:r>
      </w:fldSimple>
      <w:r w:rsidR="00952E8B">
        <w:t xml:space="preserve"> </w:t>
      </w:r>
      <w:r w:rsidR="00056A77" w:rsidRPr="000B3455">
        <w:t>indicates a rising trend in the proportion of shares</w:t>
      </w:r>
      <w:r w:rsidR="000B1C70" w:rsidRPr="000B3455">
        <w:t xml:space="preserve"> in the period 2002-2006. However, economical factors and industry influences might have played an important role in the trend. This will be discussed in the upcoming section.</w:t>
      </w:r>
    </w:p>
    <w:p w:rsidR="000B1C70" w:rsidRPr="000B3455" w:rsidRDefault="000B1C70" w:rsidP="0088553E">
      <w:pPr>
        <w:pStyle w:val="Heading3"/>
        <w:spacing w:line="360" w:lineRule="auto"/>
        <w:jc w:val="both"/>
      </w:pPr>
      <w:bookmarkStart w:id="83" w:name="_Toc298944593"/>
      <w:r w:rsidRPr="000B3455">
        <w:t>6.2.</w:t>
      </w:r>
      <w:r w:rsidR="00024DA1" w:rsidRPr="000B3455">
        <w:t>2</w:t>
      </w:r>
      <w:r w:rsidRPr="000B3455">
        <w:t xml:space="preserve"> Statistical findings </w:t>
      </w:r>
      <w:r w:rsidR="00341F47" w:rsidRPr="000B3455">
        <w:t>and analysis</w:t>
      </w:r>
      <w:bookmarkEnd w:id="83"/>
    </w:p>
    <w:p w:rsidR="000B1C70" w:rsidRPr="000B3455" w:rsidRDefault="000B1C70" w:rsidP="0088553E">
      <w:pPr>
        <w:spacing w:line="360" w:lineRule="auto"/>
        <w:jc w:val="both"/>
        <w:rPr>
          <w:b/>
        </w:rPr>
      </w:pPr>
      <w:r w:rsidRPr="000B3455">
        <w:t>The same research model as used in hypothesis 1 will be used, except for the dependent variable, which is replaced by the proportion of the fair value of granted shares to total compensation (</w:t>
      </w:r>
      <w:r w:rsidRPr="000B3455">
        <w:rPr>
          <w:i/>
        </w:rPr>
        <w:t>PR_FV_SHA</w:t>
      </w:r>
      <w:r w:rsidRPr="000B3455">
        <w:rPr>
          <w:i/>
          <w:vertAlign w:val="subscript"/>
        </w:rPr>
        <w:t>it</w:t>
      </w:r>
      <w:r w:rsidRPr="000B3455">
        <w:t>). The research model specifies as:</w:t>
      </w:r>
    </w:p>
    <w:p w:rsidR="000B1C70" w:rsidRPr="000B3455" w:rsidRDefault="000B1C70" w:rsidP="0088553E">
      <w:pPr>
        <w:spacing w:line="360" w:lineRule="auto"/>
        <w:jc w:val="both"/>
      </w:pPr>
      <w:r w:rsidRPr="000B3455">
        <w:rPr>
          <w:i/>
        </w:rPr>
        <w:t>PR_FV_SHA</w:t>
      </w:r>
      <w:r w:rsidRPr="000B3455">
        <w:rPr>
          <w:i/>
          <w:vertAlign w:val="subscript"/>
        </w:rPr>
        <w:t>it</w:t>
      </w:r>
      <w:r w:rsidRPr="000B3455">
        <w:rPr>
          <w:i/>
        </w:rPr>
        <w:t xml:space="preserve"> = </w:t>
      </w:r>
      <w:r w:rsidRPr="000B3455">
        <w:rPr>
          <w:rFonts w:cstheme="minorHAnsi"/>
          <w:i/>
        </w:rPr>
        <w:t>β</w:t>
      </w:r>
      <w:r w:rsidRPr="000B3455">
        <w:rPr>
          <w:i/>
          <w:vertAlign w:val="subscript"/>
        </w:rPr>
        <w:t>0</w:t>
      </w:r>
      <w:r w:rsidRPr="000B3455">
        <w:rPr>
          <w:i/>
        </w:rPr>
        <w:t xml:space="preserve"> + </w:t>
      </w:r>
      <w:r w:rsidRPr="000B3455">
        <w:rPr>
          <w:rFonts w:cstheme="minorHAnsi"/>
          <w:i/>
        </w:rPr>
        <w:t>β</w:t>
      </w:r>
      <w:r w:rsidRPr="000B3455">
        <w:rPr>
          <w:i/>
          <w:vertAlign w:val="subscript"/>
        </w:rPr>
        <w:t>1</w:t>
      </w:r>
      <w:r w:rsidRPr="000B3455">
        <w:rPr>
          <w:i/>
        </w:rPr>
        <w:t xml:space="preserve"> 2003 + </w:t>
      </w:r>
      <w:r w:rsidRPr="000B3455">
        <w:rPr>
          <w:rFonts w:cstheme="minorHAnsi"/>
          <w:i/>
        </w:rPr>
        <w:t>β</w:t>
      </w:r>
      <w:r w:rsidRPr="000B3455">
        <w:rPr>
          <w:rFonts w:cstheme="minorHAnsi"/>
          <w:i/>
          <w:vertAlign w:val="subscript"/>
        </w:rPr>
        <w:t xml:space="preserve">2 </w:t>
      </w:r>
      <w:r w:rsidRPr="000B3455">
        <w:rPr>
          <w:rFonts w:cstheme="minorHAnsi"/>
          <w:i/>
        </w:rPr>
        <w:t>2004 + β</w:t>
      </w:r>
      <w:r w:rsidRPr="000B3455">
        <w:rPr>
          <w:rFonts w:cstheme="minorHAnsi"/>
          <w:i/>
          <w:vertAlign w:val="subscript"/>
        </w:rPr>
        <w:t>3</w:t>
      </w:r>
      <w:r w:rsidRPr="000B3455">
        <w:rPr>
          <w:rFonts w:cstheme="minorHAnsi"/>
          <w:i/>
        </w:rPr>
        <w:t xml:space="preserve"> 2005 + β</w:t>
      </w:r>
      <w:r w:rsidRPr="000B3455">
        <w:rPr>
          <w:rFonts w:cstheme="minorHAnsi"/>
          <w:i/>
          <w:vertAlign w:val="subscript"/>
        </w:rPr>
        <w:t>4</w:t>
      </w:r>
      <w:r w:rsidRPr="000B3455">
        <w:rPr>
          <w:rFonts w:cstheme="minorHAnsi"/>
          <w:i/>
        </w:rPr>
        <w:t xml:space="preserve"> 2006 + β</w:t>
      </w:r>
      <w:r w:rsidRPr="000B3455">
        <w:rPr>
          <w:rFonts w:cstheme="minorHAnsi"/>
          <w:i/>
          <w:vertAlign w:val="subscript"/>
        </w:rPr>
        <w:t>5</w:t>
      </w:r>
      <w:r w:rsidRPr="000B3455">
        <w:rPr>
          <w:rFonts w:cstheme="minorHAnsi"/>
          <w:i/>
        </w:rPr>
        <w:t xml:space="preserve"> 2007 + β</w:t>
      </w:r>
      <w:r w:rsidRPr="000B3455">
        <w:rPr>
          <w:rFonts w:cstheme="minorHAnsi"/>
          <w:i/>
          <w:vertAlign w:val="subscript"/>
        </w:rPr>
        <w:t>6</w:t>
      </w:r>
      <w:r w:rsidRPr="000B3455">
        <w:rPr>
          <w:i/>
        </w:rPr>
        <w:t xml:space="preserve"> LN_ASSETS</w:t>
      </w:r>
      <w:r w:rsidRPr="000B3455">
        <w:rPr>
          <w:i/>
          <w:vertAlign w:val="subscript"/>
        </w:rPr>
        <w:t>it</w:t>
      </w:r>
      <w:r w:rsidRPr="000B3455">
        <w:rPr>
          <w:i/>
        </w:rPr>
        <w:t xml:space="preserve"> + </w:t>
      </w:r>
      <w:r w:rsidRPr="000B3455">
        <w:rPr>
          <w:rFonts w:cstheme="minorHAnsi"/>
          <w:i/>
        </w:rPr>
        <w:t>β</w:t>
      </w:r>
      <w:r w:rsidRPr="000B3455">
        <w:rPr>
          <w:rFonts w:cstheme="minorHAnsi"/>
          <w:i/>
          <w:vertAlign w:val="subscript"/>
        </w:rPr>
        <w:t>7</w:t>
      </w:r>
      <w:r w:rsidRPr="000B3455">
        <w:rPr>
          <w:i/>
          <w:vertAlign w:val="subscript"/>
        </w:rPr>
        <w:t xml:space="preserve"> </w:t>
      </w:r>
      <w:r w:rsidRPr="000B3455">
        <w:rPr>
          <w:i/>
        </w:rPr>
        <w:t>MTB</w:t>
      </w:r>
      <w:r w:rsidRPr="000B3455">
        <w:rPr>
          <w:i/>
          <w:vertAlign w:val="subscript"/>
        </w:rPr>
        <w:t>it</w:t>
      </w:r>
      <w:r w:rsidRPr="000B3455">
        <w:rPr>
          <w:rFonts w:cstheme="minorHAnsi"/>
          <w:i/>
        </w:rPr>
        <w:t xml:space="preserve"> + β</w:t>
      </w:r>
      <w:r w:rsidRPr="000B3455">
        <w:rPr>
          <w:rFonts w:cstheme="minorHAnsi"/>
          <w:i/>
          <w:vertAlign w:val="subscript"/>
        </w:rPr>
        <w:t>8</w:t>
      </w:r>
      <w:r w:rsidRPr="000B3455">
        <w:rPr>
          <w:i/>
        </w:rPr>
        <w:t xml:space="preserve"> RET</w:t>
      </w:r>
      <w:r w:rsidRPr="000B3455">
        <w:rPr>
          <w:i/>
          <w:vertAlign w:val="subscript"/>
        </w:rPr>
        <w:t>it</w:t>
      </w:r>
      <w:r w:rsidRPr="000B3455">
        <w:rPr>
          <w:rFonts w:cstheme="minorHAnsi"/>
          <w:i/>
        </w:rPr>
        <w:t xml:space="preserve"> + β</w:t>
      </w:r>
      <w:r w:rsidRPr="000B3455">
        <w:rPr>
          <w:rFonts w:cstheme="minorHAnsi"/>
          <w:i/>
          <w:vertAlign w:val="subscript"/>
        </w:rPr>
        <w:t>9</w:t>
      </w:r>
      <w:r w:rsidRPr="000B3455">
        <w:rPr>
          <w:i/>
        </w:rPr>
        <w:t xml:space="preserve"> VOL</w:t>
      </w:r>
      <w:r w:rsidRPr="000B3455">
        <w:rPr>
          <w:i/>
          <w:vertAlign w:val="subscript"/>
        </w:rPr>
        <w:t>it</w:t>
      </w:r>
      <w:r w:rsidRPr="000B3455">
        <w:rPr>
          <w:rFonts w:cstheme="minorHAnsi"/>
          <w:i/>
        </w:rPr>
        <w:t xml:space="preserve"> + β</w:t>
      </w:r>
      <w:r w:rsidRPr="000B3455">
        <w:rPr>
          <w:rFonts w:cstheme="minorHAnsi"/>
          <w:i/>
          <w:vertAlign w:val="subscript"/>
        </w:rPr>
        <w:t>10</w:t>
      </w:r>
      <w:r w:rsidRPr="000B3455">
        <w:rPr>
          <w:i/>
        </w:rPr>
        <w:t xml:space="preserve"> BOA_SIZE</w:t>
      </w:r>
      <w:r w:rsidRPr="000B3455">
        <w:rPr>
          <w:i/>
          <w:vertAlign w:val="subscript"/>
        </w:rPr>
        <w:t>it</w:t>
      </w:r>
      <w:r w:rsidRPr="000B3455">
        <w:rPr>
          <w:rFonts w:cstheme="minorHAnsi"/>
          <w:i/>
        </w:rPr>
        <w:t xml:space="preserve"> + β</w:t>
      </w:r>
      <w:r w:rsidRPr="000B3455">
        <w:rPr>
          <w:rFonts w:cstheme="minorHAnsi"/>
          <w:i/>
          <w:vertAlign w:val="subscript"/>
        </w:rPr>
        <w:t>11</w:t>
      </w:r>
      <w:r w:rsidRPr="000B3455">
        <w:rPr>
          <w:i/>
        </w:rPr>
        <w:t xml:space="preserve"> LIQ_CON</w:t>
      </w:r>
      <w:r w:rsidRPr="000B3455">
        <w:rPr>
          <w:i/>
          <w:vertAlign w:val="subscript"/>
        </w:rPr>
        <w:t>it</w:t>
      </w:r>
      <w:r w:rsidRPr="000B3455">
        <w:rPr>
          <w:rFonts w:cstheme="minorHAnsi"/>
          <w:i/>
        </w:rPr>
        <w:t xml:space="preserve"> + ∑</w:t>
      </w:r>
      <w:r w:rsidRPr="000B3455">
        <w:rPr>
          <w:i/>
        </w:rPr>
        <w:t xml:space="preserve"> IND_DUMM</w:t>
      </w:r>
      <w:r w:rsidRPr="000B3455">
        <w:rPr>
          <w:i/>
          <w:vertAlign w:val="subscript"/>
        </w:rPr>
        <w:t>it</w:t>
      </w:r>
      <w:r w:rsidRPr="000B3455">
        <w:rPr>
          <w:i/>
        </w:rPr>
        <w:t xml:space="preserve"> + </w:t>
      </w:r>
      <w:r w:rsidRPr="000B3455">
        <w:rPr>
          <w:rFonts w:hAnsi="Times New Roman" w:cs="Times New Roman"/>
          <w:i/>
        </w:rPr>
        <w:t>ɛ</w:t>
      </w:r>
      <w:r w:rsidRPr="000B3455">
        <w:rPr>
          <w:i/>
          <w:vertAlign w:val="subscript"/>
        </w:rPr>
        <w:t>it</w:t>
      </w:r>
    </w:p>
    <w:p w:rsidR="00765F20" w:rsidRPr="000B3455" w:rsidRDefault="000B1C70" w:rsidP="0088553E">
      <w:pPr>
        <w:spacing w:line="360" w:lineRule="auto"/>
        <w:jc w:val="both"/>
      </w:pPr>
      <w:r w:rsidRPr="000B3455">
        <w:t>Because the manufacturing industry is best represented by 11 of the 29 companies, it serves as the base value for the industry dummies. Again, the year 2002 serves as the base year to which the other years are compared.</w:t>
      </w:r>
      <w:r w:rsidR="00704C3A" w:rsidRPr="000B3455">
        <w:t xml:space="preserve"> The R</w:t>
      </w:r>
      <w:r w:rsidR="00704C3A" w:rsidRPr="000B3455">
        <w:rPr>
          <w:vertAlign w:val="superscript"/>
        </w:rPr>
        <w:t>2</w:t>
      </w:r>
      <w:r w:rsidR="00704C3A" w:rsidRPr="000B3455">
        <w:t xml:space="preserve"> given in </w:t>
      </w:r>
      <w:fldSimple w:instr=" REF _Ref298857188 \h  \* MERGEFORMAT ">
        <w:r w:rsidR="001D5F9A">
          <w:t xml:space="preserve">Table </w:t>
        </w:r>
        <w:r w:rsidR="001D5F9A">
          <w:rPr>
            <w:noProof/>
          </w:rPr>
          <w:t>9</w:t>
        </w:r>
        <w:r w:rsidR="001D5F9A">
          <w:t xml:space="preserve">: </w:t>
        </w:r>
        <w:r w:rsidR="001D5F9A" w:rsidRPr="00252033">
          <w:t>Summary of SPSS model</w:t>
        </w:r>
      </w:fldSimple>
      <w:r w:rsidR="00704C3A" w:rsidRPr="000B3455">
        <w:t xml:space="preserve"> in </w:t>
      </w:r>
      <w:fldSimple w:instr=" REF VIII \h  \* MERGEFORMAT ">
        <w:r w:rsidR="001D5F9A" w:rsidRPr="000B3455">
          <w:t>Appendix VIII</w:t>
        </w:r>
      </w:fldSimple>
      <w:r w:rsidR="00704C3A" w:rsidRPr="000B3455">
        <w:t>, indicates that 36</w:t>
      </w:r>
      <w:r w:rsidR="00024DA1" w:rsidRPr="000B3455">
        <w:t>.</w:t>
      </w:r>
      <w:r w:rsidR="00704C3A" w:rsidRPr="000B3455">
        <w:t>4 % of the variance is explained by the research model</w:t>
      </w:r>
      <w:r w:rsidR="006D566F" w:rsidRPr="000B3455">
        <w:t>. Considering the sample</w:t>
      </w:r>
      <w:r w:rsidR="00024DA1" w:rsidRPr="000B3455">
        <w:t xml:space="preserve"> size</w:t>
      </w:r>
      <w:r w:rsidR="006D566F" w:rsidRPr="000B3455">
        <w:t xml:space="preserve">, the explanatory power of this research model is relatively high. This also confirms the significance of the model in the ANOVA test, showed in </w:t>
      </w:r>
      <w:fldSimple w:instr=" REF _Ref298857235 \h  \* MERGEFORMAT ">
        <w:r w:rsidR="001D5F9A">
          <w:t xml:space="preserve">Table </w:t>
        </w:r>
        <w:r w:rsidR="001D5F9A">
          <w:rPr>
            <w:noProof/>
          </w:rPr>
          <w:t>10</w:t>
        </w:r>
      </w:fldSimple>
      <w:r w:rsidR="00765F20" w:rsidRPr="000B3455">
        <w:t xml:space="preserve">. With a p-value of 0.000, the research model provides significant results. </w:t>
      </w:r>
    </w:p>
    <w:p w:rsidR="00B710D1" w:rsidRPr="000B3455" w:rsidRDefault="00765F20" w:rsidP="0088553E">
      <w:pPr>
        <w:spacing w:line="360" w:lineRule="auto"/>
        <w:jc w:val="both"/>
      </w:pPr>
      <w:r w:rsidRPr="000B3455">
        <w:t xml:space="preserve">From </w:t>
      </w:r>
      <w:fldSimple w:instr=" REF _Ref298857249 \h  \* MERGEFORMAT ">
        <w:r w:rsidR="001D5F9A">
          <w:t xml:space="preserve">Table </w:t>
        </w:r>
        <w:r w:rsidR="001D5F9A">
          <w:rPr>
            <w:noProof/>
          </w:rPr>
          <w:t>11</w:t>
        </w:r>
      </w:fldSimple>
      <w:r w:rsidRPr="000B3455">
        <w:t xml:space="preserve"> in </w:t>
      </w:r>
      <w:fldSimple w:instr=" REF VIII \h  \* MERGEFORMAT ">
        <w:r w:rsidR="001D5F9A" w:rsidRPr="000B3455">
          <w:t>Appendix VIII</w:t>
        </w:r>
      </w:fldSimple>
      <w:r w:rsidR="00952E8B">
        <w:t xml:space="preserve"> </w:t>
      </w:r>
      <w:r w:rsidR="00BA716C" w:rsidRPr="000B3455">
        <w:t xml:space="preserve">can be concluded that, while controlling for economic factors and industry influences, the proportion of fair value of granted shares to total compensation in 2003 has not </w:t>
      </w:r>
      <w:r w:rsidR="00BA716C" w:rsidRPr="000B3455">
        <w:lastRenderedPageBreak/>
        <w:t xml:space="preserve">significantly changed from the proportion in 2002. The proportions in 2004, 2005, 2006 and 2007 experienced an increase, according to the betas. The proportions of the period 2004-2007 are significantly above the proportion in 2002 and 2003. </w:t>
      </w:r>
      <w:r w:rsidR="00490C7A" w:rsidRPr="000B3455">
        <w:t xml:space="preserve">This indicates that the rising trend in the proportion of shares has started in 2004. In contrast to what the theory predicts, the proportion of share compensation has not declined, but has actually increased. The betas for 2004 and 2005, as well as the betas for 2006 and 2007 do not differ much. Whereas the difference between the betas for 2005 and 2006, suggests that the increasing trend </w:t>
      </w:r>
      <w:r w:rsidR="006D1D72" w:rsidRPr="000B3455">
        <w:t>has</w:t>
      </w:r>
      <w:r w:rsidR="00490C7A" w:rsidRPr="000B3455">
        <w:t xml:space="preserve"> accelerated </w:t>
      </w:r>
      <w:r w:rsidR="00024DA1" w:rsidRPr="000B3455">
        <w:t>in</w:t>
      </w:r>
      <w:r w:rsidR="006D1D72" w:rsidRPr="000B3455">
        <w:t xml:space="preserve"> 2006. </w:t>
      </w:r>
      <w:r w:rsidR="00B710D1" w:rsidRPr="000B3455">
        <w:t xml:space="preserve">Figure </w:t>
      </w:r>
      <w:r w:rsidR="00775062">
        <w:t>6-</w:t>
      </w:r>
      <w:r w:rsidR="00B710D1" w:rsidRPr="000B3455">
        <w:t>2 shows the trend in proportion of granted shares.</w:t>
      </w:r>
    </w:p>
    <w:p w:rsidR="00B710D1" w:rsidRPr="003A7C47" w:rsidRDefault="00E52E87" w:rsidP="0088553E">
      <w:pPr>
        <w:pStyle w:val="Caption"/>
        <w:spacing w:line="360" w:lineRule="auto"/>
        <w:jc w:val="both"/>
        <w:rPr>
          <w:b w:val="0"/>
          <w:color w:val="auto"/>
        </w:rPr>
      </w:pPr>
      <w:r>
        <w:rPr>
          <w:noProof/>
          <w:lang w:val="nl-NL" w:eastAsia="nl-NL" w:bidi="ar-SA"/>
        </w:rPr>
        <w:drawing>
          <wp:anchor distT="0" distB="0" distL="114300" distR="114300" simplePos="0" relativeHeight="251659264" behindDoc="0" locked="0" layoutInCell="1" allowOverlap="1">
            <wp:simplePos x="0" y="0"/>
            <wp:positionH relativeFrom="column">
              <wp:posOffset>19050</wp:posOffset>
            </wp:positionH>
            <wp:positionV relativeFrom="paragraph">
              <wp:posOffset>7620</wp:posOffset>
            </wp:positionV>
            <wp:extent cx="3448050" cy="2705100"/>
            <wp:effectExtent l="19050" t="0" r="19050" b="0"/>
            <wp:wrapSquare wrapText="bothSides"/>
            <wp:docPr id="17"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sidR="00F04F74" w:rsidRPr="003A7C47">
        <w:t>Figure</w:t>
      </w:r>
      <w:r w:rsidR="00D51742" w:rsidRPr="003A7C47">
        <w:t xml:space="preserve"> </w:t>
      </w:r>
      <w:r w:rsidR="00775062">
        <w:t>6-2</w:t>
      </w:r>
      <w:r w:rsidR="00F04F74" w:rsidRPr="003A7C47">
        <w:t xml:space="preserve">: </w:t>
      </w:r>
      <w:r w:rsidR="00F04F74" w:rsidRPr="00E52E87">
        <w:rPr>
          <w:b w:val="0"/>
          <w:i/>
          <w:color w:val="auto"/>
        </w:rPr>
        <w:t>This figure displays the trend of the proportion of granted shares according to the unstandardized betas in the regression output. The proportion for 2002 and 2003 are equal. Whereas the proportions increased in 2004 and 2006. For reference a proportion of 30 % is used in the base year 2002.</w:t>
      </w:r>
    </w:p>
    <w:p w:rsidR="00F04F74" w:rsidRPr="000B3455" w:rsidRDefault="00F04F74" w:rsidP="0088553E">
      <w:pPr>
        <w:spacing w:line="360" w:lineRule="auto"/>
        <w:jc w:val="both"/>
      </w:pPr>
    </w:p>
    <w:p w:rsidR="00F04F74" w:rsidRPr="000B3455" w:rsidRDefault="00F04F74" w:rsidP="0088553E">
      <w:pPr>
        <w:spacing w:line="360" w:lineRule="auto"/>
        <w:jc w:val="both"/>
      </w:pPr>
    </w:p>
    <w:p w:rsidR="00F04F74" w:rsidRDefault="00F04F74" w:rsidP="0088553E">
      <w:pPr>
        <w:spacing w:line="360" w:lineRule="auto"/>
        <w:jc w:val="both"/>
      </w:pPr>
    </w:p>
    <w:p w:rsidR="003637C0" w:rsidRPr="000B3455" w:rsidRDefault="00E52E87" w:rsidP="0088553E">
      <w:pPr>
        <w:spacing w:line="360" w:lineRule="auto"/>
        <w:jc w:val="both"/>
      </w:pPr>
      <w:r>
        <w:br/>
      </w:r>
      <w:r w:rsidR="006D1D72" w:rsidRPr="000B3455">
        <w:t xml:space="preserve">The findings on hypothesis 1 suggest that a declining trend of the proportion of stock options has started in 2004. Consistent with this, the trend of the proportion of shares granted also </w:t>
      </w:r>
      <w:r w:rsidR="00D260AB" w:rsidRPr="000B3455">
        <w:t>changed significantly</w:t>
      </w:r>
      <w:r w:rsidR="006D1D72" w:rsidRPr="000B3455">
        <w:t xml:space="preserve"> in 2004. </w:t>
      </w:r>
      <w:r w:rsidR="00D260AB" w:rsidRPr="000B3455">
        <w:t>The increased proportion of shares</w:t>
      </w:r>
      <w:r w:rsidR="001A0B56" w:rsidRPr="000B3455">
        <w:t xml:space="preserve"> </w:t>
      </w:r>
      <w:r w:rsidR="00D260AB" w:rsidRPr="000B3455">
        <w:t>suggest</w:t>
      </w:r>
      <w:r w:rsidR="001A0B56" w:rsidRPr="000B3455">
        <w:t xml:space="preserve"> that</w:t>
      </w:r>
      <w:r w:rsidR="00D260AB" w:rsidRPr="000B3455">
        <w:t>,</w:t>
      </w:r>
      <w:r w:rsidR="001A0B56" w:rsidRPr="000B3455">
        <w:t xml:space="preserve"> from 2004</w:t>
      </w:r>
      <w:r w:rsidR="00D260AB" w:rsidRPr="000B3455">
        <w:t>,</w:t>
      </w:r>
      <w:r w:rsidR="001A0B56" w:rsidRPr="000B3455">
        <w:t xml:space="preserve"> the decrease of stock options as part of remuneration is made up with shares. It seems that the introduction of IFRS 2 </w:t>
      </w:r>
      <w:r w:rsidR="00961F51" w:rsidRPr="000B3455">
        <w:t>is of no influence on the trend, because it was introduced in 2005 while the trend started in 2004 and the betas of 2004 and 2005 do not differ much. As the analysis on the results of hypothesis 1 says, companies might want to prepare themselves for the new accounting treatments of IFRS 2. Combined with the influences of Article 383c and the Dutch Corporate Governance Code, leads to the decline of the proportion of stock options. In the views of Brown and Lee (2007), Carter et al. (2007)</w:t>
      </w:r>
      <w:r w:rsidR="00FE7ECE" w:rsidRPr="000B3455">
        <w:t xml:space="preserve">, </w:t>
      </w:r>
      <w:r w:rsidR="00961F51" w:rsidRPr="000B3455">
        <w:t>Choudhary (2008)</w:t>
      </w:r>
      <w:r w:rsidR="00FE7ECE" w:rsidRPr="000B3455">
        <w:t>, and Swagerman and Terpstra (2009) a declining trend of granted stock option compensation is made up by share compensation</w:t>
      </w:r>
      <w:r w:rsidR="000F680C" w:rsidRPr="000B3455">
        <w:t>. The Code and the introduction of IFRS 2 can be considered to have an indirect effect on share compensation through the decrease of stock options.</w:t>
      </w:r>
      <w:r w:rsidR="00FE7ECE" w:rsidRPr="000B3455">
        <w:t xml:space="preserve"> While in the US the </w:t>
      </w:r>
      <w:r w:rsidR="00FE7ECE" w:rsidRPr="000B3455">
        <w:lastRenderedPageBreak/>
        <w:t>accounting treatment of share compensation has not changed in 2002-2007, it has changed in the Netherlands since 2005. The study o</w:t>
      </w:r>
      <w:r w:rsidR="008D1A99" w:rsidRPr="000B3455">
        <w:t>f Swagerman and Terpstra (2009) documented a</w:t>
      </w:r>
      <w:r w:rsidR="00C92B63" w:rsidRPr="000B3455">
        <w:t>n</w:t>
      </w:r>
      <w:r w:rsidR="008D1A99" w:rsidRPr="000B3455">
        <w:t xml:space="preserve"> increased trend in performance shares in 2003 and 2004. The negative reputation of stock options since the accounting scandals in 2000’s </w:t>
      </w:r>
      <w:r w:rsidR="001A3E6A" w:rsidRPr="000B3455">
        <w:t>triggered an in</w:t>
      </w:r>
      <w:r w:rsidR="00C92B63" w:rsidRPr="000B3455">
        <w:t xml:space="preserve">crease in performance shares, which </w:t>
      </w:r>
      <w:r w:rsidR="001A3E6A" w:rsidRPr="000B3455">
        <w:t xml:space="preserve">were considered as more efficient in aligning interests. In addition, </w:t>
      </w:r>
      <w:r w:rsidR="00E03487" w:rsidRPr="000B3455">
        <w:t xml:space="preserve">due to </w:t>
      </w:r>
      <w:r w:rsidR="00C92B63" w:rsidRPr="000B3455">
        <w:t>the higher implied risk</w:t>
      </w:r>
      <w:r w:rsidR="003C7153" w:rsidRPr="000B3455">
        <w:t>, directors are granted with more stock options than it would be the case with shares as a risk premium, making stock options more expensive</w:t>
      </w:r>
      <w:r w:rsidR="00C92B63" w:rsidRPr="000B3455">
        <w:t xml:space="preserve"> relative to shares (Hall and Murphy, 200</w:t>
      </w:r>
      <w:r w:rsidR="00795E82" w:rsidRPr="000B3455">
        <w:t>3</w:t>
      </w:r>
      <w:r w:rsidR="003C7153" w:rsidRPr="000B3455">
        <w:t>; Brown and Lee, 2007</w:t>
      </w:r>
      <w:r w:rsidR="00C92B63" w:rsidRPr="000B3455">
        <w:t xml:space="preserve">). The combined influences of the relatively low costs of shares and shares being more efficient might explain the stronger preference for share compensation. </w:t>
      </w:r>
      <w:r w:rsidR="003C7153" w:rsidRPr="000B3455">
        <w:t xml:space="preserve">However, because directors are granted with more stock options than they would with shares, one should expect a stronger decrease of stock options than </w:t>
      </w:r>
      <w:r w:rsidR="007B47C7" w:rsidRPr="000B3455">
        <w:t xml:space="preserve">the increase in shares. However, </w:t>
      </w:r>
      <w:r w:rsidR="003C7153" w:rsidRPr="000B3455">
        <w:t xml:space="preserve">as the betas of the output of the regression model suggest, </w:t>
      </w:r>
      <w:r w:rsidR="007B47C7" w:rsidRPr="000B3455">
        <w:t xml:space="preserve">shares </w:t>
      </w:r>
      <w:r w:rsidR="00B948AC" w:rsidRPr="000B3455">
        <w:t xml:space="preserve">experience a stronger increase than the decrease in stock options. </w:t>
      </w:r>
      <w:r w:rsidR="003C0F3E" w:rsidRPr="000B3455">
        <w:t xml:space="preserve">In order to verify whether the decreasing preference of stock option compensation is substituted for by an increasing proportion of share compensation, </w:t>
      </w:r>
      <w:r w:rsidR="00D87452" w:rsidRPr="000B3455">
        <w:t>an additional test is performed, which is discussed in the next section.</w:t>
      </w:r>
    </w:p>
    <w:p w:rsidR="000457BF" w:rsidRPr="000B3455" w:rsidRDefault="00710D54" w:rsidP="0088553E">
      <w:pPr>
        <w:spacing w:line="360" w:lineRule="auto"/>
        <w:jc w:val="both"/>
      </w:pPr>
      <w:r w:rsidRPr="000B3455">
        <w:t>C</w:t>
      </w:r>
      <w:r w:rsidR="005B13D5" w:rsidRPr="000B3455">
        <w:t>onsisten</w:t>
      </w:r>
      <w:r w:rsidRPr="000B3455">
        <w:t>t</w:t>
      </w:r>
      <w:r w:rsidR="005B13D5" w:rsidRPr="000B3455">
        <w:t xml:space="preserve"> with expectations, the independent variables for market-to-book ratio (</w:t>
      </w:r>
      <w:r w:rsidR="005B13D5" w:rsidRPr="000B3455">
        <w:rPr>
          <w:i/>
        </w:rPr>
        <w:t>MTB</w:t>
      </w:r>
      <w:r w:rsidR="005B13D5" w:rsidRPr="000B3455">
        <w:rPr>
          <w:i/>
          <w:vertAlign w:val="subscript"/>
        </w:rPr>
        <w:t>it</w:t>
      </w:r>
      <w:r w:rsidR="005B13D5" w:rsidRPr="000B3455">
        <w:t>) and liquidity constraints (</w:t>
      </w:r>
      <w:r w:rsidR="005B13D5" w:rsidRPr="000B3455">
        <w:rPr>
          <w:i/>
        </w:rPr>
        <w:t>LIQ_CON</w:t>
      </w:r>
      <w:r w:rsidR="005B13D5" w:rsidRPr="000B3455">
        <w:rPr>
          <w:i/>
          <w:vertAlign w:val="subscript"/>
        </w:rPr>
        <w:t>it</w:t>
      </w:r>
      <w:r w:rsidR="005B13D5" w:rsidRPr="000B3455">
        <w:t>) are significantly positively associated with the proportion of shares</w:t>
      </w:r>
      <w:r w:rsidR="00631E61" w:rsidRPr="000B3455">
        <w:t>. The relation of the market-to-book ratio</w:t>
      </w:r>
      <w:r w:rsidR="00EC0F35" w:rsidRPr="000B3455">
        <w:t xml:space="preserve"> (p-value of 0.086)</w:t>
      </w:r>
      <w:r w:rsidR="00631E61" w:rsidRPr="000B3455">
        <w:t xml:space="preserve"> on share compensation (and also stock option compensation) are explained by Chalmers et al. (2006, </w:t>
      </w:r>
      <w:r w:rsidR="00EB350F" w:rsidRPr="000B3455">
        <w:t xml:space="preserve">p. </w:t>
      </w:r>
      <w:r w:rsidR="00631E61" w:rsidRPr="000B3455">
        <w:t>268)</w:t>
      </w:r>
      <w:r w:rsidR="00EC0F35" w:rsidRPr="000B3455">
        <w:t>, as discussed before, by decreasing monitoring difficulties and growth opportunity firms having less liquidity. The latter is also seen in the significant positive variable for liquidity constraints (p-value of 0.093)</w:t>
      </w:r>
      <w:r w:rsidR="004775FF" w:rsidRPr="000B3455">
        <w:t xml:space="preserve">, as also found by Kadan and Swinkels (2008, </w:t>
      </w:r>
      <w:r w:rsidR="00EB350F" w:rsidRPr="000B3455">
        <w:t xml:space="preserve">p. </w:t>
      </w:r>
      <w:r w:rsidR="004775FF" w:rsidRPr="000B3455">
        <w:t>477). Since shares as compensation in lieu of cash does not result in a cash outflow, firms with less liquidity will favor compensation in shares.</w:t>
      </w:r>
      <w:r w:rsidR="000457BF" w:rsidRPr="000B3455">
        <w:t xml:space="preserve"> Although this may suggest that the variables for liquidity constraints and growth opportunities may be correlated, the collinearity diagnostics in </w:t>
      </w:r>
      <w:fldSimple w:instr=" REF _Ref298857322 \h  \* MERGEFORMAT ">
        <w:r w:rsidR="001D5F9A">
          <w:t xml:space="preserve">Table </w:t>
        </w:r>
        <w:r w:rsidR="001D5F9A">
          <w:rPr>
            <w:noProof/>
          </w:rPr>
          <w:t>12</w:t>
        </w:r>
      </w:fldSimple>
      <w:r w:rsidR="00952E8B">
        <w:t xml:space="preserve"> </w:t>
      </w:r>
      <w:r w:rsidR="000457BF" w:rsidRPr="000B3455">
        <w:t xml:space="preserve">in </w:t>
      </w:r>
      <w:fldSimple w:instr=" REF VIII \h  \* MERGEFORMAT ">
        <w:r w:rsidR="001D5F9A" w:rsidRPr="000B3455">
          <w:t>Appendix VIII</w:t>
        </w:r>
      </w:fldSimple>
      <w:r w:rsidR="00952E8B">
        <w:t xml:space="preserve"> </w:t>
      </w:r>
      <w:r w:rsidR="000457BF" w:rsidRPr="000B3455">
        <w:t xml:space="preserve">show that the independent variables are not mutually related. As the highest VIF-value equals 2.992, the independent variables </w:t>
      </w:r>
      <w:r w:rsidR="000E7BB7" w:rsidRPr="000B3455">
        <w:t>are all contributing to the regression model.</w:t>
      </w:r>
    </w:p>
    <w:p w:rsidR="005B13D5" w:rsidRPr="000B3455" w:rsidRDefault="004775FF" w:rsidP="0088553E">
      <w:pPr>
        <w:spacing w:line="360" w:lineRule="auto"/>
        <w:jc w:val="both"/>
      </w:pPr>
      <w:r w:rsidRPr="000B3455">
        <w:t xml:space="preserve"> The expected positive relation of the board size (</w:t>
      </w:r>
      <w:r w:rsidRPr="000B3455">
        <w:rPr>
          <w:i/>
        </w:rPr>
        <w:t>BOA_SIZE</w:t>
      </w:r>
      <w:r w:rsidRPr="000B3455">
        <w:rPr>
          <w:i/>
          <w:vertAlign w:val="subscript"/>
        </w:rPr>
        <w:t>it</w:t>
      </w:r>
      <w:r w:rsidRPr="000B3455">
        <w:t xml:space="preserve">) to the proportion of shares turns out to be significantly negative. This suggests that, given that board size is a proxy for the complexity of a company, more complex firms grant a lower proportion of shares in their remuneration packages. </w:t>
      </w:r>
      <w:r w:rsidR="0070602A" w:rsidRPr="000B3455">
        <w:t xml:space="preserve">With respect to the different industries investigated, all industries show a significant difference with the manufacturing industry, except for the wholesale industry. </w:t>
      </w:r>
      <w:r w:rsidR="00F8334F" w:rsidRPr="000B3455">
        <w:t xml:space="preserve">However, one should take into account that the sample size is small and that there is only one company for some industries, so no hard conclusions </w:t>
      </w:r>
      <w:r w:rsidR="00F8334F" w:rsidRPr="000B3455">
        <w:lastRenderedPageBreak/>
        <w:t>can be derived.</w:t>
      </w:r>
      <w:r w:rsidR="00B948AC" w:rsidRPr="000B3455">
        <w:t xml:space="preserve"> Additionally, the industry dummies are mainly incorporated to control for industry influences, and not to investigate determinants of compensation.</w:t>
      </w:r>
    </w:p>
    <w:p w:rsidR="00F8334F" w:rsidRPr="000B3455" w:rsidRDefault="00F8334F" w:rsidP="0088553E">
      <w:pPr>
        <w:spacing w:line="360" w:lineRule="auto"/>
        <w:jc w:val="both"/>
      </w:pPr>
      <w:r w:rsidRPr="000B3455">
        <w:t>The total investment return (</w:t>
      </w:r>
      <w:r w:rsidR="009F210C" w:rsidRPr="000B3455">
        <w:rPr>
          <w:i/>
        </w:rPr>
        <w:t>RET</w:t>
      </w:r>
      <w:r w:rsidR="009F210C" w:rsidRPr="000B3455">
        <w:rPr>
          <w:i/>
          <w:vertAlign w:val="subscript"/>
        </w:rPr>
        <w:t>it</w:t>
      </w:r>
      <w:r w:rsidRPr="000B3455">
        <w:t>), share price volatility (</w:t>
      </w:r>
      <w:r w:rsidR="009F210C" w:rsidRPr="000B3455">
        <w:rPr>
          <w:i/>
        </w:rPr>
        <w:t>VOL</w:t>
      </w:r>
      <w:r w:rsidR="009F210C" w:rsidRPr="000B3455">
        <w:rPr>
          <w:i/>
          <w:vertAlign w:val="subscript"/>
        </w:rPr>
        <w:t>it</w:t>
      </w:r>
      <w:r w:rsidRPr="000B3455">
        <w:t xml:space="preserve">) </w:t>
      </w:r>
      <w:r w:rsidR="009F210C" w:rsidRPr="000B3455">
        <w:t>are not significantly related to the proportion of shares. For stock options these explanatory variables were also insignificant. This indicates that the share returns of a company and a high volatility, by e.g. engaging in riskier investment, do not explain the proportion of both stock option and share compensation.</w:t>
      </w:r>
      <w:r w:rsidR="001A1B20" w:rsidRPr="000B3455">
        <w:t xml:space="preserve"> According to Feng and Tian (2007) agents are risk-averse. </w:t>
      </w:r>
      <w:r w:rsidR="00B948AC" w:rsidRPr="000B3455">
        <w:t>As engaging in risky investments yield a high volatility and may influence share returns, the insignificance of these variables might indicate that directors are n</w:t>
      </w:r>
      <w:r w:rsidR="001A1B20" w:rsidRPr="000B3455">
        <w:t>ot engaging in risk</w:t>
      </w:r>
      <w:r w:rsidR="003D5347" w:rsidRPr="000B3455">
        <w:t>y</w:t>
      </w:r>
      <w:r w:rsidR="001A1B20" w:rsidRPr="000B3455">
        <w:t xml:space="preserve"> investments</w:t>
      </w:r>
      <w:r w:rsidR="00B948AC" w:rsidRPr="000B3455">
        <w:t>, because they</w:t>
      </w:r>
      <w:r w:rsidR="001A1B20" w:rsidRPr="000B3455">
        <w:t xml:space="preserve"> are risk-averse. </w:t>
      </w:r>
      <w:r w:rsidR="00EF0DFA" w:rsidRPr="000B3455">
        <w:t>T</w:t>
      </w:r>
      <w:r w:rsidRPr="000B3455">
        <w:t>he size</w:t>
      </w:r>
      <w:r w:rsidR="00EF0DFA" w:rsidRPr="000B3455">
        <w:t xml:space="preserve"> of a company </w:t>
      </w:r>
      <w:r w:rsidRPr="000B3455">
        <w:t>(</w:t>
      </w:r>
      <w:r w:rsidR="00EF0DFA" w:rsidRPr="000B3455">
        <w:rPr>
          <w:i/>
        </w:rPr>
        <w:t>LN_ASSETS</w:t>
      </w:r>
      <w:r w:rsidR="00EF0DFA" w:rsidRPr="000B3455">
        <w:rPr>
          <w:i/>
          <w:vertAlign w:val="subscript"/>
        </w:rPr>
        <w:t>it</w:t>
      </w:r>
      <w:r w:rsidRPr="000B3455">
        <w:t xml:space="preserve">) </w:t>
      </w:r>
      <w:r w:rsidR="00EF0DFA" w:rsidRPr="000B3455">
        <w:t>is also an insignificant variable for the proportion of shares, contrasting to the relation to the proportion of stock options.</w:t>
      </w:r>
      <w:r w:rsidR="00EA4769" w:rsidRPr="000B3455">
        <w:t xml:space="preserve"> Suggesting that the proportion of shares is not dependent on the size of the company.</w:t>
      </w:r>
      <w:r w:rsidR="00EF0DFA" w:rsidRPr="000B3455">
        <w:t xml:space="preserve"> This is inconsistent with the studies of Chalmers et al. (2006, </w:t>
      </w:r>
      <w:r w:rsidR="00EB350F" w:rsidRPr="000B3455">
        <w:t>p</w:t>
      </w:r>
      <w:r w:rsidR="00C523A8" w:rsidRPr="000B3455">
        <w:t>p</w:t>
      </w:r>
      <w:r w:rsidR="00EB350F" w:rsidRPr="000B3455">
        <w:t xml:space="preserve">. </w:t>
      </w:r>
      <w:r w:rsidR="00EF0DFA" w:rsidRPr="000B3455">
        <w:t xml:space="preserve">268-269), Feng and Tian (2007, </w:t>
      </w:r>
      <w:r w:rsidR="00EB350F" w:rsidRPr="000B3455">
        <w:t xml:space="preserve">p. </w:t>
      </w:r>
      <w:r w:rsidR="00EF0DFA" w:rsidRPr="000B3455">
        <w:t xml:space="preserve">41) and Carter et al. (2007, </w:t>
      </w:r>
      <w:r w:rsidR="00EB350F" w:rsidRPr="000B3455">
        <w:t>p</w:t>
      </w:r>
      <w:r w:rsidR="00C523A8" w:rsidRPr="000B3455">
        <w:t>p</w:t>
      </w:r>
      <w:r w:rsidR="00EB350F" w:rsidRPr="000B3455">
        <w:t xml:space="preserve">. </w:t>
      </w:r>
      <w:r w:rsidR="00EF0DFA" w:rsidRPr="000B3455">
        <w:t xml:space="preserve">341-343). </w:t>
      </w:r>
    </w:p>
    <w:p w:rsidR="00D87452" w:rsidRPr="000B3455" w:rsidRDefault="00D87452" w:rsidP="0088553E">
      <w:pPr>
        <w:pStyle w:val="Heading3"/>
        <w:spacing w:line="360" w:lineRule="auto"/>
        <w:jc w:val="both"/>
      </w:pPr>
      <w:bookmarkStart w:id="84" w:name="_Toc298944594"/>
      <w:r w:rsidRPr="000B3455">
        <w:t>6.2.3 Testing substitution</w:t>
      </w:r>
      <w:bookmarkEnd w:id="84"/>
    </w:p>
    <w:p w:rsidR="007327B4" w:rsidRPr="000B3455" w:rsidRDefault="00D87452" w:rsidP="0088553E">
      <w:pPr>
        <w:spacing w:line="360" w:lineRule="auto"/>
        <w:jc w:val="both"/>
      </w:pPr>
      <w:r w:rsidRPr="000B3455">
        <w:t xml:space="preserve">Contrary to expectations, the proportion of shares seems to have increased since 2004. Taking into account that stock option compensation has decreased since 2004, suggests that the increase in the proportion of shares </w:t>
      </w:r>
      <w:r w:rsidR="007327B4" w:rsidRPr="000B3455">
        <w:t xml:space="preserve">serves as a substitution for the decrease in the proportion of stock options. </w:t>
      </w:r>
      <w:r w:rsidR="00710D54" w:rsidRPr="000B3455">
        <w:t>C</w:t>
      </w:r>
      <w:r w:rsidR="007327B4" w:rsidRPr="000B3455">
        <w:t>onsisten</w:t>
      </w:r>
      <w:r w:rsidR="00710D54" w:rsidRPr="000B3455">
        <w:t>t</w:t>
      </w:r>
      <w:r w:rsidR="007327B4" w:rsidRPr="000B3455">
        <w:t xml:space="preserve"> with testing of the substitution effect of hypotheses 3 and 4, as discussed in the next sections, the same research model is used, which specifies as:</w:t>
      </w:r>
    </w:p>
    <w:p w:rsidR="007327B4" w:rsidRPr="000B3455" w:rsidRDefault="007327B4" w:rsidP="0088553E">
      <w:pPr>
        <w:spacing w:line="360" w:lineRule="auto"/>
        <w:jc w:val="both"/>
      </w:pPr>
      <w:r w:rsidRPr="000B3455">
        <w:rPr>
          <w:rFonts w:cstheme="minorHAnsi"/>
          <w:i/>
        </w:rPr>
        <w:t xml:space="preserve"> Δ PR_FV_SHA</w:t>
      </w:r>
      <w:r w:rsidRPr="000B3455">
        <w:rPr>
          <w:rFonts w:eastAsia="SymbolMT" w:cstheme="minorHAnsi"/>
          <w:i/>
          <w:vertAlign w:val="subscript"/>
          <w:lang w:eastAsia="nl-NL"/>
        </w:rPr>
        <w:t>it</w:t>
      </w:r>
      <w:r w:rsidRPr="000B3455">
        <w:rPr>
          <w:rFonts w:eastAsia="SymbolMT" w:cstheme="minorHAnsi"/>
          <w:lang w:eastAsia="nl-NL"/>
        </w:rPr>
        <w:t xml:space="preserve"> </w:t>
      </w:r>
      <w:r w:rsidRPr="000B3455">
        <w:rPr>
          <w:rFonts w:eastAsia="SymbolMT" w:cstheme="minorHAnsi"/>
          <w:i/>
          <w:lang w:eastAsia="nl-NL"/>
        </w:rPr>
        <w:t>= α</w:t>
      </w:r>
      <w:r w:rsidRPr="000B3455">
        <w:rPr>
          <w:rFonts w:eastAsia="SymbolMT" w:cstheme="minorHAnsi"/>
          <w:i/>
          <w:vertAlign w:val="subscript"/>
          <w:lang w:eastAsia="nl-NL"/>
        </w:rPr>
        <w:t>0</w:t>
      </w:r>
      <w:r w:rsidRPr="000B3455">
        <w:rPr>
          <w:rFonts w:eastAsia="SymbolMT" w:cstheme="minorHAnsi"/>
          <w:i/>
          <w:lang w:eastAsia="nl-NL"/>
        </w:rPr>
        <w:t xml:space="preserve"> + α</w:t>
      </w:r>
      <w:r w:rsidRPr="000B3455">
        <w:rPr>
          <w:rFonts w:eastAsia="SymbolMT" w:cstheme="minorHAnsi"/>
          <w:i/>
          <w:vertAlign w:val="subscript"/>
          <w:lang w:eastAsia="nl-NL"/>
        </w:rPr>
        <w:t xml:space="preserve">1 </w:t>
      </w:r>
      <w:r w:rsidRPr="000B3455">
        <w:rPr>
          <w:rFonts w:eastAsia="SymbolMT" w:cstheme="minorHAnsi"/>
          <w:i/>
          <w:lang w:eastAsia="nl-NL"/>
        </w:rPr>
        <w:t>Δ PR_FV_STO</w:t>
      </w:r>
      <w:r w:rsidRPr="000B3455">
        <w:rPr>
          <w:rFonts w:eastAsia="SymbolMT" w:cstheme="minorHAnsi"/>
          <w:i/>
          <w:vertAlign w:val="subscript"/>
          <w:lang w:eastAsia="nl-NL"/>
        </w:rPr>
        <w:t>it</w:t>
      </w:r>
      <w:r w:rsidRPr="000B3455">
        <w:rPr>
          <w:rFonts w:eastAsia="SymbolMT" w:cstheme="minorHAnsi"/>
          <w:i/>
          <w:lang w:eastAsia="nl-NL"/>
        </w:rPr>
        <w:t xml:space="preserve"> +  α</w:t>
      </w:r>
      <w:r w:rsidRPr="000B3455">
        <w:rPr>
          <w:rFonts w:eastAsia="SymbolMT" w:cstheme="minorHAnsi"/>
          <w:i/>
          <w:vertAlign w:val="subscript"/>
          <w:lang w:eastAsia="nl-NL"/>
        </w:rPr>
        <w:t>2</w:t>
      </w:r>
      <w:r w:rsidRPr="000B3455">
        <w:rPr>
          <w:rFonts w:eastAsia="SymbolMT" w:cstheme="minorHAnsi"/>
          <w:i/>
          <w:lang w:eastAsia="nl-NL"/>
        </w:rPr>
        <w:t xml:space="preserve"> 2004 + α</w:t>
      </w:r>
      <w:r w:rsidRPr="000B3455">
        <w:rPr>
          <w:rFonts w:eastAsia="SymbolMT" w:cstheme="minorHAnsi"/>
          <w:i/>
          <w:vertAlign w:val="subscript"/>
          <w:lang w:eastAsia="nl-NL"/>
        </w:rPr>
        <w:t xml:space="preserve">3 </w:t>
      </w:r>
      <w:r w:rsidRPr="000B3455">
        <w:rPr>
          <w:rFonts w:eastAsia="SymbolMT" w:cstheme="minorHAnsi"/>
          <w:i/>
          <w:lang w:eastAsia="nl-NL"/>
        </w:rPr>
        <w:t>2005 + α</w:t>
      </w:r>
      <w:r w:rsidRPr="000B3455">
        <w:rPr>
          <w:rFonts w:eastAsia="SymbolMT" w:cstheme="minorHAnsi"/>
          <w:i/>
          <w:vertAlign w:val="subscript"/>
          <w:lang w:eastAsia="nl-NL"/>
        </w:rPr>
        <w:t>4</w:t>
      </w:r>
      <w:r w:rsidRPr="000B3455">
        <w:rPr>
          <w:rFonts w:eastAsia="SymbolMT" w:cstheme="minorHAnsi"/>
          <w:i/>
          <w:lang w:eastAsia="nl-NL"/>
        </w:rPr>
        <w:t xml:space="preserve"> 2006 + α</w:t>
      </w:r>
      <w:r w:rsidRPr="000B3455">
        <w:rPr>
          <w:rFonts w:eastAsia="SymbolMT" w:cstheme="minorHAnsi"/>
          <w:i/>
          <w:vertAlign w:val="subscript"/>
          <w:lang w:eastAsia="nl-NL"/>
        </w:rPr>
        <w:t xml:space="preserve">5 </w:t>
      </w:r>
      <w:r w:rsidRPr="000B3455">
        <w:rPr>
          <w:rFonts w:cstheme="minorHAnsi"/>
          <w:i/>
        </w:rPr>
        <w:t xml:space="preserve">2007 + </w:t>
      </w:r>
      <w:r w:rsidRPr="000B3455">
        <w:rPr>
          <w:rFonts w:eastAsia="SymbolMT" w:cstheme="minorHAnsi"/>
          <w:i/>
          <w:lang w:eastAsia="nl-NL"/>
        </w:rPr>
        <w:t>α</w:t>
      </w:r>
      <w:r w:rsidRPr="000B3455">
        <w:rPr>
          <w:rFonts w:eastAsia="SymbolMT" w:cstheme="minorHAnsi"/>
          <w:i/>
          <w:vertAlign w:val="subscript"/>
          <w:lang w:eastAsia="nl-NL"/>
        </w:rPr>
        <w:t xml:space="preserve">6 </w:t>
      </w:r>
      <w:r w:rsidRPr="000B3455">
        <w:rPr>
          <w:i/>
        </w:rPr>
        <w:t>LN_ASSETS</w:t>
      </w:r>
      <w:r w:rsidRPr="000B3455">
        <w:rPr>
          <w:i/>
          <w:vertAlign w:val="subscript"/>
        </w:rPr>
        <w:t>it</w:t>
      </w:r>
      <w:r w:rsidRPr="000B3455">
        <w:rPr>
          <w:i/>
        </w:rPr>
        <w:t xml:space="preserve"> + </w:t>
      </w:r>
      <w:r w:rsidRPr="000B3455">
        <w:rPr>
          <w:rFonts w:eastAsia="SymbolMT" w:cstheme="minorHAnsi"/>
          <w:i/>
          <w:lang w:eastAsia="nl-NL"/>
        </w:rPr>
        <w:t>α</w:t>
      </w:r>
      <w:r w:rsidRPr="000B3455">
        <w:rPr>
          <w:rFonts w:cstheme="minorHAnsi"/>
          <w:i/>
          <w:vertAlign w:val="subscript"/>
        </w:rPr>
        <w:t xml:space="preserve">7 </w:t>
      </w:r>
      <w:r w:rsidRPr="000B3455">
        <w:rPr>
          <w:i/>
        </w:rPr>
        <w:t>MTB</w:t>
      </w:r>
      <w:r w:rsidRPr="000B3455">
        <w:rPr>
          <w:i/>
          <w:vertAlign w:val="subscript"/>
        </w:rPr>
        <w:t>it</w:t>
      </w:r>
      <w:r w:rsidRPr="000B3455">
        <w:rPr>
          <w:rFonts w:cstheme="minorHAnsi"/>
          <w:i/>
        </w:rPr>
        <w:t xml:space="preserve"> + </w:t>
      </w:r>
      <w:r w:rsidRPr="000B3455">
        <w:rPr>
          <w:rFonts w:eastAsia="SymbolMT" w:cstheme="minorHAnsi"/>
          <w:i/>
          <w:lang w:eastAsia="nl-NL"/>
        </w:rPr>
        <w:t>α</w:t>
      </w:r>
      <w:r w:rsidRPr="000B3455">
        <w:rPr>
          <w:rFonts w:cstheme="minorHAnsi"/>
          <w:i/>
          <w:vertAlign w:val="subscript"/>
        </w:rPr>
        <w:t xml:space="preserve">8 </w:t>
      </w:r>
      <w:r w:rsidRPr="000B3455">
        <w:rPr>
          <w:i/>
        </w:rPr>
        <w:t>RET</w:t>
      </w:r>
      <w:r w:rsidRPr="000B3455">
        <w:rPr>
          <w:i/>
          <w:vertAlign w:val="subscript"/>
        </w:rPr>
        <w:t>it</w:t>
      </w:r>
      <w:r w:rsidRPr="000B3455">
        <w:rPr>
          <w:rFonts w:cstheme="minorHAnsi"/>
          <w:i/>
        </w:rPr>
        <w:t xml:space="preserve"> + </w:t>
      </w:r>
      <w:r w:rsidRPr="000B3455">
        <w:rPr>
          <w:rFonts w:eastAsia="SymbolMT" w:cstheme="minorHAnsi"/>
          <w:i/>
          <w:lang w:eastAsia="nl-NL"/>
        </w:rPr>
        <w:t>α</w:t>
      </w:r>
      <w:r w:rsidRPr="000B3455">
        <w:rPr>
          <w:rFonts w:cstheme="minorHAnsi"/>
          <w:i/>
          <w:vertAlign w:val="subscript"/>
        </w:rPr>
        <w:t xml:space="preserve">9 </w:t>
      </w:r>
      <w:r w:rsidRPr="000B3455">
        <w:rPr>
          <w:i/>
        </w:rPr>
        <w:t>VOL</w:t>
      </w:r>
      <w:r w:rsidRPr="000B3455">
        <w:rPr>
          <w:i/>
          <w:vertAlign w:val="subscript"/>
        </w:rPr>
        <w:t>it</w:t>
      </w:r>
      <w:r w:rsidRPr="000B3455">
        <w:rPr>
          <w:rFonts w:cstheme="minorHAnsi"/>
          <w:i/>
        </w:rPr>
        <w:t xml:space="preserve"> + </w:t>
      </w:r>
      <w:r w:rsidRPr="000B3455">
        <w:rPr>
          <w:rFonts w:eastAsia="SymbolMT" w:cstheme="minorHAnsi"/>
          <w:i/>
          <w:lang w:eastAsia="nl-NL"/>
        </w:rPr>
        <w:t>α</w:t>
      </w:r>
      <w:r w:rsidRPr="000B3455">
        <w:rPr>
          <w:rFonts w:cstheme="minorHAnsi"/>
          <w:i/>
          <w:vertAlign w:val="subscript"/>
        </w:rPr>
        <w:t xml:space="preserve">10 </w:t>
      </w:r>
      <w:r w:rsidRPr="000B3455">
        <w:rPr>
          <w:i/>
        </w:rPr>
        <w:t>BOA_SIZE</w:t>
      </w:r>
      <w:r w:rsidRPr="000B3455">
        <w:rPr>
          <w:i/>
          <w:vertAlign w:val="subscript"/>
        </w:rPr>
        <w:t>it</w:t>
      </w:r>
      <w:r w:rsidRPr="000B3455">
        <w:rPr>
          <w:rFonts w:cstheme="minorHAnsi"/>
          <w:i/>
        </w:rPr>
        <w:t xml:space="preserve"> + </w:t>
      </w:r>
      <w:r w:rsidRPr="000B3455">
        <w:rPr>
          <w:rFonts w:eastAsia="SymbolMT" w:cstheme="minorHAnsi"/>
          <w:i/>
          <w:lang w:eastAsia="nl-NL"/>
        </w:rPr>
        <w:t>α</w:t>
      </w:r>
      <w:r w:rsidRPr="000B3455">
        <w:rPr>
          <w:rFonts w:cstheme="minorHAnsi"/>
          <w:i/>
          <w:vertAlign w:val="subscript"/>
        </w:rPr>
        <w:t xml:space="preserve">11 </w:t>
      </w:r>
      <w:r w:rsidRPr="000B3455">
        <w:rPr>
          <w:i/>
        </w:rPr>
        <w:t>LIQ_CON</w:t>
      </w:r>
      <w:r w:rsidRPr="000B3455">
        <w:rPr>
          <w:i/>
          <w:vertAlign w:val="subscript"/>
        </w:rPr>
        <w:t>it</w:t>
      </w:r>
      <w:r w:rsidRPr="000B3455">
        <w:rPr>
          <w:rFonts w:cstheme="minorHAnsi"/>
          <w:i/>
        </w:rPr>
        <w:t xml:space="preserve"> + ∑ </w:t>
      </w:r>
      <w:r w:rsidRPr="000B3455">
        <w:rPr>
          <w:i/>
        </w:rPr>
        <w:t>IND_DUMM</w:t>
      </w:r>
      <w:r w:rsidRPr="000B3455">
        <w:rPr>
          <w:i/>
          <w:vertAlign w:val="subscript"/>
        </w:rPr>
        <w:t>it</w:t>
      </w:r>
      <w:r w:rsidRPr="000B3455">
        <w:rPr>
          <w:i/>
        </w:rPr>
        <w:t xml:space="preserve"> + </w:t>
      </w:r>
      <w:r w:rsidRPr="000B3455">
        <w:rPr>
          <w:rFonts w:hAnsi="Times New Roman" w:cs="Times New Roman"/>
          <w:i/>
        </w:rPr>
        <w:t>ɛ</w:t>
      </w:r>
      <w:r w:rsidRPr="000B3455">
        <w:rPr>
          <w:i/>
          <w:vertAlign w:val="subscript"/>
        </w:rPr>
        <w:t>it</w:t>
      </w:r>
    </w:p>
    <w:p w:rsidR="00D87452" w:rsidRPr="000B3455" w:rsidRDefault="007327B4" w:rsidP="0088553E">
      <w:pPr>
        <w:spacing w:line="360" w:lineRule="auto"/>
        <w:jc w:val="both"/>
        <w:rPr>
          <w:rFonts w:eastAsia="SymbolMT" w:cstheme="minorHAnsi"/>
          <w:lang w:eastAsia="nl-NL"/>
        </w:rPr>
      </w:pPr>
      <w:r w:rsidRPr="000B3455">
        <w:t xml:space="preserve">When </w:t>
      </w:r>
      <w:r w:rsidRPr="000B3455">
        <w:rPr>
          <w:rFonts w:eastAsia="SymbolMT" w:cstheme="minorHAnsi"/>
          <w:i/>
          <w:lang w:eastAsia="nl-NL"/>
        </w:rPr>
        <w:t>α</w:t>
      </w:r>
      <w:r w:rsidRPr="000B3455">
        <w:rPr>
          <w:rFonts w:eastAsia="SymbolMT" w:cstheme="minorHAnsi"/>
          <w:i/>
          <w:vertAlign w:val="subscript"/>
          <w:lang w:eastAsia="nl-NL"/>
        </w:rPr>
        <w:t>1</w:t>
      </w:r>
      <w:r w:rsidRPr="000B3455">
        <w:rPr>
          <w:rFonts w:eastAsia="SymbolMT" w:cstheme="minorHAnsi"/>
          <w:lang w:eastAsia="nl-NL"/>
        </w:rPr>
        <w:t xml:space="preserve"> is significantly negative, it illustrates that the change in the proportion of the fair value of granted shares (</w:t>
      </w:r>
      <w:r w:rsidR="00307F89" w:rsidRPr="000B3455">
        <w:rPr>
          <w:rFonts w:cstheme="minorHAnsi"/>
          <w:i/>
        </w:rPr>
        <w:t>Δ PR_FV_SHA</w:t>
      </w:r>
      <w:r w:rsidR="00307F89" w:rsidRPr="000B3455">
        <w:rPr>
          <w:rFonts w:eastAsia="SymbolMT" w:cstheme="minorHAnsi"/>
          <w:i/>
          <w:vertAlign w:val="subscript"/>
          <w:lang w:eastAsia="nl-NL"/>
        </w:rPr>
        <w:t>it</w:t>
      </w:r>
      <w:r w:rsidRPr="000B3455">
        <w:rPr>
          <w:rFonts w:eastAsia="SymbolMT" w:cstheme="minorHAnsi"/>
          <w:lang w:eastAsia="nl-NL"/>
        </w:rPr>
        <w:t xml:space="preserve">) </w:t>
      </w:r>
      <w:r w:rsidR="00307F89" w:rsidRPr="000B3455">
        <w:rPr>
          <w:rFonts w:eastAsia="SymbolMT" w:cstheme="minorHAnsi"/>
          <w:lang w:eastAsia="nl-NL"/>
        </w:rPr>
        <w:t>shows an opposite movement than the change in the proportion of stock options (</w:t>
      </w:r>
      <w:r w:rsidR="00307F89" w:rsidRPr="000B3455">
        <w:rPr>
          <w:rFonts w:eastAsia="SymbolMT" w:cstheme="minorHAnsi"/>
          <w:i/>
          <w:lang w:eastAsia="nl-NL"/>
        </w:rPr>
        <w:t>Δ PR_FV_STO</w:t>
      </w:r>
      <w:r w:rsidR="00307F89" w:rsidRPr="000B3455">
        <w:rPr>
          <w:rFonts w:eastAsia="SymbolMT" w:cstheme="minorHAnsi"/>
          <w:i/>
          <w:vertAlign w:val="subscript"/>
          <w:lang w:eastAsia="nl-NL"/>
        </w:rPr>
        <w:t>it</w:t>
      </w:r>
      <w:r w:rsidR="00307F89" w:rsidRPr="000B3455">
        <w:rPr>
          <w:rFonts w:eastAsia="SymbolMT" w:cstheme="minorHAnsi"/>
          <w:lang w:eastAsia="nl-NL"/>
        </w:rPr>
        <w:t>). In other words, shares and stock options are substitutes. The dummies indicate the period, whereby 2004 stands for the change between 2003 and 2004.</w:t>
      </w:r>
      <w:r w:rsidR="00930624" w:rsidRPr="000B3455">
        <w:rPr>
          <w:rFonts w:eastAsia="SymbolMT" w:cstheme="minorHAnsi"/>
          <w:lang w:eastAsia="nl-NL"/>
        </w:rPr>
        <w:t xml:space="preserve"> The change between 2002 and 2003 serves as the base value.</w:t>
      </w:r>
      <w:r w:rsidR="00307F89" w:rsidRPr="000B3455">
        <w:rPr>
          <w:rFonts w:eastAsia="SymbolMT" w:cstheme="minorHAnsi"/>
          <w:lang w:eastAsia="nl-NL"/>
        </w:rPr>
        <w:t xml:space="preserve"> Significantly positive year dummies reveal that the base substitution effect, as indicated by </w:t>
      </w:r>
      <w:r w:rsidR="00307F89" w:rsidRPr="000B3455">
        <w:rPr>
          <w:rFonts w:eastAsia="SymbolMT" w:cstheme="minorHAnsi"/>
          <w:i/>
          <w:lang w:eastAsia="nl-NL"/>
        </w:rPr>
        <w:t>α</w:t>
      </w:r>
      <w:r w:rsidR="00307F89" w:rsidRPr="000B3455">
        <w:rPr>
          <w:rFonts w:eastAsia="SymbolMT" w:cstheme="minorHAnsi"/>
          <w:i/>
          <w:vertAlign w:val="subscript"/>
          <w:lang w:eastAsia="nl-NL"/>
        </w:rPr>
        <w:t>1</w:t>
      </w:r>
      <w:r w:rsidR="00307F89" w:rsidRPr="000B3455">
        <w:rPr>
          <w:rFonts w:eastAsia="SymbolMT" w:cstheme="minorHAnsi"/>
          <w:lang w:eastAsia="nl-NL"/>
        </w:rPr>
        <w:t>, is enlarged. This means that the substitution in the respective years is accelerated. In order to support that the decrease of stock option</w:t>
      </w:r>
      <w:r w:rsidR="00930624" w:rsidRPr="000B3455">
        <w:rPr>
          <w:rFonts w:eastAsia="SymbolMT" w:cstheme="minorHAnsi"/>
          <w:lang w:eastAsia="nl-NL"/>
        </w:rPr>
        <w:t>s is substituted for by shares,</w:t>
      </w:r>
      <w:r w:rsidR="00930624" w:rsidRPr="000B3455">
        <w:rPr>
          <w:rFonts w:eastAsia="SymbolMT" w:cstheme="minorHAnsi"/>
          <w:i/>
          <w:lang w:eastAsia="nl-NL"/>
        </w:rPr>
        <w:t xml:space="preserve"> </w:t>
      </w:r>
      <w:r w:rsidR="00930624" w:rsidRPr="000B3455">
        <w:rPr>
          <w:rFonts w:eastAsia="SymbolMT" w:cstheme="minorHAnsi"/>
          <w:lang w:eastAsia="nl-NL"/>
        </w:rPr>
        <w:t>the alphas of the year dummies should be significantly positive.</w:t>
      </w:r>
      <w:r w:rsidR="00307F89" w:rsidRPr="000B3455">
        <w:rPr>
          <w:rFonts w:eastAsia="SymbolMT" w:cstheme="minorHAnsi"/>
          <w:i/>
          <w:vertAlign w:val="subscript"/>
          <w:lang w:eastAsia="nl-NL"/>
        </w:rPr>
        <w:t xml:space="preserve"> </w:t>
      </w:r>
      <w:r w:rsidR="00307F89" w:rsidRPr="000B3455">
        <w:rPr>
          <w:rFonts w:eastAsia="SymbolMT" w:cstheme="minorHAnsi"/>
          <w:lang w:eastAsia="nl-NL"/>
        </w:rPr>
        <w:t>In addition, it controls for several economic determinants and for different industries.</w:t>
      </w:r>
    </w:p>
    <w:p w:rsidR="00307F89" w:rsidRPr="000B3455" w:rsidRDefault="00930624" w:rsidP="0088553E">
      <w:pPr>
        <w:spacing w:line="360" w:lineRule="auto"/>
        <w:jc w:val="both"/>
      </w:pPr>
      <w:r w:rsidRPr="000B3455">
        <w:lastRenderedPageBreak/>
        <w:t>Since this test for substitution requires the same sample as hypothesis 2, the descriptive statistics are the same, except for those for the change in proportions.</w:t>
      </w:r>
      <w:r w:rsidR="00A87046" w:rsidRPr="000B3455">
        <w:t xml:space="preserve"> Since the change is measured between two years, the year 2002 is eliminated from the sample. Consequently, the sample includes 145 firms years.</w:t>
      </w:r>
      <w:r w:rsidRPr="000B3455">
        <w:t xml:space="preserve"> </w:t>
      </w:r>
      <w:r w:rsidR="00982F6B" w:rsidRPr="000B3455">
        <w:t xml:space="preserve">As from </w:t>
      </w:r>
      <w:fldSimple w:instr=" REF _Ref298857377 \h  \* MERGEFORMAT ">
        <w:r w:rsidR="001D5F9A">
          <w:t xml:space="preserve">Table </w:t>
        </w:r>
        <w:r w:rsidR="001D5F9A">
          <w:rPr>
            <w:noProof/>
          </w:rPr>
          <w:t>13</w:t>
        </w:r>
        <w:r w:rsidR="001D5F9A">
          <w:t xml:space="preserve">: </w:t>
        </w:r>
        <w:r w:rsidR="001D5F9A" w:rsidRPr="00C83CEF">
          <w:rPr>
            <w:rFonts w:cstheme="minorHAnsi"/>
          </w:rPr>
          <w:t>SPSS output on descriptive statistics</w:t>
        </w:r>
      </w:fldSimple>
      <w:r w:rsidR="00952E8B" w:rsidRPr="000B3455">
        <w:t xml:space="preserve"> </w:t>
      </w:r>
      <w:r w:rsidR="00982F6B" w:rsidRPr="000B3455">
        <w:t xml:space="preserve">in </w:t>
      </w:r>
      <w:fldSimple w:instr=" REF IX \h  \* MERGEFORMAT ">
        <w:r w:rsidR="001D5F9A" w:rsidRPr="000B3455">
          <w:t>Appendix IX</w:t>
        </w:r>
      </w:fldSimple>
      <w:r w:rsidR="00952E8B">
        <w:t xml:space="preserve"> </w:t>
      </w:r>
      <w:r w:rsidR="00C27BD3" w:rsidRPr="000B3455">
        <w:t>appears, the mean average change in the proportion of shares is 3</w:t>
      </w:r>
      <w:r w:rsidR="00A87046" w:rsidRPr="000B3455">
        <w:t>.7</w:t>
      </w:r>
      <w:r w:rsidR="00C27BD3" w:rsidRPr="000B3455">
        <w:t xml:space="preserve"> %-points. Additionally, the change of the proportion of shares shows a somewhat normal distribu</w:t>
      </w:r>
      <w:r w:rsidR="00982F6B" w:rsidRPr="000B3455">
        <w:t xml:space="preserve">tion (see </w:t>
      </w:r>
      <w:fldSimple w:instr=" REF _Ref298857479 \h  \* MERGEFORMAT ">
        <w:r w:rsidR="001D5F9A">
          <w:t xml:space="preserve">Figure </w:t>
        </w:r>
        <w:r w:rsidR="001D5F9A">
          <w:rPr>
            <w:noProof/>
          </w:rPr>
          <w:t>5</w:t>
        </w:r>
      </w:fldSimple>
      <w:r w:rsidR="00952E8B">
        <w:t xml:space="preserve"> </w:t>
      </w:r>
      <w:r w:rsidR="00982F6B" w:rsidRPr="000B3455">
        <w:t xml:space="preserve">in </w:t>
      </w:r>
      <w:fldSimple w:instr=" REF IX \h  \* MERGEFORMAT ">
        <w:r w:rsidR="001D5F9A" w:rsidRPr="000B3455">
          <w:t>Appendix IX</w:t>
        </w:r>
      </w:fldSimple>
      <w:r w:rsidR="00C27BD3" w:rsidRPr="000B3455">
        <w:t xml:space="preserve">). The trend in the proportion of shares seems to switch between a rapid increase and a low increase, as shown in </w:t>
      </w:r>
      <w:fldSimple w:instr=" REF _Ref298857525 \h  \* MERGEFORMAT ">
        <w:r w:rsidR="001D5F9A">
          <w:t xml:space="preserve">Figure </w:t>
        </w:r>
        <w:r w:rsidR="001D5F9A">
          <w:rPr>
            <w:noProof/>
          </w:rPr>
          <w:t>6</w:t>
        </w:r>
      </w:fldSimple>
      <w:r w:rsidR="00C27BD3" w:rsidRPr="000B3455">
        <w:t xml:space="preserve"> and</w:t>
      </w:r>
      <w:r w:rsidR="00952E8B">
        <w:t xml:space="preserve"> </w:t>
      </w:r>
      <w:fldSimple w:instr=" REF _Ref298857531 \h  \* MERGEFORMAT ">
        <w:r w:rsidR="001D5F9A">
          <w:t xml:space="preserve">Figure </w:t>
        </w:r>
        <w:r w:rsidR="001D5F9A">
          <w:rPr>
            <w:noProof/>
          </w:rPr>
          <w:t>7</w:t>
        </w:r>
      </w:fldSimple>
      <w:r w:rsidR="00E64A6D">
        <w:t xml:space="preserve"> </w:t>
      </w:r>
      <w:r w:rsidR="00C27BD3" w:rsidRPr="000B3455">
        <w:t xml:space="preserve">in </w:t>
      </w:r>
      <w:fldSimple w:instr=" REF IX \h  \* MERGEFORMAT ">
        <w:r w:rsidR="001D5F9A" w:rsidRPr="000B3455">
          <w:t>Appendix IX</w:t>
        </w:r>
      </w:fldSimple>
      <w:r w:rsidR="00C27BD3" w:rsidRPr="000B3455">
        <w:t>, whereas the proportion of stock options</w:t>
      </w:r>
      <w:r w:rsidR="00681954" w:rsidRPr="000B3455">
        <w:t xml:space="preserve"> has decreased rapidly in 2004, whereupon the decrease is weakened. Both trends do not show the exact opposite of each other. Results from the regression model should provide a clear answer to whether stock options are substituted for by shares.</w:t>
      </w:r>
    </w:p>
    <w:p w:rsidR="00996012" w:rsidRPr="000B3455" w:rsidRDefault="006C0A6B" w:rsidP="0088553E">
      <w:pPr>
        <w:spacing w:line="360" w:lineRule="auto"/>
        <w:jc w:val="both"/>
      </w:pPr>
      <w:r>
        <w:t>As t</w:t>
      </w:r>
      <w:r w:rsidR="00982F6B" w:rsidRPr="000B3455">
        <w:t xml:space="preserve">he model predicts </w:t>
      </w:r>
      <w:r>
        <w:t xml:space="preserve">only </w:t>
      </w:r>
      <w:r w:rsidR="00982F6B" w:rsidRPr="000B3455">
        <w:t>16</w:t>
      </w:r>
      <w:r w:rsidR="00A00F8F">
        <w:t>.</w:t>
      </w:r>
      <w:r>
        <w:t>5</w:t>
      </w:r>
      <w:r w:rsidR="00982F6B" w:rsidRPr="000B3455">
        <w:t xml:space="preserve"> % (</w:t>
      </w:r>
      <w:fldSimple w:instr=" REF X \h  \* MERGEFORMAT ">
        <w:r w:rsidR="001D5F9A" w:rsidRPr="000B3455">
          <w:t>Appendix X</w:t>
        </w:r>
      </w:fldSimple>
      <w:r w:rsidR="00952E8B">
        <w:t xml:space="preserve"> </w:t>
      </w:r>
      <w:fldSimple w:instr=" REF _Ref298857584 \h  \* MERGEFORMAT ">
        <w:r w:rsidR="001D5F9A">
          <w:t xml:space="preserve">Table </w:t>
        </w:r>
        <w:r w:rsidR="001D5F9A">
          <w:rPr>
            <w:noProof/>
          </w:rPr>
          <w:t>14</w:t>
        </w:r>
      </w:fldSimple>
      <w:r w:rsidR="00982F6B" w:rsidRPr="000B3455">
        <w:t>)</w:t>
      </w:r>
      <w:r>
        <w:t xml:space="preserve"> of the variance</w:t>
      </w:r>
      <w:r w:rsidR="00982F6B" w:rsidRPr="000B3455">
        <w:t xml:space="preserve"> </w:t>
      </w:r>
      <w:r>
        <w:t xml:space="preserve">and </w:t>
      </w:r>
      <w:r w:rsidR="00982F6B" w:rsidRPr="000B3455">
        <w:t>the ANOVA</w:t>
      </w:r>
      <w:r>
        <w:t xml:space="preserve"> test shows that the model</w:t>
      </w:r>
      <w:r w:rsidR="00982F6B" w:rsidRPr="000B3455">
        <w:t xml:space="preserve"> </w:t>
      </w:r>
      <w:r>
        <w:t>an</w:t>
      </w:r>
      <w:r w:rsidR="00982F6B" w:rsidRPr="000B3455">
        <w:t xml:space="preserve"> </w:t>
      </w:r>
      <w:r>
        <w:t>in</w:t>
      </w:r>
      <w:r w:rsidR="00982F6B" w:rsidRPr="000B3455">
        <w:t xml:space="preserve">significant </w:t>
      </w:r>
      <w:r>
        <w:t>p-value</w:t>
      </w:r>
      <w:r w:rsidR="00982F6B" w:rsidRPr="000B3455">
        <w:t xml:space="preserve"> (</w:t>
      </w:r>
      <w:fldSimple w:instr=" REF X \h  \* MERGEFORMAT ">
        <w:r w:rsidR="001D5F9A" w:rsidRPr="000B3455">
          <w:t>Appendix X</w:t>
        </w:r>
      </w:fldSimple>
      <w:r w:rsidR="00952E8B">
        <w:t xml:space="preserve"> </w:t>
      </w:r>
      <w:fldSimple w:instr=" REF _Ref298857600 \h  \* MERGEFORMAT ">
        <w:r w:rsidR="001D5F9A">
          <w:t xml:space="preserve">Table </w:t>
        </w:r>
        <w:r w:rsidR="001D5F9A">
          <w:rPr>
            <w:noProof/>
          </w:rPr>
          <w:t>15</w:t>
        </w:r>
        <w:r w:rsidR="001D5F9A">
          <w:t xml:space="preserve">: </w:t>
        </w:r>
        <w:r w:rsidR="001D5F9A" w:rsidRPr="00C87238">
          <w:t>SPSS analysis of variance</w:t>
        </w:r>
      </w:fldSimple>
      <w:r>
        <w:t>), the explanatory power of this regression is questionable.</w:t>
      </w:r>
      <w:r w:rsidR="00982F6B" w:rsidRPr="000B3455">
        <w:t xml:space="preserve"> </w:t>
      </w:r>
      <w:r w:rsidR="00996012" w:rsidRPr="000B3455">
        <w:t xml:space="preserve">The </w:t>
      </w:r>
      <w:r w:rsidR="00996012" w:rsidRPr="000B3455">
        <w:rPr>
          <w:rFonts w:eastAsia="SymbolMT" w:cstheme="minorHAnsi"/>
          <w:i/>
          <w:lang w:eastAsia="nl-NL"/>
        </w:rPr>
        <w:t>α</w:t>
      </w:r>
      <w:r w:rsidR="00996012" w:rsidRPr="000B3455">
        <w:rPr>
          <w:rFonts w:eastAsia="SymbolMT" w:cstheme="minorHAnsi"/>
          <w:i/>
          <w:vertAlign w:val="subscript"/>
          <w:lang w:eastAsia="nl-NL"/>
        </w:rPr>
        <w:t>1</w:t>
      </w:r>
      <w:r w:rsidR="00996012" w:rsidRPr="000B3455">
        <w:rPr>
          <w:rFonts w:eastAsia="SymbolMT" w:cstheme="minorHAnsi"/>
          <w:lang w:eastAsia="nl-NL"/>
        </w:rPr>
        <w:t xml:space="preserve"> is with a p-value of 0</w:t>
      </w:r>
      <w:r w:rsidR="00A87046" w:rsidRPr="000B3455">
        <w:rPr>
          <w:rFonts w:eastAsia="SymbolMT" w:cstheme="minorHAnsi"/>
          <w:lang w:eastAsia="nl-NL"/>
        </w:rPr>
        <w:t>.003</w:t>
      </w:r>
      <w:r w:rsidR="00996012" w:rsidRPr="000B3455">
        <w:rPr>
          <w:rFonts w:eastAsia="SymbolMT" w:cstheme="minorHAnsi"/>
          <w:lang w:eastAsia="nl-NL"/>
        </w:rPr>
        <w:t xml:space="preserve"> significantly negative, indicating that the proportion of shares is a substitute for stock options. The </w:t>
      </w:r>
      <w:r w:rsidR="00996012" w:rsidRPr="000B3455">
        <w:rPr>
          <w:rFonts w:eastAsia="SymbolMT" w:cstheme="minorHAnsi"/>
          <w:i/>
          <w:lang w:eastAsia="nl-NL"/>
        </w:rPr>
        <w:t>α</w:t>
      </w:r>
      <w:r w:rsidR="00996012" w:rsidRPr="000B3455">
        <w:rPr>
          <w:rFonts w:eastAsia="SymbolMT" w:cstheme="minorHAnsi"/>
          <w:i/>
          <w:vertAlign w:val="subscript"/>
          <w:lang w:eastAsia="nl-NL"/>
        </w:rPr>
        <w:t xml:space="preserve">2 </w:t>
      </w:r>
      <w:r w:rsidR="00996012" w:rsidRPr="000B3455">
        <w:t xml:space="preserve">and </w:t>
      </w:r>
      <w:r w:rsidR="00996012" w:rsidRPr="000B3455">
        <w:rPr>
          <w:rFonts w:eastAsia="SymbolMT" w:cstheme="minorHAnsi"/>
          <w:i/>
          <w:lang w:eastAsia="nl-NL"/>
        </w:rPr>
        <w:t>α</w:t>
      </w:r>
      <w:r w:rsidR="00996012" w:rsidRPr="000B3455">
        <w:rPr>
          <w:rFonts w:eastAsia="SymbolMT" w:cstheme="minorHAnsi"/>
          <w:i/>
          <w:vertAlign w:val="subscript"/>
          <w:lang w:eastAsia="nl-NL"/>
        </w:rPr>
        <w:t xml:space="preserve">4 </w:t>
      </w:r>
      <w:r w:rsidR="00996012" w:rsidRPr="000B3455">
        <w:t>are significantly positive. This indicates that in 2004 and in 2006 the substitution from stock options to shares was greater compared to 2003, 2005 and 2007.</w:t>
      </w:r>
      <w:r w:rsidR="00713383" w:rsidRPr="000B3455">
        <w:t xml:space="preserve"> This is consistent with Figure </w:t>
      </w:r>
      <w:r w:rsidR="00775062">
        <w:t>6-</w:t>
      </w:r>
      <w:r w:rsidR="00713383" w:rsidRPr="000B3455">
        <w:t>2 and the statistical results as discussed for hypothesis 2, which show that the proportion has strongly increased in both 2004 and 2006.</w:t>
      </w:r>
      <w:r w:rsidR="00996012" w:rsidRPr="000B3455">
        <w:t xml:space="preserve"> The stronger substitution in 2004 might be explained by the same reason as why the proportion of stock options has decreased, namely the combination of the Dutch Corporate Governance Code, Article 383c and the preparation for IFRS 2. However, the influence of IFRS 2 is doubtful, as in 2005 the substitution effect was not significantly stronger than the base year. </w:t>
      </w:r>
      <w:r w:rsidR="0004457A" w:rsidRPr="000B3455">
        <w:t>What caused the significantly larger substitution in 2006 is uncertain. The introduction of IFRS 2 may have no effect</w:t>
      </w:r>
      <w:r w:rsidR="005A4178" w:rsidRPr="000B3455">
        <w:t>, as well as the Corporate Governance Code and Article 383c. Accordingly, other factors may have influenced it, like changes in the behavior of executives.</w:t>
      </w:r>
    </w:p>
    <w:p w:rsidR="00B036EA" w:rsidRPr="000B3455" w:rsidRDefault="006C0A6B" w:rsidP="0088553E">
      <w:pPr>
        <w:spacing w:line="360" w:lineRule="auto"/>
        <w:jc w:val="both"/>
      </w:pPr>
      <w:r>
        <w:t>Consistent with the lack of explanatory power of the regression model, n</w:t>
      </w:r>
      <w:r w:rsidR="005A4178" w:rsidRPr="000B3455">
        <w:t>one of the economic determinants are significantly related to the change in proportion of shares</w:t>
      </w:r>
      <w:r w:rsidR="0065759F">
        <w:t xml:space="preserve">, as displayed in </w:t>
      </w:r>
      <w:fldSimple w:instr=" REF _Ref298858247 \h  \* MERGEFORMAT ">
        <w:r w:rsidR="001D5F9A">
          <w:t xml:space="preserve">Table </w:t>
        </w:r>
        <w:r w:rsidR="001D5F9A">
          <w:rPr>
            <w:noProof/>
          </w:rPr>
          <w:t>16</w:t>
        </w:r>
      </w:fldSimple>
      <w:r w:rsidR="0065759F">
        <w:t xml:space="preserve">in </w:t>
      </w:r>
      <w:fldSimple w:instr=" REF X \h  \* MERGEFORMAT ">
        <w:r w:rsidR="001D5F9A" w:rsidRPr="000B3455">
          <w:t>Appendix X</w:t>
        </w:r>
      </w:fldSimple>
      <w:r w:rsidR="005A4178" w:rsidRPr="000B3455">
        <w:t>. This indicates that the substitution is completely in</w:t>
      </w:r>
      <w:r w:rsidR="00702747" w:rsidRPr="000B3455">
        <w:t>dependent from investigated economic factors and the change in the proportion of shares is completely driven by other factors</w:t>
      </w:r>
      <w:r w:rsidR="002078A0" w:rsidRPr="000B3455">
        <w:t>, of which the mandatory compliance with the Code and th</w:t>
      </w:r>
      <w:r w:rsidR="00783DEC" w:rsidRPr="000B3455">
        <w:t xml:space="preserve">e disrepute of stock options </w:t>
      </w:r>
      <w:r w:rsidR="002078A0" w:rsidRPr="000B3455">
        <w:t>may be possible explanations.</w:t>
      </w:r>
      <w:r w:rsidR="005A4178" w:rsidRPr="000B3455">
        <w:t xml:space="preserve"> </w:t>
      </w:r>
      <w:r w:rsidR="00131DAE" w:rsidRPr="000B3455">
        <w:t xml:space="preserve">In addition, the industry dummies suggest that the change in all industries, except for the construction industry, does not significantly differ from the change of the manufacturing industry. Testing for </w:t>
      </w:r>
      <w:r w:rsidR="00131DAE" w:rsidRPr="000B3455">
        <w:lastRenderedPageBreak/>
        <w:t xml:space="preserve">multicollinearity results to the conclusion that the independent variables are not mutually related (see </w:t>
      </w:r>
      <w:fldSimple w:instr=" REF _Ref298858119 \h  \* MERGEFORMAT ">
        <w:r w:rsidR="001D5F9A">
          <w:t xml:space="preserve">Table </w:t>
        </w:r>
        <w:r w:rsidR="001D5F9A">
          <w:rPr>
            <w:noProof/>
          </w:rPr>
          <w:t>17</w:t>
        </w:r>
      </w:fldSimple>
      <w:r w:rsidR="0065759F">
        <w:t xml:space="preserve"> </w:t>
      </w:r>
      <w:r w:rsidR="00131DAE" w:rsidRPr="000B3455">
        <w:t xml:space="preserve">in </w:t>
      </w:r>
      <w:fldSimple w:instr=" REF X \h  \* MERGEFORMAT ">
        <w:r w:rsidR="001D5F9A" w:rsidRPr="000B3455">
          <w:t>Appendix X</w:t>
        </w:r>
      </w:fldSimple>
      <w:r w:rsidR="00131DAE" w:rsidRPr="000B3455">
        <w:t xml:space="preserve">) and, therefore, do not include the same information about the economic situation of a company. Consequently, although the independent variables are contributing to explain the dependent variable, all independent variables </w:t>
      </w:r>
      <w:r w:rsidR="001771A7" w:rsidRPr="000B3455">
        <w:t>are considered to have no significant influence on the change in proportion of share compensation.</w:t>
      </w:r>
    </w:p>
    <w:p w:rsidR="00B332CA" w:rsidRPr="000B3455" w:rsidRDefault="00B332CA" w:rsidP="0088553E">
      <w:pPr>
        <w:pStyle w:val="Heading3"/>
        <w:spacing w:line="360" w:lineRule="auto"/>
        <w:jc w:val="both"/>
      </w:pPr>
      <w:bookmarkStart w:id="85" w:name="_Toc298944595"/>
      <w:r w:rsidRPr="000B3455">
        <w:t>6.2.</w:t>
      </w:r>
      <w:r w:rsidR="00D87452" w:rsidRPr="000B3455">
        <w:t>4</w:t>
      </w:r>
      <w:r w:rsidRPr="000B3455">
        <w:t xml:space="preserve"> Conclusion</w:t>
      </w:r>
      <w:bookmarkEnd w:id="85"/>
    </w:p>
    <w:p w:rsidR="007E5C77" w:rsidRPr="000B3455" w:rsidRDefault="00C92B63" w:rsidP="0088553E">
      <w:pPr>
        <w:spacing w:line="360" w:lineRule="auto"/>
        <w:jc w:val="both"/>
      </w:pPr>
      <w:r w:rsidRPr="000B3455">
        <w:t>To conclude, the introduction of IFRS 2</w:t>
      </w:r>
      <w:r w:rsidR="003637C0" w:rsidRPr="000B3455">
        <w:t xml:space="preserve"> does not have a direct significant influence on the proportion of shares, as the proportion has an increasing trend, while the new accounting treatment under IFRS 2 suggests a decline. However, the introduction of IFRS 2, together with Article 383c and the Dutch Corporate Governance Code, has a probable direct negative influence on stock options as a part of remuneration. The results on hypothesis 2 suggest that </w:t>
      </w:r>
      <w:r w:rsidR="002078A0" w:rsidRPr="000B3455">
        <w:t>in 2003</w:t>
      </w:r>
      <w:r w:rsidR="003637C0" w:rsidRPr="000B3455">
        <w:t xml:space="preserve"> the declining pro</w:t>
      </w:r>
      <w:r w:rsidR="002078A0" w:rsidRPr="000B3455">
        <w:t>portion of stock options</w:t>
      </w:r>
      <w:r w:rsidR="003637C0" w:rsidRPr="000B3455">
        <w:t>, the proportion of shares increased to made up for the decrease in compensation by stock options. Although the accounting treatment for shares became less favorable in 2005, the benefits of shares being more efficient</w:t>
      </w:r>
      <w:r w:rsidR="00B332CA" w:rsidRPr="000B3455">
        <w:t xml:space="preserve"> and</w:t>
      </w:r>
      <w:r w:rsidR="003637C0" w:rsidRPr="000B3455">
        <w:t xml:space="preserve"> the lower compensation required</w:t>
      </w:r>
      <w:r w:rsidR="00B332CA" w:rsidRPr="000B3455">
        <w:t xml:space="preserve"> outweighed the additional recognized expenses for shares.</w:t>
      </w:r>
      <w:r w:rsidR="00A87046" w:rsidRPr="000B3455">
        <w:t xml:space="preserve"> </w:t>
      </w:r>
      <w:r w:rsidR="00DB6DAB" w:rsidRPr="000B3455">
        <w:t>However, t</w:t>
      </w:r>
      <w:r w:rsidR="00A87046" w:rsidRPr="000B3455">
        <w:t>he results of the additional test for substitution does not provide supporting evidence that the decrease of the proportion of stock option compensation is entirely made up by an increasing proportion of shares</w:t>
      </w:r>
      <w:r w:rsidR="002078A0" w:rsidRPr="000B3455">
        <w:t xml:space="preserve"> over the whole period 2002-2007</w:t>
      </w:r>
      <w:r w:rsidR="00A87046" w:rsidRPr="000B3455">
        <w:t>. It can be concluded that the significant decrease of stock option proportion in 2004 is made up by shares.</w:t>
      </w:r>
      <w:r w:rsidR="00464759" w:rsidRPr="000B3455">
        <w:t xml:space="preserve"> This is consistent with the study of Swagerman and Terpstra (2009).</w:t>
      </w:r>
      <w:r w:rsidR="00A87046" w:rsidRPr="000B3455">
        <w:t xml:space="preserve"> However, the lower proportion of stock options in 2005 is not made up by an increasing shares proportion. The stronger substitution effect for 2006 might not be explained by the aforementioned causes, but might b</w:t>
      </w:r>
      <w:r w:rsidR="00F84843" w:rsidRPr="000B3455">
        <w:t>e</w:t>
      </w:r>
      <w:r w:rsidR="00A87046" w:rsidRPr="000B3455">
        <w:t xml:space="preserve"> th</w:t>
      </w:r>
      <w:r w:rsidR="001A2CD5" w:rsidRPr="000B3455">
        <w:t>e result of other factors. The influence of IFRS 2 on the substitution of stock options for shares is, therefore, arguable.</w:t>
      </w:r>
      <w:r w:rsidR="00A87046" w:rsidRPr="000B3455">
        <w:t xml:space="preserve"> </w:t>
      </w:r>
      <w:r w:rsidR="00E007AA" w:rsidRPr="000B3455">
        <w:t xml:space="preserve">The proportion of shares seems to be related to a firms’ growth opportunities and its liquidity constraints, this is consistent with Chalmers et al. (2006) and Kadan and Swinkels (2008) suggesting that high growth opportunities firms have more cash constraints and will, therefore, grant a relatively high percentage of shares. </w:t>
      </w:r>
      <w:r w:rsidR="00464759" w:rsidRPr="000B3455">
        <w:t>The change in proportion of shares cannot be explained by the control variables included in the model. This suggests that the change depends on other, non-economical factors, for example a stronger reputation</w:t>
      </w:r>
      <w:r w:rsidR="00783DEC" w:rsidRPr="000B3455">
        <w:t xml:space="preserve"> of shares</w:t>
      </w:r>
      <w:r w:rsidR="00464759" w:rsidRPr="000B3455">
        <w:t xml:space="preserve"> relative to stock options</w:t>
      </w:r>
      <w:r w:rsidR="00E007AA" w:rsidRPr="000B3455">
        <w:t xml:space="preserve">, due to the option backdating scandal, as considered by Feng and Tian (2007). </w:t>
      </w:r>
    </w:p>
    <w:p w:rsidR="00341F47" w:rsidRPr="000B3455" w:rsidRDefault="00341F47" w:rsidP="0088553E">
      <w:pPr>
        <w:pStyle w:val="Heading2"/>
        <w:spacing w:line="360" w:lineRule="auto"/>
        <w:jc w:val="both"/>
      </w:pPr>
      <w:bookmarkStart w:id="86" w:name="_Toc298944596"/>
      <w:r w:rsidRPr="000B3455">
        <w:t>6.3 Results on hypothesis 3</w:t>
      </w:r>
      <w:bookmarkEnd w:id="86"/>
    </w:p>
    <w:p w:rsidR="00341F47" w:rsidRPr="000B3455" w:rsidRDefault="00875734" w:rsidP="0088553E">
      <w:pPr>
        <w:spacing w:line="360" w:lineRule="auto"/>
        <w:jc w:val="both"/>
      </w:pPr>
      <w:r w:rsidRPr="000B3455">
        <w:t xml:space="preserve">The declining trend of the proportion of stock options to total compensation found in section 6.1 suggests that proportions for other compensation forms are increasing. </w:t>
      </w:r>
      <w:r w:rsidR="00263310" w:rsidRPr="000B3455">
        <w:t xml:space="preserve">Hypothesis 3 is formulated to </w:t>
      </w:r>
      <w:r w:rsidR="00263310" w:rsidRPr="000B3455">
        <w:lastRenderedPageBreak/>
        <w:t xml:space="preserve">test for this substitution effect. </w:t>
      </w:r>
      <w:r w:rsidRPr="000B3455">
        <w:t xml:space="preserve">In this hypothesis the other compensation form is fixed salary. Hypothesis 3 is stated as: </w:t>
      </w:r>
    </w:p>
    <w:p w:rsidR="00875734" w:rsidRPr="000B3455" w:rsidRDefault="00875734" w:rsidP="0088553E">
      <w:pPr>
        <w:spacing w:line="360" w:lineRule="auto"/>
        <w:jc w:val="both"/>
        <w:rPr>
          <w:rFonts w:cstheme="minorHAnsi"/>
          <w:i/>
        </w:rPr>
      </w:pPr>
      <w:r w:rsidRPr="000B3455">
        <w:rPr>
          <w:rFonts w:cstheme="minorHAnsi"/>
          <w:i/>
        </w:rPr>
        <w:t>H3: After the mandatory adoption of IFRS for Dutch-listed companies the decrease of the fair value of granted stock options has caused an increase in the level of fixed salary to the board of directors.</w:t>
      </w:r>
    </w:p>
    <w:p w:rsidR="00875734" w:rsidRPr="000B3455" w:rsidRDefault="002E5C61" w:rsidP="0088553E">
      <w:pPr>
        <w:spacing w:line="360" w:lineRule="auto"/>
        <w:jc w:val="both"/>
      </w:pPr>
      <w:r w:rsidRPr="000B3455">
        <w:t>A change in proportion of stock options between two years</w:t>
      </w:r>
      <w:r w:rsidR="004420B5" w:rsidRPr="000B3455">
        <w:t xml:space="preserve"> </w:t>
      </w:r>
      <w:r w:rsidRPr="000B3455">
        <w:t>is directly related to a change in the proportion of, in this case, fixed salary</w:t>
      </w:r>
      <w:r w:rsidR="00457E1E" w:rsidRPr="000B3455">
        <w:t xml:space="preserve">. This relation is hypothesized to be </w:t>
      </w:r>
      <w:r w:rsidR="003B191B" w:rsidRPr="000B3455">
        <w:t>accelerated</w:t>
      </w:r>
      <w:r w:rsidR="00457E1E" w:rsidRPr="000B3455">
        <w:t xml:space="preserve"> by the introduction of IFRS 2</w:t>
      </w:r>
      <w:r w:rsidRPr="000B3455">
        <w:t xml:space="preserve">. </w:t>
      </w:r>
      <w:r w:rsidR="004420B5" w:rsidRPr="000B3455">
        <w:t>Again, the descriptive statistics and the statistical findings and analysis are discussed, respectively.</w:t>
      </w:r>
    </w:p>
    <w:p w:rsidR="00341F47" w:rsidRPr="000B3455" w:rsidRDefault="00341F47" w:rsidP="0088553E">
      <w:pPr>
        <w:pStyle w:val="Heading3"/>
        <w:spacing w:line="360" w:lineRule="auto"/>
        <w:jc w:val="both"/>
      </w:pPr>
      <w:bookmarkStart w:id="87" w:name="_Toc298944597"/>
      <w:r w:rsidRPr="000B3455">
        <w:t>6.3.1 Descriptive statistics</w:t>
      </w:r>
      <w:bookmarkEnd w:id="87"/>
    </w:p>
    <w:p w:rsidR="00341F47" w:rsidRPr="000B3455" w:rsidRDefault="004420B5" w:rsidP="0088553E">
      <w:pPr>
        <w:spacing w:line="360" w:lineRule="auto"/>
        <w:jc w:val="both"/>
      </w:pPr>
      <w:r w:rsidRPr="000B3455">
        <w:t xml:space="preserve">The same sample as in hypothesis 1 will be used, which consists of 34 firms among 8 industries. Of which the manufacturing industry is </w:t>
      </w:r>
      <w:r w:rsidR="00376BEE" w:rsidRPr="000B3455">
        <w:t>best</w:t>
      </w:r>
      <w:r w:rsidRPr="000B3455">
        <w:t xml:space="preserve"> represented </w:t>
      </w:r>
      <w:r w:rsidR="00376BEE" w:rsidRPr="000B3455">
        <w:t>by</w:t>
      </w:r>
      <w:r w:rsidRPr="000B3455">
        <w:t xml:space="preserve"> 13 firms</w:t>
      </w:r>
      <w:r w:rsidR="004D60BF" w:rsidRPr="000B3455">
        <w:t xml:space="preserve"> (see </w:t>
      </w:r>
      <w:fldSimple w:instr=" REF _Ref298855735 \h  \* MERGEFORMAT ">
        <w:r w:rsidR="001D5F9A" w:rsidRPr="00D51742">
          <w:t xml:space="preserve">Table </w:t>
        </w:r>
        <w:r w:rsidR="001D5F9A">
          <w:rPr>
            <w:noProof/>
          </w:rPr>
          <w:t>1</w:t>
        </w:r>
      </w:fldSimple>
      <w:r w:rsidR="0065759F">
        <w:t xml:space="preserve"> </w:t>
      </w:r>
      <w:r w:rsidR="004D60BF" w:rsidRPr="000B3455">
        <w:t xml:space="preserve">in </w:t>
      </w:r>
      <w:fldSimple w:instr=" REF V \h  \* MERGEFORMAT ">
        <w:r w:rsidR="001D5F9A" w:rsidRPr="000B3455">
          <w:t>Appendix V</w:t>
        </w:r>
      </w:fldSimple>
      <w:r w:rsidR="004D60BF" w:rsidRPr="000B3455">
        <w:t xml:space="preserve">). </w:t>
      </w:r>
      <w:r w:rsidR="009B34D2" w:rsidRPr="000B3455">
        <w:t xml:space="preserve">The sample includes 170 firm years compared to 204 firm years for hypothesis 1. </w:t>
      </w:r>
      <w:r w:rsidR="003B191B" w:rsidRPr="000B3455">
        <w:t>Since there is no data of the year 2001 and the change between 2001 and 2002 is unable to calculated, t</w:t>
      </w:r>
      <w:r w:rsidR="009B34D2" w:rsidRPr="000B3455">
        <w:t>he year 2002 has been left out</w:t>
      </w:r>
      <w:r w:rsidR="003B191B" w:rsidRPr="000B3455">
        <w:t xml:space="preserve">. </w:t>
      </w:r>
      <w:r w:rsidR="009B34D2" w:rsidRPr="000B3455">
        <w:t>The average proportion of fixed salary in total remuneration is over 48 % in 170 firm years, and the average change in proportion is -3</w:t>
      </w:r>
      <w:r w:rsidR="00A00F8F">
        <w:t>.</w:t>
      </w:r>
      <w:r w:rsidR="009B34D2" w:rsidRPr="000B3455">
        <w:t>7 %-points</w:t>
      </w:r>
      <w:r w:rsidR="007707BC" w:rsidRPr="000B3455">
        <w:t xml:space="preserve">, as shown in </w:t>
      </w:r>
      <w:fldSimple w:instr=" REF _Ref298858325 \h  \* MERGEFORMAT ">
        <w:r w:rsidR="001D5F9A">
          <w:t xml:space="preserve">Table </w:t>
        </w:r>
        <w:r w:rsidR="001D5F9A">
          <w:rPr>
            <w:noProof/>
          </w:rPr>
          <w:t>18</w:t>
        </w:r>
      </w:fldSimple>
      <w:r w:rsidR="0065759F">
        <w:t xml:space="preserve"> </w:t>
      </w:r>
      <w:r w:rsidR="007707BC" w:rsidRPr="000B3455">
        <w:t>in</w:t>
      </w:r>
      <w:r w:rsidR="0065759F">
        <w:t xml:space="preserve"> Appendix</w:t>
      </w:r>
      <w:r w:rsidR="007707BC" w:rsidRPr="000B3455">
        <w:t xml:space="preserve"> </w:t>
      </w:r>
      <w:fldSimple w:instr=" REF XI \h  \* MERGEFORMAT ">
        <w:r w:rsidR="001D5F9A" w:rsidRPr="000B3455">
          <w:t>XI</w:t>
        </w:r>
      </w:fldSimple>
      <w:r w:rsidR="009B34D2" w:rsidRPr="000B3455">
        <w:t xml:space="preserve">. </w:t>
      </w:r>
      <w:r w:rsidR="007707BC" w:rsidRPr="000B3455">
        <w:t>The same table shows that t</w:t>
      </w:r>
      <w:r w:rsidR="009B34D2" w:rsidRPr="000B3455">
        <w:t>he proportion of fixed salary ranges from 18</w:t>
      </w:r>
      <w:r w:rsidR="00A00F8F">
        <w:t>.</w:t>
      </w:r>
      <w:r w:rsidR="009B34D2" w:rsidRPr="000B3455">
        <w:t>9 % to 88</w:t>
      </w:r>
      <w:r w:rsidR="00A00F8F">
        <w:t>.</w:t>
      </w:r>
      <w:r w:rsidR="009B34D2" w:rsidRPr="000B3455">
        <w:t>2 %.</w:t>
      </w:r>
      <w:r w:rsidR="007707BC" w:rsidRPr="000B3455">
        <w:t xml:space="preserve"> This is not surprising since a fixed base salary is an essential part of remuneration. Additionally, the sample incorporates firms that have granted stock option compensation</w:t>
      </w:r>
      <w:r w:rsidR="000E71A3" w:rsidRPr="000B3455">
        <w:t>, implying that the proportion of fixed salary could never equal 100 %.</w:t>
      </w:r>
      <w:r w:rsidR="009B34D2" w:rsidRPr="000B3455">
        <w:t xml:space="preserve"> </w:t>
      </w:r>
      <w:fldSimple w:instr=" REF _Ref298858427 \h  \* MERGEFORMAT ">
        <w:r w:rsidR="001D5F9A">
          <w:t xml:space="preserve">Figure </w:t>
        </w:r>
        <w:r w:rsidR="001D5F9A">
          <w:rPr>
            <w:noProof/>
          </w:rPr>
          <w:t>8</w:t>
        </w:r>
        <w:r w:rsidR="001D5F9A">
          <w:t xml:space="preserve">: </w:t>
        </w:r>
        <w:r w:rsidR="001D5F9A" w:rsidRPr="00490FE6">
          <w:rPr>
            <w:rFonts w:cstheme="minorHAnsi"/>
          </w:rPr>
          <w:t>SPSS histogram of distribution of the proportion of fixed salary</w:t>
        </w:r>
      </w:fldSimple>
      <w:r w:rsidR="0065759F">
        <w:t xml:space="preserve"> </w:t>
      </w:r>
      <w:r w:rsidR="007707BC" w:rsidRPr="000B3455">
        <w:t xml:space="preserve">in Appendix </w:t>
      </w:r>
      <w:fldSimple w:instr=" REF XI \h  \* MERGEFORMAT ">
        <w:r w:rsidR="001D5F9A" w:rsidRPr="000B3455">
          <w:t>XI</w:t>
        </w:r>
      </w:fldSimple>
      <w:r w:rsidR="007707BC" w:rsidRPr="000B3455">
        <w:t xml:space="preserve"> shows that the proportion of remuneration is heavily divided.</w:t>
      </w:r>
      <w:r w:rsidR="0065759F">
        <w:t xml:space="preserve"> The change in the proportion of fixed salary is, however, somewhat normally distributed, as shown in </w:t>
      </w:r>
      <w:fldSimple w:instr=" REF _Ref298858625 \h  \* MERGEFORMAT ">
        <w:r w:rsidR="001D5F9A">
          <w:t xml:space="preserve">Figure </w:t>
        </w:r>
        <w:r w:rsidR="001D5F9A">
          <w:rPr>
            <w:noProof/>
          </w:rPr>
          <w:t>9</w:t>
        </w:r>
      </w:fldSimple>
      <w:r w:rsidR="0065759F">
        <w:t xml:space="preserve"> in Appendix </w:t>
      </w:r>
      <w:fldSimple w:instr=" REF XI \h  \* MERGEFORMAT ">
        <w:r w:rsidR="001D5F9A" w:rsidRPr="000B3455">
          <w:t>XI</w:t>
        </w:r>
      </w:fldSimple>
      <w:r w:rsidR="008F3D04">
        <w:t xml:space="preserve">. </w:t>
      </w:r>
      <w:r w:rsidR="00353F26" w:rsidRPr="000B3455">
        <w:t xml:space="preserve">According to </w:t>
      </w:r>
      <w:fldSimple w:instr=" REF _Ref298858449 \h  \* MERGEFORMAT ">
        <w:r w:rsidR="001D5F9A">
          <w:t xml:space="preserve">Figure </w:t>
        </w:r>
        <w:r w:rsidR="001D5F9A">
          <w:rPr>
            <w:noProof/>
          </w:rPr>
          <w:t>10</w:t>
        </w:r>
      </w:fldSimple>
      <w:r w:rsidR="0065759F">
        <w:t xml:space="preserve"> </w:t>
      </w:r>
      <w:r w:rsidR="00353F26" w:rsidRPr="000B3455">
        <w:t xml:space="preserve">in Appendix </w:t>
      </w:r>
      <w:fldSimple w:instr=" REF XI \h  \* MERGEFORMAT ">
        <w:r w:rsidR="001D5F9A" w:rsidRPr="000B3455">
          <w:t>XI</w:t>
        </w:r>
      </w:fldSimple>
      <w:r w:rsidR="00353F26" w:rsidRPr="000B3455">
        <w:t xml:space="preserve">, the proportion of fixed salary has steadily declined throughout the years. The red line shows the trend of the proportion of stock option compensation. </w:t>
      </w:r>
      <w:fldSimple w:instr=" REF _Ref298858459 \h  \* MERGEFORMAT ">
        <w:r w:rsidR="001D5F9A">
          <w:t xml:space="preserve">Figure </w:t>
        </w:r>
        <w:r w:rsidR="001D5F9A">
          <w:rPr>
            <w:noProof/>
          </w:rPr>
          <w:t>11</w:t>
        </w:r>
      </w:fldSimple>
      <w:r w:rsidR="0065759F">
        <w:t xml:space="preserve"> </w:t>
      </w:r>
      <w:r w:rsidR="00353F26" w:rsidRPr="000B3455">
        <w:t xml:space="preserve">in Appendix </w:t>
      </w:r>
      <w:fldSimple w:instr=" REF XI \h  \* MERGEFORMAT ">
        <w:r w:rsidR="001D5F9A" w:rsidRPr="000B3455">
          <w:t>XI</w:t>
        </w:r>
      </w:fldSimple>
      <w:r w:rsidR="00353F26" w:rsidRPr="000B3455">
        <w:t xml:space="preserve"> shows the difference in proportions between two years. The blue line</w:t>
      </w:r>
      <w:r w:rsidR="00F42B5F" w:rsidRPr="000B3455">
        <w:t xml:space="preserve"> that</w:t>
      </w:r>
      <w:r w:rsidR="00353F26" w:rsidRPr="000B3455">
        <w:t xml:space="preserve"> indicates fixed salary</w:t>
      </w:r>
      <w:r w:rsidR="00F42B5F" w:rsidRPr="000B3455">
        <w:t xml:space="preserve"> is, consistent with </w:t>
      </w:r>
      <w:fldSimple w:instr=" REF _Ref298858449 \h  \* MERGEFORMAT ">
        <w:r w:rsidR="001D5F9A">
          <w:t xml:space="preserve">Figure </w:t>
        </w:r>
        <w:r w:rsidR="001D5F9A">
          <w:rPr>
            <w:noProof/>
          </w:rPr>
          <w:t>10</w:t>
        </w:r>
      </w:fldSimple>
      <w:r w:rsidR="00F42B5F" w:rsidRPr="000B3455">
        <w:t>, shows a negative difference in the entire period.</w:t>
      </w:r>
      <w:r w:rsidR="00CB3003" w:rsidRPr="000B3455">
        <w:t xml:space="preserve"> From this figure it seems that the change in proportions of stock options and fixed salary are not correlated.</w:t>
      </w:r>
    </w:p>
    <w:p w:rsidR="00341F47" w:rsidRPr="000B3455" w:rsidRDefault="00341F47" w:rsidP="0088553E">
      <w:pPr>
        <w:pStyle w:val="Heading3"/>
        <w:spacing w:line="360" w:lineRule="auto"/>
        <w:jc w:val="both"/>
      </w:pPr>
      <w:bookmarkStart w:id="88" w:name="_Toc298944598"/>
      <w:r w:rsidRPr="000B3455">
        <w:t>6.3.2 Statistical finding</w:t>
      </w:r>
      <w:r w:rsidR="004420B5" w:rsidRPr="000B3455">
        <w:t>s</w:t>
      </w:r>
      <w:r w:rsidRPr="000B3455">
        <w:t xml:space="preserve"> and analysis</w:t>
      </w:r>
      <w:bookmarkEnd w:id="88"/>
    </w:p>
    <w:p w:rsidR="00341F47" w:rsidRPr="000B3455" w:rsidRDefault="00CB3003" w:rsidP="0088553E">
      <w:pPr>
        <w:spacing w:line="360" w:lineRule="auto"/>
        <w:jc w:val="both"/>
      </w:pPr>
      <w:r w:rsidRPr="000B3455">
        <w:t xml:space="preserve">Investigating whether the decrease in stock option compensation as part of total remuneration has been substituted for by fixed salary implies investigating the direct relationship between the change in proportion of stock options with that of fixed salary. </w:t>
      </w:r>
      <w:r w:rsidR="00C82E29" w:rsidRPr="000B3455">
        <w:t>The research model is specified as:</w:t>
      </w:r>
    </w:p>
    <w:p w:rsidR="00C82E29" w:rsidRPr="000B3455" w:rsidRDefault="00C82E29" w:rsidP="0088553E">
      <w:pPr>
        <w:spacing w:line="360" w:lineRule="auto"/>
        <w:jc w:val="both"/>
        <w:rPr>
          <w:i/>
          <w:vertAlign w:val="subscript"/>
        </w:rPr>
      </w:pPr>
      <w:r w:rsidRPr="000B3455">
        <w:rPr>
          <w:rFonts w:cstheme="minorHAnsi"/>
          <w:i/>
        </w:rPr>
        <w:lastRenderedPageBreak/>
        <w:t>Δ PR_FIX_SAL</w:t>
      </w:r>
      <w:r w:rsidRPr="000B3455">
        <w:rPr>
          <w:rFonts w:eastAsia="SymbolMT" w:cstheme="minorHAnsi"/>
          <w:i/>
          <w:vertAlign w:val="subscript"/>
          <w:lang w:eastAsia="nl-NL"/>
        </w:rPr>
        <w:t>it</w:t>
      </w:r>
      <w:r w:rsidRPr="000B3455">
        <w:rPr>
          <w:rFonts w:eastAsia="SymbolMT" w:cstheme="minorHAnsi"/>
          <w:lang w:eastAsia="nl-NL"/>
        </w:rPr>
        <w:t xml:space="preserve"> </w:t>
      </w:r>
      <w:r w:rsidRPr="000B3455">
        <w:rPr>
          <w:rFonts w:eastAsia="SymbolMT" w:cstheme="minorHAnsi"/>
          <w:i/>
          <w:lang w:eastAsia="nl-NL"/>
        </w:rPr>
        <w:t>= α</w:t>
      </w:r>
      <w:r w:rsidRPr="000B3455">
        <w:rPr>
          <w:rFonts w:eastAsia="SymbolMT" w:cstheme="minorHAnsi"/>
          <w:i/>
          <w:vertAlign w:val="subscript"/>
          <w:lang w:eastAsia="nl-NL"/>
        </w:rPr>
        <w:t>0</w:t>
      </w:r>
      <w:r w:rsidRPr="000B3455">
        <w:rPr>
          <w:rFonts w:eastAsia="SymbolMT" w:cstheme="minorHAnsi"/>
          <w:i/>
          <w:lang w:eastAsia="nl-NL"/>
        </w:rPr>
        <w:t xml:space="preserve"> + α</w:t>
      </w:r>
      <w:r w:rsidRPr="000B3455">
        <w:rPr>
          <w:rFonts w:eastAsia="SymbolMT" w:cstheme="minorHAnsi"/>
          <w:i/>
          <w:vertAlign w:val="subscript"/>
          <w:lang w:eastAsia="nl-NL"/>
        </w:rPr>
        <w:t xml:space="preserve">1 </w:t>
      </w:r>
      <w:r w:rsidRPr="000B3455">
        <w:rPr>
          <w:rFonts w:eastAsia="SymbolMT" w:cstheme="minorHAnsi"/>
          <w:i/>
          <w:lang w:eastAsia="nl-NL"/>
        </w:rPr>
        <w:t>Δ PR_FV_ST</w:t>
      </w:r>
      <w:r w:rsidR="007327B4" w:rsidRPr="000B3455">
        <w:rPr>
          <w:rFonts w:eastAsia="SymbolMT" w:cstheme="minorHAnsi"/>
          <w:i/>
          <w:lang w:eastAsia="nl-NL"/>
        </w:rPr>
        <w:t>O</w:t>
      </w:r>
      <w:r w:rsidRPr="000B3455">
        <w:rPr>
          <w:rFonts w:eastAsia="SymbolMT" w:cstheme="minorHAnsi"/>
          <w:i/>
          <w:vertAlign w:val="subscript"/>
          <w:lang w:eastAsia="nl-NL"/>
        </w:rPr>
        <w:t>it</w:t>
      </w:r>
      <w:r w:rsidRPr="000B3455">
        <w:rPr>
          <w:rFonts w:eastAsia="SymbolMT" w:cstheme="minorHAnsi"/>
          <w:i/>
          <w:lang w:eastAsia="nl-NL"/>
        </w:rPr>
        <w:t xml:space="preserve"> +  α</w:t>
      </w:r>
      <w:r w:rsidRPr="000B3455">
        <w:rPr>
          <w:rFonts w:eastAsia="SymbolMT" w:cstheme="minorHAnsi"/>
          <w:i/>
          <w:vertAlign w:val="subscript"/>
          <w:lang w:eastAsia="nl-NL"/>
        </w:rPr>
        <w:t>2</w:t>
      </w:r>
      <w:r w:rsidRPr="000B3455">
        <w:rPr>
          <w:rFonts w:eastAsia="SymbolMT" w:cstheme="minorHAnsi"/>
          <w:i/>
          <w:lang w:eastAsia="nl-NL"/>
        </w:rPr>
        <w:t xml:space="preserve"> 2004 + α</w:t>
      </w:r>
      <w:r w:rsidRPr="000B3455">
        <w:rPr>
          <w:rFonts w:eastAsia="SymbolMT" w:cstheme="minorHAnsi"/>
          <w:i/>
          <w:vertAlign w:val="subscript"/>
          <w:lang w:eastAsia="nl-NL"/>
        </w:rPr>
        <w:t xml:space="preserve">3 </w:t>
      </w:r>
      <w:r w:rsidRPr="000B3455">
        <w:rPr>
          <w:rFonts w:eastAsia="SymbolMT" w:cstheme="minorHAnsi"/>
          <w:i/>
          <w:lang w:eastAsia="nl-NL"/>
        </w:rPr>
        <w:t>2005 + α</w:t>
      </w:r>
      <w:r w:rsidRPr="000B3455">
        <w:rPr>
          <w:rFonts w:eastAsia="SymbolMT" w:cstheme="minorHAnsi"/>
          <w:i/>
          <w:vertAlign w:val="subscript"/>
          <w:lang w:eastAsia="nl-NL"/>
        </w:rPr>
        <w:t>4</w:t>
      </w:r>
      <w:r w:rsidRPr="000B3455">
        <w:rPr>
          <w:rFonts w:eastAsia="SymbolMT" w:cstheme="minorHAnsi"/>
          <w:i/>
          <w:lang w:eastAsia="nl-NL"/>
        </w:rPr>
        <w:t xml:space="preserve"> 2006 + α</w:t>
      </w:r>
      <w:r w:rsidRPr="000B3455">
        <w:rPr>
          <w:rFonts w:eastAsia="SymbolMT" w:cstheme="minorHAnsi"/>
          <w:i/>
          <w:vertAlign w:val="subscript"/>
          <w:lang w:eastAsia="nl-NL"/>
        </w:rPr>
        <w:t xml:space="preserve">5 </w:t>
      </w:r>
      <w:r w:rsidRPr="000B3455">
        <w:rPr>
          <w:rFonts w:cstheme="minorHAnsi"/>
          <w:i/>
        </w:rPr>
        <w:t xml:space="preserve">2007 + </w:t>
      </w:r>
      <w:r w:rsidRPr="000B3455">
        <w:rPr>
          <w:rFonts w:eastAsia="SymbolMT" w:cstheme="minorHAnsi"/>
          <w:i/>
          <w:lang w:eastAsia="nl-NL"/>
        </w:rPr>
        <w:t>α</w:t>
      </w:r>
      <w:r w:rsidRPr="000B3455">
        <w:rPr>
          <w:rFonts w:eastAsia="SymbolMT" w:cstheme="minorHAnsi"/>
          <w:i/>
          <w:vertAlign w:val="subscript"/>
          <w:lang w:eastAsia="nl-NL"/>
        </w:rPr>
        <w:t xml:space="preserve">6 </w:t>
      </w:r>
      <w:r w:rsidRPr="000B3455">
        <w:rPr>
          <w:i/>
        </w:rPr>
        <w:t>LN_ASSETS</w:t>
      </w:r>
      <w:r w:rsidRPr="000B3455">
        <w:rPr>
          <w:i/>
          <w:vertAlign w:val="subscript"/>
        </w:rPr>
        <w:t>it</w:t>
      </w:r>
      <w:r w:rsidRPr="000B3455">
        <w:rPr>
          <w:i/>
        </w:rPr>
        <w:t xml:space="preserve"> + </w:t>
      </w:r>
      <w:r w:rsidRPr="000B3455">
        <w:rPr>
          <w:rFonts w:eastAsia="SymbolMT" w:cstheme="minorHAnsi"/>
          <w:i/>
          <w:lang w:eastAsia="nl-NL"/>
        </w:rPr>
        <w:t>α</w:t>
      </w:r>
      <w:r w:rsidRPr="000B3455">
        <w:rPr>
          <w:rFonts w:cstheme="minorHAnsi"/>
          <w:i/>
          <w:vertAlign w:val="subscript"/>
        </w:rPr>
        <w:t xml:space="preserve">7 </w:t>
      </w:r>
      <w:r w:rsidRPr="000B3455">
        <w:rPr>
          <w:i/>
        </w:rPr>
        <w:t>MTB</w:t>
      </w:r>
      <w:r w:rsidRPr="000B3455">
        <w:rPr>
          <w:i/>
          <w:vertAlign w:val="subscript"/>
        </w:rPr>
        <w:t>it</w:t>
      </w:r>
      <w:r w:rsidRPr="000B3455">
        <w:rPr>
          <w:rFonts w:cstheme="minorHAnsi"/>
          <w:i/>
        </w:rPr>
        <w:t xml:space="preserve"> + </w:t>
      </w:r>
      <w:r w:rsidRPr="000B3455">
        <w:rPr>
          <w:rFonts w:eastAsia="SymbolMT" w:cstheme="minorHAnsi"/>
          <w:i/>
          <w:lang w:eastAsia="nl-NL"/>
        </w:rPr>
        <w:t>α</w:t>
      </w:r>
      <w:r w:rsidRPr="000B3455">
        <w:rPr>
          <w:rFonts w:cstheme="minorHAnsi"/>
          <w:i/>
          <w:vertAlign w:val="subscript"/>
        </w:rPr>
        <w:t xml:space="preserve">8 </w:t>
      </w:r>
      <w:r w:rsidRPr="000B3455">
        <w:rPr>
          <w:i/>
        </w:rPr>
        <w:t>RET</w:t>
      </w:r>
      <w:r w:rsidRPr="000B3455">
        <w:rPr>
          <w:i/>
          <w:vertAlign w:val="subscript"/>
        </w:rPr>
        <w:t>it</w:t>
      </w:r>
      <w:r w:rsidRPr="000B3455">
        <w:rPr>
          <w:rFonts w:cstheme="minorHAnsi"/>
          <w:i/>
        </w:rPr>
        <w:t xml:space="preserve"> + </w:t>
      </w:r>
      <w:r w:rsidRPr="000B3455">
        <w:rPr>
          <w:rFonts w:eastAsia="SymbolMT" w:cstheme="minorHAnsi"/>
          <w:i/>
          <w:lang w:eastAsia="nl-NL"/>
        </w:rPr>
        <w:t>α</w:t>
      </w:r>
      <w:r w:rsidRPr="000B3455">
        <w:rPr>
          <w:rFonts w:cstheme="minorHAnsi"/>
          <w:i/>
          <w:vertAlign w:val="subscript"/>
        </w:rPr>
        <w:t xml:space="preserve">9 </w:t>
      </w:r>
      <w:r w:rsidRPr="000B3455">
        <w:rPr>
          <w:i/>
        </w:rPr>
        <w:t>VOL</w:t>
      </w:r>
      <w:r w:rsidRPr="000B3455">
        <w:rPr>
          <w:i/>
          <w:vertAlign w:val="subscript"/>
        </w:rPr>
        <w:t>it</w:t>
      </w:r>
      <w:r w:rsidRPr="000B3455">
        <w:rPr>
          <w:rFonts w:cstheme="minorHAnsi"/>
          <w:i/>
        </w:rPr>
        <w:t xml:space="preserve"> + </w:t>
      </w:r>
      <w:r w:rsidRPr="000B3455">
        <w:rPr>
          <w:rFonts w:eastAsia="SymbolMT" w:cstheme="minorHAnsi"/>
          <w:i/>
          <w:lang w:eastAsia="nl-NL"/>
        </w:rPr>
        <w:t>α</w:t>
      </w:r>
      <w:r w:rsidRPr="000B3455">
        <w:rPr>
          <w:rFonts w:cstheme="minorHAnsi"/>
          <w:i/>
          <w:vertAlign w:val="subscript"/>
        </w:rPr>
        <w:t xml:space="preserve">10 </w:t>
      </w:r>
      <w:r w:rsidRPr="000B3455">
        <w:rPr>
          <w:i/>
        </w:rPr>
        <w:t>BOA_SIZE</w:t>
      </w:r>
      <w:r w:rsidRPr="000B3455">
        <w:rPr>
          <w:i/>
          <w:vertAlign w:val="subscript"/>
        </w:rPr>
        <w:t>it</w:t>
      </w:r>
      <w:r w:rsidRPr="000B3455">
        <w:rPr>
          <w:rFonts w:cstheme="minorHAnsi"/>
          <w:i/>
        </w:rPr>
        <w:t xml:space="preserve"> + </w:t>
      </w:r>
      <w:r w:rsidRPr="000B3455">
        <w:rPr>
          <w:rFonts w:eastAsia="SymbolMT" w:cstheme="minorHAnsi"/>
          <w:i/>
          <w:lang w:eastAsia="nl-NL"/>
        </w:rPr>
        <w:t>α</w:t>
      </w:r>
      <w:r w:rsidRPr="000B3455">
        <w:rPr>
          <w:rFonts w:cstheme="minorHAnsi"/>
          <w:i/>
          <w:vertAlign w:val="subscript"/>
        </w:rPr>
        <w:t xml:space="preserve">11 </w:t>
      </w:r>
      <w:r w:rsidRPr="000B3455">
        <w:rPr>
          <w:i/>
        </w:rPr>
        <w:t>LIQ_CON</w:t>
      </w:r>
      <w:r w:rsidRPr="000B3455">
        <w:rPr>
          <w:i/>
          <w:vertAlign w:val="subscript"/>
        </w:rPr>
        <w:t>it</w:t>
      </w:r>
      <w:r w:rsidRPr="000B3455">
        <w:rPr>
          <w:rFonts w:cstheme="minorHAnsi"/>
          <w:i/>
        </w:rPr>
        <w:t xml:space="preserve"> + ∑ </w:t>
      </w:r>
      <w:r w:rsidRPr="000B3455">
        <w:rPr>
          <w:i/>
        </w:rPr>
        <w:t>IND_DUMM</w:t>
      </w:r>
      <w:r w:rsidRPr="000B3455">
        <w:rPr>
          <w:i/>
          <w:vertAlign w:val="subscript"/>
        </w:rPr>
        <w:t>it</w:t>
      </w:r>
      <w:r w:rsidRPr="000B3455">
        <w:rPr>
          <w:i/>
        </w:rPr>
        <w:t xml:space="preserve"> + </w:t>
      </w:r>
      <w:r w:rsidRPr="000B3455">
        <w:rPr>
          <w:rFonts w:hAnsi="Times New Roman" w:cs="Times New Roman"/>
          <w:i/>
        </w:rPr>
        <w:t>ɛ</w:t>
      </w:r>
      <w:r w:rsidRPr="000B3455">
        <w:rPr>
          <w:i/>
          <w:vertAlign w:val="subscript"/>
        </w:rPr>
        <w:t>it</w:t>
      </w:r>
    </w:p>
    <w:p w:rsidR="00FD339F" w:rsidRPr="000B3455" w:rsidRDefault="00C82E29" w:rsidP="0088553E">
      <w:pPr>
        <w:spacing w:line="360" w:lineRule="auto"/>
        <w:jc w:val="both"/>
        <w:rPr>
          <w:rFonts w:eastAsia="SymbolMT" w:cstheme="minorHAnsi"/>
          <w:lang w:eastAsia="nl-NL"/>
        </w:rPr>
      </w:pPr>
      <w:r w:rsidRPr="000B3455">
        <w:t xml:space="preserve">The direct relation of the change (i.e. decline) in the proportion of stock option compensation and the change in proportion of fixed salary is shown in </w:t>
      </w:r>
      <w:r w:rsidRPr="000B3455">
        <w:rPr>
          <w:rFonts w:eastAsia="SymbolMT" w:cstheme="minorHAnsi"/>
          <w:i/>
          <w:lang w:eastAsia="nl-NL"/>
        </w:rPr>
        <w:t>α</w:t>
      </w:r>
      <w:r w:rsidRPr="000B3455">
        <w:rPr>
          <w:rFonts w:eastAsia="SymbolMT" w:cstheme="minorHAnsi"/>
          <w:i/>
          <w:vertAlign w:val="subscript"/>
          <w:lang w:eastAsia="nl-NL"/>
        </w:rPr>
        <w:t>1</w:t>
      </w:r>
      <w:r w:rsidRPr="000B3455">
        <w:rPr>
          <w:rFonts w:eastAsia="SymbolMT" w:cstheme="minorHAnsi"/>
          <w:lang w:eastAsia="nl-NL"/>
        </w:rPr>
        <w:t>.</w:t>
      </w:r>
      <w:r w:rsidR="000E2286" w:rsidRPr="000B3455">
        <w:rPr>
          <w:rFonts w:eastAsia="SymbolMT" w:cstheme="minorHAnsi"/>
          <w:lang w:eastAsia="nl-NL"/>
        </w:rPr>
        <w:t xml:space="preserve"> It is hypothesized that </w:t>
      </w:r>
      <w:r w:rsidR="000E2286" w:rsidRPr="000B3455">
        <w:rPr>
          <w:rFonts w:eastAsia="SymbolMT" w:cstheme="minorHAnsi"/>
          <w:i/>
          <w:lang w:eastAsia="nl-NL"/>
        </w:rPr>
        <w:t>α</w:t>
      </w:r>
      <w:r w:rsidR="000E2286" w:rsidRPr="000B3455">
        <w:rPr>
          <w:rFonts w:eastAsia="SymbolMT" w:cstheme="minorHAnsi"/>
          <w:i/>
          <w:vertAlign w:val="subscript"/>
          <w:lang w:eastAsia="nl-NL"/>
        </w:rPr>
        <w:t>1</w:t>
      </w:r>
      <w:r w:rsidR="000E2286" w:rsidRPr="000B3455">
        <w:rPr>
          <w:rFonts w:eastAsia="SymbolMT" w:cstheme="minorHAnsi"/>
          <w:lang w:eastAsia="nl-NL"/>
        </w:rPr>
        <w:t xml:space="preserve"> is negative, indicating the change in proportion of stock option compensation and the change in the proportion of fixed salary have an opposite trend.</w:t>
      </w:r>
      <w:r w:rsidRPr="000B3455">
        <w:rPr>
          <w:rFonts w:eastAsia="SymbolMT" w:cstheme="minorHAnsi"/>
          <w:lang w:eastAsia="nl-NL"/>
        </w:rPr>
        <w:t xml:space="preserve"> </w:t>
      </w:r>
      <w:r w:rsidR="00B811B7" w:rsidRPr="000B3455">
        <w:rPr>
          <w:rFonts w:eastAsia="SymbolMT" w:cstheme="minorHAnsi"/>
          <w:lang w:eastAsia="nl-NL"/>
        </w:rPr>
        <w:t xml:space="preserve">An insignificant </w:t>
      </w:r>
      <w:r w:rsidR="00B811B7" w:rsidRPr="000B3455">
        <w:rPr>
          <w:rFonts w:eastAsia="SymbolMT" w:cstheme="minorHAnsi"/>
          <w:i/>
          <w:lang w:eastAsia="nl-NL"/>
        </w:rPr>
        <w:t>α</w:t>
      </w:r>
      <w:r w:rsidR="00B811B7" w:rsidRPr="000B3455">
        <w:rPr>
          <w:rFonts w:eastAsia="SymbolMT" w:cstheme="minorHAnsi"/>
          <w:i/>
          <w:vertAlign w:val="subscript"/>
          <w:lang w:eastAsia="nl-NL"/>
        </w:rPr>
        <w:t>1</w:t>
      </w:r>
      <w:r w:rsidR="00B811B7" w:rsidRPr="000B3455">
        <w:rPr>
          <w:rFonts w:eastAsia="SymbolMT" w:cstheme="minorHAnsi"/>
          <w:lang w:eastAsia="nl-NL"/>
        </w:rPr>
        <w:t xml:space="preserve"> indicates that the change in proportion of fixed salary is not dependent on the decrease in proportion of stock options. Accordingly, the decrease in proportion of stock options is compensated by other forms of compensation than fixed salary. </w:t>
      </w:r>
      <w:r w:rsidR="00FD339F" w:rsidRPr="000B3455">
        <w:rPr>
          <w:rFonts w:eastAsia="SymbolMT" w:cstheme="minorHAnsi"/>
          <w:lang w:eastAsia="nl-NL"/>
        </w:rPr>
        <w:t xml:space="preserve">The change between year 2002 and 2003 serves as the base year. The change between 2003 and 2004 is indicated by the dummy variable </w:t>
      </w:r>
      <w:r w:rsidR="00FD339F" w:rsidRPr="000B3455">
        <w:rPr>
          <w:rFonts w:eastAsia="SymbolMT" w:cstheme="minorHAnsi"/>
          <w:i/>
          <w:lang w:eastAsia="nl-NL"/>
        </w:rPr>
        <w:t>α</w:t>
      </w:r>
      <w:r w:rsidR="00FD339F" w:rsidRPr="000B3455">
        <w:rPr>
          <w:rFonts w:eastAsia="SymbolMT" w:cstheme="minorHAnsi"/>
          <w:i/>
          <w:vertAlign w:val="subscript"/>
          <w:lang w:eastAsia="nl-NL"/>
        </w:rPr>
        <w:t>2</w:t>
      </w:r>
      <w:r w:rsidR="00FD339F" w:rsidRPr="000B3455">
        <w:rPr>
          <w:rFonts w:eastAsia="SymbolMT" w:cstheme="minorHAnsi"/>
          <w:i/>
          <w:lang w:eastAsia="nl-NL"/>
        </w:rPr>
        <w:t xml:space="preserve"> 2004</w:t>
      </w:r>
      <w:r w:rsidR="00FD339F" w:rsidRPr="000B3455">
        <w:rPr>
          <w:rFonts w:eastAsia="SymbolMT" w:cstheme="minorHAnsi"/>
          <w:lang w:eastAsia="nl-NL"/>
        </w:rPr>
        <w:t>, and so on. The industry dummies compare the effects of different industries relative to the manufacturing industry, which serves as the base value</w:t>
      </w:r>
      <w:r w:rsidR="00646AF1" w:rsidRPr="000B3455">
        <w:rPr>
          <w:rFonts w:eastAsia="SymbolMT" w:cstheme="minorHAnsi"/>
          <w:lang w:eastAsia="nl-NL"/>
        </w:rPr>
        <w:t xml:space="preserve"> again</w:t>
      </w:r>
      <w:r w:rsidR="00FD339F" w:rsidRPr="000B3455">
        <w:rPr>
          <w:rFonts w:eastAsia="SymbolMT" w:cstheme="minorHAnsi"/>
          <w:lang w:eastAsia="nl-NL"/>
        </w:rPr>
        <w:t xml:space="preserve">. The research model appears to have an explanatory power of 37.1 %, as shown in </w:t>
      </w:r>
      <w:fldSimple w:instr=" REF _Ref298859013 \h  \* MERGEFORMAT ">
        <w:r w:rsidR="001D5F9A">
          <w:t xml:space="preserve">Table </w:t>
        </w:r>
        <w:r w:rsidR="001D5F9A">
          <w:rPr>
            <w:noProof/>
          </w:rPr>
          <w:t>19</w:t>
        </w:r>
      </w:fldSimple>
      <w:r w:rsidR="008F3D04">
        <w:rPr>
          <w:rFonts w:eastAsia="SymbolMT" w:cstheme="minorHAnsi"/>
          <w:lang w:eastAsia="nl-NL"/>
        </w:rPr>
        <w:t xml:space="preserve"> </w:t>
      </w:r>
      <w:r w:rsidR="00FD339F" w:rsidRPr="000B3455">
        <w:rPr>
          <w:rFonts w:eastAsia="SymbolMT" w:cstheme="minorHAnsi"/>
          <w:lang w:eastAsia="nl-NL"/>
        </w:rPr>
        <w:t xml:space="preserve">in </w:t>
      </w:r>
      <w:fldSimple w:instr=" REF XII \h  \* MERGEFORMAT ">
        <w:r w:rsidR="001D5F9A" w:rsidRPr="000B3455">
          <w:t>Appendix XII</w:t>
        </w:r>
      </w:fldSimple>
      <w:r w:rsidR="00FD339F" w:rsidRPr="000B3455">
        <w:rPr>
          <w:rFonts w:eastAsia="SymbolMT" w:cstheme="minorHAnsi"/>
          <w:lang w:eastAsia="nl-NL"/>
        </w:rPr>
        <w:t xml:space="preserve">. Considering the small sample size, this value can be considered as relatively high. Consistently, the ANOVA results (p-value of 0.000) shown in </w:t>
      </w:r>
      <w:fldSimple w:instr=" REF _Ref298859513 \h  \* MERGEFORMAT ">
        <w:r w:rsidR="001D5F9A">
          <w:t xml:space="preserve">Table </w:t>
        </w:r>
        <w:r w:rsidR="001D5F9A">
          <w:rPr>
            <w:noProof/>
          </w:rPr>
          <w:t>20</w:t>
        </w:r>
      </w:fldSimple>
      <w:r w:rsidR="00FD339F" w:rsidRPr="000B3455">
        <w:rPr>
          <w:rFonts w:eastAsia="SymbolMT" w:cstheme="minorHAnsi"/>
          <w:lang w:eastAsia="nl-NL"/>
        </w:rPr>
        <w:t xml:space="preserve"> in </w:t>
      </w:r>
      <w:fldSimple w:instr=" REF XII \h  \* MERGEFORMAT ">
        <w:r w:rsidR="001D5F9A" w:rsidRPr="000B3455">
          <w:t>Appendix XII</w:t>
        </w:r>
      </w:fldSimple>
      <w:r w:rsidR="008F3D04">
        <w:rPr>
          <w:rFonts w:eastAsia="SymbolMT" w:cstheme="minorHAnsi"/>
          <w:lang w:eastAsia="nl-NL"/>
        </w:rPr>
        <w:t xml:space="preserve"> </w:t>
      </w:r>
      <w:r w:rsidR="00FD339F" w:rsidRPr="000B3455">
        <w:rPr>
          <w:rFonts w:eastAsia="SymbolMT" w:cstheme="minorHAnsi"/>
          <w:lang w:eastAsia="nl-NL"/>
        </w:rPr>
        <w:t xml:space="preserve">provide evidence that the research model has significant explaining power for the sample. </w:t>
      </w:r>
    </w:p>
    <w:p w:rsidR="005666D7" w:rsidRPr="000B3455" w:rsidRDefault="000E2286" w:rsidP="0088553E">
      <w:pPr>
        <w:spacing w:line="360" w:lineRule="auto"/>
        <w:jc w:val="both"/>
        <w:rPr>
          <w:rFonts w:eastAsia="SymbolMT" w:cstheme="minorHAnsi"/>
          <w:lang w:eastAsia="nl-NL"/>
        </w:rPr>
      </w:pPr>
      <w:r w:rsidRPr="000B3455">
        <w:rPr>
          <w:rFonts w:eastAsia="SymbolMT" w:cstheme="minorHAnsi"/>
          <w:lang w:eastAsia="nl-NL"/>
        </w:rPr>
        <w:t xml:space="preserve">From the results, shown in </w:t>
      </w:r>
      <w:r w:rsidR="003236CF">
        <w:rPr>
          <w:rFonts w:eastAsia="SymbolMT" w:cstheme="minorHAnsi"/>
          <w:lang w:eastAsia="nl-NL"/>
        </w:rPr>
        <w:fldChar w:fldCharType="begin"/>
      </w:r>
      <w:r w:rsidR="00775062">
        <w:rPr>
          <w:rFonts w:eastAsia="SymbolMT" w:cstheme="minorHAnsi"/>
          <w:lang w:eastAsia="nl-NL"/>
        </w:rPr>
        <w:instrText xml:space="preserve"> REF _Ref298858967 \h </w:instrText>
      </w:r>
      <w:r w:rsidR="003236CF">
        <w:rPr>
          <w:rFonts w:eastAsia="SymbolMT" w:cstheme="minorHAnsi"/>
          <w:lang w:eastAsia="nl-NL"/>
        </w:rPr>
      </w:r>
      <w:r w:rsidR="003236CF">
        <w:rPr>
          <w:rFonts w:eastAsia="SymbolMT" w:cstheme="minorHAnsi"/>
          <w:lang w:eastAsia="nl-NL"/>
        </w:rPr>
        <w:fldChar w:fldCharType="separate"/>
      </w:r>
      <w:r w:rsidR="001D5F9A">
        <w:t xml:space="preserve">Table </w:t>
      </w:r>
      <w:r w:rsidR="001D5F9A">
        <w:rPr>
          <w:noProof/>
        </w:rPr>
        <w:t>21</w:t>
      </w:r>
      <w:r w:rsidR="003236CF">
        <w:rPr>
          <w:rFonts w:eastAsia="SymbolMT" w:cstheme="minorHAnsi"/>
          <w:lang w:eastAsia="nl-NL"/>
        </w:rPr>
        <w:fldChar w:fldCharType="end"/>
      </w:r>
      <w:r w:rsidRPr="000B3455">
        <w:rPr>
          <w:rFonts w:eastAsia="SymbolMT" w:cstheme="minorHAnsi"/>
          <w:lang w:eastAsia="nl-NL"/>
        </w:rPr>
        <w:t xml:space="preserve">in </w:t>
      </w:r>
      <w:fldSimple w:instr=" REF XII \h  \* MERGEFORMAT ">
        <w:r w:rsidR="001D5F9A" w:rsidRPr="000B3455">
          <w:t>Appendix XII</w:t>
        </w:r>
      </w:fldSimple>
      <w:r w:rsidRPr="000B3455">
        <w:rPr>
          <w:rFonts w:eastAsia="SymbolMT" w:cstheme="minorHAnsi"/>
          <w:lang w:eastAsia="nl-NL"/>
        </w:rPr>
        <w:t xml:space="preserve">, it can be derived that </w:t>
      </w:r>
      <w:r w:rsidRPr="000B3455">
        <w:rPr>
          <w:rFonts w:eastAsia="SymbolMT" w:cstheme="minorHAnsi"/>
          <w:i/>
          <w:lang w:eastAsia="nl-NL"/>
        </w:rPr>
        <w:t>α</w:t>
      </w:r>
      <w:r w:rsidRPr="000B3455">
        <w:rPr>
          <w:rFonts w:eastAsia="SymbolMT" w:cstheme="minorHAnsi"/>
          <w:i/>
          <w:vertAlign w:val="subscript"/>
          <w:lang w:eastAsia="nl-NL"/>
        </w:rPr>
        <w:t>1</w:t>
      </w:r>
      <w:r w:rsidRPr="000B3455">
        <w:rPr>
          <w:rFonts w:eastAsia="SymbolMT" w:cstheme="minorHAnsi"/>
          <w:lang w:eastAsia="nl-NL"/>
        </w:rPr>
        <w:t xml:space="preserve"> is significantly negative, with a p-value of 0.000. The decrease in the proportion of stock options, as found in section 6.1, appears to be negatively related to the change in proportion of fixed </w:t>
      </w:r>
      <w:r w:rsidR="00EF4FF8" w:rsidRPr="000B3455">
        <w:rPr>
          <w:rFonts w:eastAsia="SymbolMT" w:cstheme="minorHAnsi"/>
          <w:lang w:eastAsia="nl-NL"/>
        </w:rPr>
        <w:t>salary</w:t>
      </w:r>
      <w:r w:rsidR="00333076" w:rsidRPr="000B3455">
        <w:rPr>
          <w:rFonts w:eastAsia="SymbolMT" w:cstheme="minorHAnsi"/>
          <w:lang w:eastAsia="nl-NL"/>
        </w:rPr>
        <w:t xml:space="preserve"> for at least the base year 2003</w:t>
      </w:r>
      <w:r w:rsidR="00EF4FF8" w:rsidRPr="000B3455">
        <w:rPr>
          <w:rFonts w:eastAsia="SymbolMT" w:cstheme="minorHAnsi"/>
          <w:lang w:eastAsia="nl-NL"/>
        </w:rPr>
        <w:t>. This suggests that the decrease in stock option compensation, has been made up with an increase in fixed salary to the board of directors, while controlling f</w:t>
      </w:r>
      <w:r w:rsidR="00333076" w:rsidRPr="000B3455">
        <w:rPr>
          <w:rFonts w:eastAsia="SymbolMT" w:cstheme="minorHAnsi"/>
          <w:lang w:eastAsia="nl-NL"/>
        </w:rPr>
        <w:t>or</w:t>
      </w:r>
      <w:r w:rsidR="00EF4FF8" w:rsidRPr="000B3455">
        <w:rPr>
          <w:rFonts w:eastAsia="SymbolMT" w:cstheme="minorHAnsi"/>
          <w:lang w:eastAsia="nl-NL"/>
        </w:rPr>
        <w:t xml:space="preserve"> economic factors and industries. </w:t>
      </w:r>
      <w:r w:rsidR="00333076" w:rsidRPr="000B3455">
        <w:rPr>
          <w:rFonts w:eastAsia="SymbolMT" w:cstheme="minorHAnsi"/>
          <w:lang w:eastAsia="nl-NL"/>
        </w:rPr>
        <w:t>The year dummies indicate to which extent the change in proportion of fixed salary differs from the base year 2003. The dummy for 2004 gives a p-value of 0.027, which is smaller than the significance level of 10 %. The impact on change in the proportion of fixed salary for 2004 is, according to the negative alpha coefficient, significantly lower than for the base year.</w:t>
      </w:r>
      <w:r w:rsidR="009C21B9" w:rsidRPr="000B3455">
        <w:rPr>
          <w:rFonts w:eastAsia="SymbolMT" w:cstheme="minorHAnsi"/>
          <w:lang w:eastAsia="nl-NL"/>
        </w:rPr>
        <w:t xml:space="preserve"> Whether there is still a substitution effect depends on the alpha coefficient (in this model estimated as -5.927). The alpha coefficient for 2004 can make the difference between substitution or a complementary effect. For example, the change in proportion of fixed salary in 200</w:t>
      </w:r>
      <w:r w:rsidR="00E35458" w:rsidRPr="000B3455">
        <w:rPr>
          <w:rFonts w:eastAsia="SymbolMT" w:cstheme="minorHAnsi"/>
          <w:lang w:eastAsia="nl-NL"/>
        </w:rPr>
        <w:t>4</w:t>
      </w:r>
      <w:r w:rsidR="009C21B9" w:rsidRPr="000B3455">
        <w:rPr>
          <w:rFonts w:eastAsia="SymbolMT" w:cstheme="minorHAnsi"/>
          <w:lang w:eastAsia="nl-NL"/>
        </w:rPr>
        <w:t xml:space="preserve"> is</w:t>
      </w:r>
      <w:r w:rsidR="00E35458" w:rsidRPr="000B3455">
        <w:rPr>
          <w:rFonts w:eastAsia="SymbolMT" w:cstheme="minorHAnsi"/>
          <w:lang w:eastAsia="nl-NL"/>
        </w:rPr>
        <w:t xml:space="preserve">: </w:t>
      </w:r>
      <w:r w:rsidR="00F37B74" w:rsidRPr="000B3455">
        <w:rPr>
          <w:rFonts w:cstheme="minorHAnsi"/>
        </w:rPr>
        <w:t>Δ PR_FIX_SAL</w:t>
      </w:r>
      <w:r w:rsidR="00F37B74" w:rsidRPr="000B3455">
        <w:rPr>
          <w:rFonts w:eastAsia="SymbolMT" w:cstheme="minorHAnsi"/>
          <w:vertAlign w:val="subscript"/>
          <w:lang w:eastAsia="nl-NL"/>
        </w:rPr>
        <w:t>it</w:t>
      </w:r>
      <w:r w:rsidR="00F37B74" w:rsidRPr="000B3455">
        <w:rPr>
          <w:rFonts w:eastAsia="SymbolMT" w:cstheme="minorHAnsi"/>
          <w:lang w:eastAsia="nl-NL"/>
        </w:rPr>
        <w:t xml:space="preserve"> = </w:t>
      </w:r>
      <w:r w:rsidR="00646AF1" w:rsidRPr="000B3455">
        <w:rPr>
          <w:rFonts w:eastAsia="SymbolMT" w:cstheme="minorHAnsi"/>
          <w:lang w:eastAsia="nl-NL"/>
        </w:rPr>
        <w:t>α</w:t>
      </w:r>
      <w:r w:rsidR="00646AF1" w:rsidRPr="000B3455">
        <w:rPr>
          <w:rFonts w:eastAsia="SymbolMT" w:cstheme="minorHAnsi"/>
          <w:vertAlign w:val="subscript"/>
          <w:lang w:eastAsia="nl-NL"/>
        </w:rPr>
        <w:t xml:space="preserve">1 </w:t>
      </w:r>
      <w:r w:rsidR="00646AF1" w:rsidRPr="000B3455">
        <w:rPr>
          <w:rFonts w:eastAsia="SymbolMT" w:cstheme="minorHAnsi"/>
          <w:lang w:eastAsia="nl-NL"/>
        </w:rPr>
        <w:t>Δ PR_FV_STO</w:t>
      </w:r>
      <w:r w:rsidR="00646AF1" w:rsidRPr="000B3455">
        <w:rPr>
          <w:rFonts w:eastAsia="SymbolMT" w:cstheme="minorHAnsi"/>
          <w:vertAlign w:val="subscript"/>
          <w:lang w:eastAsia="nl-NL"/>
        </w:rPr>
        <w:t>it</w:t>
      </w:r>
      <w:r w:rsidR="00646AF1" w:rsidRPr="000B3455">
        <w:rPr>
          <w:rFonts w:eastAsia="SymbolMT" w:cstheme="minorHAnsi"/>
          <w:lang w:eastAsia="nl-NL"/>
        </w:rPr>
        <w:t xml:space="preserve"> +  α</w:t>
      </w:r>
      <w:r w:rsidR="00646AF1" w:rsidRPr="000B3455">
        <w:rPr>
          <w:rFonts w:eastAsia="SymbolMT" w:cstheme="minorHAnsi"/>
          <w:vertAlign w:val="subscript"/>
          <w:lang w:eastAsia="nl-NL"/>
        </w:rPr>
        <w:t>2</w:t>
      </w:r>
      <w:r w:rsidR="00646AF1" w:rsidRPr="000B3455">
        <w:rPr>
          <w:rFonts w:eastAsia="SymbolMT" w:cstheme="minorHAnsi"/>
          <w:lang w:eastAsia="nl-NL"/>
        </w:rPr>
        <w:t xml:space="preserve"> 2004 = </w:t>
      </w:r>
      <w:r w:rsidR="00F37B74" w:rsidRPr="000B3455">
        <w:rPr>
          <w:rFonts w:eastAsia="SymbolMT" w:cstheme="minorHAnsi"/>
          <w:lang w:eastAsia="nl-NL"/>
        </w:rPr>
        <w:t>-0.523*-16</w:t>
      </w:r>
      <w:r w:rsidR="009C21B9" w:rsidRPr="000B3455">
        <w:rPr>
          <w:rFonts w:eastAsia="SymbolMT" w:cstheme="minorHAnsi"/>
          <w:lang w:eastAsia="nl-NL"/>
        </w:rPr>
        <w:t xml:space="preserve"> </w:t>
      </w:r>
      <w:r w:rsidR="00E35458" w:rsidRPr="000B3455">
        <w:rPr>
          <w:rFonts w:eastAsia="SymbolMT" w:cstheme="minorHAnsi"/>
          <w:lang w:eastAsia="nl-NL"/>
        </w:rPr>
        <w:t>+ -5.927</w:t>
      </w:r>
      <w:r w:rsidR="00646AF1" w:rsidRPr="000B3455">
        <w:rPr>
          <w:rFonts w:eastAsia="SymbolMT" w:cstheme="minorHAnsi"/>
          <w:lang w:eastAsia="nl-NL"/>
        </w:rPr>
        <w:t>*1</w:t>
      </w:r>
      <w:r w:rsidR="00E35458" w:rsidRPr="000B3455">
        <w:rPr>
          <w:rFonts w:eastAsia="SymbolMT" w:cstheme="minorHAnsi"/>
          <w:lang w:eastAsia="nl-NL"/>
        </w:rPr>
        <w:t xml:space="preserve"> = 2.</w:t>
      </w:r>
      <w:r w:rsidR="00F37B74" w:rsidRPr="000B3455">
        <w:rPr>
          <w:rFonts w:eastAsia="SymbolMT" w:cstheme="minorHAnsi"/>
          <w:lang w:eastAsia="nl-NL"/>
        </w:rPr>
        <w:t>441</w:t>
      </w:r>
      <w:r w:rsidR="00E35458" w:rsidRPr="000B3455">
        <w:rPr>
          <w:rFonts w:eastAsia="SymbolMT" w:cstheme="minorHAnsi"/>
          <w:lang w:eastAsia="nl-NL"/>
        </w:rPr>
        <w:t xml:space="preserve">, while the proportion of stock options has decreased, suggesting a substitution effect. However, when the </w:t>
      </w:r>
      <w:r w:rsidR="00F37B74" w:rsidRPr="000B3455">
        <w:rPr>
          <w:rFonts w:eastAsia="SymbolMT" w:cstheme="minorHAnsi"/>
          <w:lang w:eastAsia="nl-NL"/>
        </w:rPr>
        <w:t>α</w:t>
      </w:r>
      <w:r w:rsidR="00F37B74" w:rsidRPr="000B3455">
        <w:rPr>
          <w:rFonts w:eastAsia="SymbolMT" w:cstheme="minorHAnsi"/>
          <w:vertAlign w:val="subscript"/>
          <w:lang w:eastAsia="nl-NL"/>
        </w:rPr>
        <w:t xml:space="preserve">1 </w:t>
      </w:r>
      <w:r w:rsidR="00F37B74" w:rsidRPr="000B3455">
        <w:rPr>
          <w:rFonts w:eastAsia="SymbolMT" w:cstheme="minorHAnsi"/>
          <w:lang w:eastAsia="nl-NL"/>
        </w:rPr>
        <w:t>Δ PR_FV_STO</w:t>
      </w:r>
      <w:r w:rsidR="00F37B74" w:rsidRPr="000B3455">
        <w:rPr>
          <w:rFonts w:eastAsia="SymbolMT" w:cstheme="minorHAnsi"/>
          <w:vertAlign w:val="subscript"/>
          <w:lang w:eastAsia="nl-NL"/>
        </w:rPr>
        <w:t>it</w:t>
      </w:r>
      <w:r w:rsidR="00E35458" w:rsidRPr="000B3455">
        <w:rPr>
          <w:rFonts w:eastAsia="SymbolMT" w:cstheme="minorHAnsi"/>
          <w:lang w:eastAsia="nl-NL"/>
        </w:rPr>
        <w:t xml:space="preserve"> is replaced by a lower amount than 5.927, the change</w:t>
      </w:r>
      <w:r w:rsidR="00F37B74" w:rsidRPr="000B3455">
        <w:rPr>
          <w:rFonts w:eastAsia="SymbolMT" w:cstheme="minorHAnsi"/>
          <w:lang w:eastAsia="nl-NL"/>
        </w:rPr>
        <w:t xml:space="preserve"> in fixed salary proportion</w:t>
      </w:r>
      <w:r w:rsidR="00E35458" w:rsidRPr="000B3455">
        <w:rPr>
          <w:rFonts w:eastAsia="SymbolMT" w:cstheme="minorHAnsi"/>
          <w:lang w:eastAsia="nl-NL"/>
        </w:rPr>
        <w:t xml:space="preserve"> is negative, which indicates a complementary effect.</w:t>
      </w:r>
      <w:r w:rsidR="00333076" w:rsidRPr="000B3455">
        <w:rPr>
          <w:rFonts w:eastAsia="SymbolMT" w:cstheme="minorHAnsi"/>
          <w:lang w:eastAsia="nl-NL"/>
        </w:rPr>
        <w:t xml:space="preserve"> </w:t>
      </w:r>
      <w:r w:rsidR="00E35458" w:rsidRPr="000B3455">
        <w:rPr>
          <w:rFonts w:eastAsia="SymbolMT" w:cstheme="minorHAnsi"/>
          <w:lang w:eastAsia="nl-NL"/>
        </w:rPr>
        <w:t>To concise, it is questionable if there still is a substitution effect in 2004</w:t>
      </w:r>
      <w:r w:rsidR="003D1B5D" w:rsidRPr="000B3455">
        <w:rPr>
          <w:rFonts w:eastAsia="SymbolMT" w:cstheme="minorHAnsi"/>
          <w:lang w:eastAsia="nl-NL"/>
        </w:rPr>
        <w:t>, at least the substitution effect is weaker in 2004</w:t>
      </w:r>
      <w:r w:rsidR="00E35458" w:rsidRPr="000B3455">
        <w:rPr>
          <w:rFonts w:eastAsia="SymbolMT" w:cstheme="minorHAnsi"/>
          <w:lang w:eastAsia="nl-NL"/>
        </w:rPr>
        <w:t>.</w:t>
      </w:r>
      <w:r w:rsidR="005F2684" w:rsidRPr="000B3455">
        <w:rPr>
          <w:rFonts w:eastAsia="SymbolMT" w:cstheme="minorHAnsi"/>
          <w:lang w:eastAsia="nl-NL"/>
        </w:rPr>
        <w:t xml:space="preserve"> One possible explanation </w:t>
      </w:r>
      <w:r w:rsidR="005F2684" w:rsidRPr="000B3455">
        <w:rPr>
          <w:rFonts w:eastAsia="SymbolMT" w:cstheme="minorHAnsi"/>
          <w:lang w:eastAsia="nl-NL"/>
        </w:rPr>
        <w:lastRenderedPageBreak/>
        <w:t>for this, is th</w:t>
      </w:r>
      <w:r w:rsidR="003D1B5D" w:rsidRPr="000B3455">
        <w:rPr>
          <w:rFonts w:eastAsia="SymbolMT" w:cstheme="minorHAnsi"/>
          <w:lang w:eastAsia="nl-NL"/>
        </w:rPr>
        <w:t>at the cutbacks on</w:t>
      </w:r>
      <w:r w:rsidR="005F2684" w:rsidRPr="000B3455">
        <w:rPr>
          <w:rFonts w:eastAsia="SymbolMT" w:cstheme="minorHAnsi"/>
          <w:lang w:eastAsia="nl-NL"/>
        </w:rPr>
        <w:t xml:space="preserve"> the proportion of stock options </w:t>
      </w:r>
      <w:r w:rsidR="003D1B5D" w:rsidRPr="000B3455">
        <w:rPr>
          <w:rFonts w:eastAsia="SymbolMT" w:cstheme="minorHAnsi"/>
          <w:lang w:eastAsia="nl-NL"/>
        </w:rPr>
        <w:t xml:space="preserve">in 2004 are made up by other forms of compensation. </w:t>
      </w:r>
      <w:r w:rsidR="00B3120C" w:rsidRPr="000B3455">
        <w:rPr>
          <w:rFonts w:eastAsia="SymbolMT" w:cstheme="minorHAnsi"/>
          <w:lang w:eastAsia="nl-NL"/>
        </w:rPr>
        <w:t>Following the results of the additional test in hypothesis 2, the substitution between shares and stock options is enlarged in 2004. Indicating that stock options are substituted for by, at least shares.</w:t>
      </w:r>
    </w:p>
    <w:p w:rsidR="00FD339F" w:rsidRPr="000B3455" w:rsidRDefault="00333076" w:rsidP="0088553E">
      <w:pPr>
        <w:spacing w:line="360" w:lineRule="auto"/>
        <w:jc w:val="both"/>
        <w:rPr>
          <w:rFonts w:eastAsia="SymbolMT" w:cstheme="minorHAnsi"/>
          <w:lang w:eastAsia="nl-NL"/>
        </w:rPr>
      </w:pPr>
      <w:r w:rsidRPr="000B3455">
        <w:rPr>
          <w:rFonts w:eastAsia="SymbolMT" w:cstheme="minorHAnsi"/>
          <w:lang w:eastAsia="nl-NL"/>
        </w:rPr>
        <w:t>The dummies for years 2005, 2006 and 2007 do not significa</w:t>
      </w:r>
      <w:r w:rsidR="0084660D" w:rsidRPr="000B3455">
        <w:rPr>
          <w:rFonts w:eastAsia="SymbolMT" w:cstheme="minorHAnsi"/>
          <w:lang w:eastAsia="nl-NL"/>
        </w:rPr>
        <w:t>ntly differ with the base year (i.e. 2003), implying a visible substitution effect in 2003, 2005, 2006 and 2007. Since there is no additional effect on the change of the fixed salary proportion, it can be concluded that the introduction of IFRS 2 has had no effect on the influence for the years 2005, 2006 and 2007</w:t>
      </w:r>
      <w:r w:rsidR="00DC40C2" w:rsidRPr="000B3455">
        <w:rPr>
          <w:rFonts w:eastAsia="SymbolMT" w:cstheme="minorHAnsi"/>
          <w:lang w:eastAsia="nl-NL"/>
        </w:rPr>
        <w:t xml:space="preserve"> on the proportion of fixed salary</w:t>
      </w:r>
      <w:r w:rsidR="0084660D" w:rsidRPr="000B3455">
        <w:rPr>
          <w:rFonts w:eastAsia="SymbolMT" w:cstheme="minorHAnsi"/>
          <w:lang w:eastAsia="nl-NL"/>
        </w:rPr>
        <w:t>.</w:t>
      </w:r>
      <w:r w:rsidR="00DC40C2" w:rsidRPr="000B3455">
        <w:rPr>
          <w:rFonts w:eastAsia="SymbolMT" w:cstheme="minorHAnsi"/>
          <w:lang w:eastAsia="nl-NL"/>
        </w:rPr>
        <w:t xml:space="preserve"> T</w:t>
      </w:r>
      <w:r w:rsidR="0084660D" w:rsidRPr="000B3455">
        <w:rPr>
          <w:rFonts w:eastAsia="SymbolMT" w:cstheme="minorHAnsi"/>
          <w:lang w:eastAsia="nl-NL"/>
        </w:rPr>
        <w:t>aking into account the analysis in section 6.1 that</w:t>
      </w:r>
      <w:r w:rsidR="00F37B74" w:rsidRPr="000B3455">
        <w:rPr>
          <w:rFonts w:eastAsia="SymbolMT" w:cstheme="minorHAnsi"/>
          <w:lang w:eastAsia="nl-NL"/>
        </w:rPr>
        <w:t xml:space="preserve"> a combination of IFRS 2 </w:t>
      </w:r>
      <w:r w:rsidR="0084660D" w:rsidRPr="000B3455">
        <w:rPr>
          <w:rFonts w:eastAsia="SymbolMT" w:cstheme="minorHAnsi"/>
          <w:lang w:eastAsia="nl-NL"/>
        </w:rPr>
        <w:t>and the Dutch Corporate Governance code triggered the proportion of stock options to decrease from 2004</w:t>
      </w:r>
      <w:r w:rsidR="00A3716D" w:rsidRPr="000B3455">
        <w:rPr>
          <w:rFonts w:eastAsia="SymbolMT" w:cstheme="minorHAnsi"/>
          <w:lang w:eastAsia="nl-NL"/>
        </w:rPr>
        <w:t xml:space="preserve"> and on</w:t>
      </w:r>
      <w:r w:rsidR="00DC40C2" w:rsidRPr="000B3455">
        <w:rPr>
          <w:rFonts w:eastAsia="SymbolMT" w:cstheme="minorHAnsi"/>
          <w:lang w:eastAsia="nl-NL"/>
        </w:rPr>
        <w:t xml:space="preserve">, and that the decrease in stock options in 2004 has had a lower influence on the increase of the proportion of fixed salary leads to the conclusion that the substitution effect </w:t>
      </w:r>
      <w:r w:rsidR="000E18CC" w:rsidRPr="000B3455">
        <w:rPr>
          <w:rFonts w:eastAsia="SymbolMT" w:cstheme="minorHAnsi"/>
          <w:lang w:eastAsia="nl-NL"/>
        </w:rPr>
        <w:t xml:space="preserve">was not accelerated by the introduction of IFRS 2. </w:t>
      </w:r>
    </w:p>
    <w:p w:rsidR="00E63170" w:rsidRPr="000B3455" w:rsidRDefault="000E18CC" w:rsidP="0088553E">
      <w:pPr>
        <w:spacing w:line="360" w:lineRule="auto"/>
        <w:jc w:val="both"/>
        <w:rPr>
          <w:rFonts w:eastAsia="SymbolMT" w:cstheme="minorHAnsi"/>
          <w:lang w:eastAsia="nl-NL"/>
        </w:rPr>
      </w:pPr>
      <w:r w:rsidRPr="000B3455">
        <w:rPr>
          <w:rFonts w:eastAsia="SymbolMT" w:cstheme="minorHAnsi"/>
          <w:lang w:eastAsia="nl-NL"/>
        </w:rPr>
        <w:t xml:space="preserve">As </w:t>
      </w:r>
      <w:fldSimple w:instr=" REF _Ref298858967 \h  \* MERGEFORMAT ">
        <w:r w:rsidR="001D5F9A">
          <w:t xml:space="preserve">Table </w:t>
        </w:r>
        <w:r w:rsidR="001D5F9A">
          <w:rPr>
            <w:noProof/>
          </w:rPr>
          <w:t>21</w:t>
        </w:r>
      </w:fldSimple>
      <w:r w:rsidR="008F3D04">
        <w:rPr>
          <w:rFonts w:eastAsia="SymbolMT" w:cstheme="minorHAnsi"/>
          <w:lang w:eastAsia="nl-NL"/>
        </w:rPr>
        <w:t xml:space="preserve"> </w:t>
      </w:r>
      <w:r w:rsidRPr="000B3455">
        <w:rPr>
          <w:rFonts w:eastAsia="SymbolMT" w:cstheme="minorHAnsi"/>
          <w:lang w:eastAsia="nl-NL"/>
        </w:rPr>
        <w:t xml:space="preserve">in </w:t>
      </w:r>
      <w:fldSimple w:instr=" REF XII \h  \* MERGEFORMAT ">
        <w:r w:rsidR="001D5F9A" w:rsidRPr="000B3455">
          <w:t>Appendix XII</w:t>
        </w:r>
      </w:fldSimple>
      <w:r w:rsidR="008F3D04">
        <w:rPr>
          <w:rFonts w:eastAsia="SymbolMT" w:cstheme="minorHAnsi"/>
          <w:lang w:eastAsia="nl-NL"/>
        </w:rPr>
        <w:t xml:space="preserve"> </w:t>
      </w:r>
      <w:r w:rsidRPr="000B3455">
        <w:rPr>
          <w:rFonts w:eastAsia="SymbolMT" w:cstheme="minorHAnsi"/>
          <w:lang w:eastAsia="nl-NL"/>
        </w:rPr>
        <w:t>displays, the only significant economic factors are the share returns (</w:t>
      </w:r>
      <w:r w:rsidRPr="000B3455">
        <w:rPr>
          <w:i/>
        </w:rPr>
        <w:t>RET</w:t>
      </w:r>
      <w:r w:rsidRPr="000B3455">
        <w:rPr>
          <w:i/>
          <w:vertAlign w:val="subscript"/>
        </w:rPr>
        <w:t>it</w:t>
      </w:r>
      <w:r w:rsidRPr="000B3455">
        <w:rPr>
          <w:rFonts w:eastAsia="SymbolMT" w:cstheme="minorHAnsi"/>
          <w:lang w:eastAsia="nl-NL"/>
        </w:rPr>
        <w:t>) and the size of the board of directors (</w:t>
      </w:r>
      <w:r w:rsidRPr="000B3455">
        <w:rPr>
          <w:i/>
        </w:rPr>
        <w:t>BOA_SIZE</w:t>
      </w:r>
      <w:r w:rsidRPr="000B3455">
        <w:rPr>
          <w:i/>
          <w:vertAlign w:val="subscript"/>
        </w:rPr>
        <w:t>it</w:t>
      </w:r>
      <w:r w:rsidRPr="000B3455">
        <w:rPr>
          <w:rFonts w:eastAsia="SymbolMT" w:cstheme="minorHAnsi"/>
          <w:lang w:eastAsia="nl-NL"/>
        </w:rPr>
        <w:t xml:space="preserve">), with p-values of 0.035 and 0.049 respectively. </w:t>
      </w:r>
      <w:r w:rsidR="00731F5A" w:rsidRPr="000B3455">
        <w:rPr>
          <w:rFonts w:eastAsia="SymbolMT" w:cstheme="minorHAnsi"/>
          <w:lang w:eastAsia="nl-NL"/>
        </w:rPr>
        <w:t>S</w:t>
      </w:r>
      <w:r w:rsidRPr="000B3455">
        <w:rPr>
          <w:rFonts w:eastAsia="SymbolMT" w:cstheme="minorHAnsi"/>
          <w:lang w:eastAsia="nl-NL"/>
        </w:rPr>
        <w:t xml:space="preserve">hare returns are negatively associated with </w:t>
      </w:r>
      <w:r w:rsidR="00731F5A" w:rsidRPr="000B3455">
        <w:rPr>
          <w:rFonts w:eastAsia="SymbolMT" w:cstheme="minorHAnsi"/>
          <w:lang w:eastAsia="nl-NL"/>
        </w:rPr>
        <w:t xml:space="preserve">the change in the proportion of fixed salary. This means that higher share returns yield a lower change in proportion of fixed salary. </w:t>
      </w:r>
      <w:r w:rsidR="00BA19EB" w:rsidRPr="000B3455">
        <w:rPr>
          <w:rFonts w:eastAsia="SymbolMT" w:cstheme="minorHAnsi"/>
          <w:lang w:eastAsia="nl-NL"/>
        </w:rPr>
        <w:t>To put it another way,</w:t>
      </w:r>
      <w:r w:rsidR="00731F5A" w:rsidRPr="000B3455">
        <w:rPr>
          <w:rFonts w:eastAsia="SymbolMT" w:cstheme="minorHAnsi"/>
          <w:lang w:eastAsia="nl-NL"/>
        </w:rPr>
        <w:t xml:space="preserve"> in years when share returns are growing, the </w:t>
      </w:r>
      <w:r w:rsidR="009A06B4" w:rsidRPr="000B3455">
        <w:rPr>
          <w:rFonts w:eastAsia="SymbolMT" w:cstheme="minorHAnsi"/>
          <w:lang w:eastAsia="nl-NL"/>
        </w:rPr>
        <w:t xml:space="preserve">change in the </w:t>
      </w:r>
      <w:r w:rsidR="00731F5A" w:rsidRPr="000B3455">
        <w:rPr>
          <w:rFonts w:eastAsia="SymbolMT" w:cstheme="minorHAnsi"/>
          <w:lang w:eastAsia="nl-NL"/>
        </w:rPr>
        <w:t>part of fixed salary in total compensation does not increase</w:t>
      </w:r>
      <w:r w:rsidR="00BA19EB" w:rsidRPr="000B3455">
        <w:rPr>
          <w:rFonts w:eastAsia="SymbolMT" w:cstheme="minorHAnsi"/>
          <w:lang w:eastAsia="nl-NL"/>
        </w:rPr>
        <w:t>, but decreases. This suggests that in case of higher stock returns companies grant a higher proportion of other forms of compensation than fixed salary</w:t>
      </w:r>
      <w:r w:rsidR="00594C5D" w:rsidRPr="000B3455">
        <w:rPr>
          <w:rFonts w:eastAsia="SymbolMT" w:cstheme="minorHAnsi"/>
          <w:lang w:eastAsia="nl-NL"/>
        </w:rPr>
        <w:t>, concluding that fixed salary is not related to the firm’s share performance</w:t>
      </w:r>
      <w:r w:rsidR="0098306C" w:rsidRPr="000B3455">
        <w:rPr>
          <w:rFonts w:eastAsia="SymbolMT" w:cstheme="minorHAnsi"/>
          <w:lang w:eastAsia="nl-NL"/>
        </w:rPr>
        <w:t>. This is</w:t>
      </w:r>
      <w:r w:rsidR="00594C5D" w:rsidRPr="000B3455">
        <w:rPr>
          <w:rFonts w:eastAsia="SymbolMT" w:cstheme="minorHAnsi"/>
          <w:lang w:eastAsia="nl-NL"/>
        </w:rPr>
        <w:t xml:space="preserve"> consisten</w:t>
      </w:r>
      <w:r w:rsidR="0098306C" w:rsidRPr="000B3455">
        <w:rPr>
          <w:rFonts w:eastAsia="SymbolMT" w:cstheme="minorHAnsi"/>
          <w:lang w:eastAsia="nl-NL"/>
        </w:rPr>
        <w:t>t</w:t>
      </w:r>
      <w:r w:rsidR="00594C5D" w:rsidRPr="000B3455">
        <w:rPr>
          <w:rFonts w:eastAsia="SymbolMT" w:cstheme="minorHAnsi"/>
          <w:lang w:eastAsia="nl-NL"/>
        </w:rPr>
        <w:t xml:space="preserve"> with </w:t>
      </w:r>
      <w:r w:rsidR="00594C5D" w:rsidRPr="000B3455">
        <w:rPr>
          <w:rFonts w:cstheme="minorHAnsi"/>
        </w:rPr>
        <w:t xml:space="preserve">Hall and Murphy (2003, </w:t>
      </w:r>
      <w:r w:rsidR="00EB350F" w:rsidRPr="000B3455">
        <w:rPr>
          <w:rFonts w:cstheme="minorHAnsi"/>
        </w:rPr>
        <w:t xml:space="preserve">p. </w:t>
      </w:r>
      <w:r w:rsidR="00594C5D" w:rsidRPr="000B3455">
        <w:rPr>
          <w:rFonts w:cstheme="minorHAnsi"/>
        </w:rPr>
        <w:t>63)</w:t>
      </w:r>
      <w:r w:rsidR="0098306C" w:rsidRPr="000B3455">
        <w:rPr>
          <w:rFonts w:cstheme="minorHAnsi"/>
        </w:rPr>
        <w:t xml:space="preserve">, but inconsistent with the findings of Chalmers et al. (2006, </w:t>
      </w:r>
      <w:r w:rsidR="00EB350F" w:rsidRPr="000B3455">
        <w:rPr>
          <w:rFonts w:cstheme="minorHAnsi"/>
        </w:rPr>
        <w:t xml:space="preserve">p. </w:t>
      </w:r>
      <w:r w:rsidR="0098306C" w:rsidRPr="000B3455">
        <w:rPr>
          <w:rFonts w:cstheme="minorHAnsi"/>
        </w:rPr>
        <w:t>268), who measure the performance as return on assets (ROA)</w:t>
      </w:r>
      <w:r w:rsidR="00BA19EB" w:rsidRPr="000B3455">
        <w:rPr>
          <w:rFonts w:eastAsia="SymbolMT" w:cstheme="minorHAnsi"/>
          <w:lang w:eastAsia="nl-NL"/>
        </w:rPr>
        <w:t>.</w:t>
      </w:r>
      <w:r w:rsidR="0098306C" w:rsidRPr="000B3455">
        <w:rPr>
          <w:rFonts w:eastAsia="SymbolMT" w:cstheme="minorHAnsi"/>
          <w:lang w:eastAsia="nl-NL"/>
        </w:rPr>
        <w:t xml:space="preserve"> An important difference is that ROA is an accounting performance measure, whereas the share returns measure the market performance</w:t>
      </w:r>
      <w:r w:rsidR="00E63170" w:rsidRPr="000B3455">
        <w:rPr>
          <w:rFonts w:eastAsia="SymbolMT" w:cstheme="minorHAnsi"/>
          <w:lang w:eastAsia="nl-NL"/>
        </w:rPr>
        <w:t>.</w:t>
      </w:r>
    </w:p>
    <w:p w:rsidR="000E18CC" w:rsidRPr="000B3455" w:rsidRDefault="00594C5D" w:rsidP="0088553E">
      <w:pPr>
        <w:spacing w:line="360" w:lineRule="auto"/>
        <w:jc w:val="both"/>
        <w:rPr>
          <w:rFonts w:eastAsia="SymbolMT" w:cstheme="minorHAnsi"/>
          <w:lang w:eastAsia="nl-NL"/>
        </w:rPr>
      </w:pPr>
      <w:r w:rsidRPr="000B3455">
        <w:rPr>
          <w:rFonts w:eastAsia="SymbolMT" w:cstheme="minorHAnsi"/>
          <w:lang w:eastAsia="nl-NL"/>
        </w:rPr>
        <w:t xml:space="preserve">The positive relation of the board size and the change in proportion of fixed salary means that a larger board size indicates an increase in the proportion of fixed salary. The same relation is found by Chalmers et al. (2006, </w:t>
      </w:r>
      <w:r w:rsidR="00EB350F" w:rsidRPr="000B3455">
        <w:rPr>
          <w:rFonts w:eastAsia="SymbolMT" w:cstheme="minorHAnsi"/>
          <w:lang w:eastAsia="nl-NL"/>
        </w:rPr>
        <w:t xml:space="preserve">p. </w:t>
      </w:r>
      <w:r w:rsidR="0098306C" w:rsidRPr="000B3455">
        <w:rPr>
          <w:rFonts w:eastAsia="SymbolMT" w:cstheme="minorHAnsi"/>
          <w:lang w:eastAsia="nl-NL"/>
        </w:rPr>
        <w:t xml:space="preserve">268). The amount of members in the board of directors serves as a proxy for the complexity of a company. </w:t>
      </w:r>
      <w:r w:rsidR="00A32B52" w:rsidRPr="000B3455">
        <w:rPr>
          <w:rFonts w:eastAsia="SymbolMT" w:cstheme="minorHAnsi"/>
          <w:lang w:eastAsia="nl-NL"/>
        </w:rPr>
        <w:t xml:space="preserve">More complex firms require a higher quality of labor. Board members than can deliver higher quality of labor, are demanding a higher compensation, including fixed salary. </w:t>
      </w:r>
      <w:r w:rsidR="000764D6" w:rsidRPr="000B3455">
        <w:rPr>
          <w:rFonts w:eastAsia="SymbolMT" w:cstheme="minorHAnsi"/>
          <w:lang w:eastAsia="nl-NL"/>
        </w:rPr>
        <w:t xml:space="preserve">However, a higher proportion of fixed salary results in a lower proportion of cash bonuses, stock options and shares. According to </w:t>
      </w:r>
      <w:r w:rsidR="000764D6" w:rsidRPr="000B3455">
        <w:rPr>
          <w:rFonts w:cstheme="minorHAnsi"/>
        </w:rPr>
        <w:t xml:space="preserve">Hall and Murphy (2003, </w:t>
      </w:r>
      <w:r w:rsidR="00EB350F" w:rsidRPr="000B3455">
        <w:rPr>
          <w:rFonts w:cstheme="minorHAnsi"/>
        </w:rPr>
        <w:t xml:space="preserve">p. </w:t>
      </w:r>
      <w:r w:rsidR="000764D6" w:rsidRPr="000B3455">
        <w:rPr>
          <w:rFonts w:cstheme="minorHAnsi"/>
        </w:rPr>
        <w:t xml:space="preserve">56), and Oyer and Schaefer (2002, </w:t>
      </w:r>
      <w:r w:rsidR="00EB350F" w:rsidRPr="000B3455">
        <w:rPr>
          <w:rFonts w:cstheme="minorHAnsi"/>
        </w:rPr>
        <w:t>p</w:t>
      </w:r>
      <w:r w:rsidR="00C523A8" w:rsidRPr="000B3455">
        <w:rPr>
          <w:rFonts w:cstheme="minorHAnsi"/>
        </w:rPr>
        <w:t>p</w:t>
      </w:r>
      <w:r w:rsidR="00EB350F" w:rsidRPr="000B3455">
        <w:rPr>
          <w:rFonts w:cstheme="minorHAnsi"/>
        </w:rPr>
        <w:t xml:space="preserve">. </w:t>
      </w:r>
      <w:r w:rsidR="000764D6" w:rsidRPr="000B3455">
        <w:rPr>
          <w:rFonts w:cstheme="minorHAnsi"/>
        </w:rPr>
        <w:t xml:space="preserve">23-27), a higher proportion of performance related compensation, i.e. cash bonuses, shares and stock options, </w:t>
      </w:r>
      <w:r w:rsidR="000764D6" w:rsidRPr="000B3455">
        <w:rPr>
          <w:rFonts w:cstheme="minorHAnsi"/>
        </w:rPr>
        <w:lastRenderedPageBreak/>
        <w:t xml:space="preserve">makes a company more attractive for </w:t>
      </w:r>
      <w:r w:rsidR="00700429" w:rsidRPr="000B3455">
        <w:rPr>
          <w:rFonts w:cstheme="minorHAnsi"/>
        </w:rPr>
        <w:t>managers</w:t>
      </w:r>
      <w:r w:rsidR="000764D6" w:rsidRPr="000B3455">
        <w:rPr>
          <w:rFonts w:cstheme="minorHAnsi"/>
        </w:rPr>
        <w:t xml:space="preserve"> that think they are able to let the company perform well. This ultimately results in a higher compensation. Decreasing the proportion of performance related compensatio</w:t>
      </w:r>
      <w:r w:rsidR="00700429" w:rsidRPr="000B3455">
        <w:rPr>
          <w:rFonts w:cstheme="minorHAnsi"/>
        </w:rPr>
        <w:t>n makes a company less attractive to that kind of managers that could deliver higher quality of labor.</w:t>
      </w:r>
      <w:r w:rsidR="00D718B4" w:rsidRPr="000B3455">
        <w:rPr>
          <w:rFonts w:cstheme="minorHAnsi"/>
        </w:rPr>
        <w:t xml:space="preserve"> </w:t>
      </w:r>
      <w:r w:rsidR="00700429" w:rsidRPr="000B3455">
        <w:rPr>
          <w:rFonts w:cstheme="minorHAnsi"/>
        </w:rPr>
        <w:t xml:space="preserve">This is contradictory to Chalmers et al. (2006) and the results in </w:t>
      </w:r>
      <w:fldSimple w:instr=" REF _Ref298858967 \h  \* MERGEFORMAT ">
        <w:r w:rsidR="001D5F9A">
          <w:t xml:space="preserve">Table </w:t>
        </w:r>
        <w:r w:rsidR="001D5F9A">
          <w:rPr>
            <w:noProof/>
          </w:rPr>
          <w:t>21</w:t>
        </w:r>
      </w:fldSimple>
      <w:r w:rsidR="008F3D04">
        <w:rPr>
          <w:rFonts w:cstheme="minorHAnsi"/>
        </w:rPr>
        <w:t xml:space="preserve"> </w:t>
      </w:r>
      <w:r w:rsidR="00700429" w:rsidRPr="000B3455">
        <w:rPr>
          <w:rFonts w:cstheme="minorHAnsi"/>
        </w:rPr>
        <w:t xml:space="preserve">in </w:t>
      </w:r>
      <w:fldSimple w:instr=" REF XII \h  \* MERGEFORMAT ">
        <w:r w:rsidR="001D5F9A" w:rsidRPr="000B3455">
          <w:t>Appendix XII</w:t>
        </w:r>
      </w:fldSimple>
      <w:r w:rsidR="00700429" w:rsidRPr="000B3455">
        <w:rPr>
          <w:rFonts w:cstheme="minorHAnsi"/>
        </w:rPr>
        <w:t>.</w:t>
      </w:r>
    </w:p>
    <w:p w:rsidR="0005146E" w:rsidRPr="000B3455" w:rsidRDefault="0005146E" w:rsidP="0088553E">
      <w:pPr>
        <w:spacing w:line="360" w:lineRule="auto"/>
        <w:jc w:val="both"/>
        <w:rPr>
          <w:rFonts w:eastAsia="SymbolMT" w:cstheme="minorHAnsi"/>
          <w:lang w:eastAsia="nl-NL"/>
        </w:rPr>
      </w:pPr>
      <w:r w:rsidRPr="000B3455">
        <w:rPr>
          <w:rFonts w:eastAsia="SymbolMT" w:cstheme="minorHAnsi"/>
          <w:lang w:eastAsia="nl-NL"/>
        </w:rPr>
        <w:t xml:space="preserve">As from </w:t>
      </w:r>
      <w:fldSimple w:instr=" REF _Ref298858967 \h  \* MERGEFORMAT ">
        <w:r w:rsidR="001D5F9A">
          <w:t xml:space="preserve">Table </w:t>
        </w:r>
        <w:r w:rsidR="001D5F9A">
          <w:rPr>
            <w:noProof/>
          </w:rPr>
          <w:t>21</w:t>
        </w:r>
      </w:fldSimple>
      <w:r w:rsidRPr="000B3455">
        <w:rPr>
          <w:rFonts w:eastAsia="SymbolMT" w:cstheme="minorHAnsi"/>
          <w:lang w:eastAsia="nl-NL"/>
        </w:rPr>
        <w:t xml:space="preserve"> in </w:t>
      </w:r>
      <w:fldSimple w:instr=" REF XII \h  \* MERGEFORMAT ">
        <w:r w:rsidR="001D5F9A" w:rsidRPr="000B3455">
          <w:t>Appendix XII</w:t>
        </w:r>
      </w:fldSimple>
      <w:r w:rsidR="008F3D04">
        <w:rPr>
          <w:rFonts w:eastAsia="SymbolMT" w:cstheme="minorHAnsi"/>
          <w:lang w:eastAsia="nl-NL"/>
        </w:rPr>
        <w:t xml:space="preserve"> </w:t>
      </w:r>
      <w:r w:rsidRPr="000B3455">
        <w:rPr>
          <w:rFonts w:eastAsia="SymbolMT" w:cstheme="minorHAnsi"/>
          <w:lang w:eastAsia="nl-NL"/>
        </w:rPr>
        <w:t>appears, a firm’s size (</w:t>
      </w:r>
      <w:r w:rsidR="00700429" w:rsidRPr="000B3455">
        <w:rPr>
          <w:i/>
        </w:rPr>
        <w:t>LN_ASSETS</w:t>
      </w:r>
      <w:r w:rsidR="00700429" w:rsidRPr="000B3455">
        <w:rPr>
          <w:i/>
          <w:vertAlign w:val="subscript"/>
        </w:rPr>
        <w:t>it</w:t>
      </w:r>
      <w:r w:rsidRPr="000B3455">
        <w:rPr>
          <w:rFonts w:eastAsia="SymbolMT" w:cstheme="minorHAnsi"/>
          <w:lang w:eastAsia="nl-NL"/>
        </w:rPr>
        <w:t>), growth opportunities (</w:t>
      </w:r>
      <w:r w:rsidR="00700429" w:rsidRPr="000B3455">
        <w:rPr>
          <w:i/>
        </w:rPr>
        <w:t>MTB</w:t>
      </w:r>
      <w:r w:rsidR="00700429" w:rsidRPr="000B3455">
        <w:rPr>
          <w:i/>
          <w:vertAlign w:val="subscript"/>
        </w:rPr>
        <w:t>it</w:t>
      </w:r>
      <w:r w:rsidRPr="000B3455">
        <w:rPr>
          <w:rFonts w:eastAsia="SymbolMT" w:cstheme="minorHAnsi"/>
          <w:lang w:eastAsia="nl-NL"/>
        </w:rPr>
        <w:t>), risk (</w:t>
      </w:r>
      <w:r w:rsidR="00700429" w:rsidRPr="000B3455">
        <w:rPr>
          <w:i/>
        </w:rPr>
        <w:t>VOL</w:t>
      </w:r>
      <w:r w:rsidR="00700429" w:rsidRPr="000B3455">
        <w:rPr>
          <w:i/>
          <w:vertAlign w:val="subscript"/>
        </w:rPr>
        <w:t>it</w:t>
      </w:r>
      <w:r w:rsidRPr="000B3455">
        <w:rPr>
          <w:rFonts w:eastAsia="SymbolMT" w:cstheme="minorHAnsi"/>
          <w:lang w:eastAsia="nl-NL"/>
        </w:rPr>
        <w:t>) and liquidity constraints (</w:t>
      </w:r>
      <w:r w:rsidR="00700429" w:rsidRPr="000B3455">
        <w:rPr>
          <w:i/>
        </w:rPr>
        <w:t>LIQ_CON</w:t>
      </w:r>
      <w:r w:rsidR="00700429" w:rsidRPr="000B3455">
        <w:rPr>
          <w:i/>
          <w:vertAlign w:val="subscript"/>
        </w:rPr>
        <w:t>it</w:t>
      </w:r>
      <w:r w:rsidRPr="000B3455">
        <w:rPr>
          <w:rFonts w:eastAsia="SymbolMT" w:cstheme="minorHAnsi"/>
          <w:lang w:eastAsia="nl-NL"/>
        </w:rPr>
        <w:t xml:space="preserve">) do not have significant relations with the change in proportion of fixed salary. Consistent with the findings of Chalmers et al. (2006, </w:t>
      </w:r>
      <w:r w:rsidR="00EB350F" w:rsidRPr="000B3455">
        <w:rPr>
          <w:rFonts w:eastAsia="SymbolMT" w:cstheme="minorHAnsi"/>
          <w:lang w:eastAsia="nl-NL"/>
        </w:rPr>
        <w:t xml:space="preserve">p. </w:t>
      </w:r>
      <w:r w:rsidRPr="000B3455">
        <w:rPr>
          <w:rFonts w:eastAsia="SymbolMT" w:cstheme="minorHAnsi"/>
          <w:lang w:eastAsia="nl-NL"/>
        </w:rPr>
        <w:t xml:space="preserve">268) firms with growth opportunities might have more monitoring problems. A fixed salary is considered to be an ineffective </w:t>
      </w:r>
      <w:r w:rsidR="000E155B" w:rsidRPr="000B3455">
        <w:rPr>
          <w:rFonts w:eastAsia="SymbolMT" w:cstheme="minorHAnsi"/>
          <w:lang w:eastAsia="nl-NL"/>
        </w:rPr>
        <w:t>means to tackle monitoring difficulties.</w:t>
      </w:r>
      <w:r w:rsidR="00D718B4" w:rsidRPr="000B3455">
        <w:rPr>
          <w:rFonts w:eastAsia="SymbolMT" w:cstheme="minorHAnsi"/>
          <w:lang w:eastAsia="nl-NL"/>
        </w:rPr>
        <w:t xml:space="preserve"> Growth opportunity firms are, therefore, looking for other efficient compensation forms to made up for the decrease in stock options, leaving the change in fixed salary untouched. </w:t>
      </w:r>
      <w:r w:rsidR="000E155B" w:rsidRPr="000B3455">
        <w:rPr>
          <w:rFonts w:eastAsia="SymbolMT" w:cstheme="minorHAnsi"/>
          <w:lang w:eastAsia="nl-NL"/>
        </w:rPr>
        <w:t xml:space="preserve">Growth opportunities are, therefore, independent of the change in the proportion of fixed salary. </w:t>
      </w:r>
      <w:r w:rsidR="00B15A69" w:rsidRPr="000B3455">
        <w:rPr>
          <w:rFonts w:eastAsia="SymbolMT" w:cstheme="minorHAnsi"/>
          <w:lang w:eastAsia="nl-NL"/>
        </w:rPr>
        <w:t xml:space="preserve">The risk of a company has not been of significance in all previously described findings. It seems that the company’s risk is not an explanatory variable for fixed salary, shares and stock options. </w:t>
      </w:r>
      <w:r w:rsidR="00743D21" w:rsidRPr="000B3455">
        <w:rPr>
          <w:rFonts w:eastAsia="SymbolMT" w:cstheme="minorHAnsi"/>
          <w:lang w:eastAsia="nl-NL"/>
        </w:rPr>
        <w:t>The insignificance of</w:t>
      </w:r>
      <w:r w:rsidR="003D5347" w:rsidRPr="000B3455">
        <w:rPr>
          <w:rFonts w:eastAsia="SymbolMT" w:cstheme="minorHAnsi"/>
          <w:lang w:eastAsia="nl-NL"/>
        </w:rPr>
        <w:t xml:space="preserve"> liquidity constraints</w:t>
      </w:r>
      <w:r w:rsidR="00743D21" w:rsidRPr="000B3455">
        <w:rPr>
          <w:rFonts w:eastAsia="SymbolMT" w:cstheme="minorHAnsi"/>
          <w:lang w:eastAsia="nl-NL"/>
        </w:rPr>
        <w:t xml:space="preserve"> might also be explained by firms seeking for other forms of compensation, than fixed salary, to made up for the decrease in stock options. As fixed salary results in a cash outflow, liquidity constraint firms are eager to compensate in a way </w:t>
      </w:r>
      <w:r w:rsidR="00324B00" w:rsidRPr="000B3455">
        <w:rPr>
          <w:rFonts w:eastAsia="SymbolMT" w:cstheme="minorHAnsi"/>
          <w:lang w:eastAsia="nl-NL"/>
        </w:rPr>
        <w:t>that does not result in a cash outflow. Consequently, they will not change fixed salary</w:t>
      </w:r>
      <w:r w:rsidR="003D5347" w:rsidRPr="000B3455">
        <w:rPr>
          <w:rFonts w:eastAsia="SymbolMT" w:cstheme="minorHAnsi"/>
          <w:lang w:eastAsia="nl-NL"/>
        </w:rPr>
        <w:t xml:space="preserve"> proportion much. </w:t>
      </w:r>
    </w:p>
    <w:p w:rsidR="001771A7" w:rsidRPr="000B3455" w:rsidRDefault="001771A7" w:rsidP="0088553E">
      <w:pPr>
        <w:spacing w:line="360" w:lineRule="auto"/>
        <w:jc w:val="both"/>
        <w:rPr>
          <w:rFonts w:eastAsia="SymbolMT" w:cstheme="minorHAnsi"/>
          <w:lang w:eastAsia="nl-NL"/>
        </w:rPr>
      </w:pPr>
      <w:r w:rsidRPr="000B3455">
        <w:rPr>
          <w:rFonts w:eastAsia="SymbolMT" w:cstheme="minorHAnsi"/>
          <w:lang w:eastAsia="nl-NL"/>
        </w:rPr>
        <w:t xml:space="preserve">The results of a multicollinearity test will conclude this section. As </w:t>
      </w:r>
      <w:fldSimple w:instr=" REF _Ref298858851 \h  \* MERGEFORMAT ">
        <w:r w:rsidR="001D5F9A">
          <w:t xml:space="preserve">Table </w:t>
        </w:r>
        <w:r w:rsidR="001D5F9A">
          <w:rPr>
            <w:noProof/>
          </w:rPr>
          <w:t>22</w:t>
        </w:r>
      </w:fldSimple>
      <w:r w:rsidR="008F3D04">
        <w:rPr>
          <w:rFonts w:eastAsia="SymbolMT" w:cstheme="minorHAnsi"/>
          <w:lang w:eastAsia="nl-NL"/>
        </w:rPr>
        <w:t xml:space="preserve"> i</w:t>
      </w:r>
      <w:r w:rsidRPr="000B3455">
        <w:rPr>
          <w:rFonts w:eastAsia="SymbolMT" w:cstheme="minorHAnsi"/>
          <w:lang w:eastAsia="nl-NL"/>
        </w:rPr>
        <w:t xml:space="preserve">n </w:t>
      </w:r>
      <w:fldSimple w:instr=" REF XII \h  \* MERGEFORMAT ">
        <w:r w:rsidR="001D5F9A" w:rsidRPr="000B3455">
          <w:t>Appendix XII</w:t>
        </w:r>
      </w:fldSimple>
      <w:r w:rsidRPr="000B3455">
        <w:rPr>
          <w:rFonts w:eastAsia="SymbolMT" w:cstheme="minorHAnsi"/>
          <w:lang w:eastAsia="nl-NL"/>
        </w:rPr>
        <w:t xml:space="preserve">, the highest VIF-value is that of the natural logarithm of total assets (VIF = 3.088), whereas the second largest is slightly above 2. As appears from multicollinearity tests of the previous discussed models, the VIF-value of </w:t>
      </w:r>
      <w:r w:rsidRPr="000B3455">
        <w:rPr>
          <w:rFonts w:eastAsia="SymbolMT" w:cstheme="minorHAnsi"/>
          <w:i/>
          <w:lang w:eastAsia="nl-NL"/>
        </w:rPr>
        <w:t>LN_ASSETS</w:t>
      </w:r>
      <w:r w:rsidRPr="000B3455">
        <w:rPr>
          <w:rFonts w:eastAsia="SymbolMT" w:cstheme="minorHAnsi"/>
          <w:lang w:eastAsia="nl-NL"/>
        </w:rPr>
        <w:t xml:space="preserve"> is consistently a</w:t>
      </w:r>
      <w:r w:rsidR="006374DD" w:rsidRPr="000B3455">
        <w:rPr>
          <w:rFonts w:eastAsia="SymbolMT" w:cstheme="minorHAnsi"/>
          <w:lang w:eastAsia="nl-NL"/>
        </w:rPr>
        <w:t xml:space="preserve">bove other VIF-values. However, there is no problem of multicollinearity identified. </w:t>
      </w:r>
    </w:p>
    <w:p w:rsidR="00341F47" w:rsidRPr="000B3455" w:rsidRDefault="0005146E" w:rsidP="0088553E">
      <w:pPr>
        <w:pStyle w:val="Heading3"/>
        <w:spacing w:line="360" w:lineRule="auto"/>
        <w:jc w:val="both"/>
      </w:pPr>
      <w:bookmarkStart w:id="89" w:name="_Toc298944599"/>
      <w:r w:rsidRPr="000B3455">
        <w:rPr>
          <w:rFonts w:eastAsia="SymbolMT" w:cstheme="minorHAnsi"/>
          <w:lang w:eastAsia="nl-NL"/>
        </w:rPr>
        <w:t>6</w:t>
      </w:r>
      <w:r w:rsidR="00341F47" w:rsidRPr="000B3455">
        <w:t>.3.3 Conclusion</w:t>
      </w:r>
      <w:bookmarkEnd w:id="89"/>
    </w:p>
    <w:p w:rsidR="00341F47" w:rsidRPr="000B3455" w:rsidRDefault="008E1419" w:rsidP="0088553E">
      <w:pPr>
        <w:spacing w:line="360" w:lineRule="auto"/>
        <w:jc w:val="both"/>
      </w:pPr>
      <w:r w:rsidRPr="000B3455">
        <w:t xml:space="preserve">The results provide support to the proposition that </w:t>
      </w:r>
      <w:r w:rsidR="006B40AE" w:rsidRPr="000B3455">
        <w:t xml:space="preserve">stock option compensation and fixed salaries are substitutes in at least 2003, and 2005-2007. </w:t>
      </w:r>
      <w:r w:rsidR="00951380" w:rsidRPr="000B3455">
        <w:t>Consistent with Hall and Murphy (2003)</w:t>
      </w:r>
      <w:r w:rsidR="006B40AE" w:rsidRPr="000B3455">
        <w:t xml:space="preserve"> share returns </w:t>
      </w:r>
      <w:r w:rsidR="00951380" w:rsidRPr="000B3455">
        <w:t xml:space="preserve">are positively related. In addition, </w:t>
      </w:r>
      <w:r w:rsidR="006B40AE" w:rsidRPr="000B3455">
        <w:t xml:space="preserve">the size of the board of directors </w:t>
      </w:r>
      <w:r w:rsidR="009664AF" w:rsidRPr="000B3455">
        <w:t>provide significant explanations</w:t>
      </w:r>
      <w:r w:rsidR="00951380" w:rsidRPr="000B3455">
        <w:t>, as also found by Chalmers et al. (2006)</w:t>
      </w:r>
      <w:r w:rsidR="009664AF" w:rsidRPr="000B3455">
        <w:t xml:space="preserve">. </w:t>
      </w:r>
      <w:r w:rsidR="00951380" w:rsidRPr="000B3455">
        <w:t xml:space="preserve">Whereas, the change in proportion of fixed salary is independent of size, growth opportunities, </w:t>
      </w:r>
      <w:r w:rsidR="00261BE2" w:rsidRPr="000B3455">
        <w:t>and risk</w:t>
      </w:r>
      <w:r w:rsidR="00951380" w:rsidRPr="000B3455">
        <w:t xml:space="preserve"> and liquidity constraints. Since the latter three are considered as incentives for companies to grant share-based payment, this is not a surprising result. The insignificance of size might be explained by that</w:t>
      </w:r>
      <w:r w:rsidR="00324B00" w:rsidRPr="000B3455">
        <w:t xml:space="preserve"> different</w:t>
      </w:r>
      <w:r w:rsidR="00951380" w:rsidRPr="000B3455">
        <w:t xml:space="preserve"> companies grant directors with a comparable base salary, </w:t>
      </w:r>
      <w:r w:rsidR="00736174" w:rsidRPr="000B3455">
        <w:lastRenderedPageBreak/>
        <w:t xml:space="preserve">but </w:t>
      </w:r>
      <w:r w:rsidR="00324B00" w:rsidRPr="000B3455">
        <w:t>are competing</w:t>
      </w:r>
      <w:r w:rsidR="00736174" w:rsidRPr="000B3455">
        <w:t xml:space="preserve"> on performance-related compensation, such as stock options and cash bonuses, to make a company more attractive</w:t>
      </w:r>
      <w:r w:rsidR="00736174" w:rsidRPr="000B3455">
        <w:rPr>
          <w:rFonts w:cstheme="minorHAnsi"/>
        </w:rPr>
        <w:t xml:space="preserve"> (Hall and Murphy, 2003, p. 56; Oyer and Schaefer, 2002, pp. 23-27)</w:t>
      </w:r>
      <w:r w:rsidR="00736174" w:rsidRPr="000B3455">
        <w:t xml:space="preserve">. </w:t>
      </w:r>
      <w:r w:rsidR="009664AF" w:rsidRPr="000B3455">
        <w:t xml:space="preserve">Contrary to the expectations, the dummy variable for 2004 is significantly negative, instead of positive, which means that </w:t>
      </w:r>
      <w:r w:rsidR="00324B00" w:rsidRPr="000B3455">
        <w:t xml:space="preserve">in </w:t>
      </w:r>
      <w:r w:rsidR="009664AF" w:rsidRPr="000B3455">
        <w:t>the year 2004 the substitution effect</w:t>
      </w:r>
      <w:r w:rsidR="00324B00" w:rsidRPr="000B3455">
        <w:t xml:space="preserve"> is weakened</w:t>
      </w:r>
      <w:r w:rsidR="009664AF" w:rsidRPr="000B3455">
        <w:t xml:space="preserve">. </w:t>
      </w:r>
      <w:r w:rsidR="007D4FF4" w:rsidRPr="000B3455">
        <w:t>Together with the substitution effect for 2005-2007 is not significantly different from 2003 it</w:t>
      </w:r>
      <w:r w:rsidR="00324B00" w:rsidRPr="000B3455">
        <w:t xml:space="preserve"> can be concluded that </w:t>
      </w:r>
      <w:r w:rsidR="009664AF" w:rsidRPr="000B3455">
        <w:t>the introduction of IFRS 2 did not have an accelerating effect on the substitution. Consequently, hypothesis 3 is rejected.</w:t>
      </w:r>
    </w:p>
    <w:p w:rsidR="00341F47" w:rsidRPr="000B3455" w:rsidRDefault="00341F47" w:rsidP="0088553E">
      <w:pPr>
        <w:pStyle w:val="Heading2"/>
        <w:spacing w:line="360" w:lineRule="auto"/>
        <w:jc w:val="both"/>
      </w:pPr>
      <w:bookmarkStart w:id="90" w:name="_Toc298944600"/>
      <w:r w:rsidRPr="000B3455">
        <w:t>6.4 Results on hypothesis 4</w:t>
      </w:r>
      <w:bookmarkEnd w:id="90"/>
    </w:p>
    <w:p w:rsidR="00341F47" w:rsidRPr="000B3455" w:rsidRDefault="007D4FF4" w:rsidP="0088553E">
      <w:pPr>
        <w:spacing w:line="360" w:lineRule="auto"/>
        <w:jc w:val="both"/>
      </w:pPr>
      <w:r w:rsidRPr="000B3455">
        <w:t>The research for hypothesis 4 is constructed in the same as for the previous hypothesis. Accordingly, the same research model will be used, except for the dependent variable, and a similar hypothesis is formed. In this hypothesis the substitution effect of the proportion of stock options and the proportion of cash bonuses is studied, and whether it is triggered by the introduction of IFRS 2. The hypothesis is stated as follows:</w:t>
      </w:r>
    </w:p>
    <w:p w:rsidR="007D4FF4" w:rsidRPr="000B3455" w:rsidRDefault="007D4FF4" w:rsidP="0088553E">
      <w:pPr>
        <w:spacing w:line="360" w:lineRule="auto"/>
        <w:jc w:val="both"/>
        <w:rPr>
          <w:rFonts w:cstheme="minorHAnsi"/>
          <w:i/>
        </w:rPr>
      </w:pPr>
      <w:r w:rsidRPr="000B3455">
        <w:rPr>
          <w:rFonts w:cstheme="minorHAnsi"/>
          <w:i/>
        </w:rPr>
        <w:t xml:space="preserve">H4: After the mandatory adoption of IFRS for Dutch-listed companies the decrease of the fair value of granted stock options has caused an increase in the level of cash bonuses to the board of directors. </w:t>
      </w:r>
    </w:p>
    <w:p w:rsidR="007D4FF4" w:rsidRPr="000B3455" w:rsidRDefault="004277AE" w:rsidP="0088553E">
      <w:pPr>
        <w:spacing w:line="360" w:lineRule="auto"/>
        <w:jc w:val="both"/>
      </w:pPr>
      <w:r w:rsidRPr="000B3455">
        <w:t>Hereafter, the descriptive statistics will be discussed and subsequently the statistical results will be described together with the analysis of these results.</w:t>
      </w:r>
    </w:p>
    <w:p w:rsidR="00341F47" w:rsidRPr="000B3455" w:rsidRDefault="00341F47" w:rsidP="0088553E">
      <w:pPr>
        <w:pStyle w:val="Heading3"/>
        <w:spacing w:line="360" w:lineRule="auto"/>
        <w:jc w:val="both"/>
      </w:pPr>
      <w:bookmarkStart w:id="91" w:name="_Toc298944601"/>
      <w:r w:rsidRPr="000B3455">
        <w:t>6.4.1 Descriptive statistics</w:t>
      </w:r>
      <w:bookmarkEnd w:id="91"/>
    </w:p>
    <w:p w:rsidR="00341F47" w:rsidRPr="000B3455" w:rsidRDefault="00AF0E67" w:rsidP="0088553E">
      <w:pPr>
        <w:spacing w:line="360" w:lineRule="auto"/>
        <w:jc w:val="both"/>
      </w:pPr>
      <w:r w:rsidRPr="000B3455">
        <w:t xml:space="preserve">For this hypothesis the same sample as for hypothesis 3 is used. See for the classification of the companies </w:t>
      </w:r>
      <w:fldSimple w:instr=" REF _Ref298855735 \h  \* MERGEFORMAT ">
        <w:r w:rsidR="001D5F9A" w:rsidRPr="00D51742">
          <w:t xml:space="preserve">Table </w:t>
        </w:r>
        <w:r w:rsidR="001D5F9A">
          <w:rPr>
            <w:noProof/>
          </w:rPr>
          <w:t>1</w:t>
        </w:r>
      </w:fldSimple>
      <w:r w:rsidR="00511143">
        <w:t xml:space="preserve"> </w:t>
      </w:r>
      <w:r w:rsidRPr="000B3455">
        <w:t xml:space="preserve">in </w:t>
      </w:r>
      <w:fldSimple w:instr=" REF V \h  \* MERGEFORMAT ">
        <w:r w:rsidR="001D5F9A" w:rsidRPr="000B3455">
          <w:t>Appendix V</w:t>
        </w:r>
      </w:fldSimple>
      <w:r w:rsidRPr="000B3455">
        <w:t>. The proportion of cash bonuses ranges from 0 to almost 63 %, with an average percentage of 24.3. A proportion of 63 % for a variable compensation, like a cash bonus, can be considered relatively high for a performance-related compensation form. The average change in proportion over 170 firm years is almost 1 %-point, with a minimum of -32.8 %-points and a maximum of 30</w:t>
      </w:r>
      <w:r w:rsidR="00CF44B0" w:rsidRPr="000B3455">
        <w:t>.</w:t>
      </w:r>
      <w:r w:rsidRPr="000B3455">
        <w:t xml:space="preserve">1 % points. </w:t>
      </w:r>
      <w:fldSimple w:instr=" REF _Ref298859640 \h  \* MERGEFORMAT ">
        <w:r w:rsidR="001D5F9A">
          <w:t xml:space="preserve">Figure </w:t>
        </w:r>
        <w:r w:rsidR="001D5F9A">
          <w:rPr>
            <w:noProof/>
          </w:rPr>
          <w:t>12</w:t>
        </w:r>
        <w:r w:rsidR="001D5F9A">
          <w:t xml:space="preserve">: </w:t>
        </w:r>
        <w:r w:rsidR="001D5F9A" w:rsidRPr="002C019F">
          <w:rPr>
            <w:rFonts w:cstheme="minorHAnsi"/>
          </w:rPr>
          <w:t>SPSS histogram of distribution of the proportion of cash bonuses</w:t>
        </w:r>
      </w:fldSimple>
      <w:r w:rsidR="002B3D57">
        <w:t xml:space="preserve"> </w:t>
      </w:r>
      <w:r w:rsidR="009D2B0D" w:rsidRPr="000B3455">
        <w:t xml:space="preserve">in </w:t>
      </w:r>
      <w:fldSimple w:instr=" REF XIII \h  \* MERGEFORMAT ">
        <w:r w:rsidR="001D5F9A" w:rsidRPr="000B3455">
          <w:t>Appendix XIII</w:t>
        </w:r>
      </w:fldSimple>
      <w:r w:rsidR="002B3D57">
        <w:t xml:space="preserve"> </w:t>
      </w:r>
      <w:r w:rsidR="009D2B0D" w:rsidRPr="000B3455">
        <w:t xml:space="preserve">shows </w:t>
      </w:r>
      <w:r w:rsidR="001776C9" w:rsidRPr="000B3455">
        <w:t xml:space="preserve">that a proportion between approximately 10 % and 34 % is most common.  The change in proportion in </w:t>
      </w:r>
      <w:fldSimple w:instr=" REF _Ref298859656 \h  \* MERGEFORMAT ">
        <w:r w:rsidR="001D5F9A">
          <w:t xml:space="preserve">Figure </w:t>
        </w:r>
        <w:r w:rsidR="001D5F9A">
          <w:rPr>
            <w:noProof/>
          </w:rPr>
          <w:t>13</w:t>
        </w:r>
      </w:fldSimple>
      <w:r w:rsidR="002B3D57">
        <w:t xml:space="preserve"> </w:t>
      </w:r>
      <w:r w:rsidR="001776C9" w:rsidRPr="000B3455">
        <w:t xml:space="preserve">in </w:t>
      </w:r>
      <w:fldSimple w:instr=" REF XIII \h  \* MERGEFORMAT ">
        <w:r w:rsidR="001D5F9A" w:rsidRPr="000B3455">
          <w:t>Appendix XIII</w:t>
        </w:r>
      </w:fldSimple>
      <w:r w:rsidR="002B3D57">
        <w:t xml:space="preserve"> </w:t>
      </w:r>
      <w:r w:rsidR="001776C9" w:rsidRPr="000B3455">
        <w:t xml:space="preserve">seems to be quite normal distributed along the 0 %-points change. </w:t>
      </w:r>
      <w:fldSimple w:instr=" REF _Ref298859662 \h  \* MERGEFORMAT ">
        <w:r w:rsidR="001D5F9A">
          <w:t xml:space="preserve">Figure </w:t>
        </w:r>
        <w:r w:rsidR="001D5F9A">
          <w:rPr>
            <w:noProof/>
          </w:rPr>
          <w:t>14</w:t>
        </w:r>
      </w:fldSimple>
      <w:r w:rsidR="002B3D57">
        <w:t xml:space="preserve"> </w:t>
      </w:r>
      <w:r w:rsidR="001776C9" w:rsidRPr="000B3455">
        <w:t xml:space="preserve">and </w:t>
      </w:r>
      <w:fldSimple w:instr=" REF _Ref298859667 \h  \* MERGEFORMAT ">
        <w:r w:rsidR="001D5F9A">
          <w:t xml:space="preserve">Figure </w:t>
        </w:r>
        <w:r w:rsidR="001D5F9A">
          <w:rPr>
            <w:noProof/>
          </w:rPr>
          <w:t>15</w:t>
        </w:r>
      </w:fldSimple>
      <w:r w:rsidR="002B3D57">
        <w:t xml:space="preserve"> </w:t>
      </w:r>
      <w:r w:rsidR="001776C9" w:rsidRPr="000B3455">
        <w:t xml:space="preserve">in </w:t>
      </w:r>
      <w:fldSimple w:instr=" REF XIII \h  \* MERGEFORMAT ">
        <w:r w:rsidR="001D5F9A" w:rsidRPr="000B3455">
          <w:t>Appendix XIII</w:t>
        </w:r>
      </w:fldSimple>
      <w:r w:rsidR="002B3D57">
        <w:t xml:space="preserve"> </w:t>
      </w:r>
      <w:r w:rsidR="001776C9" w:rsidRPr="000B3455">
        <w:t xml:space="preserve">display an interesting trend. The proportion in </w:t>
      </w:r>
      <w:fldSimple w:instr=" REF _Ref298859662 \h  \* MERGEFORMAT ">
        <w:r w:rsidR="001D5F9A">
          <w:t xml:space="preserve">Figure </w:t>
        </w:r>
        <w:r w:rsidR="001D5F9A">
          <w:rPr>
            <w:noProof/>
          </w:rPr>
          <w:t>14</w:t>
        </w:r>
      </w:fldSimple>
      <w:r w:rsidR="002B3D57">
        <w:t xml:space="preserve"> </w:t>
      </w:r>
      <w:r w:rsidR="001776C9" w:rsidRPr="000B3455">
        <w:t xml:space="preserve">and the change in </w:t>
      </w:r>
      <w:fldSimple w:instr=" REF _Ref298859667 \h  \* MERGEFORMAT ">
        <w:r w:rsidR="001D5F9A">
          <w:t xml:space="preserve">Figure </w:t>
        </w:r>
        <w:r w:rsidR="001D5F9A">
          <w:rPr>
            <w:noProof/>
          </w:rPr>
          <w:t>15</w:t>
        </w:r>
      </w:fldSimple>
      <w:r w:rsidR="002B3D57">
        <w:t xml:space="preserve"> </w:t>
      </w:r>
      <w:r w:rsidR="001776C9" w:rsidRPr="000B3455">
        <w:t>of cash bonuses seems to have the opposite trend of the proportion and change in proportion of stock option compensation for at least the period 2002-2006 for the proportion and 2003-2006 for the change in proportion.</w:t>
      </w:r>
      <w:r w:rsidR="000B63BF" w:rsidRPr="000B3455">
        <w:t xml:space="preserve"> The largest increase in proportion of cash bonus and the largest decrease in the proportion of stock options are both in 2004.</w:t>
      </w:r>
      <w:r w:rsidR="001776C9" w:rsidRPr="000B3455">
        <w:t xml:space="preserve"> </w:t>
      </w:r>
      <w:r w:rsidR="00570F31" w:rsidRPr="000B3455">
        <w:t xml:space="preserve">In the years when </w:t>
      </w:r>
      <w:r w:rsidR="00570F31" w:rsidRPr="000B3455">
        <w:lastRenderedPageBreak/>
        <w:t>the proportion of stock option compensation dropped, the proportion of cash bonuses increased. Solely from this figures cash bonuses and stock options seems to be substitutes.</w:t>
      </w:r>
    </w:p>
    <w:p w:rsidR="00341F47" w:rsidRPr="000B3455" w:rsidRDefault="00341F47" w:rsidP="0088553E">
      <w:pPr>
        <w:pStyle w:val="Heading3"/>
        <w:spacing w:line="360" w:lineRule="auto"/>
        <w:jc w:val="both"/>
      </w:pPr>
      <w:bookmarkStart w:id="92" w:name="_Toc298944602"/>
      <w:r w:rsidRPr="000B3455">
        <w:t>6.4.2 Statistical finding</w:t>
      </w:r>
      <w:r w:rsidR="004420B5" w:rsidRPr="000B3455">
        <w:t>s</w:t>
      </w:r>
      <w:r w:rsidRPr="000B3455">
        <w:t xml:space="preserve"> and analysis</w:t>
      </w:r>
      <w:bookmarkEnd w:id="92"/>
    </w:p>
    <w:p w:rsidR="00570F31" w:rsidRPr="000B3455" w:rsidRDefault="00570F31" w:rsidP="0088553E">
      <w:pPr>
        <w:spacing w:line="360" w:lineRule="auto"/>
        <w:jc w:val="both"/>
        <w:rPr>
          <w:rFonts w:cstheme="minorHAnsi"/>
        </w:rPr>
      </w:pPr>
      <w:r w:rsidRPr="000B3455">
        <w:rPr>
          <w:rFonts w:cstheme="minorHAnsi"/>
        </w:rPr>
        <w:t xml:space="preserve">The interesting relation, as shown in </w:t>
      </w:r>
      <w:fldSimple w:instr=" REF _Ref298859662 \h  \* MERGEFORMAT ">
        <w:r w:rsidR="001D5F9A">
          <w:t xml:space="preserve">Figure </w:t>
        </w:r>
        <w:r w:rsidR="001D5F9A">
          <w:rPr>
            <w:noProof/>
          </w:rPr>
          <w:t>14</w:t>
        </w:r>
      </w:fldSimple>
      <w:r w:rsidR="002B3D57">
        <w:rPr>
          <w:rFonts w:cstheme="minorHAnsi"/>
        </w:rPr>
        <w:t xml:space="preserve"> </w:t>
      </w:r>
      <w:r w:rsidRPr="000B3455">
        <w:rPr>
          <w:rFonts w:cstheme="minorHAnsi"/>
        </w:rPr>
        <w:t xml:space="preserve">and </w:t>
      </w:r>
      <w:fldSimple w:instr=" REF _Ref298859667 \h  \* MERGEFORMAT ">
        <w:r w:rsidR="001D5F9A">
          <w:t xml:space="preserve">Figure </w:t>
        </w:r>
        <w:r w:rsidR="001D5F9A">
          <w:rPr>
            <w:noProof/>
          </w:rPr>
          <w:t>15</w:t>
        </w:r>
      </w:fldSimple>
      <w:r w:rsidRPr="000B3455">
        <w:rPr>
          <w:rFonts w:cstheme="minorHAnsi"/>
        </w:rPr>
        <w:t xml:space="preserve"> in </w:t>
      </w:r>
      <w:fldSimple w:instr=" REF XIII \h  \* MERGEFORMAT ">
        <w:r w:rsidR="001D5F9A" w:rsidRPr="000B3455">
          <w:t>Appendix XIII</w:t>
        </w:r>
      </w:fldSimple>
      <w:r w:rsidRPr="000B3455">
        <w:rPr>
          <w:rFonts w:cstheme="minorHAnsi"/>
        </w:rPr>
        <w:t xml:space="preserve">, </w:t>
      </w:r>
      <w:r w:rsidR="00376186" w:rsidRPr="000B3455">
        <w:rPr>
          <w:rFonts w:cstheme="minorHAnsi"/>
        </w:rPr>
        <w:t>demands a statistical analysis, while controlling for economic factors and industry influences, to state whether cash bonuses and stock options are real substitutes. As with hypothesis 3, the model includes a direct relation between the change (i.e. decrease as shown in section 6.1) of stock option compensation</w:t>
      </w:r>
      <w:r w:rsidR="00B811B7" w:rsidRPr="000B3455">
        <w:rPr>
          <w:rFonts w:cstheme="minorHAnsi"/>
        </w:rPr>
        <w:t xml:space="preserve"> and the change in proportion of cash  bonus. Accordingly, the regression model is:</w:t>
      </w:r>
    </w:p>
    <w:p w:rsidR="00341F47" w:rsidRPr="000B3455" w:rsidRDefault="008049E3" w:rsidP="0088553E">
      <w:pPr>
        <w:spacing w:line="360" w:lineRule="auto"/>
        <w:jc w:val="both"/>
      </w:pPr>
      <w:r w:rsidRPr="000B3455">
        <w:rPr>
          <w:rFonts w:cstheme="minorHAnsi"/>
          <w:i/>
        </w:rPr>
        <w:t>Δ PR_CSH_BON</w:t>
      </w:r>
      <w:r w:rsidRPr="000B3455">
        <w:rPr>
          <w:rFonts w:eastAsia="SymbolMT" w:cstheme="minorHAnsi"/>
          <w:i/>
          <w:vertAlign w:val="subscript"/>
          <w:lang w:eastAsia="nl-NL"/>
        </w:rPr>
        <w:t>it</w:t>
      </w:r>
      <w:r w:rsidRPr="000B3455">
        <w:rPr>
          <w:rFonts w:eastAsia="SymbolMT" w:cstheme="minorHAnsi"/>
          <w:lang w:eastAsia="nl-NL"/>
        </w:rPr>
        <w:t xml:space="preserve"> </w:t>
      </w:r>
      <w:r w:rsidRPr="000B3455">
        <w:rPr>
          <w:rFonts w:eastAsia="SymbolMT" w:cstheme="minorHAnsi"/>
          <w:i/>
          <w:lang w:eastAsia="nl-NL"/>
        </w:rPr>
        <w:t>= α</w:t>
      </w:r>
      <w:r w:rsidRPr="000B3455">
        <w:rPr>
          <w:rFonts w:eastAsia="SymbolMT" w:cstheme="minorHAnsi"/>
          <w:i/>
          <w:vertAlign w:val="subscript"/>
          <w:lang w:eastAsia="nl-NL"/>
        </w:rPr>
        <w:t>0</w:t>
      </w:r>
      <w:r w:rsidRPr="000B3455">
        <w:rPr>
          <w:rFonts w:eastAsia="SymbolMT" w:cstheme="minorHAnsi"/>
          <w:i/>
          <w:lang w:eastAsia="nl-NL"/>
        </w:rPr>
        <w:t xml:space="preserve"> + α</w:t>
      </w:r>
      <w:r w:rsidRPr="000B3455">
        <w:rPr>
          <w:rFonts w:eastAsia="SymbolMT" w:cstheme="minorHAnsi"/>
          <w:i/>
          <w:vertAlign w:val="subscript"/>
          <w:lang w:eastAsia="nl-NL"/>
        </w:rPr>
        <w:t xml:space="preserve">1 </w:t>
      </w:r>
      <w:r w:rsidRPr="000B3455">
        <w:rPr>
          <w:rFonts w:eastAsia="SymbolMT" w:cstheme="minorHAnsi"/>
          <w:i/>
          <w:lang w:eastAsia="nl-NL"/>
        </w:rPr>
        <w:t>Δ PR_FV_ST</w:t>
      </w:r>
      <w:r w:rsidR="007327B4" w:rsidRPr="000B3455">
        <w:rPr>
          <w:rFonts w:eastAsia="SymbolMT" w:cstheme="minorHAnsi"/>
          <w:i/>
          <w:lang w:eastAsia="nl-NL"/>
        </w:rPr>
        <w:t>O</w:t>
      </w:r>
      <w:r w:rsidRPr="000B3455">
        <w:rPr>
          <w:rFonts w:eastAsia="SymbolMT" w:cstheme="minorHAnsi"/>
          <w:i/>
          <w:vertAlign w:val="subscript"/>
          <w:lang w:eastAsia="nl-NL"/>
        </w:rPr>
        <w:t>it</w:t>
      </w:r>
      <w:r w:rsidRPr="000B3455">
        <w:rPr>
          <w:rFonts w:eastAsia="SymbolMT" w:cstheme="minorHAnsi"/>
          <w:i/>
          <w:lang w:eastAsia="nl-NL"/>
        </w:rPr>
        <w:t xml:space="preserve"> +  α</w:t>
      </w:r>
      <w:r w:rsidRPr="000B3455">
        <w:rPr>
          <w:rFonts w:eastAsia="SymbolMT" w:cstheme="minorHAnsi"/>
          <w:i/>
          <w:vertAlign w:val="subscript"/>
          <w:lang w:eastAsia="nl-NL"/>
        </w:rPr>
        <w:t>2</w:t>
      </w:r>
      <w:r w:rsidRPr="000B3455">
        <w:rPr>
          <w:rFonts w:eastAsia="SymbolMT" w:cstheme="minorHAnsi"/>
          <w:i/>
          <w:lang w:eastAsia="nl-NL"/>
        </w:rPr>
        <w:t xml:space="preserve"> 2004 + α</w:t>
      </w:r>
      <w:r w:rsidRPr="000B3455">
        <w:rPr>
          <w:rFonts w:eastAsia="SymbolMT" w:cstheme="minorHAnsi"/>
          <w:i/>
          <w:vertAlign w:val="subscript"/>
          <w:lang w:eastAsia="nl-NL"/>
        </w:rPr>
        <w:t xml:space="preserve">3 </w:t>
      </w:r>
      <w:r w:rsidRPr="000B3455">
        <w:rPr>
          <w:rFonts w:eastAsia="SymbolMT" w:cstheme="minorHAnsi"/>
          <w:i/>
          <w:lang w:eastAsia="nl-NL"/>
        </w:rPr>
        <w:t>2005 + α</w:t>
      </w:r>
      <w:r w:rsidRPr="000B3455">
        <w:rPr>
          <w:rFonts w:eastAsia="SymbolMT" w:cstheme="minorHAnsi"/>
          <w:i/>
          <w:vertAlign w:val="subscript"/>
          <w:lang w:eastAsia="nl-NL"/>
        </w:rPr>
        <w:t>4</w:t>
      </w:r>
      <w:r w:rsidRPr="000B3455">
        <w:rPr>
          <w:rFonts w:eastAsia="SymbolMT" w:cstheme="minorHAnsi"/>
          <w:i/>
          <w:lang w:eastAsia="nl-NL"/>
        </w:rPr>
        <w:t xml:space="preserve"> 2006 + α</w:t>
      </w:r>
      <w:r w:rsidRPr="000B3455">
        <w:rPr>
          <w:rFonts w:eastAsia="SymbolMT" w:cstheme="minorHAnsi"/>
          <w:i/>
          <w:vertAlign w:val="subscript"/>
          <w:lang w:eastAsia="nl-NL"/>
        </w:rPr>
        <w:t xml:space="preserve">5 </w:t>
      </w:r>
      <w:r w:rsidRPr="000B3455">
        <w:rPr>
          <w:rFonts w:cstheme="minorHAnsi"/>
          <w:i/>
        </w:rPr>
        <w:t xml:space="preserve">2007 + </w:t>
      </w:r>
      <w:r w:rsidRPr="000B3455">
        <w:rPr>
          <w:rFonts w:eastAsia="SymbolMT" w:cstheme="minorHAnsi"/>
          <w:i/>
          <w:lang w:eastAsia="nl-NL"/>
        </w:rPr>
        <w:t>α</w:t>
      </w:r>
      <w:r w:rsidRPr="000B3455">
        <w:rPr>
          <w:rFonts w:eastAsia="SymbolMT" w:cstheme="minorHAnsi"/>
          <w:i/>
          <w:vertAlign w:val="subscript"/>
          <w:lang w:eastAsia="nl-NL"/>
        </w:rPr>
        <w:t xml:space="preserve">6 </w:t>
      </w:r>
      <w:r w:rsidRPr="000B3455">
        <w:rPr>
          <w:i/>
        </w:rPr>
        <w:t>LN_ASSETS</w:t>
      </w:r>
      <w:r w:rsidRPr="000B3455">
        <w:rPr>
          <w:i/>
          <w:vertAlign w:val="subscript"/>
        </w:rPr>
        <w:t>it</w:t>
      </w:r>
      <w:r w:rsidRPr="000B3455">
        <w:rPr>
          <w:i/>
        </w:rPr>
        <w:t xml:space="preserve"> + </w:t>
      </w:r>
      <w:r w:rsidRPr="000B3455">
        <w:rPr>
          <w:rFonts w:eastAsia="SymbolMT" w:cstheme="minorHAnsi"/>
          <w:i/>
          <w:lang w:eastAsia="nl-NL"/>
        </w:rPr>
        <w:t>α</w:t>
      </w:r>
      <w:r w:rsidRPr="000B3455">
        <w:rPr>
          <w:rFonts w:cstheme="minorHAnsi"/>
          <w:i/>
          <w:vertAlign w:val="subscript"/>
        </w:rPr>
        <w:t xml:space="preserve">7 </w:t>
      </w:r>
      <w:r w:rsidRPr="000B3455">
        <w:rPr>
          <w:i/>
        </w:rPr>
        <w:t>MTB</w:t>
      </w:r>
      <w:r w:rsidRPr="000B3455">
        <w:rPr>
          <w:i/>
          <w:vertAlign w:val="subscript"/>
        </w:rPr>
        <w:t>it</w:t>
      </w:r>
      <w:r w:rsidRPr="000B3455">
        <w:rPr>
          <w:rFonts w:cstheme="minorHAnsi"/>
          <w:i/>
        </w:rPr>
        <w:t xml:space="preserve"> + </w:t>
      </w:r>
      <w:r w:rsidRPr="000B3455">
        <w:rPr>
          <w:rFonts w:eastAsia="SymbolMT" w:cstheme="minorHAnsi"/>
          <w:i/>
          <w:lang w:eastAsia="nl-NL"/>
        </w:rPr>
        <w:t>α</w:t>
      </w:r>
      <w:r w:rsidRPr="000B3455">
        <w:rPr>
          <w:rFonts w:cstheme="minorHAnsi"/>
          <w:i/>
          <w:vertAlign w:val="subscript"/>
        </w:rPr>
        <w:t xml:space="preserve">8 </w:t>
      </w:r>
      <w:r w:rsidRPr="000B3455">
        <w:rPr>
          <w:i/>
        </w:rPr>
        <w:t>RET</w:t>
      </w:r>
      <w:r w:rsidRPr="000B3455">
        <w:rPr>
          <w:i/>
          <w:vertAlign w:val="subscript"/>
        </w:rPr>
        <w:t>it</w:t>
      </w:r>
      <w:r w:rsidRPr="000B3455">
        <w:rPr>
          <w:rFonts w:cstheme="minorHAnsi"/>
          <w:i/>
        </w:rPr>
        <w:t xml:space="preserve"> + </w:t>
      </w:r>
      <w:r w:rsidRPr="000B3455">
        <w:rPr>
          <w:rFonts w:eastAsia="SymbolMT" w:cstheme="minorHAnsi"/>
          <w:i/>
          <w:lang w:eastAsia="nl-NL"/>
        </w:rPr>
        <w:t>α</w:t>
      </w:r>
      <w:r w:rsidRPr="000B3455">
        <w:rPr>
          <w:rFonts w:cstheme="minorHAnsi"/>
          <w:i/>
          <w:vertAlign w:val="subscript"/>
        </w:rPr>
        <w:t xml:space="preserve">9 </w:t>
      </w:r>
      <w:r w:rsidRPr="000B3455">
        <w:rPr>
          <w:i/>
        </w:rPr>
        <w:t>VOL</w:t>
      </w:r>
      <w:r w:rsidRPr="000B3455">
        <w:rPr>
          <w:i/>
          <w:vertAlign w:val="subscript"/>
        </w:rPr>
        <w:t>it</w:t>
      </w:r>
      <w:r w:rsidRPr="000B3455">
        <w:rPr>
          <w:rFonts w:cstheme="minorHAnsi"/>
          <w:i/>
        </w:rPr>
        <w:t xml:space="preserve"> + </w:t>
      </w:r>
      <w:r w:rsidRPr="000B3455">
        <w:rPr>
          <w:rFonts w:eastAsia="SymbolMT" w:cstheme="minorHAnsi"/>
          <w:i/>
          <w:lang w:eastAsia="nl-NL"/>
        </w:rPr>
        <w:t>α</w:t>
      </w:r>
      <w:r w:rsidRPr="000B3455">
        <w:rPr>
          <w:rFonts w:cstheme="minorHAnsi"/>
          <w:i/>
          <w:vertAlign w:val="subscript"/>
        </w:rPr>
        <w:t xml:space="preserve">10 </w:t>
      </w:r>
      <w:r w:rsidRPr="000B3455">
        <w:rPr>
          <w:i/>
        </w:rPr>
        <w:t>BOA_SIZE</w:t>
      </w:r>
      <w:r w:rsidRPr="000B3455">
        <w:rPr>
          <w:i/>
          <w:vertAlign w:val="subscript"/>
        </w:rPr>
        <w:t>it</w:t>
      </w:r>
      <w:r w:rsidRPr="000B3455">
        <w:rPr>
          <w:rFonts w:cstheme="minorHAnsi"/>
          <w:i/>
        </w:rPr>
        <w:t xml:space="preserve"> + </w:t>
      </w:r>
      <w:r w:rsidRPr="000B3455">
        <w:rPr>
          <w:rFonts w:eastAsia="SymbolMT" w:cstheme="minorHAnsi"/>
          <w:i/>
          <w:lang w:eastAsia="nl-NL"/>
        </w:rPr>
        <w:t>α</w:t>
      </w:r>
      <w:r w:rsidRPr="000B3455">
        <w:rPr>
          <w:rFonts w:cstheme="minorHAnsi"/>
          <w:i/>
          <w:vertAlign w:val="subscript"/>
        </w:rPr>
        <w:t xml:space="preserve">11 </w:t>
      </w:r>
      <w:r w:rsidRPr="000B3455">
        <w:rPr>
          <w:i/>
        </w:rPr>
        <w:t>LIQ_CON</w:t>
      </w:r>
      <w:r w:rsidRPr="000B3455">
        <w:rPr>
          <w:i/>
          <w:vertAlign w:val="subscript"/>
        </w:rPr>
        <w:t>it</w:t>
      </w:r>
      <w:r w:rsidRPr="000B3455">
        <w:rPr>
          <w:rFonts w:cstheme="minorHAnsi"/>
          <w:i/>
        </w:rPr>
        <w:t xml:space="preserve"> + ∑ </w:t>
      </w:r>
      <w:r w:rsidRPr="000B3455">
        <w:rPr>
          <w:i/>
        </w:rPr>
        <w:t>IND_DUMM</w:t>
      </w:r>
      <w:r w:rsidRPr="000B3455">
        <w:rPr>
          <w:i/>
          <w:vertAlign w:val="subscript"/>
        </w:rPr>
        <w:t>it</w:t>
      </w:r>
      <w:r w:rsidRPr="000B3455">
        <w:rPr>
          <w:i/>
        </w:rPr>
        <w:t xml:space="preserve"> + </w:t>
      </w:r>
      <w:r w:rsidRPr="000B3455">
        <w:rPr>
          <w:rFonts w:hAnsi="Times New Roman" w:cs="Times New Roman"/>
          <w:i/>
        </w:rPr>
        <w:t>ɛ</w:t>
      </w:r>
      <w:r w:rsidRPr="000B3455">
        <w:rPr>
          <w:i/>
          <w:vertAlign w:val="subscript"/>
        </w:rPr>
        <w:t>it</w:t>
      </w:r>
    </w:p>
    <w:p w:rsidR="00576C14" w:rsidRPr="000B3455" w:rsidRDefault="00B811B7" w:rsidP="0088553E">
      <w:pPr>
        <w:spacing w:line="360" w:lineRule="auto"/>
        <w:jc w:val="both"/>
        <w:rPr>
          <w:rFonts w:eastAsia="SymbolMT" w:cstheme="minorHAnsi"/>
          <w:lang w:eastAsia="nl-NL"/>
        </w:rPr>
      </w:pPr>
      <w:r w:rsidRPr="000B3455">
        <w:t xml:space="preserve">In order to be considered as substitutes the </w:t>
      </w:r>
      <w:r w:rsidRPr="000B3455">
        <w:rPr>
          <w:rFonts w:eastAsia="SymbolMT" w:cstheme="minorHAnsi"/>
          <w:i/>
          <w:lang w:eastAsia="nl-NL"/>
        </w:rPr>
        <w:t>α</w:t>
      </w:r>
      <w:r w:rsidRPr="000B3455">
        <w:rPr>
          <w:rFonts w:eastAsia="SymbolMT" w:cstheme="minorHAnsi"/>
          <w:i/>
          <w:vertAlign w:val="subscript"/>
          <w:lang w:eastAsia="nl-NL"/>
        </w:rPr>
        <w:t>1</w:t>
      </w:r>
      <w:r w:rsidRPr="000B3455">
        <w:rPr>
          <w:rFonts w:eastAsia="SymbolMT" w:cstheme="minorHAnsi"/>
          <w:lang w:eastAsia="nl-NL"/>
        </w:rPr>
        <w:t xml:space="preserve"> should be significantly negative. The decrease in proportion of stock options means that</w:t>
      </w:r>
      <w:r w:rsidR="00FF26C0" w:rsidRPr="000B3455">
        <w:rPr>
          <w:rFonts w:eastAsia="SymbolMT" w:cstheme="minorHAnsi"/>
          <w:i/>
          <w:lang w:eastAsia="nl-NL"/>
        </w:rPr>
        <w:t xml:space="preserve"> Δ</w:t>
      </w:r>
      <w:r w:rsidRPr="000B3455">
        <w:rPr>
          <w:rFonts w:eastAsia="SymbolMT" w:cstheme="minorHAnsi"/>
          <w:lang w:eastAsia="nl-NL"/>
        </w:rPr>
        <w:t xml:space="preserve"> </w:t>
      </w:r>
      <w:r w:rsidRPr="000B3455">
        <w:rPr>
          <w:rFonts w:eastAsia="SymbolMT" w:cstheme="minorHAnsi"/>
          <w:i/>
          <w:lang w:eastAsia="nl-NL"/>
        </w:rPr>
        <w:t>PR_FV_ST</w:t>
      </w:r>
      <w:r w:rsidR="00FF26C0" w:rsidRPr="000B3455">
        <w:rPr>
          <w:rFonts w:eastAsia="SymbolMT" w:cstheme="minorHAnsi"/>
          <w:i/>
          <w:lang w:eastAsia="nl-NL"/>
        </w:rPr>
        <w:t>O</w:t>
      </w:r>
      <w:r w:rsidRPr="000B3455">
        <w:rPr>
          <w:rFonts w:eastAsia="SymbolMT" w:cstheme="minorHAnsi"/>
          <w:i/>
          <w:vertAlign w:val="subscript"/>
          <w:lang w:eastAsia="nl-NL"/>
        </w:rPr>
        <w:t>it</w:t>
      </w:r>
      <w:r w:rsidRPr="000B3455">
        <w:rPr>
          <w:rFonts w:eastAsia="SymbolMT" w:cstheme="minorHAnsi"/>
          <w:lang w:eastAsia="nl-NL"/>
        </w:rPr>
        <w:t xml:space="preserve"> negative. Consequent to a negative value times a negative value, the change in proportion of cash bonuses (</w:t>
      </w:r>
      <w:r w:rsidRPr="000B3455">
        <w:rPr>
          <w:rFonts w:cstheme="minorHAnsi"/>
          <w:i/>
        </w:rPr>
        <w:t>Δ PR_CSH_BON</w:t>
      </w:r>
      <w:r w:rsidRPr="000B3455">
        <w:rPr>
          <w:rFonts w:eastAsia="SymbolMT" w:cstheme="minorHAnsi"/>
          <w:i/>
          <w:vertAlign w:val="subscript"/>
          <w:lang w:eastAsia="nl-NL"/>
        </w:rPr>
        <w:t>it</w:t>
      </w:r>
      <w:r w:rsidRPr="000B3455">
        <w:rPr>
          <w:rFonts w:eastAsia="SymbolMT" w:cstheme="minorHAnsi"/>
          <w:lang w:eastAsia="nl-NL"/>
        </w:rPr>
        <w:t xml:space="preserve">) is then positive, implying an increase in the proportion of cash bonuses. </w:t>
      </w:r>
      <w:r w:rsidR="000B63BF" w:rsidRPr="000B3455">
        <w:rPr>
          <w:rFonts w:eastAsia="SymbolMT" w:cstheme="minorHAnsi"/>
          <w:lang w:eastAsia="nl-NL"/>
        </w:rPr>
        <w:t xml:space="preserve">To see whether a possible substitution is accelerated by IFRS 2, the model </w:t>
      </w:r>
      <w:r w:rsidR="00FF26C0" w:rsidRPr="000B3455">
        <w:rPr>
          <w:rFonts w:eastAsia="SymbolMT" w:cstheme="minorHAnsi"/>
          <w:lang w:eastAsia="nl-NL"/>
        </w:rPr>
        <w:t>incorporates dummies</w:t>
      </w:r>
      <w:r w:rsidR="000B63BF" w:rsidRPr="000B3455">
        <w:rPr>
          <w:rFonts w:eastAsia="SymbolMT" w:cstheme="minorHAnsi"/>
          <w:lang w:eastAsia="nl-NL"/>
        </w:rPr>
        <w:t xml:space="preserve"> for different years and takes the change between 2002 and 2003 as the base year. </w:t>
      </w:r>
      <w:r w:rsidR="00CF44B0" w:rsidRPr="000B3455">
        <w:rPr>
          <w:rFonts w:eastAsia="SymbolMT" w:cstheme="minorHAnsi"/>
          <w:lang w:eastAsia="nl-NL"/>
        </w:rPr>
        <w:t xml:space="preserve">From </w:t>
      </w:r>
      <w:fldSimple w:instr=" REF _Ref298859852 \h  \* MERGEFORMAT ">
        <w:r w:rsidR="001D5F9A">
          <w:t xml:space="preserve">Table </w:t>
        </w:r>
        <w:r w:rsidR="001D5F9A">
          <w:rPr>
            <w:noProof/>
          </w:rPr>
          <w:t>24</w:t>
        </w:r>
      </w:fldSimple>
      <w:r w:rsidR="00CF44B0" w:rsidRPr="000B3455">
        <w:rPr>
          <w:rFonts w:eastAsia="SymbolMT" w:cstheme="minorHAnsi"/>
          <w:lang w:eastAsia="nl-NL"/>
        </w:rPr>
        <w:t xml:space="preserve"> in </w:t>
      </w:r>
      <w:fldSimple w:instr=" REF XIV \h  \* MERGEFORMAT ">
        <w:r w:rsidR="001D5F9A" w:rsidRPr="000B3455">
          <w:t>Appendix XIV</w:t>
        </w:r>
      </w:fldSimple>
      <w:r w:rsidR="00CF44B0" w:rsidRPr="000B3455">
        <w:rPr>
          <w:rFonts w:eastAsia="SymbolMT" w:cstheme="minorHAnsi"/>
          <w:lang w:eastAsia="nl-NL"/>
        </w:rPr>
        <w:t xml:space="preserve"> can be derived that the above stated regression model explains </w:t>
      </w:r>
      <w:r w:rsidR="00635C94" w:rsidRPr="000B3455">
        <w:rPr>
          <w:rFonts w:eastAsia="SymbolMT" w:cstheme="minorHAnsi"/>
          <w:lang w:eastAsia="nl-NL"/>
        </w:rPr>
        <w:t>29.8</w:t>
      </w:r>
      <w:r w:rsidR="00CF44B0" w:rsidRPr="000B3455">
        <w:rPr>
          <w:rFonts w:eastAsia="SymbolMT" w:cstheme="minorHAnsi"/>
          <w:lang w:eastAsia="nl-NL"/>
        </w:rPr>
        <w:t xml:space="preserve"> % </w:t>
      </w:r>
      <w:r w:rsidR="00635C94" w:rsidRPr="000B3455">
        <w:rPr>
          <w:rFonts w:eastAsia="SymbolMT" w:cstheme="minorHAnsi"/>
          <w:lang w:eastAsia="nl-NL"/>
        </w:rPr>
        <w:t xml:space="preserve">of the variance in the dataset, which is relatively high considering the small sample. Consistent with this, </w:t>
      </w:r>
      <w:r w:rsidR="00CF44B0" w:rsidRPr="000B3455">
        <w:rPr>
          <w:rFonts w:eastAsia="SymbolMT" w:cstheme="minorHAnsi"/>
          <w:lang w:eastAsia="nl-NL"/>
        </w:rPr>
        <w:t>the overall explanatory power of the model in significant with a p-value of 0.0</w:t>
      </w:r>
      <w:r w:rsidR="00635C94" w:rsidRPr="000B3455">
        <w:rPr>
          <w:rFonts w:eastAsia="SymbolMT" w:cstheme="minorHAnsi"/>
          <w:lang w:eastAsia="nl-NL"/>
        </w:rPr>
        <w:t>00</w:t>
      </w:r>
      <w:r w:rsidR="00CF44B0" w:rsidRPr="000B3455">
        <w:rPr>
          <w:rFonts w:eastAsia="SymbolMT" w:cstheme="minorHAnsi"/>
          <w:lang w:eastAsia="nl-NL"/>
        </w:rPr>
        <w:t xml:space="preserve">, according to </w:t>
      </w:r>
      <w:fldSimple w:instr=" REF _Ref298859832 \h  \* MERGEFORMAT ">
        <w:r w:rsidR="001D5F9A">
          <w:t xml:space="preserve">Table </w:t>
        </w:r>
        <w:r w:rsidR="001D5F9A">
          <w:rPr>
            <w:noProof/>
          </w:rPr>
          <w:t>25</w:t>
        </w:r>
      </w:fldSimple>
      <w:r w:rsidR="002B3D57">
        <w:rPr>
          <w:rFonts w:eastAsia="SymbolMT" w:cstheme="minorHAnsi"/>
          <w:color w:val="FF0000"/>
          <w:lang w:eastAsia="nl-NL"/>
        </w:rPr>
        <w:t xml:space="preserve"> </w:t>
      </w:r>
      <w:r w:rsidR="00CF44B0" w:rsidRPr="000B3455">
        <w:rPr>
          <w:rFonts w:eastAsia="SymbolMT" w:cstheme="minorHAnsi"/>
          <w:lang w:eastAsia="nl-NL"/>
        </w:rPr>
        <w:t xml:space="preserve">in </w:t>
      </w:r>
      <w:fldSimple w:instr=" REF XIV \h  \* MERGEFORMAT ">
        <w:r w:rsidR="001D5F9A" w:rsidRPr="000B3455">
          <w:t>Appendix XIV</w:t>
        </w:r>
      </w:fldSimple>
      <w:r w:rsidR="00CF44B0" w:rsidRPr="000B3455">
        <w:rPr>
          <w:rFonts w:eastAsia="SymbolMT" w:cstheme="minorHAnsi"/>
          <w:lang w:eastAsia="nl-NL"/>
        </w:rPr>
        <w:t xml:space="preserve">. </w:t>
      </w:r>
    </w:p>
    <w:p w:rsidR="00576C14" w:rsidRPr="000B3455" w:rsidRDefault="003236CF" w:rsidP="0088553E">
      <w:pPr>
        <w:spacing w:line="360" w:lineRule="auto"/>
        <w:jc w:val="both"/>
        <w:rPr>
          <w:rFonts w:eastAsia="SymbolMT" w:cstheme="minorHAnsi"/>
          <w:lang w:eastAsia="nl-NL"/>
        </w:rPr>
      </w:pPr>
      <w:fldSimple w:instr=" REF _Ref298859859 \h  \* MERGEFORMAT ">
        <w:r w:rsidR="001D5F9A">
          <w:t xml:space="preserve">Table </w:t>
        </w:r>
        <w:r w:rsidR="001D5F9A">
          <w:rPr>
            <w:noProof/>
          </w:rPr>
          <w:t>26</w:t>
        </w:r>
      </w:fldSimple>
      <w:r w:rsidR="002A059A" w:rsidRPr="000B3455">
        <w:t xml:space="preserve"> in </w:t>
      </w:r>
      <w:fldSimple w:instr=" REF XIV \h  \* MERGEFORMAT ">
        <w:r w:rsidR="001D5F9A" w:rsidRPr="000B3455">
          <w:t>Appendix XIV</w:t>
        </w:r>
      </w:fldSimple>
      <w:r w:rsidR="002A059A" w:rsidRPr="000B3455">
        <w:t xml:space="preserve"> lists the coefficients and their significance of the regression model. The </w:t>
      </w:r>
      <w:r w:rsidR="002A059A" w:rsidRPr="000B3455">
        <w:rPr>
          <w:rFonts w:eastAsia="SymbolMT" w:cstheme="minorHAnsi"/>
          <w:i/>
          <w:lang w:eastAsia="nl-NL"/>
        </w:rPr>
        <w:t>α</w:t>
      </w:r>
      <w:r w:rsidR="002A059A" w:rsidRPr="000B3455">
        <w:rPr>
          <w:rFonts w:eastAsia="SymbolMT" w:cstheme="minorHAnsi"/>
          <w:i/>
          <w:vertAlign w:val="subscript"/>
          <w:lang w:eastAsia="nl-NL"/>
        </w:rPr>
        <w:t>1</w:t>
      </w:r>
      <w:r w:rsidR="002A059A" w:rsidRPr="000B3455">
        <w:rPr>
          <w:rFonts w:eastAsia="SymbolMT" w:cstheme="minorHAnsi"/>
          <w:lang w:eastAsia="nl-NL"/>
        </w:rPr>
        <w:t>, which was hypothesized to be negative, turns out to be significantly negative (p-value of 0.00</w:t>
      </w:r>
      <w:r w:rsidR="00635C94" w:rsidRPr="000B3455">
        <w:rPr>
          <w:rFonts w:eastAsia="SymbolMT" w:cstheme="minorHAnsi"/>
          <w:lang w:eastAsia="nl-NL"/>
        </w:rPr>
        <w:t>0</w:t>
      </w:r>
      <w:r w:rsidR="002A059A" w:rsidRPr="000B3455">
        <w:rPr>
          <w:rFonts w:eastAsia="SymbolMT" w:cstheme="minorHAnsi"/>
          <w:lang w:eastAsia="nl-NL"/>
        </w:rPr>
        <w:t>). This indicates that the decrease in the proportion of stock option compensation has led to an increase in the proportion of cash bonuses. Consequently, cash bonuses and stock options can be considered as substitutes.</w:t>
      </w:r>
      <w:r w:rsidR="00EF68FB" w:rsidRPr="000B3455">
        <w:rPr>
          <w:rFonts w:eastAsia="SymbolMT" w:cstheme="minorHAnsi"/>
          <w:lang w:eastAsia="nl-NL"/>
        </w:rPr>
        <w:t xml:space="preserve"> </w:t>
      </w:r>
      <w:r w:rsidR="002A059A" w:rsidRPr="000B3455">
        <w:rPr>
          <w:rFonts w:eastAsia="SymbolMT" w:cstheme="minorHAnsi"/>
          <w:lang w:eastAsia="nl-NL"/>
        </w:rPr>
        <w:t xml:space="preserve"> </w:t>
      </w:r>
      <w:r w:rsidR="000B63BF" w:rsidRPr="000B3455">
        <w:rPr>
          <w:rFonts w:eastAsia="SymbolMT" w:cstheme="minorHAnsi"/>
          <w:lang w:eastAsia="nl-NL"/>
        </w:rPr>
        <w:t xml:space="preserve">As 2003 serves as the base year, the year dummies show the substitution in the respective years as compared </w:t>
      </w:r>
      <w:r w:rsidR="00554D2F" w:rsidRPr="000B3455">
        <w:rPr>
          <w:rFonts w:eastAsia="SymbolMT" w:cstheme="minorHAnsi"/>
          <w:lang w:eastAsia="nl-NL"/>
        </w:rPr>
        <w:t xml:space="preserve">to the base year. Following from </w:t>
      </w:r>
      <w:fldSimple w:instr=" REF _Ref298859859 \h  \* MERGEFORMAT ">
        <w:r w:rsidR="001D5F9A">
          <w:t xml:space="preserve">Table </w:t>
        </w:r>
        <w:r w:rsidR="001D5F9A">
          <w:rPr>
            <w:noProof/>
          </w:rPr>
          <w:t>26</w:t>
        </w:r>
      </w:fldSimple>
      <w:r w:rsidR="002B3D57">
        <w:rPr>
          <w:rFonts w:eastAsia="SymbolMT" w:cstheme="minorHAnsi"/>
          <w:lang w:eastAsia="nl-NL"/>
        </w:rPr>
        <w:t xml:space="preserve"> </w:t>
      </w:r>
      <w:r w:rsidR="00554D2F" w:rsidRPr="000B3455">
        <w:rPr>
          <w:rFonts w:eastAsia="SymbolMT" w:cstheme="minorHAnsi"/>
          <w:lang w:eastAsia="nl-NL"/>
        </w:rPr>
        <w:t xml:space="preserve">in </w:t>
      </w:r>
      <w:fldSimple w:instr=" REF XIV \h  \* MERGEFORMAT ">
        <w:r w:rsidR="001D5F9A" w:rsidRPr="000B3455">
          <w:t>Appendix XIV</w:t>
        </w:r>
      </w:fldSimple>
      <w:r w:rsidR="00554D2F" w:rsidRPr="000B3455">
        <w:rPr>
          <w:rFonts w:eastAsia="SymbolMT" w:cstheme="minorHAnsi"/>
          <w:lang w:eastAsia="nl-NL"/>
        </w:rPr>
        <w:t xml:space="preserve">, </w:t>
      </w:r>
      <w:r w:rsidR="00576C14" w:rsidRPr="000B3455">
        <w:rPr>
          <w:rFonts w:eastAsia="SymbolMT" w:cstheme="minorHAnsi"/>
          <w:lang w:eastAsia="nl-NL"/>
        </w:rPr>
        <w:t>all dummies are</w:t>
      </w:r>
      <w:r w:rsidR="00554D2F" w:rsidRPr="000B3455">
        <w:rPr>
          <w:rFonts w:eastAsia="SymbolMT" w:cstheme="minorHAnsi"/>
          <w:lang w:eastAsia="nl-NL"/>
        </w:rPr>
        <w:t xml:space="preserve"> </w:t>
      </w:r>
      <w:r w:rsidR="00576C14" w:rsidRPr="000B3455">
        <w:rPr>
          <w:rFonts w:eastAsia="SymbolMT" w:cstheme="minorHAnsi"/>
          <w:lang w:eastAsia="nl-NL"/>
        </w:rPr>
        <w:t>in</w:t>
      </w:r>
      <w:r w:rsidR="00554D2F" w:rsidRPr="000B3455">
        <w:rPr>
          <w:rFonts w:eastAsia="SymbolMT" w:cstheme="minorHAnsi"/>
          <w:lang w:eastAsia="nl-NL"/>
        </w:rPr>
        <w:t xml:space="preserve">significant. This poses that the substitution effect is not larger than for 2003. </w:t>
      </w:r>
      <w:r w:rsidR="00576C14" w:rsidRPr="000B3455">
        <w:rPr>
          <w:rFonts w:eastAsia="SymbolMT" w:cstheme="minorHAnsi"/>
          <w:lang w:eastAsia="nl-NL"/>
        </w:rPr>
        <w:t xml:space="preserve">Accordingly, the change in proportion of cash bonuses show no abnormal changes with respect to the change in stock option compensation. As </w:t>
      </w:r>
      <w:r>
        <w:rPr>
          <w:rFonts w:eastAsia="SymbolMT" w:cstheme="minorHAnsi"/>
          <w:lang w:eastAsia="nl-NL"/>
        </w:rPr>
        <w:fldChar w:fldCharType="begin"/>
      </w:r>
      <w:r w:rsidR="00511143">
        <w:rPr>
          <w:rFonts w:eastAsia="SymbolMT" w:cstheme="minorHAnsi"/>
          <w:lang w:eastAsia="nl-NL"/>
        </w:rPr>
        <w:instrText xml:space="preserve"> REF _Ref298859662 \h </w:instrText>
      </w:r>
      <w:r>
        <w:rPr>
          <w:rFonts w:eastAsia="SymbolMT" w:cstheme="minorHAnsi"/>
          <w:lang w:eastAsia="nl-NL"/>
        </w:rPr>
      </w:r>
      <w:r>
        <w:rPr>
          <w:rFonts w:eastAsia="SymbolMT" w:cstheme="minorHAnsi"/>
          <w:lang w:eastAsia="nl-NL"/>
        </w:rPr>
        <w:fldChar w:fldCharType="separate"/>
      </w:r>
      <w:r w:rsidR="001D5F9A">
        <w:t xml:space="preserve">Figure </w:t>
      </w:r>
      <w:r w:rsidR="001D5F9A">
        <w:rPr>
          <w:noProof/>
        </w:rPr>
        <w:t>14</w:t>
      </w:r>
      <w:r>
        <w:rPr>
          <w:rFonts w:eastAsia="SymbolMT" w:cstheme="minorHAnsi"/>
          <w:lang w:eastAsia="nl-NL"/>
        </w:rPr>
        <w:fldChar w:fldCharType="end"/>
      </w:r>
      <w:r w:rsidR="00511143">
        <w:rPr>
          <w:rFonts w:eastAsia="SymbolMT" w:cstheme="minorHAnsi"/>
          <w:lang w:eastAsia="nl-NL"/>
        </w:rPr>
        <w:t xml:space="preserve"> and </w:t>
      </w:r>
      <w:r>
        <w:rPr>
          <w:rFonts w:eastAsia="SymbolMT" w:cstheme="minorHAnsi"/>
          <w:lang w:eastAsia="nl-NL"/>
        </w:rPr>
        <w:fldChar w:fldCharType="begin"/>
      </w:r>
      <w:r w:rsidR="00511143">
        <w:rPr>
          <w:rFonts w:eastAsia="SymbolMT" w:cstheme="minorHAnsi"/>
          <w:lang w:eastAsia="nl-NL"/>
        </w:rPr>
        <w:instrText xml:space="preserve"> REF _Ref298859667 \h </w:instrText>
      </w:r>
      <w:r>
        <w:rPr>
          <w:rFonts w:eastAsia="SymbolMT" w:cstheme="minorHAnsi"/>
          <w:lang w:eastAsia="nl-NL"/>
        </w:rPr>
      </w:r>
      <w:r>
        <w:rPr>
          <w:rFonts w:eastAsia="SymbolMT" w:cstheme="minorHAnsi"/>
          <w:lang w:eastAsia="nl-NL"/>
        </w:rPr>
        <w:fldChar w:fldCharType="separate"/>
      </w:r>
      <w:r w:rsidR="001D5F9A">
        <w:t xml:space="preserve">Figure </w:t>
      </w:r>
      <w:r w:rsidR="001D5F9A">
        <w:rPr>
          <w:noProof/>
        </w:rPr>
        <w:t>15</w:t>
      </w:r>
      <w:r>
        <w:rPr>
          <w:rFonts w:eastAsia="SymbolMT" w:cstheme="minorHAnsi"/>
          <w:lang w:eastAsia="nl-NL"/>
        </w:rPr>
        <w:fldChar w:fldCharType="end"/>
      </w:r>
      <w:r w:rsidR="006663CD">
        <w:rPr>
          <w:rFonts w:eastAsia="SymbolMT" w:cstheme="minorHAnsi"/>
          <w:lang w:eastAsia="nl-NL"/>
        </w:rPr>
        <w:t xml:space="preserve"> </w:t>
      </w:r>
      <w:r w:rsidR="00576C14" w:rsidRPr="000B3455">
        <w:rPr>
          <w:rFonts w:eastAsia="SymbolMT" w:cstheme="minorHAnsi"/>
          <w:lang w:eastAsia="nl-NL"/>
        </w:rPr>
        <w:t xml:space="preserve">in </w:t>
      </w:r>
      <w:r>
        <w:rPr>
          <w:rFonts w:eastAsia="SymbolMT" w:cstheme="minorHAnsi"/>
          <w:lang w:eastAsia="nl-NL"/>
        </w:rPr>
        <w:fldChar w:fldCharType="begin"/>
      </w:r>
      <w:r w:rsidR="00511143">
        <w:rPr>
          <w:rFonts w:eastAsia="SymbolMT" w:cstheme="minorHAnsi"/>
          <w:lang w:eastAsia="nl-NL"/>
        </w:rPr>
        <w:instrText xml:space="preserve"> REF XIII \h </w:instrText>
      </w:r>
      <w:r>
        <w:rPr>
          <w:rFonts w:eastAsia="SymbolMT" w:cstheme="minorHAnsi"/>
          <w:lang w:eastAsia="nl-NL"/>
        </w:rPr>
      </w:r>
      <w:r>
        <w:rPr>
          <w:rFonts w:eastAsia="SymbolMT" w:cstheme="minorHAnsi"/>
          <w:lang w:eastAsia="nl-NL"/>
        </w:rPr>
        <w:fldChar w:fldCharType="separate"/>
      </w:r>
      <w:r w:rsidR="001D5F9A" w:rsidRPr="000B3455">
        <w:t>Appendix XIII</w:t>
      </w:r>
      <w:r>
        <w:rPr>
          <w:rFonts w:eastAsia="SymbolMT" w:cstheme="minorHAnsi"/>
          <w:lang w:eastAsia="nl-NL"/>
        </w:rPr>
        <w:fldChar w:fldCharType="end"/>
      </w:r>
      <w:r w:rsidR="006663CD">
        <w:rPr>
          <w:rFonts w:eastAsia="SymbolMT" w:cstheme="minorHAnsi"/>
          <w:lang w:eastAsia="nl-NL"/>
        </w:rPr>
        <w:t xml:space="preserve"> </w:t>
      </w:r>
      <w:r w:rsidR="00576C14" w:rsidRPr="000B3455">
        <w:rPr>
          <w:rFonts w:eastAsia="SymbolMT" w:cstheme="minorHAnsi"/>
          <w:lang w:eastAsia="nl-NL"/>
        </w:rPr>
        <w:t xml:space="preserve">already showed, the proportion of cash bonuses seems to follow the opposite trend relative to stock options. As it seems that cash bonuses has been a perfect substitute for stock options during the period before the introduction of IFRS 2, the </w:t>
      </w:r>
      <w:r w:rsidR="00576C14" w:rsidRPr="000B3455">
        <w:rPr>
          <w:rFonts w:eastAsia="SymbolMT" w:cstheme="minorHAnsi"/>
          <w:lang w:eastAsia="nl-NL"/>
        </w:rPr>
        <w:lastRenderedPageBreak/>
        <w:t xml:space="preserve">influence of IFRS 2 seems to be arguable. Consequently, IFRS 2 might not have triggered a substitution from stock options to cash bonuses. </w:t>
      </w:r>
    </w:p>
    <w:p w:rsidR="00ED6D78" w:rsidRPr="000B3455" w:rsidRDefault="005743A0" w:rsidP="0088553E">
      <w:pPr>
        <w:spacing w:line="360" w:lineRule="auto"/>
        <w:jc w:val="both"/>
      </w:pPr>
      <w:r w:rsidRPr="000B3455">
        <w:t xml:space="preserve">According to the coefficients table in </w:t>
      </w:r>
      <w:r w:rsidR="003236CF">
        <w:fldChar w:fldCharType="begin"/>
      </w:r>
      <w:r w:rsidR="00511143">
        <w:instrText xml:space="preserve"> REF XIV \h </w:instrText>
      </w:r>
      <w:r w:rsidR="003236CF">
        <w:fldChar w:fldCharType="separate"/>
      </w:r>
      <w:r w:rsidR="001D5F9A" w:rsidRPr="000B3455">
        <w:t>Appendix XIV</w:t>
      </w:r>
      <w:r w:rsidR="003236CF">
        <w:fldChar w:fldCharType="end"/>
      </w:r>
      <w:r w:rsidRPr="000B3455">
        <w:t xml:space="preserve">, the change in the cash bonus proportion increases with </w:t>
      </w:r>
      <w:r w:rsidR="00576C14" w:rsidRPr="000B3455">
        <w:t>share returns (</w:t>
      </w:r>
      <w:r w:rsidR="00576C14" w:rsidRPr="000B3455">
        <w:rPr>
          <w:i/>
        </w:rPr>
        <w:t>RET</w:t>
      </w:r>
      <w:r w:rsidR="00576C14" w:rsidRPr="000B3455">
        <w:rPr>
          <w:i/>
          <w:vertAlign w:val="subscript"/>
        </w:rPr>
        <w:t>it</w:t>
      </w:r>
      <w:r w:rsidR="00576C14" w:rsidRPr="000B3455">
        <w:t>)</w:t>
      </w:r>
      <w:r w:rsidRPr="000B3455">
        <w:t xml:space="preserve">. </w:t>
      </w:r>
      <w:r w:rsidR="00A32E14" w:rsidRPr="000B3455">
        <w:t>As cash bonuses are performance related, well performing firms are granting directors with a higher cash bonus. This results in a higher proportion of cash bonuses. As Chalmers et al. (2006,</w:t>
      </w:r>
      <w:r w:rsidR="00A00F8F">
        <w:t xml:space="preserve"> p.</w:t>
      </w:r>
      <w:r w:rsidR="00A32E14" w:rsidRPr="000B3455">
        <w:t xml:space="preserve"> 268) conclude that cash bonuses are related to both market and accounting performance, this result is consistent regarding market performance. </w:t>
      </w:r>
      <w:r w:rsidR="00A954D3" w:rsidRPr="000B3455">
        <w:t>Additionally, the size of the board of directors</w:t>
      </w:r>
      <w:r w:rsidR="00A01B7D" w:rsidRPr="000B3455">
        <w:t xml:space="preserve"> (</w:t>
      </w:r>
      <w:r w:rsidR="00A01B7D" w:rsidRPr="000B3455">
        <w:rPr>
          <w:i/>
        </w:rPr>
        <w:t>BOA_SIZE</w:t>
      </w:r>
      <w:r w:rsidR="00A01B7D" w:rsidRPr="000B3455">
        <w:rPr>
          <w:i/>
          <w:vertAlign w:val="subscript"/>
        </w:rPr>
        <w:t>it</w:t>
      </w:r>
      <w:r w:rsidR="00A01B7D" w:rsidRPr="000B3455">
        <w:t>)</w:t>
      </w:r>
      <w:r w:rsidR="00A954D3" w:rsidRPr="000B3455">
        <w:t xml:space="preserve"> is negatively related to the change in the proportion of cash bonus. This means that the substitution is more diminished by a bigger board. As board size is a proxy for the complexity of firms, it suggests that for more complex firms the decrease in stock option compensation is made up by other forms of compensation than cash bonuses. The results for hypothesis 3 shows that more complex firms substituted for stock optio</w:t>
      </w:r>
      <w:r w:rsidR="00C82EE8" w:rsidRPr="000B3455">
        <w:t xml:space="preserve">ns by an increased fixed salary. </w:t>
      </w:r>
      <w:r w:rsidR="00951370" w:rsidRPr="000B3455">
        <w:t>Following that more complex firms choose to substitute for the decrease in proportion of stock option compensation by an increased proportion of fixed salary, instead of cash bonuses.</w:t>
      </w:r>
      <w:r w:rsidR="00611C52" w:rsidRPr="000B3455">
        <w:t xml:space="preserve"> Note that the same determinants are significant in the opposite direction compared to the results of substitution of fixed salary. </w:t>
      </w:r>
      <w:r w:rsidR="002F0404" w:rsidRPr="000B3455">
        <w:t>According to the industry dummies, the services industry has a significant negative relation to the change in proportion of cash bonuses.</w:t>
      </w:r>
    </w:p>
    <w:p w:rsidR="00F15F96" w:rsidRPr="000B3455" w:rsidRDefault="00A01B7D" w:rsidP="0088553E">
      <w:pPr>
        <w:spacing w:line="360" w:lineRule="auto"/>
        <w:jc w:val="both"/>
      </w:pPr>
      <w:r w:rsidRPr="000B3455">
        <w:t xml:space="preserve">As stated in </w:t>
      </w:r>
      <w:r w:rsidR="003236CF">
        <w:fldChar w:fldCharType="begin"/>
      </w:r>
      <w:r w:rsidR="00E52E87">
        <w:instrText xml:space="preserve"> REF _Ref298859859 \h </w:instrText>
      </w:r>
      <w:r w:rsidR="003236CF">
        <w:fldChar w:fldCharType="separate"/>
      </w:r>
      <w:r w:rsidR="001D5F9A">
        <w:t xml:space="preserve">Table </w:t>
      </w:r>
      <w:r w:rsidR="001D5F9A">
        <w:rPr>
          <w:noProof/>
        </w:rPr>
        <w:t>26</w:t>
      </w:r>
      <w:r w:rsidR="003236CF">
        <w:fldChar w:fldCharType="end"/>
      </w:r>
      <w:r w:rsidR="00E52E87">
        <w:t xml:space="preserve"> </w:t>
      </w:r>
      <w:r w:rsidRPr="000B3455">
        <w:t xml:space="preserve">of </w:t>
      </w:r>
      <w:fldSimple w:instr=" REF XIV \h  \* MERGEFORMAT ">
        <w:r w:rsidR="001D5F9A" w:rsidRPr="000B3455">
          <w:t>Appendix XIV</w:t>
        </w:r>
      </w:fldSimple>
      <w:r w:rsidRPr="000B3455">
        <w:t xml:space="preserve">, </w:t>
      </w:r>
      <w:r w:rsidR="00A32E14" w:rsidRPr="000B3455">
        <w:t>size (</w:t>
      </w:r>
      <w:r w:rsidR="00A32E14" w:rsidRPr="000B3455">
        <w:rPr>
          <w:i/>
        </w:rPr>
        <w:t>LN_ASSETS</w:t>
      </w:r>
      <w:r w:rsidR="00A32E14" w:rsidRPr="000B3455">
        <w:rPr>
          <w:i/>
          <w:vertAlign w:val="subscript"/>
        </w:rPr>
        <w:t>it</w:t>
      </w:r>
      <w:r w:rsidRPr="000B3455">
        <w:t>),</w:t>
      </w:r>
      <w:r w:rsidR="00A32E14" w:rsidRPr="000B3455">
        <w:t xml:space="preserve"> growth opportunities (</w:t>
      </w:r>
      <w:r w:rsidR="00A32E14" w:rsidRPr="000B3455">
        <w:rPr>
          <w:i/>
        </w:rPr>
        <w:t>MTB</w:t>
      </w:r>
      <w:r w:rsidR="00A32E14" w:rsidRPr="000B3455">
        <w:rPr>
          <w:i/>
          <w:vertAlign w:val="subscript"/>
        </w:rPr>
        <w:t>it</w:t>
      </w:r>
      <w:r w:rsidR="00A32E14" w:rsidRPr="000B3455">
        <w:t>),</w:t>
      </w:r>
      <w:r w:rsidRPr="000B3455">
        <w:t xml:space="preserve"> risk (</w:t>
      </w:r>
      <w:r w:rsidRPr="000B3455">
        <w:rPr>
          <w:i/>
        </w:rPr>
        <w:t>VOL</w:t>
      </w:r>
      <w:r w:rsidRPr="000B3455">
        <w:rPr>
          <w:i/>
          <w:vertAlign w:val="subscript"/>
        </w:rPr>
        <w:t>it</w:t>
      </w:r>
      <w:r w:rsidRPr="000B3455">
        <w:t xml:space="preserve">), </w:t>
      </w:r>
      <w:r w:rsidR="00645F0C" w:rsidRPr="000B3455">
        <w:t>liquidity constraints (</w:t>
      </w:r>
      <w:r w:rsidR="00645F0C" w:rsidRPr="000B3455">
        <w:rPr>
          <w:i/>
        </w:rPr>
        <w:t>LIQ_CON</w:t>
      </w:r>
      <w:r w:rsidR="00645F0C" w:rsidRPr="000B3455">
        <w:rPr>
          <w:i/>
          <w:vertAlign w:val="subscript"/>
        </w:rPr>
        <w:t>it</w:t>
      </w:r>
      <w:r w:rsidR="00645F0C" w:rsidRPr="000B3455">
        <w:t xml:space="preserve">) </w:t>
      </w:r>
      <w:r w:rsidRPr="000B3455">
        <w:t xml:space="preserve">and different industries have no </w:t>
      </w:r>
      <w:r w:rsidR="005B497D" w:rsidRPr="000B3455">
        <w:t xml:space="preserve">significant </w:t>
      </w:r>
      <w:r w:rsidRPr="000B3455">
        <w:t xml:space="preserve">influence on the change in the proportion of cash bonuses. </w:t>
      </w:r>
      <w:r w:rsidR="00611C52" w:rsidRPr="000B3455">
        <w:t xml:space="preserve">Size and growth opportunities seem to have no effect on the change in proportion of cash bonuses. Together with risk, they are insignificant in all three substitution tests. </w:t>
      </w:r>
      <w:r w:rsidR="00A84633" w:rsidRPr="000B3455">
        <w:t>The insignificance of size indicates that companies’ substituting behavior is equal and that the effect of expensing stock options is not dependent on si</w:t>
      </w:r>
      <w:r w:rsidR="00A00F8F">
        <w:t>ze. As Chalmers et al. (2006, p.</w:t>
      </w:r>
      <w:r w:rsidR="00A84633" w:rsidRPr="000B3455">
        <w:t xml:space="preserve"> 268) shows, high growth opportunity firms grant more share-based payment as they suffer from liquidity constraints. This might explain the insignificance of both growth opportunities and liquidity constraints. As cash bonuses result in  cash outflows, liquidity constraint firms are assumed to already grant directors with a minimal proportion of cash bonuses, and, therefore, may not grant directors an even lower proportion of cash bonuses.</w:t>
      </w:r>
      <w:r w:rsidR="00F15F96" w:rsidRPr="000B3455">
        <w:t xml:space="preserve"> </w:t>
      </w:r>
      <w:r w:rsidR="002555C9" w:rsidRPr="000B3455">
        <w:t>Subsequently</w:t>
      </w:r>
      <w:r w:rsidR="00484587" w:rsidRPr="000B3455">
        <w:t xml:space="preserve">, </w:t>
      </w:r>
      <w:r w:rsidR="00A7114C" w:rsidRPr="000B3455">
        <w:t xml:space="preserve">stock option compensation is more pervasive in </w:t>
      </w:r>
      <w:r w:rsidR="00484587" w:rsidRPr="000B3455">
        <w:t>highly volatile firms</w:t>
      </w:r>
      <w:r w:rsidR="00A7114C" w:rsidRPr="000B3455">
        <w:t xml:space="preserve"> (Chalmers et al.</w:t>
      </w:r>
      <w:r w:rsidR="00297541" w:rsidRPr="000B3455">
        <w:t>,</w:t>
      </w:r>
      <w:r w:rsidR="00A7114C" w:rsidRPr="000B3455">
        <w:t xml:space="preserve"> 2006, </w:t>
      </w:r>
      <w:r w:rsidR="00EB350F" w:rsidRPr="000B3455">
        <w:t>p</w:t>
      </w:r>
      <w:r w:rsidR="00297541" w:rsidRPr="000B3455">
        <w:t>p</w:t>
      </w:r>
      <w:r w:rsidR="00EB350F" w:rsidRPr="000B3455">
        <w:t xml:space="preserve">. </w:t>
      </w:r>
      <w:r w:rsidR="00A7114C" w:rsidRPr="000B3455">
        <w:t>268-269; Feng and Tian</w:t>
      </w:r>
      <w:r w:rsidR="00297541" w:rsidRPr="000B3455">
        <w:t>,</w:t>
      </w:r>
      <w:r w:rsidR="00A7114C" w:rsidRPr="000B3455">
        <w:t xml:space="preserve"> 2007, </w:t>
      </w:r>
      <w:r w:rsidR="00EB350F" w:rsidRPr="000B3455">
        <w:t xml:space="preserve">p. </w:t>
      </w:r>
      <w:r w:rsidR="00A7114C" w:rsidRPr="000B3455">
        <w:t xml:space="preserve">40). </w:t>
      </w:r>
      <w:r w:rsidR="00F15F96" w:rsidRPr="000B3455">
        <w:t xml:space="preserve">One means to mitigate volatility is to grant directors with share-based payment, to align interest in to minimize risk. As the value of cash bonuses are not dependent on share prices after they are granted, and thereby does not diminish risk on the long term, it is efficient for highly volatile firms to </w:t>
      </w:r>
      <w:r w:rsidR="009C06CE" w:rsidRPr="000B3455">
        <w:t>make</w:t>
      </w:r>
      <w:r w:rsidR="00F15F96" w:rsidRPr="000B3455">
        <w:t xml:space="preserve"> up stock option compensation with other share-</w:t>
      </w:r>
      <w:r w:rsidR="00F15F96" w:rsidRPr="000B3455">
        <w:lastRenderedPageBreak/>
        <w:t>based payment.</w:t>
      </w:r>
      <w:r w:rsidR="00D134F7" w:rsidRPr="000B3455">
        <w:t xml:space="preserve"> Note that size, growth opportunities, risk, and liquidity constraints are insignificant in all three substitution models. This suggests that the impact of the decrease of stock option compensation does not vary across firms, which are differing at any of these variables.</w:t>
      </w:r>
    </w:p>
    <w:p w:rsidR="006374DD" w:rsidRPr="000B3455" w:rsidRDefault="006374DD" w:rsidP="0088553E">
      <w:pPr>
        <w:spacing w:line="360" w:lineRule="auto"/>
        <w:jc w:val="both"/>
      </w:pPr>
      <w:r w:rsidRPr="000B3455">
        <w:t xml:space="preserve">The multicollinearity diagnostics for this hypothesis are </w:t>
      </w:r>
      <w:r w:rsidR="00894781" w:rsidRPr="000B3455">
        <w:t xml:space="preserve">exactly the same compared to hypothesis 3, see </w:t>
      </w:r>
      <w:fldSimple w:instr=" REF _Ref298859888 \h  \* MERGEFORMAT ">
        <w:r w:rsidR="001D5F9A">
          <w:t xml:space="preserve">Table </w:t>
        </w:r>
        <w:r w:rsidR="001D5F9A">
          <w:rPr>
            <w:noProof/>
          </w:rPr>
          <w:t>27</w:t>
        </w:r>
      </w:fldSimple>
      <w:r w:rsidR="002B3D57">
        <w:t xml:space="preserve"> </w:t>
      </w:r>
      <w:r w:rsidR="00894781" w:rsidRPr="000B3455">
        <w:t xml:space="preserve">in </w:t>
      </w:r>
      <w:fldSimple w:instr=" REF XIV \h  \* MERGEFORMAT ">
        <w:r w:rsidR="001D5F9A" w:rsidRPr="000B3455">
          <w:t>Appendix XIV</w:t>
        </w:r>
      </w:fldSimple>
      <w:r w:rsidR="002B3D57">
        <w:t xml:space="preserve"> </w:t>
      </w:r>
      <w:r w:rsidR="00894781" w:rsidRPr="000B3455">
        <w:t>for multicollinearity diagnostics for hypothesis 4. Therefore, it can be concluded that although the natural logarithm of assets show a higher VIF-value than other independent variables, multicollinearity is not a problem in all models.</w:t>
      </w:r>
    </w:p>
    <w:p w:rsidR="00341F47" w:rsidRPr="000B3455" w:rsidRDefault="00341F47" w:rsidP="0088553E">
      <w:pPr>
        <w:pStyle w:val="Heading3"/>
        <w:spacing w:line="360" w:lineRule="auto"/>
        <w:jc w:val="both"/>
      </w:pPr>
      <w:bookmarkStart w:id="93" w:name="_Toc298944603"/>
      <w:r w:rsidRPr="000B3455">
        <w:t>6.4.3 Conclusion</w:t>
      </w:r>
      <w:bookmarkEnd w:id="93"/>
    </w:p>
    <w:p w:rsidR="00341F47" w:rsidRPr="000B3455" w:rsidRDefault="00A7114C" w:rsidP="0088553E">
      <w:pPr>
        <w:spacing w:line="360" w:lineRule="auto"/>
        <w:jc w:val="both"/>
      </w:pPr>
      <w:r w:rsidRPr="000B3455">
        <w:t>The combined interpretation of descriptive statistics and the statistical results leads to the conclusion that a decreasing proportion of stock options is substituted for by an increasing proportion of cash bonuses. The change</w:t>
      </w:r>
      <w:r w:rsidR="00F15F96" w:rsidRPr="000B3455">
        <w:t>s</w:t>
      </w:r>
      <w:r w:rsidRPr="000B3455">
        <w:t xml:space="preserve"> in the proportion in the </w:t>
      </w:r>
      <w:r w:rsidR="00F15F96" w:rsidRPr="000B3455">
        <w:t>period 2002</w:t>
      </w:r>
      <w:r w:rsidRPr="000B3455">
        <w:t>-2007 are not significantly different</w:t>
      </w:r>
      <w:r w:rsidR="00BF0190" w:rsidRPr="000B3455">
        <w:t xml:space="preserve">. According to the results of hypothesis 1, the proportion of </w:t>
      </w:r>
      <w:r w:rsidR="00F15F96" w:rsidRPr="000B3455">
        <w:t>cash bonuses</w:t>
      </w:r>
      <w:r w:rsidR="00BF0190" w:rsidRPr="000B3455">
        <w:t xml:space="preserve"> </w:t>
      </w:r>
      <w:r w:rsidR="00F15F96" w:rsidRPr="000B3455">
        <w:t>is a substitute for stock options, but substitution is not triggered by the introduction of IFRS 2</w:t>
      </w:r>
      <w:r w:rsidR="00CE2F99" w:rsidRPr="000B3455">
        <w:t xml:space="preserve">. </w:t>
      </w:r>
      <w:r w:rsidR="002F0404" w:rsidRPr="000B3455">
        <w:t>Share returns are</w:t>
      </w:r>
      <w:r w:rsidR="004323DD" w:rsidRPr="000B3455">
        <w:t xml:space="preserve"> positively related to the c</w:t>
      </w:r>
      <w:r w:rsidR="002F0404" w:rsidRPr="000B3455">
        <w:t xml:space="preserve">hange in cash bonus. Consistent with Chalmers et al. (2006), cash bonus are related to the market performance of a company. </w:t>
      </w:r>
      <w:r w:rsidR="001047EE" w:rsidRPr="000B3455">
        <w:t>Jointly with the results on hypothesis 3, more</w:t>
      </w:r>
      <w:r w:rsidR="000376D6" w:rsidRPr="000B3455">
        <w:t xml:space="preserve"> complex firms </w:t>
      </w:r>
      <w:r w:rsidR="001047EE" w:rsidRPr="000B3455">
        <w:t xml:space="preserve">seem to </w:t>
      </w:r>
      <w:r w:rsidR="009C06CE" w:rsidRPr="000B3455">
        <w:t>make</w:t>
      </w:r>
      <w:r w:rsidR="001047EE" w:rsidRPr="000B3455">
        <w:t xml:space="preserve"> up an increase of stock options with a higher proportion of fixed salary</w:t>
      </w:r>
      <w:r w:rsidR="000376D6" w:rsidRPr="000B3455">
        <w:t>.</w:t>
      </w:r>
      <w:r w:rsidR="004239E1" w:rsidRPr="000B3455">
        <w:t xml:space="preserve"> </w:t>
      </w:r>
      <w:r w:rsidR="002F0404" w:rsidRPr="000B3455">
        <w:t>Size, growth opportunities, risk and liquidity constraint</w:t>
      </w:r>
      <w:r w:rsidR="00D134F7" w:rsidRPr="000B3455">
        <w:t>s turn out to be insignificant in all three substitution models. This</w:t>
      </w:r>
      <w:r w:rsidR="002F0404" w:rsidRPr="000B3455">
        <w:t xml:space="preserve"> suggest that the impact of the expensing of stock options did not vary across different sized</w:t>
      </w:r>
      <w:r w:rsidR="00D134F7" w:rsidRPr="000B3455">
        <w:t xml:space="preserve">, risk, or liquidity constrained </w:t>
      </w:r>
      <w:r w:rsidR="002F0404" w:rsidRPr="000B3455">
        <w:t>compan</w:t>
      </w:r>
      <w:r w:rsidR="00D134F7" w:rsidRPr="000B3455">
        <w:t xml:space="preserve">ies. The insignificance of growth opportunities can also be explained by the insignificance of liquidity constraints. While highly volatile companies want to mitigate risk, cash bonuses do not provide a minimized risk in the long term. </w:t>
      </w:r>
      <w:r w:rsidR="001A4340" w:rsidRPr="000B3455">
        <w:t xml:space="preserve">Last, liquidity constraints seems to have no influence on the level of substitution, contrasting expectations. </w:t>
      </w:r>
      <w:r w:rsidR="00DB5418" w:rsidRPr="000B3455">
        <w:t xml:space="preserve">It seems that liquidity constrained firms do not substitute cash bonuses more or less than other firms. </w:t>
      </w:r>
    </w:p>
    <w:p w:rsidR="00A16680" w:rsidRPr="000B3455" w:rsidRDefault="00A16680" w:rsidP="0088553E">
      <w:pPr>
        <w:spacing w:line="360" w:lineRule="auto"/>
        <w:jc w:val="both"/>
        <w:rPr>
          <w:b/>
        </w:rPr>
      </w:pPr>
      <w:r w:rsidRPr="000B3455">
        <w:rPr>
          <w:b/>
        </w:rPr>
        <w:br w:type="page"/>
      </w:r>
    </w:p>
    <w:p w:rsidR="00095FAD" w:rsidRPr="000B3455" w:rsidRDefault="00FB129A" w:rsidP="00ED7148">
      <w:pPr>
        <w:pStyle w:val="Kop1Thesis"/>
      </w:pPr>
      <w:bookmarkStart w:id="94" w:name="_Toc298944604"/>
      <w:r>
        <w:lastRenderedPageBreak/>
        <w:t>Chapter 7:</w:t>
      </w:r>
      <w:r w:rsidR="00095FAD" w:rsidRPr="000B3455">
        <w:t xml:space="preserve"> Conclusion</w:t>
      </w:r>
      <w:bookmarkEnd w:id="94"/>
    </w:p>
    <w:p w:rsidR="00035567" w:rsidRPr="000B3455" w:rsidRDefault="00A62D2C" w:rsidP="0088553E">
      <w:pPr>
        <w:spacing w:line="360" w:lineRule="auto"/>
        <w:jc w:val="both"/>
      </w:pPr>
      <w:r>
        <w:br/>
      </w:r>
      <w:r w:rsidR="00035567" w:rsidRPr="000B3455">
        <w:t xml:space="preserve">Before 2005, Dutch-listed companies had to apply Dutch GAAP in annual statements. Under these accounting standards, compensation forms were treated differently. Whilst fixed salary and cash bonuses were expensed in the profit and loss account, shares were completely accounted for under equity, and the intrinsic value of stock options, which was null in most cases, was </w:t>
      </w:r>
      <w:r w:rsidR="00435078" w:rsidRPr="000B3455">
        <w:t xml:space="preserve">also </w:t>
      </w:r>
      <w:r w:rsidR="00035567" w:rsidRPr="000B3455">
        <w:t>expensed</w:t>
      </w:r>
      <w:r w:rsidR="00435078" w:rsidRPr="000B3455">
        <w:t xml:space="preserve">. The accounting treatments of shares and stock options made that the perceived costs of granting shares consisted only from share dilution, and that stock options were more or less ‘free’. </w:t>
      </w:r>
      <w:r w:rsidR="009B237B" w:rsidRPr="000B3455">
        <w:t xml:space="preserve">As share-based payment is designed to tackle the principal-agent problem, and thereby minimizing agency costs, the benefits of this type of compensation were even greater. The introduction of the International Financial Reporting Standard 2, effective since 2005, </w:t>
      </w:r>
      <w:r w:rsidR="00A90F42" w:rsidRPr="000B3455">
        <w:t xml:space="preserve">had stopped the favorable treatment of shares and stock options by adopting the fair value method. Accordingly, the fair value of both granted shares and stock options had to be expensed in the profit and loss account. </w:t>
      </w:r>
    </w:p>
    <w:p w:rsidR="009211CD" w:rsidRPr="000B3455" w:rsidRDefault="009211CD" w:rsidP="0088553E">
      <w:pPr>
        <w:spacing w:line="360" w:lineRule="auto"/>
        <w:jc w:val="both"/>
      </w:pPr>
      <w:r w:rsidRPr="000B3455">
        <w:t xml:space="preserve">In previous years, Article 383 in Book 2 of the Dutch Civil Code has required companies to disclose </w:t>
      </w:r>
      <w:r w:rsidR="00F91EAB" w:rsidRPr="000B3455">
        <w:t xml:space="preserve">amounts of </w:t>
      </w:r>
      <w:r w:rsidRPr="000B3455">
        <w:t>remuneration of directors since 2002, and compliance with the Dutch Corporate Governance Code</w:t>
      </w:r>
      <w:r w:rsidR="00943FF2" w:rsidRPr="000B3455">
        <w:t>, which</w:t>
      </w:r>
      <w:r w:rsidRPr="000B3455">
        <w:t xml:space="preserve"> has been mandatory since 2004</w:t>
      </w:r>
      <w:r w:rsidR="00943FF2" w:rsidRPr="000B3455">
        <w:t>, resulted in an exposure of corporate remuneration practices</w:t>
      </w:r>
      <w:r w:rsidRPr="000B3455">
        <w:t xml:space="preserve">. </w:t>
      </w:r>
      <w:r w:rsidR="00943FF2" w:rsidRPr="000B3455">
        <w:t xml:space="preserve">After several corporate scandals stock options were brought into disrepute. </w:t>
      </w:r>
      <w:r w:rsidR="00F91EAB" w:rsidRPr="000B3455">
        <w:t xml:space="preserve">Exposing to the public that companies granted directors with disreputable stock options is an incentive to lower the amounts of granted stock options. Subsequently, the adoption of the ‘unfavorable’ fair value method under IFRS 2 provides another incentive to firms to lower stock option grants. </w:t>
      </w:r>
    </w:p>
    <w:p w:rsidR="00F91EAB" w:rsidRPr="000B3455" w:rsidRDefault="00F91EAB" w:rsidP="0088553E">
      <w:pPr>
        <w:spacing w:line="360" w:lineRule="auto"/>
        <w:jc w:val="both"/>
      </w:pPr>
      <w:r w:rsidRPr="000B3455">
        <w:t>Companies listed in the United States witnessed the same change in accounting standards regarding stock options</w:t>
      </w:r>
      <w:r w:rsidR="00D771CA" w:rsidRPr="000B3455">
        <w:t xml:space="preserve"> in 2005</w:t>
      </w:r>
      <w:r w:rsidRPr="000B3455">
        <w:t>, whereas shares were recognized according to the fair value method</w:t>
      </w:r>
      <w:r w:rsidR="00D771CA" w:rsidRPr="000B3455">
        <w:t xml:space="preserve"> during the period before and after 2005. </w:t>
      </w:r>
      <w:r w:rsidR="00056219" w:rsidRPr="000B3455">
        <w:t xml:space="preserve">According to the studies of Feng and Tian (2007), Brown and Lee (2007), Carter et al. (2007), and Choudhary (2008) the adoption of the fair value method has caused stock option compensation to decrease in the United States. In addition, Brown and Lee (2007), Carter et al. (2007), and Choudhary (2008) found that the decrease in stock options was substituted for by an increase in share compensation. </w:t>
      </w:r>
      <w:r w:rsidR="007527D0" w:rsidRPr="000B3455">
        <w:t xml:space="preserve">Swagerman and Terpstra (2009) found the same effect concerning stock options and shares in the Netherlands in 2003 and 2004. They state that this substitution is caused by companies preparing for IFRS 2 by altering compensation after the publication of the exposure draft for IFRS 2. Additionally, </w:t>
      </w:r>
      <w:r w:rsidR="00537F06" w:rsidRPr="000B3455">
        <w:t xml:space="preserve">the findings of </w:t>
      </w:r>
      <w:r w:rsidR="007527D0" w:rsidRPr="000B3455">
        <w:t xml:space="preserve">Kraakman (2010) </w:t>
      </w:r>
      <w:r w:rsidR="00992FF6" w:rsidRPr="000B3455">
        <w:t xml:space="preserve">suggest that stock option compensation is lowered, due to the adoption of IFRS 2 in the Netherlands. </w:t>
      </w:r>
    </w:p>
    <w:p w:rsidR="00974430" w:rsidRPr="000B3455" w:rsidRDefault="00974430" w:rsidP="0088553E">
      <w:pPr>
        <w:spacing w:line="360" w:lineRule="auto"/>
        <w:jc w:val="both"/>
      </w:pPr>
      <w:r w:rsidRPr="000B3455">
        <w:lastRenderedPageBreak/>
        <w:t xml:space="preserve">Taking empirical literature and theory together, </w:t>
      </w:r>
      <w:r w:rsidR="00146402" w:rsidRPr="000B3455">
        <w:t xml:space="preserve">the decrease in </w:t>
      </w:r>
      <w:r w:rsidRPr="000B3455">
        <w:t>stock option compensation is expected to be substituted for by other forms of compensation</w:t>
      </w:r>
      <w:r w:rsidR="005024CF" w:rsidRPr="000B3455">
        <w:t xml:space="preserve">. Following the theory, share compensation should also be decreased. </w:t>
      </w:r>
      <w:r w:rsidR="00146402" w:rsidRPr="000B3455">
        <w:t xml:space="preserve">Consequently, four hypotheses are formed in order to test for the decrease of both stock options and shares, and to test whether the hypothesized decrease of stock options is substituted for by other compensation forms, namely fixed salary and cash bonuses. </w:t>
      </w:r>
      <w:r w:rsidR="00691800" w:rsidRPr="000B3455">
        <w:t>The four hypotheses</w:t>
      </w:r>
      <w:r w:rsidR="00A34923" w:rsidRPr="000B3455">
        <w:t xml:space="preserve"> and their findings</w:t>
      </w:r>
      <w:r w:rsidR="00691800" w:rsidRPr="000B3455">
        <w:t xml:space="preserve"> are</w:t>
      </w:r>
      <w:r w:rsidR="00A34923" w:rsidRPr="000B3455">
        <w:t>:</w:t>
      </w:r>
      <w:r w:rsidR="00691800" w:rsidRPr="000B3455">
        <w:t xml:space="preserve">  </w:t>
      </w:r>
    </w:p>
    <w:p w:rsidR="00691800" w:rsidRPr="000B3455" w:rsidRDefault="00691800" w:rsidP="0088553E">
      <w:pPr>
        <w:spacing w:line="360" w:lineRule="auto"/>
        <w:jc w:val="both"/>
        <w:rPr>
          <w:rFonts w:cstheme="minorHAnsi"/>
          <w:i/>
        </w:rPr>
      </w:pPr>
      <w:r w:rsidRPr="000B3455">
        <w:rPr>
          <w:rFonts w:cstheme="minorHAnsi"/>
          <w:i/>
        </w:rPr>
        <w:t xml:space="preserve">H1: The proportion of the fair value of granted stock options to the board of directors of total compensation has decreased after the mandatory adoption of IFRS for Dutch-listed companies. </w:t>
      </w:r>
    </w:p>
    <w:p w:rsidR="00A34923" w:rsidRPr="000B3455" w:rsidRDefault="00A34923" w:rsidP="0088553E">
      <w:pPr>
        <w:spacing w:line="360" w:lineRule="auto"/>
        <w:jc w:val="both"/>
      </w:pPr>
      <w:r w:rsidRPr="000B3455">
        <w:t>The empirical findings</w:t>
      </w:r>
      <w:r w:rsidR="00337A3D">
        <w:t xml:space="preserve"> </w:t>
      </w:r>
      <w:r w:rsidRPr="000B3455">
        <w:t xml:space="preserve">for the first hypothesis </w:t>
      </w:r>
      <w:r w:rsidR="00337A3D">
        <w:t>in section 6.1</w:t>
      </w:r>
      <w:r w:rsidR="00337A3D" w:rsidRPr="000B3455">
        <w:t xml:space="preserve"> </w:t>
      </w:r>
      <w:r w:rsidRPr="000B3455">
        <w:t>provide support</w:t>
      </w:r>
      <w:r w:rsidR="00337A3D">
        <w:t xml:space="preserve"> that</w:t>
      </w:r>
      <w:r w:rsidRPr="000B3455">
        <w:t xml:space="preserve"> the fair value of stock option compensation was declining</w:t>
      </w:r>
      <w:r w:rsidR="008E6808">
        <w:t>,</w:t>
      </w:r>
      <w:r w:rsidR="00337A3D">
        <w:t xml:space="preserve"> and that</w:t>
      </w:r>
      <w:r w:rsidR="008E6808">
        <w:t xml:space="preserve"> </w:t>
      </w:r>
      <w:r w:rsidRPr="000B3455">
        <w:t xml:space="preserve">IFRS 2 was not the sole contributor. As the declining trend has already started in 2004, the impact of the Dutch Corporate Governance Code, which compliance was mandatory in the same year, may have also played a determinable role. The decline of stock option compensation in 2005 and 2006 might be caused by the Code, and on the other side by IFRS 2. </w:t>
      </w:r>
    </w:p>
    <w:p w:rsidR="00691800" w:rsidRPr="000B3455" w:rsidRDefault="00691800" w:rsidP="0088553E">
      <w:pPr>
        <w:spacing w:line="360" w:lineRule="auto"/>
        <w:jc w:val="both"/>
        <w:rPr>
          <w:rFonts w:cstheme="minorHAnsi"/>
          <w:i/>
        </w:rPr>
      </w:pPr>
      <w:r w:rsidRPr="000B3455">
        <w:rPr>
          <w:rFonts w:cstheme="minorHAnsi"/>
          <w:i/>
        </w:rPr>
        <w:t>H2: The proportion of the fair value of granted shares to the board of directors of total compensation has decreased after the mandatory adoption of IFRS for Dutch-listed companies.</w:t>
      </w:r>
    </w:p>
    <w:p w:rsidR="00A34923" w:rsidRPr="000B3455" w:rsidRDefault="00A34923" w:rsidP="0088553E">
      <w:pPr>
        <w:spacing w:line="360" w:lineRule="auto"/>
        <w:jc w:val="both"/>
        <w:rPr>
          <w:rFonts w:cstheme="minorHAnsi"/>
        </w:rPr>
      </w:pPr>
      <w:r w:rsidRPr="000B3455">
        <w:rPr>
          <w:rFonts w:cstheme="minorHAnsi"/>
        </w:rPr>
        <w:t xml:space="preserve">For the second hypothesis the statistical results of the regression model indicate an increase in shares in 2004, and another increase in 2006, whereas the value of granted shares in 2005 and 2007 were at the same value as the respective previous year. </w:t>
      </w:r>
      <w:r w:rsidR="00066062" w:rsidRPr="000B3455">
        <w:rPr>
          <w:rFonts w:cstheme="minorHAnsi"/>
        </w:rPr>
        <w:t xml:space="preserve">With the decline of stock options in the same years in mind, the increase of shares seems to be a substitution for stock options. This surprising result </w:t>
      </w:r>
      <w:r w:rsidR="006757A0" w:rsidRPr="000B3455">
        <w:rPr>
          <w:rFonts w:cstheme="minorHAnsi"/>
        </w:rPr>
        <w:t>demand</w:t>
      </w:r>
      <w:r w:rsidR="00F84843" w:rsidRPr="000B3455">
        <w:rPr>
          <w:rFonts w:cstheme="minorHAnsi"/>
        </w:rPr>
        <w:t>ed</w:t>
      </w:r>
      <w:r w:rsidR="006757A0" w:rsidRPr="000B3455">
        <w:rPr>
          <w:rFonts w:cstheme="minorHAnsi"/>
        </w:rPr>
        <w:t xml:space="preserve"> for a deeper investigation into the substitution effect. </w:t>
      </w:r>
      <w:r w:rsidR="00F84843" w:rsidRPr="000B3455">
        <w:rPr>
          <w:rFonts w:cstheme="minorHAnsi"/>
        </w:rPr>
        <w:t xml:space="preserve">In the additional test supporting evidence is found that stock options are substituted for by shares in </w:t>
      </w:r>
      <w:r w:rsidR="009453BB" w:rsidRPr="000B3455">
        <w:rPr>
          <w:rFonts w:cstheme="minorHAnsi"/>
        </w:rPr>
        <w:t>the compensation schemes of directors in 2004 and 2006. The influence of IFRS 2 on substitution is arguable, because the decrease of stock options involves no increase in shares in 2005, but in 2006. Whereas the 2004 substitution may be explained by the introduction of the Code</w:t>
      </w:r>
      <w:r w:rsidR="0072569B" w:rsidRPr="000B3455">
        <w:rPr>
          <w:rFonts w:cstheme="minorHAnsi"/>
        </w:rPr>
        <w:t xml:space="preserve"> and companies preparing for IFRS 2</w:t>
      </w:r>
      <w:r w:rsidR="009453BB" w:rsidRPr="000B3455">
        <w:rPr>
          <w:rFonts w:cstheme="minorHAnsi"/>
        </w:rPr>
        <w:t xml:space="preserve">, the substitution in 2006 cannot be explained by neither IFRS 2 nor the Code. </w:t>
      </w:r>
      <w:r w:rsidR="007C0703" w:rsidRPr="000B3455">
        <w:rPr>
          <w:rFonts w:cstheme="minorHAnsi"/>
        </w:rPr>
        <w:t>Additionally, the results i</w:t>
      </w:r>
      <w:r w:rsidR="009453BB" w:rsidRPr="000B3455">
        <w:rPr>
          <w:rFonts w:cstheme="minorHAnsi"/>
        </w:rPr>
        <w:t>ndicat</w:t>
      </w:r>
      <w:r w:rsidR="007C0703" w:rsidRPr="000B3455">
        <w:rPr>
          <w:rFonts w:cstheme="minorHAnsi"/>
        </w:rPr>
        <w:t>e</w:t>
      </w:r>
      <w:r w:rsidR="009453BB" w:rsidRPr="000B3455">
        <w:rPr>
          <w:rFonts w:cstheme="minorHAnsi"/>
        </w:rPr>
        <w:t xml:space="preserve"> that </w:t>
      </w:r>
      <w:r w:rsidR="007C0703" w:rsidRPr="000B3455">
        <w:rPr>
          <w:rFonts w:cstheme="minorHAnsi"/>
        </w:rPr>
        <w:t xml:space="preserve">the substitution is completely independent of economic factors. Which in turn provides evidence that the substitution is solely based on the decrease of stock options. </w:t>
      </w:r>
      <w:r w:rsidR="000264CB" w:rsidRPr="000B3455">
        <w:rPr>
          <w:rFonts w:cstheme="minorHAnsi"/>
        </w:rPr>
        <w:t>To concise, the results provide evidence that shares can be regarded as a substitute compensation alternative for stock options, although the influence of IFRS 2 is arguable.</w:t>
      </w:r>
    </w:p>
    <w:p w:rsidR="00691800" w:rsidRPr="000B3455" w:rsidRDefault="00691800" w:rsidP="0088553E">
      <w:pPr>
        <w:spacing w:line="360" w:lineRule="auto"/>
        <w:jc w:val="both"/>
        <w:rPr>
          <w:rFonts w:cstheme="minorHAnsi"/>
          <w:i/>
        </w:rPr>
      </w:pPr>
      <w:r w:rsidRPr="000B3455">
        <w:rPr>
          <w:rFonts w:cstheme="minorHAnsi"/>
          <w:i/>
        </w:rPr>
        <w:lastRenderedPageBreak/>
        <w:t>H3: After the mandatory adoption of IFRS for Dutch-listed companies the decrease of the fair value of granted stock options has caused an increase in the level of fixed salary to the board of directors.</w:t>
      </w:r>
    </w:p>
    <w:p w:rsidR="00A34923" w:rsidRPr="00B51057" w:rsidRDefault="000264CB" w:rsidP="0088553E">
      <w:pPr>
        <w:spacing w:line="360" w:lineRule="auto"/>
        <w:jc w:val="both"/>
        <w:rPr>
          <w:rFonts w:cstheme="minorHAnsi"/>
        </w:rPr>
      </w:pPr>
      <w:r w:rsidRPr="000B3455">
        <w:rPr>
          <w:rFonts w:cstheme="minorHAnsi"/>
        </w:rPr>
        <w:t xml:space="preserve">From the results of the third hypothesis can be concluded that all years have no abnormal substitution effect. The decrease in </w:t>
      </w:r>
      <w:r w:rsidRPr="00B51057">
        <w:rPr>
          <w:rFonts w:cstheme="minorHAnsi"/>
        </w:rPr>
        <w:t>stock options in 2004 weakens the substitution effect for fixed salary, and thereby suggesting that the cutback on stock options leads to an even lower proportion of fixed salary to total compensation, and other forms of compensation (e.g. shares and cash bonuses) should made up. Consequently, fixed salary is not regarded as a substitute for stock options.</w:t>
      </w:r>
    </w:p>
    <w:p w:rsidR="00691800" w:rsidRPr="000B3455" w:rsidRDefault="00691800" w:rsidP="0088553E">
      <w:pPr>
        <w:spacing w:line="360" w:lineRule="auto"/>
        <w:jc w:val="both"/>
        <w:rPr>
          <w:rFonts w:cstheme="minorHAnsi"/>
          <w:i/>
        </w:rPr>
      </w:pPr>
      <w:r w:rsidRPr="00B51057">
        <w:rPr>
          <w:rFonts w:cstheme="minorHAnsi"/>
          <w:i/>
        </w:rPr>
        <w:t>H4: After the mandatory adoption of IFRS for Dutch-listed companies the decrease</w:t>
      </w:r>
      <w:r w:rsidRPr="000B3455">
        <w:rPr>
          <w:rFonts w:cstheme="minorHAnsi"/>
          <w:i/>
        </w:rPr>
        <w:t xml:space="preserve"> of the fair value of granted stock options has caused an increase in the level of cash bonuses to the board of directors. </w:t>
      </w:r>
    </w:p>
    <w:p w:rsidR="00A34923" w:rsidRPr="000B3455" w:rsidRDefault="005241EF" w:rsidP="0088553E">
      <w:pPr>
        <w:spacing w:line="360" w:lineRule="auto"/>
        <w:jc w:val="both"/>
      </w:pPr>
      <w:r w:rsidRPr="000B3455">
        <w:t>According to the findings on the fourth hypothesis, it turns out that cash bonuses are substitutes for stock options. However, the change in the proportion of cash bonuses does not experience any abnormal deviations. This indicates that stock options and cash bonuses have been substitutes since at least 2002-2003. The introduction of IFRS 2 has not changed the substitution effect, and, therefore, it can be concluded that IFRS 2 has not resulted in an accelerated substitution.</w:t>
      </w:r>
    </w:p>
    <w:p w:rsidR="00F91EAB" w:rsidRPr="000B3455" w:rsidRDefault="005241EF" w:rsidP="0088553E">
      <w:pPr>
        <w:spacing w:line="360" w:lineRule="auto"/>
        <w:jc w:val="both"/>
      </w:pPr>
      <w:r w:rsidRPr="000B3455">
        <w:t xml:space="preserve">Combining the findings on the hypotheses leads to conclude that </w:t>
      </w:r>
      <w:r w:rsidR="00484DAB" w:rsidRPr="000B3455">
        <w:t xml:space="preserve">the </w:t>
      </w:r>
      <w:r w:rsidRPr="000B3455">
        <w:t>decline in stock options</w:t>
      </w:r>
      <w:r w:rsidR="00484DAB" w:rsidRPr="000B3455">
        <w:t xml:space="preserve"> was caused by the combination of the Dutch Corporate Governance Code and the introduction of IFRS 2. The regarded substitute compensation forms for stock options are both shares and cash bonuses. Whereas the results on hypothesis 4 show that</w:t>
      </w:r>
      <w:r w:rsidR="0072569B" w:rsidRPr="000B3455">
        <w:t xml:space="preserve">, although cash bonuses are a substitute, the introduction of IFRS 2 has not resulted in an abnormal substitution effect, the change in the proportion of shares </w:t>
      </w:r>
      <w:r w:rsidR="00E92EDD" w:rsidRPr="000B3455">
        <w:t>significantly differs from other years. This suggest</w:t>
      </w:r>
      <w:r w:rsidR="00E75919">
        <w:t>s</w:t>
      </w:r>
      <w:r w:rsidR="00E92EDD" w:rsidRPr="000B3455">
        <w:t xml:space="preserve"> that the decrease in stock option compensation is substituted for by a small increase in cash bonuses and a major increase in shares</w:t>
      </w:r>
      <w:r w:rsidR="007C052E" w:rsidRPr="000B3455">
        <w:t xml:space="preserve">. </w:t>
      </w:r>
      <w:r w:rsidR="002040A9" w:rsidRPr="000B3455">
        <w:t>Although s</w:t>
      </w:r>
      <w:r w:rsidR="007C052E" w:rsidRPr="000B3455">
        <w:t xml:space="preserve">hares were considered as much more efficient, </w:t>
      </w:r>
      <w:r w:rsidR="002040A9" w:rsidRPr="000B3455">
        <w:t>stock option compensation was more prevalent due to the favorable accounting treatment</w:t>
      </w:r>
      <w:r w:rsidR="007C052E" w:rsidRPr="000B3455">
        <w:t xml:space="preserve">. </w:t>
      </w:r>
      <w:r w:rsidR="00810080" w:rsidRPr="000B3455">
        <w:t xml:space="preserve">However, the economic costs of stock options were higher than that for shares. By disposing the favorable accounting treatment, the perceived costs of both shares and stock options were aligned with the economic costs, causing a shift from stock options to shares. </w:t>
      </w:r>
      <w:r w:rsidR="00155C55" w:rsidRPr="000B3455">
        <w:t xml:space="preserve">In addition, the decrease of stock options is more likely to be substituted for by cash bonuses in firms with high market performance and less likely in complex firms. </w:t>
      </w:r>
      <w:r w:rsidR="00810080" w:rsidRPr="000B3455">
        <w:t xml:space="preserve">Also the Dutch Corporate Governance Code contributed to the increasing costs of stock options. The Code required the inclusion of a vesting period for stock options, which diminished the perceived value of stock options for directors, since they could only exercise it after the vesting period was over. This leads to conclude that the Code and the introduction of IFRS 2 has caused </w:t>
      </w:r>
      <w:r w:rsidR="00810080" w:rsidRPr="000B3455">
        <w:lastRenderedPageBreak/>
        <w:t xml:space="preserve">a substitution from stock options compensation to share compensation in the remuneration of directors of companies listed at the Dutch stock exchange market. </w:t>
      </w:r>
      <w:r w:rsidR="00155C55" w:rsidRPr="000B3455">
        <w:t>A</w:t>
      </w:r>
      <w:r w:rsidR="00BD7203" w:rsidRPr="000B3455">
        <w:t xml:space="preserve">ccounting standards can be regarded as decisive in the decision-making behavior of managers. Specifically, this thesis shows that a change in accounting standards contributes to the change in decisions about remuneration practices of Dutch companies. </w:t>
      </w:r>
    </w:p>
    <w:p w:rsidR="00810080" w:rsidRPr="000B3455" w:rsidRDefault="00810080" w:rsidP="0088553E">
      <w:pPr>
        <w:spacing w:line="360" w:lineRule="auto"/>
        <w:jc w:val="both"/>
      </w:pPr>
    </w:p>
    <w:p w:rsidR="002637C5" w:rsidRPr="000B3455" w:rsidRDefault="002637C5" w:rsidP="0088553E">
      <w:pPr>
        <w:spacing w:line="360" w:lineRule="auto"/>
        <w:jc w:val="both"/>
      </w:pPr>
    </w:p>
    <w:p w:rsidR="00095FAD" w:rsidRPr="000B3455" w:rsidRDefault="00095FAD" w:rsidP="0088553E">
      <w:pPr>
        <w:spacing w:line="360" w:lineRule="auto"/>
        <w:jc w:val="both"/>
        <w:rPr>
          <w:b/>
        </w:rPr>
      </w:pPr>
      <w:r w:rsidRPr="000B3455">
        <w:rPr>
          <w:b/>
        </w:rPr>
        <w:br w:type="page"/>
      </w:r>
    </w:p>
    <w:p w:rsidR="00095FAD" w:rsidRPr="009A2779" w:rsidRDefault="00FB129A" w:rsidP="00ED7148">
      <w:pPr>
        <w:pStyle w:val="Kop1Thesis"/>
      </w:pPr>
      <w:bookmarkStart w:id="95" w:name="_Toc298944605"/>
      <w:r>
        <w:lastRenderedPageBreak/>
        <w:t xml:space="preserve">Chapter </w:t>
      </w:r>
      <w:r w:rsidR="00095FAD" w:rsidRPr="009A2779">
        <w:t>8</w:t>
      </w:r>
      <w:r>
        <w:t>:</w:t>
      </w:r>
      <w:r w:rsidR="00095FAD" w:rsidRPr="009A2779">
        <w:t xml:space="preserve"> Limitations and </w:t>
      </w:r>
      <w:r w:rsidR="00E64A6D">
        <w:t>f</w:t>
      </w:r>
      <w:r w:rsidR="00E64A6D" w:rsidRPr="009A2779">
        <w:t xml:space="preserve">uture </w:t>
      </w:r>
      <w:bookmarkEnd w:id="95"/>
      <w:r w:rsidR="00E64A6D">
        <w:t>r</w:t>
      </w:r>
      <w:r w:rsidR="00E64A6D" w:rsidRPr="009A2779">
        <w:t>esearch</w:t>
      </w:r>
    </w:p>
    <w:p w:rsidR="00DD26DF" w:rsidRPr="000B3455" w:rsidRDefault="00A62D2C" w:rsidP="0088553E">
      <w:pPr>
        <w:spacing w:line="360" w:lineRule="auto"/>
        <w:jc w:val="both"/>
      </w:pPr>
      <w:r>
        <w:br/>
      </w:r>
      <w:r w:rsidR="003C5988" w:rsidRPr="000B3455">
        <w:t xml:space="preserve">Although the research in this thesis is empirical, this is not without limitations. In this chapter, these limitations of the research in this thesis are </w:t>
      </w:r>
      <w:r w:rsidR="00DD26DF" w:rsidRPr="000B3455">
        <w:t>discussed</w:t>
      </w:r>
      <w:r w:rsidR="003C5988" w:rsidRPr="000B3455">
        <w:t xml:space="preserve">. In the next section several suggestions for future research </w:t>
      </w:r>
      <w:r w:rsidR="00DD26DF" w:rsidRPr="000B3455">
        <w:t xml:space="preserve">are made. </w:t>
      </w:r>
    </w:p>
    <w:p w:rsidR="00DD26DF" w:rsidRPr="000B3455" w:rsidRDefault="00DD26DF" w:rsidP="0088553E">
      <w:pPr>
        <w:pStyle w:val="Heading2"/>
        <w:spacing w:line="360" w:lineRule="auto"/>
        <w:jc w:val="both"/>
      </w:pPr>
      <w:bookmarkStart w:id="96" w:name="_Toc298944606"/>
      <w:r w:rsidRPr="000B3455">
        <w:t>8.1 Limitations</w:t>
      </w:r>
      <w:bookmarkEnd w:id="96"/>
    </w:p>
    <w:p w:rsidR="0063509C" w:rsidRPr="000B3455" w:rsidRDefault="00DD26DF" w:rsidP="0088553E">
      <w:pPr>
        <w:spacing w:line="360" w:lineRule="auto"/>
        <w:jc w:val="both"/>
      </w:pPr>
      <w:r w:rsidRPr="000B3455">
        <w:t>A first limitation that arises is the legal status of the RJ-guidelines in the Netherlands. A</w:t>
      </w:r>
      <w:r w:rsidR="00A22E32">
        <w:t>s companies we</w:t>
      </w:r>
      <w:r w:rsidRPr="000B3455">
        <w:t>re not legally committed to apply the guidelines of the RJ</w:t>
      </w:r>
      <w:r w:rsidR="00A22E32">
        <w:t xml:space="preserve"> before 2005, but to apply guidelines that we</w:t>
      </w:r>
      <w:r w:rsidRPr="000B3455">
        <w:t>re considered fair in Dutch so</w:t>
      </w:r>
      <w:r w:rsidR="00A22E32">
        <w:t>ciety, companies might not applied RJ-guidelines to their fullest in the sample period 2002-2005.</w:t>
      </w:r>
      <w:r w:rsidRPr="000B3455">
        <w:t xml:space="preserve"> However, </w:t>
      </w:r>
      <w:r w:rsidR="0063509C" w:rsidRPr="000B3455">
        <w:t>the RJ-guidelines are considered to direct to what acceptable guidelines in Dutch society are. Consequently, most companies apply the guidelines as developed by the RJ.</w:t>
      </w:r>
      <w:r w:rsidR="00337A3D">
        <w:t xml:space="preserve"> For the sample period 2005-2007</w:t>
      </w:r>
      <w:r w:rsidR="008E6808">
        <w:t>,</w:t>
      </w:r>
      <w:r w:rsidR="00337A3D">
        <w:t xml:space="preserve"> there are no limitations regarding the legal character of IFRS, as the full adoption of IFRS was mandatory.</w:t>
      </w:r>
    </w:p>
    <w:p w:rsidR="00DD26DF" w:rsidRPr="000B3455" w:rsidRDefault="0063509C" w:rsidP="0088553E">
      <w:pPr>
        <w:spacing w:line="360" w:lineRule="auto"/>
        <w:jc w:val="both"/>
      </w:pPr>
      <w:r w:rsidRPr="000B3455">
        <w:t xml:space="preserve">Second, missing data about the share price at grant date was replaced by the share price at year-end. As the share price at grant </w:t>
      </w:r>
      <w:r w:rsidR="00A13CB2" w:rsidRPr="000B3455">
        <w:t xml:space="preserve">date and at year-end may differ, the fair value of granted shares and stock options might be different from the actual fair value. This also leads to the third limitation. </w:t>
      </w:r>
    </w:p>
    <w:p w:rsidR="00A13CB2" w:rsidRPr="000B3455" w:rsidRDefault="00A13CB2" w:rsidP="0088553E">
      <w:pPr>
        <w:spacing w:line="360" w:lineRule="auto"/>
        <w:jc w:val="both"/>
      </w:pPr>
      <w:r w:rsidRPr="000B3455">
        <w:t>The fair value of stock options is calculated according to the Black-Scholes model. Although the Black-Scholes model meets the criteria for an option pricing model, the calculated fair value might differ from the fair value in the directors’ perception</w:t>
      </w:r>
      <w:r w:rsidR="009C6939" w:rsidRPr="000B3455">
        <w:t xml:space="preserve"> or the actual fair value. As Brown and Szimayer (200</w:t>
      </w:r>
      <w:r w:rsidR="002A512D" w:rsidRPr="000B3455">
        <w:t>8</w:t>
      </w:r>
      <w:r w:rsidR="009C6939" w:rsidRPr="000B3455">
        <w:t>) argue that performance hurdles</w:t>
      </w:r>
      <w:r w:rsidR="00BE1D7D" w:rsidRPr="000B3455">
        <w:t xml:space="preserve"> and stochastic volatility</w:t>
      </w:r>
      <w:r w:rsidR="009C6939" w:rsidRPr="000B3455">
        <w:t xml:space="preserve"> included in stock options for executives are actually lowering the fair value of stock options, the calculated fair value is too high. Additionally, </w:t>
      </w:r>
      <w:r w:rsidR="00BE1D7D" w:rsidRPr="000B3455">
        <w:t>Huddart</w:t>
      </w:r>
      <w:r w:rsidR="005C5A75" w:rsidRPr="000B3455">
        <w:t xml:space="preserve"> (1994</w:t>
      </w:r>
      <w:r w:rsidR="00BE1D7D" w:rsidRPr="000B3455">
        <w:t>, pp</w:t>
      </w:r>
      <w:r w:rsidR="003D4C0F" w:rsidRPr="000B3455">
        <w:t>.</w:t>
      </w:r>
      <w:r w:rsidR="00BE1D7D" w:rsidRPr="000B3455">
        <w:t xml:space="preserve"> </w:t>
      </w:r>
      <w:r w:rsidR="005C5A75" w:rsidRPr="000B3455">
        <w:t>22</w:t>
      </w:r>
      <w:r w:rsidR="002B55BD" w:rsidRPr="000B3455">
        <w:t>3</w:t>
      </w:r>
      <w:r w:rsidR="00BE1D7D" w:rsidRPr="000B3455">
        <w:t>-</w:t>
      </w:r>
      <w:r w:rsidR="005C5A75" w:rsidRPr="000B3455">
        <w:t>22</w:t>
      </w:r>
      <w:r w:rsidR="002B55BD" w:rsidRPr="000B3455">
        <w:t>4</w:t>
      </w:r>
      <w:r w:rsidR="00BE1D7D" w:rsidRPr="000B3455">
        <w:t xml:space="preserve">) shows that the vesting conditions involved in granted stock options also reduce the fair value. </w:t>
      </w:r>
    </w:p>
    <w:p w:rsidR="009C6939" w:rsidRPr="000B3455" w:rsidRDefault="009C6939" w:rsidP="0088553E">
      <w:pPr>
        <w:spacing w:line="360" w:lineRule="auto"/>
        <w:jc w:val="both"/>
      </w:pPr>
      <w:r w:rsidRPr="000B3455">
        <w:t xml:space="preserve">The fourth limitation arises from the sample size. For hypotheses 1, 3 and 4 the sample size consisted of 34 firms, each with 6 firm years for hypothesis 1 and 5 firm years for hypotheses 3 and 4. For hypothesis 2, the sample yielded 29 firms and 6 firm years each. Accordingly, the sample sizes </w:t>
      </w:r>
      <w:r w:rsidR="00685E9C" w:rsidRPr="000B3455">
        <w:t>may be too</w:t>
      </w:r>
      <w:r w:rsidRPr="000B3455">
        <w:t xml:space="preserve"> small to make strong conclusions</w:t>
      </w:r>
      <w:r w:rsidR="007F1381" w:rsidRPr="000B3455">
        <w:t xml:space="preserve"> beyond the used samples. </w:t>
      </w:r>
    </w:p>
    <w:p w:rsidR="0000127B" w:rsidRPr="000B3455" w:rsidRDefault="0000127B" w:rsidP="0088553E">
      <w:pPr>
        <w:spacing w:line="360" w:lineRule="auto"/>
        <w:jc w:val="both"/>
      </w:pPr>
      <w:r w:rsidRPr="000B3455">
        <w:t xml:space="preserve">The explanatory variables used in the regression models are proxies for several factors. One limitation is that those proxies do not represent the factor. For example, board size is considered as a proxy for the complexity of a company, but it may be that less complex companies have a relatively large board. </w:t>
      </w:r>
      <w:r w:rsidRPr="000B3455">
        <w:lastRenderedPageBreak/>
        <w:t xml:space="preserve">Additionally, the regression models control for a firm’s market performance, whereas the firm’s accounting performance </w:t>
      </w:r>
      <w:r w:rsidR="00EF0733" w:rsidRPr="000B3455">
        <w:t>may predict the dependent variable.</w:t>
      </w:r>
    </w:p>
    <w:p w:rsidR="00600787" w:rsidRPr="000B3455" w:rsidRDefault="00600787" w:rsidP="0088553E">
      <w:pPr>
        <w:spacing w:line="360" w:lineRule="auto"/>
        <w:jc w:val="both"/>
      </w:pPr>
      <w:r w:rsidRPr="000B3455">
        <w:t xml:space="preserve">Another limitation is that the impact of Article 383c, the Dutch Corporate Governance Code, and the introduction of IFRS 2 is indicated by year dummies. They all lack a causal relation with the change in remuneration practices. </w:t>
      </w:r>
    </w:p>
    <w:p w:rsidR="00685E9C" w:rsidRPr="000B3455" w:rsidRDefault="00685E9C" w:rsidP="0088553E">
      <w:pPr>
        <w:spacing w:line="360" w:lineRule="auto"/>
        <w:jc w:val="both"/>
      </w:pPr>
      <w:r w:rsidRPr="000B3455">
        <w:t xml:space="preserve">Finally, the </w:t>
      </w:r>
      <w:r w:rsidR="00600787" w:rsidRPr="000B3455">
        <w:t>seventh</w:t>
      </w:r>
      <w:r w:rsidRPr="000B3455">
        <w:t xml:space="preserve"> limitation involves the endogeneity problem. While in the regression models several variables are included that should predict the outcome, there may be other, not included variables that are determinable for the value of the dependent variable. </w:t>
      </w:r>
      <w:r w:rsidR="0000127B" w:rsidRPr="000B3455">
        <w:t>Some factors, that are not considered, might be the influence of tax regimes</w:t>
      </w:r>
      <w:r w:rsidR="00EF0733" w:rsidRPr="000B3455">
        <w:t xml:space="preserve">, </w:t>
      </w:r>
      <w:r w:rsidR="0000127B" w:rsidRPr="000B3455">
        <w:t>preferences of directors or remuneration committees</w:t>
      </w:r>
      <w:r w:rsidR="00EF0733" w:rsidRPr="000B3455">
        <w:t>, or, consistent with the fifth limitation, a firm’s accounting performance.</w:t>
      </w:r>
    </w:p>
    <w:p w:rsidR="00EF0733" w:rsidRPr="000B3455" w:rsidRDefault="00EF0733" w:rsidP="0088553E">
      <w:pPr>
        <w:pStyle w:val="Heading2"/>
        <w:spacing w:line="360" w:lineRule="auto"/>
        <w:jc w:val="both"/>
      </w:pPr>
      <w:bookmarkStart w:id="97" w:name="_Ref298855655"/>
      <w:bookmarkStart w:id="98" w:name="_Toc298944607"/>
      <w:r w:rsidRPr="000B3455">
        <w:t>8.2 Future research</w:t>
      </w:r>
      <w:bookmarkEnd w:id="97"/>
      <w:bookmarkEnd w:id="98"/>
    </w:p>
    <w:p w:rsidR="00EF0733" w:rsidRPr="000B3455" w:rsidRDefault="00D27B2E" w:rsidP="0088553E">
      <w:pPr>
        <w:spacing w:line="360" w:lineRule="auto"/>
        <w:jc w:val="both"/>
      </w:pPr>
      <w:r w:rsidRPr="000B3455">
        <w:t>The research in this thesis tries to illustrate what the economic consequences of the introduction of IFRS 2 are. The results provide support that IFRS 2, in combination with the Dutch Corporate Governance Code, has caused a change in the remuneration practices of Dutch-listed companies. It may be interesting to investigate the perceptions of executives regarding remuneration</w:t>
      </w:r>
      <w:r w:rsidR="003A78D7" w:rsidRPr="000B3455">
        <w:t xml:space="preserve"> and how the adoption of the fair value method has altered those perceptions</w:t>
      </w:r>
      <w:r w:rsidR="00DB4E16" w:rsidRPr="000B3455">
        <w:t xml:space="preserve">. Although this topic belongs more to the field of management accounting, this may provide a large contribution to the study on economic consequences of IFRS 2. </w:t>
      </w:r>
    </w:p>
    <w:p w:rsidR="003A78D7" w:rsidRPr="000B3455" w:rsidRDefault="003A78D7" w:rsidP="0088553E">
      <w:pPr>
        <w:spacing w:line="360" w:lineRule="auto"/>
        <w:jc w:val="both"/>
      </w:pPr>
      <w:r w:rsidRPr="000B3455">
        <w:t>Alternatively, the effectiveness of several forms of compensation may be investigated to provide an understanding in how well remuneration works and to find an answer if shares are really more efficient than stock options in a management perspective as well as in shareholders’ perspective.</w:t>
      </w:r>
    </w:p>
    <w:p w:rsidR="00DB4E16" w:rsidRPr="000B3455" w:rsidRDefault="003A78D7" w:rsidP="0088553E">
      <w:pPr>
        <w:spacing w:line="360" w:lineRule="auto"/>
        <w:jc w:val="both"/>
      </w:pPr>
      <w:r w:rsidRPr="000B3455">
        <w:t>Third</w:t>
      </w:r>
      <w:r w:rsidR="00DB4E16" w:rsidRPr="000B3455">
        <w:t>, this study focuses only on the change in remuneration in the Netherlands. As compliance with IFRS 2 was mandatory for all European listed companies, this new standard may have affected remuneration practices in other countries as well. A comparison among the consequences of IFRS 2 in different countries also contributes to the understanding of IFRS 2’s economic consequences.</w:t>
      </w:r>
    </w:p>
    <w:p w:rsidR="004712FF" w:rsidRPr="000B3455" w:rsidRDefault="00095FAD" w:rsidP="00ED7148">
      <w:pPr>
        <w:pStyle w:val="Kop1Thesis"/>
      </w:pPr>
      <w:r w:rsidRPr="000B3455">
        <w:br w:type="page"/>
      </w:r>
      <w:bookmarkStart w:id="99" w:name="_Toc298944608"/>
      <w:r w:rsidR="004712FF" w:rsidRPr="000B3455">
        <w:lastRenderedPageBreak/>
        <w:t>References</w:t>
      </w:r>
      <w:bookmarkEnd w:id="99"/>
    </w:p>
    <w:p w:rsidR="00A62D2C" w:rsidRDefault="00A62D2C" w:rsidP="00FC4274">
      <w:pPr>
        <w:spacing w:line="360" w:lineRule="auto"/>
        <w:ind w:left="709" w:hanging="709"/>
        <w:jc w:val="both"/>
      </w:pPr>
    </w:p>
    <w:p w:rsidR="002A512D" w:rsidRPr="000B3455" w:rsidRDefault="002A512D" w:rsidP="00FC4274">
      <w:pPr>
        <w:spacing w:line="360" w:lineRule="auto"/>
        <w:ind w:left="709" w:hanging="709"/>
        <w:jc w:val="both"/>
      </w:pPr>
      <w:r w:rsidRPr="000B3455">
        <w:t xml:space="preserve">Aboody, D., M.E. Barth, and R. Kasznik. 2004. Firms’ Voluntary Recognition of Stock-Based Compensation Expense. </w:t>
      </w:r>
      <w:r w:rsidRPr="000B3455">
        <w:rPr>
          <w:i/>
        </w:rPr>
        <w:t xml:space="preserve">Journal of Accounting Research </w:t>
      </w:r>
      <w:r w:rsidRPr="000B3455">
        <w:t>42(2): 123-150.</w:t>
      </w:r>
    </w:p>
    <w:p w:rsidR="004712FF" w:rsidRPr="003E5AB5" w:rsidRDefault="004712FF" w:rsidP="00FC4274">
      <w:pPr>
        <w:spacing w:line="360" w:lineRule="auto"/>
        <w:ind w:left="709" w:hanging="709"/>
        <w:jc w:val="both"/>
      </w:pPr>
      <w:r w:rsidRPr="000B3455">
        <w:t xml:space="preserve">Aboody, D., and R. Kasznik. 2009. Executive Compensation and Financial Accounting. </w:t>
      </w:r>
      <w:r w:rsidRPr="000B3455">
        <w:rPr>
          <w:i/>
        </w:rPr>
        <w:t xml:space="preserve">Foundations and Trends </w:t>
      </w:r>
      <w:r w:rsidRPr="000B3455">
        <w:rPr>
          <w:rFonts w:cstheme="minorHAnsi"/>
          <w:i/>
        </w:rPr>
        <w:t>®</w:t>
      </w:r>
      <w:r w:rsidRPr="000B3455">
        <w:rPr>
          <w:i/>
        </w:rPr>
        <w:t xml:space="preserve"> in Accounting</w:t>
      </w:r>
      <w:r w:rsidRPr="000B3455">
        <w:t xml:space="preserve"> 4(2): 113-198.</w:t>
      </w:r>
    </w:p>
    <w:p w:rsidR="004712FF" w:rsidRPr="000B3455" w:rsidRDefault="004712FF" w:rsidP="00FC4274">
      <w:pPr>
        <w:spacing w:line="360" w:lineRule="auto"/>
        <w:ind w:left="709" w:hanging="709"/>
        <w:jc w:val="both"/>
      </w:pPr>
      <w:r w:rsidRPr="001E123E">
        <w:t xml:space="preserve">Akkermans, D., H. van Ees, N. Hermes, R. Hooghiemstra, G. van der Laan, T. Postma, and A. van Witteloostuijn. </w:t>
      </w:r>
      <w:r w:rsidRPr="000B3455">
        <w:t xml:space="preserve">2007. Corporate Governance in the Netherlands: an overview of the application of the Tabaksblat Code in 2004. </w:t>
      </w:r>
      <w:r w:rsidRPr="000B3455">
        <w:rPr>
          <w:i/>
        </w:rPr>
        <w:t>Corporate Governance</w:t>
      </w:r>
      <w:r w:rsidRPr="000B3455">
        <w:t xml:space="preserve"> 15(6): 1106-1118.</w:t>
      </w:r>
    </w:p>
    <w:p w:rsidR="004712FF" w:rsidRPr="000B3455" w:rsidRDefault="004712FF" w:rsidP="00FC4274">
      <w:pPr>
        <w:spacing w:line="360" w:lineRule="auto"/>
        <w:ind w:left="709" w:hanging="709"/>
        <w:jc w:val="both"/>
      </w:pPr>
      <w:r w:rsidRPr="000B3455">
        <w:t xml:space="preserve">Alfredson, K., K. Leo, R. Picker, J. Loftus, K. Clark, and V. Wise. 2009. </w:t>
      </w:r>
      <w:r w:rsidRPr="000B3455">
        <w:rPr>
          <w:i/>
        </w:rPr>
        <w:t>Applying International Financial Reporting Standards</w:t>
      </w:r>
      <w:r w:rsidRPr="000B3455">
        <w:t>. 2nd edition. Milton, Queensland, Australia: John Wiley &amp; Sons.</w:t>
      </w:r>
    </w:p>
    <w:p w:rsidR="001479AA" w:rsidRDefault="001479AA" w:rsidP="00FC4274">
      <w:pPr>
        <w:spacing w:line="360" w:lineRule="auto"/>
        <w:ind w:left="709" w:hanging="709"/>
        <w:jc w:val="both"/>
      </w:pPr>
      <w:r>
        <w:t xml:space="preserve">Arya, A., and B. Mittendorf. 2005. Offering stock options to gauge managerial talent. </w:t>
      </w:r>
      <w:r w:rsidRPr="001479AA">
        <w:rPr>
          <w:i/>
        </w:rPr>
        <w:t xml:space="preserve">Journal of Accounting and Economics </w:t>
      </w:r>
      <w:r>
        <w:t>40: 189-210.</w:t>
      </w:r>
    </w:p>
    <w:p w:rsidR="004712FF" w:rsidRPr="000B3455" w:rsidRDefault="004712FF" w:rsidP="00FC4274">
      <w:pPr>
        <w:spacing w:line="360" w:lineRule="auto"/>
        <w:ind w:left="709" w:hanging="709"/>
        <w:jc w:val="both"/>
      </w:pPr>
      <w:r w:rsidRPr="000B3455">
        <w:t>Beattie, V., A. Goodacre, and S.J. Thomson. 2006. International lease-accounting reform and economic consequences: The views of U.K. users and preparers</w:t>
      </w:r>
      <w:r w:rsidRPr="000B3455">
        <w:rPr>
          <w:i/>
        </w:rPr>
        <w:t>. The International Journal of Accounting</w:t>
      </w:r>
      <w:r w:rsidRPr="000B3455">
        <w:t xml:space="preserve"> 41: 75-103.</w:t>
      </w:r>
    </w:p>
    <w:p w:rsidR="004712FF" w:rsidRPr="000B3455" w:rsidRDefault="00263475" w:rsidP="00FC4274">
      <w:pPr>
        <w:spacing w:line="360" w:lineRule="auto"/>
        <w:ind w:left="709" w:hanging="709"/>
        <w:jc w:val="both"/>
      </w:pPr>
      <w:r w:rsidRPr="000B3455">
        <w:t xml:space="preserve">Berk, J. </w:t>
      </w:r>
      <w:r w:rsidR="004712FF" w:rsidRPr="000B3455">
        <w:t xml:space="preserve">and </w:t>
      </w:r>
      <w:r w:rsidRPr="000B3455">
        <w:t xml:space="preserve">P. </w:t>
      </w:r>
      <w:r w:rsidR="004712FF" w:rsidRPr="000B3455">
        <w:t>DeMarzo</w:t>
      </w:r>
      <w:r w:rsidRPr="000B3455">
        <w:t xml:space="preserve">. </w:t>
      </w:r>
      <w:r w:rsidR="004712FF" w:rsidRPr="003E5AB5">
        <w:t>2007</w:t>
      </w:r>
      <w:r w:rsidRPr="003E5AB5">
        <w:t xml:space="preserve">. </w:t>
      </w:r>
      <w:r w:rsidRPr="003E5AB5">
        <w:rPr>
          <w:i/>
        </w:rPr>
        <w:t>Corporate Finance</w:t>
      </w:r>
      <w:r w:rsidRPr="003E5AB5">
        <w:t xml:space="preserve">. </w:t>
      </w:r>
      <w:r w:rsidR="00E629A1" w:rsidRPr="000B3455">
        <w:t>Boston, MA: Pearson Education.</w:t>
      </w:r>
    </w:p>
    <w:p w:rsidR="004712FF" w:rsidRPr="000B3455" w:rsidRDefault="004712FF" w:rsidP="00FC4274">
      <w:pPr>
        <w:spacing w:line="360" w:lineRule="auto"/>
        <w:ind w:left="709" w:hanging="709"/>
        <w:jc w:val="both"/>
      </w:pPr>
      <w:r w:rsidRPr="000B3455">
        <w:t>Bosman</w:t>
      </w:r>
      <w:r w:rsidR="0051675B" w:rsidRPr="000B3455">
        <w:t>, R.G., C. Camfferman, and R.G.A. Vergoossen.</w:t>
      </w:r>
      <w:r w:rsidRPr="000B3455">
        <w:t xml:space="preserve"> </w:t>
      </w:r>
      <w:r w:rsidRPr="000B3455">
        <w:rPr>
          <w:lang w:val="nl-NL"/>
        </w:rPr>
        <w:t>2006</w:t>
      </w:r>
      <w:r w:rsidR="00263475" w:rsidRPr="000B3455">
        <w:rPr>
          <w:lang w:val="nl-NL"/>
        </w:rPr>
        <w:t>. Het jaar 2005 verslagen</w:t>
      </w:r>
      <w:r w:rsidR="0051675B" w:rsidRPr="000B3455">
        <w:rPr>
          <w:lang w:val="nl-NL"/>
        </w:rPr>
        <w:t xml:space="preserve">: Onderzoek jaarverslaggeving ondernemingen. </w:t>
      </w:r>
      <w:r w:rsidR="0051675B" w:rsidRPr="000B3455">
        <w:t>Amsterdam, The Netherlands: Kluwer.</w:t>
      </w:r>
    </w:p>
    <w:p w:rsidR="008013F6" w:rsidRPr="000B3455" w:rsidRDefault="008013F6" w:rsidP="008013F6">
      <w:pPr>
        <w:spacing w:line="360" w:lineRule="auto"/>
        <w:ind w:left="709" w:hanging="709"/>
        <w:jc w:val="both"/>
        <w:rPr>
          <w:bCs/>
        </w:rPr>
      </w:pPr>
      <w:r w:rsidRPr="000B3455">
        <w:t xml:space="preserve">Brown, L.D., and Y. Lee. 2007. </w:t>
      </w:r>
      <w:r w:rsidRPr="000B3455">
        <w:rPr>
          <w:bCs/>
        </w:rPr>
        <w:t>The Impact of SFAS 123R on Changes in Option-Based Compensation. Working paper, Georgia State University.</w:t>
      </w:r>
    </w:p>
    <w:p w:rsidR="004712FF" w:rsidRPr="000B3455" w:rsidRDefault="009C6939" w:rsidP="00FC4274">
      <w:pPr>
        <w:spacing w:line="360" w:lineRule="auto"/>
        <w:ind w:left="709" w:hanging="709"/>
        <w:jc w:val="both"/>
      </w:pPr>
      <w:r w:rsidRPr="000B3455">
        <w:t>Brown</w:t>
      </w:r>
      <w:r w:rsidR="0051675B" w:rsidRPr="000B3455">
        <w:t>, P.,</w:t>
      </w:r>
      <w:r w:rsidRPr="000B3455">
        <w:t xml:space="preserve"> and </w:t>
      </w:r>
      <w:r w:rsidR="0051675B" w:rsidRPr="000B3455">
        <w:t xml:space="preserve">A. </w:t>
      </w:r>
      <w:r w:rsidRPr="000B3455">
        <w:t>Szimayer</w:t>
      </w:r>
      <w:r w:rsidR="0051675B" w:rsidRPr="000B3455">
        <w:t>.</w:t>
      </w:r>
      <w:r w:rsidRPr="000B3455">
        <w:t xml:space="preserve"> </w:t>
      </w:r>
      <w:r w:rsidR="0051675B" w:rsidRPr="000B3455">
        <w:t xml:space="preserve">2008. Valuing executive stock options: performance hurdles, early exercise and stochastic volatility. </w:t>
      </w:r>
      <w:r w:rsidR="0051675B" w:rsidRPr="000B3455">
        <w:rPr>
          <w:i/>
        </w:rPr>
        <w:t>Accounting and Finance</w:t>
      </w:r>
      <w:r w:rsidR="0051675B" w:rsidRPr="000B3455">
        <w:t xml:space="preserve"> 48(3): 363-389.</w:t>
      </w:r>
    </w:p>
    <w:p w:rsidR="003D4C0F" w:rsidRPr="000B3455" w:rsidRDefault="003D4C0F" w:rsidP="00FC4274">
      <w:pPr>
        <w:spacing w:line="360" w:lineRule="auto"/>
        <w:ind w:left="709" w:hanging="709"/>
        <w:jc w:val="both"/>
      </w:pPr>
      <w:r w:rsidRPr="000B3455">
        <w:rPr>
          <w:bCs/>
        </w:rPr>
        <w:t xml:space="preserve">Bryan, S., L. Hwang, and S. Lilien. 2000. CEO Stock-Based Compensation: An Empirical Analysis of Incentive-Intensity, Relative Mix, and Economic Determinants. </w:t>
      </w:r>
      <w:r w:rsidRPr="000B3455">
        <w:rPr>
          <w:bCs/>
          <w:i/>
        </w:rPr>
        <w:t>The Journal of Business</w:t>
      </w:r>
      <w:r w:rsidRPr="000B3455">
        <w:rPr>
          <w:bCs/>
        </w:rPr>
        <w:t xml:space="preserve"> 73(4): 661-693.</w:t>
      </w:r>
    </w:p>
    <w:p w:rsidR="004712FF" w:rsidRPr="000B3455" w:rsidRDefault="004712FF" w:rsidP="00FC4274">
      <w:pPr>
        <w:spacing w:line="360" w:lineRule="auto"/>
        <w:ind w:left="709" w:hanging="709"/>
        <w:jc w:val="both"/>
      </w:pPr>
      <w:r w:rsidRPr="000B3455">
        <w:lastRenderedPageBreak/>
        <w:t xml:space="preserve">Carter, M.E., L.J. Lynch, and I. Tuna. 2007. The Role of Accounting in the Design of CEO Equity Compensation. </w:t>
      </w:r>
      <w:r w:rsidRPr="000B3455">
        <w:rPr>
          <w:i/>
        </w:rPr>
        <w:t>The Accounting Review</w:t>
      </w:r>
      <w:r w:rsidRPr="000B3455">
        <w:t xml:space="preserve"> 82 (2): 327-357.</w:t>
      </w:r>
    </w:p>
    <w:p w:rsidR="00FC4274" w:rsidRDefault="00FC4274" w:rsidP="00FC4274">
      <w:pPr>
        <w:spacing w:line="360" w:lineRule="auto"/>
        <w:ind w:left="709" w:hanging="709"/>
        <w:jc w:val="both"/>
      </w:pPr>
      <w:r>
        <w:t xml:space="preserve">Chalmers, K., and J.M. Godfrey. 2005. Expensing stock-based payments: A material concern? </w:t>
      </w:r>
      <w:r w:rsidRPr="001351C2">
        <w:rPr>
          <w:i/>
        </w:rPr>
        <w:t>Journal of International Accounting, Auditing and Taxation</w:t>
      </w:r>
      <w:r>
        <w:t xml:space="preserve"> 14 (2): 157-173.</w:t>
      </w:r>
    </w:p>
    <w:p w:rsidR="004712FF" w:rsidRPr="000B3455" w:rsidRDefault="004712FF" w:rsidP="00FC4274">
      <w:pPr>
        <w:spacing w:line="360" w:lineRule="auto"/>
        <w:ind w:left="709" w:hanging="709"/>
        <w:jc w:val="both"/>
      </w:pPr>
      <w:r w:rsidRPr="000B3455">
        <w:t xml:space="preserve">Chalmers, K., P. Koh, and G. Stapledon. 2006. The determinants of CEO compensation: Rent extraction or labour demand? </w:t>
      </w:r>
      <w:r w:rsidRPr="000B3455">
        <w:rPr>
          <w:i/>
        </w:rPr>
        <w:t>The British Accounting Review</w:t>
      </w:r>
      <w:r w:rsidRPr="000B3455">
        <w:t xml:space="preserve"> 38: 259-275.</w:t>
      </w:r>
    </w:p>
    <w:p w:rsidR="004712FF" w:rsidRPr="000B3455" w:rsidRDefault="004712FF" w:rsidP="00FC4274">
      <w:pPr>
        <w:spacing w:line="360" w:lineRule="auto"/>
        <w:ind w:left="709" w:hanging="709"/>
        <w:jc w:val="both"/>
      </w:pPr>
      <w:r w:rsidRPr="000B3455">
        <w:t>Choudhary, P. 2008. The Economic Consequences of Recognition versus Disclosure: Evidence from Employee Stock Options. Dissertation, Georgetown University, Washington D.C., WA.</w:t>
      </w:r>
    </w:p>
    <w:p w:rsidR="004712FF" w:rsidRPr="000B3455" w:rsidRDefault="004712FF" w:rsidP="00FC4274">
      <w:pPr>
        <w:spacing w:line="360" w:lineRule="auto"/>
        <w:ind w:left="709" w:hanging="709"/>
        <w:jc w:val="both"/>
        <w:rPr>
          <w:rFonts w:cstheme="minorHAnsi"/>
        </w:rPr>
      </w:pPr>
      <w:r w:rsidRPr="000B3455">
        <w:rPr>
          <w:rFonts w:cstheme="minorHAnsi"/>
        </w:rPr>
        <w:t xml:space="preserve">Core, J.E., and W.R. Guay. 2001. Stock option plans for non-executive employees. </w:t>
      </w:r>
      <w:r w:rsidRPr="000B3455">
        <w:rPr>
          <w:rFonts w:cstheme="minorHAnsi"/>
          <w:i/>
        </w:rPr>
        <w:t>Journal of Financial Economics</w:t>
      </w:r>
      <w:r w:rsidRPr="000B3455">
        <w:rPr>
          <w:rFonts w:cstheme="minorHAnsi"/>
        </w:rPr>
        <w:t xml:space="preserve"> 61:</w:t>
      </w:r>
      <w:r w:rsidR="00194670">
        <w:rPr>
          <w:rFonts w:cstheme="minorHAnsi"/>
        </w:rPr>
        <w:t xml:space="preserve"> </w:t>
      </w:r>
      <w:r w:rsidRPr="000B3455">
        <w:rPr>
          <w:rFonts w:cstheme="minorHAnsi"/>
        </w:rPr>
        <w:t>253-287.</w:t>
      </w:r>
    </w:p>
    <w:p w:rsidR="005D5941" w:rsidRDefault="005D5941" w:rsidP="00FC4274">
      <w:pPr>
        <w:spacing w:line="360" w:lineRule="auto"/>
        <w:ind w:left="709" w:hanging="709"/>
        <w:jc w:val="both"/>
      </w:pPr>
      <w:r>
        <w:t xml:space="preserve">Corporate Governance Committee. 2003. </w:t>
      </w:r>
      <w:r w:rsidRPr="005D5941">
        <w:rPr>
          <w:i/>
        </w:rPr>
        <w:t>The Dutch Corporate Governance Code: Principles of good corporate governance and best practice provisions</w:t>
      </w:r>
      <w:r>
        <w:t>. The Hague.</w:t>
      </w:r>
    </w:p>
    <w:p w:rsidR="00FC4274" w:rsidRPr="001351C2" w:rsidRDefault="00FC4274" w:rsidP="00FC4274">
      <w:pPr>
        <w:spacing w:line="360" w:lineRule="auto"/>
        <w:ind w:left="709" w:hanging="709"/>
        <w:jc w:val="both"/>
      </w:pPr>
      <w:r>
        <w:t xml:space="preserve">Cotter, J., and I. Zimmer. 2003. </w:t>
      </w:r>
      <w:r w:rsidRPr="001351C2">
        <w:rPr>
          <w:bCs/>
        </w:rPr>
        <w:t>Disclosure versus recognition: The case of asset revaluations</w:t>
      </w:r>
      <w:r w:rsidRPr="001351C2">
        <w:rPr>
          <w:bCs/>
          <w:i/>
        </w:rPr>
        <w:t xml:space="preserve">. Asia-Pacific Journal of Accounting and Economics </w:t>
      </w:r>
      <w:r>
        <w:rPr>
          <w:bCs/>
        </w:rPr>
        <w:t>10: 81-99.</w:t>
      </w:r>
    </w:p>
    <w:p w:rsidR="00FC4274" w:rsidRDefault="00FC4274" w:rsidP="00FC4274">
      <w:pPr>
        <w:spacing w:line="360" w:lineRule="auto"/>
        <w:ind w:left="709" w:hanging="709"/>
        <w:jc w:val="both"/>
      </w:pPr>
      <w:r>
        <w:t xml:space="preserve">Dechow, P.M., A.P. Hutton, and R.G. Sloan. 1996. Economic Consequences of Accounting for Stock-Based Compensation. </w:t>
      </w:r>
      <w:r w:rsidRPr="001351C2">
        <w:rPr>
          <w:i/>
        </w:rPr>
        <w:t>Journal of Accounting Research</w:t>
      </w:r>
      <w:r>
        <w:t xml:space="preserve"> 34: 1-20.</w:t>
      </w:r>
    </w:p>
    <w:p w:rsidR="00FC4274" w:rsidRPr="00C71251" w:rsidRDefault="00FC4274" w:rsidP="00FC4274">
      <w:pPr>
        <w:spacing w:line="360" w:lineRule="auto"/>
        <w:ind w:left="709" w:hanging="709"/>
        <w:jc w:val="both"/>
        <w:rPr>
          <w:lang w:val="nl-NL"/>
        </w:rPr>
      </w:pPr>
      <w:r>
        <w:t xml:space="preserve">Deshmukh, S., K.M. Howe and C. Luft. 2006. Executive Stock Options: To Expense or Not? </w:t>
      </w:r>
      <w:r w:rsidRPr="00C71251">
        <w:rPr>
          <w:i/>
          <w:lang w:val="nl-NL"/>
        </w:rPr>
        <w:t xml:space="preserve">Financial Management </w:t>
      </w:r>
      <w:r w:rsidRPr="00C71251">
        <w:rPr>
          <w:lang w:val="nl-NL"/>
        </w:rPr>
        <w:t>35 (Spring): 87-106.</w:t>
      </w:r>
    </w:p>
    <w:p w:rsidR="004712FF" w:rsidRPr="000B3455" w:rsidRDefault="004712FF" w:rsidP="00FC4274">
      <w:pPr>
        <w:spacing w:line="360" w:lineRule="auto"/>
        <w:ind w:left="709" w:hanging="709"/>
        <w:jc w:val="both"/>
      </w:pPr>
      <w:r w:rsidRPr="00C71251">
        <w:rPr>
          <w:lang w:val="nl-NL"/>
        </w:rPr>
        <w:t xml:space="preserve">Ernst &amp; Young. 2004. </w:t>
      </w:r>
      <w:r w:rsidRPr="00C71251">
        <w:rPr>
          <w:i/>
          <w:lang w:val="nl-NL"/>
        </w:rPr>
        <w:t>International Financial Reporting Standards: Vergelijking met Nederlandse wet- en regelgeving.</w:t>
      </w:r>
      <w:r w:rsidRPr="00C71251">
        <w:rPr>
          <w:lang w:val="nl-NL"/>
        </w:rPr>
        <w:t xml:space="preserve"> </w:t>
      </w:r>
      <w:r w:rsidRPr="000B3455">
        <w:t>Fifth edition. Rotterdam, The Netherlands: Directoraat Vaktechniek.</w:t>
      </w:r>
    </w:p>
    <w:p w:rsidR="004712FF" w:rsidRPr="000B3455" w:rsidRDefault="004712FF" w:rsidP="00FC4274">
      <w:pPr>
        <w:spacing w:line="360" w:lineRule="auto"/>
        <w:ind w:left="709" w:hanging="709"/>
        <w:jc w:val="both"/>
      </w:pPr>
      <w:r w:rsidRPr="000B3455">
        <w:t xml:space="preserve">Farber, D.B., M.F. Johnson, and K.R. Petroni. 2007. </w:t>
      </w:r>
      <w:r w:rsidRPr="000B3455">
        <w:rPr>
          <w:bCs/>
        </w:rPr>
        <w:t xml:space="preserve">Congressional Intervention in the Standard-Setting Process: An Analysis of the Stock Option Accounting Reform Act of 2004. </w:t>
      </w:r>
      <w:r w:rsidRPr="000B3455">
        <w:rPr>
          <w:bCs/>
          <w:i/>
        </w:rPr>
        <w:t>Accounting Horizons</w:t>
      </w:r>
      <w:r w:rsidRPr="000B3455">
        <w:rPr>
          <w:bCs/>
        </w:rPr>
        <w:t xml:space="preserve"> 21 (1): 1-22.</w:t>
      </w:r>
    </w:p>
    <w:p w:rsidR="004712FF" w:rsidRPr="000B3455" w:rsidRDefault="004712FF" w:rsidP="00FC4274">
      <w:pPr>
        <w:spacing w:line="360" w:lineRule="auto"/>
        <w:ind w:left="709" w:hanging="709"/>
        <w:jc w:val="both"/>
      </w:pPr>
      <w:r w:rsidRPr="000B3455">
        <w:t>Feng, Y., and Y.S. Tian. 2007. Option Expensing and Executive Compensation. Working paper, York University, Toronto, Ontario, Canada.</w:t>
      </w:r>
    </w:p>
    <w:p w:rsidR="004712FF" w:rsidRPr="000B3455" w:rsidRDefault="004712FF" w:rsidP="00FC4274">
      <w:pPr>
        <w:spacing w:line="360" w:lineRule="auto"/>
        <w:ind w:left="709" w:hanging="709"/>
        <w:jc w:val="both"/>
      </w:pPr>
      <w:r w:rsidRPr="000B3455">
        <w:t>Field</w:t>
      </w:r>
      <w:r w:rsidR="00263475" w:rsidRPr="000B3455">
        <w:t>, A.</w:t>
      </w:r>
      <w:r w:rsidRPr="000B3455">
        <w:t xml:space="preserve"> 2005</w:t>
      </w:r>
      <w:r w:rsidR="00263475" w:rsidRPr="000B3455">
        <w:t xml:space="preserve">. </w:t>
      </w:r>
      <w:r w:rsidR="00263475" w:rsidRPr="000B3455">
        <w:rPr>
          <w:i/>
        </w:rPr>
        <w:t>Discovering Statistics Using SPSS</w:t>
      </w:r>
      <w:r w:rsidR="00263475" w:rsidRPr="000B3455">
        <w:t>.</w:t>
      </w:r>
      <w:r w:rsidR="002A512D" w:rsidRPr="000B3455">
        <w:t xml:space="preserve"> 2nd edition. London, England: SAGE Publications.</w:t>
      </w:r>
    </w:p>
    <w:p w:rsidR="00FC4274" w:rsidRDefault="00FC4274" w:rsidP="00FC4274">
      <w:pPr>
        <w:spacing w:line="360" w:lineRule="auto"/>
        <w:ind w:left="709" w:hanging="709"/>
        <w:jc w:val="both"/>
      </w:pPr>
      <w:r>
        <w:lastRenderedPageBreak/>
        <w:t>Frederickson, J.R., F.D. Hodge,</w:t>
      </w:r>
      <w:r w:rsidR="00194670">
        <w:t xml:space="preserve"> </w:t>
      </w:r>
      <w:r>
        <w:t xml:space="preserve">and J.H. Pratt. 2006. The Evolution of Stock Option Accounting: Disclosure, Voluntary Recognition, Mandated Recognition, and Management Disavowals. </w:t>
      </w:r>
      <w:r w:rsidRPr="001351C2">
        <w:rPr>
          <w:i/>
        </w:rPr>
        <w:t>The Accounting Review</w:t>
      </w:r>
      <w:r>
        <w:t xml:space="preserve"> 81 (5): 1073-1093.</w:t>
      </w:r>
    </w:p>
    <w:p w:rsidR="004712FF" w:rsidRPr="000B3455" w:rsidRDefault="000B23EF" w:rsidP="00FC4274">
      <w:pPr>
        <w:spacing w:line="360" w:lineRule="auto"/>
        <w:ind w:left="709" w:hanging="709"/>
        <w:jc w:val="both"/>
      </w:pPr>
      <w:r w:rsidRPr="000B3455">
        <w:t xml:space="preserve">Guay, W., S.P. Kothari, and R. Sloan. 2003. Accounting for Employee Stock Options. </w:t>
      </w:r>
      <w:r w:rsidRPr="000B3455">
        <w:rPr>
          <w:i/>
        </w:rPr>
        <w:t xml:space="preserve">The American Economic Review </w:t>
      </w:r>
      <w:r w:rsidRPr="000B3455">
        <w:t>93(2): 405-409.</w:t>
      </w:r>
    </w:p>
    <w:p w:rsidR="004712FF" w:rsidRPr="000B3455" w:rsidRDefault="004712FF" w:rsidP="00FC4274">
      <w:pPr>
        <w:spacing w:line="360" w:lineRule="auto"/>
        <w:ind w:left="709" w:hanging="709"/>
        <w:jc w:val="both"/>
      </w:pPr>
      <w:r w:rsidRPr="000B3455">
        <w:t>Hall, B.J., and K.J. Murphy. 2002. Stock options for undiversified executives</w:t>
      </w:r>
      <w:r w:rsidRPr="000B3455">
        <w:rPr>
          <w:i/>
        </w:rPr>
        <w:t xml:space="preserve">. Journal of Accounting and Economics </w:t>
      </w:r>
      <w:r w:rsidRPr="000B3455">
        <w:t>33: 3-42.</w:t>
      </w:r>
    </w:p>
    <w:p w:rsidR="004712FF" w:rsidRPr="000B3455" w:rsidRDefault="004712FF" w:rsidP="00FC4274">
      <w:pPr>
        <w:spacing w:line="360" w:lineRule="auto"/>
        <w:ind w:left="709" w:hanging="709"/>
        <w:jc w:val="both"/>
      </w:pPr>
      <w:r w:rsidRPr="000B3455">
        <w:t xml:space="preserve">Hall, B.J., and K.J. Murphy. 2003. The Trouble with Stock Options. </w:t>
      </w:r>
      <w:r w:rsidRPr="000B3455">
        <w:rPr>
          <w:i/>
        </w:rPr>
        <w:t>Journal of Economic Perspectives</w:t>
      </w:r>
      <w:r w:rsidRPr="000B3455">
        <w:t xml:space="preserve"> 17(3): 49-70.</w:t>
      </w:r>
    </w:p>
    <w:p w:rsidR="005C5A75" w:rsidRPr="000B3455" w:rsidRDefault="005C5A75" w:rsidP="00FC4274">
      <w:pPr>
        <w:spacing w:line="360" w:lineRule="auto"/>
        <w:ind w:left="709" w:hanging="709"/>
        <w:jc w:val="both"/>
      </w:pPr>
      <w:r w:rsidRPr="000B3455">
        <w:t xml:space="preserve">Huddart, S. 1994. Employee stock options. </w:t>
      </w:r>
      <w:r w:rsidRPr="000B3455">
        <w:rPr>
          <w:i/>
        </w:rPr>
        <w:t>Journal of Accounting and Economics</w:t>
      </w:r>
      <w:r w:rsidRPr="000B3455">
        <w:t xml:space="preserve"> 18: 207-231.</w:t>
      </w:r>
    </w:p>
    <w:p w:rsidR="004712FF" w:rsidRPr="000B3455" w:rsidRDefault="004712FF" w:rsidP="00FC4274">
      <w:pPr>
        <w:spacing w:line="360" w:lineRule="auto"/>
        <w:ind w:left="709" w:hanging="709"/>
        <w:jc w:val="both"/>
      </w:pPr>
      <w:r w:rsidRPr="000B3455">
        <w:t xml:space="preserve">Hull, J., and A. White. 2004. How to Value Employee Stock Options. </w:t>
      </w:r>
      <w:r w:rsidRPr="000B3455">
        <w:rPr>
          <w:i/>
        </w:rPr>
        <w:t>Financial Analysts Journal</w:t>
      </w:r>
      <w:r w:rsidRPr="000B3455">
        <w:t xml:space="preserve"> 60 (1): 114-119.</w:t>
      </w:r>
    </w:p>
    <w:p w:rsidR="004712FF" w:rsidRPr="000B3455" w:rsidRDefault="004712FF" w:rsidP="00FC4274">
      <w:pPr>
        <w:spacing w:line="360" w:lineRule="auto"/>
        <w:ind w:left="709" w:hanging="709"/>
        <w:jc w:val="both"/>
      </w:pPr>
      <w:r w:rsidRPr="000B3455">
        <w:t>International Accounting Standards Board (IASB). 2009. International Financial Reporting Standard 2: Share-based Payment.</w:t>
      </w:r>
    </w:p>
    <w:p w:rsidR="004712FF" w:rsidRPr="000B3455" w:rsidRDefault="004712FF" w:rsidP="00FC4274">
      <w:pPr>
        <w:spacing w:line="360" w:lineRule="auto"/>
        <w:ind w:left="709" w:hanging="709"/>
        <w:jc w:val="both"/>
      </w:pPr>
      <w:r w:rsidRPr="000B3455">
        <w:t xml:space="preserve">Jensen, M.C., and K.J. Murphy. 1990. Performance pay and top-management incentives. </w:t>
      </w:r>
      <w:r w:rsidRPr="000B3455">
        <w:rPr>
          <w:i/>
        </w:rPr>
        <w:t xml:space="preserve">The Journal of Political Economy </w:t>
      </w:r>
      <w:r w:rsidR="00194670">
        <w:t>98(2):</w:t>
      </w:r>
      <w:r w:rsidRPr="000B3455">
        <w:t xml:space="preserve"> 225-264.</w:t>
      </w:r>
    </w:p>
    <w:p w:rsidR="004712FF" w:rsidRPr="000B3455" w:rsidRDefault="004712FF" w:rsidP="00FC4274">
      <w:pPr>
        <w:spacing w:line="360" w:lineRule="auto"/>
        <w:ind w:left="709" w:hanging="709"/>
        <w:jc w:val="both"/>
      </w:pPr>
      <w:r w:rsidRPr="00835CA4">
        <w:t>Jong, A. de, D.V.</w:t>
      </w:r>
      <w:r w:rsidR="001A4B55" w:rsidRPr="00835CA4">
        <w:t xml:space="preserve"> DeJong</w:t>
      </w:r>
      <w:r w:rsidRPr="00835CA4">
        <w:t xml:space="preserve">, </w:t>
      </w:r>
      <w:r w:rsidR="001A4B55" w:rsidRPr="00835CA4">
        <w:t xml:space="preserve">G. </w:t>
      </w:r>
      <w:r w:rsidRPr="00835CA4">
        <w:t xml:space="preserve">Mertens, and </w:t>
      </w:r>
      <w:r w:rsidR="001A4B55" w:rsidRPr="00835CA4">
        <w:t xml:space="preserve">C.E. </w:t>
      </w:r>
      <w:r w:rsidRPr="00835CA4">
        <w:t>Wasley</w:t>
      </w:r>
      <w:r w:rsidR="001A4B55" w:rsidRPr="00835CA4">
        <w:t>.</w:t>
      </w:r>
      <w:r w:rsidRPr="00835CA4">
        <w:t xml:space="preserve"> 2005. </w:t>
      </w:r>
      <w:r w:rsidRPr="000B3455">
        <w:t xml:space="preserve">The role of self-regulation in corporate governance: evidence and implications from The Netherlands. </w:t>
      </w:r>
      <w:r w:rsidRPr="000B3455">
        <w:rPr>
          <w:i/>
        </w:rPr>
        <w:t>Journal of Corporate Finance</w:t>
      </w:r>
      <w:r w:rsidRPr="000B3455">
        <w:t xml:space="preserve"> 11: 473-503.</w:t>
      </w:r>
    </w:p>
    <w:p w:rsidR="00F84843" w:rsidRPr="00835CA4" w:rsidRDefault="004712FF" w:rsidP="00FC4274">
      <w:pPr>
        <w:spacing w:line="360" w:lineRule="auto"/>
        <w:ind w:left="709" w:hanging="709"/>
        <w:jc w:val="both"/>
        <w:rPr>
          <w:lang w:val="nl-NL"/>
        </w:rPr>
      </w:pPr>
      <w:r w:rsidRPr="000B3455">
        <w:t xml:space="preserve">Kadan, O., and Swinkels, J.M. 2008. Stocks or Options? Moral Hazard, Firm Viability, and the Design of Compensation Contracts. </w:t>
      </w:r>
      <w:r w:rsidRPr="00835CA4">
        <w:rPr>
          <w:i/>
          <w:lang w:val="nl-NL"/>
        </w:rPr>
        <w:t xml:space="preserve">The Review of Financial Studies </w:t>
      </w:r>
      <w:r w:rsidRPr="00835CA4">
        <w:rPr>
          <w:lang w:val="nl-NL"/>
        </w:rPr>
        <w:t>21(1): 451-482.</w:t>
      </w:r>
    </w:p>
    <w:p w:rsidR="00D84D55" w:rsidRPr="00D84D55" w:rsidRDefault="00D84D55" w:rsidP="00FC4274">
      <w:pPr>
        <w:spacing w:line="360" w:lineRule="auto"/>
        <w:ind w:left="709" w:hanging="709"/>
        <w:jc w:val="both"/>
        <w:rPr>
          <w:rFonts w:cstheme="minorHAnsi"/>
          <w:lang w:val="nl-NL"/>
        </w:rPr>
      </w:pPr>
      <w:r w:rsidRPr="00D84D55">
        <w:rPr>
          <w:rFonts w:cstheme="minorHAnsi"/>
          <w:lang w:val="nl-NL"/>
        </w:rPr>
        <w:t xml:space="preserve">KPMG. 2007. </w:t>
      </w:r>
      <w:r w:rsidRPr="00D84D55">
        <w:rPr>
          <w:rFonts w:cstheme="minorHAnsi"/>
          <w:i/>
          <w:lang w:val="nl-NL"/>
        </w:rPr>
        <w:t>KPMG Jaarboek Externe Verslaggeving 2007/2008</w:t>
      </w:r>
      <w:r>
        <w:rPr>
          <w:rFonts w:cstheme="minorHAnsi"/>
          <w:lang w:val="nl-NL"/>
        </w:rPr>
        <w:t>. The Netherlands: Kluwer.</w:t>
      </w:r>
    </w:p>
    <w:p w:rsidR="004712FF" w:rsidRPr="000B3455" w:rsidRDefault="004712FF" w:rsidP="00FC4274">
      <w:pPr>
        <w:spacing w:line="360" w:lineRule="auto"/>
        <w:ind w:left="709" w:hanging="709"/>
        <w:jc w:val="both"/>
        <w:rPr>
          <w:rFonts w:cstheme="minorHAnsi"/>
        </w:rPr>
      </w:pPr>
      <w:r w:rsidRPr="00835CA4">
        <w:rPr>
          <w:rFonts w:cstheme="minorHAnsi"/>
          <w:lang w:val="nl-NL"/>
        </w:rPr>
        <w:t xml:space="preserve">Kraakman, L. 2010. </w:t>
      </w:r>
      <w:r w:rsidRPr="000B3455">
        <w:rPr>
          <w:rFonts w:cstheme="minorHAnsi"/>
        </w:rPr>
        <w:t>Is there a link between the implementation of the fair value accounting approach for ESOs and their use?: Economic consequences of IFRS 2 in The Netherlands. Master’s Thesis, Erasmus University, Rotterdam, The Netherlands.</w:t>
      </w:r>
    </w:p>
    <w:p w:rsidR="004712FF" w:rsidRPr="000B3455" w:rsidRDefault="004712FF" w:rsidP="00FC4274">
      <w:pPr>
        <w:spacing w:line="360" w:lineRule="auto"/>
        <w:ind w:left="709" w:hanging="709"/>
        <w:jc w:val="both"/>
      </w:pPr>
      <w:r w:rsidRPr="000B3455">
        <w:lastRenderedPageBreak/>
        <w:t xml:space="preserve">Leung, T., and R. Sircar. 2009. </w:t>
      </w:r>
      <w:r w:rsidRPr="000B3455">
        <w:rPr>
          <w:bCs/>
        </w:rPr>
        <w:t xml:space="preserve">Accounting For Risk Aversion, Vesting, Job Termination Risk And Multiple Exercises In Valuation Of Employee Stock Options. </w:t>
      </w:r>
      <w:r w:rsidRPr="000B3455">
        <w:rPr>
          <w:bCs/>
          <w:i/>
        </w:rPr>
        <w:t>Mathematical Finance</w:t>
      </w:r>
      <w:r w:rsidRPr="000B3455">
        <w:rPr>
          <w:bCs/>
        </w:rPr>
        <w:t xml:space="preserve"> 19 (1): 99</w:t>
      </w:r>
      <w:r w:rsidR="00DE7DE8">
        <w:rPr>
          <w:bCs/>
        </w:rPr>
        <w:t>-</w:t>
      </w:r>
      <w:r w:rsidRPr="000B3455">
        <w:rPr>
          <w:bCs/>
        </w:rPr>
        <w:t>128.</w:t>
      </w:r>
    </w:p>
    <w:p w:rsidR="004712FF" w:rsidRPr="000B3455" w:rsidRDefault="004712FF" w:rsidP="00FC4274">
      <w:pPr>
        <w:spacing w:line="360" w:lineRule="auto"/>
        <w:ind w:left="709" w:hanging="709"/>
        <w:jc w:val="both"/>
      </w:pPr>
      <w:r w:rsidRPr="000B3455">
        <w:t xml:space="preserve">Monitoring Commission Corporate Governance Code. Evaluatie Aanbevelingen in 2002. Retrieved from http://commissiecorporategovernance.nl/Evaluatie%202002 on March 31, 2011. </w:t>
      </w:r>
    </w:p>
    <w:p w:rsidR="004712FF" w:rsidRPr="000B3455" w:rsidRDefault="004712FF" w:rsidP="00FC4274">
      <w:pPr>
        <w:spacing w:line="360" w:lineRule="auto"/>
        <w:ind w:left="709" w:hanging="709"/>
        <w:jc w:val="both"/>
      </w:pPr>
      <w:r w:rsidRPr="000B3455">
        <w:t>Murphy, K.J. 1998. Executive Compensation. Center for Effective Organizations publication G 98-9 (397), University of Southern California, Los Angeles, CA.</w:t>
      </w:r>
    </w:p>
    <w:p w:rsidR="004712FF" w:rsidRPr="000B3455" w:rsidRDefault="004712FF" w:rsidP="00FC4274">
      <w:pPr>
        <w:spacing w:line="360" w:lineRule="auto"/>
        <w:ind w:left="709" w:hanging="709"/>
        <w:jc w:val="both"/>
      </w:pPr>
      <w:r w:rsidRPr="000B3455">
        <w:t xml:space="preserve">Muurling, R., and T. Lehnert. 2004. Option-based compensation: a survey. </w:t>
      </w:r>
      <w:r w:rsidRPr="000B3455">
        <w:rPr>
          <w:i/>
        </w:rPr>
        <w:t xml:space="preserve">The International Journal of Accounting </w:t>
      </w:r>
      <w:r w:rsidRPr="000B3455">
        <w:t>39: 365-401.</w:t>
      </w:r>
    </w:p>
    <w:p w:rsidR="004712FF" w:rsidRPr="000B3455" w:rsidRDefault="004712FF" w:rsidP="00FC4274">
      <w:pPr>
        <w:spacing w:line="360" w:lineRule="auto"/>
        <w:ind w:left="709" w:hanging="709"/>
        <w:jc w:val="both"/>
        <w:rPr>
          <w:rFonts w:cstheme="minorHAnsi"/>
        </w:rPr>
      </w:pPr>
      <w:r w:rsidRPr="000B3455">
        <w:rPr>
          <w:rFonts w:cstheme="minorHAnsi"/>
        </w:rPr>
        <w:t>Oyer, P., and S. Schaefer. 2002. Why Do Some Firms Give Stock Options To All Employees?: An Empirical Examination of Alternative Theories. Research Paper Series, Stanford University, Palo Alto, CA.</w:t>
      </w:r>
    </w:p>
    <w:p w:rsidR="000B23EF" w:rsidRPr="000B3455" w:rsidRDefault="000B23EF" w:rsidP="00FC4274">
      <w:pPr>
        <w:spacing w:line="360" w:lineRule="auto"/>
        <w:ind w:left="709" w:hanging="709"/>
        <w:jc w:val="both"/>
      </w:pPr>
      <w:r w:rsidRPr="000B3455">
        <w:t xml:space="preserve">Robinson, D., and D. Burton. 2004. Discretion in Financial Reporting: The Voluntary Adoption of Fair Value Accounting for Employee Stock Options. </w:t>
      </w:r>
      <w:r w:rsidRPr="000B3455">
        <w:rPr>
          <w:i/>
        </w:rPr>
        <w:t>Accounting Horizons</w:t>
      </w:r>
      <w:r w:rsidRPr="000B3455">
        <w:t xml:space="preserve"> 18 (2): 97-108.</w:t>
      </w:r>
    </w:p>
    <w:p w:rsidR="004712FF" w:rsidRDefault="004712FF" w:rsidP="00FC4274">
      <w:pPr>
        <w:spacing w:line="360" w:lineRule="auto"/>
        <w:ind w:left="709" w:hanging="709"/>
        <w:jc w:val="both"/>
      </w:pPr>
      <w:r w:rsidRPr="000B3455">
        <w:t xml:space="preserve">Swagerman, D., and E. Terpstra. 2009. Trends in Dutch executive compensation. </w:t>
      </w:r>
      <w:r w:rsidRPr="000B3455">
        <w:rPr>
          <w:i/>
        </w:rPr>
        <w:t>Management</w:t>
      </w:r>
      <w:r w:rsidRPr="000B3455">
        <w:t xml:space="preserve"> 14: 61-79.</w:t>
      </w:r>
    </w:p>
    <w:p w:rsidR="00FC4274" w:rsidRDefault="00FC4274" w:rsidP="00FC4274">
      <w:pPr>
        <w:spacing w:line="360" w:lineRule="auto"/>
        <w:ind w:left="709" w:hanging="709"/>
        <w:jc w:val="both"/>
      </w:pPr>
      <w:r>
        <w:t xml:space="preserve">Sweeney, A.P. 1994. Debt-covenant violations and managers’ accounting responses. </w:t>
      </w:r>
      <w:r w:rsidRPr="001351C2">
        <w:rPr>
          <w:i/>
        </w:rPr>
        <w:t xml:space="preserve">Journal of Accounting and Economics </w:t>
      </w:r>
      <w:r>
        <w:t>17 (3): 281-308.</w:t>
      </w:r>
    </w:p>
    <w:p w:rsidR="00E25839" w:rsidRPr="000B3455" w:rsidRDefault="00FC4274" w:rsidP="00FC4274">
      <w:pPr>
        <w:spacing w:line="360" w:lineRule="auto"/>
        <w:ind w:left="709" w:hanging="709"/>
        <w:jc w:val="both"/>
      </w:pPr>
      <w:r>
        <w:t xml:space="preserve">Viger, C., R. Belzile, and A.A. Anandarajan. 2008. Disclosure versus Recognition of Stock Option Compensation: Effect on the Credit Decisions of Loan Officers. </w:t>
      </w:r>
      <w:r w:rsidRPr="00FD2DBE">
        <w:rPr>
          <w:i/>
        </w:rPr>
        <w:t>Behavioral Research in Accounting</w:t>
      </w:r>
      <w:r>
        <w:t xml:space="preserve"> 20 (1): 93-114.</w:t>
      </w:r>
    </w:p>
    <w:p w:rsidR="004712FF" w:rsidRPr="000B3455" w:rsidRDefault="004712FF" w:rsidP="00FC4274">
      <w:pPr>
        <w:spacing w:line="360" w:lineRule="auto"/>
        <w:ind w:left="709" w:hanging="709"/>
        <w:jc w:val="both"/>
        <w:rPr>
          <w:rFonts w:cstheme="minorHAnsi"/>
        </w:rPr>
      </w:pPr>
      <w:r w:rsidRPr="000B3455">
        <w:rPr>
          <w:rFonts w:cstheme="minorHAnsi"/>
        </w:rPr>
        <w:t>Yermack, D. 1995. Do Corporations Award CEO Stock Options Effectively? Working Paper, New York University, New York, NY.</w:t>
      </w:r>
    </w:p>
    <w:p w:rsidR="004712FF" w:rsidRPr="000B3455" w:rsidRDefault="004712FF" w:rsidP="00FC4274">
      <w:pPr>
        <w:spacing w:line="360" w:lineRule="auto"/>
        <w:ind w:left="709" w:hanging="709"/>
        <w:jc w:val="both"/>
      </w:pPr>
      <w:r w:rsidRPr="000B3455">
        <w:t xml:space="preserve">Zeff, S.A. 1978. The Rise of “Economic Consequences”. </w:t>
      </w:r>
      <w:r w:rsidRPr="000B3455">
        <w:rPr>
          <w:i/>
        </w:rPr>
        <w:t>The</w:t>
      </w:r>
      <w:r w:rsidRPr="000B3455">
        <w:t xml:space="preserve"> </w:t>
      </w:r>
      <w:r w:rsidRPr="000B3455">
        <w:rPr>
          <w:i/>
        </w:rPr>
        <w:t>Journal of Accountancy</w:t>
      </w:r>
      <w:r w:rsidRPr="000B3455">
        <w:t xml:space="preserve"> (December): 56-63.</w:t>
      </w:r>
    </w:p>
    <w:p w:rsidR="004712FF" w:rsidRPr="000B3455" w:rsidRDefault="004712FF" w:rsidP="00FC4274">
      <w:pPr>
        <w:spacing w:line="360" w:lineRule="auto"/>
        <w:ind w:left="709" w:hanging="709"/>
        <w:jc w:val="both"/>
      </w:pPr>
      <w:r w:rsidRPr="000B3455">
        <w:t xml:space="preserve">Zimmerman, J.L. 2009. </w:t>
      </w:r>
      <w:r w:rsidRPr="000B3455">
        <w:rPr>
          <w:i/>
        </w:rPr>
        <w:t>Accounting for Decision Making and Control</w:t>
      </w:r>
      <w:r w:rsidRPr="000B3455">
        <w:t>. Sixth edition. New York, NY: McGraw-Hill Education.</w:t>
      </w:r>
    </w:p>
    <w:p w:rsidR="004712FF" w:rsidRPr="000B3455" w:rsidRDefault="004712FF" w:rsidP="00E629A1">
      <w:pPr>
        <w:spacing w:line="360" w:lineRule="auto"/>
        <w:jc w:val="both"/>
        <w:rPr>
          <w:b/>
        </w:rPr>
      </w:pPr>
      <w:r w:rsidRPr="000B3455">
        <w:rPr>
          <w:b/>
        </w:rPr>
        <w:br w:type="page"/>
      </w:r>
    </w:p>
    <w:p w:rsidR="009D7CA5" w:rsidRPr="000B3455" w:rsidRDefault="007E5C77" w:rsidP="00ED7148">
      <w:pPr>
        <w:pStyle w:val="AppendicesThesis"/>
      </w:pPr>
      <w:bookmarkStart w:id="100" w:name="I"/>
      <w:bookmarkStart w:id="101" w:name="_Toc298944609"/>
      <w:r w:rsidRPr="000B3455">
        <w:lastRenderedPageBreak/>
        <w:t>Appendix I</w:t>
      </w:r>
      <w:bookmarkEnd w:id="100"/>
      <w:r w:rsidRPr="000B3455">
        <w:t xml:space="preserve">: Black-Scholes </w:t>
      </w:r>
      <w:bookmarkEnd w:id="101"/>
      <w:r w:rsidR="00E64A6D">
        <w:t>f</w:t>
      </w:r>
      <w:r w:rsidR="00E64A6D" w:rsidRPr="000B3455">
        <w:t>ormula</w:t>
      </w:r>
    </w:p>
    <w:p w:rsidR="007E5C77" w:rsidRPr="000B3455" w:rsidRDefault="00A62D2C" w:rsidP="007E5C77">
      <w:pPr>
        <w:tabs>
          <w:tab w:val="left" w:pos="3828"/>
          <w:tab w:val="left" w:pos="4678"/>
        </w:tabs>
        <w:spacing w:line="360" w:lineRule="auto"/>
        <w:jc w:val="both"/>
      </w:pPr>
      <w:r>
        <w:br/>
      </w:r>
      <w:r w:rsidR="007E5C77" w:rsidRPr="000B3455">
        <w:t>The value of a</w:t>
      </w:r>
      <w:r w:rsidR="00924983" w:rsidRPr="000B3455">
        <w:t>n</w:t>
      </w:r>
      <w:r w:rsidR="007E5C77" w:rsidRPr="000B3455">
        <w:t xml:space="preserve"> European call option </w:t>
      </w:r>
      <w:r w:rsidR="007E5C77" w:rsidRPr="000B3455">
        <w:rPr>
          <w:i/>
        </w:rPr>
        <w:t xml:space="preserve">C(S) </w:t>
      </w:r>
      <w:r w:rsidR="007E5C77" w:rsidRPr="000B3455">
        <w:t>according to the Black-Scholes formula is:</w:t>
      </w:r>
    </w:p>
    <w:p w:rsidR="007E5C77" w:rsidRPr="000B3455" w:rsidRDefault="007E5C77" w:rsidP="007E5C77">
      <w:pPr>
        <w:tabs>
          <w:tab w:val="left" w:pos="3828"/>
          <w:tab w:val="left" w:pos="4678"/>
        </w:tabs>
        <w:spacing w:line="360" w:lineRule="auto"/>
        <w:jc w:val="both"/>
        <w:rPr>
          <w:i/>
        </w:rPr>
      </w:pPr>
      <w:r w:rsidRPr="000B3455">
        <w:rPr>
          <w:i/>
        </w:rPr>
        <w:t>C(S) = S</w:t>
      </w:r>
      <w:r w:rsidRPr="000B3455">
        <w:rPr>
          <w:i/>
          <w:vertAlign w:val="superscript"/>
        </w:rPr>
        <w:t xml:space="preserve">x </w:t>
      </w:r>
      <w:r w:rsidRPr="000B3455">
        <w:rPr>
          <w:i/>
        </w:rPr>
        <w:t>N(d</w:t>
      </w:r>
      <w:r w:rsidRPr="000B3455">
        <w:rPr>
          <w:i/>
          <w:vertAlign w:val="subscript"/>
        </w:rPr>
        <w:t>1</w:t>
      </w:r>
      <w:r w:rsidRPr="000B3455">
        <w:rPr>
          <w:i/>
        </w:rPr>
        <w:t>) – PV (K) N(d</w:t>
      </w:r>
      <w:r w:rsidRPr="000B3455">
        <w:rPr>
          <w:i/>
          <w:vertAlign w:val="subscript"/>
        </w:rPr>
        <w:t>2</w:t>
      </w:r>
      <w:r w:rsidRPr="000B3455">
        <w:rPr>
          <w:i/>
        </w:rPr>
        <w:t>)</w:t>
      </w:r>
    </w:p>
    <w:p w:rsidR="007E5C77" w:rsidRPr="000B3455" w:rsidRDefault="007E5C77" w:rsidP="007E5C77">
      <w:pPr>
        <w:tabs>
          <w:tab w:val="left" w:pos="3828"/>
          <w:tab w:val="left" w:pos="4678"/>
        </w:tabs>
        <w:spacing w:line="360" w:lineRule="auto"/>
        <w:jc w:val="both"/>
      </w:pPr>
      <w:r w:rsidRPr="000B3455">
        <w:t>Where:</w:t>
      </w:r>
    </w:p>
    <w:p w:rsidR="009C6A6B" w:rsidRPr="000B3455" w:rsidRDefault="007E5C77" w:rsidP="00E0546A">
      <w:pPr>
        <w:tabs>
          <w:tab w:val="center" w:pos="4680"/>
        </w:tabs>
        <w:spacing w:line="360" w:lineRule="auto"/>
        <w:jc w:val="both"/>
        <w:rPr>
          <w:i/>
        </w:rPr>
      </w:pPr>
      <w:r w:rsidRPr="000B3455">
        <w:rPr>
          <w:i/>
        </w:rPr>
        <w:t>S</w:t>
      </w:r>
      <w:r w:rsidRPr="000B3455">
        <w:rPr>
          <w:i/>
          <w:vertAlign w:val="superscript"/>
        </w:rPr>
        <w:t>x</w:t>
      </w:r>
      <w:r w:rsidRPr="000B3455">
        <w:rPr>
          <w:i/>
        </w:rPr>
        <w:t xml:space="preserve"> </w:t>
      </w:r>
      <w:r w:rsidR="009C6A6B" w:rsidRPr="000B3455">
        <w:rPr>
          <w:i/>
        </w:rPr>
        <w:t xml:space="preserve">= </w:t>
      </w:r>
      <w:r w:rsidR="00E0546A" w:rsidRPr="000B3455">
        <w:rPr>
          <w:i/>
        </w:rPr>
        <w:t>S</w:t>
      </w:r>
      <w:r w:rsidR="009C6A6B" w:rsidRPr="000B3455">
        <w:rPr>
          <w:i/>
        </w:rPr>
        <w:t xml:space="preserve"> (</w:t>
      </w:r>
      <m:oMath>
        <m:sSup>
          <m:sSupPr>
            <m:ctrlPr>
              <w:rPr>
                <w:rFonts w:ascii="Cambria Math" w:hAnsi="Cambria Math"/>
                <w:i/>
              </w:rPr>
            </m:ctrlPr>
          </m:sSupPr>
          <m:e>
            <m:r>
              <w:rPr>
                <w:rFonts w:ascii="Cambria Math" w:hAnsi="Cambria Math"/>
              </w:rPr>
              <m:t>e</m:t>
            </m:r>
          </m:e>
          <m:sup>
            <m:r>
              <w:rPr>
                <w:rFonts w:ascii="Cambria Math" w:hAnsi="Cambria Math"/>
              </w:rPr>
              <m:t>-qT</m:t>
            </m:r>
          </m:sup>
        </m:sSup>
      </m:oMath>
      <w:r w:rsidR="00E0546A" w:rsidRPr="000B3455">
        <w:rPr>
          <w:i/>
        </w:rPr>
        <w:t>)</w:t>
      </w:r>
    </w:p>
    <w:p w:rsidR="00E0546A" w:rsidRPr="000B3455" w:rsidRDefault="00E0546A" w:rsidP="007E5C77">
      <w:pPr>
        <w:tabs>
          <w:tab w:val="left" w:pos="3828"/>
          <w:tab w:val="left" w:pos="4678"/>
        </w:tabs>
        <w:spacing w:line="360" w:lineRule="auto"/>
        <w:jc w:val="both"/>
        <w:rPr>
          <w:i/>
        </w:rPr>
      </w:pPr>
      <w:r w:rsidRPr="000B3455">
        <w:rPr>
          <w:i/>
        </w:rPr>
        <w:t>S = share price</w:t>
      </w:r>
      <w:r w:rsidRPr="000B3455">
        <w:rPr>
          <w:i/>
        </w:rPr>
        <w:tab/>
      </w:r>
      <w:r w:rsidRPr="000B3455">
        <w:rPr>
          <w:i/>
        </w:rPr>
        <w:br/>
      </w:r>
      <w:r w:rsidR="009C6A6B" w:rsidRPr="000B3455">
        <w:rPr>
          <w:i/>
        </w:rPr>
        <w:t>q = dividend yield</w:t>
      </w:r>
      <w:r w:rsidRPr="000B3455">
        <w:rPr>
          <w:i/>
        </w:rPr>
        <w:tab/>
      </w:r>
      <w:r w:rsidRPr="000B3455">
        <w:rPr>
          <w:i/>
        </w:rPr>
        <w:br/>
      </w:r>
      <w:r w:rsidR="0041166D" w:rsidRPr="000B3455">
        <w:rPr>
          <w:i/>
        </w:rPr>
        <w:t>T</w:t>
      </w:r>
      <w:r w:rsidRPr="000B3455">
        <w:rPr>
          <w:i/>
        </w:rPr>
        <w:t xml:space="preserve"> = time to expiration date</w:t>
      </w:r>
    </w:p>
    <w:p w:rsidR="00E0546A" w:rsidRPr="000B3455" w:rsidRDefault="00E0546A" w:rsidP="007E5C77">
      <w:pPr>
        <w:tabs>
          <w:tab w:val="left" w:pos="3828"/>
          <w:tab w:val="left" w:pos="4678"/>
        </w:tabs>
        <w:spacing w:line="360" w:lineRule="auto"/>
        <w:jc w:val="both"/>
        <w:rPr>
          <w:i/>
        </w:rPr>
      </w:pPr>
      <w:r w:rsidRPr="000B3455">
        <w:rPr>
          <w:i/>
        </w:rPr>
        <w:t>N(d</w:t>
      </w:r>
      <w:r w:rsidRPr="000B3455">
        <w:rPr>
          <w:i/>
          <w:vertAlign w:val="subscript"/>
        </w:rPr>
        <w:t>1</w:t>
      </w:r>
      <w:r w:rsidRPr="000B3455">
        <w:rPr>
          <w:i/>
        </w:rPr>
        <w:t>) = the cumulative normal distribution of d</w:t>
      </w:r>
      <w:r w:rsidRPr="000B3455">
        <w:rPr>
          <w:i/>
          <w:vertAlign w:val="subscript"/>
        </w:rPr>
        <w:t>1</w:t>
      </w:r>
      <w:r w:rsidRPr="000B3455">
        <w:rPr>
          <w:i/>
        </w:rPr>
        <w:t xml:space="preserve"> </w:t>
      </w:r>
    </w:p>
    <w:p w:rsidR="007E5C77" w:rsidRPr="000B3455" w:rsidRDefault="007E5C77" w:rsidP="007E5C77">
      <w:pPr>
        <w:tabs>
          <w:tab w:val="left" w:pos="3828"/>
          <w:tab w:val="left" w:pos="4678"/>
        </w:tabs>
        <w:spacing w:line="360" w:lineRule="auto"/>
        <w:jc w:val="both"/>
      </w:pPr>
      <w:r w:rsidRPr="000B3455">
        <w:rPr>
          <w:i/>
        </w:rPr>
        <w:t>d</w:t>
      </w:r>
      <w:r w:rsidRPr="000B3455">
        <w:rPr>
          <w:i/>
          <w:vertAlign w:val="subscript"/>
        </w:rPr>
        <w:t>1</w:t>
      </w:r>
      <w:r w:rsidRPr="000B3455">
        <w:rPr>
          <w:i/>
        </w:rPr>
        <w:t xml:space="preserve"> = </w:t>
      </w:r>
      <m:oMath>
        <m:r>
          <w:rPr>
            <w:rFonts w:ascii="Cambria Math"/>
          </w:rPr>
          <m:t xml:space="preserve">   </m:t>
        </m:r>
        <m:f>
          <m:fPr>
            <m:ctrlPr>
              <w:rPr>
                <w:rFonts w:ascii="Cambria Math" w:hAnsi="Cambria Math"/>
                <w:i/>
              </w:rPr>
            </m:ctrlPr>
          </m:fPr>
          <m:num>
            <m:func>
              <m:funcPr>
                <m:ctrlPr>
                  <w:rPr>
                    <w:rFonts w:ascii="Cambria Math" w:hAnsi="Cambria Math"/>
                    <w:i/>
                  </w:rPr>
                </m:ctrlPr>
              </m:funcPr>
              <m:fName>
                <m:r>
                  <w:rPr>
                    <w:rFonts w:ascii="Cambria Math" w:hAnsi="Cambria Math"/>
                  </w:rPr>
                  <m:t>ln</m:t>
                </m:r>
              </m:fName>
              <m:e>
                <m:d>
                  <m:dPr>
                    <m:begChr m:val="["/>
                    <m:endChr m:val="]"/>
                    <m:ctrlPr>
                      <w:rPr>
                        <w:rFonts w:ascii="Cambria Math" w:hAnsi="Cambria Math"/>
                        <w:i/>
                      </w:rPr>
                    </m:ctrlPr>
                  </m:dPr>
                  <m:e>
                    <m:r>
                      <w:rPr>
                        <w:rFonts w:ascii="Cambria Math" w:hAnsi="Cambria Math"/>
                      </w:rPr>
                      <m:t>S</m:t>
                    </m:r>
                    <m:r>
                      <w:rPr>
                        <w:rFonts w:ascii="Cambria Math" w:hAnsi="Cambria Math"/>
                        <w:vertAlign w:val="subscript"/>
                      </w:rPr>
                      <m:t>x</m:t>
                    </m:r>
                    <m:r>
                      <m:rPr>
                        <m:sty m:val="p"/>
                      </m:rPr>
                      <w:rPr>
                        <w:rFonts w:ascii="Cambria Math"/>
                      </w:rPr>
                      <m:t xml:space="preserve"> </m:t>
                    </m:r>
                    <m:r>
                      <w:rPr>
                        <w:rFonts w:ascii="Cambria Math"/>
                        <w:vertAlign w:val="subscript"/>
                      </w:rPr>
                      <m:t xml:space="preserve">/ </m:t>
                    </m:r>
                    <m:r>
                      <w:rPr>
                        <w:rFonts w:ascii="Cambria Math" w:hAnsi="Cambria Math"/>
                      </w:rPr>
                      <m:t>PV</m:t>
                    </m:r>
                    <m:r>
                      <w:rPr>
                        <w:rFonts w:ascii="Cambria Math"/>
                      </w:rPr>
                      <m:t xml:space="preserve"> (</m:t>
                    </m:r>
                    <m:r>
                      <w:rPr>
                        <w:rFonts w:ascii="Cambria Math" w:hAnsi="Cambria Math"/>
                      </w:rPr>
                      <m:t>K</m:t>
                    </m:r>
                    <m:r>
                      <w:rPr>
                        <w:rFonts w:ascii="Cambria Math"/>
                      </w:rPr>
                      <m:t>)</m:t>
                    </m:r>
                  </m:e>
                </m:d>
              </m:e>
            </m:func>
          </m:num>
          <m:den>
            <m:d>
              <m:dPr>
                <m:ctrlPr>
                  <w:rPr>
                    <w:rFonts w:ascii="Cambria Math" w:hAnsi="Cambria Math"/>
                    <w:i/>
                  </w:rPr>
                </m:ctrlPr>
              </m:dPr>
              <m:e>
                <m:r>
                  <w:rPr>
                    <w:rFonts w:ascii="Cambria Math" w:hAnsi="Cambria Math"/>
                  </w:rPr>
                  <m:t>σ</m:t>
                </m:r>
                <m:rad>
                  <m:radPr>
                    <m:degHide m:val="on"/>
                    <m:ctrlPr>
                      <w:rPr>
                        <w:rFonts w:ascii="Cambria Math" w:hAnsi="Cambria Math"/>
                        <w:i/>
                      </w:rPr>
                    </m:ctrlPr>
                  </m:radPr>
                  <m:deg/>
                  <m:e>
                    <m:r>
                      <w:rPr>
                        <w:rFonts w:ascii="Cambria Math" w:hAnsi="Cambria Math"/>
                      </w:rPr>
                      <m:t>T</m:t>
                    </m:r>
                  </m:e>
                </m:rad>
              </m:e>
            </m:d>
          </m:den>
        </m:f>
        <m:r>
          <w:rPr>
            <w:rFonts w:ascii="Cambria Math"/>
          </w:rPr>
          <m:t xml:space="preserve">+ </m:t>
        </m:r>
        <m:f>
          <m:fPr>
            <m:ctrlPr>
              <w:rPr>
                <w:rFonts w:ascii="Cambria Math" w:hAnsi="Cambria Math"/>
                <w:i/>
              </w:rPr>
            </m:ctrlPr>
          </m:fPr>
          <m:num>
            <m:d>
              <m:dPr>
                <m:ctrlPr>
                  <w:rPr>
                    <w:rFonts w:ascii="Cambria Math" w:hAnsi="Cambria Math"/>
                    <w:i/>
                  </w:rPr>
                </m:ctrlPr>
              </m:dPr>
              <m:e>
                <m:r>
                  <w:rPr>
                    <w:rFonts w:ascii="Cambria Math" w:hAnsi="Cambria Math"/>
                  </w:rPr>
                  <m:t>σ</m:t>
                </m:r>
                <m:rad>
                  <m:radPr>
                    <m:degHide m:val="on"/>
                    <m:ctrlPr>
                      <w:rPr>
                        <w:rFonts w:ascii="Cambria Math" w:hAnsi="Cambria Math"/>
                        <w:i/>
                      </w:rPr>
                    </m:ctrlPr>
                  </m:radPr>
                  <m:deg/>
                  <m:e>
                    <m:r>
                      <w:rPr>
                        <w:rFonts w:ascii="Cambria Math" w:hAnsi="Cambria Math"/>
                      </w:rPr>
                      <m:t>T</m:t>
                    </m:r>
                  </m:e>
                </m:rad>
              </m:e>
            </m:d>
          </m:num>
          <m:den>
            <m:r>
              <w:rPr>
                <w:rFonts w:ascii="Cambria Math"/>
              </w:rPr>
              <m:t>2</m:t>
            </m:r>
          </m:den>
        </m:f>
        <m:r>
          <w:rPr>
            <w:rFonts w:ascii="Cambria Math"/>
          </w:rPr>
          <m:t xml:space="preserve"> </m:t>
        </m:r>
      </m:oMath>
    </w:p>
    <w:p w:rsidR="009249DB" w:rsidRPr="000B3455" w:rsidRDefault="009249DB" w:rsidP="009249DB">
      <w:pPr>
        <w:tabs>
          <w:tab w:val="left" w:pos="3828"/>
          <w:tab w:val="left" w:pos="4678"/>
        </w:tabs>
        <w:spacing w:line="360" w:lineRule="auto"/>
        <w:jc w:val="both"/>
        <w:rPr>
          <w:i/>
        </w:rPr>
      </w:pPr>
      <w:r w:rsidRPr="000B3455">
        <w:rPr>
          <w:i/>
        </w:rPr>
        <w:t>N(d</w:t>
      </w:r>
      <w:r w:rsidRPr="000B3455">
        <w:rPr>
          <w:i/>
          <w:vertAlign w:val="subscript"/>
        </w:rPr>
        <w:t>2</w:t>
      </w:r>
      <w:r w:rsidRPr="000B3455">
        <w:rPr>
          <w:i/>
        </w:rPr>
        <w:t>) = the cumulative normal distribution of d</w:t>
      </w:r>
      <w:r w:rsidRPr="000B3455">
        <w:rPr>
          <w:i/>
          <w:vertAlign w:val="subscript"/>
        </w:rPr>
        <w:t>2</w:t>
      </w:r>
    </w:p>
    <w:p w:rsidR="007E5C77" w:rsidRPr="000B3455" w:rsidRDefault="007E5C77" w:rsidP="007E5C77">
      <w:pPr>
        <w:tabs>
          <w:tab w:val="left" w:pos="3828"/>
          <w:tab w:val="left" w:pos="4678"/>
        </w:tabs>
        <w:spacing w:line="360" w:lineRule="auto"/>
        <w:jc w:val="both"/>
        <w:rPr>
          <w:i/>
        </w:rPr>
      </w:pPr>
      <w:r w:rsidRPr="000B3455">
        <w:rPr>
          <w:i/>
        </w:rPr>
        <w:t>d</w:t>
      </w:r>
      <w:r w:rsidRPr="000B3455">
        <w:rPr>
          <w:i/>
          <w:vertAlign w:val="subscript"/>
        </w:rPr>
        <w:t>2</w:t>
      </w:r>
      <w:r w:rsidRPr="000B3455">
        <w:rPr>
          <w:i/>
        </w:rPr>
        <w:t xml:space="preserve"> = d</w:t>
      </w:r>
      <w:r w:rsidRPr="000B3455">
        <w:rPr>
          <w:i/>
          <w:vertAlign w:val="subscript"/>
        </w:rPr>
        <w:t>1</w:t>
      </w:r>
      <w:r w:rsidRPr="000B3455">
        <w:rPr>
          <w:i/>
        </w:rPr>
        <w:t xml:space="preserve"> - </w:t>
      </w:r>
      <m:oMath>
        <m:r>
          <m:rPr>
            <m:nor/>
          </m:rPr>
          <w:rPr>
            <w:i/>
          </w:rPr>
          <m:t xml:space="preserve"> σ </m:t>
        </m:r>
        <m:rad>
          <m:radPr>
            <m:degHide m:val="on"/>
            <m:ctrlPr>
              <w:rPr>
                <w:rFonts w:ascii="Cambria Math" w:hAnsi="Cambria Math"/>
                <w:i/>
              </w:rPr>
            </m:ctrlPr>
          </m:radPr>
          <m:deg/>
          <m:e>
            <m:r>
              <w:rPr>
                <w:rFonts w:ascii="Cambria Math" w:hAnsi="Cambria Math"/>
              </w:rPr>
              <m:t>T</m:t>
            </m:r>
          </m:e>
        </m:rad>
        <m:r>
          <w:rPr>
            <w:rFonts w:ascii="Cambria Math"/>
          </w:rPr>
          <m:t xml:space="preserve"> </m:t>
        </m:r>
      </m:oMath>
    </w:p>
    <w:p w:rsidR="007E5C77" w:rsidRPr="000B3455" w:rsidRDefault="004D3590" w:rsidP="001D5F43">
      <w:pPr>
        <w:rPr>
          <w:i/>
        </w:rPr>
      </w:pPr>
      <w:r w:rsidRPr="000B3455">
        <w:rPr>
          <w:i/>
        </w:rPr>
        <w:t>PV (K) = exercise price</w:t>
      </w:r>
      <w:r w:rsidR="009249DB" w:rsidRPr="000B3455">
        <w:rPr>
          <w:i/>
        </w:rPr>
        <w:t xml:space="preserve"> (</w:t>
      </w:r>
      <m:oMath>
        <m:sSup>
          <m:sSupPr>
            <m:ctrlPr>
              <w:rPr>
                <w:rFonts w:ascii="Cambria Math" w:hAnsi="Cambria Math"/>
                <w:i/>
              </w:rPr>
            </m:ctrlPr>
          </m:sSupPr>
          <m:e>
            <m:r>
              <w:rPr>
                <w:rFonts w:ascii="Cambria Math" w:hAnsi="Cambria Math"/>
              </w:rPr>
              <m:t>e</m:t>
            </m:r>
          </m:e>
          <m:sup>
            <m:r>
              <w:rPr>
                <w:rFonts w:ascii="Cambria Math" w:hAnsi="Cambria Math"/>
              </w:rPr>
              <m:t>-rT</m:t>
            </m:r>
          </m:sup>
        </m:sSup>
      </m:oMath>
      <w:r w:rsidR="009249DB" w:rsidRPr="000B3455">
        <w:rPr>
          <w:i/>
        </w:rPr>
        <w:t>)</w:t>
      </w:r>
    </w:p>
    <w:p w:rsidR="009249DB" w:rsidRPr="000B3455" w:rsidRDefault="009249DB" w:rsidP="001D5F43">
      <w:pPr>
        <w:rPr>
          <w:i/>
        </w:rPr>
      </w:pPr>
      <w:r w:rsidRPr="000B3455">
        <w:rPr>
          <w:i/>
        </w:rPr>
        <w:t xml:space="preserve">r = risk-free interest rate </w:t>
      </w:r>
    </w:p>
    <w:p w:rsidR="009249DB" w:rsidRPr="000B3455" w:rsidRDefault="009249DB" w:rsidP="001D5F43">
      <w:pPr>
        <w:rPr>
          <w:i/>
        </w:rPr>
      </w:pPr>
      <w:r w:rsidRPr="000B3455">
        <w:rPr>
          <w:rFonts w:cstheme="minorHAnsi"/>
          <w:i/>
        </w:rPr>
        <w:t>σ</w:t>
      </w:r>
      <w:r w:rsidRPr="000B3455">
        <w:rPr>
          <w:i/>
        </w:rPr>
        <w:t xml:space="preserve"> = stock volatility</w:t>
      </w:r>
    </w:p>
    <w:p w:rsidR="008105D0" w:rsidRPr="000B3455" w:rsidRDefault="008105D0">
      <w:pPr>
        <w:rPr>
          <w:i/>
        </w:rPr>
      </w:pPr>
    </w:p>
    <w:p w:rsidR="008105D0" w:rsidRPr="000B3455" w:rsidRDefault="008105D0">
      <w:pPr>
        <w:rPr>
          <w:i/>
        </w:rPr>
      </w:pPr>
    </w:p>
    <w:p w:rsidR="008105D0" w:rsidRPr="000B3455" w:rsidRDefault="008105D0">
      <w:pPr>
        <w:rPr>
          <w:i/>
        </w:rPr>
      </w:pPr>
    </w:p>
    <w:p w:rsidR="008105D0" w:rsidRPr="000B3455" w:rsidRDefault="008105D0">
      <w:pPr>
        <w:rPr>
          <w:i/>
        </w:rPr>
      </w:pPr>
    </w:p>
    <w:p w:rsidR="008105D0" w:rsidRPr="000B3455" w:rsidRDefault="008105D0">
      <w:pPr>
        <w:rPr>
          <w:i/>
        </w:rPr>
        <w:sectPr w:rsidR="008105D0" w:rsidRPr="000B3455" w:rsidSect="001E123E">
          <w:headerReference w:type="default" r:id="rId11"/>
          <w:footerReference w:type="default" r:id="rId12"/>
          <w:pgSz w:w="12240" w:h="15840"/>
          <w:pgMar w:top="1440" w:right="1440" w:bottom="1276" w:left="1440" w:header="708" w:footer="397" w:gutter="0"/>
          <w:cols w:space="708"/>
          <w:titlePg/>
          <w:docGrid w:linePitch="360"/>
        </w:sectPr>
      </w:pPr>
    </w:p>
    <w:p w:rsidR="00A62D2C" w:rsidRPr="000B3455" w:rsidRDefault="008105D0" w:rsidP="00ED7148">
      <w:pPr>
        <w:pStyle w:val="AppendicesThesis"/>
      </w:pPr>
      <w:bookmarkStart w:id="102" w:name="II"/>
      <w:bookmarkStart w:id="103" w:name="_Toc298944610"/>
      <w:r w:rsidRPr="000B3455">
        <w:lastRenderedPageBreak/>
        <w:t>Appendix II</w:t>
      </w:r>
      <w:bookmarkEnd w:id="102"/>
      <w:r w:rsidRPr="000B3455">
        <w:t xml:space="preserve">: Summarizing </w:t>
      </w:r>
      <w:r w:rsidR="00E64A6D">
        <w:t>t</w:t>
      </w:r>
      <w:r w:rsidR="00E64A6D" w:rsidRPr="000B3455">
        <w:t xml:space="preserve">able </w:t>
      </w:r>
      <w:r w:rsidRPr="000B3455">
        <w:t xml:space="preserve">of </w:t>
      </w:r>
      <w:r w:rsidR="00E64A6D">
        <w:t>prior e</w:t>
      </w:r>
      <w:r w:rsidR="00E64A6D" w:rsidRPr="000B3455">
        <w:t xml:space="preserve">mpirical </w:t>
      </w:r>
      <w:bookmarkEnd w:id="103"/>
      <w:r w:rsidR="00E64A6D">
        <w:t>l</w:t>
      </w:r>
      <w:r w:rsidR="00E64A6D" w:rsidRPr="000B3455">
        <w:t>iterature</w:t>
      </w:r>
    </w:p>
    <w:tbl>
      <w:tblPr>
        <w:tblStyle w:val="Gemiddeldelijst1-accent11"/>
        <w:tblW w:w="14000" w:type="dxa"/>
        <w:tblLook w:val="04A0"/>
      </w:tblPr>
      <w:tblGrid>
        <w:gridCol w:w="2235"/>
        <w:gridCol w:w="3402"/>
        <w:gridCol w:w="2977"/>
        <w:gridCol w:w="1984"/>
        <w:gridCol w:w="3402"/>
      </w:tblGrid>
      <w:tr w:rsidR="00A62D2C" w:rsidRPr="000B3455" w:rsidTr="008E6808">
        <w:trPr>
          <w:cnfStyle w:val="100000000000"/>
        </w:trPr>
        <w:tc>
          <w:tcPr>
            <w:cnfStyle w:val="001000000000"/>
            <w:tcW w:w="2235" w:type="dxa"/>
          </w:tcPr>
          <w:p w:rsidR="00A62D2C" w:rsidRPr="000B3455" w:rsidRDefault="00A62D2C" w:rsidP="004A4396">
            <w:pPr>
              <w:rPr>
                <w:b w:val="0"/>
              </w:rPr>
            </w:pPr>
          </w:p>
        </w:tc>
        <w:tc>
          <w:tcPr>
            <w:tcW w:w="3402" w:type="dxa"/>
          </w:tcPr>
          <w:p w:rsidR="00A62D2C" w:rsidRPr="000B3455" w:rsidRDefault="00A62D2C" w:rsidP="004A4396">
            <w:pPr>
              <w:cnfStyle w:val="100000000000"/>
              <w:rPr>
                <w:b/>
              </w:rPr>
            </w:pPr>
          </w:p>
        </w:tc>
        <w:tc>
          <w:tcPr>
            <w:tcW w:w="2977" w:type="dxa"/>
          </w:tcPr>
          <w:p w:rsidR="00A62D2C" w:rsidRPr="000B3455" w:rsidRDefault="00A62D2C" w:rsidP="004A4396">
            <w:pPr>
              <w:cnfStyle w:val="100000000000"/>
              <w:rPr>
                <w:b/>
              </w:rPr>
            </w:pPr>
          </w:p>
        </w:tc>
        <w:tc>
          <w:tcPr>
            <w:tcW w:w="1984" w:type="dxa"/>
          </w:tcPr>
          <w:p w:rsidR="00A62D2C" w:rsidRPr="000B3455" w:rsidRDefault="00A62D2C" w:rsidP="004A4396">
            <w:pPr>
              <w:cnfStyle w:val="100000000000"/>
              <w:rPr>
                <w:b/>
              </w:rPr>
            </w:pPr>
          </w:p>
        </w:tc>
        <w:tc>
          <w:tcPr>
            <w:tcW w:w="3402" w:type="dxa"/>
          </w:tcPr>
          <w:p w:rsidR="00A62D2C" w:rsidRPr="000B3455" w:rsidRDefault="00A62D2C" w:rsidP="004A4396">
            <w:pPr>
              <w:cnfStyle w:val="100000000000"/>
              <w:rPr>
                <w:b/>
              </w:rPr>
            </w:pPr>
          </w:p>
        </w:tc>
      </w:tr>
      <w:tr w:rsidR="008105D0" w:rsidRPr="00BB5B5C" w:rsidTr="008E6808">
        <w:trPr>
          <w:cnfStyle w:val="000000100000"/>
        </w:trPr>
        <w:tc>
          <w:tcPr>
            <w:cnfStyle w:val="001000000000"/>
            <w:tcW w:w="2235" w:type="dxa"/>
            <w:shd w:val="clear" w:color="auto" w:fill="365F91" w:themeFill="accent1" w:themeFillShade="BF"/>
          </w:tcPr>
          <w:p w:rsidR="008105D0" w:rsidRPr="00BB5B5C" w:rsidRDefault="008105D0" w:rsidP="004A4396">
            <w:pPr>
              <w:rPr>
                <w:color w:val="FFFFFF" w:themeColor="background1"/>
              </w:rPr>
            </w:pPr>
            <w:r w:rsidRPr="00BB5B5C">
              <w:rPr>
                <w:color w:val="FFFFFF" w:themeColor="background1"/>
              </w:rPr>
              <w:t>Authors</w:t>
            </w:r>
          </w:p>
        </w:tc>
        <w:tc>
          <w:tcPr>
            <w:tcW w:w="3402" w:type="dxa"/>
            <w:shd w:val="clear" w:color="auto" w:fill="365F91" w:themeFill="accent1" w:themeFillShade="BF"/>
          </w:tcPr>
          <w:p w:rsidR="008105D0" w:rsidRPr="00BB5B5C" w:rsidRDefault="008105D0" w:rsidP="004A4396">
            <w:pPr>
              <w:cnfStyle w:val="000000100000"/>
              <w:rPr>
                <w:b/>
                <w:color w:val="FFFFFF" w:themeColor="background1"/>
              </w:rPr>
            </w:pPr>
            <w:r w:rsidRPr="00BB5B5C">
              <w:rPr>
                <w:b/>
                <w:color w:val="FFFFFF" w:themeColor="background1"/>
              </w:rPr>
              <w:t>Object of study</w:t>
            </w:r>
          </w:p>
        </w:tc>
        <w:tc>
          <w:tcPr>
            <w:tcW w:w="2977" w:type="dxa"/>
            <w:shd w:val="clear" w:color="auto" w:fill="365F91" w:themeFill="accent1" w:themeFillShade="BF"/>
          </w:tcPr>
          <w:p w:rsidR="008105D0" w:rsidRPr="00BB5B5C" w:rsidRDefault="008105D0" w:rsidP="004A4396">
            <w:pPr>
              <w:cnfStyle w:val="000000100000"/>
              <w:rPr>
                <w:b/>
                <w:color w:val="FFFFFF" w:themeColor="background1"/>
              </w:rPr>
            </w:pPr>
            <w:r w:rsidRPr="00BB5B5C">
              <w:rPr>
                <w:b/>
                <w:color w:val="FFFFFF" w:themeColor="background1"/>
              </w:rPr>
              <w:t>Sample</w:t>
            </w:r>
          </w:p>
        </w:tc>
        <w:tc>
          <w:tcPr>
            <w:tcW w:w="1984" w:type="dxa"/>
            <w:shd w:val="clear" w:color="auto" w:fill="365F91" w:themeFill="accent1" w:themeFillShade="BF"/>
          </w:tcPr>
          <w:p w:rsidR="008105D0" w:rsidRPr="00BB5B5C" w:rsidRDefault="008105D0" w:rsidP="004A4396">
            <w:pPr>
              <w:cnfStyle w:val="000000100000"/>
              <w:rPr>
                <w:b/>
                <w:color w:val="FFFFFF" w:themeColor="background1"/>
              </w:rPr>
            </w:pPr>
            <w:r w:rsidRPr="00BB5B5C">
              <w:rPr>
                <w:b/>
                <w:color w:val="FFFFFF" w:themeColor="background1"/>
              </w:rPr>
              <w:t>Methodology</w:t>
            </w:r>
          </w:p>
        </w:tc>
        <w:tc>
          <w:tcPr>
            <w:tcW w:w="3402" w:type="dxa"/>
            <w:shd w:val="clear" w:color="auto" w:fill="365F91" w:themeFill="accent1" w:themeFillShade="BF"/>
          </w:tcPr>
          <w:p w:rsidR="008105D0" w:rsidRPr="00BB5B5C" w:rsidRDefault="008105D0" w:rsidP="004A4396">
            <w:pPr>
              <w:cnfStyle w:val="000000100000"/>
              <w:rPr>
                <w:b/>
                <w:color w:val="FFFFFF" w:themeColor="background1"/>
              </w:rPr>
            </w:pPr>
            <w:r w:rsidRPr="00BB5B5C">
              <w:rPr>
                <w:b/>
                <w:color w:val="FFFFFF" w:themeColor="background1"/>
              </w:rPr>
              <w:t>Outcome</w:t>
            </w:r>
          </w:p>
        </w:tc>
      </w:tr>
      <w:tr w:rsidR="00556696" w:rsidRPr="00BB5B5C" w:rsidTr="008E6808">
        <w:tc>
          <w:tcPr>
            <w:cnfStyle w:val="001000000000"/>
            <w:tcW w:w="14000" w:type="dxa"/>
            <w:gridSpan w:val="5"/>
            <w:shd w:val="clear" w:color="auto" w:fill="95B3D7" w:themeFill="accent1" w:themeFillTint="99"/>
          </w:tcPr>
          <w:p w:rsidR="00556696" w:rsidRPr="00BB5B5C" w:rsidRDefault="003236CF" w:rsidP="00C71251">
            <w:pPr>
              <w:rPr>
                <w:b w:val="0"/>
                <w:i/>
                <w:color w:val="FFFFFF" w:themeColor="background1"/>
              </w:rPr>
            </w:pPr>
            <w:fldSimple w:instr=" REF _Ref298924443 \h  \* MERGEFORMAT ">
              <w:r w:rsidR="001D5F9A" w:rsidRPr="001D5F9A">
                <w:rPr>
                  <w:i/>
                  <w:color w:val="FFFFFF" w:themeColor="background1"/>
                </w:rPr>
                <w:t>4.1 Impacting accounting numbers</w:t>
              </w:r>
            </w:fldSimple>
          </w:p>
        </w:tc>
      </w:tr>
      <w:tr w:rsidR="00556696" w:rsidRPr="00BB5B5C" w:rsidTr="008E6808">
        <w:trPr>
          <w:cnfStyle w:val="000000100000"/>
        </w:trPr>
        <w:tc>
          <w:tcPr>
            <w:cnfStyle w:val="001000000000"/>
            <w:tcW w:w="2235" w:type="dxa"/>
          </w:tcPr>
          <w:p w:rsidR="00556696" w:rsidRPr="00BB5B5C" w:rsidRDefault="00556696" w:rsidP="00C71251">
            <w:r w:rsidRPr="00BB5B5C">
              <w:t>A.P. Sweeney (1994)</w:t>
            </w:r>
          </w:p>
        </w:tc>
        <w:tc>
          <w:tcPr>
            <w:tcW w:w="3402" w:type="dxa"/>
          </w:tcPr>
          <w:p w:rsidR="00556696" w:rsidRPr="00BB5B5C" w:rsidRDefault="00556696" w:rsidP="00C71251">
            <w:pPr>
              <w:cnfStyle w:val="000000100000"/>
            </w:pPr>
            <w:r w:rsidRPr="00BB5B5C">
              <w:t>Accounting changes and the violation of accounting-based covenants.</w:t>
            </w:r>
          </w:p>
        </w:tc>
        <w:tc>
          <w:tcPr>
            <w:tcW w:w="2977" w:type="dxa"/>
          </w:tcPr>
          <w:p w:rsidR="00556696" w:rsidRPr="00BB5B5C" w:rsidRDefault="00556696" w:rsidP="00C71251">
            <w:pPr>
              <w:cnfStyle w:val="000000100000"/>
            </w:pPr>
            <w:r w:rsidRPr="00BB5B5C">
              <w:t>130 U.S. firms consisting of first-time violators in the period 1980-1989.</w:t>
            </w:r>
          </w:p>
        </w:tc>
        <w:tc>
          <w:tcPr>
            <w:tcW w:w="1984" w:type="dxa"/>
          </w:tcPr>
          <w:p w:rsidR="00556696" w:rsidRPr="00BB5B5C" w:rsidRDefault="00556696" w:rsidP="00C71251">
            <w:pPr>
              <w:cnfStyle w:val="000000100000"/>
            </w:pPr>
            <w:r w:rsidRPr="00BB5B5C">
              <w:t>Cross-sectional regression, Chi-square tests and case analysis</w:t>
            </w:r>
          </w:p>
        </w:tc>
        <w:tc>
          <w:tcPr>
            <w:tcW w:w="3402" w:type="dxa"/>
          </w:tcPr>
          <w:p w:rsidR="00556696" w:rsidRPr="00BB5B5C" w:rsidRDefault="00556696" w:rsidP="00C71251">
            <w:pPr>
              <w:cnfStyle w:val="000000100000"/>
            </w:pPr>
            <w:r w:rsidRPr="00BB5B5C">
              <w:t>A direct link between accounting changes and closeness to debt-covenant constraints and the responses of managers.</w:t>
            </w:r>
          </w:p>
        </w:tc>
      </w:tr>
      <w:tr w:rsidR="00556696" w:rsidRPr="00BB5B5C" w:rsidTr="008E6808">
        <w:tc>
          <w:tcPr>
            <w:cnfStyle w:val="001000000000"/>
            <w:tcW w:w="2235" w:type="dxa"/>
          </w:tcPr>
          <w:p w:rsidR="00556696" w:rsidRPr="00BB5B5C" w:rsidRDefault="00556696" w:rsidP="00C71251">
            <w:r w:rsidRPr="00BB5B5C">
              <w:t>P.M. Dechow, A.P. Hutton and R.G. Sloan (1996)</w:t>
            </w:r>
          </w:p>
        </w:tc>
        <w:tc>
          <w:tcPr>
            <w:tcW w:w="3402" w:type="dxa"/>
          </w:tcPr>
          <w:p w:rsidR="00556696" w:rsidRPr="00BB5B5C" w:rsidRDefault="00556696" w:rsidP="00C71251">
            <w:pPr>
              <w:cnfStyle w:val="000000000000"/>
            </w:pPr>
            <w:r w:rsidRPr="00BB5B5C">
              <w:t>Characteristics of firms lobbying against fair value method and of firms using ESOs. Stock price reaction to new standard.</w:t>
            </w:r>
          </w:p>
        </w:tc>
        <w:tc>
          <w:tcPr>
            <w:tcW w:w="2977" w:type="dxa"/>
          </w:tcPr>
          <w:p w:rsidR="00556696" w:rsidRPr="00BB5B5C" w:rsidRDefault="00556696" w:rsidP="00C71251">
            <w:pPr>
              <w:cnfStyle w:val="000000000000"/>
            </w:pPr>
            <w:r w:rsidRPr="00BB5B5C">
              <w:t>All firms in Compustat files for the fiscal year 1992 in the U.S.</w:t>
            </w:r>
          </w:p>
        </w:tc>
        <w:tc>
          <w:tcPr>
            <w:tcW w:w="1984" w:type="dxa"/>
          </w:tcPr>
          <w:p w:rsidR="00556696" w:rsidRPr="00BB5B5C" w:rsidRDefault="00556696" w:rsidP="00C71251">
            <w:pPr>
              <w:cnfStyle w:val="000000000000"/>
            </w:pPr>
            <w:r w:rsidRPr="00BB5B5C">
              <w:t>Multiple regression</w:t>
            </w:r>
          </w:p>
        </w:tc>
        <w:tc>
          <w:tcPr>
            <w:tcW w:w="3402" w:type="dxa"/>
          </w:tcPr>
          <w:p w:rsidR="00556696" w:rsidRPr="00BB5B5C" w:rsidRDefault="00556696" w:rsidP="00C71251">
            <w:pPr>
              <w:cnfStyle w:val="000000000000"/>
            </w:pPr>
            <w:r w:rsidRPr="00BB5B5C">
              <w:t xml:space="preserve">Investors did not react to mandatory expensing of ESOs. </w:t>
            </w:r>
          </w:p>
        </w:tc>
      </w:tr>
      <w:tr w:rsidR="00556696" w:rsidRPr="00BB5B5C" w:rsidTr="008E6808">
        <w:trPr>
          <w:cnfStyle w:val="000000100000"/>
        </w:trPr>
        <w:tc>
          <w:tcPr>
            <w:cnfStyle w:val="001000000000"/>
            <w:tcW w:w="2235" w:type="dxa"/>
          </w:tcPr>
          <w:p w:rsidR="00556696" w:rsidRPr="00BB5B5C" w:rsidRDefault="00556696" w:rsidP="00556696">
            <w:r w:rsidRPr="00BB5B5C">
              <w:t>K. Chalmers and J.M. Godfrey (2005)</w:t>
            </w:r>
          </w:p>
        </w:tc>
        <w:tc>
          <w:tcPr>
            <w:tcW w:w="3402" w:type="dxa"/>
          </w:tcPr>
          <w:p w:rsidR="00556696" w:rsidRPr="00BB5B5C" w:rsidRDefault="00556696" w:rsidP="00C71251">
            <w:pPr>
              <w:cnfStyle w:val="000000100000"/>
            </w:pPr>
            <w:r w:rsidRPr="00BB5B5C">
              <w:t>Impact of IFRS 2 on financial performance ratios.</w:t>
            </w:r>
          </w:p>
        </w:tc>
        <w:tc>
          <w:tcPr>
            <w:tcW w:w="2977" w:type="dxa"/>
          </w:tcPr>
          <w:p w:rsidR="00556696" w:rsidRPr="00BB5B5C" w:rsidRDefault="00556696" w:rsidP="00C71251">
            <w:pPr>
              <w:cnfStyle w:val="000000100000"/>
            </w:pPr>
            <w:r w:rsidRPr="00BB5B5C">
              <w:t>159 Australian companies that granted ESOs in 2002</w:t>
            </w:r>
          </w:p>
        </w:tc>
        <w:tc>
          <w:tcPr>
            <w:tcW w:w="1984" w:type="dxa"/>
          </w:tcPr>
          <w:p w:rsidR="00556696" w:rsidRPr="00BB5B5C" w:rsidRDefault="00556696" w:rsidP="00C71251">
            <w:pPr>
              <w:cnfStyle w:val="000000100000"/>
            </w:pPr>
            <w:r w:rsidRPr="00BB5B5C">
              <w:t>Median tests and Kruskal-Wallis tests</w:t>
            </w:r>
          </w:p>
        </w:tc>
        <w:tc>
          <w:tcPr>
            <w:tcW w:w="3402" w:type="dxa"/>
          </w:tcPr>
          <w:p w:rsidR="00556696" w:rsidRPr="00BB5B5C" w:rsidRDefault="00556696" w:rsidP="00C71251">
            <w:pPr>
              <w:cnfStyle w:val="000000100000"/>
            </w:pPr>
            <w:r w:rsidRPr="00BB5B5C">
              <w:t>IFRS 2 has a significant impact on accounting numbers.</w:t>
            </w:r>
          </w:p>
        </w:tc>
      </w:tr>
      <w:tr w:rsidR="00556696" w:rsidRPr="00BB5B5C" w:rsidTr="008E6808">
        <w:tc>
          <w:tcPr>
            <w:cnfStyle w:val="001000000000"/>
            <w:tcW w:w="2235" w:type="dxa"/>
          </w:tcPr>
          <w:p w:rsidR="00556696" w:rsidRPr="00BB5B5C" w:rsidRDefault="00556696" w:rsidP="00556696">
            <w:r w:rsidRPr="00BB5B5C">
              <w:t>C. Viger, R. Belzile and A.A. Anandarajan (2008)</w:t>
            </w:r>
          </w:p>
        </w:tc>
        <w:tc>
          <w:tcPr>
            <w:tcW w:w="3402" w:type="dxa"/>
          </w:tcPr>
          <w:p w:rsidR="00556696" w:rsidRPr="00BB5B5C" w:rsidRDefault="00556696" w:rsidP="00C71251">
            <w:pPr>
              <w:cnfStyle w:val="000000000000"/>
            </w:pPr>
            <w:r w:rsidRPr="00BB5B5C">
              <w:t>The effect of different accounting methods of ESOs on the decisions of bank loan officers.</w:t>
            </w:r>
          </w:p>
        </w:tc>
        <w:tc>
          <w:tcPr>
            <w:tcW w:w="2977" w:type="dxa"/>
          </w:tcPr>
          <w:p w:rsidR="00556696" w:rsidRPr="00BB5B5C" w:rsidRDefault="00556696" w:rsidP="00C71251">
            <w:pPr>
              <w:cnfStyle w:val="000000000000"/>
            </w:pPr>
            <w:r w:rsidRPr="00BB5B5C">
              <w:t>144 Canadian bank loan officers in March 2004</w:t>
            </w:r>
          </w:p>
        </w:tc>
        <w:tc>
          <w:tcPr>
            <w:tcW w:w="1984" w:type="dxa"/>
          </w:tcPr>
          <w:p w:rsidR="00556696" w:rsidRPr="00BB5B5C" w:rsidRDefault="00556696" w:rsidP="00C71251">
            <w:pPr>
              <w:cnfStyle w:val="000000000000"/>
            </w:pPr>
            <w:r w:rsidRPr="00BB5B5C">
              <w:t>Experiment with overall MANOVA test</w:t>
            </w:r>
          </w:p>
        </w:tc>
        <w:tc>
          <w:tcPr>
            <w:tcW w:w="3402" w:type="dxa"/>
          </w:tcPr>
          <w:p w:rsidR="00556696" w:rsidRPr="00BB5B5C" w:rsidRDefault="00556696" w:rsidP="00C71251">
            <w:pPr>
              <w:cnfStyle w:val="000000000000"/>
            </w:pPr>
            <w:r w:rsidRPr="00BB5B5C">
              <w:t>When ESO expense was recognized bank loan officers estimated higher risk and were less likely to grant the loan relative to firms with disclosed ESO expense</w:t>
            </w:r>
          </w:p>
        </w:tc>
      </w:tr>
      <w:tr w:rsidR="00556696" w:rsidRPr="00BB5B5C" w:rsidTr="008E6808">
        <w:trPr>
          <w:cnfStyle w:val="000000100000"/>
        </w:trPr>
        <w:tc>
          <w:tcPr>
            <w:cnfStyle w:val="001000000000"/>
            <w:tcW w:w="2235" w:type="dxa"/>
          </w:tcPr>
          <w:p w:rsidR="00556696" w:rsidRPr="00BB5B5C" w:rsidRDefault="00556696" w:rsidP="00556696">
            <w:r w:rsidRPr="00BB5B5C">
              <w:t>D. Robinson and D. Burton (2004)</w:t>
            </w:r>
          </w:p>
        </w:tc>
        <w:tc>
          <w:tcPr>
            <w:tcW w:w="3402" w:type="dxa"/>
          </w:tcPr>
          <w:p w:rsidR="00556696" w:rsidRPr="00BB5B5C" w:rsidRDefault="00556696" w:rsidP="00C71251">
            <w:pPr>
              <w:cnfStyle w:val="000000100000"/>
            </w:pPr>
            <w:r w:rsidRPr="00BB5B5C">
              <w:t>The market reaction to announcement by firms to adopt the fair value method and the impact on profitability measures of ESO expensing.</w:t>
            </w:r>
          </w:p>
        </w:tc>
        <w:tc>
          <w:tcPr>
            <w:tcW w:w="2977" w:type="dxa"/>
          </w:tcPr>
          <w:p w:rsidR="00556696" w:rsidRPr="00BB5B5C" w:rsidRDefault="00556696" w:rsidP="00C71251">
            <w:pPr>
              <w:cnfStyle w:val="000000100000"/>
            </w:pPr>
            <w:r w:rsidRPr="00BB5B5C">
              <w:t>97 U.S. firms that announced the adoption of the fair value method before September 13, 2002.</w:t>
            </w:r>
          </w:p>
        </w:tc>
        <w:tc>
          <w:tcPr>
            <w:tcW w:w="1984" w:type="dxa"/>
          </w:tcPr>
          <w:p w:rsidR="00556696" w:rsidRPr="00BB5B5C" w:rsidRDefault="00556696" w:rsidP="00C71251">
            <w:pPr>
              <w:cnfStyle w:val="000000100000"/>
            </w:pPr>
            <w:r w:rsidRPr="00BB5B5C">
              <w:t>Multiple regression</w:t>
            </w:r>
          </w:p>
        </w:tc>
        <w:tc>
          <w:tcPr>
            <w:tcW w:w="3402" w:type="dxa"/>
          </w:tcPr>
          <w:p w:rsidR="00556696" w:rsidRPr="00BB5B5C" w:rsidRDefault="00556696" w:rsidP="00C71251">
            <w:pPr>
              <w:cnfStyle w:val="000000100000"/>
            </w:pPr>
            <w:r w:rsidRPr="00BB5B5C">
              <w:t xml:space="preserve">Adoption announcements are viewed as a credible signal of reporting quality and the impact on profitability measures is lower for early adopters. </w:t>
            </w:r>
          </w:p>
        </w:tc>
      </w:tr>
      <w:tr w:rsidR="00556696" w:rsidRPr="00BB5B5C" w:rsidTr="008E6808">
        <w:tc>
          <w:tcPr>
            <w:cnfStyle w:val="001000000000"/>
            <w:tcW w:w="2235" w:type="dxa"/>
          </w:tcPr>
          <w:p w:rsidR="00556696" w:rsidRPr="00BB5B5C" w:rsidRDefault="00556696" w:rsidP="00C71251">
            <w:r w:rsidRPr="00BB5B5C">
              <w:t>J. Cotter and I. Zimmer (2003)</w:t>
            </w:r>
          </w:p>
        </w:tc>
        <w:tc>
          <w:tcPr>
            <w:tcW w:w="3402" w:type="dxa"/>
          </w:tcPr>
          <w:p w:rsidR="00556696" w:rsidRPr="00BB5B5C" w:rsidRDefault="00556696" w:rsidP="00C71251">
            <w:pPr>
              <w:cnfStyle w:val="000000000000"/>
            </w:pPr>
            <w:r w:rsidRPr="00BB5B5C">
              <w:t>The value relevance of recognized and disclosed items.</w:t>
            </w:r>
          </w:p>
        </w:tc>
        <w:tc>
          <w:tcPr>
            <w:tcW w:w="2977" w:type="dxa"/>
          </w:tcPr>
          <w:p w:rsidR="00556696" w:rsidRPr="00BB5B5C" w:rsidRDefault="00556696" w:rsidP="00C71251">
            <w:pPr>
              <w:cnfStyle w:val="000000000000"/>
            </w:pPr>
            <w:r w:rsidRPr="00BB5B5C">
              <w:t>112 Australian companies in the period 1987-1989</w:t>
            </w:r>
          </w:p>
        </w:tc>
        <w:tc>
          <w:tcPr>
            <w:tcW w:w="1984" w:type="dxa"/>
          </w:tcPr>
          <w:p w:rsidR="00556696" w:rsidRPr="00BB5B5C" w:rsidRDefault="00556696" w:rsidP="00556696">
            <w:pPr>
              <w:cnfStyle w:val="000000000000"/>
            </w:pPr>
            <w:r w:rsidRPr="00BB5B5C">
              <w:t>Probit and pooled regressions</w:t>
            </w:r>
          </w:p>
        </w:tc>
        <w:tc>
          <w:tcPr>
            <w:tcW w:w="3402" w:type="dxa"/>
          </w:tcPr>
          <w:p w:rsidR="00556696" w:rsidRPr="00BB5B5C" w:rsidRDefault="00556696" w:rsidP="00C71251">
            <w:pPr>
              <w:cnfStyle w:val="000000000000"/>
            </w:pPr>
            <w:r w:rsidRPr="00BB5B5C">
              <w:t>Recognized items are seen as more reliable amounts compared to disclosed items.</w:t>
            </w:r>
          </w:p>
        </w:tc>
      </w:tr>
      <w:tr w:rsidR="00556696" w:rsidRPr="00BB5B5C" w:rsidTr="008E6808">
        <w:trPr>
          <w:cnfStyle w:val="000000100000"/>
        </w:trPr>
        <w:tc>
          <w:tcPr>
            <w:cnfStyle w:val="001000000000"/>
            <w:tcW w:w="2235" w:type="dxa"/>
          </w:tcPr>
          <w:p w:rsidR="00556696" w:rsidRPr="00BB5B5C" w:rsidRDefault="00556696" w:rsidP="00C71251">
            <w:r w:rsidRPr="00BB5B5C">
              <w:t xml:space="preserve">J.R. Frederickson, F.D. Hodge and J.H. Pratt (2006) </w:t>
            </w:r>
          </w:p>
        </w:tc>
        <w:tc>
          <w:tcPr>
            <w:tcW w:w="3402" w:type="dxa"/>
          </w:tcPr>
          <w:p w:rsidR="00556696" w:rsidRPr="00BB5B5C" w:rsidRDefault="00556696" w:rsidP="00C71251">
            <w:pPr>
              <w:cnfStyle w:val="000000100000"/>
            </w:pPr>
            <w:r w:rsidRPr="00BB5B5C">
              <w:t>User assessments of reliability of recognition and disclosures.</w:t>
            </w:r>
          </w:p>
        </w:tc>
        <w:tc>
          <w:tcPr>
            <w:tcW w:w="2977" w:type="dxa"/>
          </w:tcPr>
          <w:p w:rsidR="00556696" w:rsidRPr="00BB5B5C" w:rsidRDefault="00556696" w:rsidP="00C71251">
            <w:pPr>
              <w:cnfStyle w:val="000000100000"/>
            </w:pPr>
            <w:r w:rsidRPr="00BB5B5C">
              <w:t>220 randomly selected individuals of a participation pool</w:t>
            </w:r>
          </w:p>
        </w:tc>
        <w:tc>
          <w:tcPr>
            <w:tcW w:w="1984" w:type="dxa"/>
          </w:tcPr>
          <w:p w:rsidR="00556696" w:rsidRPr="00BB5B5C" w:rsidRDefault="00556696" w:rsidP="00C71251">
            <w:pPr>
              <w:cnfStyle w:val="000000100000"/>
            </w:pPr>
            <w:r w:rsidRPr="00BB5B5C">
              <w:t>Experiment with ANOVA and ANCOVA test</w:t>
            </w:r>
          </w:p>
        </w:tc>
        <w:tc>
          <w:tcPr>
            <w:tcW w:w="3402" w:type="dxa"/>
          </w:tcPr>
          <w:p w:rsidR="00556696" w:rsidRPr="00BB5B5C" w:rsidRDefault="00556696" w:rsidP="00C71251">
            <w:pPr>
              <w:cnfStyle w:val="000000100000"/>
            </w:pPr>
            <w:r w:rsidRPr="00BB5B5C">
              <w:t>Users invest more in firms that chose for recognition than firms that chose for disclosure of ESOs.</w:t>
            </w:r>
          </w:p>
        </w:tc>
      </w:tr>
    </w:tbl>
    <w:p w:rsidR="008E6808" w:rsidRPr="00BB5B5C" w:rsidRDefault="008E6808">
      <w:r w:rsidRPr="00BB5B5C">
        <w:rPr>
          <w:b/>
          <w:bCs/>
        </w:rPr>
        <w:br w:type="page"/>
      </w:r>
    </w:p>
    <w:tbl>
      <w:tblPr>
        <w:tblStyle w:val="Gemiddeldelijst1-accent11"/>
        <w:tblW w:w="14000" w:type="dxa"/>
        <w:tblLook w:val="04A0"/>
      </w:tblPr>
      <w:tblGrid>
        <w:gridCol w:w="2235"/>
        <w:gridCol w:w="3402"/>
        <w:gridCol w:w="2977"/>
        <w:gridCol w:w="1984"/>
        <w:gridCol w:w="3402"/>
      </w:tblGrid>
      <w:tr w:rsidR="00556696" w:rsidRPr="00BB5B5C" w:rsidTr="008E6808">
        <w:trPr>
          <w:cnfStyle w:val="100000000000"/>
        </w:trPr>
        <w:tc>
          <w:tcPr>
            <w:cnfStyle w:val="001000000000"/>
            <w:tcW w:w="2235" w:type="dxa"/>
          </w:tcPr>
          <w:p w:rsidR="00556696" w:rsidRPr="00BB5B5C" w:rsidRDefault="00556696" w:rsidP="00C71251">
            <w:pPr>
              <w:rPr>
                <w:rFonts w:asciiTheme="minorHAnsi" w:hAnsiTheme="minorHAnsi"/>
              </w:rPr>
            </w:pPr>
            <w:r w:rsidRPr="00BB5B5C">
              <w:rPr>
                <w:rFonts w:asciiTheme="minorHAnsi" w:hAnsiTheme="minorHAnsi"/>
              </w:rPr>
              <w:lastRenderedPageBreak/>
              <w:t>S. Deshmukh, K.M. Howe and C. Luft (2006)</w:t>
            </w:r>
          </w:p>
        </w:tc>
        <w:tc>
          <w:tcPr>
            <w:tcW w:w="3402" w:type="dxa"/>
          </w:tcPr>
          <w:p w:rsidR="00556696" w:rsidRPr="00BB5B5C" w:rsidRDefault="00556696" w:rsidP="00C71251">
            <w:pPr>
              <w:cnfStyle w:val="100000000000"/>
              <w:rPr>
                <w:rFonts w:asciiTheme="minorHAnsi" w:hAnsiTheme="minorHAnsi"/>
              </w:rPr>
            </w:pPr>
            <w:r w:rsidRPr="00BB5B5C">
              <w:rPr>
                <w:rFonts w:asciiTheme="minorHAnsi" w:hAnsiTheme="minorHAnsi"/>
              </w:rPr>
              <w:t>The role of the agency theory and asymmetric information theory in the decision to expense ESOs.</w:t>
            </w:r>
          </w:p>
        </w:tc>
        <w:tc>
          <w:tcPr>
            <w:tcW w:w="2977" w:type="dxa"/>
          </w:tcPr>
          <w:p w:rsidR="00556696" w:rsidRPr="00BB5B5C" w:rsidRDefault="00556696" w:rsidP="00556696">
            <w:pPr>
              <w:cnfStyle w:val="100000000000"/>
              <w:rPr>
                <w:rFonts w:asciiTheme="minorHAnsi" w:hAnsiTheme="minorHAnsi"/>
              </w:rPr>
            </w:pPr>
            <w:r w:rsidRPr="00BB5B5C">
              <w:rPr>
                <w:rFonts w:asciiTheme="minorHAnsi" w:hAnsiTheme="minorHAnsi"/>
              </w:rPr>
              <w:t>207 U.S. firms that voluntarily announced to adopt the fair value method between January 2002 and December 2003.</w:t>
            </w:r>
          </w:p>
        </w:tc>
        <w:tc>
          <w:tcPr>
            <w:tcW w:w="1984" w:type="dxa"/>
          </w:tcPr>
          <w:p w:rsidR="00556696" w:rsidRPr="00BB5B5C" w:rsidRDefault="00556696" w:rsidP="00C71251">
            <w:pPr>
              <w:cnfStyle w:val="100000000000"/>
              <w:rPr>
                <w:rFonts w:asciiTheme="minorHAnsi" w:hAnsiTheme="minorHAnsi"/>
              </w:rPr>
            </w:pPr>
            <w:r w:rsidRPr="00BB5B5C">
              <w:rPr>
                <w:rFonts w:asciiTheme="minorHAnsi" w:hAnsiTheme="minorHAnsi"/>
              </w:rPr>
              <w:t>Logit analyses</w:t>
            </w:r>
          </w:p>
        </w:tc>
        <w:tc>
          <w:tcPr>
            <w:tcW w:w="3402" w:type="dxa"/>
          </w:tcPr>
          <w:p w:rsidR="00556696" w:rsidRPr="00BB5B5C" w:rsidRDefault="00556696" w:rsidP="00C71251">
            <w:pPr>
              <w:cnfStyle w:val="100000000000"/>
              <w:rPr>
                <w:rFonts w:asciiTheme="minorHAnsi" w:hAnsiTheme="minorHAnsi"/>
              </w:rPr>
            </w:pPr>
            <w:r w:rsidRPr="00BB5B5C">
              <w:rPr>
                <w:rFonts w:asciiTheme="minorHAnsi" w:hAnsiTheme="minorHAnsi"/>
              </w:rPr>
              <w:t xml:space="preserve">Firms with low agency costs and with greater transparency are more likely to expense ESOs. </w:t>
            </w:r>
          </w:p>
        </w:tc>
      </w:tr>
      <w:tr w:rsidR="00556696" w:rsidRPr="00BB5B5C" w:rsidTr="008E6808">
        <w:trPr>
          <w:cnfStyle w:val="000000100000"/>
        </w:trPr>
        <w:tc>
          <w:tcPr>
            <w:cnfStyle w:val="001000000000"/>
            <w:tcW w:w="14000" w:type="dxa"/>
            <w:gridSpan w:val="5"/>
          </w:tcPr>
          <w:p w:rsidR="00556696" w:rsidRPr="00BB5B5C" w:rsidRDefault="00556696" w:rsidP="004A4396">
            <w:pPr>
              <w:rPr>
                <w:b w:val="0"/>
              </w:rPr>
            </w:pPr>
          </w:p>
        </w:tc>
      </w:tr>
      <w:tr w:rsidR="00556696" w:rsidRPr="00BB5B5C" w:rsidTr="008E6808">
        <w:tc>
          <w:tcPr>
            <w:cnfStyle w:val="001000000000"/>
            <w:tcW w:w="14000" w:type="dxa"/>
            <w:gridSpan w:val="5"/>
            <w:shd w:val="clear" w:color="auto" w:fill="95B3D7" w:themeFill="accent1" w:themeFillTint="99"/>
          </w:tcPr>
          <w:p w:rsidR="00556696" w:rsidRPr="00BB5B5C" w:rsidRDefault="003236CF" w:rsidP="004A4396">
            <w:pPr>
              <w:rPr>
                <w:b w:val="0"/>
                <w:i/>
                <w:color w:val="FFFFFF" w:themeColor="background1"/>
              </w:rPr>
            </w:pPr>
            <w:fldSimple w:instr=" REF _Ref298924317 \h  \* MERGEFORMAT ">
              <w:r w:rsidR="001D5F9A" w:rsidRPr="001D5F9A">
                <w:rPr>
                  <w:i/>
                  <w:color w:val="FFFFFF" w:themeColor="background1"/>
                </w:rPr>
                <w:t>4.2 US-based studies</w:t>
              </w:r>
            </w:fldSimple>
          </w:p>
        </w:tc>
      </w:tr>
      <w:tr w:rsidR="00556696" w:rsidRPr="00BB5B5C" w:rsidTr="008E6808">
        <w:trPr>
          <w:cnfStyle w:val="000000100000"/>
        </w:trPr>
        <w:tc>
          <w:tcPr>
            <w:cnfStyle w:val="001000000000"/>
            <w:tcW w:w="2235" w:type="dxa"/>
          </w:tcPr>
          <w:p w:rsidR="00556696" w:rsidRPr="00BB5B5C" w:rsidRDefault="00556696" w:rsidP="00556696">
            <w:r w:rsidRPr="00BB5B5C">
              <w:t>Y. Feng and Y.S. Tian (2007)</w:t>
            </w:r>
          </w:p>
        </w:tc>
        <w:tc>
          <w:tcPr>
            <w:tcW w:w="3402" w:type="dxa"/>
          </w:tcPr>
          <w:p w:rsidR="00556696" w:rsidRPr="00BB5B5C" w:rsidRDefault="00556696" w:rsidP="004A4396">
            <w:pPr>
              <w:cnfStyle w:val="000000100000"/>
            </w:pPr>
            <w:r w:rsidRPr="00BB5B5C">
              <w:t>The impact of mandatory ESO expensing on executive compensation.</w:t>
            </w:r>
          </w:p>
        </w:tc>
        <w:tc>
          <w:tcPr>
            <w:tcW w:w="2977" w:type="dxa"/>
          </w:tcPr>
          <w:p w:rsidR="00556696" w:rsidRPr="00BB5B5C" w:rsidRDefault="00556696" w:rsidP="004A4396">
            <w:pPr>
              <w:cnfStyle w:val="000000100000"/>
            </w:pPr>
            <w:r w:rsidRPr="00BB5B5C">
              <w:t>1,609 firms with information available in ExecuComp, CRSP, and Compustat in 1993-2005.</w:t>
            </w:r>
          </w:p>
        </w:tc>
        <w:tc>
          <w:tcPr>
            <w:tcW w:w="1984" w:type="dxa"/>
          </w:tcPr>
          <w:p w:rsidR="00556696" w:rsidRPr="00BB5B5C" w:rsidRDefault="00556696" w:rsidP="004A4396">
            <w:pPr>
              <w:cnfStyle w:val="000000100000"/>
            </w:pPr>
            <w:r w:rsidRPr="00BB5B5C">
              <w:t>Multiple regression</w:t>
            </w:r>
          </w:p>
        </w:tc>
        <w:tc>
          <w:tcPr>
            <w:tcW w:w="3402" w:type="dxa"/>
          </w:tcPr>
          <w:p w:rsidR="00556696" w:rsidRPr="00BB5B5C" w:rsidRDefault="00556696" w:rsidP="004A4396">
            <w:pPr>
              <w:cnfStyle w:val="000000100000"/>
            </w:pPr>
            <w:r w:rsidRPr="00BB5B5C">
              <w:t>The decline of stock option compensation is mainly caused by ESO expense becoming mandatory</w:t>
            </w:r>
          </w:p>
        </w:tc>
      </w:tr>
      <w:tr w:rsidR="00556696" w:rsidRPr="00BB5B5C" w:rsidTr="008E6808">
        <w:tc>
          <w:tcPr>
            <w:cnfStyle w:val="001000000000"/>
            <w:tcW w:w="2235" w:type="dxa"/>
          </w:tcPr>
          <w:p w:rsidR="00556696" w:rsidRPr="00BB5B5C" w:rsidRDefault="00556696" w:rsidP="004A4396">
            <w:r w:rsidRPr="00BB5B5C">
              <w:t>L.D. Brown and Y. Lee (2007)</w:t>
            </w:r>
          </w:p>
        </w:tc>
        <w:tc>
          <w:tcPr>
            <w:tcW w:w="3402" w:type="dxa"/>
          </w:tcPr>
          <w:p w:rsidR="00556696" w:rsidRPr="00BB5B5C" w:rsidRDefault="00556696" w:rsidP="004A4396">
            <w:pPr>
              <w:cnfStyle w:val="000000000000"/>
            </w:pPr>
            <w:r w:rsidRPr="00BB5B5C">
              <w:t>The determinants and consequences of the changes in stock option compensation.</w:t>
            </w:r>
          </w:p>
        </w:tc>
        <w:tc>
          <w:tcPr>
            <w:tcW w:w="2977" w:type="dxa"/>
          </w:tcPr>
          <w:p w:rsidR="00556696" w:rsidRPr="00BB5B5C" w:rsidRDefault="00556696" w:rsidP="004A4396">
            <w:pPr>
              <w:cnfStyle w:val="000000000000"/>
            </w:pPr>
            <w:r w:rsidRPr="00BB5B5C">
              <w:t>1,022 firms with compensation data from 2005 in ExecuComp.</w:t>
            </w:r>
          </w:p>
        </w:tc>
        <w:tc>
          <w:tcPr>
            <w:tcW w:w="1984" w:type="dxa"/>
          </w:tcPr>
          <w:p w:rsidR="00556696" w:rsidRPr="00BB5B5C" w:rsidRDefault="00556696" w:rsidP="004A4396">
            <w:pPr>
              <w:cnfStyle w:val="000000000000"/>
            </w:pPr>
            <w:r w:rsidRPr="00BB5B5C">
              <w:t>Multiple regression</w:t>
            </w:r>
          </w:p>
        </w:tc>
        <w:tc>
          <w:tcPr>
            <w:tcW w:w="3402" w:type="dxa"/>
          </w:tcPr>
          <w:p w:rsidR="00556696" w:rsidRPr="00BB5B5C" w:rsidRDefault="00556696" w:rsidP="004A4396">
            <w:pPr>
              <w:cnfStyle w:val="000000000000"/>
            </w:pPr>
            <w:r w:rsidRPr="00BB5B5C">
              <w:t>Due to the mandatory expensing of ESOs, firms reduced stock option compensation, and increased restricted stock compensation</w:t>
            </w:r>
          </w:p>
        </w:tc>
      </w:tr>
      <w:tr w:rsidR="00556696" w:rsidRPr="00BB5B5C" w:rsidTr="008E6808">
        <w:trPr>
          <w:cnfStyle w:val="000000100000"/>
        </w:trPr>
        <w:tc>
          <w:tcPr>
            <w:cnfStyle w:val="001000000000"/>
            <w:tcW w:w="2235" w:type="dxa"/>
          </w:tcPr>
          <w:p w:rsidR="00556696" w:rsidRPr="00BB5B5C" w:rsidRDefault="00556696" w:rsidP="00556696">
            <w:r w:rsidRPr="00BB5B5C">
              <w:t>M.E. Carter, L.J. Lynch and I. Tuna (2007)</w:t>
            </w:r>
          </w:p>
        </w:tc>
        <w:tc>
          <w:tcPr>
            <w:tcW w:w="3402" w:type="dxa"/>
          </w:tcPr>
          <w:p w:rsidR="00556696" w:rsidRPr="00BB5B5C" w:rsidRDefault="00556696" w:rsidP="004A4396">
            <w:pPr>
              <w:cnfStyle w:val="000000100000"/>
            </w:pPr>
            <w:r w:rsidRPr="00BB5B5C">
              <w:t>The role of accounting on executive compensation design.</w:t>
            </w:r>
          </w:p>
        </w:tc>
        <w:tc>
          <w:tcPr>
            <w:tcW w:w="2977" w:type="dxa"/>
          </w:tcPr>
          <w:p w:rsidR="00556696" w:rsidRPr="00BB5B5C" w:rsidRDefault="00556696" w:rsidP="004A4396">
            <w:pPr>
              <w:cnfStyle w:val="000000100000"/>
            </w:pPr>
            <w:r w:rsidRPr="00BB5B5C">
              <w:t>6,242 firms with ExecuComp information in 1995-2001.</w:t>
            </w:r>
          </w:p>
        </w:tc>
        <w:tc>
          <w:tcPr>
            <w:tcW w:w="1984" w:type="dxa"/>
          </w:tcPr>
          <w:p w:rsidR="00556696" w:rsidRPr="00BB5B5C" w:rsidRDefault="00556696" w:rsidP="004A4396">
            <w:pPr>
              <w:cnfStyle w:val="000000100000"/>
            </w:pPr>
            <w:r w:rsidRPr="00BB5B5C">
              <w:t>Multiple regression</w:t>
            </w:r>
          </w:p>
        </w:tc>
        <w:tc>
          <w:tcPr>
            <w:tcW w:w="3402" w:type="dxa"/>
          </w:tcPr>
          <w:p w:rsidR="00556696" w:rsidRPr="00BB5B5C" w:rsidRDefault="00556696" w:rsidP="004A4396">
            <w:pPr>
              <w:cnfStyle w:val="000000100000"/>
            </w:pPr>
            <w:r w:rsidRPr="00BB5B5C">
              <w:t>Favorable accounting treatment of stock options led to a higher use of stock option compensation.</w:t>
            </w:r>
          </w:p>
        </w:tc>
      </w:tr>
      <w:tr w:rsidR="00556696" w:rsidRPr="00BB5B5C" w:rsidTr="008E6808">
        <w:tc>
          <w:tcPr>
            <w:cnfStyle w:val="001000000000"/>
            <w:tcW w:w="2235" w:type="dxa"/>
          </w:tcPr>
          <w:p w:rsidR="00556696" w:rsidRPr="00BB5B5C" w:rsidRDefault="00556696" w:rsidP="004A4396">
            <w:r w:rsidRPr="00BB5B5C">
              <w:t>P. Choudhary (2008)</w:t>
            </w:r>
          </w:p>
        </w:tc>
        <w:tc>
          <w:tcPr>
            <w:tcW w:w="3402" w:type="dxa"/>
          </w:tcPr>
          <w:p w:rsidR="00556696" w:rsidRPr="00BB5B5C" w:rsidRDefault="00556696" w:rsidP="004A4396">
            <w:pPr>
              <w:cnfStyle w:val="000000000000"/>
            </w:pPr>
            <w:r w:rsidRPr="00BB5B5C">
              <w:t>The effect of recognition or disclosure of fair value of share-based payment on the amount and structure of stock options and restricted stock.</w:t>
            </w:r>
          </w:p>
        </w:tc>
        <w:tc>
          <w:tcPr>
            <w:tcW w:w="2977" w:type="dxa"/>
          </w:tcPr>
          <w:p w:rsidR="00556696" w:rsidRPr="00BB5B5C" w:rsidRDefault="00556696" w:rsidP="004A4396">
            <w:pPr>
              <w:cnfStyle w:val="000000000000"/>
            </w:pPr>
            <w:r w:rsidRPr="00BB5B5C">
              <w:t>795 mandatory disclosure firms, 783 mandatory recognition firms, and 127 voluntary recognition firms as control group.</w:t>
            </w:r>
          </w:p>
        </w:tc>
        <w:tc>
          <w:tcPr>
            <w:tcW w:w="1984" w:type="dxa"/>
          </w:tcPr>
          <w:p w:rsidR="00556696" w:rsidRPr="00BB5B5C" w:rsidRDefault="00556696" w:rsidP="004A4396">
            <w:pPr>
              <w:cnfStyle w:val="000000000000"/>
            </w:pPr>
            <w:r w:rsidRPr="00BB5B5C">
              <w:t>Multiple regression</w:t>
            </w:r>
          </w:p>
        </w:tc>
        <w:tc>
          <w:tcPr>
            <w:tcW w:w="3402" w:type="dxa"/>
          </w:tcPr>
          <w:p w:rsidR="00556696" w:rsidRPr="00BB5B5C" w:rsidRDefault="00556696" w:rsidP="004A4396">
            <w:pPr>
              <w:cnfStyle w:val="000000000000"/>
            </w:pPr>
            <w:r w:rsidRPr="00BB5B5C">
              <w:t>Managers and governing boards treat recognition and disclosure differently. During fair value recognition firms substituted stock option compensation with restricted stock compensation.</w:t>
            </w:r>
          </w:p>
        </w:tc>
      </w:tr>
      <w:tr w:rsidR="00556696" w:rsidRPr="00BB5B5C" w:rsidTr="008E6808">
        <w:trPr>
          <w:cnfStyle w:val="000000100000"/>
        </w:trPr>
        <w:tc>
          <w:tcPr>
            <w:cnfStyle w:val="001000000000"/>
            <w:tcW w:w="14000" w:type="dxa"/>
            <w:gridSpan w:val="5"/>
          </w:tcPr>
          <w:p w:rsidR="00556696" w:rsidRPr="00BB5B5C" w:rsidRDefault="00556696" w:rsidP="004A4396"/>
        </w:tc>
      </w:tr>
      <w:tr w:rsidR="00556696" w:rsidRPr="00BB5B5C" w:rsidTr="008E6808">
        <w:tc>
          <w:tcPr>
            <w:cnfStyle w:val="001000000000"/>
            <w:tcW w:w="14000" w:type="dxa"/>
            <w:gridSpan w:val="5"/>
            <w:shd w:val="clear" w:color="auto" w:fill="95B3D7" w:themeFill="accent1" w:themeFillTint="99"/>
          </w:tcPr>
          <w:p w:rsidR="00556696" w:rsidRPr="00BB5B5C" w:rsidRDefault="003236CF" w:rsidP="004A4396">
            <w:pPr>
              <w:rPr>
                <w:b w:val="0"/>
                <w:i/>
                <w:color w:val="FFFFFF" w:themeColor="background1"/>
              </w:rPr>
            </w:pPr>
            <w:fldSimple w:instr=" REF _Ref298924343 \h  \* MERGEFORMAT ">
              <w:r w:rsidR="001D5F9A" w:rsidRPr="001D5F9A">
                <w:rPr>
                  <w:i/>
                  <w:color w:val="FFFFFF" w:themeColor="background1"/>
                </w:rPr>
                <w:t>4.3 Netherlands-based studies</w:t>
              </w:r>
            </w:fldSimple>
          </w:p>
        </w:tc>
      </w:tr>
      <w:tr w:rsidR="00556696" w:rsidRPr="00BB5B5C" w:rsidTr="008E6808">
        <w:trPr>
          <w:cnfStyle w:val="000000100000"/>
        </w:trPr>
        <w:tc>
          <w:tcPr>
            <w:cnfStyle w:val="001000000000"/>
            <w:tcW w:w="2235" w:type="dxa"/>
          </w:tcPr>
          <w:p w:rsidR="00556696" w:rsidRPr="00BB5B5C" w:rsidRDefault="00556696" w:rsidP="004A4396">
            <w:r w:rsidRPr="00BB5B5C">
              <w:t>D. Swagerman and E. Terpstra (2009)</w:t>
            </w:r>
          </w:p>
        </w:tc>
        <w:tc>
          <w:tcPr>
            <w:tcW w:w="3402" w:type="dxa"/>
          </w:tcPr>
          <w:p w:rsidR="00556696" w:rsidRPr="00BB5B5C" w:rsidRDefault="00556696" w:rsidP="004A4396">
            <w:pPr>
              <w:cnfStyle w:val="000000100000"/>
            </w:pPr>
            <w:r w:rsidRPr="00BB5B5C">
              <w:t>The trend of executive compensation packages in Dutch listed firms.</w:t>
            </w:r>
          </w:p>
        </w:tc>
        <w:tc>
          <w:tcPr>
            <w:tcW w:w="2977" w:type="dxa"/>
          </w:tcPr>
          <w:p w:rsidR="00556696" w:rsidRPr="00BB5B5C" w:rsidRDefault="00556696" w:rsidP="004A4396">
            <w:pPr>
              <w:cnfStyle w:val="000000100000"/>
            </w:pPr>
            <w:r w:rsidRPr="00BB5B5C">
              <w:t xml:space="preserve">71 Dutch listed firms for the period 2002-2004. </w:t>
            </w:r>
          </w:p>
        </w:tc>
        <w:tc>
          <w:tcPr>
            <w:tcW w:w="1984" w:type="dxa"/>
          </w:tcPr>
          <w:p w:rsidR="00556696" w:rsidRPr="00BB5B5C" w:rsidRDefault="00556696" w:rsidP="004A4396">
            <w:pPr>
              <w:cnfStyle w:val="000000100000"/>
            </w:pPr>
            <w:r w:rsidRPr="00BB5B5C">
              <w:t>Quantitative research</w:t>
            </w:r>
          </w:p>
        </w:tc>
        <w:tc>
          <w:tcPr>
            <w:tcW w:w="3402" w:type="dxa"/>
          </w:tcPr>
          <w:p w:rsidR="00556696" w:rsidRPr="00BB5B5C" w:rsidRDefault="00556696" w:rsidP="004A4396">
            <w:pPr>
              <w:cnfStyle w:val="000000100000"/>
            </w:pPr>
            <w:r w:rsidRPr="00BB5B5C">
              <w:t xml:space="preserve">The Dutch Corporate Governance Code, IFRS 2 and investor pressure has led to revised incentive plans. </w:t>
            </w:r>
          </w:p>
          <w:p w:rsidR="00556696" w:rsidRPr="00BB5B5C" w:rsidRDefault="00556696" w:rsidP="004A4396">
            <w:pPr>
              <w:cnfStyle w:val="000000100000"/>
            </w:pPr>
            <w:r w:rsidRPr="00BB5B5C">
              <w:t>Dutch compensation packages are becoming more effective.</w:t>
            </w:r>
          </w:p>
          <w:p w:rsidR="00556696" w:rsidRPr="00BB5B5C" w:rsidRDefault="00556696" w:rsidP="004A4396">
            <w:pPr>
              <w:cnfStyle w:val="000000100000"/>
            </w:pPr>
            <w:r w:rsidRPr="00BB5B5C">
              <w:t>Performance share plans have replaced stock options.</w:t>
            </w:r>
          </w:p>
        </w:tc>
      </w:tr>
    </w:tbl>
    <w:p w:rsidR="008E6808" w:rsidRPr="00BB5B5C" w:rsidRDefault="008E6808">
      <w:r w:rsidRPr="00BB5B5C">
        <w:rPr>
          <w:b/>
          <w:bCs/>
        </w:rPr>
        <w:br w:type="page"/>
      </w:r>
    </w:p>
    <w:tbl>
      <w:tblPr>
        <w:tblStyle w:val="Gemiddeldelijst1-accent11"/>
        <w:tblW w:w="14000" w:type="dxa"/>
        <w:tblLook w:val="04A0"/>
      </w:tblPr>
      <w:tblGrid>
        <w:gridCol w:w="2235"/>
        <w:gridCol w:w="3402"/>
        <w:gridCol w:w="2977"/>
        <w:gridCol w:w="1984"/>
        <w:gridCol w:w="3402"/>
      </w:tblGrid>
      <w:tr w:rsidR="00556696" w:rsidRPr="00BB5B5C" w:rsidTr="008E6808">
        <w:trPr>
          <w:cnfStyle w:val="100000000000"/>
        </w:trPr>
        <w:tc>
          <w:tcPr>
            <w:cnfStyle w:val="001000000000"/>
            <w:tcW w:w="2235" w:type="dxa"/>
          </w:tcPr>
          <w:p w:rsidR="00556696" w:rsidRPr="00BB5B5C" w:rsidRDefault="00556696" w:rsidP="004A4396">
            <w:pPr>
              <w:rPr>
                <w:rFonts w:asciiTheme="minorHAnsi" w:hAnsiTheme="minorHAnsi"/>
              </w:rPr>
            </w:pPr>
            <w:r w:rsidRPr="00BB5B5C">
              <w:rPr>
                <w:rFonts w:asciiTheme="minorHAnsi" w:hAnsiTheme="minorHAnsi"/>
              </w:rPr>
              <w:lastRenderedPageBreak/>
              <w:t>L. Kraakman (2010)</w:t>
            </w:r>
          </w:p>
        </w:tc>
        <w:tc>
          <w:tcPr>
            <w:tcW w:w="3402" w:type="dxa"/>
          </w:tcPr>
          <w:p w:rsidR="00556696" w:rsidRPr="00BB5B5C" w:rsidRDefault="00556696" w:rsidP="004A4396">
            <w:pPr>
              <w:cnfStyle w:val="100000000000"/>
              <w:rPr>
                <w:rFonts w:asciiTheme="minorHAnsi" w:hAnsiTheme="minorHAnsi"/>
              </w:rPr>
            </w:pPr>
            <w:r w:rsidRPr="00BB5B5C">
              <w:rPr>
                <w:rFonts w:asciiTheme="minorHAnsi" w:hAnsiTheme="minorHAnsi"/>
              </w:rPr>
              <w:t>The impact of IFRS 2 on stock option compensation in The Netherlands.</w:t>
            </w:r>
          </w:p>
        </w:tc>
        <w:tc>
          <w:tcPr>
            <w:tcW w:w="2977" w:type="dxa"/>
          </w:tcPr>
          <w:p w:rsidR="00556696" w:rsidRPr="00BB5B5C" w:rsidRDefault="00556696" w:rsidP="004A4396">
            <w:pPr>
              <w:cnfStyle w:val="100000000000"/>
              <w:rPr>
                <w:rFonts w:asciiTheme="minorHAnsi" w:hAnsiTheme="minorHAnsi"/>
              </w:rPr>
            </w:pPr>
            <w:r w:rsidRPr="00BB5B5C">
              <w:rPr>
                <w:rFonts w:asciiTheme="minorHAnsi" w:hAnsiTheme="minorHAnsi"/>
              </w:rPr>
              <w:t>41 Dutch listed firms for the period 2002-2007.</w:t>
            </w:r>
          </w:p>
        </w:tc>
        <w:tc>
          <w:tcPr>
            <w:tcW w:w="1984" w:type="dxa"/>
          </w:tcPr>
          <w:p w:rsidR="00556696" w:rsidRPr="00BB5B5C" w:rsidRDefault="00556696" w:rsidP="004A4396">
            <w:pPr>
              <w:cnfStyle w:val="100000000000"/>
              <w:rPr>
                <w:rFonts w:asciiTheme="minorHAnsi" w:hAnsiTheme="minorHAnsi"/>
              </w:rPr>
            </w:pPr>
            <w:r w:rsidRPr="00BB5B5C">
              <w:rPr>
                <w:rFonts w:asciiTheme="minorHAnsi" w:hAnsiTheme="minorHAnsi"/>
              </w:rPr>
              <w:t>Multiple regression</w:t>
            </w:r>
          </w:p>
        </w:tc>
        <w:tc>
          <w:tcPr>
            <w:tcW w:w="3402" w:type="dxa"/>
          </w:tcPr>
          <w:p w:rsidR="00556696" w:rsidRPr="00BB5B5C" w:rsidRDefault="00556696" w:rsidP="004A4396">
            <w:pPr>
              <w:cnfStyle w:val="100000000000"/>
              <w:rPr>
                <w:rFonts w:asciiTheme="minorHAnsi" w:hAnsiTheme="minorHAnsi"/>
              </w:rPr>
            </w:pPr>
            <w:r w:rsidRPr="00BB5B5C">
              <w:rPr>
                <w:rFonts w:asciiTheme="minorHAnsi" w:hAnsiTheme="minorHAnsi"/>
              </w:rPr>
              <w:t>The introduction of IFRS 2 has caused a significant decline in stock option compensation.</w:t>
            </w:r>
          </w:p>
        </w:tc>
      </w:tr>
      <w:tr w:rsidR="00556696" w:rsidRPr="00BB5B5C" w:rsidTr="008E6808">
        <w:trPr>
          <w:cnfStyle w:val="000000100000"/>
        </w:trPr>
        <w:tc>
          <w:tcPr>
            <w:cnfStyle w:val="001000000000"/>
            <w:tcW w:w="14000" w:type="dxa"/>
            <w:gridSpan w:val="5"/>
          </w:tcPr>
          <w:p w:rsidR="00556696" w:rsidRPr="00BB5B5C" w:rsidRDefault="00556696" w:rsidP="004A4396"/>
        </w:tc>
      </w:tr>
      <w:tr w:rsidR="00556696" w:rsidRPr="00BB5B5C" w:rsidTr="008E6808">
        <w:tc>
          <w:tcPr>
            <w:cnfStyle w:val="001000000000"/>
            <w:tcW w:w="14000" w:type="dxa"/>
            <w:gridSpan w:val="5"/>
            <w:shd w:val="clear" w:color="auto" w:fill="95B3D7" w:themeFill="accent1" w:themeFillTint="99"/>
          </w:tcPr>
          <w:p w:rsidR="00556696" w:rsidRPr="00BB5B5C" w:rsidRDefault="003236CF" w:rsidP="004A4396">
            <w:pPr>
              <w:rPr>
                <w:b w:val="0"/>
                <w:i/>
                <w:color w:val="FFFFFF" w:themeColor="background1"/>
              </w:rPr>
            </w:pPr>
            <w:fldSimple w:instr=" REF _Ref298924368 \h  \* MERGEFORMAT ">
              <w:r w:rsidR="001D5F9A" w:rsidRPr="001D5F9A">
                <w:rPr>
                  <w:i/>
                  <w:color w:val="FFFFFF" w:themeColor="background1"/>
                </w:rPr>
                <w:t>4.4 Determinants for remuneration</w:t>
              </w:r>
            </w:fldSimple>
          </w:p>
        </w:tc>
      </w:tr>
      <w:tr w:rsidR="00556696" w:rsidRPr="00BB5B5C" w:rsidTr="008E6808">
        <w:trPr>
          <w:cnfStyle w:val="000000100000"/>
        </w:trPr>
        <w:tc>
          <w:tcPr>
            <w:cnfStyle w:val="001000000000"/>
            <w:tcW w:w="2235" w:type="dxa"/>
          </w:tcPr>
          <w:p w:rsidR="00556696" w:rsidRPr="00BB5B5C" w:rsidRDefault="00556696" w:rsidP="004A4396">
            <w:r w:rsidRPr="00BB5B5C">
              <w:t>K. Chalmers, P. Koh and G. Stapledon (2006)</w:t>
            </w:r>
          </w:p>
        </w:tc>
        <w:tc>
          <w:tcPr>
            <w:tcW w:w="3402" w:type="dxa"/>
          </w:tcPr>
          <w:p w:rsidR="00556696" w:rsidRPr="00BB5B5C" w:rsidRDefault="00556696" w:rsidP="004A4396">
            <w:pPr>
              <w:cnfStyle w:val="000000100000"/>
            </w:pPr>
            <w:r w:rsidRPr="00BB5B5C">
              <w:t>The determinants of several forms of CEO compensation in Australia.</w:t>
            </w:r>
          </w:p>
        </w:tc>
        <w:tc>
          <w:tcPr>
            <w:tcW w:w="2977" w:type="dxa"/>
          </w:tcPr>
          <w:p w:rsidR="00556696" w:rsidRPr="00BB5B5C" w:rsidRDefault="00556696" w:rsidP="004A4396">
            <w:pPr>
              <w:cnfStyle w:val="000000100000"/>
            </w:pPr>
            <w:r w:rsidRPr="00BB5B5C">
              <w:t>532 firm years from the top 200 Australian listed firms for the period 1999-2002.</w:t>
            </w:r>
          </w:p>
        </w:tc>
        <w:tc>
          <w:tcPr>
            <w:tcW w:w="1984" w:type="dxa"/>
          </w:tcPr>
          <w:p w:rsidR="00556696" w:rsidRPr="00BB5B5C" w:rsidRDefault="00556696" w:rsidP="004A4396">
            <w:pPr>
              <w:cnfStyle w:val="000000100000"/>
            </w:pPr>
            <w:r w:rsidRPr="00BB5B5C">
              <w:t>Multiple regression</w:t>
            </w:r>
          </w:p>
        </w:tc>
        <w:tc>
          <w:tcPr>
            <w:tcW w:w="3402" w:type="dxa"/>
          </w:tcPr>
          <w:p w:rsidR="00556696" w:rsidRPr="00BB5B5C" w:rsidRDefault="00556696" w:rsidP="004A4396">
            <w:pPr>
              <w:cnfStyle w:val="000000100000"/>
            </w:pPr>
            <w:r w:rsidRPr="00BB5B5C">
              <w:t>The amounts of fixed salary, bonuses, stock options and shares have differential determinants. Besides economic determinants, governance and ownership attributes have an influence on compensation.</w:t>
            </w:r>
          </w:p>
        </w:tc>
      </w:tr>
      <w:tr w:rsidR="00556696" w:rsidRPr="00BB5B5C" w:rsidTr="008E6808">
        <w:tc>
          <w:tcPr>
            <w:cnfStyle w:val="001000000000"/>
            <w:tcW w:w="2235" w:type="dxa"/>
          </w:tcPr>
          <w:p w:rsidR="00556696" w:rsidRPr="00BB5B5C" w:rsidRDefault="00556696" w:rsidP="004A4396">
            <w:r w:rsidRPr="00BB5B5C">
              <w:t>K.J. Murphy (1998)</w:t>
            </w:r>
          </w:p>
        </w:tc>
        <w:tc>
          <w:tcPr>
            <w:tcW w:w="3402" w:type="dxa"/>
          </w:tcPr>
          <w:p w:rsidR="00556696" w:rsidRPr="00BB5B5C" w:rsidRDefault="00556696" w:rsidP="004A4396">
            <w:pPr>
              <w:cnfStyle w:val="000000000000"/>
            </w:pPr>
            <w:r w:rsidRPr="00BB5B5C">
              <w:t>Pay practices for CEOs.</w:t>
            </w:r>
          </w:p>
        </w:tc>
        <w:tc>
          <w:tcPr>
            <w:tcW w:w="2977" w:type="dxa"/>
          </w:tcPr>
          <w:p w:rsidR="00556696" w:rsidRPr="00BB5B5C" w:rsidRDefault="00556696" w:rsidP="004A4396">
            <w:pPr>
              <w:cnfStyle w:val="000000000000"/>
            </w:pPr>
            <w:r w:rsidRPr="00BB5B5C">
              <w:t>S&amp;P 500 firms for 1992-1996.</w:t>
            </w:r>
          </w:p>
        </w:tc>
        <w:tc>
          <w:tcPr>
            <w:tcW w:w="1984" w:type="dxa"/>
          </w:tcPr>
          <w:p w:rsidR="00556696" w:rsidRPr="00BB5B5C" w:rsidRDefault="00556696" w:rsidP="004A4396">
            <w:pPr>
              <w:cnfStyle w:val="000000000000"/>
            </w:pPr>
            <w:r w:rsidRPr="00BB5B5C">
              <w:t>Quantitative research</w:t>
            </w:r>
          </w:p>
        </w:tc>
        <w:tc>
          <w:tcPr>
            <w:tcW w:w="3402" w:type="dxa"/>
          </w:tcPr>
          <w:p w:rsidR="00556696" w:rsidRPr="00BB5B5C" w:rsidRDefault="00556696" w:rsidP="004A4396">
            <w:pPr>
              <w:cnfStyle w:val="000000000000"/>
            </w:pPr>
            <w:r w:rsidRPr="00BB5B5C">
              <w:t>Size is positively related to the amount of CEO compensation</w:t>
            </w:r>
          </w:p>
          <w:p w:rsidR="00556696" w:rsidRPr="00BB5B5C" w:rsidRDefault="00556696" w:rsidP="004A4396">
            <w:pPr>
              <w:ind w:left="34"/>
              <w:cnfStyle w:val="000000000000"/>
            </w:pPr>
            <w:r w:rsidRPr="00BB5B5C">
              <w:t>Engaging in riskier investments may be caused by stock option grants</w:t>
            </w:r>
          </w:p>
          <w:p w:rsidR="00556696" w:rsidRPr="00BB5B5C" w:rsidRDefault="00556696" w:rsidP="004A4396">
            <w:pPr>
              <w:ind w:left="34"/>
              <w:cnfStyle w:val="000000000000"/>
            </w:pPr>
            <w:r w:rsidRPr="00BB5B5C">
              <w:t>Pay levels are dependent on industries</w:t>
            </w:r>
          </w:p>
        </w:tc>
      </w:tr>
      <w:tr w:rsidR="00556696" w:rsidRPr="00BB5B5C" w:rsidTr="008E6808">
        <w:trPr>
          <w:cnfStyle w:val="000000100000"/>
        </w:trPr>
        <w:tc>
          <w:tcPr>
            <w:cnfStyle w:val="001000000000"/>
            <w:tcW w:w="2235" w:type="dxa"/>
          </w:tcPr>
          <w:p w:rsidR="00556696" w:rsidRPr="00BB5B5C" w:rsidRDefault="00556696" w:rsidP="004A4396">
            <w:r w:rsidRPr="00BB5B5C">
              <w:t>J.E. Core and W.R. Guay (2001)</w:t>
            </w:r>
          </w:p>
        </w:tc>
        <w:tc>
          <w:tcPr>
            <w:tcW w:w="3402" w:type="dxa"/>
          </w:tcPr>
          <w:p w:rsidR="00556696" w:rsidRPr="00BB5B5C" w:rsidRDefault="00556696" w:rsidP="004A4396">
            <w:pPr>
              <w:cnfStyle w:val="000000100000"/>
            </w:pPr>
            <w:r w:rsidRPr="00BB5B5C">
              <w:t>Determinants for stock option compensation for non-executive employees.</w:t>
            </w:r>
          </w:p>
        </w:tc>
        <w:tc>
          <w:tcPr>
            <w:tcW w:w="2977" w:type="dxa"/>
          </w:tcPr>
          <w:p w:rsidR="00556696" w:rsidRPr="00BB5B5C" w:rsidRDefault="00556696" w:rsidP="004A4396">
            <w:pPr>
              <w:cnfStyle w:val="000000100000"/>
            </w:pPr>
            <w:r w:rsidRPr="00BB5B5C">
              <w:t>756 firms from the ExecuComp database for the period 1994-1997.</w:t>
            </w:r>
          </w:p>
        </w:tc>
        <w:tc>
          <w:tcPr>
            <w:tcW w:w="1984" w:type="dxa"/>
          </w:tcPr>
          <w:p w:rsidR="00556696" w:rsidRPr="00BB5B5C" w:rsidRDefault="00556696" w:rsidP="004A4396">
            <w:pPr>
              <w:cnfStyle w:val="000000100000"/>
            </w:pPr>
            <w:r w:rsidRPr="00BB5B5C">
              <w:t>Multiple regression</w:t>
            </w:r>
          </w:p>
        </w:tc>
        <w:tc>
          <w:tcPr>
            <w:tcW w:w="3402" w:type="dxa"/>
          </w:tcPr>
          <w:p w:rsidR="00556696" w:rsidRPr="00BB5B5C" w:rsidRDefault="00556696" w:rsidP="004A4396">
            <w:pPr>
              <w:cnfStyle w:val="000000100000"/>
            </w:pPr>
            <w:r w:rsidRPr="00BB5B5C">
              <w:t>Firms with financial constraints use relatively more stock options.</w:t>
            </w:r>
          </w:p>
        </w:tc>
      </w:tr>
      <w:tr w:rsidR="00556696" w:rsidRPr="00BB5B5C" w:rsidTr="008E6808">
        <w:tc>
          <w:tcPr>
            <w:cnfStyle w:val="001000000000"/>
            <w:tcW w:w="2235" w:type="dxa"/>
          </w:tcPr>
          <w:p w:rsidR="00556696" w:rsidRPr="00BB5B5C" w:rsidRDefault="00556696" w:rsidP="004A4396">
            <w:r w:rsidRPr="00BB5B5C">
              <w:t>S. Bryan, L. Hwang and S. Lilien (2000)</w:t>
            </w:r>
          </w:p>
        </w:tc>
        <w:tc>
          <w:tcPr>
            <w:tcW w:w="3402" w:type="dxa"/>
          </w:tcPr>
          <w:p w:rsidR="00556696" w:rsidRPr="00BB5B5C" w:rsidRDefault="00556696" w:rsidP="004A4396">
            <w:pPr>
              <w:cnfStyle w:val="000000000000"/>
            </w:pPr>
            <w:r w:rsidRPr="00BB5B5C">
              <w:t>Their research focuses on the determinants and incentives for stock option compensation and restricted stock compensation.</w:t>
            </w:r>
          </w:p>
        </w:tc>
        <w:tc>
          <w:tcPr>
            <w:tcW w:w="2977" w:type="dxa"/>
          </w:tcPr>
          <w:p w:rsidR="00556696" w:rsidRPr="00BB5B5C" w:rsidRDefault="00556696" w:rsidP="004A4396">
            <w:pPr>
              <w:cnfStyle w:val="000000000000"/>
            </w:pPr>
            <w:r w:rsidRPr="00BB5B5C">
              <w:t>Over 1,700 firms from the ExecuComp database over 1992-1997.</w:t>
            </w:r>
          </w:p>
        </w:tc>
        <w:tc>
          <w:tcPr>
            <w:tcW w:w="1984" w:type="dxa"/>
          </w:tcPr>
          <w:p w:rsidR="00556696" w:rsidRPr="00BB5B5C" w:rsidRDefault="00556696" w:rsidP="004A4396">
            <w:pPr>
              <w:cnfStyle w:val="000000000000"/>
            </w:pPr>
            <w:r w:rsidRPr="00BB5B5C">
              <w:t>Tobit model</w:t>
            </w:r>
          </w:p>
        </w:tc>
        <w:tc>
          <w:tcPr>
            <w:tcW w:w="3402" w:type="dxa"/>
          </w:tcPr>
          <w:p w:rsidR="00556696" w:rsidRPr="00BB5B5C" w:rsidRDefault="00556696" w:rsidP="004A4396">
            <w:pPr>
              <w:cnfStyle w:val="000000000000"/>
            </w:pPr>
            <w:r w:rsidRPr="00BB5B5C">
              <w:t>Determinants for stock option awards include proxies for agency costs and financial constraints. Growth opportunity firms make relatively less use of restricted stock, because stock options are considered as more efficient.</w:t>
            </w:r>
          </w:p>
        </w:tc>
      </w:tr>
    </w:tbl>
    <w:p w:rsidR="008E6808" w:rsidRPr="00BB5B5C" w:rsidRDefault="008E6808">
      <w:r w:rsidRPr="00BB5B5C">
        <w:rPr>
          <w:b/>
          <w:bCs/>
        </w:rPr>
        <w:br w:type="page"/>
      </w:r>
    </w:p>
    <w:tbl>
      <w:tblPr>
        <w:tblStyle w:val="Gemiddeldelijst1-accent11"/>
        <w:tblW w:w="14142" w:type="dxa"/>
        <w:tblLook w:val="04A0"/>
      </w:tblPr>
      <w:tblGrid>
        <w:gridCol w:w="2235"/>
        <w:gridCol w:w="3402"/>
        <w:gridCol w:w="2977"/>
        <w:gridCol w:w="2267"/>
        <w:gridCol w:w="3261"/>
      </w:tblGrid>
      <w:tr w:rsidR="00556696" w:rsidRPr="00BB5B5C" w:rsidTr="004B4F28">
        <w:trPr>
          <w:cnfStyle w:val="100000000000"/>
        </w:trPr>
        <w:tc>
          <w:tcPr>
            <w:cnfStyle w:val="001000000000"/>
            <w:tcW w:w="2235" w:type="dxa"/>
          </w:tcPr>
          <w:p w:rsidR="00556696" w:rsidRPr="00BB5B5C" w:rsidRDefault="00556696" w:rsidP="004A4396">
            <w:pPr>
              <w:rPr>
                <w:rFonts w:asciiTheme="minorHAnsi" w:hAnsiTheme="minorHAnsi"/>
              </w:rPr>
            </w:pPr>
            <w:r w:rsidRPr="00BB5B5C">
              <w:rPr>
                <w:rFonts w:asciiTheme="minorHAnsi" w:hAnsiTheme="minorHAnsi"/>
              </w:rPr>
              <w:lastRenderedPageBreak/>
              <w:t>D. Yermack (1995)</w:t>
            </w:r>
          </w:p>
        </w:tc>
        <w:tc>
          <w:tcPr>
            <w:tcW w:w="3402" w:type="dxa"/>
          </w:tcPr>
          <w:p w:rsidR="00556696" w:rsidRPr="00BB5B5C" w:rsidRDefault="00556696" w:rsidP="004A4396">
            <w:pPr>
              <w:cnfStyle w:val="100000000000"/>
              <w:rPr>
                <w:rFonts w:asciiTheme="minorHAnsi" w:hAnsiTheme="minorHAnsi"/>
              </w:rPr>
            </w:pPr>
            <w:r w:rsidRPr="00BB5B5C">
              <w:rPr>
                <w:rFonts w:asciiTheme="minorHAnsi" w:hAnsiTheme="minorHAnsi"/>
              </w:rPr>
              <w:t>Several determinants for stock option compensation are identified, namely tax, liquidity, earnings management.</w:t>
            </w:r>
          </w:p>
        </w:tc>
        <w:tc>
          <w:tcPr>
            <w:tcW w:w="2977" w:type="dxa"/>
          </w:tcPr>
          <w:p w:rsidR="00556696" w:rsidRPr="00BB5B5C" w:rsidRDefault="00556696" w:rsidP="004A4396">
            <w:pPr>
              <w:cnfStyle w:val="100000000000"/>
              <w:rPr>
                <w:rFonts w:asciiTheme="minorHAnsi" w:hAnsiTheme="minorHAnsi"/>
              </w:rPr>
            </w:pPr>
            <w:r w:rsidRPr="00BB5B5C">
              <w:rPr>
                <w:rFonts w:asciiTheme="minorHAnsi" w:hAnsiTheme="minorHAnsi"/>
              </w:rPr>
              <w:t>792 U.S. firms for the period 1984-1991.</w:t>
            </w:r>
          </w:p>
        </w:tc>
        <w:tc>
          <w:tcPr>
            <w:tcW w:w="2267" w:type="dxa"/>
          </w:tcPr>
          <w:p w:rsidR="00556696" w:rsidRPr="00BB5B5C" w:rsidRDefault="00556696" w:rsidP="004A4396">
            <w:pPr>
              <w:cnfStyle w:val="100000000000"/>
              <w:rPr>
                <w:rFonts w:asciiTheme="minorHAnsi" w:hAnsiTheme="minorHAnsi"/>
              </w:rPr>
            </w:pPr>
            <w:r w:rsidRPr="00BB5B5C">
              <w:rPr>
                <w:rFonts w:asciiTheme="minorHAnsi" w:hAnsiTheme="minorHAnsi"/>
              </w:rPr>
              <w:t>Tobit model</w:t>
            </w:r>
          </w:p>
        </w:tc>
        <w:tc>
          <w:tcPr>
            <w:tcW w:w="3261" w:type="dxa"/>
          </w:tcPr>
          <w:p w:rsidR="00556696" w:rsidRPr="00BB5B5C" w:rsidRDefault="00556696" w:rsidP="004A4396">
            <w:pPr>
              <w:cnfStyle w:val="100000000000"/>
              <w:rPr>
                <w:rFonts w:asciiTheme="minorHAnsi" w:hAnsiTheme="minorHAnsi"/>
              </w:rPr>
            </w:pPr>
            <w:r w:rsidRPr="00BB5B5C">
              <w:rPr>
                <w:rFonts w:asciiTheme="minorHAnsi" w:hAnsiTheme="minorHAnsi"/>
              </w:rPr>
              <w:t>Liquidity constraint firms grant relatively more stock options to CEOs.</w:t>
            </w:r>
          </w:p>
          <w:p w:rsidR="00556696" w:rsidRPr="00BB5B5C" w:rsidRDefault="00556696" w:rsidP="004A4396">
            <w:pPr>
              <w:cnfStyle w:val="100000000000"/>
              <w:rPr>
                <w:rFonts w:asciiTheme="minorHAnsi" w:hAnsiTheme="minorHAnsi"/>
              </w:rPr>
            </w:pPr>
            <w:r w:rsidRPr="00BB5B5C">
              <w:rPr>
                <w:rFonts w:asciiTheme="minorHAnsi" w:hAnsiTheme="minorHAnsi"/>
              </w:rPr>
              <w:t>The level of pay is different across industries.</w:t>
            </w:r>
          </w:p>
          <w:p w:rsidR="00556696" w:rsidRPr="00BB5B5C" w:rsidRDefault="00556696" w:rsidP="004A4396">
            <w:pPr>
              <w:cnfStyle w:val="100000000000"/>
              <w:rPr>
                <w:rFonts w:asciiTheme="minorHAnsi" w:hAnsiTheme="minorHAnsi"/>
              </w:rPr>
            </w:pPr>
            <w:r w:rsidRPr="00BB5B5C">
              <w:rPr>
                <w:rFonts w:asciiTheme="minorHAnsi" w:hAnsiTheme="minorHAnsi"/>
              </w:rPr>
              <w:t>Ownership does not explain stock option compensation.</w:t>
            </w:r>
          </w:p>
        </w:tc>
      </w:tr>
      <w:tr w:rsidR="00556696" w:rsidRPr="00BB5B5C" w:rsidTr="004B4F28">
        <w:trPr>
          <w:cnfStyle w:val="000000100000"/>
        </w:trPr>
        <w:tc>
          <w:tcPr>
            <w:cnfStyle w:val="001000000000"/>
            <w:tcW w:w="2235" w:type="dxa"/>
          </w:tcPr>
          <w:p w:rsidR="00556696" w:rsidRPr="00BB5B5C" w:rsidRDefault="00556696" w:rsidP="004A4396">
            <w:pPr>
              <w:rPr>
                <w:lang w:val="nl-NL"/>
              </w:rPr>
            </w:pPr>
            <w:r w:rsidRPr="00BB5B5C">
              <w:rPr>
                <w:lang w:val="nl-NL"/>
              </w:rPr>
              <w:t>O. Kadan and J.M. Swinkels (2008)</w:t>
            </w:r>
          </w:p>
        </w:tc>
        <w:tc>
          <w:tcPr>
            <w:tcW w:w="3402" w:type="dxa"/>
          </w:tcPr>
          <w:p w:rsidR="00556696" w:rsidRPr="00BB5B5C" w:rsidRDefault="00556696" w:rsidP="004A4396">
            <w:pPr>
              <w:cnfStyle w:val="000000100000"/>
            </w:pPr>
            <w:r w:rsidRPr="00BB5B5C">
              <w:t>They investigate what motivates firms to choose for stock options or shares as compensation.</w:t>
            </w:r>
          </w:p>
        </w:tc>
        <w:tc>
          <w:tcPr>
            <w:tcW w:w="2977" w:type="dxa"/>
          </w:tcPr>
          <w:p w:rsidR="00556696" w:rsidRPr="00BB5B5C" w:rsidRDefault="00556696" w:rsidP="004A4396">
            <w:pPr>
              <w:cnfStyle w:val="000000100000"/>
            </w:pPr>
            <w:r w:rsidRPr="00BB5B5C">
              <w:t>14,478 firm years from the ExecuComp database over the period 1992-2004.</w:t>
            </w:r>
          </w:p>
        </w:tc>
        <w:tc>
          <w:tcPr>
            <w:tcW w:w="2267" w:type="dxa"/>
          </w:tcPr>
          <w:p w:rsidR="00556696" w:rsidRPr="00BB5B5C" w:rsidRDefault="00556696" w:rsidP="004A4396">
            <w:pPr>
              <w:cnfStyle w:val="000000100000"/>
            </w:pPr>
            <w:r w:rsidRPr="00BB5B5C">
              <w:t>Logistic regression</w:t>
            </w:r>
          </w:p>
        </w:tc>
        <w:tc>
          <w:tcPr>
            <w:tcW w:w="3261" w:type="dxa"/>
          </w:tcPr>
          <w:p w:rsidR="00556696" w:rsidRPr="00BB5B5C" w:rsidRDefault="00556696" w:rsidP="004A4396">
            <w:pPr>
              <w:cnfStyle w:val="000000100000"/>
            </w:pPr>
            <w:r w:rsidRPr="00BB5B5C">
              <w:t xml:space="preserve">Default risky firms make relatively more use of shares. When emerged from bankruptcy they switch to stock options. </w:t>
            </w:r>
          </w:p>
        </w:tc>
      </w:tr>
    </w:tbl>
    <w:p w:rsidR="008105D0" w:rsidRPr="000B3455" w:rsidRDefault="008105D0" w:rsidP="008105D0"/>
    <w:p w:rsidR="008105D0" w:rsidRPr="000B3455" w:rsidRDefault="008105D0">
      <w:pPr>
        <w:rPr>
          <w:rFonts w:cstheme="minorHAnsi"/>
          <w:b/>
        </w:rPr>
      </w:pPr>
    </w:p>
    <w:p w:rsidR="008105D0" w:rsidRPr="000B3455" w:rsidRDefault="008105D0">
      <w:pPr>
        <w:rPr>
          <w:rFonts w:cstheme="minorHAnsi"/>
          <w:b/>
        </w:rPr>
      </w:pPr>
    </w:p>
    <w:p w:rsidR="008105D0" w:rsidRPr="000B3455" w:rsidRDefault="008105D0">
      <w:pPr>
        <w:rPr>
          <w:rFonts w:cstheme="minorHAnsi"/>
          <w:b/>
        </w:rPr>
        <w:sectPr w:rsidR="008105D0" w:rsidRPr="000B3455" w:rsidSect="00C71A75">
          <w:footerReference w:type="default" r:id="rId13"/>
          <w:pgSz w:w="15840" w:h="12240" w:orient="landscape"/>
          <w:pgMar w:top="1440" w:right="1440" w:bottom="1440" w:left="1276" w:header="708" w:footer="708" w:gutter="0"/>
          <w:cols w:space="708"/>
          <w:docGrid w:linePitch="360"/>
        </w:sectPr>
      </w:pPr>
    </w:p>
    <w:p w:rsidR="009249DB" w:rsidRDefault="00A101B6" w:rsidP="00ED7148">
      <w:pPr>
        <w:pStyle w:val="AppendicesThesis"/>
      </w:pPr>
      <w:bookmarkStart w:id="104" w:name="III"/>
      <w:bookmarkStart w:id="105" w:name="_Toc298944611"/>
      <w:r w:rsidRPr="000B3455">
        <w:lastRenderedPageBreak/>
        <w:t>Appendix I</w:t>
      </w:r>
      <w:r w:rsidR="00C97617" w:rsidRPr="000B3455">
        <w:t>I</w:t>
      </w:r>
      <w:r w:rsidRPr="000B3455">
        <w:t>I</w:t>
      </w:r>
      <w:bookmarkEnd w:id="104"/>
      <w:r w:rsidRPr="000B3455">
        <w:t xml:space="preserve">: Thomson One Banker </w:t>
      </w:r>
      <w:bookmarkEnd w:id="105"/>
      <w:r w:rsidR="00E64A6D">
        <w:t>d</w:t>
      </w:r>
      <w:r w:rsidR="00E64A6D" w:rsidRPr="000B3455">
        <w:t>efinitions</w:t>
      </w:r>
    </w:p>
    <w:p w:rsidR="00A62D2C" w:rsidRPr="000B3455" w:rsidRDefault="00A62D2C" w:rsidP="001D5F43">
      <w:pPr>
        <w:rPr>
          <w:rFonts w:cstheme="minorHAnsi"/>
          <w:b/>
        </w:rPr>
      </w:pPr>
    </w:p>
    <w:tbl>
      <w:tblPr>
        <w:tblStyle w:val="Gemiddeldearcering1-accent11"/>
        <w:tblW w:w="9747" w:type="dxa"/>
        <w:tblLook w:val="04A0"/>
      </w:tblPr>
      <w:tblGrid>
        <w:gridCol w:w="3085"/>
        <w:gridCol w:w="6662"/>
      </w:tblGrid>
      <w:tr w:rsidR="00412817" w:rsidRPr="004F693F" w:rsidTr="004F693F">
        <w:trPr>
          <w:cnfStyle w:val="100000000000"/>
        </w:trPr>
        <w:tc>
          <w:tcPr>
            <w:cnfStyle w:val="001000000000"/>
            <w:tcW w:w="3085" w:type="dxa"/>
          </w:tcPr>
          <w:p w:rsidR="00412817" w:rsidRPr="004F693F" w:rsidRDefault="00412817" w:rsidP="004F693F">
            <w:pPr>
              <w:spacing w:line="276" w:lineRule="auto"/>
              <w:jc w:val="both"/>
              <w:rPr>
                <w:rFonts w:cstheme="minorHAnsi"/>
              </w:rPr>
            </w:pPr>
            <w:r w:rsidRPr="004F693F">
              <w:rPr>
                <w:rFonts w:cstheme="minorHAnsi"/>
              </w:rPr>
              <w:t>Calculation</w:t>
            </w:r>
          </w:p>
        </w:tc>
        <w:tc>
          <w:tcPr>
            <w:tcW w:w="6662" w:type="dxa"/>
          </w:tcPr>
          <w:p w:rsidR="00412817" w:rsidRPr="004F693F" w:rsidRDefault="00412817" w:rsidP="004F693F">
            <w:pPr>
              <w:spacing w:line="276" w:lineRule="auto"/>
              <w:jc w:val="both"/>
              <w:cnfStyle w:val="100000000000"/>
              <w:rPr>
                <w:rFonts w:cstheme="minorHAnsi"/>
              </w:rPr>
            </w:pPr>
            <w:r w:rsidRPr="004F693F">
              <w:rPr>
                <w:rFonts w:cstheme="minorHAnsi"/>
              </w:rPr>
              <w:t>Definition Thomson One Banker</w:t>
            </w:r>
          </w:p>
        </w:tc>
      </w:tr>
      <w:tr w:rsidR="00412817" w:rsidRPr="000B3455" w:rsidTr="004F693F">
        <w:trPr>
          <w:cnfStyle w:val="000000100000"/>
        </w:trPr>
        <w:tc>
          <w:tcPr>
            <w:cnfStyle w:val="001000000000"/>
            <w:tcW w:w="3085" w:type="dxa"/>
            <w:shd w:val="clear" w:color="auto" w:fill="FFFFFF" w:themeFill="background1"/>
          </w:tcPr>
          <w:p w:rsidR="00412817" w:rsidRPr="000B3455" w:rsidRDefault="00412817" w:rsidP="004F693F">
            <w:pPr>
              <w:spacing w:line="276" w:lineRule="auto"/>
              <w:rPr>
                <w:rFonts w:cstheme="minorHAnsi"/>
              </w:rPr>
            </w:pPr>
            <w:r w:rsidRPr="000B3455">
              <w:rPr>
                <w:rFonts w:cstheme="minorHAnsi"/>
              </w:rPr>
              <w:t>L</w:t>
            </w:r>
            <w:r w:rsidR="00C01D2C" w:rsidRPr="000B3455">
              <w:rPr>
                <w:rFonts w:cstheme="minorHAnsi"/>
              </w:rPr>
              <w:t>n</w:t>
            </w:r>
            <w:r w:rsidRPr="000B3455">
              <w:rPr>
                <w:rFonts w:cstheme="minorHAnsi"/>
              </w:rPr>
              <w:t>(</w:t>
            </w:r>
            <w:r w:rsidR="00C01D2C" w:rsidRPr="000B3455">
              <w:rPr>
                <w:rFonts w:cstheme="minorHAnsi"/>
              </w:rPr>
              <w:t>Total Assets</w:t>
            </w:r>
            <w:r w:rsidRPr="000B3455">
              <w:rPr>
                <w:rFonts w:cstheme="minorHAnsi"/>
              </w:rPr>
              <w:t>)</w:t>
            </w:r>
          </w:p>
        </w:tc>
        <w:tc>
          <w:tcPr>
            <w:tcW w:w="6662" w:type="dxa"/>
            <w:shd w:val="clear" w:color="auto" w:fill="B8CCE4" w:themeFill="accent1" w:themeFillTint="66"/>
          </w:tcPr>
          <w:p w:rsidR="00412817" w:rsidRPr="000B3455" w:rsidRDefault="00412817" w:rsidP="004F693F">
            <w:pPr>
              <w:spacing w:before="100" w:beforeAutospacing="1" w:after="100" w:afterAutospacing="1" w:line="276" w:lineRule="auto"/>
              <w:cnfStyle w:val="000000100000"/>
              <w:rPr>
                <w:rFonts w:cstheme="minorHAnsi"/>
                <w:b/>
              </w:rPr>
            </w:pPr>
            <w:r w:rsidRPr="000B3455">
              <w:rPr>
                <w:rFonts w:cstheme="minorHAnsi"/>
                <w:b/>
              </w:rPr>
              <w:t xml:space="preserve">Total </w:t>
            </w:r>
            <w:r w:rsidR="00C01D2C" w:rsidRPr="000B3455">
              <w:rPr>
                <w:rFonts w:cstheme="minorHAnsi"/>
                <w:b/>
              </w:rPr>
              <w:t>Assets</w:t>
            </w:r>
          </w:p>
          <w:p w:rsidR="00412817" w:rsidRPr="000B3455" w:rsidRDefault="00412817" w:rsidP="004F693F">
            <w:pPr>
              <w:spacing w:before="100" w:beforeAutospacing="1" w:after="100" w:afterAutospacing="1" w:line="276" w:lineRule="auto"/>
              <w:cnfStyle w:val="000000100000"/>
              <w:rPr>
                <w:rFonts w:cstheme="minorHAnsi"/>
              </w:rPr>
            </w:pPr>
            <w:r w:rsidRPr="000B3455">
              <w:rPr>
                <w:rFonts w:cstheme="minorHAnsi"/>
              </w:rPr>
              <w:t>Industrials</w:t>
            </w:r>
          </w:p>
          <w:p w:rsidR="00412817" w:rsidRPr="000B3455" w:rsidRDefault="00412817" w:rsidP="004F693F">
            <w:pPr>
              <w:spacing w:before="100" w:beforeAutospacing="1" w:after="100" w:afterAutospacing="1" w:line="276" w:lineRule="auto"/>
              <w:cnfStyle w:val="000000100000"/>
              <w:rPr>
                <w:rFonts w:cstheme="minorHAnsi"/>
              </w:rPr>
            </w:pPr>
            <w:r w:rsidRPr="000B3455">
              <w:rPr>
                <w:rFonts w:cstheme="minorHAnsi"/>
              </w:rPr>
              <w:t xml:space="preserve">Total assets represent the sum of total current assets, long term receivables, investment in unconsolidated subsidiaries, other investments, net property plant and equipment and other assets. </w:t>
            </w:r>
          </w:p>
          <w:p w:rsidR="00412817" w:rsidRPr="000B3455" w:rsidRDefault="00412817" w:rsidP="004F693F">
            <w:pPr>
              <w:spacing w:before="100" w:beforeAutospacing="1" w:after="100" w:afterAutospacing="1" w:line="276" w:lineRule="auto"/>
              <w:cnfStyle w:val="000000100000"/>
              <w:rPr>
                <w:rFonts w:cstheme="minorHAnsi"/>
              </w:rPr>
            </w:pPr>
            <w:r w:rsidRPr="000B3455">
              <w:rPr>
                <w:rFonts w:cstheme="minorHAnsi"/>
              </w:rPr>
              <w:t xml:space="preserve">Banks: </w:t>
            </w:r>
          </w:p>
          <w:p w:rsidR="00412817" w:rsidRPr="000B3455" w:rsidRDefault="00412817" w:rsidP="004F693F">
            <w:pPr>
              <w:spacing w:before="100" w:beforeAutospacing="1" w:after="100" w:afterAutospacing="1" w:line="276" w:lineRule="auto"/>
              <w:cnfStyle w:val="000000100000"/>
              <w:rPr>
                <w:rFonts w:cstheme="minorHAnsi"/>
              </w:rPr>
            </w:pPr>
            <w:r w:rsidRPr="000B3455">
              <w:rPr>
                <w:rFonts w:cstheme="minorHAnsi"/>
              </w:rPr>
              <w:t xml:space="preserve">Total assets represent the sum of cash &amp; due from banks, total investments, net loans, customer liability on acceptances, investment in unconsolidated subsidiaries, real estate assets, net property, plant and equipment and other assets. </w:t>
            </w:r>
          </w:p>
          <w:p w:rsidR="00412817" w:rsidRPr="000B3455" w:rsidRDefault="00C01D2C" w:rsidP="004F693F">
            <w:pPr>
              <w:spacing w:before="100" w:beforeAutospacing="1" w:after="100" w:afterAutospacing="1" w:line="276" w:lineRule="auto"/>
              <w:cnfStyle w:val="000000100000"/>
              <w:rPr>
                <w:rFonts w:cstheme="minorHAnsi"/>
              </w:rPr>
            </w:pPr>
            <w:r w:rsidRPr="000B3455">
              <w:rPr>
                <w:rFonts w:cstheme="minorHAnsi"/>
              </w:rPr>
              <w:t xml:space="preserve">Insurance companies: </w:t>
            </w:r>
          </w:p>
          <w:p w:rsidR="00412817" w:rsidRPr="000B3455" w:rsidRDefault="00412817" w:rsidP="004F693F">
            <w:pPr>
              <w:spacing w:before="100" w:beforeAutospacing="1" w:after="100" w:afterAutospacing="1" w:line="276" w:lineRule="auto"/>
              <w:cnfStyle w:val="000000100000"/>
              <w:rPr>
                <w:rFonts w:cstheme="minorHAnsi"/>
              </w:rPr>
            </w:pPr>
            <w:r w:rsidRPr="000B3455">
              <w:rPr>
                <w:rFonts w:cstheme="minorHAnsi"/>
              </w:rPr>
              <w:t xml:space="preserve">Total assets represent the sum of cash, total investments, premium balance receivables, investments in unconsolidated subsidiaries, net property, plant and equipment and other assets. </w:t>
            </w:r>
          </w:p>
          <w:p w:rsidR="00412817" w:rsidRPr="000B3455" w:rsidRDefault="00C01D2C" w:rsidP="004F693F">
            <w:pPr>
              <w:spacing w:before="100" w:beforeAutospacing="1" w:after="100" w:afterAutospacing="1" w:line="276" w:lineRule="auto"/>
              <w:cnfStyle w:val="000000100000"/>
              <w:rPr>
                <w:rFonts w:cstheme="minorHAnsi"/>
              </w:rPr>
            </w:pPr>
            <w:r w:rsidRPr="000B3455">
              <w:rPr>
                <w:rFonts w:cstheme="minorHAnsi"/>
              </w:rPr>
              <w:t xml:space="preserve">Other financial companies: </w:t>
            </w:r>
          </w:p>
          <w:p w:rsidR="00412817" w:rsidRPr="000B3455" w:rsidRDefault="00412817" w:rsidP="004F693F">
            <w:pPr>
              <w:spacing w:before="100" w:beforeAutospacing="1" w:after="100" w:afterAutospacing="1" w:line="276" w:lineRule="auto"/>
              <w:cnfStyle w:val="000000100000"/>
              <w:rPr>
                <w:rFonts w:cstheme="minorHAnsi"/>
              </w:rPr>
            </w:pPr>
            <w:r w:rsidRPr="000B3455">
              <w:rPr>
                <w:rFonts w:cstheme="minorHAnsi"/>
              </w:rPr>
              <w:t>Total assets represent the sum of cash &amp; equivalents, receivables, securities inventory, custody securities, total investments, net loans, net property, plant and equipment, investments in unconsolidated subsidiaries and other assets.</w:t>
            </w:r>
          </w:p>
        </w:tc>
      </w:tr>
      <w:tr w:rsidR="00412817" w:rsidRPr="000B3455" w:rsidTr="004F693F">
        <w:trPr>
          <w:cnfStyle w:val="000000010000"/>
        </w:trPr>
        <w:tc>
          <w:tcPr>
            <w:cnfStyle w:val="001000000000"/>
            <w:tcW w:w="3085" w:type="dxa"/>
            <w:shd w:val="clear" w:color="auto" w:fill="FFFFFF" w:themeFill="background1"/>
          </w:tcPr>
          <w:p w:rsidR="00412817" w:rsidRPr="000B3455" w:rsidRDefault="00412817" w:rsidP="004F693F">
            <w:pPr>
              <w:spacing w:line="276" w:lineRule="auto"/>
              <w:rPr>
                <w:rFonts w:cstheme="minorHAnsi"/>
              </w:rPr>
            </w:pPr>
            <w:r w:rsidRPr="000B3455">
              <w:rPr>
                <w:rFonts w:cstheme="minorHAnsi"/>
              </w:rPr>
              <w:t xml:space="preserve">Market </w:t>
            </w:r>
            <w:r w:rsidR="00C01D2C" w:rsidRPr="000B3455">
              <w:rPr>
                <w:rFonts w:cstheme="minorHAnsi"/>
              </w:rPr>
              <w:t xml:space="preserve">To Book Ratio = </w:t>
            </w:r>
            <w:r w:rsidRPr="000B3455">
              <w:rPr>
                <w:rFonts w:cstheme="minorHAnsi"/>
              </w:rPr>
              <w:t xml:space="preserve">Year </w:t>
            </w:r>
            <w:r w:rsidR="00C01D2C" w:rsidRPr="000B3455">
              <w:rPr>
                <w:rFonts w:cstheme="minorHAnsi"/>
              </w:rPr>
              <w:t>End Market Capitalization / (</w:t>
            </w:r>
            <w:r w:rsidRPr="000B3455">
              <w:rPr>
                <w:rFonts w:cstheme="minorHAnsi"/>
              </w:rPr>
              <w:t xml:space="preserve">Total </w:t>
            </w:r>
            <w:r w:rsidR="00C01D2C" w:rsidRPr="000B3455">
              <w:rPr>
                <w:rFonts w:cstheme="minorHAnsi"/>
              </w:rPr>
              <w:t>Assets - Total Liabilities)</w:t>
            </w:r>
          </w:p>
        </w:tc>
        <w:tc>
          <w:tcPr>
            <w:tcW w:w="6662" w:type="dxa"/>
            <w:shd w:val="clear" w:color="auto" w:fill="B8CCE4" w:themeFill="accent1" w:themeFillTint="66"/>
          </w:tcPr>
          <w:p w:rsidR="00412817" w:rsidRPr="000B3455" w:rsidRDefault="00412817" w:rsidP="004F693F">
            <w:pPr>
              <w:spacing w:line="276" w:lineRule="auto"/>
              <w:jc w:val="both"/>
              <w:cnfStyle w:val="000000010000"/>
              <w:rPr>
                <w:rFonts w:cstheme="minorHAnsi"/>
                <w:b/>
              </w:rPr>
            </w:pPr>
            <w:r w:rsidRPr="000B3455">
              <w:rPr>
                <w:rFonts w:cstheme="minorHAnsi"/>
                <w:b/>
              </w:rPr>
              <w:t xml:space="preserve">Year </w:t>
            </w:r>
            <w:r w:rsidR="00C01D2C" w:rsidRPr="000B3455">
              <w:rPr>
                <w:rFonts w:cstheme="minorHAnsi"/>
                <w:b/>
              </w:rPr>
              <w:t>End Market Capitalization</w:t>
            </w:r>
          </w:p>
          <w:p w:rsidR="00412817" w:rsidRPr="000B3455" w:rsidRDefault="00412817" w:rsidP="004F693F">
            <w:pPr>
              <w:spacing w:line="276" w:lineRule="auto"/>
              <w:jc w:val="both"/>
              <w:cnfStyle w:val="000000010000"/>
              <w:rPr>
                <w:rFonts w:cstheme="minorHAnsi"/>
              </w:rPr>
            </w:pPr>
            <w:r w:rsidRPr="000B3455">
              <w:rPr>
                <w:rFonts w:cstheme="minorHAnsi"/>
              </w:rPr>
              <w:t xml:space="preserve">= </w:t>
            </w:r>
            <w:r w:rsidR="00C01D2C" w:rsidRPr="000B3455">
              <w:rPr>
                <w:rFonts w:cstheme="minorHAnsi"/>
              </w:rPr>
              <w:t>market price-year end * common shares outstanding</w:t>
            </w:r>
          </w:p>
          <w:p w:rsidR="00412817" w:rsidRPr="000B3455" w:rsidRDefault="00412817" w:rsidP="004F693F">
            <w:pPr>
              <w:spacing w:line="276" w:lineRule="auto"/>
              <w:jc w:val="both"/>
              <w:cnfStyle w:val="000000010000"/>
              <w:rPr>
                <w:rFonts w:cstheme="minorHAnsi"/>
              </w:rPr>
            </w:pPr>
          </w:p>
          <w:p w:rsidR="00412817" w:rsidRPr="000B3455" w:rsidRDefault="00412817" w:rsidP="004F693F">
            <w:pPr>
              <w:spacing w:line="276" w:lineRule="auto"/>
              <w:jc w:val="both"/>
              <w:cnfStyle w:val="000000010000"/>
              <w:rPr>
                <w:rFonts w:cstheme="minorHAnsi"/>
                <w:b/>
              </w:rPr>
            </w:pPr>
            <w:r w:rsidRPr="000B3455">
              <w:rPr>
                <w:rFonts w:cstheme="minorHAnsi"/>
                <w:b/>
              </w:rPr>
              <w:t xml:space="preserve">Total </w:t>
            </w:r>
            <w:r w:rsidR="00C01D2C" w:rsidRPr="000B3455">
              <w:rPr>
                <w:rFonts w:cstheme="minorHAnsi"/>
                <w:b/>
              </w:rPr>
              <w:t>Assets</w:t>
            </w:r>
          </w:p>
          <w:p w:rsidR="00412817" w:rsidRPr="000B3455" w:rsidRDefault="00C01D2C" w:rsidP="004F693F">
            <w:pPr>
              <w:spacing w:line="276" w:lineRule="auto"/>
              <w:jc w:val="both"/>
              <w:cnfStyle w:val="000000010000"/>
              <w:rPr>
                <w:rFonts w:cstheme="minorHAnsi"/>
              </w:rPr>
            </w:pPr>
            <w:r w:rsidRPr="000B3455">
              <w:rPr>
                <w:rFonts w:cstheme="minorHAnsi"/>
              </w:rPr>
              <w:t>A</w:t>
            </w:r>
            <w:r w:rsidR="00412817" w:rsidRPr="000B3455">
              <w:rPr>
                <w:rFonts w:cstheme="minorHAnsi"/>
              </w:rPr>
              <w:t>s above</w:t>
            </w:r>
          </w:p>
          <w:p w:rsidR="00412817" w:rsidRPr="000B3455" w:rsidRDefault="00412817" w:rsidP="004F693F">
            <w:pPr>
              <w:spacing w:line="276" w:lineRule="auto"/>
              <w:jc w:val="both"/>
              <w:cnfStyle w:val="000000010000"/>
              <w:rPr>
                <w:rFonts w:cstheme="minorHAnsi"/>
              </w:rPr>
            </w:pPr>
          </w:p>
          <w:p w:rsidR="00412817" w:rsidRPr="000B3455" w:rsidRDefault="00412817" w:rsidP="004F693F">
            <w:pPr>
              <w:spacing w:line="276" w:lineRule="auto"/>
              <w:jc w:val="both"/>
              <w:cnfStyle w:val="000000010000"/>
              <w:rPr>
                <w:rFonts w:cstheme="minorHAnsi"/>
                <w:b/>
              </w:rPr>
            </w:pPr>
            <w:r w:rsidRPr="000B3455">
              <w:rPr>
                <w:rFonts w:cstheme="minorHAnsi"/>
                <w:b/>
              </w:rPr>
              <w:t xml:space="preserve">Total </w:t>
            </w:r>
            <w:r w:rsidR="00C01D2C" w:rsidRPr="000B3455">
              <w:rPr>
                <w:rFonts w:cstheme="minorHAnsi"/>
                <w:b/>
              </w:rPr>
              <w:t>Liabilities</w:t>
            </w:r>
          </w:p>
          <w:p w:rsidR="00412817" w:rsidRPr="000B3455" w:rsidRDefault="00412817" w:rsidP="004F693F">
            <w:pPr>
              <w:spacing w:line="276" w:lineRule="auto"/>
              <w:jc w:val="both"/>
              <w:cnfStyle w:val="000000010000"/>
              <w:rPr>
                <w:rFonts w:cstheme="minorHAnsi"/>
                <w:b/>
              </w:rPr>
            </w:pPr>
            <w:r w:rsidRPr="000B3455">
              <w:rPr>
                <w:rFonts w:cstheme="minorHAnsi"/>
                <w:bCs/>
              </w:rPr>
              <w:t>Total liabilities</w:t>
            </w:r>
            <w:r w:rsidRPr="000B3455">
              <w:rPr>
                <w:rFonts w:cstheme="minorHAnsi"/>
              </w:rPr>
              <w:t xml:space="preserve"> represent all short and long term obligations expected to be satisfied by the company. </w:t>
            </w:r>
          </w:p>
          <w:p w:rsidR="00412817" w:rsidRPr="000B3455" w:rsidRDefault="00412817" w:rsidP="004F693F">
            <w:pPr>
              <w:spacing w:line="276" w:lineRule="auto"/>
              <w:jc w:val="both"/>
              <w:cnfStyle w:val="000000010000"/>
              <w:rPr>
                <w:rFonts w:cstheme="minorHAnsi"/>
                <w:b/>
              </w:rPr>
            </w:pPr>
            <w:r w:rsidRPr="000B3455">
              <w:rPr>
                <w:rFonts w:cstheme="minorHAnsi"/>
              </w:rPr>
              <w:t xml:space="preserve">It includes: </w:t>
            </w:r>
          </w:p>
          <w:p w:rsidR="00412817" w:rsidRPr="000B3455" w:rsidRDefault="00412817" w:rsidP="004F693F">
            <w:pPr>
              <w:pStyle w:val="ListParagraph"/>
              <w:numPr>
                <w:ilvl w:val="0"/>
                <w:numId w:val="4"/>
              </w:numPr>
              <w:spacing w:before="100" w:beforeAutospacing="1" w:after="100" w:afterAutospacing="1" w:line="276" w:lineRule="auto"/>
              <w:ind w:left="0" w:firstLine="0"/>
              <w:cnfStyle w:val="000000010000"/>
              <w:rPr>
                <w:rFonts w:cstheme="minorHAnsi"/>
              </w:rPr>
            </w:pPr>
            <w:r w:rsidRPr="000B3455">
              <w:rPr>
                <w:rFonts w:cstheme="minorHAnsi"/>
              </w:rPr>
              <w:lastRenderedPageBreak/>
              <w:t>Current Liabilities</w:t>
            </w:r>
          </w:p>
          <w:p w:rsidR="00412817" w:rsidRPr="000B3455" w:rsidRDefault="00412817" w:rsidP="004F693F">
            <w:pPr>
              <w:pStyle w:val="ListParagraph"/>
              <w:numPr>
                <w:ilvl w:val="0"/>
                <w:numId w:val="4"/>
              </w:numPr>
              <w:spacing w:before="100" w:beforeAutospacing="1" w:after="100" w:afterAutospacing="1" w:line="276" w:lineRule="auto"/>
              <w:ind w:left="0" w:firstLine="0"/>
              <w:cnfStyle w:val="000000010000"/>
              <w:rPr>
                <w:rFonts w:cstheme="minorHAnsi"/>
              </w:rPr>
            </w:pPr>
            <w:r w:rsidRPr="000B3455">
              <w:rPr>
                <w:rFonts w:cstheme="minorHAnsi"/>
              </w:rPr>
              <w:t xml:space="preserve">Long Term Debt </w:t>
            </w:r>
          </w:p>
          <w:p w:rsidR="00412817" w:rsidRPr="000B3455" w:rsidRDefault="00412817" w:rsidP="004F693F">
            <w:pPr>
              <w:pStyle w:val="ListParagraph"/>
              <w:numPr>
                <w:ilvl w:val="0"/>
                <w:numId w:val="4"/>
              </w:numPr>
              <w:spacing w:before="100" w:beforeAutospacing="1" w:after="100" w:afterAutospacing="1" w:line="276" w:lineRule="auto"/>
              <w:ind w:left="0" w:firstLine="0"/>
              <w:cnfStyle w:val="000000010000"/>
              <w:rPr>
                <w:rFonts w:cstheme="minorHAnsi"/>
              </w:rPr>
            </w:pPr>
            <w:r w:rsidRPr="000B3455">
              <w:rPr>
                <w:rFonts w:cstheme="minorHAnsi"/>
              </w:rPr>
              <w:t xml:space="preserve">Provision for Risk and Charges (non-U.S. corporations) </w:t>
            </w:r>
          </w:p>
          <w:p w:rsidR="00412817" w:rsidRPr="000B3455" w:rsidRDefault="00412817" w:rsidP="004F693F">
            <w:pPr>
              <w:pStyle w:val="ListParagraph"/>
              <w:numPr>
                <w:ilvl w:val="0"/>
                <w:numId w:val="4"/>
              </w:numPr>
              <w:spacing w:before="100" w:beforeAutospacing="1" w:after="100" w:afterAutospacing="1" w:line="276" w:lineRule="auto"/>
              <w:ind w:left="0" w:firstLine="0"/>
              <w:cnfStyle w:val="000000010000"/>
              <w:rPr>
                <w:rFonts w:cstheme="minorHAnsi"/>
              </w:rPr>
            </w:pPr>
            <w:r w:rsidRPr="000B3455">
              <w:rPr>
                <w:rFonts w:cstheme="minorHAnsi"/>
              </w:rPr>
              <w:t xml:space="preserve">Deferred taxes </w:t>
            </w:r>
          </w:p>
          <w:p w:rsidR="00412817" w:rsidRPr="000B3455" w:rsidRDefault="00412817" w:rsidP="004F693F">
            <w:pPr>
              <w:pStyle w:val="ListParagraph"/>
              <w:numPr>
                <w:ilvl w:val="0"/>
                <w:numId w:val="4"/>
              </w:numPr>
              <w:spacing w:before="100" w:beforeAutospacing="1" w:after="100" w:afterAutospacing="1" w:line="276" w:lineRule="auto"/>
              <w:ind w:left="0" w:firstLine="0"/>
              <w:cnfStyle w:val="000000010000"/>
              <w:rPr>
                <w:rFonts w:cstheme="minorHAnsi"/>
              </w:rPr>
            </w:pPr>
            <w:r w:rsidRPr="000B3455">
              <w:rPr>
                <w:rFonts w:cstheme="minorHAnsi"/>
              </w:rPr>
              <w:t xml:space="preserve">Deferred income </w:t>
            </w:r>
          </w:p>
          <w:p w:rsidR="00412817" w:rsidRPr="000B3455" w:rsidRDefault="00412817" w:rsidP="004F693F">
            <w:pPr>
              <w:pStyle w:val="ListParagraph"/>
              <w:numPr>
                <w:ilvl w:val="0"/>
                <w:numId w:val="4"/>
              </w:numPr>
              <w:spacing w:before="100" w:beforeAutospacing="1" w:after="100" w:afterAutospacing="1" w:line="276" w:lineRule="auto"/>
              <w:ind w:left="0" w:firstLine="0"/>
              <w:cnfStyle w:val="000000010000"/>
              <w:rPr>
                <w:rFonts w:cstheme="minorHAnsi"/>
              </w:rPr>
            </w:pPr>
            <w:r w:rsidRPr="000B3455">
              <w:rPr>
                <w:rFonts w:cstheme="minorHAnsi"/>
              </w:rPr>
              <w:t xml:space="preserve">Other liabilities </w:t>
            </w:r>
          </w:p>
          <w:p w:rsidR="00412817" w:rsidRPr="000B3455" w:rsidRDefault="00412817" w:rsidP="001E123E">
            <w:pPr>
              <w:pStyle w:val="ListParagraph"/>
              <w:numPr>
                <w:ilvl w:val="0"/>
                <w:numId w:val="4"/>
              </w:numPr>
              <w:spacing w:before="100" w:beforeAutospacing="1" w:after="100" w:afterAutospacing="1" w:line="276" w:lineRule="auto"/>
              <w:ind w:left="743" w:hanging="743"/>
              <w:cnfStyle w:val="000000010000"/>
              <w:rPr>
                <w:rFonts w:cstheme="minorHAnsi"/>
              </w:rPr>
            </w:pPr>
            <w:r w:rsidRPr="000B3455">
              <w:rPr>
                <w:rFonts w:cstheme="minorHAnsi"/>
              </w:rPr>
              <w:t xml:space="preserve">Deferred tax liability in untaxed reserves (non-U.S. corporations) </w:t>
            </w:r>
          </w:p>
          <w:p w:rsidR="00412817" w:rsidRPr="000B3455" w:rsidRDefault="00412817" w:rsidP="001E123E">
            <w:pPr>
              <w:pStyle w:val="ListParagraph"/>
              <w:numPr>
                <w:ilvl w:val="0"/>
                <w:numId w:val="4"/>
              </w:numPr>
              <w:spacing w:before="100" w:beforeAutospacing="1" w:after="100" w:afterAutospacing="1" w:line="276" w:lineRule="auto"/>
              <w:ind w:left="743" w:hanging="743"/>
              <w:cnfStyle w:val="000000010000"/>
              <w:rPr>
                <w:rFonts w:cstheme="minorHAnsi"/>
              </w:rPr>
            </w:pPr>
            <w:r w:rsidRPr="000B3455">
              <w:rPr>
                <w:rFonts w:cstheme="minorHAnsi"/>
              </w:rPr>
              <w:t xml:space="preserve">Unrealized gain/loss on marketable securities (insurance companies) </w:t>
            </w:r>
          </w:p>
          <w:p w:rsidR="00412817" w:rsidRPr="000B3455" w:rsidRDefault="00412817" w:rsidP="004F693F">
            <w:pPr>
              <w:pStyle w:val="ListParagraph"/>
              <w:numPr>
                <w:ilvl w:val="0"/>
                <w:numId w:val="4"/>
              </w:numPr>
              <w:spacing w:before="100" w:beforeAutospacing="1" w:after="100" w:afterAutospacing="1" w:line="276" w:lineRule="auto"/>
              <w:ind w:left="0" w:firstLine="0"/>
              <w:cnfStyle w:val="000000010000"/>
              <w:rPr>
                <w:rFonts w:cstheme="minorHAnsi"/>
              </w:rPr>
            </w:pPr>
            <w:r w:rsidRPr="000B3455">
              <w:rPr>
                <w:rFonts w:cstheme="minorHAnsi"/>
              </w:rPr>
              <w:t xml:space="preserve">Pension/Post retirement benefits </w:t>
            </w:r>
          </w:p>
          <w:p w:rsidR="00412817" w:rsidRPr="000B3455" w:rsidRDefault="00412817" w:rsidP="004F693F">
            <w:pPr>
              <w:pStyle w:val="ListParagraph"/>
              <w:numPr>
                <w:ilvl w:val="0"/>
                <w:numId w:val="4"/>
              </w:numPr>
              <w:spacing w:before="100" w:beforeAutospacing="1" w:after="100" w:afterAutospacing="1" w:line="276" w:lineRule="auto"/>
              <w:ind w:left="0" w:firstLine="0"/>
              <w:cnfStyle w:val="000000010000"/>
              <w:rPr>
                <w:rFonts w:cstheme="minorHAnsi"/>
              </w:rPr>
            </w:pPr>
            <w:r w:rsidRPr="000B3455">
              <w:rPr>
                <w:rFonts w:cstheme="minorHAnsi"/>
              </w:rPr>
              <w:t xml:space="preserve">Securities purchased under resale agreements (banks) </w:t>
            </w:r>
          </w:p>
          <w:p w:rsidR="00412817" w:rsidRPr="000B3455" w:rsidRDefault="00412817" w:rsidP="004F693F">
            <w:pPr>
              <w:spacing w:before="100" w:beforeAutospacing="1" w:after="100" w:afterAutospacing="1" w:line="276" w:lineRule="auto"/>
              <w:cnfStyle w:val="000000010000"/>
              <w:rPr>
                <w:rFonts w:cstheme="minorHAnsi"/>
              </w:rPr>
            </w:pPr>
            <w:r w:rsidRPr="000B3455">
              <w:rPr>
                <w:rFonts w:cstheme="minorHAnsi"/>
              </w:rPr>
              <w:t xml:space="preserve">It excludes: </w:t>
            </w:r>
          </w:p>
          <w:p w:rsidR="00412817" w:rsidRPr="000B3455" w:rsidRDefault="00412817" w:rsidP="004F693F">
            <w:pPr>
              <w:pStyle w:val="ListParagraph"/>
              <w:numPr>
                <w:ilvl w:val="0"/>
                <w:numId w:val="6"/>
              </w:numPr>
              <w:spacing w:before="100" w:beforeAutospacing="1" w:after="100" w:afterAutospacing="1" w:line="276" w:lineRule="auto"/>
              <w:ind w:left="0" w:firstLine="0"/>
              <w:cnfStyle w:val="000000010000"/>
              <w:rPr>
                <w:rFonts w:cstheme="minorHAnsi"/>
              </w:rPr>
            </w:pPr>
            <w:r w:rsidRPr="000B3455">
              <w:rPr>
                <w:rFonts w:cstheme="minorHAnsi"/>
              </w:rPr>
              <w:t xml:space="preserve">Minority Interest </w:t>
            </w:r>
          </w:p>
          <w:p w:rsidR="00412817" w:rsidRPr="000B3455" w:rsidRDefault="00412817" w:rsidP="004F693F">
            <w:pPr>
              <w:pStyle w:val="ListParagraph"/>
              <w:numPr>
                <w:ilvl w:val="0"/>
                <w:numId w:val="6"/>
              </w:numPr>
              <w:spacing w:before="100" w:beforeAutospacing="1" w:after="100" w:afterAutospacing="1" w:line="276" w:lineRule="auto"/>
              <w:ind w:left="0" w:firstLine="0"/>
              <w:cnfStyle w:val="000000010000"/>
              <w:rPr>
                <w:rFonts w:cstheme="minorHAnsi"/>
              </w:rPr>
            </w:pPr>
            <w:r w:rsidRPr="000B3455">
              <w:rPr>
                <w:rFonts w:cstheme="minorHAnsi"/>
              </w:rPr>
              <w:t xml:space="preserve">Preferred stock equity </w:t>
            </w:r>
          </w:p>
          <w:p w:rsidR="00412817" w:rsidRPr="000B3455" w:rsidRDefault="00412817" w:rsidP="004F693F">
            <w:pPr>
              <w:pStyle w:val="ListParagraph"/>
              <w:numPr>
                <w:ilvl w:val="0"/>
                <w:numId w:val="6"/>
              </w:numPr>
              <w:spacing w:before="100" w:beforeAutospacing="1" w:after="100" w:afterAutospacing="1" w:line="276" w:lineRule="auto"/>
              <w:ind w:left="0" w:firstLine="0"/>
              <w:cnfStyle w:val="000000010000"/>
              <w:rPr>
                <w:rFonts w:cstheme="minorHAnsi"/>
              </w:rPr>
            </w:pPr>
            <w:r w:rsidRPr="000B3455">
              <w:rPr>
                <w:rFonts w:cstheme="minorHAnsi"/>
              </w:rPr>
              <w:t xml:space="preserve">Common stock equity </w:t>
            </w:r>
          </w:p>
          <w:p w:rsidR="00412817" w:rsidRPr="000B3455" w:rsidRDefault="00412817" w:rsidP="004F693F">
            <w:pPr>
              <w:pStyle w:val="ListParagraph"/>
              <w:numPr>
                <w:ilvl w:val="0"/>
                <w:numId w:val="6"/>
              </w:numPr>
              <w:spacing w:line="276" w:lineRule="auto"/>
              <w:ind w:left="0" w:firstLine="0"/>
              <w:jc w:val="both"/>
              <w:cnfStyle w:val="000000010000"/>
              <w:rPr>
                <w:rFonts w:cstheme="minorHAnsi"/>
              </w:rPr>
            </w:pPr>
            <w:r w:rsidRPr="000B3455">
              <w:rPr>
                <w:rFonts w:cstheme="minorHAnsi"/>
              </w:rPr>
              <w:t>Non-Equity reserves</w:t>
            </w:r>
          </w:p>
        </w:tc>
      </w:tr>
      <w:tr w:rsidR="00412817" w:rsidRPr="000B3455" w:rsidTr="004F693F">
        <w:trPr>
          <w:cnfStyle w:val="000000100000"/>
        </w:trPr>
        <w:tc>
          <w:tcPr>
            <w:cnfStyle w:val="001000000000"/>
            <w:tcW w:w="3085" w:type="dxa"/>
            <w:shd w:val="clear" w:color="auto" w:fill="FFFFFF" w:themeFill="background1"/>
          </w:tcPr>
          <w:p w:rsidR="00412817" w:rsidRPr="000B3455" w:rsidRDefault="00412817" w:rsidP="004F693F">
            <w:pPr>
              <w:spacing w:line="276" w:lineRule="auto"/>
              <w:rPr>
                <w:rFonts w:cstheme="minorHAnsi"/>
              </w:rPr>
            </w:pPr>
            <w:r w:rsidRPr="000B3455">
              <w:rPr>
                <w:rFonts w:cstheme="minorHAnsi"/>
              </w:rPr>
              <w:lastRenderedPageBreak/>
              <w:t>Past stock returns measured by total investment return</w:t>
            </w:r>
          </w:p>
        </w:tc>
        <w:tc>
          <w:tcPr>
            <w:tcW w:w="6662" w:type="dxa"/>
            <w:shd w:val="clear" w:color="auto" w:fill="B8CCE4" w:themeFill="accent1" w:themeFillTint="66"/>
          </w:tcPr>
          <w:p w:rsidR="00A22A61" w:rsidRPr="000B3455" w:rsidRDefault="00412817" w:rsidP="004F693F">
            <w:pPr>
              <w:spacing w:line="276" w:lineRule="auto"/>
              <w:jc w:val="both"/>
              <w:cnfStyle w:val="000000100000"/>
              <w:rPr>
                <w:rFonts w:cstheme="minorHAnsi"/>
                <w:b/>
              </w:rPr>
            </w:pPr>
            <w:r w:rsidRPr="000B3455">
              <w:rPr>
                <w:rFonts w:cstheme="minorHAnsi"/>
                <w:b/>
              </w:rPr>
              <w:t xml:space="preserve">Total </w:t>
            </w:r>
            <w:r w:rsidR="00C01D2C" w:rsidRPr="000B3455">
              <w:rPr>
                <w:rFonts w:cstheme="minorHAnsi"/>
                <w:b/>
              </w:rPr>
              <w:t>Investment Return</w:t>
            </w:r>
          </w:p>
          <w:p w:rsidR="00412817" w:rsidRPr="000B3455" w:rsidRDefault="00412817" w:rsidP="004F693F">
            <w:pPr>
              <w:spacing w:line="276" w:lineRule="auto"/>
              <w:jc w:val="both"/>
              <w:cnfStyle w:val="000000100000"/>
              <w:rPr>
                <w:rFonts w:cstheme="minorHAnsi"/>
                <w:b/>
              </w:rPr>
            </w:pPr>
            <w:r w:rsidRPr="000B3455">
              <w:rPr>
                <w:rFonts w:cstheme="minorHAnsi"/>
              </w:rPr>
              <w:t xml:space="preserve">= </w:t>
            </w:r>
            <w:r w:rsidR="00C01D2C" w:rsidRPr="000B3455">
              <w:rPr>
                <w:rFonts w:cstheme="minorHAnsi"/>
              </w:rPr>
              <w:t>(market price year end + dividends per share + special dividend quarter 1 + special dividend</w:t>
            </w:r>
            <w:r w:rsidRPr="000B3455">
              <w:rPr>
                <w:rFonts w:cstheme="minorHAnsi"/>
              </w:rPr>
              <w:t xml:space="preserve"> </w:t>
            </w:r>
            <w:r w:rsidR="00C01D2C" w:rsidRPr="000B3455">
              <w:rPr>
                <w:rFonts w:cstheme="minorHAnsi"/>
              </w:rPr>
              <w:t>quarter 2 + special dividend</w:t>
            </w:r>
            <w:r w:rsidRPr="000B3455">
              <w:rPr>
                <w:rFonts w:cstheme="minorHAnsi"/>
              </w:rPr>
              <w:t xml:space="preserve"> </w:t>
            </w:r>
            <w:r w:rsidR="00C01D2C" w:rsidRPr="000B3455">
              <w:rPr>
                <w:rFonts w:cstheme="minorHAnsi"/>
              </w:rPr>
              <w:t>quarter 3 + special dividend</w:t>
            </w:r>
            <w:r w:rsidRPr="000B3455">
              <w:rPr>
                <w:rFonts w:cstheme="minorHAnsi"/>
              </w:rPr>
              <w:t xml:space="preserve"> </w:t>
            </w:r>
            <w:r w:rsidR="00C01D2C" w:rsidRPr="000B3455">
              <w:rPr>
                <w:rFonts w:cstheme="minorHAnsi"/>
              </w:rPr>
              <w:t>quarter 4) / last year's market price-year end - 1) *100</w:t>
            </w:r>
          </w:p>
        </w:tc>
      </w:tr>
      <w:tr w:rsidR="00412817" w:rsidRPr="000B3455" w:rsidTr="004F693F">
        <w:trPr>
          <w:cnfStyle w:val="000000010000"/>
        </w:trPr>
        <w:tc>
          <w:tcPr>
            <w:cnfStyle w:val="001000000000"/>
            <w:tcW w:w="3085" w:type="dxa"/>
            <w:shd w:val="clear" w:color="auto" w:fill="FFFFFF" w:themeFill="background1"/>
          </w:tcPr>
          <w:p w:rsidR="00412817" w:rsidRPr="000B3455" w:rsidRDefault="00412817" w:rsidP="004F693F">
            <w:pPr>
              <w:spacing w:line="276" w:lineRule="auto"/>
              <w:rPr>
                <w:rFonts w:cstheme="minorHAnsi"/>
              </w:rPr>
            </w:pPr>
            <w:r w:rsidRPr="000B3455">
              <w:rPr>
                <w:rFonts w:cstheme="minorHAnsi"/>
              </w:rPr>
              <w:t xml:space="preserve">Share </w:t>
            </w:r>
            <w:r w:rsidR="00C01D2C" w:rsidRPr="000B3455">
              <w:rPr>
                <w:rFonts w:cstheme="minorHAnsi"/>
              </w:rPr>
              <w:t>Price Volatility</w:t>
            </w:r>
          </w:p>
        </w:tc>
        <w:tc>
          <w:tcPr>
            <w:tcW w:w="6662" w:type="dxa"/>
            <w:shd w:val="clear" w:color="auto" w:fill="B8CCE4" w:themeFill="accent1" w:themeFillTint="66"/>
          </w:tcPr>
          <w:p w:rsidR="00A22A61" w:rsidRPr="000B3455" w:rsidRDefault="00412817" w:rsidP="004F693F">
            <w:pPr>
              <w:spacing w:line="276" w:lineRule="auto"/>
              <w:jc w:val="both"/>
              <w:cnfStyle w:val="000000010000"/>
              <w:rPr>
                <w:rFonts w:cstheme="minorHAnsi"/>
                <w:b/>
              </w:rPr>
            </w:pPr>
            <w:r w:rsidRPr="000B3455">
              <w:rPr>
                <w:rFonts w:cstheme="minorHAnsi"/>
                <w:b/>
              </w:rPr>
              <w:t xml:space="preserve">Share </w:t>
            </w:r>
            <w:r w:rsidR="00C01D2C" w:rsidRPr="000B3455">
              <w:rPr>
                <w:rFonts w:cstheme="minorHAnsi"/>
                <w:b/>
              </w:rPr>
              <w:t>Price Volatility</w:t>
            </w:r>
          </w:p>
          <w:p w:rsidR="00412817" w:rsidRPr="000B3455" w:rsidRDefault="00412817" w:rsidP="004F693F">
            <w:pPr>
              <w:spacing w:line="276" w:lineRule="auto"/>
              <w:jc w:val="both"/>
              <w:cnfStyle w:val="000000010000"/>
              <w:rPr>
                <w:rFonts w:cstheme="minorHAnsi"/>
                <w:b/>
              </w:rPr>
            </w:pPr>
            <w:r w:rsidRPr="000B3455">
              <w:rPr>
                <w:rFonts w:cstheme="minorHAnsi"/>
              </w:rPr>
              <w:t>= measure of a stock's average annual price movement to a high and low from a mean price for each year. For example, a stock's price volatility of 20% indicates that the stock's annual high and low price has shown a historical variation of +20% to -20% from its annual average price.</w:t>
            </w:r>
          </w:p>
          <w:p w:rsidR="00412817" w:rsidRPr="000B3455" w:rsidRDefault="00412817" w:rsidP="004F693F">
            <w:pPr>
              <w:spacing w:line="276" w:lineRule="auto"/>
              <w:jc w:val="both"/>
              <w:cnfStyle w:val="000000010000"/>
              <w:rPr>
                <w:rFonts w:cstheme="minorHAnsi"/>
              </w:rPr>
            </w:pPr>
          </w:p>
        </w:tc>
      </w:tr>
      <w:tr w:rsidR="00A22A61" w:rsidRPr="000B3455" w:rsidTr="004F693F">
        <w:trPr>
          <w:cnfStyle w:val="000000100000"/>
        </w:trPr>
        <w:tc>
          <w:tcPr>
            <w:cnfStyle w:val="001000000000"/>
            <w:tcW w:w="3085" w:type="dxa"/>
            <w:shd w:val="clear" w:color="auto" w:fill="FFFFFF" w:themeFill="background1"/>
          </w:tcPr>
          <w:p w:rsidR="00A22A61" w:rsidRPr="000B3455" w:rsidRDefault="00A22A61" w:rsidP="004F693F">
            <w:pPr>
              <w:spacing w:line="276" w:lineRule="auto"/>
              <w:rPr>
                <w:rFonts w:cstheme="minorHAnsi"/>
              </w:rPr>
            </w:pPr>
            <w:r w:rsidRPr="000B3455">
              <w:rPr>
                <w:rFonts w:cstheme="minorHAnsi"/>
              </w:rPr>
              <w:t xml:space="preserve">The three year average of (common + preferred dividends + cash flow used in investing activities – cash flow generated from operations) / total assets = </w:t>
            </w:r>
            <w:r w:rsidR="00C01D2C" w:rsidRPr="000B3455">
              <w:rPr>
                <w:rFonts w:cstheme="minorHAnsi"/>
              </w:rPr>
              <w:t xml:space="preserve">[( </w:t>
            </w:r>
            <w:r w:rsidRPr="000B3455">
              <w:rPr>
                <w:rFonts w:cstheme="minorHAnsi"/>
              </w:rPr>
              <w:t>-(Free Cash Flow</w:t>
            </w:r>
            <w:r w:rsidRPr="000B3455">
              <w:rPr>
                <w:rFonts w:cstheme="minorHAnsi"/>
                <w:vertAlign w:val="subscript"/>
              </w:rPr>
              <w:t>t-2</w:t>
            </w:r>
            <w:r w:rsidRPr="000B3455">
              <w:rPr>
                <w:rFonts w:cstheme="minorHAnsi"/>
              </w:rPr>
              <w:t>)</w:t>
            </w:r>
            <w:r w:rsidR="00C01D2C" w:rsidRPr="000B3455">
              <w:rPr>
                <w:rFonts w:cstheme="minorHAnsi"/>
              </w:rPr>
              <w:t xml:space="preserve"> / Total assets</w:t>
            </w:r>
            <w:r w:rsidR="00C01D2C" w:rsidRPr="000B3455">
              <w:rPr>
                <w:rFonts w:cstheme="minorHAnsi"/>
                <w:vertAlign w:val="subscript"/>
              </w:rPr>
              <w:t>t-2</w:t>
            </w:r>
            <w:r w:rsidR="00C01D2C" w:rsidRPr="000B3455">
              <w:rPr>
                <w:rFonts w:cstheme="minorHAnsi"/>
              </w:rPr>
              <w:t>)</w:t>
            </w:r>
            <w:r w:rsidRPr="000B3455">
              <w:rPr>
                <w:rFonts w:cstheme="minorHAnsi"/>
              </w:rPr>
              <w:t xml:space="preserve"> + </w:t>
            </w:r>
            <w:r w:rsidR="00C01D2C" w:rsidRPr="000B3455">
              <w:rPr>
                <w:rFonts w:cstheme="minorHAnsi"/>
              </w:rPr>
              <w:t xml:space="preserve">( </w:t>
            </w:r>
            <w:r w:rsidRPr="000B3455">
              <w:rPr>
                <w:rFonts w:cstheme="minorHAnsi"/>
              </w:rPr>
              <w:t>-(Free Cash Flow</w:t>
            </w:r>
            <w:r w:rsidRPr="000B3455">
              <w:rPr>
                <w:rFonts w:cstheme="minorHAnsi"/>
                <w:vertAlign w:val="subscript"/>
              </w:rPr>
              <w:t>t-1</w:t>
            </w:r>
            <w:r w:rsidRPr="000B3455">
              <w:rPr>
                <w:rFonts w:cstheme="minorHAnsi"/>
              </w:rPr>
              <w:t>)</w:t>
            </w:r>
            <w:r w:rsidR="00C01D2C" w:rsidRPr="000B3455">
              <w:rPr>
                <w:rFonts w:cstheme="minorHAnsi"/>
              </w:rPr>
              <w:t xml:space="preserve"> / Total assets</w:t>
            </w:r>
            <w:r w:rsidR="00C01D2C" w:rsidRPr="000B3455">
              <w:rPr>
                <w:rFonts w:cstheme="minorHAnsi"/>
                <w:vertAlign w:val="subscript"/>
              </w:rPr>
              <w:t>t-1</w:t>
            </w:r>
            <w:r w:rsidR="00C01D2C" w:rsidRPr="000B3455">
              <w:rPr>
                <w:rFonts w:cstheme="minorHAnsi"/>
              </w:rPr>
              <w:t>)</w:t>
            </w:r>
            <w:r w:rsidRPr="000B3455">
              <w:rPr>
                <w:rFonts w:cstheme="minorHAnsi"/>
              </w:rPr>
              <w:t xml:space="preserve"> + </w:t>
            </w:r>
            <w:r w:rsidR="00C01D2C" w:rsidRPr="000B3455">
              <w:rPr>
                <w:rFonts w:cstheme="minorHAnsi"/>
              </w:rPr>
              <w:t xml:space="preserve">( </w:t>
            </w:r>
            <w:r w:rsidRPr="000B3455">
              <w:rPr>
                <w:rFonts w:cstheme="minorHAnsi"/>
              </w:rPr>
              <w:t>-(Free Cash Flow</w:t>
            </w:r>
            <w:r w:rsidRPr="000B3455">
              <w:rPr>
                <w:rFonts w:cstheme="minorHAnsi"/>
                <w:vertAlign w:val="subscript"/>
              </w:rPr>
              <w:t>t</w:t>
            </w:r>
            <w:r w:rsidRPr="000B3455">
              <w:rPr>
                <w:rFonts w:cstheme="minorHAnsi"/>
              </w:rPr>
              <w:t>)</w:t>
            </w:r>
            <w:r w:rsidR="00C01D2C" w:rsidRPr="000B3455">
              <w:rPr>
                <w:rFonts w:cstheme="minorHAnsi"/>
              </w:rPr>
              <w:t xml:space="preserve"> / Total assets</w:t>
            </w:r>
            <w:r w:rsidR="00C01D2C" w:rsidRPr="000B3455">
              <w:rPr>
                <w:rFonts w:cstheme="minorHAnsi"/>
                <w:vertAlign w:val="subscript"/>
              </w:rPr>
              <w:t>t</w:t>
            </w:r>
            <w:r w:rsidR="00C01D2C" w:rsidRPr="000B3455">
              <w:rPr>
                <w:rFonts w:cstheme="minorHAnsi"/>
              </w:rPr>
              <w:t>)] / 3</w:t>
            </w:r>
          </w:p>
        </w:tc>
        <w:tc>
          <w:tcPr>
            <w:tcW w:w="6662" w:type="dxa"/>
            <w:shd w:val="clear" w:color="auto" w:fill="B8CCE4" w:themeFill="accent1" w:themeFillTint="66"/>
          </w:tcPr>
          <w:p w:rsidR="00A22A61" w:rsidRPr="000B3455" w:rsidRDefault="00C01D2C" w:rsidP="004F693F">
            <w:pPr>
              <w:spacing w:line="276" w:lineRule="auto"/>
              <w:jc w:val="both"/>
              <w:cnfStyle w:val="000000100000"/>
              <w:rPr>
                <w:rFonts w:cstheme="minorHAnsi"/>
                <w:b/>
              </w:rPr>
            </w:pPr>
            <w:r w:rsidRPr="000B3455">
              <w:rPr>
                <w:rFonts w:cstheme="minorHAnsi"/>
                <w:b/>
              </w:rPr>
              <w:t>Free Cash Flow</w:t>
            </w:r>
          </w:p>
          <w:p w:rsidR="00C01D2C" w:rsidRPr="000B3455" w:rsidRDefault="00C01D2C" w:rsidP="004F693F">
            <w:pPr>
              <w:spacing w:line="276" w:lineRule="auto"/>
              <w:jc w:val="both"/>
              <w:cnfStyle w:val="000000100000"/>
              <w:rPr>
                <w:rFonts w:cstheme="minorHAnsi"/>
              </w:rPr>
            </w:pPr>
            <w:r w:rsidRPr="000B3455">
              <w:rPr>
                <w:rFonts w:cstheme="minorHAnsi"/>
              </w:rPr>
              <w:t>= net operating cash flow – cash dividends –</w:t>
            </w:r>
            <w:r w:rsidR="002D6F99" w:rsidRPr="000B3455">
              <w:rPr>
                <w:rFonts w:cstheme="minorHAnsi"/>
              </w:rPr>
              <w:t xml:space="preserve"> </w:t>
            </w:r>
            <w:r w:rsidRPr="000B3455">
              <w:rPr>
                <w:rFonts w:cstheme="minorHAnsi"/>
              </w:rPr>
              <w:t>capital expenditures cash flow</w:t>
            </w:r>
          </w:p>
          <w:p w:rsidR="00C01D2C" w:rsidRPr="000B3455" w:rsidRDefault="00C01D2C" w:rsidP="004F693F">
            <w:pPr>
              <w:spacing w:line="276" w:lineRule="auto"/>
              <w:jc w:val="both"/>
              <w:cnfStyle w:val="000000100000"/>
              <w:rPr>
                <w:rFonts w:cstheme="minorHAnsi"/>
                <w:b/>
              </w:rPr>
            </w:pPr>
            <w:r w:rsidRPr="000B3455">
              <w:rPr>
                <w:rFonts w:cstheme="minorHAnsi"/>
                <w:b/>
              </w:rPr>
              <w:t>Total Assets</w:t>
            </w:r>
          </w:p>
          <w:p w:rsidR="00C01D2C" w:rsidRPr="000B3455" w:rsidRDefault="00C01D2C" w:rsidP="004F693F">
            <w:pPr>
              <w:spacing w:line="276" w:lineRule="auto"/>
              <w:jc w:val="both"/>
              <w:cnfStyle w:val="000000100000"/>
              <w:rPr>
                <w:rFonts w:cstheme="minorHAnsi"/>
              </w:rPr>
            </w:pPr>
            <w:r w:rsidRPr="000B3455">
              <w:rPr>
                <w:rFonts w:cstheme="minorHAnsi"/>
              </w:rPr>
              <w:t>As above</w:t>
            </w:r>
          </w:p>
        </w:tc>
      </w:tr>
    </w:tbl>
    <w:p w:rsidR="00275E6E" w:rsidRDefault="00275E6E">
      <w:r>
        <w:rPr>
          <w:b/>
          <w:bCs/>
        </w:rPr>
        <w:br w:type="page"/>
      </w:r>
    </w:p>
    <w:tbl>
      <w:tblPr>
        <w:tblStyle w:val="Gemiddeldearcering1-accent11"/>
        <w:tblW w:w="9747" w:type="dxa"/>
        <w:tblLook w:val="04A0"/>
      </w:tblPr>
      <w:tblGrid>
        <w:gridCol w:w="3085"/>
        <w:gridCol w:w="6662"/>
      </w:tblGrid>
      <w:tr w:rsidR="00A22A61" w:rsidRPr="000B3455" w:rsidTr="004F693F">
        <w:trPr>
          <w:cnfStyle w:val="100000000000"/>
        </w:trPr>
        <w:tc>
          <w:tcPr>
            <w:cnfStyle w:val="001000000000"/>
            <w:tcW w:w="3085" w:type="dxa"/>
            <w:shd w:val="clear" w:color="auto" w:fill="FFFFFF" w:themeFill="background1"/>
          </w:tcPr>
          <w:p w:rsidR="00A22A61" w:rsidRPr="00275E6E" w:rsidRDefault="00A22A61" w:rsidP="004F693F">
            <w:pPr>
              <w:spacing w:line="276" w:lineRule="auto"/>
              <w:rPr>
                <w:rFonts w:cstheme="minorHAnsi"/>
                <w:color w:val="auto"/>
              </w:rPr>
            </w:pPr>
            <w:r w:rsidRPr="00275E6E">
              <w:rPr>
                <w:rFonts w:cstheme="minorHAnsi"/>
                <w:color w:val="auto"/>
              </w:rPr>
              <w:lastRenderedPageBreak/>
              <w:t>Dummy variables for each industry according to primary SIC.</w:t>
            </w:r>
          </w:p>
        </w:tc>
        <w:tc>
          <w:tcPr>
            <w:tcW w:w="6662" w:type="dxa"/>
            <w:shd w:val="clear" w:color="auto" w:fill="B8CCE4" w:themeFill="accent1" w:themeFillTint="66"/>
          </w:tcPr>
          <w:p w:rsidR="00A22A61" w:rsidRPr="00275E6E" w:rsidRDefault="00F31EC4" w:rsidP="004F693F">
            <w:pPr>
              <w:spacing w:line="276" w:lineRule="auto"/>
              <w:jc w:val="both"/>
              <w:cnfStyle w:val="100000000000"/>
              <w:rPr>
                <w:rFonts w:cstheme="minorHAnsi"/>
                <w:b w:val="0"/>
                <w:color w:val="auto"/>
              </w:rPr>
            </w:pPr>
            <w:r w:rsidRPr="00275E6E">
              <w:rPr>
                <w:rFonts w:cstheme="minorHAnsi"/>
                <w:b w:val="0"/>
                <w:color w:val="auto"/>
              </w:rPr>
              <w:t>They are derived from the 1987 edition of the Standard Industrial Classification Manual compiled by the Executive Office of the President of the United States, Office of Management and Budget. These SIC codes are assigned to both U.S. and non-U.S. companies according to the type of business in which they are engaged. If a sales breakdown is not available the SIC Code is assigned according to the best judgment of Worldscope.</w:t>
            </w:r>
          </w:p>
        </w:tc>
      </w:tr>
    </w:tbl>
    <w:p w:rsidR="00A101B6" w:rsidRPr="000B3455" w:rsidRDefault="00A101B6" w:rsidP="001D5F43"/>
    <w:p w:rsidR="00A22A61" w:rsidRPr="000B3455" w:rsidRDefault="00A22A61" w:rsidP="001D5F43">
      <w:r w:rsidRPr="000B3455">
        <w:t>The only control variable that has not been retrieved from Thomson One Banker, but hand-picked from the annual reports is board size. It is measured by the average amount of members in the board of management during the reporting period.</w:t>
      </w:r>
    </w:p>
    <w:p w:rsidR="00A36BF8" w:rsidRPr="000B3455" w:rsidRDefault="00A36BF8">
      <w:r w:rsidRPr="000B3455">
        <w:br w:type="page"/>
      </w:r>
    </w:p>
    <w:p w:rsidR="00A36BF8" w:rsidRDefault="00C97617" w:rsidP="00ED7148">
      <w:pPr>
        <w:pStyle w:val="AppendicesThesis"/>
      </w:pPr>
      <w:bookmarkStart w:id="106" w:name="IV"/>
      <w:bookmarkStart w:id="107" w:name="_Toc298944612"/>
      <w:r w:rsidRPr="000B3455">
        <w:lastRenderedPageBreak/>
        <w:t>Appendix IV</w:t>
      </w:r>
      <w:bookmarkEnd w:id="106"/>
      <w:r w:rsidR="00A36BF8" w:rsidRPr="000B3455">
        <w:t xml:space="preserve">: List of </w:t>
      </w:r>
      <w:r w:rsidR="00E64A6D">
        <w:t>p</w:t>
      </w:r>
      <w:r w:rsidR="00E64A6D" w:rsidRPr="000B3455">
        <w:t xml:space="preserve">rimary </w:t>
      </w:r>
      <w:r w:rsidR="00A36BF8" w:rsidRPr="000B3455">
        <w:t xml:space="preserve">SIC </w:t>
      </w:r>
      <w:bookmarkEnd w:id="107"/>
      <w:r w:rsidR="00E64A6D">
        <w:t>c</w:t>
      </w:r>
      <w:r w:rsidR="00E64A6D" w:rsidRPr="000B3455">
        <w:t>odes</w:t>
      </w:r>
    </w:p>
    <w:p w:rsidR="00A62D2C" w:rsidRPr="000B3455" w:rsidRDefault="00A62D2C" w:rsidP="001D5F43">
      <w:pPr>
        <w:rPr>
          <w:b/>
        </w:rPr>
      </w:pPr>
    </w:p>
    <w:tbl>
      <w:tblPr>
        <w:tblStyle w:val="Gemiddeldearcering1-accent11"/>
        <w:tblW w:w="8897" w:type="dxa"/>
        <w:tblLook w:val="04A0"/>
      </w:tblPr>
      <w:tblGrid>
        <w:gridCol w:w="2093"/>
        <w:gridCol w:w="6804"/>
      </w:tblGrid>
      <w:tr w:rsidR="00A36BF8" w:rsidRPr="004F693F" w:rsidTr="004F693F">
        <w:trPr>
          <w:cnfStyle w:val="100000000000"/>
        </w:trPr>
        <w:tc>
          <w:tcPr>
            <w:cnfStyle w:val="001000000000"/>
            <w:tcW w:w="2093" w:type="dxa"/>
          </w:tcPr>
          <w:p w:rsidR="00A36BF8" w:rsidRPr="004F693F" w:rsidRDefault="00A36BF8" w:rsidP="001D5F43">
            <w:r w:rsidRPr="004F693F">
              <w:t>Primary SIC code</w:t>
            </w:r>
          </w:p>
        </w:tc>
        <w:tc>
          <w:tcPr>
            <w:tcW w:w="6804" w:type="dxa"/>
          </w:tcPr>
          <w:p w:rsidR="00A36BF8" w:rsidRPr="004F693F" w:rsidRDefault="00A36BF8" w:rsidP="001D5F43">
            <w:pPr>
              <w:cnfStyle w:val="100000000000"/>
            </w:pPr>
            <w:r w:rsidRPr="004F693F">
              <w:t>Industry</w:t>
            </w:r>
          </w:p>
        </w:tc>
      </w:tr>
      <w:tr w:rsidR="00A36BF8" w:rsidRPr="000B3455" w:rsidTr="004F693F">
        <w:trPr>
          <w:cnfStyle w:val="000000100000"/>
        </w:trPr>
        <w:tc>
          <w:tcPr>
            <w:cnfStyle w:val="001000000000"/>
            <w:tcW w:w="2093" w:type="dxa"/>
          </w:tcPr>
          <w:p w:rsidR="00A36BF8" w:rsidRPr="004F693F" w:rsidRDefault="00A36BF8" w:rsidP="001D5F43">
            <w:r w:rsidRPr="004F693F">
              <w:t>0100-0999</w:t>
            </w:r>
          </w:p>
        </w:tc>
        <w:tc>
          <w:tcPr>
            <w:tcW w:w="6804" w:type="dxa"/>
          </w:tcPr>
          <w:p w:rsidR="00A36BF8" w:rsidRPr="000B3455" w:rsidRDefault="00A36BF8" w:rsidP="001D5F43">
            <w:pPr>
              <w:cnfStyle w:val="000000100000"/>
            </w:pPr>
            <w:r w:rsidRPr="000B3455">
              <w:t>Agriculture, Forestry, and Fishing</w:t>
            </w:r>
          </w:p>
        </w:tc>
      </w:tr>
      <w:tr w:rsidR="00A36BF8" w:rsidRPr="000B3455" w:rsidTr="004F693F">
        <w:trPr>
          <w:cnfStyle w:val="000000010000"/>
        </w:trPr>
        <w:tc>
          <w:tcPr>
            <w:cnfStyle w:val="001000000000"/>
            <w:tcW w:w="2093" w:type="dxa"/>
          </w:tcPr>
          <w:p w:rsidR="00A36BF8" w:rsidRPr="004F693F" w:rsidRDefault="00A36BF8" w:rsidP="00A36BF8">
            <w:pPr>
              <w:ind w:right="176"/>
            </w:pPr>
            <w:r w:rsidRPr="004F693F">
              <w:t>1000-1499</w:t>
            </w:r>
          </w:p>
        </w:tc>
        <w:tc>
          <w:tcPr>
            <w:tcW w:w="6804" w:type="dxa"/>
          </w:tcPr>
          <w:p w:rsidR="00A36BF8" w:rsidRPr="000B3455" w:rsidRDefault="00A36BF8" w:rsidP="001D5F43">
            <w:pPr>
              <w:cnfStyle w:val="000000010000"/>
            </w:pPr>
            <w:r w:rsidRPr="000B3455">
              <w:t>Mining</w:t>
            </w:r>
          </w:p>
        </w:tc>
      </w:tr>
      <w:tr w:rsidR="00A36BF8" w:rsidRPr="000B3455" w:rsidTr="004F693F">
        <w:trPr>
          <w:cnfStyle w:val="000000100000"/>
        </w:trPr>
        <w:tc>
          <w:tcPr>
            <w:cnfStyle w:val="001000000000"/>
            <w:tcW w:w="2093" w:type="dxa"/>
          </w:tcPr>
          <w:p w:rsidR="00A36BF8" w:rsidRPr="004F693F" w:rsidRDefault="00A36BF8" w:rsidP="001D5F43">
            <w:r w:rsidRPr="004F693F">
              <w:t>1500-1799</w:t>
            </w:r>
          </w:p>
        </w:tc>
        <w:tc>
          <w:tcPr>
            <w:tcW w:w="6804" w:type="dxa"/>
          </w:tcPr>
          <w:p w:rsidR="00A36BF8" w:rsidRPr="000B3455" w:rsidRDefault="00A36BF8" w:rsidP="001D5F43">
            <w:pPr>
              <w:cnfStyle w:val="000000100000"/>
            </w:pPr>
            <w:r w:rsidRPr="000B3455">
              <w:t>Construction</w:t>
            </w:r>
          </w:p>
        </w:tc>
      </w:tr>
      <w:tr w:rsidR="00A36BF8" w:rsidRPr="000B3455" w:rsidTr="004F693F">
        <w:trPr>
          <w:cnfStyle w:val="000000010000"/>
        </w:trPr>
        <w:tc>
          <w:tcPr>
            <w:cnfStyle w:val="001000000000"/>
            <w:tcW w:w="2093" w:type="dxa"/>
          </w:tcPr>
          <w:p w:rsidR="00A36BF8" w:rsidRPr="004F693F" w:rsidRDefault="00A36BF8" w:rsidP="001D5F43">
            <w:r w:rsidRPr="004F693F">
              <w:t>2000-3999</w:t>
            </w:r>
          </w:p>
        </w:tc>
        <w:tc>
          <w:tcPr>
            <w:tcW w:w="6804" w:type="dxa"/>
          </w:tcPr>
          <w:p w:rsidR="00A36BF8" w:rsidRPr="000B3455" w:rsidRDefault="00A36BF8" w:rsidP="001D5F43">
            <w:pPr>
              <w:cnfStyle w:val="000000010000"/>
            </w:pPr>
            <w:r w:rsidRPr="000B3455">
              <w:t>Manufacturing</w:t>
            </w:r>
          </w:p>
        </w:tc>
      </w:tr>
      <w:tr w:rsidR="00A36BF8" w:rsidRPr="000B3455" w:rsidTr="004F693F">
        <w:trPr>
          <w:cnfStyle w:val="000000100000"/>
        </w:trPr>
        <w:tc>
          <w:tcPr>
            <w:cnfStyle w:val="001000000000"/>
            <w:tcW w:w="2093" w:type="dxa"/>
          </w:tcPr>
          <w:p w:rsidR="00A36BF8" w:rsidRPr="004F693F" w:rsidRDefault="00A36BF8" w:rsidP="001D5F43">
            <w:r w:rsidRPr="004F693F">
              <w:t>4000-4999</w:t>
            </w:r>
          </w:p>
        </w:tc>
        <w:tc>
          <w:tcPr>
            <w:tcW w:w="6804" w:type="dxa"/>
          </w:tcPr>
          <w:p w:rsidR="00A36BF8" w:rsidRPr="000B3455" w:rsidRDefault="00A36BF8" w:rsidP="001D5F43">
            <w:pPr>
              <w:cnfStyle w:val="000000100000"/>
            </w:pPr>
            <w:r w:rsidRPr="000B3455">
              <w:t>Transportation, Communications, Electric, Gas, and Sanitary Services</w:t>
            </w:r>
          </w:p>
        </w:tc>
      </w:tr>
      <w:tr w:rsidR="00A36BF8" w:rsidRPr="000B3455" w:rsidTr="004F693F">
        <w:trPr>
          <w:cnfStyle w:val="000000010000"/>
        </w:trPr>
        <w:tc>
          <w:tcPr>
            <w:cnfStyle w:val="001000000000"/>
            <w:tcW w:w="2093" w:type="dxa"/>
          </w:tcPr>
          <w:p w:rsidR="00A36BF8" w:rsidRPr="004F693F" w:rsidRDefault="00A36BF8" w:rsidP="001D5F43">
            <w:r w:rsidRPr="004F693F">
              <w:t>5000-5199</w:t>
            </w:r>
          </w:p>
        </w:tc>
        <w:tc>
          <w:tcPr>
            <w:tcW w:w="6804" w:type="dxa"/>
          </w:tcPr>
          <w:p w:rsidR="00A36BF8" w:rsidRPr="000B3455" w:rsidRDefault="00A36BF8" w:rsidP="001D5F43">
            <w:pPr>
              <w:cnfStyle w:val="000000010000"/>
            </w:pPr>
            <w:r w:rsidRPr="000B3455">
              <w:t>Wholesale Trade</w:t>
            </w:r>
          </w:p>
        </w:tc>
      </w:tr>
      <w:tr w:rsidR="00A36BF8" w:rsidRPr="000B3455" w:rsidTr="004F693F">
        <w:trPr>
          <w:cnfStyle w:val="000000100000"/>
        </w:trPr>
        <w:tc>
          <w:tcPr>
            <w:cnfStyle w:val="001000000000"/>
            <w:tcW w:w="2093" w:type="dxa"/>
          </w:tcPr>
          <w:p w:rsidR="00A36BF8" w:rsidRPr="004F693F" w:rsidRDefault="00A36BF8" w:rsidP="00A36BF8">
            <w:r w:rsidRPr="004F693F">
              <w:t>5200-5999</w:t>
            </w:r>
          </w:p>
        </w:tc>
        <w:tc>
          <w:tcPr>
            <w:tcW w:w="6804" w:type="dxa"/>
          </w:tcPr>
          <w:p w:rsidR="00A36BF8" w:rsidRPr="000B3455" w:rsidRDefault="00A36BF8" w:rsidP="001D5F43">
            <w:pPr>
              <w:cnfStyle w:val="000000100000"/>
            </w:pPr>
            <w:r w:rsidRPr="000B3455">
              <w:t>Retail Trade</w:t>
            </w:r>
          </w:p>
        </w:tc>
      </w:tr>
      <w:tr w:rsidR="00A36BF8" w:rsidRPr="000B3455" w:rsidTr="004F693F">
        <w:trPr>
          <w:cnfStyle w:val="000000010000"/>
        </w:trPr>
        <w:tc>
          <w:tcPr>
            <w:cnfStyle w:val="001000000000"/>
            <w:tcW w:w="2093" w:type="dxa"/>
          </w:tcPr>
          <w:p w:rsidR="00A36BF8" w:rsidRPr="004F693F" w:rsidRDefault="00A36BF8" w:rsidP="00A36BF8">
            <w:r w:rsidRPr="004F693F">
              <w:t>6000-6799</w:t>
            </w:r>
          </w:p>
        </w:tc>
        <w:tc>
          <w:tcPr>
            <w:tcW w:w="6804" w:type="dxa"/>
          </w:tcPr>
          <w:p w:rsidR="00A36BF8" w:rsidRPr="000B3455" w:rsidRDefault="00A36BF8" w:rsidP="00FB351B">
            <w:pPr>
              <w:cnfStyle w:val="000000010000"/>
            </w:pPr>
            <w:r w:rsidRPr="000B3455">
              <w:t>Finance, Insurance, and Real Estate</w:t>
            </w:r>
          </w:p>
        </w:tc>
      </w:tr>
      <w:tr w:rsidR="00A36BF8" w:rsidRPr="000B3455" w:rsidTr="004F693F">
        <w:trPr>
          <w:cnfStyle w:val="000000100000"/>
        </w:trPr>
        <w:tc>
          <w:tcPr>
            <w:cnfStyle w:val="001000000000"/>
            <w:tcW w:w="2093" w:type="dxa"/>
          </w:tcPr>
          <w:p w:rsidR="00A36BF8" w:rsidRPr="004F693F" w:rsidRDefault="00A36BF8" w:rsidP="00FB351B">
            <w:r w:rsidRPr="004F693F">
              <w:t>7000-8999</w:t>
            </w:r>
          </w:p>
        </w:tc>
        <w:tc>
          <w:tcPr>
            <w:tcW w:w="6804" w:type="dxa"/>
          </w:tcPr>
          <w:p w:rsidR="00A36BF8" w:rsidRPr="000B3455" w:rsidRDefault="00A36BF8" w:rsidP="00FB351B">
            <w:pPr>
              <w:cnfStyle w:val="000000100000"/>
            </w:pPr>
            <w:r w:rsidRPr="000B3455">
              <w:t>Services</w:t>
            </w:r>
          </w:p>
        </w:tc>
      </w:tr>
      <w:tr w:rsidR="00A36BF8" w:rsidRPr="000B3455" w:rsidTr="004F693F">
        <w:trPr>
          <w:cnfStyle w:val="000000010000"/>
          <w:trHeight w:val="253"/>
        </w:trPr>
        <w:tc>
          <w:tcPr>
            <w:cnfStyle w:val="001000000000"/>
            <w:tcW w:w="2093" w:type="dxa"/>
          </w:tcPr>
          <w:p w:rsidR="00A36BF8" w:rsidRPr="004F693F" w:rsidRDefault="00A36BF8" w:rsidP="00A36BF8">
            <w:r w:rsidRPr="004F693F">
              <w:t>9100-9899</w:t>
            </w:r>
          </w:p>
        </w:tc>
        <w:tc>
          <w:tcPr>
            <w:tcW w:w="6804" w:type="dxa"/>
          </w:tcPr>
          <w:p w:rsidR="00A36BF8" w:rsidRPr="000B3455" w:rsidRDefault="00A36BF8" w:rsidP="00FB351B">
            <w:pPr>
              <w:cnfStyle w:val="000000010000"/>
            </w:pPr>
            <w:r w:rsidRPr="000B3455">
              <w:t>Public Administration</w:t>
            </w:r>
          </w:p>
        </w:tc>
      </w:tr>
      <w:tr w:rsidR="00A36BF8" w:rsidRPr="000B3455" w:rsidTr="004F693F">
        <w:trPr>
          <w:cnfStyle w:val="000000100000"/>
        </w:trPr>
        <w:tc>
          <w:tcPr>
            <w:cnfStyle w:val="001000000000"/>
            <w:tcW w:w="2093" w:type="dxa"/>
          </w:tcPr>
          <w:p w:rsidR="00A36BF8" w:rsidRPr="004F693F" w:rsidRDefault="00A36BF8" w:rsidP="00A36BF8">
            <w:r w:rsidRPr="004F693F">
              <w:t>9999</w:t>
            </w:r>
          </w:p>
        </w:tc>
        <w:tc>
          <w:tcPr>
            <w:tcW w:w="6804" w:type="dxa"/>
          </w:tcPr>
          <w:p w:rsidR="00A36BF8" w:rsidRPr="000B3455" w:rsidRDefault="00A36BF8" w:rsidP="00FB351B">
            <w:pPr>
              <w:cnfStyle w:val="000000100000"/>
            </w:pPr>
            <w:r w:rsidRPr="000B3455">
              <w:t>Nonclassifiable Establishments</w:t>
            </w:r>
          </w:p>
        </w:tc>
      </w:tr>
    </w:tbl>
    <w:p w:rsidR="00A36BF8" w:rsidRPr="000B3455" w:rsidRDefault="00A36BF8" w:rsidP="001D5F43"/>
    <w:p w:rsidR="002B3CBC" w:rsidRPr="000B3455" w:rsidRDefault="002B3CBC" w:rsidP="001D5F43">
      <w:r w:rsidRPr="000B3455">
        <w:t xml:space="preserve">As available on: </w:t>
      </w:r>
      <w:hyperlink r:id="rId14" w:history="1">
        <w:r w:rsidR="003D5369" w:rsidRPr="000B3455">
          <w:rPr>
            <w:rStyle w:val="Hyperlink"/>
          </w:rPr>
          <w:t>http://www.gti.net/njchamber/index-sic.htm</w:t>
        </w:r>
      </w:hyperlink>
    </w:p>
    <w:p w:rsidR="003D5369" w:rsidRPr="000B3455" w:rsidRDefault="003D5369">
      <w:r w:rsidRPr="000B3455">
        <w:br w:type="page"/>
      </w:r>
    </w:p>
    <w:p w:rsidR="003D5369" w:rsidRDefault="00C97617" w:rsidP="00ED7148">
      <w:pPr>
        <w:pStyle w:val="AppendicesThesis"/>
      </w:pPr>
      <w:bookmarkStart w:id="108" w:name="V"/>
      <w:bookmarkStart w:id="109" w:name="_Toc298944613"/>
      <w:r w:rsidRPr="000B3455">
        <w:lastRenderedPageBreak/>
        <w:t xml:space="preserve">Appendix </w:t>
      </w:r>
      <w:r w:rsidR="003D5369" w:rsidRPr="000B3455">
        <w:t>V</w:t>
      </w:r>
      <w:bookmarkEnd w:id="108"/>
      <w:r w:rsidR="003D5369" w:rsidRPr="000B3455">
        <w:t xml:space="preserve">: Descriptive </w:t>
      </w:r>
      <w:r w:rsidR="00E64A6D">
        <w:t>s</w:t>
      </w:r>
      <w:r w:rsidR="00E64A6D" w:rsidRPr="000B3455">
        <w:t xml:space="preserve">tatistics </w:t>
      </w:r>
      <w:r w:rsidR="003D5369" w:rsidRPr="000B3455">
        <w:t xml:space="preserve">on </w:t>
      </w:r>
      <w:r w:rsidR="00E64A6D">
        <w:t>h</w:t>
      </w:r>
      <w:r w:rsidR="00E64A6D" w:rsidRPr="000B3455">
        <w:t xml:space="preserve">ypothesis </w:t>
      </w:r>
      <w:r w:rsidR="003D5369" w:rsidRPr="000B3455">
        <w:t>1</w:t>
      </w:r>
      <w:bookmarkEnd w:id="109"/>
    </w:p>
    <w:p w:rsidR="00A62D2C" w:rsidRPr="000B3455" w:rsidRDefault="00A62D2C" w:rsidP="001D5F43">
      <w:pPr>
        <w:rPr>
          <w:b/>
        </w:rPr>
      </w:pPr>
    </w:p>
    <w:tbl>
      <w:tblPr>
        <w:tblStyle w:val="Gemiddeldearcering1-accent11"/>
        <w:tblW w:w="7479" w:type="dxa"/>
        <w:tblLook w:val="04A0"/>
      </w:tblPr>
      <w:tblGrid>
        <w:gridCol w:w="3794"/>
        <w:gridCol w:w="1843"/>
        <w:gridCol w:w="1842"/>
      </w:tblGrid>
      <w:tr w:rsidR="003D5369" w:rsidRPr="004F693F" w:rsidTr="003C0F81">
        <w:trPr>
          <w:cnfStyle w:val="100000000000"/>
        </w:trPr>
        <w:tc>
          <w:tcPr>
            <w:cnfStyle w:val="001000000000"/>
            <w:tcW w:w="3794" w:type="dxa"/>
          </w:tcPr>
          <w:p w:rsidR="003D5369" w:rsidRPr="004F693F" w:rsidRDefault="003D5369" w:rsidP="004F693F">
            <w:r w:rsidRPr="004F693F">
              <w:t>Industry</w:t>
            </w:r>
          </w:p>
        </w:tc>
        <w:tc>
          <w:tcPr>
            <w:tcW w:w="1843" w:type="dxa"/>
          </w:tcPr>
          <w:p w:rsidR="003D5369" w:rsidRPr="004F693F" w:rsidRDefault="003D5369" w:rsidP="003D5369">
            <w:pPr>
              <w:jc w:val="center"/>
              <w:cnfStyle w:val="100000000000"/>
            </w:pPr>
            <w:r w:rsidRPr="004F693F">
              <w:t>Frequency</w:t>
            </w:r>
          </w:p>
        </w:tc>
        <w:tc>
          <w:tcPr>
            <w:tcW w:w="1842" w:type="dxa"/>
          </w:tcPr>
          <w:p w:rsidR="003D5369" w:rsidRPr="004F693F" w:rsidRDefault="003D5369" w:rsidP="003C0F81">
            <w:pPr>
              <w:jc w:val="right"/>
              <w:cnfStyle w:val="100000000000"/>
            </w:pPr>
            <w:r w:rsidRPr="004F693F">
              <w:t>Percentage</w:t>
            </w:r>
          </w:p>
        </w:tc>
      </w:tr>
      <w:tr w:rsidR="003D5369" w:rsidRPr="000B3455" w:rsidTr="003C0F81">
        <w:trPr>
          <w:cnfStyle w:val="000000100000"/>
        </w:trPr>
        <w:tc>
          <w:tcPr>
            <w:cnfStyle w:val="001000000000"/>
            <w:tcW w:w="3794" w:type="dxa"/>
          </w:tcPr>
          <w:p w:rsidR="003D5369" w:rsidRPr="00A00F8F" w:rsidRDefault="003D5369" w:rsidP="003D5369">
            <w:pPr>
              <w:rPr>
                <w:b w:val="0"/>
              </w:rPr>
            </w:pPr>
            <w:r w:rsidRPr="00A00F8F">
              <w:rPr>
                <w:b w:val="0"/>
              </w:rPr>
              <w:t>Agriculture, Forestry, and Fishing</w:t>
            </w:r>
          </w:p>
        </w:tc>
        <w:tc>
          <w:tcPr>
            <w:tcW w:w="1843" w:type="dxa"/>
          </w:tcPr>
          <w:p w:rsidR="003D5369" w:rsidRPr="000B3455" w:rsidRDefault="003D5369" w:rsidP="004F693F">
            <w:pPr>
              <w:jc w:val="center"/>
              <w:cnfStyle w:val="000000100000"/>
            </w:pPr>
            <w:r w:rsidRPr="000B3455">
              <w:t>0</w:t>
            </w:r>
          </w:p>
        </w:tc>
        <w:tc>
          <w:tcPr>
            <w:tcW w:w="1842" w:type="dxa"/>
            <w:vAlign w:val="center"/>
          </w:tcPr>
          <w:p w:rsidR="003D5369" w:rsidRPr="000B3455" w:rsidRDefault="003D5369" w:rsidP="003C0F81">
            <w:pPr>
              <w:ind w:right="175"/>
              <w:jc w:val="right"/>
              <w:cnfStyle w:val="000000100000"/>
            </w:pPr>
            <w:r w:rsidRPr="000B3455">
              <w:t>0.00 %</w:t>
            </w:r>
          </w:p>
        </w:tc>
      </w:tr>
      <w:tr w:rsidR="003D5369" w:rsidRPr="000B3455" w:rsidTr="003C0F81">
        <w:trPr>
          <w:cnfStyle w:val="000000010000"/>
        </w:trPr>
        <w:tc>
          <w:tcPr>
            <w:cnfStyle w:val="001000000000"/>
            <w:tcW w:w="3794" w:type="dxa"/>
          </w:tcPr>
          <w:p w:rsidR="003D5369" w:rsidRPr="00A00F8F" w:rsidRDefault="003D5369" w:rsidP="003D5369">
            <w:pPr>
              <w:rPr>
                <w:b w:val="0"/>
              </w:rPr>
            </w:pPr>
            <w:r w:rsidRPr="00A00F8F">
              <w:rPr>
                <w:b w:val="0"/>
              </w:rPr>
              <w:t>Mining</w:t>
            </w:r>
          </w:p>
        </w:tc>
        <w:tc>
          <w:tcPr>
            <w:tcW w:w="1843" w:type="dxa"/>
          </w:tcPr>
          <w:p w:rsidR="003D5369" w:rsidRPr="000B3455" w:rsidRDefault="003D5369" w:rsidP="004F693F">
            <w:pPr>
              <w:jc w:val="center"/>
              <w:cnfStyle w:val="000000010000"/>
            </w:pPr>
            <w:r w:rsidRPr="000B3455">
              <w:t>1</w:t>
            </w:r>
          </w:p>
        </w:tc>
        <w:tc>
          <w:tcPr>
            <w:tcW w:w="1842" w:type="dxa"/>
            <w:vAlign w:val="center"/>
          </w:tcPr>
          <w:p w:rsidR="003D5369" w:rsidRPr="000B3455" w:rsidRDefault="003D5369" w:rsidP="003C0F81">
            <w:pPr>
              <w:ind w:right="175"/>
              <w:jc w:val="right"/>
              <w:cnfStyle w:val="000000010000"/>
            </w:pPr>
            <w:r w:rsidRPr="000B3455">
              <w:t>2.94 %</w:t>
            </w:r>
          </w:p>
        </w:tc>
      </w:tr>
      <w:tr w:rsidR="003D5369" w:rsidRPr="000B3455" w:rsidTr="003C0F81">
        <w:trPr>
          <w:cnfStyle w:val="000000100000"/>
        </w:trPr>
        <w:tc>
          <w:tcPr>
            <w:cnfStyle w:val="001000000000"/>
            <w:tcW w:w="3794" w:type="dxa"/>
          </w:tcPr>
          <w:p w:rsidR="003D5369" w:rsidRPr="00A00F8F" w:rsidRDefault="003D5369" w:rsidP="003D5369">
            <w:pPr>
              <w:rPr>
                <w:b w:val="0"/>
              </w:rPr>
            </w:pPr>
            <w:r w:rsidRPr="00A00F8F">
              <w:rPr>
                <w:b w:val="0"/>
              </w:rPr>
              <w:t>Construction</w:t>
            </w:r>
          </w:p>
        </w:tc>
        <w:tc>
          <w:tcPr>
            <w:tcW w:w="1843" w:type="dxa"/>
          </w:tcPr>
          <w:p w:rsidR="003D5369" w:rsidRPr="000B3455" w:rsidRDefault="003D5369" w:rsidP="004F693F">
            <w:pPr>
              <w:jc w:val="center"/>
              <w:cnfStyle w:val="000000100000"/>
            </w:pPr>
            <w:r w:rsidRPr="000B3455">
              <w:t>1</w:t>
            </w:r>
          </w:p>
        </w:tc>
        <w:tc>
          <w:tcPr>
            <w:tcW w:w="1842" w:type="dxa"/>
            <w:vAlign w:val="center"/>
          </w:tcPr>
          <w:p w:rsidR="003D5369" w:rsidRPr="000B3455" w:rsidRDefault="003D5369" w:rsidP="003C0F81">
            <w:pPr>
              <w:ind w:right="175"/>
              <w:jc w:val="right"/>
              <w:cnfStyle w:val="000000100000"/>
            </w:pPr>
            <w:r w:rsidRPr="000B3455">
              <w:t>2.94 %</w:t>
            </w:r>
          </w:p>
        </w:tc>
      </w:tr>
      <w:tr w:rsidR="003D5369" w:rsidRPr="000B3455" w:rsidTr="003C0F81">
        <w:trPr>
          <w:cnfStyle w:val="000000010000"/>
        </w:trPr>
        <w:tc>
          <w:tcPr>
            <w:cnfStyle w:val="001000000000"/>
            <w:tcW w:w="3794" w:type="dxa"/>
          </w:tcPr>
          <w:p w:rsidR="003D5369" w:rsidRPr="00A00F8F" w:rsidRDefault="003D5369" w:rsidP="003D5369">
            <w:pPr>
              <w:rPr>
                <w:b w:val="0"/>
              </w:rPr>
            </w:pPr>
            <w:r w:rsidRPr="00A00F8F">
              <w:rPr>
                <w:b w:val="0"/>
              </w:rPr>
              <w:t>Manufacturing</w:t>
            </w:r>
          </w:p>
        </w:tc>
        <w:tc>
          <w:tcPr>
            <w:tcW w:w="1843" w:type="dxa"/>
          </w:tcPr>
          <w:p w:rsidR="003D5369" w:rsidRPr="000B3455" w:rsidRDefault="003D5369" w:rsidP="004F693F">
            <w:pPr>
              <w:jc w:val="center"/>
              <w:cnfStyle w:val="000000010000"/>
            </w:pPr>
            <w:r w:rsidRPr="000B3455">
              <w:t>13</w:t>
            </w:r>
          </w:p>
        </w:tc>
        <w:tc>
          <w:tcPr>
            <w:tcW w:w="1842" w:type="dxa"/>
            <w:vAlign w:val="center"/>
          </w:tcPr>
          <w:p w:rsidR="003D5369" w:rsidRPr="000B3455" w:rsidRDefault="003D5369" w:rsidP="003C0F81">
            <w:pPr>
              <w:ind w:right="175"/>
              <w:jc w:val="right"/>
              <w:cnfStyle w:val="000000010000"/>
            </w:pPr>
            <w:r w:rsidRPr="000B3455">
              <w:t>38.24 %</w:t>
            </w:r>
          </w:p>
        </w:tc>
      </w:tr>
      <w:tr w:rsidR="003D5369" w:rsidRPr="000B3455" w:rsidTr="003C0F81">
        <w:trPr>
          <w:cnfStyle w:val="000000100000"/>
        </w:trPr>
        <w:tc>
          <w:tcPr>
            <w:cnfStyle w:val="001000000000"/>
            <w:tcW w:w="3794" w:type="dxa"/>
          </w:tcPr>
          <w:p w:rsidR="003D5369" w:rsidRPr="00A00F8F" w:rsidRDefault="003D5369" w:rsidP="003D5369">
            <w:pPr>
              <w:rPr>
                <w:b w:val="0"/>
              </w:rPr>
            </w:pPr>
            <w:r w:rsidRPr="00A00F8F">
              <w:rPr>
                <w:b w:val="0"/>
              </w:rPr>
              <w:t>Transportation, Communications, Electric, Gas, and Sanitary Services</w:t>
            </w:r>
          </w:p>
        </w:tc>
        <w:tc>
          <w:tcPr>
            <w:tcW w:w="1843" w:type="dxa"/>
          </w:tcPr>
          <w:p w:rsidR="003D5369" w:rsidRPr="000B3455" w:rsidRDefault="003D5369" w:rsidP="004F693F">
            <w:pPr>
              <w:jc w:val="center"/>
              <w:cnfStyle w:val="000000100000"/>
            </w:pPr>
            <w:r w:rsidRPr="000B3455">
              <w:t>2</w:t>
            </w:r>
          </w:p>
        </w:tc>
        <w:tc>
          <w:tcPr>
            <w:tcW w:w="1842" w:type="dxa"/>
            <w:vAlign w:val="center"/>
          </w:tcPr>
          <w:p w:rsidR="003D5369" w:rsidRPr="000B3455" w:rsidRDefault="003D5369" w:rsidP="003C0F81">
            <w:pPr>
              <w:ind w:right="175"/>
              <w:jc w:val="right"/>
              <w:cnfStyle w:val="000000100000"/>
            </w:pPr>
            <w:r w:rsidRPr="000B3455">
              <w:t>5.88 %</w:t>
            </w:r>
          </w:p>
        </w:tc>
      </w:tr>
      <w:tr w:rsidR="003D5369" w:rsidRPr="000B3455" w:rsidTr="003C0F81">
        <w:trPr>
          <w:cnfStyle w:val="000000010000"/>
        </w:trPr>
        <w:tc>
          <w:tcPr>
            <w:cnfStyle w:val="001000000000"/>
            <w:tcW w:w="3794" w:type="dxa"/>
          </w:tcPr>
          <w:p w:rsidR="003D5369" w:rsidRPr="00A00F8F" w:rsidRDefault="003D5369" w:rsidP="003D5369">
            <w:pPr>
              <w:rPr>
                <w:b w:val="0"/>
              </w:rPr>
            </w:pPr>
            <w:r w:rsidRPr="00A00F8F">
              <w:rPr>
                <w:b w:val="0"/>
              </w:rPr>
              <w:t>Wholesale Trade</w:t>
            </w:r>
          </w:p>
        </w:tc>
        <w:tc>
          <w:tcPr>
            <w:tcW w:w="1843" w:type="dxa"/>
          </w:tcPr>
          <w:p w:rsidR="003D5369" w:rsidRPr="000B3455" w:rsidRDefault="003D5369" w:rsidP="004F693F">
            <w:pPr>
              <w:jc w:val="center"/>
              <w:cnfStyle w:val="000000010000"/>
            </w:pPr>
            <w:r w:rsidRPr="000B3455">
              <w:t>2</w:t>
            </w:r>
          </w:p>
        </w:tc>
        <w:tc>
          <w:tcPr>
            <w:tcW w:w="1842" w:type="dxa"/>
            <w:vAlign w:val="center"/>
          </w:tcPr>
          <w:p w:rsidR="003D5369" w:rsidRPr="000B3455" w:rsidRDefault="003D5369" w:rsidP="003C0F81">
            <w:pPr>
              <w:ind w:right="175"/>
              <w:jc w:val="right"/>
              <w:cnfStyle w:val="000000010000"/>
            </w:pPr>
            <w:r w:rsidRPr="000B3455">
              <w:t>5.88 %</w:t>
            </w:r>
          </w:p>
        </w:tc>
      </w:tr>
      <w:tr w:rsidR="003D5369" w:rsidRPr="000B3455" w:rsidTr="003C0F81">
        <w:trPr>
          <w:cnfStyle w:val="000000100000"/>
        </w:trPr>
        <w:tc>
          <w:tcPr>
            <w:cnfStyle w:val="001000000000"/>
            <w:tcW w:w="3794" w:type="dxa"/>
          </w:tcPr>
          <w:p w:rsidR="003D5369" w:rsidRPr="00A00F8F" w:rsidRDefault="003D5369" w:rsidP="003D5369">
            <w:pPr>
              <w:rPr>
                <w:b w:val="0"/>
              </w:rPr>
            </w:pPr>
            <w:r w:rsidRPr="00A00F8F">
              <w:rPr>
                <w:b w:val="0"/>
              </w:rPr>
              <w:t>Retail Trade</w:t>
            </w:r>
          </w:p>
        </w:tc>
        <w:tc>
          <w:tcPr>
            <w:tcW w:w="1843" w:type="dxa"/>
          </w:tcPr>
          <w:p w:rsidR="003D5369" w:rsidRPr="000B3455" w:rsidRDefault="003D5369" w:rsidP="004F693F">
            <w:pPr>
              <w:jc w:val="center"/>
              <w:cnfStyle w:val="000000100000"/>
            </w:pPr>
            <w:r w:rsidRPr="000B3455">
              <w:t>3</w:t>
            </w:r>
          </w:p>
        </w:tc>
        <w:tc>
          <w:tcPr>
            <w:tcW w:w="1842" w:type="dxa"/>
            <w:vAlign w:val="center"/>
          </w:tcPr>
          <w:p w:rsidR="003D5369" w:rsidRPr="000B3455" w:rsidRDefault="003D5369" w:rsidP="003C0F81">
            <w:pPr>
              <w:ind w:right="175"/>
              <w:jc w:val="right"/>
              <w:cnfStyle w:val="000000100000"/>
            </w:pPr>
            <w:r w:rsidRPr="000B3455">
              <w:t>8.82 %</w:t>
            </w:r>
          </w:p>
        </w:tc>
      </w:tr>
      <w:tr w:rsidR="003D5369" w:rsidRPr="000B3455" w:rsidTr="003C0F81">
        <w:trPr>
          <w:cnfStyle w:val="000000010000"/>
        </w:trPr>
        <w:tc>
          <w:tcPr>
            <w:cnfStyle w:val="001000000000"/>
            <w:tcW w:w="3794" w:type="dxa"/>
          </w:tcPr>
          <w:p w:rsidR="003D5369" w:rsidRPr="00A00F8F" w:rsidRDefault="003D5369" w:rsidP="003D5369">
            <w:pPr>
              <w:rPr>
                <w:b w:val="0"/>
              </w:rPr>
            </w:pPr>
            <w:r w:rsidRPr="00A00F8F">
              <w:rPr>
                <w:b w:val="0"/>
              </w:rPr>
              <w:t>Finance, Insurance, and Real Estate</w:t>
            </w:r>
          </w:p>
        </w:tc>
        <w:tc>
          <w:tcPr>
            <w:tcW w:w="1843" w:type="dxa"/>
          </w:tcPr>
          <w:p w:rsidR="003D5369" w:rsidRPr="000B3455" w:rsidRDefault="003D5369" w:rsidP="004F693F">
            <w:pPr>
              <w:jc w:val="center"/>
              <w:cnfStyle w:val="000000010000"/>
            </w:pPr>
            <w:r w:rsidRPr="000B3455">
              <w:t>4</w:t>
            </w:r>
          </w:p>
        </w:tc>
        <w:tc>
          <w:tcPr>
            <w:tcW w:w="1842" w:type="dxa"/>
            <w:vAlign w:val="center"/>
          </w:tcPr>
          <w:p w:rsidR="003D5369" w:rsidRPr="000B3455" w:rsidRDefault="003D5369" w:rsidP="003C0F81">
            <w:pPr>
              <w:ind w:right="175"/>
              <w:jc w:val="right"/>
              <w:cnfStyle w:val="000000010000"/>
            </w:pPr>
            <w:r w:rsidRPr="000B3455">
              <w:t>11.77 %</w:t>
            </w:r>
          </w:p>
        </w:tc>
      </w:tr>
      <w:tr w:rsidR="003D5369" w:rsidRPr="000B3455" w:rsidTr="003C0F81">
        <w:trPr>
          <w:cnfStyle w:val="000000100000"/>
        </w:trPr>
        <w:tc>
          <w:tcPr>
            <w:cnfStyle w:val="001000000000"/>
            <w:tcW w:w="3794" w:type="dxa"/>
          </w:tcPr>
          <w:p w:rsidR="003D5369" w:rsidRPr="00A00F8F" w:rsidRDefault="003D5369" w:rsidP="003D5369">
            <w:pPr>
              <w:rPr>
                <w:b w:val="0"/>
              </w:rPr>
            </w:pPr>
            <w:r w:rsidRPr="00A00F8F">
              <w:rPr>
                <w:b w:val="0"/>
              </w:rPr>
              <w:t>Services</w:t>
            </w:r>
          </w:p>
        </w:tc>
        <w:tc>
          <w:tcPr>
            <w:tcW w:w="1843" w:type="dxa"/>
          </w:tcPr>
          <w:p w:rsidR="003D5369" w:rsidRPr="000B3455" w:rsidRDefault="003D5369" w:rsidP="004F693F">
            <w:pPr>
              <w:jc w:val="center"/>
              <w:cnfStyle w:val="000000100000"/>
            </w:pPr>
            <w:r w:rsidRPr="000B3455">
              <w:t>8</w:t>
            </w:r>
          </w:p>
        </w:tc>
        <w:tc>
          <w:tcPr>
            <w:tcW w:w="1842" w:type="dxa"/>
            <w:vAlign w:val="center"/>
          </w:tcPr>
          <w:p w:rsidR="003D5369" w:rsidRPr="000B3455" w:rsidRDefault="004F693F" w:rsidP="003C0F81">
            <w:pPr>
              <w:ind w:right="175"/>
              <w:jc w:val="right"/>
              <w:cnfStyle w:val="000000100000"/>
            </w:pPr>
            <w:r>
              <w:t>23.</w:t>
            </w:r>
            <w:r w:rsidR="003D5369" w:rsidRPr="000B3455">
              <w:t>53 %</w:t>
            </w:r>
          </w:p>
        </w:tc>
      </w:tr>
      <w:tr w:rsidR="003D5369" w:rsidRPr="000B3455" w:rsidTr="003C0F81">
        <w:trPr>
          <w:cnfStyle w:val="000000010000"/>
        </w:trPr>
        <w:tc>
          <w:tcPr>
            <w:cnfStyle w:val="001000000000"/>
            <w:tcW w:w="3794" w:type="dxa"/>
          </w:tcPr>
          <w:p w:rsidR="003D5369" w:rsidRPr="00A00F8F" w:rsidRDefault="003D5369" w:rsidP="003D5369">
            <w:pPr>
              <w:rPr>
                <w:b w:val="0"/>
              </w:rPr>
            </w:pPr>
            <w:r w:rsidRPr="00A00F8F">
              <w:rPr>
                <w:b w:val="0"/>
              </w:rPr>
              <w:t>Public Administration</w:t>
            </w:r>
          </w:p>
        </w:tc>
        <w:tc>
          <w:tcPr>
            <w:tcW w:w="1843" w:type="dxa"/>
          </w:tcPr>
          <w:p w:rsidR="003D5369" w:rsidRPr="000B3455" w:rsidRDefault="003D5369" w:rsidP="004F693F">
            <w:pPr>
              <w:jc w:val="center"/>
              <w:cnfStyle w:val="000000010000"/>
            </w:pPr>
            <w:r w:rsidRPr="000B3455">
              <w:t>0</w:t>
            </w:r>
          </w:p>
        </w:tc>
        <w:tc>
          <w:tcPr>
            <w:tcW w:w="1842" w:type="dxa"/>
            <w:vAlign w:val="center"/>
          </w:tcPr>
          <w:p w:rsidR="003D5369" w:rsidRPr="000B3455" w:rsidRDefault="003D5369" w:rsidP="003C0F81">
            <w:pPr>
              <w:ind w:right="175"/>
              <w:jc w:val="right"/>
              <w:cnfStyle w:val="000000010000"/>
            </w:pPr>
            <w:r w:rsidRPr="000B3455">
              <w:t>0.00 %</w:t>
            </w:r>
          </w:p>
        </w:tc>
      </w:tr>
      <w:tr w:rsidR="003D5369" w:rsidRPr="000B3455" w:rsidTr="003C0F81">
        <w:trPr>
          <w:cnfStyle w:val="000000100000"/>
        </w:trPr>
        <w:tc>
          <w:tcPr>
            <w:cnfStyle w:val="001000000000"/>
            <w:tcW w:w="3794" w:type="dxa"/>
          </w:tcPr>
          <w:p w:rsidR="003D5369" w:rsidRPr="00A00F8F" w:rsidRDefault="003D5369" w:rsidP="003D5369">
            <w:pPr>
              <w:rPr>
                <w:b w:val="0"/>
              </w:rPr>
            </w:pPr>
            <w:r w:rsidRPr="00A00F8F">
              <w:rPr>
                <w:b w:val="0"/>
              </w:rPr>
              <w:t>Nonclassifiable Establishments</w:t>
            </w:r>
          </w:p>
        </w:tc>
        <w:tc>
          <w:tcPr>
            <w:tcW w:w="1843" w:type="dxa"/>
          </w:tcPr>
          <w:p w:rsidR="003D5369" w:rsidRPr="000B3455" w:rsidRDefault="003D5369" w:rsidP="004F693F">
            <w:pPr>
              <w:jc w:val="center"/>
              <w:cnfStyle w:val="000000100000"/>
            </w:pPr>
            <w:r w:rsidRPr="000B3455">
              <w:t>0</w:t>
            </w:r>
          </w:p>
        </w:tc>
        <w:tc>
          <w:tcPr>
            <w:tcW w:w="1842" w:type="dxa"/>
            <w:vAlign w:val="center"/>
          </w:tcPr>
          <w:p w:rsidR="003D5369" w:rsidRPr="000B3455" w:rsidRDefault="003D5369" w:rsidP="003C0F81">
            <w:pPr>
              <w:ind w:right="175"/>
              <w:jc w:val="right"/>
              <w:cnfStyle w:val="000000100000"/>
            </w:pPr>
            <w:r w:rsidRPr="000B3455">
              <w:t>0.00 %</w:t>
            </w:r>
          </w:p>
        </w:tc>
      </w:tr>
      <w:tr w:rsidR="003D5369" w:rsidRPr="004F693F" w:rsidTr="003C0F81">
        <w:trPr>
          <w:cnfStyle w:val="000000010000"/>
        </w:trPr>
        <w:tc>
          <w:tcPr>
            <w:cnfStyle w:val="001000000000"/>
            <w:tcW w:w="3794" w:type="dxa"/>
          </w:tcPr>
          <w:p w:rsidR="003D5369" w:rsidRPr="004F693F" w:rsidRDefault="003D5369" w:rsidP="003D5369">
            <w:r w:rsidRPr="004F693F">
              <w:t>Total</w:t>
            </w:r>
          </w:p>
        </w:tc>
        <w:tc>
          <w:tcPr>
            <w:tcW w:w="1843" w:type="dxa"/>
          </w:tcPr>
          <w:p w:rsidR="003D5369" w:rsidRPr="004F693F" w:rsidRDefault="003D5369" w:rsidP="004F693F">
            <w:pPr>
              <w:jc w:val="center"/>
              <w:cnfStyle w:val="000000010000"/>
              <w:rPr>
                <w:b/>
              </w:rPr>
            </w:pPr>
            <w:r w:rsidRPr="004F693F">
              <w:rPr>
                <w:b/>
              </w:rPr>
              <w:t>34</w:t>
            </w:r>
          </w:p>
        </w:tc>
        <w:tc>
          <w:tcPr>
            <w:tcW w:w="1842" w:type="dxa"/>
            <w:vAlign w:val="center"/>
          </w:tcPr>
          <w:p w:rsidR="003D5369" w:rsidRPr="004F693F" w:rsidRDefault="003D5369" w:rsidP="003C0F81">
            <w:pPr>
              <w:ind w:right="175"/>
              <w:jc w:val="right"/>
              <w:cnfStyle w:val="000000010000"/>
              <w:rPr>
                <w:b/>
              </w:rPr>
            </w:pPr>
            <w:r w:rsidRPr="004F693F">
              <w:rPr>
                <w:b/>
              </w:rPr>
              <w:t>100.00 %</w:t>
            </w:r>
          </w:p>
        </w:tc>
      </w:tr>
    </w:tbl>
    <w:p w:rsidR="003D5369" w:rsidRPr="00D51742" w:rsidRDefault="00D51742" w:rsidP="00D51742">
      <w:pPr>
        <w:pStyle w:val="Caption"/>
      </w:pPr>
      <w:bookmarkStart w:id="110" w:name="_Ref298855735"/>
      <w:r w:rsidRPr="00D51742">
        <w:t xml:space="preserve">Table </w:t>
      </w:r>
      <w:fldSimple w:instr=" SEQ Table \* ARABIC ">
        <w:r w:rsidR="001D5F9A">
          <w:rPr>
            <w:noProof/>
          </w:rPr>
          <w:t>1</w:t>
        </w:r>
      </w:fldSimple>
      <w:bookmarkEnd w:id="110"/>
      <w:r w:rsidR="003D5369" w:rsidRPr="00D51742">
        <w:t xml:space="preserve">: </w:t>
      </w:r>
      <w:r w:rsidR="003D5369" w:rsidRPr="00D51742">
        <w:rPr>
          <w:color w:val="auto"/>
        </w:rPr>
        <w:t>Classification of companies</w:t>
      </w:r>
    </w:p>
    <w:p w:rsidR="003D5369" w:rsidRPr="000B3455" w:rsidRDefault="003D5369" w:rsidP="003D5369">
      <w:pPr>
        <w:autoSpaceDE w:val="0"/>
        <w:autoSpaceDN w:val="0"/>
        <w:adjustRightInd w:val="0"/>
        <w:spacing w:after="0" w:line="240" w:lineRule="auto"/>
        <w:rPr>
          <w:rFonts w:cs="Times New Roman"/>
        </w:rPr>
      </w:pPr>
    </w:p>
    <w:tbl>
      <w:tblPr>
        <w:tblW w:w="32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1424"/>
        <w:gridCol w:w="1087"/>
      </w:tblGrid>
      <w:tr w:rsidR="003D5369" w:rsidRPr="000B3455" w:rsidTr="003D5369">
        <w:trPr>
          <w:cantSplit/>
          <w:tblHeader/>
        </w:trPr>
        <w:tc>
          <w:tcPr>
            <w:tcW w:w="3236" w:type="dxa"/>
            <w:gridSpan w:val="3"/>
            <w:tcBorders>
              <w:top w:val="nil"/>
              <w:left w:val="nil"/>
              <w:bottom w:val="nil"/>
              <w:right w:val="nil"/>
            </w:tcBorders>
            <w:shd w:val="clear" w:color="auto" w:fill="FFFFFF"/>
            <w:vAlign w:val="center"/>
          </w:tcPr>
          <w:p w:rsidR="003D5369" w:rsidRPr="000B3455" w:rsidRDefault="003D5369" w:rsidP="003D5369">
            <w:pPr>
              <w:autoSpaceDE w:val="0"/>
              <w:autoSpaceDN w:val="0"/>
              <w:adjustRightInd w:val="0"/>
              <w:spacing w:after="0" w:line="320" w:lineRule="atLeast"/>
              <w:ind w:left="60" w:right="60"/>
              <w:jc w:val="center"/>
              <w:rPr>
                <w:rFonts w:cs="Arial"/>
                <w:color w:val="000000"/>
              </w:rPr>
            </w:pPr>
            <w:r w:rsidRPr="000B3455">
              <w:rPr>
                <w:rFonts w:cs="Arial"/>
                <w:b/>
                <w:bCs/>
                <w:color w:val="000000"/>
              </w:rPr>
              <w:t>Statistics</w:t>
            </w:r>
          </w:p>
        </w:tc>
      </w:tr>
      <w:tr w:rsidR="003D5369" w:rsidRPr="000B3455" w:rsidTr="003D5369">
        <w:trPr>
          <w:cantSplit/>
          <w:tblHeader/>
        </w:trPr>
        <w:tc>
          <w:tcPr>
            <w:tcW w:w="3236" w:type="dxa"/>
            <w:gridSpan w:val="3"/>
            <w:tcBorders>
              <w:top w:val="nil"/>
              <w:left w:val="nil"/>
              <w:bottom w:val="single" w:sz="16" w:space="0" w:color="000000"/>
              <w:right w:val="nil"/>
            </w:tcBorders>
            <w:shd w:val="clear" w:color="auto" w:fill="FFFFFF"/>
            <w:vAlign w:val="bottom"/>
          </w:tcPr>
          <w:p w:rsidR="003D5369" w:rsidRPr="000B3455" w:rsidRDefault="003D5369" w:rsidP="003D5369">
            <w:pPr>
              <w:autoSpaceDE w:val="0"/>
              <w:autoSpaceDN w:val="0"/>
              <w:adjustRightInd w:val="0"/>
              <w:spacing w:after="0" w:line="320" w:lineRule="atLeast"/>
              <w:ind w:left="60" w:right="60"/>
              <w:rPr>
                <w:rFonts w:cs="Arial"/>
                <w:color w:val="000000"/>
              </w:rPr>
            </w:pPr>
            <w:r w:rsidRPr="000B3455">
              <w:rPr>
                <w:rFonts w:cs="Arial"/>
                <w:color w:val="000000"/>
              </w:rPr>
              <w:t>PR_FV_STO_EXCL_MCL_COM</w:t>
            </w:r>
          </w:p>
        </w:tc>
      </w:tr>
      <w:tr w:rsidR="003D5369" w:rsidRPr="000B3455" w:rsidTr="003D5369">
        <w:trPr>
          <w:cantSplit/>
          <w:tblHeader/>
        </w:trPr>
        <w:tc>
          <w:tcPr>
            <w:tcW w:w="727" w:type="dxa"/>
            <w:vMerge w:val="restart"/>
            <w:tcBorders>
              <w:top w:val="single" w:sz="16" w:space="0" w:color="000000"/>
              <w:left w:val="single" w:sz="16" w:space="0" w:color="000000"/>
              <w:bottom w:val="nil"/>
              <w:right w:val="nil"/>
            </w:tcBorders>
            <w:shd w:val="clear" w:color="auto" w:fill="FFFFFF"/>
          </w:tcPr>
          <w:p w:rsidR="003D5369" w:rsidRPr="000B3455" w:rsidRDefault="003D5369" w:rsidP="003D5369">
            <w:pPr>
              <w:autoSpaceDE w:val="0"/>
              <w:autoSpaceDN w:val="0"/>
              <w:adjustRightInd w:val="0"/>
              <w:spacing w:after="0" w:line="320" w:lineRule="atLeast"/>
              <w:ind w:left="60" w:right="60"/>
              <w:rPr>
                <w:rFonts w:cs="Arial"/>
                <w:color w:val="000000"/>
              </w:rPr>
            </w:pPr>
            <w:r w:rsidRPr="000B3455">
              <w:rPr>
                <w:rFonts w:cs="Arial"/>
                <w:color w:val="000000"/>
              </w:rPr>
              <w:t>N</w:t>
            </w:r>
          </w:p>
        </w:tc>
        <w:tc>
          <w:tcPr>
            <w:tcW w:w="1423" w:type="dxa"/>
            <w:tcBorders>
              <w:top w:val="single" w:sz="16" w:space="0" w:color="000000"/>
              <w:left w:val="nil"/>
              <w:bottom w:val="nil"/>
              <w:right w:val="single" w:sz="16" w:space="0" w:color="000000"/>
            </w:tcBorders>
            <w:shd w:val="clear" w:color="auto" w:fill="FFFFFF"/>
          </w:tcPr>
          <w:p w:rsidR="003D5369" w:rsidRPr="000B3455" w:rsidRDefault="003D5369" w:rsidP="003D5369">
            <w:pPr>
              <w:autoSpaceDE w:val="0"/>
              <w:autoSpaceDN w:val="0"/>
              <w:adjustRightInd w:val="0"/>
              <w:spacing w:after="0" w:line="320" w:lineRule="atLeast"/>
              <w:ind w:left="60" w:right="60"/>
              <w:rPr>
                <w:rFonts w:cs="Arial"/>
                <w:color w:val="000000"/>
              </w:rPr>
            </w:pPr>
            <w:r w:rsidRPr="000B3455">
              <w:rPr>
                <w:rFonts w:cs="Arial"/>
                <w:color w:val="000000"/>
              </w:rPr>
              <w:t>Valid</w:t>
            </w:r>
          </w:p>
        </w:tc>
        <w:tc>
          <w:tcPr>
            <w:tcW w:w="1086" w:type="dxa"/>
            <w:tcBorders>
              <w:top w:val="single" w:sz="16" w:space="0" w:color="000000"/>
              <w:left w:val="single" w:sz="16" w:space="0" w:color="000000"/>
              <w:bottom w:val="nil"/>
              <w:right w:val="single" w:sz="16" w:space="0" w:color="000000"/>
            </w:tcBorders>
            <w:shd w:val="clear" w:color="auto" w:fill="FFFFFF"/>
          </w:tcPr>
          <w:p w:rsidR="003D5369" w:rsidRPr="000B3455" w:rsidRDefault="003D5369" w:rsidP="003D5369">
            <w:pPr>
              <w:autoSpaceDE w:val="0"/>
              <w:autoSpaceDN w:val="0"/>
              <w:adjustRightInd w:val="0"/>
              <w:spacing w:after="0" w:line="320" w:lineRule="atLeast"/>
              <w:ind w:left="60" w:right="60"/>
              <w:jc w:val="right"/>
              <w:rPr>
                <w:rFonts w:cs="Arial"/>
                <w:color w:val="000000"/>
              </w:rPr>
            </w:pPr>
            <w:r w:rsidRPr="000B3455">
              <w:rPr>
                <w:rFonts w:cs="Arial"/>
                <w:color w:val="000000"/>
              </w:rPr>
              <w:t>204</w:t>
            </w:r>
          </w:p>
        </w:tc>
      </w:tr>
      <w:tr w:rsidR="003D5369" w:rsidRPr="000B3455" w:rsidTr="003D5369">
        <w:trPr>
          <w:cantSplit/>
          <w:tblHeader/>
        </w:trPr>
        <w:tc>
          <w:tcPr>
            <w:tcW w:w="727" w:type="dxa"/>
            <w:vMerge/>
            <w:tcBorders>
              <w:top w:val="single" w:sz="16" w:space="0" w:color="000000"/>
              <w:left w:val="single" w:sz="16" w:space="0" w:color="000000"/>
              <w:bottom w:val="nil"/>
              <w:right w:val="nil"/>
            </w:tcBorders>
            <w:shd w:val="clear" w:color="auto" w:fill="FFFFFF"/>
          </w:tcPr>
          <w:p w:rsidR="003D5369" w:rsidRPr="000B3455" w:rsidRDefault="003D5369" w:rsidP="003D5369">
            <w:pPr>
              <w:autoSpaceDE w:val="0"/>
              <w:autoSpaceDN w:val="0"/>
              <w:adjustRightInd w:val="0"/>
              <w:spacing w:after="0" w:line="240" w:lineRule="auto"/>
              <w:rPr>
                <w:rFonts w:cs="Arial"/>
                <w:color w:val="000000"/>
              </w:rPr>
            </w:pPr>
          </w:p>
        </w:tc>
        <w:tc>
          <w:tcPr>
            <w:tcW w:w="1423" w:type="dxa"/>
            <w:tcBorders>
              <w:top w:val="nil"/>
              <w:left w:val="nil"/>
              <w:bottom w:val="nil"/>
              <w:right w:val="single" w:sz="16" w:space="0" w:color="000000"/>
            </w:tcBorders>
            <w:shd w:val="clear" w:color="auto" w:fill="FFFFFF"/>
          </w:tcPr>
          <w:p w:rsidR="003D5369" w:rsidRPr="000B3455" w:rsidRDefault="003D5369" w:rsidP="003D5369">
            <w:pPr>
              <w:autoSpaceDE w:val="0"/>
              <w:autoSpaceDN w:val="0"/>
              <w:adjustRightInd w:val="0"/>
              <w:spacing w:after="0" w:line="320" w:lineRule="atLeast"/>
              <w:ind w:left="60" w:right="60"/>
              <w:rPr>
                <w:rFonts w:cs="Arial"/>
                <w:color w:val="000000"/>
              </w:rPr>
            </w:pPr>
            <w:r w:rsidRPr="000B3455">
              <w:rPr>
                <w:rFonts w:cs="Arial"/>
                <w:color w:val="000000"/>
              </w:rPr>
              <w:t>Missing</w:t>
            </w:r>
          </w:p>
        </w:tc>
        <w:tc>
          <w:tcPr>
            <w:tcW w:w="1086" w:type="dxa"/>
            <w:tcBorders>
              <w:top w:val="nil"/>
              <w:left w:val="single" w:sz="16" w:space="0" w:color="000000"/>
              <w:bottom w:val="nil"/>
              <w:right w:val="single" w:sz="16" w:space="0" w:color="000000"/>
            </w:tcBorders>
            <w:shd w:val="clear" w:color="auto" w:fill="FFFFFF"/>
          </w:tcPr>
          <w:p w:rsidR="003D5369" w:rsidRPr="000B3455" w:rsidRDefault="003D5369" w:rsidP="003D5369">
            <w:pPr>
              <w:autoSpaceDE w:val="0"/>
              <w:autoSpaceDN w:val="0"/>
              <w:adjustRightInd w:val="0"/>
              <w:spacing w:after="0" w:line="320" w:lineRule="atLeast"/>
              <w:ind w:left="60" w:right="60"/>
              <w:jc w:val="right"/>
              <w:rPr>
                <w:rFonts w:cs="Arial"/>
                <w:color w:val="000000"/>
              </w:rPr>
            </w:pPr>
            <w:r w:rsidRPr="000B3455">
              <w:rPr>
                <w:rFonts w:cs="Arial"/>
                <w:color w:val="000000"/>
              </w:rPr>
              <w:t>0</w:t>
            </w:r>
          </w:p>
        </w:tc>
      </w:tr>
      <w:tr w:rsidR="003D5369" w:rsidRPr="000B3455" w:rsidTr="003D5369">
        <w:trPr>
          <w:cantSplit/>
          <w:tblHeader/>
        </w:trPr>
        <w:tc>
          <w:tcPr>
            <w:tcW w:w="2150" w:type="dxa"/>
            <w:gridSpan w:val="2"/>
            <w:tcBorders>
              <w:top w:val="nil"/>
              <w:left w:val="single" w:sz="16" w:space="0" w:color="000000"/>
              <w:bottom w:val="nil"/>
              <w:right w:val="single" w:sz="16" w:space="0" w:color="000000"/>
            </w:tcBorders>
            <w:shd w:val="clear" w:color="auto" w:fill="FFFFFF"/>
          </w:tcPr>
          <w:p w:rsidR="003D5369" w:rsidRPr="000B3455" w:rsidRDefault="003D5369" w:rsidP="003D5369">
            <w:pPr>
              <w:autoSpaceDE w:val="0"/>
              <w:autoSpaceDN w:val="0"/>
              <w:adjustRightInd w:val="0"/>
              <w:spacing w:after="0" w:line="320" w:lineRule="atLeast"/>
              <w:ind w:left="60" w:right="60"/>
              <w:rPr>
                <w:rFonts w:cs="Arial"/>
                <w:color w:val="000000"/>
              </w:rPr>
            </w:pPr>
            <w:r w:rsidRPr="000B3455">
              <w:rPr>
                <w:rFonts w:cs="Arial"/>
                <w:color w:val="000000"/>
              </w:rPr>
              <w:t>Mean</w:t>
            </w:r>
          </w:p>
        </w:tc>
        <w:tc>
          <w:tcPr>
            <w:tcW w:w="1086" w:type="dxa"/>
            <w:tcBorders>
              <w:top w:val="nil"/>
              <w:left w:val="single" w:sz="16" w:space="0" w:color="000000"/>
              <w:bottom w:val="nil"/>
              <w:right w:val="single" w:sz="16" w:space="0" w:color="000000"/>
            </w:tcBorders>
            <w:shd w:val="clear" w:color="auto" w:fill="FFFFFF"/>
          </w:tcPr>
          <w:p w:rsidR="003D5369" w:rsidRPr="000B3455" w:rsidRDefault="003D5369" w:rsidP="003D5369">
            <w:pPr>
              <w:autoSpaceDE w:val="0"/>
              <w:autoSpaceDN w:val="0"/>
              <w:adjustRightInd w:val="0"/>
              <w:spacing w:after="0" w:line="320" w:lineRule="atLeast"/>
              <w:ind w:left="60" w:right="60"/>
              <w:jc w:val="right"/>
              <w:rPr>
                <w:rFonts w:cs="Arial"/>
                <w:color w:val="000000"/>
              </w:rPr>
            </w:pPr>
            <w:r w:rsidRPr="000B3455">
              <w:rPr>
                <w:rFonts w:cs="Arial"/>
                <w:color w:val="000000"/>
              </w:rPr>
              <w:t>,139284</w:t>
            </w:r>
          </w:p>
        </w:tc>
      </w:tr>
      <w:tr w:rsidR="003D5369" w:rsidRPr="000B3455" w:rsidTr="003D5369">
        <w:trPr>
          <w:cantSplit/>
          <w:tblHeader/>
        </w:trPr>
        <w:tc>
          <w:tcPr>
            <w:tcW w:w="2150" w:type="dxa"/>
            <w:gridSpan w:val="2"/>
            <w:tcBorders>
              <w:top w:val="nil"/>
              <w:left w:val="single" w:sz="16" w:space="0" w:color="000000"/>
              <w:bottom w:val="nil"/>
              <w:right w:val="single" w:sz="16" w:space="0" w:color="000000"/>
            </w:tcBorders>
            <w:shd w:val="clear" w:color="auto" w:fill="FFFFFF"/>
          </w:tcPr>
          <w:p w:rsidR="003D5369" w:rsidRPr="000B3455" w:rsidRDefault="003D5369" w:rsidP="003D5369">
            <w:pPr>
              <w:autoSpaceDE w:val="0"/>
              <w:autoSpaceDN w:val="0"/>
              <w:adjustRightInd w:val="0"/>
              <w:spacing w:after="0" w:line="320" w:lineRule="atLeast"/>
              <w:ind w:left="60" w:right="60"/>
              <w:rPr>
                <w:rFonts w:cs="Arial"/>
                <w:color w:val="000000"/>
              </w:rPr>
            </w:pPr>
            <w:r w:rsidRPr="000B3455">
              <w:rPr>
                <w:rFonts w:cs="Arial"/>
                <w:color w:val="000000"/>
              </w:rPr>
              <w:t>Std. Deviation</w:t>
            </w:r>
          </w:p>
        </w:tc>
        <w:tc>
          <w:tcPr>
            <w:tcW w:w="1086" w:type="dxa"/>
            <w:tcBorders>
              <w:top w:val="nil"/>
              <w:left w:val="single" w:sz="16" w:space="0" w:color="000000"/>
              <w:bottom w:val="nil"/>
              <w:right w:val="single" w:sz="16" w:space="0" w:color="000000"/>
            </w:tcBorders>
            <w:shd w:val="clear" w:color="auto" w:fill="FFFFFF"/>
          </w:tcPr>
          <w:p w:rsidR="003D5369" w:rsidRPr="000B3455" w:rsidRDefault="003D5369" w:rsidP="003D5369">
            <w:pPr>
              <w:autoSpaceDE w:val="0"/>
              <w:autoSpaceDN w:val="0"/>
              <w:adjustRightInd w:val="0"/>
              <w:spacing w:after="0" w:line="320" w:lineRule="atLeast"/>
              <w:ind w:left="60" w:right="60"/>
              <w:jc w:val="right"/>
              <w:rPr>
                <w:rFonts w:cs="Arial"/>
                <w:color w:val="000000"/>
              </w:rPr>
            </w:pPr>
            <w:r w:rsidRPr="000B3455">
              <w:rPr>
                <w:rFonts w:cs="Arial"/>
                <w:color w:val="000000"/>
              </w:rPr>
              <w:t>,1571665</w:t>
            </w:r>
          </w:p>
        </w:tc>
      </w:tr>
      <w:tr w:rsidR="003D5369" w:rsidRPr="000B3455" w:rsidTr="003D5369">
        <w:trPr>
          <w:cantSplit/>
          <w:tblHeader/>
        </w:trPr>
        <w:tc>
          <w:tcPr>
            <w:tcW w:w="2150" w:type="dxa"/>
            <w:gridSpan w:val="2"/>
            <w:tcBorders>
              <w:top w:val="nil"/>
              <w:left w:val="single" w:sz="16" w:space="0" w:color="000000"/>
              <w:bottom w:val="nil"/>
              <w:right w:val="single" w:sz="16" w:space="0" w:color="000000"/>
            </w:tcBorders>
            <w:shd w:val="clear" w:color="auto" w:fill="FFFFFF"/>
          </w:tcPr>
          <w:p w:rsidR="003D5369" w:rsidRPr="000B3455" w:rsidRDefault="003D5369" w:rsidP="003D5369">
            <w:pPr>
              <w:autoSpaceDE w:val="0"/>
              <w:autoSpaceDN w:val="0"/>
              <w:adjustRightInd w:val="0"/>
              <w:spacing w:after="0" w:line="320" w:lineRule="atLeast"/>
              <w:ind w:left="60" w:right="60"/>
              <w:rPr>
                <w:rFonts w:cs="Arial"/>
                <w:color w:val="000000"/>
              </w:rPr>
            </w:pPr>
            <w:r w:rsidRPr="000B3455">
              <w:rPr>
                <w:rFonts w:cs="Arial"/>
                <w:color w:val="000000"/>
              </w:rPr>
              <w:t>Minimum</w:t>
            </w:r>
          </w:p>
        </w:tc>
        <w:tc>
          <w:tcPr>
            <w:tcW w:w="1086" w:type="dxa"/>
            <w:tcBorders>
              <w:top w:val="nil"/>
              <w:left w:val="single" w:sz="16" w:space="0" w:color="000000"/>
              <w:bottom w:val="nil"/>
              <w:right w:val="single" w:sz="16" w:space="0" w:color="000000"/>
            </w:tcBorders>
            <w:shd w:val="clear" w:color="auto" w:fill="FFFFFF"/>
          </w:tcPr>
          <w:p w:rsidR="003D5369" w:rsidRPr="000B3455" w:rsidRDefault="003D5369" w:rsidP="003D5369">
            <w:pPr>
              <w:autoSpaceDE w:val="0"/>
              <w:autoSpaceDN w:val="0"/>
              <w:adjustRightInd w:val="0"/>
              <w:spacing w:after="0" w:line="320" w:lineRule="atLeast"/>
              <w:ind w:left="60" w:right="60"/>
              <w:jc w:val="right"/>
              <w:rPr>
                <w:rFonts w:cs="Arial"/>
                <w:color w:val="000000"/>
              </w:rPr>
            </w:pPr>
            <w:r w:rsidRPr="000B3455">
              <w:rPr>
                <w:rFonts w:cs="Arial"/>
                <w:color w:val="000000"/>
              </w:rPr>
              <w:t>,0000</w:t>
            </w:r>
          </w:p>
        </w:tc>
      </w:tr>
      <w:tr w:rsidR="003D5369" w:rsidRPr="000B3455" w:rsidTr="003D5369">
        <w:trPr>
          <w:cantSplit/>
        </w:trPr>
        <w:tc>
          <w:tcPr>
            <w:tcW w:w="2150" w:type="dxa"/>
            <w:gridSpan w:val="2"/>
            <w:tcBorders>
              <w:top w:val="nil"/>
              <w:left w:val="single" w:sz="16" w:space="0" w:color="000000"/>
              <w:bottom w:val="single" w:sz="16" w:space="0" w:color="000000"/>
              <w:right w:val="single" w:sz="16" w:space="0" w:color="000000"/>
            </w:tcBorders>
            <w:shd w:val="clear" w:color="auto" w:fill="FFFFFF"/>
          </w:tcPr>
          <w:p w:rsidR="003D5369" w:rsidRPr="000B3455" w:rsidRDefault="003D5369" w:rsidP="003D5369">
            <w:pPr>
              <w:autoSpaceDE w:val="0"/>
              <w:autoSpaceDN w:val="0"/>
              <w:adjustRightInd w:val="0"/>
              <w:spacing w:after="0" w:line="320" w:lineRule="atLeast"/>
              <w:ind w:left="60" w:right="60"/>
              <w:rPr>
                <w:rFonts w:cs="Arial"/>
                <w:color w:val="000000"/>
              </w:rPr>
            </w:pPr>
            <w:r w:rsidRPr="000B3455">
              <w:rPr>
                <w:rFonts w:cs="Arial"/>
                <w:color w:val="000000"/>
              </w:rPr>
              <w:t>Maximum</w:t>
            </w:r>
          </w:p>
        </w:tc>
        <w:tc>
          <w:tcPr>
            <w:tcW w:w="1086" w:type="dxa"/>
            <w:tcBorders>
              <w:top w:val="nil"/>
              <w:left w:val="single" w:sz="16" w:space="0" w:color="000000"/>
              <w:bottom w:val="single" w:sz="16" w:space="0" w:color="000000"/>
              <w:right w:val="single" w:sz="16" w:space="0" w:color="000000"/>
            </w:tcBorders>
            <w:shd w:val="clear" w:color="auto" w:fill="FFFFFF"/>
          </w:tcPr>
          <w:p w:rsidR="003D5369" w:rsidRPr="000B3455" w:rsidRDefault="003D5369" w:rsidP="003D5369">
            <w:pPr>
              <w:autoSpaceDE w:val="0"/>
              <w:autoSpaceDN w:val="0"/>
              <w:adjustRightInd w:val="0"/>
              <w:spacing w:after="0" w:line="320" w:lineRule="atLeast"/>
              <w:ind w:left="60" w:right="60"/>
              <w:jc w:val="right"/>
              <w:rPr>
                <w:rFonts w:cs="Arial"/>
                <w:color w:val="000000"/>
              </w:rPr>
            </w:pPr>
            <w:r w:rsidRPr="000B3455">
              <w:rPr>
                <w:rFonts w:cs="Arial"/>
                <w:color w:val="000000"/>
              </w:rPr>
              <w:t>,6743</w:t>
            </w:r>
          </w:p>
        </w:tc>
      </w:tr>
    </w:tbl>
    <w:p w:rsidR="003D5369" w:rsidRPr="00D51742" w:rsidRDefault="00D51742" w:rsidP="00D51742">
      <w:pPr>
        <w:pStyle w:val="Caption"/>
        <w:rPr>
          <w:rFonts w:cstheme="minorHAnsi"/>
        </w:rPr>
      </w:pPr>
      <w:bookmarkStart w:id="111" w:name="_Ref298855775"/>
      <w:bookmarkStart w:id="112" w:name="_Ref298855842"/>
      <w:r w:rsidRPr="00D51742">
        <w:t xml:space="preserve">Table </w:t>
      </w:r>
      <w:fldSimple w:instr=" SEQ Table \* ARABIC ">
        <w:r w:rsidR="001D5F9A">
          <w:rPr>
            <w:noProof/>
          </w:rPr>
          <w:t>2</w:t>
        </w:r>
      </w:fldSimple>
      <w:bookmarkEnd w:id="111"/>
      <w:r w:rsidR="003D5369" w:rsidRPr="00D51742">
        <w:rPr>
          <w:rFonts w:cstheme="minorHAnsi"/>
        </w:rPr>
        <w:t xml:space="preserve">: </w:t>
      </w:r>
      <w:r w:rsidR="003D5369" w:rsidRPr="00D51742">
        <w:rPr>
          <w:rFonts w:cstheme="minorHAnsi"/>
          <w:color w:val="auto"/>
        </w:rPr>
        <w:t>SPSS output on descriptive statistics</w:t>
      </w:r>
      <w:bookmarkEnd w:id="112"/>
    </w:p>
    <w:p w:rsidR="003D5369" w:rsidRPr="000B3455" w:rsidRDefault="003D5369" w:rsidP="003D5369">
      <w:pPr>
        <w:autoSpaceDE w:val="0"/>
        <w:autoSpaceDN w:val="0"/>
        <w:adjustRightInd w:val="0"/>
        <w:spacing w:after="0" w:line="240" w:lineRule="auto"/>
        <w:rPr>
          <w:rFonts w:cstheme="minorHAnsi"/>
        </w:rPr>
      </w:pPr>
      <w:r w:rsidRPr="000B3455">
        <w:rPr>
          <w:rFonts w:cstheme="minorHAnsi"/>
          <w:noProof/>
          <w:lang w:val="nl-NL" w:eastAsia="nl-NL" w:bidi="ar-SA"/>
        </w:rPr>
        <w:lastRenderedPageBreak/>
        <w:drawing>
          <wp:inline distT="0" distB="0" distL="0" distR="0">
            <wp:extent cx="5730875" cy="4592955"/>
            <wp:effectExtent l="19050" t="0" r="3175"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5730875" cy="4592955"/>
                    </a:xfrm>
                    <a:prstGeom prst="rect">
                      <a:avLst/>
                    </a:prstGeom>
                    <a:noFill/>
                    <a:ln w="9525">
                      <a:noFill/>
                      <a:miter lim="800000"/>
                      <a:headEnd/>
                      <a:tailEnd/>
                    </a:ln>
                  </pic:spPr>
                </pic:pic>
              </a:graphicData>
            </a:graphic>
          </wp:inline>
        </w:drawing>
      </w:r>
    </w:p>
    <w:p w:rsidR="003D5369" w:rsidRPr="00D51742" w:rsidRDefault="00D51742" w:rsidP="00D51742">
      <w:pPr>
        <w:pStyle w:val="Caption"/>
        <w:rPr>
          <w:rFonts w:cstheme="minorHAnsi"/>
        </w:rPr>
      </w:pPr>
      <w:bookmarkStart w:id="113" w:name="_Ref298855789"/>
      <w:r>
        <w:t xml:space="preserve">Figure </w:t>
      </w:r>
      <w:fldSimple w:instr=" SEQ Figure \* ARABIC ">
        <w:r w:rsidR="001D5F9A">
          <w:rPr>
            <w:noProof/>
          </w:rPr>
          <w:t>1</w:t>
        </w:r>
      </w:fldSimple>
      <w:bookmarkEnd w:id="113"/>
      <w:r w:rsidR="003D5369" w:rsidRPr="00D51742">
        <w:rPr>
          <w:rFonts w:cstheme="minorHAnsi"/>
        </w:rPr>
        <w:t xml:space="preserve">: </w:t>
      </w:r>
      <w:r w:rsidR="003D5369" w:rsidRPr="00D51742">
        <w:rPr>
          <w:rFonts w:cstheme="minorHAnsi"/>
          <w:color w:val="auto"/>
        </w:rPr>
        <w:t>SPSS histogram of distribution of the proportion of stock options</w:t>
      </w:r>
    </w:p>
    <w:p w:rsidR="003D5369" w:rsidRPr="000B3455" w:rsidRDefault="003D5369" w:rsidP="003D5369">
      <w:pPr>
        <w:autoSpaceDE w:val="0"/>
        <w:autoSpaceDN w:val="0"/>
        <w:adjustRightInd w:val="0"/>
        <w:spacing w:after="0" w:line="400" w:lineRule="atLeast"/>
        <w:rPr>
          <w:rFonts w:cstheme="minorHAnsi"/>
        </w:rPr>
      </w:pPr>
    </w:p>
    <w:p w:rsidR="003D5369" w:rsidRPr="000B3455" w:rsidRDefault="003D5369" w:rsidP="003D5369">
      <w:pPr>
        <w:rPr>
          <w:rFonts w:cstheme="minorHAnsi"/>
          <w:noProof/>
        </w:rPr>
      </w:pPr>
      <w:r w:rsidRPr="000B3455">
        <w:rPr>
          <w:rFonts w:cstheme="minorHAnsi"/>
          <w:noProof/>
          <w:lang w:val="nl-NL" w:eastAsia="nl-NL" w:bidi="ar-SA"/>
        </w:rPr>
        <w:drawing>
          <wp:inline distT="0" distB="0" distL="0" distR="0">
            <wp:extent cx="4574667" cy="2747899"/>
            <wp:effectExtent l="19050" t="0" r="16383" b="0"/>
            <wp:docPr id="5" name="Chart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3D5369" w:rsidRPr="00D51742" w:rsidRDefault="00D51742" w:rsidP="00D51742">
      <w:pPr>
        <w:pStyle w:val="Caption"/>
        <w:rPr>
          <w:rFonts w:cstheme="minorHAnsi"/>
          <w:noProof/>
        </w:rPr>
      </w:pPr>
      <w:bookmarkStart w:id="114" w:name="_Ref298855828"/>
      <w:r>
        <w:t xml:space="preserve">Figure </w:t>
      </w:r>
      <w:fldSimple w:instr=" SEQ Figure \* ARABIC ">
        <w:r w:rsidR="001D5F9A">
          <w:rPr>
            <w:noProof/>
          </w:rPr>
          <w:t>2</w:t>
        </w:r>
      </w:fldSimple>
      <w:bookmarkEnd w:id="114"/>
      <w:r w:rsidR="003D5369" w:rsidRPr="00D51742">
        <w:rPr>
          <w:rFonts w:cstheme="minorHAnsi"/>
          <w:noProof/>
        </w:rPr>
        <w:t xml:space="preserve">: </w:t>
      </w:r>
      <w:r w:rsidR="00867EB2" w:rsidRPr="00D51742">
        <w:rPr>
          <w:rFonts w:cstheme="minorHAnsi"/>
          <w:noProof/>
          <w:color w:val="auto"/>
        </w:rPr>
        <w:t>Trend of proportion of granted stock options to total compensation</w:t>
      </w:r>
      <w:r w:rsidR="003D5369" w:rsidRPr="00D51742">
        <w:br w:type="page"/>
      </w:r>
    </w:p>
    <w:p w:rsidR="003D5369" w:rsidRDefault="003D5369" w:rsidP="00ED7148">
      <w:pPr>
        <w:pStyle w:val="AppendicesThesis"/>
      </w:pPr>
      <w:bookmarkStart w:id="115" w:name="VI"/>
      <w:bookmarkStart w:id="116" w:name="_Toc298944614"/>
      <w:r w:rsidRPr="000B3455">
        <w:lastRenderedPageBreak/>
        <w:t>Appendix V</w:t>
      </w:r>
      <w:r w:rsidR="00C97617" w:rsidRPr="000B3455">
        <w:t>I</w:t>
      </w:r>
      <w:bookmarkEnd w:id="115"/>
      <w:r w:rsidRPr="000B3455">
        <w:t xml:space="preserve">: Statistical </w:t>
      </w:r>
      <w:r w:rsidR="00E64A6D">
        <w:t>f</w:t>
      </w:r>
      <w:r w:rsidR="00E64A6D" w:rsidRPr="000B3455">
        <w:t xml:space="preserve">indings </w:t>
      </w:r>
      <w:r w:rsidRPr="000B3455">
        <w:t xml:space="preserve">on </w:t>
      </w:r>
      <w:r w:rsidR="00E64A6D">
        <w:t>h</w:t>
      </w:r>
      <w:r w:rsidR="00E64A6D" w:rsidRPr="000B3455">
        <w:t xml:space="preserve">ypothesis </w:t>
      </w:r>
      <w:r w:rsidRPr="000B3455">
        <w:t>1</w:t>
      </w:r>
      <w:bookmarkEnd w:id="116"/>
    </w:p>
    <w:p w:rsidR="009A734A" w:rsidRPr="000B3455" w:rsidRDefault="009A734A" w:rsidP="001D5F43">
      <w:pPr>
        <w:rPr>
          <w:b/>
        </w:rPr>
      </w:pPr>
    </w:p>
    <w:tbl>
      <w:tblPr>
        <w:tblW w:w="838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513"/>
        <w:gridCol w:w="873"/>
      </w:tblGrid>
      <w:tr w:rsidR="003D5369" w:rsidRPr="000B3455" w:rsidTr="009A734A">
        <w:trPr>
          <w:cantSplit/>
          <w:tblHeader/>
        </w:trPr>
        <w:tc>
          <w:tcPr>
            <w:tcW w:w="8386" w:type="dxa"/>
            <w:gridSpan w:val="2"/>
            <w:tcBorders>
              <w:top w:val="nil"/>
              <w:left w:val="nil"/>
              <w:bottom w:val="nil"/>
              <w:right w:val="nil"/>
            </w:tcBorders>
            <w:shd w:val="clear" w:color="auto" w:fill="FFFFFF"/>
            <w:vAlign w:val="center"/>
          </w:tcPr>
          <w:p w:rsidR="003D5369" w:rsidRDefault="003D5369" w:rsidP="003D5369">
            <w:pPr>
              <w:autoSpaceDE w:val="0"/>
              <w:autoSpaceDN w:val="0"/>
              <w:adjustRightInd w:val="0"/>
              <w:spacing w:after="0" w:line="320" w:lineRule="atLeast"/>
              <w:ind w:left="60" w:right="60"/>
              <w:jc w:val="center"/>
              <w:rPr>
                <w:rFonts w:cs="Arial"/>
                <w:b/>
                <w:bCs/>
                <w:color w:val="000000"/>
              </w:rPr>
            </w:pPr>
            <w:r w:rsidRPr="000B3455">
              <w:rPr>
                <w:rFonts w:cs="Arial"/>
                <w:b/>
                <w:bCs/>
                <w:color w:val="000000"/>
              </w:rPr>
              <w:t>Model Summary</w:t>
            </w:r>
          </w:p>
          <w:tbl>
            <w:tblPr>
              <w:tblStyle w:val="TableGrid"/>
              <w:tblW w:w="7421" w:type="dxa"/>
              <w:tblInd w:w="60"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tblPr>
            <w:tblGrid>
              <w:gridCol w:w="1155"/>
              <w:gridCol w:w="1155"/>
              <w:gridCol w:w="1155"/>
              <w:gridCol w:w="1705"/>
              <w:gridCol w:w="2251"/>
            </w:tblGrid>
            <w:tr w:rsidR="003E625F" w:rsidTr="009A734A">
              <w:tc>
                <w:tcPr>
                  <w:tcW w:w="1155" w:type="dxa"/>
                  <w:tcBorders>
                    <w:top w:val="single" w:sz="12" w:space="0" w:color="000000" w:themeColor="text1"/>
                    <w:bottom w:val="single" w:sz="12" w:space="0" w:color="000000" w:themeColor="text1"/>
                    <w:right w:val="single" w:sz="12" w:space="0" w:color="000000" w:themeColor="text1"/>
                  </w:tcBorders>
                  <w:vAlign w:val="bottom"/>
                </w:tcPr>
                <w:p w:rsidR="003E625F" w:rsidRDefault="003E625F" w:rsidP="003E625F">
                  <w:pPr>
                    <w:autoSpaceDE w:val="0"/>
                    <w:autoSpaceDN w:val="0"/>
                    <w:adjustRightInd w:val="0"/>
                    <w:spacing w:line="320" w:lineRule="atLeast"/>
                    <w:ind w:right="60"/>
                    <w:jc w:val="center"/>
                    <w:rPr>
                      <w:rFonts w:cs="Arial"/>
                      <w:color w:val="000000"/>
                    </w:rPr>
                  </w:pPr>
                  <w:r>
                    <w:rPr>
                      <w:rFonts w:cs="Arial"/>
                      <w:color w:val="000000"/>
                    </w:rPr>
                    <w:t>Model</w:t>
                  </w:r>
                </w:p>
              </w:tc>
              <w:tc>
                <w:tcPr>
                  <w:tcW w:w="1155" w:type="dxa"/>
                  <w:tcBorders>
                    <w:top w:val="single" w:sz="12" w:space="0" w:color="000000" w:themeColor="text1"/>
                    <w:left w:val="single" w:sz="12" w:space="0" w:color="000000" w:themeColor="text1"/>
                    <w:bottom w:val="single" w:sz="12" w:space="0" w:color="000000" w:themeColor="text1"/>
                    <w:right w:val="single" w:sz="8" w:space="0" w:color="000000" w:themeColor="text1"/>
                  </w:tcBorders>
                  <w:vAlign w:val="bottom"/>
                </w:tcPr>
                <w:p w:rsidR="003E625F" w:rsidRDefault="003E625F" w:rsidP="003E625F">
                  <w:pPr>
                    <w:autoSpaceDE w:val="0"/>
                    <w:autoSpaceDN w:val="0"/>
                    <w:adjustRightInd w:val="0"/>
                    <w:spacing w:line="320" w:lineRule="atLeast"/>
                    <w:ind w:right="60"/>
                    <w:jc w:val="center"/>
                    <w:rPr>
                      <w:rFonts w:cs="Arial"/>
                      <w:color w:val="000000"/>
                    </w:rPr>
                  </w:pPr>
                  <w:r>
                    <w:rPr>
                      <w:rFonts w:cs="Arial"/>
                      <w:color w:val="000000"/>
                    </w:rPr>
                    <w:t>R</w:t>
                  </w:r>
                </w:p>
              </w:tc>
              <w:tc>
                <w:tcPr>
                  <w:tcW w:w="1155" w:type="dxa"/>
                  <w:tcBorders>
                    <w:top w:val="single" w:sz="12" w:space="0" w:color="000000" w:themeColor="text1"/>
                    <w:left w:val="single" w:sz="8" w:space="0" w:color="000000" w:themeColor="text1"/>
                    <w:bottom w:val="single" w:sz="12" w:space="0" w:color="000000" w:themeColor="text1"/>
                    <w:right w:val="single" w:sz="8" w:space="0" w:color="000000" w:themeColor="text1"/>
                  </w:tcBorders>
                  <w:vAlign w:val="bottom"/>
                </w:tcPr>
                <w:p w:rsidR="003E625F" w:rsidRDefault="003E625F" w:rsidP="003E625F">
                  <w:pPr>
                    <w:autoSpaceDE w:val="0"/>
                    <w:autoSpaceDN w:val="0"/>
                    <w:adjustRightInd w:val="0"/>
                    <w:spacing w:line="320" w:lineRule="atLeast"/>
                    <w:ind w:right="60"/>
                    <w:jc w:val="center"/>
                    <w:rPr>
                      <w:rFonts w:cs="Arial"/>
                      <w:color w:val="000000"/>
                    </w:rPr>
                  </w:pPr>
                  <w:r>
                    <w:rPr>
                      <w:rFonts w:cs="Arial"/>
                      <w:color w:val="000000"/>
                    </w:rPr>
                    <w:t>R Square</w:t>
                  </w:r>
                </w:p>
              </w:tc>
              <w:tc>
                <w:tcPr>
                  <w:tcW w:w="1705" w:type="dxa"/>
                  <w:tcBorders>
                    <w:top w:val="single" w:sz="12" w:space="0" w:color="000000" w:themeColor="text1"/>
                    <w:left w:val="single" w:sz="8" w:space="0" w:color="000000" w:themeColor="text1"/>
                    <w:bottom w:val="single" w:sz="12" w:space="0" w:color="000000" w:themeColor="text1"/>
                    <w:right w:val="single" w:sz="8" w:space="0" w:color="000000" w:themeColor="text1"/>
                  </w:tcBorders>
                  <w:vAlign w:val="bottom"/>
                </w:tcPr>
                <w:p w:rsidR="003E625F" w:rsidRDefault="003E625F" w:rsidP="003E625F">
                  <w:pPr>
                    <w:autoSpaceDE w:val="0"/>
                    <w:autoSpaceDN w:val="0"/>
                    <w:adjustRightInd w:val="0"/>
                    <w:spacing w:line="320" w:lineRule="atLeast"/>
                    <w:ind w:right="60"/>
                    <w:jc w:val="center"/>
                    <w:rPr>
                      <w:rFonts w:cs="Arial"/>
                      <w:color w:val="000000"/>
                    </w:rPr>
                  </w:pPr>
                  <w:r>
                    <w:rPr>
                      <w:rFonts w:cs="Arial"/>
                      <w:color w:val="000000"/>
                    </w:rPr>
                    <w:t>Adjusted R Square</w:t>
                  </w:r>
                </w:p>
              </w:tc>
              <w:tc>
                <w:tcPr>
                  <w:tcW w:w="2251" w:type="dxa"/>
                  <w:tcBorders>
                    <w:top w:val="single" w:sz="12" w:space="0" w:color="000000" w:themeColor="text1"/>
                    <w:left w:val="single" w:sz="8" w:space="0" w:color="000000" w:themeColor="text1"/>
                    <w:bottom w:val="single" w:sz="12" w:space="0" w:color="000000" w:themeColor="text1"/>
                  </w:tcBorders>
                  <w:vAlign w:val="bottom"/>
                </w:tcPr>
                <w:p w:rsidR="003E625F" w:rsidRDefault="003E625F" w:rsidP="009A734A">
                  <w:pPr>
                    <w:autoSpaceDE w:val="0"/>
                    <w:autoSpaceDN w:val="0"/>
                    <w:adjustRightInd w:val="0"/>
                    <w:spacing w:line="320" w:lineRule="atLeast"/>
                    <w:ind w:right="-108"/>
                    <w:jc w:val="center"/>
                    <w:rPr>
                      <w:rFonts w:cs="Arial"/>
                      <w:color w:val="000000"/>
                    </w:rPr>
                  </w:pPr>
                  <w:r>
                    <w:rPr>
                      <w:rFonts w:cs="Arial"/>
                      <w:color w:val="000000"/>
                    </w:rPr>
                    <w:t>Std. Error of the Estimate</w:t>
                  </w:r>
                </w:p>
              </w:tc>
            </w:tr>
            <w:tr w:rsidR="003E625F" w:rsidTr="009A734A">
              <w:tc>
                <w:tcPr>
                  <w:tcW w:w="1155" w:type="dxa"/>
                  <w:tcBorders>
                    <w:top w:val="single" w:sz="12" w:space="0" w:color="000000" w:themeColor="text1"/>
                    <w:bottom w:val="single" w:sz="12" w:space="0" w:color="000000" w:themeColor="text1"/>
                    <w:right w:val="single" w:sz="12" w:space="0" w:color="000000" w:themeColor="text1"/>
                  </w:tcBorders>
                </w:tcPr>
                <w:p w:rsidR="003E625F" w:rsidRDefault="003E625F" w:rsidP="003E625F">
                  <w:pPr>
                    <w:autoSpaceDE w:val="0"/>
                    <w:autoSpaceDN w:val="0"/>
                    <w:adjustRightInd w:val="0"/>
                    <w:spacing w:line="320" w:lineRule="atLeast"/>
                    <w:ind w:right="60"/>
                    <w:rPr>
                      <w:rFonts w:cs="Arial"/>
                      <w:color w:val="000000"/>
                    </w:rPr>
                  </w:pPr>
                  <w:r>
                    <w:rPr>
                      <w:rFonts w:cs="Arial"/>
                      <w:color w:val="000000"/>
                    </w:rPr>
                    <w:t>1</w:t>
                  </w:r>
                </w:p>
              </w:tc>
              <w:tc>
                <w:tcPr>
                  <w:tcW w:w="1155" w:type="dxa"/>
                  <w:tcBorders>
                    <w:top w:val="single" w:sz="12" w:space="0" w:color="000000" w:themeColor="text1"/>
                    <w:left w:val="single" w:sz="12" w:space="0" w:color="000000" w:themeColor="text1"/>
                  </w:tcBorders>
                  <w:vAlign w:val="center"/>
                </w:tcPr>
                <w:p w:rsidR="003E625F" w:rsidRDefault="003E625F" w:rsidP="003E625F">
                  <w:pPr>
                    <w:autoSpaceDE w:val="0"/>
                    <w:autoSpaceDN w:val="0"/>
                    <w:adjustRightInd w:val="0"/>
                    <w:spacing w:line="320" w:lineRule="atLeast"/>
                    <w:ind w:right="60"/>
                    <w:jc w:val="right"/>
                    <w:rPr>
                      <w:rFonts w:cs="Arial"/>
                      <w:color w:val="000000"/>
                    </w:rPr>
                  </w:pPr>
                  <w:r>
                    <w:rPr>
                      <w:rFonts w:cs="Arial"/>
                      <w:color w:val="000000"/>
                    </w:rPr>
                    <w:t>,375</w:t>
                  </w:r>
                </w:p>
              </w:tc>
              <w:tc>
                <w:tcPr>
                  <w:tcW w:w="1155" w:type="dxa"/>
                  <w:tcBorders>
                    <w:top w:val="single" w:sz="12" w:space="0" w:color="000000" w:themeColor="text1"/>
                  </w:tcBorders>
                  <w:vAlign w:val="center"/>
                </w:tcPr>
                <w:p w:rsidR="003E625F" w:rsidRDefault="003E625F" w:rsidP="003E625F">
                  <w:pPr>
                    <w:autoSpaceDE w:val="0"/>
                    <w:autoSpaceDN w:val="0"/>
                    <w:adjustRightInd w:val="0"/>
                    <w:spacing w:line="320" w:lineRule="atLeast"/>
                    <w:ind w:right="60"/>
                    <w:jc w:val="right"/>
                    <w:rPr>
                      <w:rFonts w:cs="Arial"/>
                      <w:color w:val="000000"/>
                    </w:rPr>
                  </w:pPr>
                  <w:r>
                    <w:rPr>
                      <w:rFonts w:cs="Arial"/>
                      <w:color w:val="000000"/>
                    </w:rPr>
                    <w:t>,141</w:t>
                  </w:r>
                </w:p>
              </w:tc>
              <w:tc>
                <w:tcPr>
                  <w:tcW w:w="1705" w:type="dxa"/>
                  <w:tcBorders>
                    <w:top w:val="single" w:sz="12" w:space="0" w:color="000000" w:themeColor="text1"/>
                  </w:tcBorders>
                  <w:vAlign w:val="center"/>
                </w:tcPr>
                <w:p w:rsidR="003E625F" w:rsidRDefault="003E625F" w:rsidP="003E625F">
                  <w:pPr>
                    <w:autoSpaceDE w:val="0"/>
                    <w:autoSpaceDN w:val="0"/>
                    <w:adjustRightInd w:val="0"/>
                    <w:spacing w:line="320" w:lineRule="atLeast"/>
                    <w:ind w:right="60"/>
                    <w:jc w:val="right"/>
                    <w:rPr>
                      <w:rFonts w:cs="Arial"/>
                      <w:color w:val="000000"/>
                    </w:rPr>
                  </w:pPr>
                  <w:r>
                    <w:rPr>
                      <w:rFonts w:cs="Arial"/>
                      <w:color w:val="000000"/>
                    </w:rPr>
                    <w:t>,056</w:t>
                  </w:r>
                </w:p>
              </w:tc>
              <w:tc>
                <w:tcPr>
                  <w:tcW w:w="2251" w:type="dxa"/>
                  <w:tcBorders>
                    <w:top w:val="single" w:sz="12" w:space="0" w:color="000000" w:themeColor="text1"/>
                  </w:tcBorders>
                  <w:vAlign w:val="center"/>
                </w:tcPr>
                <w:p w:rsidR="003E625F" w:rsidRDefault="003E625F" w:rsidP="003E625F">
                  <w:pPr>
                    <w:autoSpaceDE w:val="0"/>
                    <w:autoSpaceDN w:val="0"/>
                    <w:adjustRightInd w:val="0"/>
                    <w:spacing w:line="320" w:lineRule="atLeast"/>
                    <w:ind w:right="60"/>
                    <w:jc w:val="right"/>
                    <w:rPr>
                      <w:rFonts w:cs="Arial"/>
                      <w:color w:val="000000"/>
                    </w:rPr>
                  </w:pPr>
                  <w:r>
                    <w:rPr>
                      <w:rFonts w:cs="Arial"/>
                      <w:color w:val="000000"/>
                    </w:rPr>
                    <w:t>,1532702</w:t>
                  </w:r>
                </w:p>
              </w:tc>
            </w:tr>
          </w:tbl>
          <w:p w:rsidR="003E625F" w:rsidRPr="000B3455" w:rsidRDefault="003E625F" w:rsidP="003E625F">
            <w:pPr>
              <w:autoSpaceDE w:val="0"/>
              <w:autoSpaceDN w:val="0"/>
              <w:adjustRightInd w:val="0"/>
              <w:spacing w:after="0" w:line="320" w:lineRule="atLeast"/>
              <w:ind w:left="60" w:right="60"/>
              <w:rPr>
                <w:rFonts w:cs="Arial"/>
                <w:color w:val="000000"/>
              </w:rPr>
            </w:pPr>
          </w:p>
        </w:tc>
      </w:tr>
      <w:tr w:rsidR="003D5369" w:rsidRPr="000B3455" w:rsidTr="009A734A">
        <w:trPr>
          <w:gridAfter w:val="1"/>
          <w:wAfter w:w="873" w:type="dxa"/>
          <w:cantSplit/>
        </w:trPr>
        <w:tc>
          <w:tcPr>
            <w:tcW w:w="7513" w:type="dxa"/>
            <w:tcBorders>
              <w:top w:val="nil"/>
              <w:left w:val="nil"/>
              <w:bottom w:val="nil"/>
              <w:right w:val="nil"/>
            </w:tcBorders>
            <w:shd w:val="clear" w:color="auto" w:fill="FFFFFF"/>
          </w:tcPr>
          <w:p w:rsidR="003D5369" w:rsidRPr="009A734A" w:rsidRDefault="009A734A" w:rsidP="00C83CEF">
            <w:pPr>
              <w:keepNext/>
              <w:spacing w:line="360" w:lineRule="auto"/>
              <w:jc w:val="both"/>
            </w:pPr>
            <w:r w:rsidRPr="000B3455">
              <w:rPr>
                <w:i/>
              </w:rPr>
              <w:t>PR_FV_STO</w:t>
            </w:r>
            <w:r w:rsidRPr="000B3455">
              <w:rPr>
                <w:i/>
                <w:vertAlign w:val="subscript"/>
              </w:rPr>
              <w:t>it</w:t>
            </w:r>
            <w:r w:rsidRPr="000B3455">
              <w:rPr>
                <w:i/>
              </w:rPr>
              <w:t xml:space="preserve"> = </w:t>
            </w:r>
            <w:r w:rsidRPr="000B3455">
              <w:rPr>
                <w:rFonts w:cstheme="minorHAnsi"/>
                <w:i/>
              </w:rPr>
              <w:t>β</w:t>
            </w:r>
            <w:r w:rsidRPr="000B3455">
              <w:rPr>
                <w:i/>
                <w:vertAlign w:val="subscript"/>
              </w:rPr>
              <w:t>0</w:t>
            </w:r>
            <w:r w:rsidRPr="000B3455">
              <w:rPr>
                <w:i/>
              </w:rPr>
              <w:t xml:space="preserve"> + </w:t>
            </w:r>
            <w:r w:rsidRPr="000B3455">
              <w:rPr>
                <w:rFonts w:cstheme="minorHAnsi"/>
                <w:i/>
              </w:rPr>
              <w:t>β</w:t>
            </w:r>
            <w:r w:rsidRPr="000B3455">
              <w:rPr>
                <w:i/>
                <w:vertAlign w:val="subscript"/>
              </w:rPr>
              <w:t>1</w:t>
            </w:r>
            <w:r w:rsidRPr="000B3455">
              <w:rPr>
                <w:i/>
              </w:rPr>
              <w:t xml:space="preserve"> 2003 + </w:t>
            </w:r>
            <w:r w:rsidRPr="000B3455">
              <w:rPr>
                <w:rFonts w:cstheme="minorHAnsi"/>
                <w:i/>
              </w:rPr>
              <w:t>β</w:t>
            </w:r>
            <w:r w:rsidRPr="000B3455">
              <w:rPr>
                <w:rFonts w:cstheme="minorHAnsi"/>
                <w:i/>
                <w:vertAlign w:val="subscript"/>
              </w:rPr>
              <w:t xml:space="preserve">2 </w:t>
            </w:r>
            <w:r w:rsidRPr="000B3455">
              <w:rPr>
                <w:rFonts w:cstheme="minorHAnsi"/>
                <w:i/>
              </w:rPr>
              <w:t>2004 + β</w:t>
            </w:r>
            <w:r w:rsidRPr="000B3455">
              <w:rPr>
                <w:rFonts w:cstheme="minorHAnsi"/>
                <w:i/>
                <w:vertAlign w:val="subscript"/>
              </w:rPr>
              <w:t>3</w:t>
            </w:r>
            <w:r w:rsidRPr="000B3455">
              <w:rPr>
                <w:rFonts w:cstheme="minorHAnsi"/>
                <w:i/>
              </w:rPr>
              <w:t xml:space="preserve"> 2005 + β</w:t>
            </w:r>
            <w:r w:rsidRPr="000B3455">
              <w:rPr>
                <w:rFonts w:cstheme="minorHAnsi"/>
                <w:i/>
                <w:vertAlign w:val="subscript"/>
              </w:rPr>
              <w:t>4</w:t>
            </w:r>
            <w:r w:rsidRPr="000B3455">
              <w:rPr>
                <w:rFonts w:cstheme="minorHAnsi"/>
                <w:i/>
              </w:rPr>
              <w:t xml:space="preserve"> 2006 + β</w:t>
            </w:r>
            <w:r w:rsidRPr="000B3455">
              <w:rPr>
                <w:rFonts w:cstheme="minorHAnsi"/>
                <w:i/>
                <w:vertAlign w:val="subscript"/>
              </w:rPr>
              <w:t>5</w:t>
            </w:r>
            <w:r w:rsidRPr="000B3455">
              <w:rPr>
                <w:rFonts w:cstheme="minorHAnsi"/>
                <w:i/>
              </w:rPr>
              <w:t xml:space="preserve"> 2007 + β</w:t>
            </w:r>
            <w:r w:rsidRPr="000B3455">
              <w:rPr>
                <w:rFonts w:cstheme="minorHAnsi"/>
                <w:i/>
                <w:vertAlign w:val="subscript"/>
              </w:rPr>
              <w:t>6</w:t>
            </w:r>
            <w:r w:rsidRPr="000B3455">
              <w:rPr>
                <w:i/>
              </w:rPr>
              <w:t xml:space="preserve"> LN_ASSETS</w:t>
            </w:r>
            <w:r w:rsidRPr="000B3455">
              <w:rPr>
                <w:i/>
                <w:vertAlign w:val="subscript"/>
              </w:rPr>
              <w:t>it</w:t>
            </w:r>
            <w:r w:rsidRPr="000B3455">
              <w:rPr>
                <w:i/>
              </w:rPr>
              <w:t xml:space="preserve"> + </w:t>
            </w:r>
            <w:r w:rsidRPr="000B3455">
              <w:rPr>
                <w:rFonts w:cstheme="minorHAnsi"/>
                <w:i/>
              </w:rPr>
              <w:t>β</w:t>
            </w:r>
            <w:r w:rsidRPr="000B3455">
              <w:rPr>
                <w:rFonts w:cstheme="minorHAnsi"/>
                <w:i/>
                <w:vertAlign w:val="subscript"/>
              </w:rPr>
              <w:t>7</w:t>
            </w:r>
            <w:r w:rsidRPr="000B3455">
              <w:rPr>
                <w:i/>
                <w:vertAlign w:val="subscript"/>
              </w:rPr>
              <w:t xml:space="preserve"> </w:t>
            </w:r>
            <w:r w:rsidRPr="000B3455">
              <w:rPr>
                <w:i/>
              </w:rPr>
              <w:t>MTB</w:t>
            </w:r>
            <w:r w:rsidRPr="000B3455">
              <w:rPr>
                <w:i/>
                <w:vertAlign w:val="subscript"/>
              </w:rPr>
              <w:t>it</w:t>
            </w:r>
            <w:r w:rsidRPr="000B3455">
              <w:rPr>
                <w:rFonts w:cstheme="minorHAnsi"/>
                <w:i/>
              </w:rPr>
              <w:t xml:space="preserve"> + β</w:t>
            </w:r>
            <w:r w:rsidRPr="000B3455">
              <w:rPr>
                <w:rFonts w:cstheme="minorHAnsi"/>
                <w:i/>
                <w:vertAlign w:val="subscript"/>
              </w:rPr>
              <w:t>8</w:t>
            </w:r>
            <w:r w:rsidRPr="000B3455">
              <w:rPr>
                <w:i/>
              </w:rPr>
              <w:t xml:space="preserve"> RET</w:t>
            </w:r>
            <w:r w:rsidRPr="000B3455">
              <w:rPr>
                <w:i/>
                <w:vertAlign w:val="subscript"/>
              </w:rPr>
              <w:t>it</w:t>
            </w:r>
            <w:r w:rsidRPr="000B3455">
              <w:rPr>
                <w:rFonts w:cstheme="minorHAnsi"/>
                <w:i/>
              </w:rPr>
              <w:t xml:space="preserve"> + β</w:t>
            </w:r>
            <w:r w:rsidRPr="000B3455">
              <w:rPr>
                <w:rFonts w:cstheme="minorHAnsi"/>
                <w:i/>
                <w:vertAlign w:val="subscript"/>
              </w:rPr>
              <w:t>9</w:t>
            </w:r>
            <w:r w:rsidRPr="000B3455">
              <w:rPr>
                <w:i/>
              </w:rPr>
              <w:t xml:space="preserve"> VOL</w:t>
            </w:r>
            <w:r w:rsidRPr="000B3455">
              <w:rPr>
                <w:i/>
                <w:vertAlign w:val="subscript"/>
              </w:rPr>
              <w:t>it</w:t>
            </w:r>
            <w:r w:rsidRPr="000B3455">
              <w:rPr>
                <w:rFonts w:cstheme="minorHAnsi"/>
                <w:i/>
              </w:rPr>
              <w:t xml:space="preserve"> + β</w:t>
            </w:r>
            <w:r w:rsidRPr="000B3455">
              <w:rPr>
                <w:rFonts w:cstheme="minorHAnsi"/>
                <w:i/>
                <w:vertAlign w:val="subscript"/>
              </w:rPr>
              <w:t>10</w:t>
            </w:r>
            <w:r w:rsidRPr="000B3455">
              <w:rPr>
                <w:i/>
              </w:rPr>
              <w:t xml:space="preserve"> BOA_SIZE</w:t>
            </w:r>
            <w:r w:rsidRPr="000B3455">
              <w:rPr>
                <w:i/>
                <w:vertAlign w:val="subscript"/>
              </w:rPr>
              <w:t>it</w:t>
            </w:r>
            <w:r w:rsidRPr="000B3455">
              <w:rPr>
                <w:rFonts w:cstheme="minorHAnsi"/>
                <w:i/>
              </w:rPr>
              <w:t xml:space="preserve"> + β</w:t>
            </w:r>
            <w:r w:rsidRPr="000B3455">
              <w:rPr>
                <w:rFonts w:cstheme="minorHAnsi"/>
                <w:i/>
                <w:vertAlign w:val="subscript"/>
              </w:rPr>
              <w:t>11</w:t>
            </w:r>
            <w:r w:rsidRPr="000B3455">
              <w:rPr>
                <w:i/>
              </w:rPr>
              <w:t xml:space="preserve"> LIQ_CON</w:t>
            </w:r>
            <w:r w:rsidRPr="000B3455">
              <w:rPr>
                <w:i/>
                <w:vertAlign w:val="subscript"/>
              </w:rPr>
              <w:t>it</w:t>
            </w:r>
            <w:r w:rsidRPr="000B3455">
              <w:rPr>
                <w:rFonts w:cstheme="minorHAnsi"/>
                <w:i/>
              </w:rPr>
              <w:t xml:space="preserve"> + ∑</w:t>
            </w:r>
            <w:r w:rsidRPr="000B3455">
              <w:rPr>
                <w:i/>
              </w:rPr>
              <w:t xml:space="preserve"> IND_DUMM</w:t>
            </w:r>
            <w:r w:rsidRPr="000B3455">
              <w:rPr>
                <w:i/>
                <w:vertAlign w:val="subscript"/>
              </w:rPr>
              <w:t>it</w:t>
            </w:r>
            <w:r w:rsidRPr="000B3455">
              <w:rPr>
                <w:i/>
              </w:rPr>
              <w:t xml:space="preserve"> + </w:t>
            </w:r>
            <w:r w:rsidRPr="000B3455">
              <w:rPr>
                <w:rFonts w:hAnsi="Times New Roman" w:cs="Times New Roman"/>
                <w:i/>
              </w:rPr>
              <w:t>ɛ</w:t>
            </w:r>
            <w:r w:rsidRPr="000B3455">
              <w:rPr>
                <w:i/>
                <w:vertAlign w:val="subscript"/>
              </w:rPr>
              <w:t>it</w:t>
            </w:r>
          </w:p>
        </w:tc>
      </w:tr>
    </w:tbl>
    <w:p w:rsidR="009A734A" w:rsidRPr="009A734A" w:rsidRDefault="00D51742" w:rsidP="00D51742">
      <w:pPr>
        <w:pStyle w:val="Caption"/>
        <w:rPr>
          <w:color w:val="auto"/>
        </w:rPr>
      </w:pPr>
      <w:bookmarkStart w:id="117" w:name="_Ref298855956"/>
      <w:r>
        <w:t xml:space="preserve">Table </w:t>
      </w:r>
      <w:fldSimple w:instr=" SEQ Table \* ARABIC ">
        <w:r w:rsidR="001D5F9A">
          <w:rPr>
            <w:noProof/>
          </w:rPr>
          <w:t>3</w:t>
        </w:r>
      </w:fldSimple>
      <w:bookmarkEnd w:id="117"/>
      <w:r w:rsidR="009A734A">
        <w:t xml:space="preserve">: </w:t>
      </w:r>
      <w:r w:rsidR="009A734A">
        <w:rPr>
          <w:color w:val="auto"/>
        </w:rPr>
        <w:t>Summary of SPSS model</w:t>
      </w:r>
    </w:p>
    <w:p w:rsidR="003D5369" w:rsidRPr="000B3455" w:rsidRDefault="003D5369" w:rsidP="003D5369">
      <w:pPr>
        <w:autoSpaceDE w:val="0"/>
        <w:autoSpaceDN w:val="0"/>
        <w:adjustRightInd w:val="0"/>
        <w:spacing w:after="0" w:line="240" w:lineRule="auto"/>
        <w:rPr>
          <w:rFonts w:cs="Times New Roman"/>
        </w:rPr>
      </w:pPr>
    </w:p>
    <w:tbl>
      <w:tblPr>
        <w:tblW w:w="788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8"/>
        <w:gridCol w:w="1272"/>
        <w:gridCol w:w="1456"/>
        <w:gridCol w:w="1009"/>
        <w:gridCol w:w="1398"/>
        <w:gridCol w:w="1010"/>
        <w:gridCol w:w="1010"/>
      </w:tblGrid>
      <w:tr w:rsidR="003D5369" w:rsidRPr="000B3455" w:rsidTr="003E625F">
        <w:trPr>
          <w:cantSplit/>
          <w:tblHeader/>
        </w:trPr>
        <w:tc>
          <w:tcPr>
            <w:tcW w:w="7883" w:type="dxa"/>
            <w:gridSpan w:val="7"/>
            <w:tcBorders>
              <w:top w:val="nil"/>
              <w:left w:val="nil"/>
              <w:bottom w:val="nil"/>
              <w:right w:val="nil"/>
            </w:tcBorders>
            <w:shd w:val="clear" w:color="auto" w:fill="FFFFFF"/>
            <w:vAlign w:val="center"/>
          </w:tcPr>
          <w:p w:rsidR="003D5369" w:rsidRPr="000B3455" w:rsidRDefault="003D5369" w:rsidP="003D5369">
            <w:pPr>
              <w:autoSpaceDE w:val="0"/>
              <w:autoSpaceDN w:val="0"/>
              <w:adjustRightInd w:val="0"/>
              <w:spacing w:after="0" w:line="320" w:lineRule="atLeast"/>
              <w:ind w:left="60" w:right="60"/>
              <w:jc w:val="center"/>
              <w:rPr>
                <w:rFonts w:cs="Arial"/>
                <w:color w:val="000000"/>
              </w:rPr>
            </w:pPr>
            <w:r w:rsidRPr="000B3455">
              <w:rPr>
                <w:rFonts w:cs="Arial"/>
                <w:b/>
                <w:bCs/>
                <w:color w:val="000000"/>
              </w:rPr>
              <w:t>ANOVA</w:t>
            </w:r>
          </w:p>
        </w:tc>
      </w:tr>
      <w:tr w:rsidR="003D5369" w:rsidRPr="000B3455" w:rsidTr="003E625F">
        <w:trPr>
          <w:cantSplit/>
          <w:tblHeader/>
        </w:trPr>
        <w:tc>
          <w:tcPr>
            <w:tcW w:w="2000" w:type="dxa"/>
            <w:gridSpan w:val="2"/>
            <w:tcBorders>
              <w:top w:val="single" w:sz="16" w:space="0" w:color="000000"/>
              <w:left w:val="single" w:sz="16" w:space="0" w:color="000000"/>
              <w:bottom w:val="single" w:sz="16" w:space="0" w:color="000000"/>
              <w:right w:val="single" w:sz="16" w:space="0" w:color="000000"/>
            </w:tcBorders>
            <w:shd w:val="clear" w:color="auto" w:fill="FFFFFF"/>
          </w:tcPr>
          <w:p w:rsidR="003D5369" w:rsidRPr="000B3455" w:rsidRDefault="003D5369" w:rsidP="003D5369">
            <w:pPr>
              <w:autoSpaceDE w:val="0"/>
              <w:autoSpaceDN w:val="0"/>
              <w:adjustRightInd w:val="0"/>
              <w:spacing w:after="0" w:line="320" w:lineRule="atLeast"/>
              <w:ind w:left="60" w:right="60"/>
              <w:rPr>
                <w:rFonts w:cs="Arial"/>
                <w:color w:val="000000"/>
              </w:rPr>
            </w:pPr>
            <w:r w:rsidRPr="000B3455">
              <w:rPr>
                <w:rFonts w:cs="Arial"/>
                <w:color w:val="000000"/>
              </w:rPr>
              <w:t>Model</w:t>
            </w:r>
          </w:p>
        </w:tc>
        <w:tc>
          <w:tcPr>
            <w:tcW w:w="1456" w:type="dxa"/>
            <w:tcBorders>
              <w:top w:val="single" w:sz="16" w:space="0" w:color="000000"/>
              <w:left w:val="single" w:sz="16" w:space="0" w:color="000000"/>
              <w:bottom w:val="single" w:sz="16" w:space="0" w:color="000000"/>
            </w:tcBorders>
            <w:shd w:val="clear" w:color="auto" w:fill="FFFFFF"/>
            <w:vAlign w:val="bottom"/>
          </w:tcPr>
          <w:p w:rsidR="003D5369" w:rsidRPr="000B3455" w:rsidRDefault="003D5369" w:rsidP="003D5369">
            <w:pPr>
              <w:autoSpaceDE w:val="0"/>
              <w:autoSpaceDN w:val="0"/>
              <w:adjustRightInd w:val="0"/>
              <w:spacing w:after="0" w:line="320" w:lineRule="atLeast"/>
              <w:ind w:left="60" w:right="60"/>
              <w:jc w:val="center"/>
              <w:rPr>
                <w:rFonts w:cs="Arial"/>
                <w:color w:val="000000"/>
              </w:rPr>
            </w:pPr>
            <w:r w:rsidRPr="000B3455">
              <w:rPr>
                <w:rFonts w:cs="Arial"/>
                <w:color w:val="000000"/>
              </w:rPr>
              <w:t>Sum of Squares</w:t>
            </w:r>
          </w:p>
        </w:tc>
        <w:tc>
          <w:tcPr>
            <w:tcW w:w="1009" w:type="dxa"/>
            <w:tcBorders>
              <w:top w:val="single" w:sz="16" w:space="0" w:color="000000"/>
              <w:bottom w:val="single" w:sz="16" w:space="0" w:color="000000"/>
            </w:tcBorders>
            <w:shd w:val="clear" w:color="auto" w:fill="FFFFFF"/>
            <w:vAlign w:val="bottom"/>
          </w:tcPr>
          <w:p w:rsidR="003D5369" w:rsidRPr="000B3455" w:rsidRDefault="003D5369" w:rsidP="003D5369">
            <w:pPr>
              <w:autoSpaceDE w:val="0"/>
              <w:autoSpaceDN w:val="0"/>
              <w:adjustRightInd w:val="0"/>
              <w:spacing w:after="0" w:line="320" w:lineRule="atLeast"/>
              <w:ind w:left="60" w:right="60"/>
              <w:jc w:val="center"/>
              <w:rPr>
                <w:rFonts w:cs="Arial"/>
                <w:color w:val="000000"/>
              </w:rPr>
            </w:pPr>
            <w:r w:rsidRPr="000B3455">
              <w:rPr>
                <w:rFonts w:cs="Arial"/>
                <w:color w:val="000000"/>
              </w:rPr>
              <w:t>df</w:t>
            </w:r>
          </w:p>
        </w:tc>
        <w:tc>
          <w:tcPr>
            <w:tcW w:w="1398" w:type="dxa"/>
            <w:tcBorders>
              <w:top w:val="single" w:sz="16" w:space="0" w:color="000000"/>
              <w:bottom w:val="single" w:sz="16" w:space="0" w:color="000000"/>
            </w:tcBorders>
            <w:shd w:val="clear" w:color="auto" w:fill="FFFFFF"/>
            <w:vAlign w:val="bottom"/>
          </w:tcPr>
          <w:p w:rsidR="003D5369" w:rsidRPr="000B3455" w:rsidRDefault="003D5369" w:rsidP="003D5369">
            <w:pPr>
              <w:autoSpaceDE w:val="0"/>
              <w:autoSpaceDN w:val="0"/>
              <w:adjustRightInd w:val="0"/>
              <w:spacing w:after="0" w:line="320" w:lineRule="atLeast"/>
              <w:ind w:left="60" w:right="60"/>
              <w:jc w:val="center"/>
              <w:rPr>
                <w:rFonts w:cs="Arial"/>
                <w:color w:val="000000"/>
              </w:rPr>
            </w:pPr>
            <w:r w:rsidRPr="000B3455">
              <w:rPr>
                <w:rFonts w:cs="Arial"/>
                <w:color w:val="000000"/>
              </w:rPr>
              <w:t>Mean Square</w:t>
            </w:r>
          </w:p>
        </w:tc>
        <w:tc>
          <w:tcPr>
            <w:tcW w:w="1010" w:type="dxa"/>
            <w:tcBorders>
              <w:top w:val="single" w:sz="16" w:space="0" w:color="000000"/>
              <w:bottom w:val="single" w:sz="16" w:space="0" w:color="000000"/>
            </w:tcBorders>
            <w:shd w:val="clear" w:color="auto" w:fill="FFFFFF"/>
            <w:vAlign w:val="bottom"/>
          </w:tcPr>
          <w:p w:rsidR="003D5369" w:rsidRPr="000B3455" w:rsidRDefault="003D5369" w:rsidP="003D5369">
            <w:pPr>
              <w:autoSpaceDE w:val="0"/>
              <w:autoSpaceDN w:val="0"/>
              <w:adjustRightInd w:val="0"/>
              <w:spacing w:after="0" w:line="320" w:lineRule="atLeast"/>
              <w:ind w:left="60" w:right="60"/>
              <w:jc w:val="center"/>
              <w:rPr>
                <w:rFonts w:cs="Arial"/>
                <w:color w:val="000000"/>
              </w:rPr>
            </w:pPr>
            <w:r w:rsidRPr="000B3455">
              <w:rPr>
                <w:rFonts w:cs="Arial"/>
                <w:color w:val="000000"/>
              </w:rPr>
              <w:t>F</w:t>
            </w:r>
          </w:p>
        </w:tc>
        <w:tc>
          <w:tcPr>
            <w:tcW w:w="1010" w:type="dxa"/>
            <w:tcBorders>
              <w:top w:val="single" w:sz="16" w:space="0" w:color="000000"/>
              <w:bottom w:val="single" w:sz="16" w:space="0" w:color="000000"/>
              <w:right w:val="single" w:sz="16" w:space="0" w:color="000000"/>
            </w:tcBorders>
            <w:shd w:val="clear" w:color="auto" w:fill="FFFFFF"/>
            <w:vAlign w:val="bottom"/>
          </w:tcPr>
          <w:p w:rsidR="003D5369" w:rsidRPr="000B3455" w:rsidRDefault="003D5369" w:rsidP="003D5369">
            <w:pPr>
              <w:autoSpaceDE w:val="0"/>
              <w:autoSpaceDN w:val="0"/>
              <w:adjustRightInd w:val="0"/>
              <w:spacing w:after="0" w:line="320" w:lineRule="atLeast"/>
              <w:ind w:left="60" w:right="60"/>
              <w:jc w:val="center"/>
              <w:rPr>
                <w:rFonts w:cs="Arial"/>
                <w:color w:val="000000"/>
              </w:rPr>
            </w:pPr>
            <w:r w:rsidRPr="000B3455">
              <w:rPr>
                <w:rFonts w:cs="Arial"/>
                <w:color w:val="000000"/>
              </w:rPr>
              <w:t>Sig.</w:t>
            </w:r>
          </w:p>
        </w:tc>
      </w:tr>
      <w:tr w:rsidR="003D5369" w:rsidRPr="000B3455" w:rsidTr="003E625F">
        <w:trPr>
          <w:cantSplit/>
          <w:tblHeader/>
        </w:trPr>
        <w:tc>
          <w:tcPr>
            <w:tcW w:w="728" w:type="dxa"/>
            <w:vMerge w:val="restart"/>
            <w:tcBorders>
              <w:top w:val="single" w:sz="16" w:space="0" w:color="000000"/>
              <w:left w:val="single" w:sz="16" w:space="0" w:color="000000"/>
              <w:bottom w:val="single" w:sz="16" w:space="0" w:color="000000"/>
              <w:right w:val="nil"/>
            </w:tcBorders>
            <w:shd w:val="clear" w:color="auto" w:fill="FFFFFF"/>
          </w:tcPr>
          <w:p w:rsidR="003D5369" w:rsidRPr="000B3455" w:rsidRDefault="003D5369" w:rsidP="003D5369">
            <w:pPr>
              <w:autoSpaceDE w:val="0"/>
              <w:autoSpaceDN w:val="0"/>
              <w:adjustRightInd w:val="0"/>
              <w:spacing w:after="0" w:line="320" w:lineRule="atLeast"/>
              <w:ind w:left="60" w:right="60"/>
              <w:rPr>
                <w:rFonts w:cs="Arial"/>
                <w:color w:val="000000"/>
              </w:rPr>
            </w:pPr>
            <w:r w:rsidRPr="000B3455">
              <w:rPr>
                <w:rFonts w:cs="Arial"/>
                <w:color w:val="000000"/>
              </w:rPr>
              <w:t>1</w:t>
            </w:r>
          </w:p>
        </w:tc>
        <w:tc>
          <w:tcPr>
            <w:tcW w:w="1272" w:type="dxa"/>
            <w:tcBorders>
              <w:top w:val="single" w:sz="16" w:space="0" w:color="000000"/>
              <w:left w:val="nil"/>
              <w:bottom w:val="nil"/>
              <w:right w:val="single" w:sz="16" w:space="0" w:color="000000"/>
            </w:tcBorders>
            <w:shd w:val="clear" w:color="auto" w:fill="FFFFFF"/>
          </w:tcPr>
          <w:p w:rsidR="003D5369" w:rsidRPr="000B3455" w:rsidRDefault="003D5369" w:rsidP="003D5369">
            <w:pPr>
              <w:autoSpaceDE w:val="0"/>
              <w:autoSpaceDN w:val="0"/>
              <w:adjustRightInd w:val="0"/>
              <w:spacing w:after="0" w:line="320" w:lineRule="atLeast"/>
              <w:ind w:left="60" w:right="60"/>
              <w:rPr>
                <w:rFonts w:cs="Arial"/>
                <w:color w:val="000000"/>
              </w:rPr>
            </w:pPr>
            <w:r w:rsidRPr="000B3455">
              <w:rPr>
                <w:rFonts w:cs="Arial"/>
                <w:color w:val="000000"/>
              </w:rPr>
              <w:t>Regression</w:t>
            </w:r>
          </w:p>
        </w:tc>
        <w:tc>
          <w:tcPr>
            <w:tcW w:w="1456" w:type="dxa"/>
            <w:tcBorders>
              <w:top w:val="single" w:sz="16" w:space="0" w:color="000000"/>
              <w:left w:val="single" w:sz="16" w:space="0" w:color="000000"/>
              <w:bottom w:val="nil"/>
            </w:tcBorders>
            <w:shd w:val="clear" w:color="auto" w:fill="FFFFFF"/>
          </w:tcPr>
          <w:p w:rsidR="003D5369" w:rsidRPr="000B3455" w:rsidRDefault="003D5369" w:rsidP="003D5369">
            <w:pPr>
              <w:autoSpaceDE w:val="0"/>
              <w:autoSpaceDN w:val="0"/>
              <w:adjustRightInd w:val="0"/>
              <w:spacing w:after="0" w:line="320" w:lineRule="atLeast"/>
              <w:ind w:left="60" w:right="60"/>
              <w:jc w:val="right"/>
              <w:rPr>
                <w:rFonts w:cs="Arial"/>
                <w:color w:val="000000"/>
              </w:rPr>
            </w:pPr>
            <w:r w:rsidRPr="000B3455">
              <w:rPr>
                <w:rFonts w:cs="Arial"/>
                <w:color w:val="000000"/>
              </w:rPr>
              <w:t>,699</w:t>
            </w:r>
          </w:p>
        </w:tc>
        <w:tc>
          <w:tcPr>
            <w:tcW w:w="1009" w:type="dxa"/>
            <w:tcBorders>
              <w:top w:val="single" w:sz="16" w:space="0" w:color="000000"/>
              <w:bottom w:val="nil"/>
            </w:tcBorders>
            <w:shd w:val="clear" w:color="auto" w:fill="FFFFFF"/>
          </w:tcPr>
          <w:p w:rsidR="003D5369" w:rsidRPr="000B3455" w:rsidRDefault="003D5369" w:rsidP="003D5369">
            <w:pPr>
              <w:autoSpaceDE w:val="0"/>
              <w:autoSpaceDN w:val="0"/>
              <w:adjustRightInd w:val="0"/>
              <w:spacing w:after="0" w:line="320" w:lineRule="atLeast"/>
              <w:ind w:left="60" w:right="60"/>
              <w:jc w:val="right"/>
              <w:rPr>
                <w:rFonts w:cs="Arial"/>
                <w:color w:val="000000"/>
              </w:rPr>
            </w:pPr>
            <w:r w:rsidRPr="000B3455">
              <w:rPr>
                <w:rFonts w:cs="Arial"/>
                <w:color w:val="000000"/>
              </w:rPr>
              <w:t>18</w:t>
            </w:r>
          </w:p>
        </w:tc>
        <w:tc>
          <w:tcPr>
            <w:tcW w:w="1398" w:type="dxa"/>
            <w:tcBorders>
              <w:top w:val="single" w:sz="16" w:space="0" w:color="000000"/>
              <w:bottom w:val="nil"/>
            </w:tcBorders>
            <w:shd w:val="clear" w:color="auto" w:fill="FFFFFF"/>
          </w:tcPr>
          <w:p w:rsidR="003D5369" w:rsidRPr="000B3455" w:rsidRDefault="003D5369" w:rsidP="003D5369">
            <w:pPr>
              <w:autoSpaceDE w:val="0"/>
              <w:autoSpaceDN w:val="0"/>
              <w:adjustRightInd w:val="0"/>
              <w:spacing w:after="0" w:line="320" w:lineRule="atLeast"/>
              <w:ind w:left="60" w:right="60"/>
              <w:jc w:val="right"/>
              <w:rPr>
                <w:rFonts w:cs="Arial"/>
                <w:color w:val="000000"/>
              </w:rPr>
            </w:pPr>
            <w:r w:rsidRPr="000B3455">
              <w:rPr>
                <w:rFonts w:cs="Arial"/>
                <w:color w:val="000000"/>
              </w:rPr>
              <w:t>,039</w:t>
            </w:r>
          </w:p>
        </w:tc>
        <w:tc>
          <w:tcPr>
            <w:tcW w:w="1010" w:type="dxa"/>
            <w:tcBorders>
              <w:top w:val="single" w:sz="16" w:space="0" w:color="000000"/>
              <w:bottom w:val="nil"/>
            </w:tcBorders>
            <w:shd w:val="clear" w:color="auto" w:fill="FFFFFF"/>
          </w:tcPr>
          <w:p w:rsidR="003D5369" w:rsidRPr="000B3455" w:rsidRDefault="003D5369" w:rsidP="003D5369">
            <w:pPr>
              <w:autoSpaceDE w:val="0"/>
              <w:autoSpaceDN w:val="0"/>
              <w:adjustRightInd w:val="0"/>
              <w:spacing w:after="0" w:line="320" w:lineRule="atLeast"/>
              <w:ind w:left="60" w:right="60"/>
              <w:jc w:val="right"/>
              <w:rPr>
                <w:rFonts w:cs="Arial"/>
                <w:color w:val="000000"/>
              </w:rPr>
            </w:pPr>
            <w:r w:rsidRPr="000B3455">
              <w:rPr>
                <w:rFonts w:cs="Arial"/>
                <w:color w:val="000000"/>
              </w:rPr>
              <w:t>1,654</w:t>
            </w:r>
          </w:p>
        </w:tc>
        <w:tc>
          <w:tcPr>
            <w:tcW w:w="1010" w:type="dxa"/>
            <w:tcBorders>
              <w:top w:val="single" w:sz="16" w:space="0" w:color="000000"/>
              <w:bottom w:val="nil"/>
              <w:right w:val="single" w:sz="16" w:space="0" w:color="000000"/>
            </w:tcBorders>
            <w:shd w:val="clear" w:color="auto" w:fill="FFFFFF"/>
          </w:tcPr>
          <w:p w:rsidR="003D5369" w:rsidRPr="000B3455" w:rsidRDefault="003D5369" w:rsidP="003D5369">
            <w:pPr>
              <w:autoSpaceDE w:val="0"/>
              <w:autoSpaceDN w:val="0"/>
              <w:adjustRightInd w:val="0"/>
              <w:spacing w:after="0" w:line="320" w:lineRule="atLeast"/>
              <w:ind w:left="60" w:right="60"/>
              <w:jc w:val="right"/>
              <w:rPr>
                <w:rFonts w:cs="Arial"/>
                <w:color w:val="000000"/>
              </w:rPr>
            </w:pPr>
            <w:r w:rsidRPr="000B3455">
              <w:rPr>
                <w:rFonts w:cs="Arial"/>
                <w:color w:val="000000"/>
              </w:rPr>
              <w:t>,051</w:t>
            </w:r>
            <w:r w:rsidR="00B92B41">
              <w:rPr>
                <w:rFonts w:cs="Arial"/>
                <w:color w:val="000000"/>
              </w:rPr>
              <w:t>*</w:t>
            </w:r>
          </w:p>
        </w:tc>
      </w:tr>
      <w:tr w:rsidR="003D5369" w:rsidRPr="000B3455" w:rsidTr="003E62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D5369" w:rsidRPr="000B3455" w:rsidRDefault="003D5369" w:rsidP="003D5369">
            <w:pPr>
              <w:autoSpaceDE w:val="0"/>
              <w:autoSpaceDN w:val="0"/>
              <w:adjustRightInd w:val="0"/>
              <w:spacing w:after="0" w:line="240" w:lineRule="auto"/>
              <w:rPr>
                <w:rFonts w:cs="Arial"/>
                <w:color w:val="000000"/>
              </w:rPr>
            </w:pPr>
          </w:p>
        </w:tc>
        <w:tc>
          <w:tcPr>
            <w:tcW w:w="1272" w:type="dxa"/>
            <w:tcBorders>
              <w:top w:val="nil"/>
              <w:left w:val="nil"/>
              <w:bottom w:val="nil"/>
              <w:right w:val="single" w:sz="16" w:space="0" w:color="000000"/>
            </w:tcBorders>
            <w:shd w:val="clear" w:color="auto" w:fill="FFFFFF"/>
          </w:tcPr>
          <w:p w:rsidR="003D5369" w:rsidRPr="000B3455" w:rsidRDefault="003D5369" w:rsidP="003D5369">
            <w:pPr>
              <w:autoSpaceDE w:val="0"/>
              <w:autoSpaceDN w:val="0"/>
              <w:adjustRightInd w:val="0"/>
              <w:spacing w:after="0" w:line="320" w:lineRule="atLeast"/>
              <w:ind w:left="60" w:right="60"/>
              <w:rPr>
                <w:rFonts w:cs="Arial"/>
                <w:color w:val="000000"/>
              </w:rPr>
            </w:pPr>
            <w:r w:rsidRPr="000B3455">
              <w:rPr>
                <w:rFonts w:cs="Arial"/>
                <w:color w:val="000000"/>
              </w:rPr>
              <w:t>Residual</w:t>
            </w:r>
          </w:p>
        </w:tc>
        <w:tc>
          <w:tcPr>
            <w:tcW w:w="1456" w:type="dxa"/>
            <w:tcBorders>
              <w:top w:val="nil"/>
              <w:left w:val="single" w:sz="16" w:space="0" w:color="000000"/>
              <w:bottom w:val="nil"/>
            </w:tcBorders>
            <w:shd w:val="clear" w:color="auto" w:fill="FFFFFF"/>
          </w:tcPr>
          <w:p w:rsidR="003D5369" w:rsidRPr="000B3455" w:rsidRDefault="003D5369" w:rsidP="003D5369">
            <w:pPr>
              <w:autoSpaceDE w:val="0"/>
              <w:autoSpaceDN w:val="0"/>
              <w:adjustRightInd w:val="0"/>
              <w:spacing w:after="0" w:line="320" w:lineRule="atLeast"/>
              <w:ind w:left="60" w:right="60"/>
              <w:jc w:val="right"/>
              <w:rPr>
                <w:rFonts w:cs="Arial"/>
                <w:color w:val="000000"/>
              </w:rPr>
            </w:pPr>
            <w:r w:rsidRPr="000B3455">
              <w:rPr>
                <w:rFonts w:cs="Arial"/>
                <w:color w:val="000000"/>
              </w:rPr>
              <w:t>4,276</w:t>
            </w:r>
          </w:p>
        </w:tc>
        <w:tc>
          <w:tcPr>
            <w:tcW w:w="1009" w:type="dxa"/>
            <w:tcBorders>
              <w:top w:val="nil"/>
              <w:bottom w:val="nil"/>
            </w:tcBorders>
            <w:shd w:val="clear" w:color="auto" w:fill="FFFFFF"/>
          </w:tcPr>
          <w:p w:rsidR="003D5369" w:rsidRPr="000B3455" w:rsidRDefault="003D5369" w:rsidP="003D5369">
            <w:pPr>
              <w:autoSpaceDE w:val="0"/>
              <w:autoSpaceDN w:val="0"/>
              <w:adjustRightInd w:val="0"/>
              <w:spacing w:after="0" w:line="320" w:lineRule="atLeast"/>
              <w:ind w:left="60" w:right="60"/>
              <w:jc w:val="right"/>
              <w:rPr>
                <w:rFonts w:cs="Arial"/>
                <w:color w:val="000000"/>
              </w:rPr>
            </w:pPr>
            <w:r w:rsidRPr="000B3455">
              <w:rPr>
                <w:rFonts w:cs="Arial"/>
                <w:color w:val="000000"/>
              </w:rPr>
              <w:t>182</w:t>
            </w:r>
          </w:p>
        </w:tc>
        <w:tc>
          <w:tcPr>
            <w:tcW w:w="1398" w:type="dxa"/>
            <w:tcBorders>
              <w:top w:val="nil"/>
              <w:bottom w:val="nil"/>
            </w:tcBorders>
            <w:shd w:val="clear" w:color="auto" w:fill="FFFFFF"/>
          </w:tcPr>
          <w:p w:rsidR="003D5369" w:rsidRPr="000B3455" w:rsidRDefault="003D5369" w:rsidP="003D5369">
            <w:pPr>
              <w:autoSpaceDE w:val="0"/>
              <w:autoSpaceDN w:val="0"/>
              <w:adjustRightInd w:val="0"/>
              <w:spacing w:after="0" w:line="320" w:lineRule="atLeast"/>
              <w:ind w:left="60" w:right="60"/>
              <w:jc w:val="right"/>
              <w:rPr>
                <w:rFonts w:cs="Arial"/>
                <w:color w:val="000000"/>
              </w:rPr>
            </w:pPr>
            <w:r w:rsidRPr="000B3455">
              <w:rPr>
                <w:rFonts w:cs="Arial"/>
                <w:color w:val="000000"/>
              </w:rPr>
              <w:t>,023</w:t>
            </w:r>
          </w:p>
        </w:tc>
        <w:tc>
          <w:tcPr>
            <w:tcW w:w="1010" w:type="dxa"/>
            <w:tcBorders>
              <w:top w:val="nil"/>
              <w:bottom w:val="nil"/>
            </w:tcBorders>
            <w:shd w:val="clear" w:color="auto" w:fill="FFFFFF"/>
            <w:vAlign w:val="center"/>
          </w:tcPr>
          <w:p w:rsidR="003D5369" w:rsidRPr="000B3455" w:rsidRDefault="003D5369" w:rsidP="003D5369">
            <w:pPr>
              <w:autoSpaceDE w:val="0"/>
              <w:autoSpaceDN w:val="0"/>
              <w:adjustRightInd w:val="0"/>
              <w:spacing w:after="0" w:line="240" w:lineRule="auto"/>
              <w:jc w:val="center"/>
              <w:rPr>
                <w:rFonts w:cs="Times New Roman"/>
              </w:rPr>
            </w:pPr>
          </w:p>
        </w:tc>
        <w:tc>
          <w:tcPr>
            <w:tcW w:w="1010" w:type="dxa"/>
            <w:tcBorders>
              <w:top w:val="nil"/>
              <w:bottom w:val="nil"/>
              <w:right w:val="single" w:sz="16" w:space="0" w:color="000000"/>
            </w:tcBorders>
            <w:shd w:val="clear" w:color="auto" w:fill="FFFFFF"/>
            <w:vAlign w:val="center"/>
          </w:tcPr>
          <w:p w:rsidR="003D5369" w:rsidRPr="000B3455" w:rsidRDefault="003D5369" w:rsidP="003D5369">
            <w:pPr>
              <w:autoSpaceDE w:val="0"/>
              <w:autoSpaceDN w:val="0"/>
              <w:adjustRightInd w:val="0"/>
              <w:spacing w:after="0" w:line="240" w:lineRule="auto"/>
              <w:jc w:val="center"/>
              <w:rPr>
                <w:rFonts w:cs="Times New Roman"/>
              </w:rPr>
            </w:pPr>
          </w:p>
        </w:tc>
      </w:tr>
      <w:tr w:rsidR="003D5369" w:rsidRPr="000B3455" w:rsidTr="003E62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D5369" w:rsidRPr="000B3455" w:rsidRDefault="003D5369" w:rsidP="003D5369">
            <w:pPr>
              <w:autoSpaceDE w:val="0"/>
              <w:autoSpaceDN w:val="0"/>
              <w:adjustRightInd w:val="0"/>
              <w:spacing w:after="0" w:line="240" w:lineRule="auto"/>
              <w:rPr>
                <w:rFonts w:cs="Times New Roman"/>
              </w:rPr>
            </w:pPr>
          </w:p>
        </w:tc>
        <w:tc>
          <w:tcPr>
            <w:tcW w:w="1272" w:type="dxa"/>
            <w:tcBorders>
              <w:top w:val="nil"/>
              <w:left w:val="nil"/>
              <w:bottom w:val="single" w:sz="16" w:space="0" w:color="000000"/>
              <w:right w:val="single" w:sz="16" w:space="0" w:color="000000"/>
            </w:tcBorders>
            <w:shd w:val="clear" w:color="auto" w:fill="FFFFFF"/>
          </w:tcPr>
          <w:p w:rsidR="003D5369" w:rsidRPr="000B3455" w:rsidRDefault="003D5369" w:rsidP="003D5369">
            <w:pPr>
              <w:autoSpaceDE w:val="0"/>
              <w:autoSpaceDN w:val="0"/>
              <w:adjustRightInd w:val="0"/>
              <w:spacing w:after="0" w:line="320" w:lineRule="atLeast"/>
              <w:ind w:left="60" w:right="60"/>
              <w:rPr>
                <w:rFonts w:cs="Arial"/>
                <w:color w:val="000000"/>
              </w:rPr>
            </w:pPr>
            <w:r w:rsidRPr="000B3455">
              <w:rPr>
                <w:rFonts w:cs="Arial"/>
                <w:color w:val="000000"/>
              </w:rPr>
              <w:t>Total</w:t>
            </w:r>
          </w:p>
        </w:tc>
        <w:tc>
          <w:tcPr>
            <w:tcW w:w="1456" w:type="dxa"/>
            <w:tcBorders>
              <w:top w:val="nil"/>
              <w:left w:val="single" w:sz="16" w:space="0" w:color="000000"/>
              <w:bottom w:val="single" w:sz="16" w:space="0" w:color="000000"/>
            </w:tcBorders>
            <w:shd w:val="clear" w:color="auto" w:fill="FFFFFF"/>
          </w:tcPr>
          <w:p w:rsidR="003D5369" w:rsidRPr="000B3455" w:rsidRDefault="003D5369" w:rsidP="003D5369">
            <w:pPr>
              <w:autoSpaceDE w:val="0"/>
              <w:autoSpaceDN w:val="0"/>
              <w:adjustRightInd w:val="0"/>
              <w:spacing w:after="0" w:line="320" w:lineRule="atLeast"/>
              <w:ind w:left="60" w:right="60"/>
              <w:jc w:val="right"/>
              <w:rPr>
                <w:rFonts w:cs="Arial"/>
                <w:color w:val="000000"/>
              </w:rPr>
            </w:pPr>
            <w:r w:rsidRPr="000B3455">
              <w:rPr>
                <w:rFonts w:cs="Arial"/>
                <w:color w:val="000000"/>
              </w:rPr>
              <w:t>4,975</w:t>
            </w:r>
          </w:p>
        </w:tc>
        <w:tc>
          <w:tcPr>
            <w:tcW w:w="1009" w:type="dxa"/>
            <w:tcBorders>
              <w:top w:val="nil"/>
              <w:bottom w:val="single" w:sz="16" w:space="0" w:color="000000"/>
            </w:tcBorders>
            <w:shd w:val="clear" w:color="auto" w:fill="FFFFFF"/>
          </w:tcPr>
          <w:p w:rsidR="003D5369" w:rsidRPr="000B3455" w:rsidRDefault="003D5369" w:rsidP="003D5369">
            <w:pPr>
              <w:autoSpaceDE w:val="0"/>
              <w:autoSpaceDN w:val="0"/>
              <w:adjustRightInd w:val="0"/>
              <w:spacing w:after="0" w:line="320" w:lineRule="atLeast"/>
              <w:ind w:left="60" w:right="60"/>
              <w:jc w:val="right"/>
              <w:rPr>
                <w:rFonts w:cs="Arial"/>
                <w:color w:val="000000"/>
              </w:rPr>
            </w:pPr>
            <w:r w:rsidRPr="000B3455">
              <w:rPr>
                <w:rFonts w:cs="Arial"/>
                <w:color w:val="000000"/>
              </w:rPr>
              <w:t>200</w:t>
            </w:r>
          </w:p>
        </w:tc>
        <w:tc>
          <w:tcPr>
            <w:tcW w:w="1398" w:type="dxa"/>
            <w:tcBorders>
              <w:top w:val="nil"/>
              <w:bottom w:val="single" w:sz="16" w:space="0" w:color="000000"/>
            </w:tcBorders>
            <w:shd w:val="clear" w:color="auto" w:fill="FFFFFF"/>
            <w:vAlign w:val="center"/>
          </w:tcPr>
          <w:p w:rsidR="003D5369" w:rsidRPr="000B3455" w:rsidRDefault="003D5369" w:rsidP="003D5369">
            <w:pPr>
              <w:autoSpaceDE w:val="0"/>
              <w:autoSpaceDN w:val="0"/>
              <w:adjustRightInd w:val="0"/>
              <w:spacing w:after="0" w:line="240" w:lineRule="auto"/>
              <w:jc w:val="center"/>
              <w:rPr>
                <w:rFonts w:cs="Times New Roman"/>
              </w:rPr>
            </w:pPr>
          </w:p>
        </w:tc>
        <w:tc>
          <w:tcPr>
            <w:tcW w:w="1010" w:type="dxa"/>
            <w:tcBorders>
              <w:top w:val="nil"/>
              <w:bottom w:val="single" w:sz="16" w:space="0" w:color="000000"/>
            </w:tcBorders>
            <w:shd w:val="clear" w:color="auto" w:fill="FFFFFF"/>
            <w:vAlign w:val="center"/>
          </w:tcPr>
          <w:p w:rsidR="003D5369" w:rsidRPr="000B3455" w:rsidRDefault="003D5369" w:rsidP="003D5369">
            <w:pPr>
              <w:autoSpaceDE w:val="0"/>
              <w:autoSpaceDN w:val="0"/>
              <w:adjustRightInd w:val="0"/>
              <w:spacing w:after="0" w:line="240" w:lineRule="auto"/>
              <w:jc w:val="center"/>
              <w:rPr>
                <w:rFonts w:cs="Times New Roman"/>
              </w:rPr>
            </w:pPr>
          </w:p>
        </w:tc>
        <w:tc>
          <w:tcPr>
            <w:tcW w:w="1010" w:type="dxa"/>
            <w:tcBorders>
              <w:top w:val="nil"/>
              <w:bottom w:val="single" w:sz="16" w:space="0" w:color="000000"/>
              <w:right w:val="single" w:sz="16" w:space="0" w:color="000000"/>
            </w:tcBorders>
            <w:shd w:val="clear" w:color="auto" w:fill="FFFFFF"/>
            <w:vAlign w:val="center"/>
          </w:tcPr>
          <w:p w:rsidR="003D5369" w:rsidRPr="000B3455" w:rsidRDefault="003D5369" w:rsidP="003D5369">
            <w:pPr>
              <w:autoSpaceDE w:val="0"/>
              <w:autoSpaceDN w:val="0"/>
              <w:adjustRightInd w:val="0"/>
              <w:spacing w:after="0" w:line="240" w:lineRule="auto"/>
              <w:jc w:val="center"/>
              <w:rPr>
                <w:rFonts w:cs="Times New Roman"/>
              </w:rPr>
            </w:pPr>
          </w:p>
        </w:tc>
      </w:tr>
      <w:tr w:rsidR="003D5369" w:rsidRPr="000B3455" w:rsidTr="003E625F">
        <w:trPr>
          <w:cantSplit/>
          <w:tblHeader/>
        </w:trPr>
        <w:tc>
          <w:tcPr>
            <w:tcW w:w="7883" w:type="dxa"/>
            <w:gridSpan w:val="7"/>
            <w:tcBorders>
              <w:top w:val="nil"/>
              <w:left w:val="nil"/>
              <w:bottom w:val="nil"/>
              <w:right w:val="nil"/>
            </w:tcBorders>
            <w:shd w:val="clear" w:color="auto" w:fill="FFFFFF"/>
          </w:tcPr>
          <w:p w:rsidR="003D5369" w:rsidRPr="009A734A" w:rsidRDefault="00B92B41" w:rsidP="00B92B41">
            <w:pPr>
              <w:spacing w:line="360" w:lineRule="auto"/>
            </w:pPr>
            <w:r w:rsidRPr="00F97730">
              <w:rPr>
                <w:i/>
              </w:rPr>
              <w:t>*,**,*** significant at</w:t>
            </w:r>
            <w:r>
              <w:rPr>
                <w:i/>
              </w:rPr>
              <w:t xml:space="preserve"> the 0.1, 0.05 and 0.01 levels</w:t>
            </w:r>
            <w:r w:rsidRPr="00F97730">
              <w:rPr>
                <w:i/>
              </w:rPr>
              <w:t>.</w:t>
            </w:r>
            <w:r>
              <w:rPr>
                <w:i/>
              </w:rPr>
              <w:br/>
            </w:r>
            <w:r w:rsidR="009A734A">
              <w:rPr>
                <w:i/>
              </w:rPr>
              <w:t>PR_FV_STO</w:t>
            </w:r>
            <w:r w:rsidR="009A734A">
              <w:rPr>
                <w:i/>
                <w:vertAlign w:val="subscript"/>
              </w:rPr>
              <w:t>it</w:t>
            </w:r>
            <w:r w:rsidR="009A734A">
              <w:rPr>
                <w:i/>
              </w:rPr>
              <w:t xml:space="preserve"> = </w:t>
            </w:r>
            <w:r w:rsidR="009A734A">
              <w:rPr>
                <w:rFonts w:cstheme="minorHAnsi"/>
                <w:i/>
              </w:rPr>
              <w:t>β</w:t>
            </w:r>
            <w:r w:rsidR="009A734A">
              <w:rPr>
                <w:i/>
                <w:vertAlign w:val="subscript"/>
              </w:rPr>
              <w:t>0</w:t>
            </w:r>
            <w:r w:rsidR="009A734A">
              <w:rPr>
                <w:i/>
              </w:rPr>
              <w:t xml:space="preserve"> + </w:t>
            </w:r>
            <w:r w:rsidR="009A734A">
              <w:rPr>
                <w:rFonts w:cstheme="minorHAnsi"/>
                <w:i/>
              </w:rPr>
              <w:t>β</w:t>
            </w:r>
            <w:r w:rsidR="009A734A">
              <w:rPr>
                <w:i/>
                <w:vertAlign w:val="subscript"/>
              </w:rPr>
              <w:t>1</w:t>
            </w:r>
            <w:r w:rsidR="009A734A">
              <w:rPr>
                <w:i/>
              </w:rPr>
              <w:t xml:space="preserve"> 2003 + </w:t>
            </w:r>
            <w:r w:rsidR="009A734A">
              <w:rPr>
                <w:rFonts w:cstheme="minorHAnsi"/>
                <w:i/>
              </w:rPr>
              <w:t>β</w:t>
            </w:r>
            <w:r w:rsidR="009A734A">
              <w:rPr>
                <w:rFonts w:cstheme="minorHAnsi"/>
                <w:i/>
                <w:vertAlign w:val="subscript"/>
              </w:rPr>
              <w:t xml:space="preserve">2 </w:t>
            </w:r>
            <w:r w:rsidR="009A734A">
              <w:rPr>
                <w:rFonts w:cstheme="minorHAnsi"/>
                <w:i/>
              </w:rPr>
              <w:t>2004 + β</w:t>
            </w:r>
            <w:r w:rsidR="009A734A">
              <w:rPr>
                <w:rFonts w:cstheme="minorHAnsi"/>
                <w:i/>
                <w:vertAlign w:val="subscript"/>
              </w:rPr>
              <w:t>3</w:t>
            </w:r>
            <w:r w:rsidR="009A734A">
              <w:rPr>
                <w:rFonts w:cstheme="minorHAnsi"/>
                <w:i/>
              </w:rPr>
              <w:t xml:space="preserve"> 2005 + β</w:t>
            </w:r>
            <w:r w:rsidR="009A734A">
              <w:rPr>
                <w:rFonts w:cstheme="minorHAnsi"/>
                <w:i/>
                <w:vertAlign w:val="subscript"/>
              </w:rPr>
              <w:t>4</w:t>
            </w:r>
            <w:r w:rsidR="009A734A">
              <w:rPr>
                <w:rFonts w:cstheme="minorHAnsi"/>
                <w:i/>
              </w:rPr>
              <w:t xml:space="preserve"> 2006 + β</w:t>
            </w:r>
            <w:r w:rsidR="009A734A">
              <w:rPr>
                <w:rFonts w:cstheme="minorHAnsi"/>
                <w:i/>
                <w:vertAlign w:val="subscript"/>
              </w:rPr>
              <w:t>5</w:t>
            </w:r>
            <w:r w:rsidR="009A734A">
              <w:rPr>
                <w:rFonts w:cstheme="minorHAnsi"/>
                <w:i/>
              </w:rPr>
              <w:t xml:space="preserve"> 2007 + β</w:t>
            </w:r>
            <w:r w:rsidR="009A734A">
              <w:rPr>
                <w:rFonts w:cstheme="minorHAnsi"/>
                <w:i/>
                <w:vertAlign w:val="subscript"/>
              </w:rPr>
              <w:t>6</w:t>
            </w:r>
            <w:r w:rsidR="009A734A">
              <w:rPr>
                <w:i/>
              </w:rPr>
              <w:t xml:space="preserve"> LN_ASSETS</w:t>
            </w:r>
            <w:r w:rsidR="009A734A">
              <w:rPr>
                <w:i/>
                <w:vertAlign w:val="subscript"/>
              </w:rPr>
              <w:t>it</w:t>
            </w:r>
            <w:r w:rsidR="009A734A">
              <w:rPr>
                <w:i/>
              </w:rPr>
              <w:t xml:space="preserve"> + </w:t>
            </w:r>
            <w:r w:rsidR="009A734A">
              <w:rPr>
                <w:rFonts w:cstheme="minorHAnsi"/>
                <w:i/>
              </w:rPr>
              <w:t>β</w:t>
            </w:r>
            <w:r w:rsidR="009A734A">
              <w:rPr>
                <w:rFonts w:cstheme="minorHAnsi"/>
                <w:i/>
                <w:vertAlign w:val="subscript"/>
              </w:rPr>
              <w:t>7</w:t>
            </w:r>
            <w:r w:rsidR="009A734A">
              <w:rPr>
                <w:i/>
                <w:vertAlign w:val="subscript"/>
              </w:rPr>
              <w:t xml:space="preserve"> </w:t>
            </w:r>
            <w:r w:rsidR="009A734A">
              <w:rPr>
                <w:i/>
              </w:rPr>
              <w:t>MTB</w:t>
            </w:r>
            <w:r w:rsidR="009A734A">
              <w:rPr>
                <w:i/>
                <w:vertAlign w:val="subscript"/>
              </w:rPr>
              <w:t>it</w:t>
            </w:r>
            <w:r w:rsidR="009A734A">
              <w:rPr>
                <w:rFonts w:cstheme="minorHAnsi"/>
                <w:i/>
              </w:rPr>
              <w:t xml:space="preserve"> + β</w:t>
            </w:r>
            <w:r w:rsidR="009A734A">
              <w:rPr>
                <w:rFonts w:cstheme="minorHAnsi"/>
                <w:i/>
                <w:vertAlign w:val="subscript"/>
              </w:rPr>
              <w:t>8</w:t>
            </w:r>
            <w:r w:rsidR="009A734A">
              <w:rPr>
                <w:i/>
              </w:rPr>
              <w:t xml:space="preserve"> RET</w:t>
            </w:r>
            <w:r w:rsidR="009A734A">
              <w:rPr>
                <w:i/>
                <w:vertAlign w:val="subscript"/>
              </w:rPr>
              <w:t>it</w:t>
            </w:r>
            <w:r w:rsidR="009A734A">
              <w:rPr>
                <w:rFonts w:cstheme="minorHAnsi"/>
                <w:i/>
              </w:rPr>
              <w:t xml:space="preserve"> + β</w:t>
            </w:r>
            <w:r w:rsidR="009A734A">
              <w:rPr>
                <w:rFonts w:cstheme="minorHAnsi"/>
                <w:i/>
                <w:vertAlign w:val="subscript"/>
              </w:rPr>
              <w:t>9</w:t>
            </w:r>
            <w:r w:rsidR="009A734A">
              <w:rPr>
                <w:i/>
              </w:rPr>
              <w:t xml:space="preserve"> VOL</w:t>
            </w:r>
            <w:r w:rsidR="009A734A">
              <w:rPr>
                <w:i/>
                <w:vertAlign w:val="subscript"/>
              </w:rPr>
              <w:t>it</w:t>
            </w:r>
            <w:r w:rsidR="009A734A">
              <w:rPr>
                <w:rFonts w:cstheme="minorHAnsi"/>
                <w:i/>
              </w:rPr>
              <w:t xml:space="preserve"> + β</w:t>
            </w:r>
            <w:r w:rsidR="009A734A">
              <w:rPr>
                <w:rFonts w:cstheme="minorHAnsi"/>
                <w:i/>
                <w:vertAlign w:val="subscript"/>
              </w:rPr>
              <w:t>10</w:t>
            </w:r>
            <w:r w:rsidR="009A734A">
              <w:rPr>
                <w:i/>
              </w:rPr>
              <w:t xml:space="preserve"> BOA_SIZE</w:t>
            </w:r>
            <w:r w:rsidR="009A734A">
              <w:rPr>
                <w:i/>
                <w:vertAlign w:val="subscript"/>
              </w:rPr>
              <w:t>it</w:t>
            </w:r>
            <w:r w:rsidR="009A734A">
              <w:rPr>
                <w:rFonts w:cstheme="minorHAnsi"/>
                <w:i/>
              </w:rPr>
              <w:t xml:space="preserve"> + β</w:t>
            </w:r>
            <w:r w:rsidR="009A734A">
              <w:rPr>
                <w:rFonts w:cstheme="minorHAnsi"/>
                <w:i/>
                <w:vertAlign w:val="subscript"/>
              </w:rPr>
              <w:t>11</w:t>
            </w:r>
            <w:r w:rsidR="009A734A">
              <w:rPr>
                <w:i/>
              </w:rPr>
              <w:t xml:space="preserve"> LIQ_CON</w:t>
            </w:r>
            <w:r w:rsidR="009A734A">
              <w:rPr>
                <w:i/>
                <w:vertAlign w:val="subscript"/>
              </w:rPr>
              <w:t>it</w:t>
            </w:r>
            <w:r w:rsidR="009A734A">
              <w:rPr>
                <w:rFonts w:cstheme="minorHAnsi"/>
                <w:i/>
              </w:rPr>
              <w:t xml:space="preserve"> + ∑</w:t>
            </w:r>
            <w:r w:rsidR="009A734A">
              <w:rPr>
                <w:i/>
              </w:rPr>
              <w:t xml:space="preserve"> IND_DUMM</w:t>
            </w:r>
            <w:r w:rsidR="009A734A">
              <w:rPr>
                <w:i/>
                <w:vertAlign w:val="subscript"/>
              </w:rPr>
              <w:t>it</w:t>
            </w:r>
            <w:r w:rsidR="009A734A">
              <w:rPr>
                <w:i/>
              </w:rPr>
              <w:t xml:space="preserve"> + </w:t>
            </w:r>
            <w:r w:rsidR="009A734A">
              <w:rPr>
                <w:rFonts w:hAnsi="Times New Roman" w:cs="Times New Roman"/>
                <w:i/>
              </w:rPr>
              <w:t>ɛ</w:t>
            </w:r>
            <w:r w:rsidR="009A734A">
              <w:rPr>
                <w:i/>
                <w:vertAlign w:val="subscript"/>
              </w:rPr>
              <w:t>it</w:t>
            </w:r>
          </w:p>
        </w:tc>
      </w:tr>
    </w:tbl>
    <w:p w:rsidR="003D5369" w:rsidRPr="000B3455" w:rsidRDefault="00D51742" w:rsidP="00D51742">
      <w:pPr>
        <w:pStyle w:val="Caption"/>
        <w:rPr>
          <w:rFonts w:cs="Times New Roman"/>
          <w:sz w:val="22"/>
          <w:szCs w:val="22"/>
        </w:rPr>
      </w:pPr>
      <w:bookmarkStart w:id="118" w:name="_Ref298856008"/>
      <w:r>
        <w:t xml:space="preserve">Table </w:t>
      </w:r>
      <w:fldSimple w:instr=" SEQ Table \* ARABIC ">
        <w:r w:rsidR="001D5F9A">
          <w:rPr>
            <w:noProof/>
          </w:rPr>
          <w:t>4</w:t>
        </w:r>
      </w:fldSimple>
      <w:bookmarkEnd w:id="118"/>
      <w:r w:rsidR="009A734A">
        <w:t xml:space="preserve">: </w:t>
      </w:r>
      <w:r w:rsidR="009A734A" w:rsidRPr="009A734A">
        <w:rPr>
          <w:color w:val="auto"/>
        </w:rPr>
        <w:t>SPSS analysis of variance</w:t>
      </w:r>
    </w:p>
    <w:p w:rsidR="00AD3252" w:rsidRPr="000B3455" w:rsidRDefault="00B92B41" w:rsidP="00B92B41">
      <w:pPr>
        <w:rPr>
          <w:rFonts w:cs="Times New Roman"/>
        </w:rPr>
      </w:pPr>
      <w:r>
        <w:rPr>
          <w:rFonts w:cs="Times New Roman"/>
        </w:rPr>
        <w:br w:type="page"/>
      </w:r>
    </w:p>
    <w:tbl>
      <w:tblPr>
        <w:tblW w:w="103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0"/>
        <w:gridCol w:w="2433"/>
        <w:gridCol w:w="1327"/>
        <w:gridCol w:w="1325"/>
        <w:gridCol w:w="1459"/>
        <w:gridCol w:w="1013"/>
        <w:gridCol w:w="1013"/>
        <w:gridCol w:w="1013"/>
      </w:tblGrid>
      <w:tr w:rsidR="00AD3252" w:rsidRPr="000B3455" w:rsidTr="00D87452">
        <w:trPr>
          <w:cantSplit/>
          <w:tblHeader/>
        </w:trPr>
        <w:tc>
          <w:tcPr>
            <w:tcW w:w="9300" w:type="dxa"/>
            <w:gridSpan w:val="7"/>
            <w:tcBorders>
              <w:top w:val="nil"/>
              <w:left w:val="nil"/>
              <w:bottom w:val="nil"/>
              <w:right w:val="nil"/>
            </w:tcBorders>
            <w:shd w:val="clear" w:color="auto" w:fill="FFFFFF"/>
            <w:vAlign w:val="center"/>
          </w:tcPr>
          <w:p w:rsidR="00AD3252" w:rsidRPr="000B3455" w:rsidRDefault="00AD3252" w:rsidP="00D87452">
            <w:pPr>
              <w:autoSpaceDE w:val="0"/>
              <w:autoSpaceDN w:val="0"/>
              <w:adjustRightInd w:val="0"/>
              <w:spacing w:after="0" w:line="320" w:lineRule="atLeast"/>
              <w:ind w:left="60" w:right="60"/>
              <w:jc w:val="center"/>
              <w:rPr>
                <w:rFonts w:cs="Arial"/>
                <w:color w:val="000000"/>
              </w:rPr>
            </w:pPr>
            <w:r w:rsidRPr="000B3455">
              <w:rPr>
                <w:rFonts w:cs="Arial"/>
                <w:b/>
                <w:bCs/>
                <w:color w:val="000000"/>
              </w:rPr>
              <w:lastRenderedPageBreak/>
              <w:t>Coefficients</w:t>
            </w:r>
            <w:r w:rsidRPr="000B3455">
              <w:rPr>
                <w:rFonts w:cs="Arial"/>
                <w:b/>
                <w:bCs/>
                <w:color w:val="000000"/>
                <w:vertAlign w:val="superscript"/>
              </w:rPr>
              <w:t>a</w:t>
            </w:r>
          </w:p>
        </w:tc>
        <w:tc>
          <w:tcPr>
            <w:tcW w:w="1013" w:type="dxa"/>
            <w:tcBorders>
              <w:top w:val="nil"/>
              <w:left w:val="nil"/>
              <w:bottom w:val="nil"/>
              <w:right w:val="nil"/>
            </w:tcBorders>
            <w:shd w:val="clear" w:color="auto" w:fill="FFFFFF"/>
          </w:tcPr>
          <w:p w:rsidR="00AD3252" w:rsidRPr="000B3455" w:rsidRDefault="00AD3252" w:rsidP="00D87452">
            <w:pPr>
              <w:autoSpaceDE w:val="0"/>
              <w:autoSpaceDN w:val="0"/>
              <w:adjustRightInd w:val="0"/>
              <w:spacing w:after="0" w:line="320" w:lineRule="atLeast"/>
              <w:ind w:left="60" w:right="60"/>
              <w:jc w:val="center"/>
              <w:rPr>
                <w:rFonts w:cs="Arial"/>
                <w:b/>
                <w:bCs/>
                <w:color w:val="000000"/>
              </w:rPr>
            </w:pPr>
          </w:p>
        </w:tc>
      </w:tr>
      <w:tr w:rsidR="00AD3252" w:rsidRPr="000B3455" w:rsidTr="00D87452">
        <w:trPr>
          <w:cantSplit/>
          <w:tblHeader/>
        </w:trPr>
        <w:tc>
          <w:tcPr>
            <w:tcW w:w="3163"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Pr>
          <w:p w:rsidR="00AD3252" w:rsidRPr="000B3455" w:rsidRDefault="00AD3252" w:rsidP="00D87452">
            <w:pPr>
              <w:autoSpaceDE w:val="0"/>
              <w:autoSpaceDN w:val="0"/>
              <w:adjustRightInd w:val="0"/>
              <w:spacing w:after="0" w:line="320" w:lineRule="atLeast"/>
              <w:ind w:left="60" w:right="60"/>
              <w:rPr>
                <w:rFonts w:cs="Arial"/>
                <w:color w:val="000000"/>
              </w:rPr>
            </w:pPr>
            <w:r w:rsidRPr="000B3455">
              <w:rPr>
                <w:rFonts w:cs="Arial"/>
                <w:color w:val="000000"/>
              </w:rPr>
              <w:t>Model</w:t>
            </w:r>
          </w:p>
        </w:tc>
        <w:tc>
          <w:tcPr>
            <w:tcW w:w="2652" w:type="dxa"/>
            <w:gridSpan w:val="2"/>
            <w:tcBorders>
              <w:top w:val="single" w:sz="16" w:space="0" w:color="000000"/>
              <w:left w:val="single" w:sz="16" w:space="0" w:color="000000"/>
            </w:tcBorders>
            <w:shd w:val="clear" w:color="auto" w:fill="FFFFFF"/>
            <w:vAlign w:val="bottom"/>
          </w:tcPr>
          <w:p w:rsidR="00AD3252" w:rsidRPr="000B3455" w:rsidRDefault="00AD3252" w:rsidP="00D87452">
            <w:pPr>
              <w:autoSpaceDE w:val="0"/>
              <w:autoSpaceDN w:val="0"/>
              <w:adjustRightInd w:val="0"/>
              <w:spacing w:after="0" w:line="320" w:lineRule="atLeast"/>
              <w:ind w:left="60" w:right="60"/>
              <w:jc w:val="center"/>
              <w:rPr>
                <w:rFonts w:cs="Arial"/>
                <w:color w:val="000000"/>
              </w:rPr>
            </w:pPr>
            <w:r w:rsidRPr="000B3455">
              <w:rPr>
                <w:rFonts w:cs="Arial"/>
                <w:color w:val="000000"/>
              </w:rPr>
              <w:t>Unstandardized Coefficients</w:t>
            </w:r>
          </w:p>
        </w:tc>
        <w:tc>
          <w:tcPr>
            <w:tcW w:w="1459" w:type="dxa"/>
            <w:tcBorders>
              <w:top w:val="single" w:sz="16" w:space="0" w:color="000000"/>
            </w:tcBorders>
            <w:shd w:val="clear" w:color="auto" w:fill="FFFFFF"/>
            <w:vAlign w:val="bottom"/>
          </w:tcPr>
          <w:p w:rsidR="00AD3252" w:rsidRPr="000B3455" w:rsidRDefault="00AD3252" w:rsidP="00D87452">
            <w:pPr>
              <w:autoSpaceDE w:val="0"/>
              <w:autoSpaceDN w:val="0"/>
              <w:adjustRightInd w:val="0"/>
              <w:spacing w:after="0" w:line="320" w:lineRule="atLeast"/>
              <w:ind w:left="60" w:right="60"/>
              <w:jc w:val="center"/>
              <w:rPr>
                <w:rFonts w:cs="Arial"/>
                <w:color w:val="000000"/>
              </w:rPr>
            </w:pPr>
            <w:r w:rsidRPr="000B3455">
              <w:rPr>
                <w:rFonts w:cs="Arial"/>
                <w:color w:val="000000"/>
              </w:rPr>
              <w:t>Standardized Coefficients</w:t>
            </w:r>
          </w:p>
        </w:tc>
        <w:tc>
          <w:tcPr>
            <w:tcW w:w="1013" w:type="dxa"/>
            <w:vMerge w:val="restart"/>
            <w:tcBorders>
              <w:top w:val="single" w:sz="16" w:space="0" w:color="000000"/>
              <w:bottom w:val="single" w:sz="16" w:space="0" w:color="000000"/>
            </w:tcBorders>
            <w:shd w:val="clear" w:color="auto" w:fill="FFFFFF"/>
            <w:vAlign w:val="bottom"/>
          </w:tcPr>
          <w:p w:rsidR="00AD3252" w:rsidRPr="000B3455" w:rsidRDefault="00AD3252" w:rsidP="00D87452">
            <w:pPr>
              <w:autoSpaceDE w:val="0"/>
              <w:autoSpaceDN w:val="0"/>
              <w:adjustRightInd w:val="0"/>
              <w:spacing w:after="0" w:line="320" w:lineRule="atLeast"/>
              <w:ind w:left="60" w:right="60"/>
              <w:jc w:val="center"/>
              <w:rPr>
                <w:rFonts w:cs="Arial"/>
                <w:color w:val="000000"/>
              </w:rPr>
            </w:pPr>
            <w:r w:rsidRPr="000B3455">
              <w:rPr>
                <w:rFonts w:cs="Arial"/>
                <w:color w:val="000000"/>
              </w:rPr>
              <w:t>t</w:t>
            </w:r>
          </w:p>
        </w:tc>
        <w:tc>
          <w:tcPr>
            <w:tcW w:w="1013" w:type="dxa"/>
            <w:vMerge w:val="restart"/>
            <w:tcBorders>
              <w:top w:val="single" w:sz="16" w:space="0" w:color="000000"/>
              <w:bottom w:val="single" w:sz="16" w:space="0" w:color="000000"/>
              <w:right w:val="single" w:sz="16" w:space="0" w:color="000000"/>
            </w:tcBorders>
            <w:shd w:val="clear" w:color="auto" w:fill="FFFFFF"/>
            <w:vAlign w:val="bottom"/>
          </w:tcPr>
          <w:p w:rsidR="00AD3252" w:rsidRPr="000B3455" w:rsidRDefault="00AD3252" w:rsidP="00D87452">
            <w:pPr>
              <w:autoSpaceDE w:val="0"/>
              <w:autoSpaceDN w:val="0"/>
              <w:adjustRightInd w:val="0"/>
              <w:spacing w:after="0" w:line="320" w:lineRule="atLeast"/>
              <w:ind w:left="60" w:right="60"/>
              <w:jc w:val="center"/>
              <w:rPr>
                <w:rFonts w:cs="Arial"/>
                <w:color w:val="000000"/>
              </w:rPr>
            </w:pPr>
            <w:r w:rsidRPr="000B3455">
              <w:rPr>
                <w:rFonts w:cs="Arial"/>
                <w:color w:val="000000"/>
              </w:rPr>
              <w:t>Sig.</w:t>
            </w:r>
          </w:p>
        </w:tc>
        <w:tc>
          <w:tcPr>
            <w:tcW w:w="1013" w:type="dxa"/>
            <w:vMerge w:val="restart"/>
            <w:tcBorders>
              <w:top w:val="single" w:sz="16" w:space="0" w:color="000000"/>
              <w:right w:val="single" w:sz="16" w:space="0" w:color="000000"/>
            </w:tcBorders>
            <w:shd w:val="clear" w:color="auto" w:fill="FFFFFF"/>
            <w:vAlign w:val="bottom"/>
          </w:tcPr>
          <w:p w:rsidR="00AD3252" w:rsidRPr="000B3455" w:rsidRDefault="00AD3252" w:rsidP="00D87452">
            <w:pPr>
              <w:autoSpaceDE w:val="0"/>
              <w:autoSpaceDN w:val="0"/>
              <w:adjustRightInd w:val="0"/>
              <w:spacing w:after="0" w:line="320" w:lineRule="atLeast"/>
              <w:ind w:left="60" w:right="60"/>
              <w:jc w:val="center"/>
              <w:rPr>
                <w:rFonts w:cs="Arial"/>
                <w:color w:val="000000"/>
              </w:rPr>
            </w:pPr>
            <w:r w:rsidRPr="000B3455">
              <w:rPr>
                <w:rFonts w:cs="Arial"/>
                <w:color w:val="000000"/>
              </w:rPr>
              <w:t>Sig. 1-tailed</w:t>
            </w:r>
          </w:p>
        </w:tc>
      </w:tr>
      <w:tr w:rsidR="00AD3252" w:rsidRPr="000B3455" w:rsidTr="00D87452">
        <w:trPr>
          <w:cantSplit/>
          <w:tblHeader/>
        </w:trPr>
        <w:tc>
          <w:tcPr>
            <w:tcW w:w="3163" w:type="dxa"/>
            <w:gridSpan w:val="2"/>
            <w:vMerge/>
            <w:tcBorders>
              <w:top w:val="single" w:sz="16" w:space="0" w:color="000000"/>
              <w:left w:val="single" w:sz="16" w:space="0" w:color="000000"/>
              <w:bottom w:val="single" w:sz="16" w:space="0" w:color="000000"/>
              <w:right w:val="single" w:sz="16" w:space="0" w:color="000000"/>
            </w:tcBorders>
            <w:shd w:val="clear" w:color="auto" w:fill="FFFFFF"/>
          </w:tcPr>
          <w:p w:rsidR="00AD3252" w:rsidRPr="000B3455" w:rsidRDefault="00AD3252" w:rsidP="00D87452">
            <w:pPr>
              <w:autoSpaceDE w:val="0"/>
              <w:autoSpaceDN w:val="0"/>
              <w:adjustRightInd w:val="0"/>
              <w:spacing w:after="0" w:line="240" w:lineRule="auto"/>
              <w:rPr>
                <w:rFonts w:cs="Arial"/>
                <w:color w:val="000000"/>
              </w:rPr>
            </w:pPr>
          </w:p>
        </w:tc>
        <w:tc>
          <w:tcPr>
            <w:tcW w:w="1327" w:type="dxa"/>
            <w:tcBorders>
              <w:left w:val="single" w:sz="16" w:space="0" w:color="000000"/>
              <w:bottom w:val="single" w:sz="16" w:space="0" w:color="000000"/>
            </w:tcBorders>
            <w:shd w:val="clear" w:color="auto" w:fill="FFFFFF"/>
            <w:vAlign w:val="bottom"/>
          </w:tcPr>
          <w:p w:rsidR="00AD3252" w:rsidRPr="000B3455" w:rsidRDefault="00AD3252" w:rsidP="00D87452">
            <w:pPr>
              <w:autoSpaceDE w:val="0"/>
              <w:autoSpaceDN w:val="0"/>
              <w:adjustRightInd w:val="0"/>
              <w:spacing w:after="0" w:line="320" w:lineRule="atLeast"/>
              <w:ind w:left="60" w:right="60"/>
              <w:jc w:val="center"/>
              <w:rPr>
                <w:rFonts w:cs="Arial"/>
                <w:color w:val="000000"/>
              </w:rPr>
            </w:pPr>
            <w:r w:rsidRPr="000B3455">
              <w:rPr>
                <w:rFonts w:cs="Arial"/>
                <w:color w:val="000000"/>
              </w:rPr>
              <w:t>B</w:t>
            </w:r>
          </w:p>
        </w:tc>
        <w:tc>
          <w:tcPr>
            <w:tcW w:w="1325" w:type="dxa"/>
            <w:tcBorders>
              <w:bottom w:val="single" w:sz="16" w:space="0" w:color="000000"/>
            </w:tcBorders>
            <w:shd w:val="clear" w:color="auto" w:fill="FFFFFF"/>
            <w:vAlign w:val="bottom"/>
          </w:tcPr>
          <w:p w:rsidR="00AD3252" w:rsidRPr="000B3455" w:rsidRDefault="00AD3252" w:rsidP="00D87452">
            <w:pPr>
              <w:autoSpaceDE w:val="0"/>
              <w:autoSpaceDN w:val="0"/>
              <w:adjustRightInd w:val="0"/>
              <w:spacing w:after="0" w:line="320" w:lineRule="atLeast"/>
              <w:ind w:left="60" w:right="60"/>
              <w:jc w:val="center"/>
              <w:rPr>
                <w:rFonts w:cs="Arial"/>
                <w:color w:val="000000"/>
              </w:rPr>
            </w:pPr>
            <w:r w:rsidRPr="000B3455">
              <w:rPr>
                <w:rFonts w:cs="Arial"/>
                <w:color w:val="000000"/>
              </w:rPr>
              <w:t>Std. Error</w:t>
            </w:r>
          </w:p>
        </w:tc>
        <w:tc>
          <w:tcPr>
            <w:tcW w:w="1459" w:type="dxa"/>
            <w:tcBorders>
              <w:bottom w:val="single" w:sz="16" w:space="0" w:color="000000"/>
            </w:tcBorders>
            <w:shd w:val="clear" w:color="auto" w:fill="FFFFFF"/>
            <w:vAlign w:val="bottom"/>
          </w:tcPr>
          <w:p w:rsidR="00AD3252" w:rsidRPr="000B3455" w:rsidRDefault="00AD3252" w:rsidP="00D87452">
            <w:pPr>
              <w:autoSpaceDE w:val="0"/>
              <w:autoSpaceDN w:val="0"/>
              <w:adjustRightInd w:val="0"/>
              <w:spacing w:after="0" w:line="320" w:lineRule="atLeast"/>
              <w:ind w:left="60" w:right="60"/>
              <w:jc w:val="center"/>
              <w:rPr>
                <w:rFonts w:cs="Arial"/>
                <w:color w:val="000000"/>
              </w:rPr>
            </w:pPr>
            <w:r w:rsidRPr="000B3455">
              <w:rPr>
                <w:rFonts w:cs="Arial"/>
                <w:color w:val="000000"/>
              </w:rPr>
              <w:t>Beta</w:t>
            </w:r>
          </w:p>
        </w:tc>
        <w:tc>
          <w:tcPr>
            <w:tcW w:w="1013" w:type="dxa"/>
            <w:vMerge/>
            <w:tcBorders>
              <w:top w:val="single" w:sz="16" w:space="0" w:color="000000"/>
              <w:bottom w:val="single" w:sz="16" w:space="0" w:color="000000"/>
            </w:tcBorders>
            <w:shd w:val="clear" w:color="auto" w:fill="FFFFFF"/>
            <w:vAlign w:val="bottom"/>
          </w:tcPr>
          <w:p w:rsidR="00AD3252" w:rsidRPr="000B3455" w:rsidRDefault="00AD3252" w:rsidP="00D87452">
            <w:pPr>
              <w:autoSpaceDE w:val="0"/>
              <w:autoSpaceDN w:val="0"/>
              <w:adjustRightInd w:val="0"/>
              <w:spacing w:after="0" w:line="240" w:lineRule="auto"/>
              <w:rPr>
                <w:rFonts w:cs="Arial"/>
                <w:color w:val="000000"/>
              </w:rPr>
            </w:pPr>
          </w:p>
        </w:tc>
        <w:tc>
          <w:tcPr>
            <w:tcW w:w="1013" w:type="dxa"/>
            <w:vMerge/>
            <w:tcBorders>
              <w:top w:val="single" w:sz="16" w:space="0" w:color="000000"/>
              <w:bottom w:val="single" w:sz="16" w:space="0" w:color="000000"/>
              <w:right w:val="single" w:sz="16" w:space="0" w:color="000000"/>
            </w:tcBorders>
            <w:shd w:val="clear" w:color="auto" w:fill="FFFFFF"/>
            <w:vAlign w:val="bottom"/>
          </w:tcPr>
          <w:p w:rsidR="00AD3252" w:rsidRPr="000B3455" w:rsidRDefault="00AD3252" w:rsidP="00D87452">
            <w:pPr>
              <w:autoSpaceDE w:val="0"/>
              <w:autoSpaceDN w:val="0"/>
              <w:adjustRightInd w:val="0"/>
              <w:spacing w:after="0" w:line="240" w:lineRule="auto"/>
              <w:rPr>
                <w:rFonts w:cs="Arial"/>
                <w:color w:val="000000"/>
              </w:rPr>
            </w:pPr>
          </w:p>
        </w:tc>
        <w:tc>
          <w:tcPr>
            <w:tcW w:w="1013" w:type="dxa"/>
            <w:vMerge/>
            <w:tcBorders>
              <w:bottom w:val="single" w:sz="16" w:space="0" w:color="000000"/>
              <w:right w:val="single" w:sz="16" w:space="0" w:color="000000"/>
            </w:tcBorders>
            <w:shd w:val="clear" w:color="auto" w:fill="FFFFFF"/>
          </w:tcPr>
          <w:p w:rsidR="00AD3252" w:rsidRPr="000B3455" w:rsidRDefault="00AD3252" w:rsidP="00D87452">
            <w:pPr>
              <w:autoSpaceDE w:val="0"/>
              <w:autoSpaceDN w:val="0"/>
              <w:adjustRightInd w:val="0"/>
              <w:spacing w:after="0" w:line="240" w:lineRule="auto"/>
              <w:rPr>
                <w:rFonts w:cs="Arial"/>
                <w:color w:val="000000"/>
              </w:rPr>
            </w:pPr>
          </w:p>
        </w:tc>
      </w:tr>
      <w:tr w:rsidR="00AD3252" w:rsidRPr="000B3455" w:rsidTr="00F97730">
        <w:trPr>
          <w:cantSplit/>
          <w:tblHeader/>
        </w:trPr>
        <w:tc>
          <w:tcPr>
            <w:tcW w:w="730" w:type="dxa"/>
            <w:vMerge w:val="restart"/>
            <w:tcBorders>
              <w:top w:val="single" w:sz="16" w:space="0" w:color="000000"/>
              <w:left w:val="single" w:sz="16" w:space="0" w:color="000000"/>
              <w:bottom w:val="single" w:sz="16" w:space="0" w:color="000000"/>
              <w:right w:val="nil"/>
            </w:tcBorders>
            <w:shd w:val="clear" w:color="auto" w:fill="FFFFFF"/>
          </w:tcPr>
          <w:p w:rsidR="00AD3252" w:rsidRPr="000B3455" w:rsidRDefault="00AD3252" w:rsidP="00D87452">
            <w:pPr>
              <w:autoSpaceDE w:val="0"/>
              <w:autoSpaceDN w:val="0"/>
              <w:adjustRightInd w:val="0"/>
              <w:spacing w:after="0" w:line="320" w:lineRule="atLeast"/>
              <w:ind w:left="60" w:right="60"/>
              <w:rPr>
                <w:rFonts w:cs="Arial"/>
                <w:color w:val="000000"/>
              </w:rPr>
            </w:pPr>
            <w:r w:rsidRPr="000B3455">
              <w:rPr>
                <w:rFonts w:cs="Arial"/>
                <w:color w:val="000000"/>
              </w:rPr>
              <w:t>1</w:t>
            </w:r>
          </w:p>
        </w:tc>
        <w:tc>
          <w:tcPr>
            <w:tcW w:w="2433" w:type="dxa"/>
            <w:tcBorders>
              <w:top w:val="single" w:sz="16" w:space="0" w:color="000000"/>
              <w:left w:val="nil"/>
              <w:bottom w:val="nil"/>
              <w:right w:val="single" w:sz="16" w:space="0" w:color="000000"/>
            </w:tcBorders>
            <w:shd w:val="clear" w:color="auto" w:fill="FFFFFF"/>
          </w:tcPr>
          <w:p w:rsidR="00AD3252" w:rsidRPr="000B3455" w:rsidRDefault="00AD3252" w:rsidP="00D87452">
            <w:pPr>
              <w:autoSpaceDE w:val="0"/>
              <w:autoSpaceDN w:val="0"/>
              <w:adjustRightInd w:val="0"/>
              <w:spacing w:after="0" w:line="320" w:lineRule="atLeast"/>
              <w:ind w:left="60" w:right="60"/>
              <w:rPr>
                <w:rFonts w:cs="Arial"/>
                <w:color w:val="000000"/>
              </w:rPr>
            </w:pPr>
            <w:r w:rsidRPr="000B3455">
              <w:rPr>
                <w:rFonts w:cs="Arial"/>
                <w:color w:val="000000"/>
              </w:rPr>
              <w:t>(Constant)</w:t>
            </w:r>
          </w:p>
        </w:tc>
        <w:tc>
          <w:tcPr>
            <w:tcW w:w="1327" w:type="dxa"/>
            <w:tcBorders>
              <w:top w:val="single" w:sz="16" w:space="0" w:color="000000"/>
              <w:left w:val="single" w:sz="16" w:space="0" w:color="000000"/>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-,039</w:t>
            </w:r>
          </w:p>
        </w:tc>
        <w:tc>
          <w:tcPr>
            <w:tcW w:w="1325" w:type="dxa"/>
            <w:tcBorders>
              <w:top w:val="single" w:sz="16" w:space="0" w:color="000000"/>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,129</w:t>
            </w:r>
          </w:p>
        </w:tc>
        <w:tc>
          <w:tcPr>
            <w:tcW w:w="1459" w:type="dxa"/>
            <w:tcBorders>
              <w:top w:val="single" w:sz="16" w:space="0" w:color="000000"/>
              <w:bottom w:val="nil"/>
            </w:tcBorders>
            <w:shd w:val="clear" w:color="auto" w:fill="FFFFFF"/>
          </w:tcPr>
          <w:p w:rsidR="00AD3252" w:rsidRPr="000B3455" w:rsidRDefault="00AD3252" w:rsidP="00F97730">
            <w:pPr>
              <w:autoSpaceDE w:val="0"/>
              <w:autoSpaceDN w:val="0"/>
              <w:adjustRightInd w:val="0"/>
              <w:spacing w:after="0" w:line="240" w:lineRule="auto"/>
              <w:jc w:val="right"/>
              <w:rPr>
                <w:rFonts w:cs="Times New Roman"/>
              </w:rPr>
            </w:pPr>
          </w:p>
        </w:tc>
        <w:tc>
          <w:tcPr>
            <w:tcW w:w="1013" w:type="dxa"/>
            <w:tcBorders>
              <w:top w:val="single" w:sz="16" w:space="0" w:color="000000"/>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-,305</w:t>
            </w:r>
          </w:p>
        </w:tc>
        <w:tc>
          <w:tcPr>
            <w:tcW w:w="1013" w:type="dxa"/>
            <w:tcBorders>
              <w:top w:val="single" w:sz="16" w:space="0" w:color="000000"/>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,760</w:t>
            </w:r>
          </w:p>
        </w:tc>
        <w:tc>
          <w:tcPr>
            <w:tcW w:w="1013" w:type="dxa"/>
            <w:tcBorders>
              <w:top w:val="single" w:sz="16" w:space="0" w:color="000000"/>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rPr>
                <w:rFonts w:cs="Arial"/>
                <w:color w:val="000000"/>
              </w:rPr>
            </w:pPr>
            <w:r w:rsidRPr="000B3455">
              <w:rPr>
                <w:rFonts w:cs="Arial"/>
                <w:color w:val="000000"/>
              </w:rPr>
              <w:t>,380</w:t>
            </w:r>
          </w:p>
        </w:tc>
      </w:tr>
      <w:tr w:rsidR="00AD3252"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AD3252" w:rsidRPr="000B3455" w:rsidRDefault="00AD3252" w:rsidP="00D87452">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AD3252" w:rsidRPr="000B3455" w:rsidRDefault="00AD3252" w:rsidP="00D87452">
            <w:pPr>
              <w:autoSpaceDE w:val="0"/>
              <w:autoSpaceDN w:val="0"/>
              <w:adjustRightInd w:val="0"/>
              <w:spacing w:after="0" w:line="320" w:lineRule="atLeast"/>
              <w:ind w:left="60" w:right="60"/>
              <w:rPr>
                <w:rFonts w:cs="Arial"/>
                <w:color w:val="000000"/>
              </w:rPr>
            </w:pPr>
            <w:r w:rsidRPr="000B3455">
              <w:rPr>
                <w:rFonts w:cs="Arial"/>
                <w:color w:val="000000"/>
              </w:rPr>
              <w:t>D_2003</w:t>
            </w:r>
          </w:p>
        </w:tc>
        <w:tc>
          <w:tcPr>
            <w:tcW w:w="1327" w:type="dxa"/>
            <w:tcBorders>
              <w:top w:val="nil"/>
              <w:left w:val="single" w:sz="16" w:space="0" w:color="000000"/>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-,003</w:t>
            </w:r>
          </w:p>
        </w:tc>
        <w:tc>
          <w:tcPr>
            <w:tcW w:w="1325"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,042</w:t>
            </w:r>
          </w:p>
        </w:tc>
        <w:tc>
          <w:tcPr>
            <w:tcW w:w="1459"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-,007</w:t>
            </w:r>
          </w:p>
        </w:tc>
        <w:tc>
          <w:tcPr>
            <w:tcW w:w="1013"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-,071</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,944</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rPr>
                <w:rFonts w:cs="Arial"/>
                <w:color w:val="000000"/>
              </w:rPr>
            </w:pPr>
            <w:r w:rsidRPr="000B3455">
              <w:rPr>
                <w:rFonts w:cs="Arial"/>
                <w:color w:val="000000"/>
              </w:rPr>
              <w:t>,472</w:t>
            </w:r>
          </w:p>
        </w:tc>
      </w:tr>
      <w:tr w:rsidR="00AD3252"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AD3252" w:rsidRPr="000B3455" w:rsidRDefault="00AD3252" w:rsidP="00D87452">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AD3252" w:rsidRPr="000B3455" w:rsidRDefault="00AD3252" w:rsidP="00D87452">
            <w:pPr>
              <w:autoSpaceDE w:val="0"/>
              <w:autoSpaceDN w:val="0"/>
              <w:adjustRightInd w:val="0"/>
              <w:spacing w:after="0" w:line="320" w:lineRule="atLeast"/>
              <w:ind w:left="60" w:right="60"/>
              <w:rPr>
                <w:rFonts w:cs="Arial"/>
                <w:color w:val="000000"/>
              </w:rPr>
            </w:pPr>
            <w:r w:rsidRPr="000B3455">
              <w:rPr>
                <w:rFonts w:cs="Arial"/>
                <w:color w:val="000000"/>
              </w:rPr>
              <w:t>D_2004</w:t>
            </w:r>
          </w:p>
        </w:tc>
        <w:tc>
          <w:tcPr>
            <w:tcW w:w="1327" w:type="dxa"/>
            <w:tcBorders>
              <w:top w:val="nil"/>
              <w:left w:val="single" w:sz="16" w:space="0" w:color="000000"/>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-,072</w:t>
            </w:r>
          </w:p>
        </w:tc>
        <w:tc>
          <w:tcPr>
            <w:tcW w:w="1325"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,042</w:t>
            </w:r>
          </w:p>
        </w:tc>
        <w:tc>
          <w:tcPr>
            <w:tcW w:w="1459"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-,171</w:t>
            </w:r>
          </w:p>
        </w:tc>
        <w:tc>
          <w:tcPr>
            <w:tcW w:w="1013"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-1,688</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,093</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rPr>
                <w:rFonts w:cs="Arial"/>
                <w:color w:val="000000"/>
              </w:rPr>
            </w:pPr>
            <w:r w:rsidRPr="000B3455">
              <w:rPr>
                <w:rFonts w:cs="Arial"/>
                <w:color w:val="000000"/>
              </w:rPr>
              <w:t>,047</w:t>
            </w:r>
            <w:r w:rsidR="00F97730">
              <w:rPr>
                <w:rFonts w:cs="Arial"/>
                <w:color w:val="000000"/>
              </w:rPr>
              <w:t>**</w:t>
            </w:r>
          </w:p>
        </w:tc>
      </w:tr>
      <w:tr w:rsidR="00AD3252"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AD3252" w:rsidRPr="000B3455" w:rsidRDefault="00AD3252" w:rsidP="00D87452">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AD3252" w:rsidRPr="000B3455" w:rsidRDefault="00AD3252" w:rsidP="00D87452">
            <w:pPr>
              <w:autoSpaceDE w:val="0"/>
              <w:autoSpaceDN w:val="0"/>
              <w:adjustRightInd w:val="0"/>
              <w:spacing w:after="0" w:line="320" w:lineRule="atLeast"/>
              <w:ind w:left="60" w:right="60"/>
              <w:rPr>
                <w:rFonts w:cs="Arial"/>
                <w:color w:val="000000"/>
              </w:rPr>
            </w:pPr>
            <w:r w:rsidRPr="000B3455">
              <w:rPr>
                <w:rFonts w:cs="Arial"/>
                <w:color w:val="000000"/>
              </w:rPr>
              <w:t>D_2005</w:t>
            </w:r>
          </w:p>
        </w:tc>
        <w:tc>
          <w:tcPr>
            <w:tcW w:w="1327" w:type="dxa"/>
            <w:tcBorders>
              <w:top w:val="nil"/>
              <w:left w:val="single" w:sz="16" w:space="0" w:color="000000"/>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-,098</w:t>
            </w:r>
          </w:p>
        </w:tc>
        <w:tc>
          <w:tcPr>
            <w:tcW w:w="1325"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,046</w:t>
            </w:r>
          </w:p>
        </w:tc>
        <w:tc>
          <w:tcPr>
            <w:tcW w:w="1459"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-,234</w:t>
            </w:r>
          </w:p>
        </w:tc>
        <w:tc>
          <w:tcPr>
            <w:tcW w:w="1013"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-2,127</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,035</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rPr>
                <w:rFonts w:cs="Arial"/>
                <w:color w:val="000000"/>
              </w:rPr>
            </w:pPr>
            <w:r w:rsidRPr="000B3455">
              <w:rPr>
                <w:rFonts w:cs="Arial"/>
                <w:color w:val="000000"/>
              </w:rPr>
              <w:t>,018</w:t>
            </w:r>
            <w:r w:rsidR="00F97730">
              <w:rPr>
                <w:rFonts w:cs="Arial"/>
                <w:color w:val="000000"/>
              </w:rPr>
              <w:t>**</w:t>
            </w:r>
          </w:p>
        </w:tc>
      </w:tr>
      <w:tr w:rsidR="00AD3252"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AD3252" w:rsidRPr="000B3455" w:rsidRDefault="00AD3252" w:rsidP="00D87452">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AD3252" w:rsidRPr="000B3455" w:rsidRDefault="00AD3252" w:rsidP="00D87452">
            <w:pPr>
              <w:autoSpaceDE w:val="0"/>
              <w:autoSpaceDN w:val="0"/>
              <w:adjustRightInd w:val="0"/>
              <w:spacing w:after="0" w:line="320" w:lineRule="atLeast"/>
              <w:ind w:left="60" w:right="60"/>
              <w:rPr>
                <w:rFonts w:cs="Arial"/>
                <w:color w:val="000000"/>
              </w:rPr>
            </w:pPr>
            <w:r w:rsidRPr="000B3455">
              <w:rPr>
                <w:rFonts w:cs="Arial"/>
                <w:color w:val="000000"/>
              </w:rPr>
              <w:t>D_2006</w:t>
            </w:r>
          </w:p>
        </w:tc>
        <w:tc>
          <w:tcPr>
            <w:tcW w:w="1327" w:type="dxa"/>
            <w:tcBorders>
              <w:top w:val="nil"/>
              <w:left w:val="single" w:sz="16" w:space="0" w:color="000000"/>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-,095</w:t>
            </w:r>
          </w:p>
        </w:tc>
        <w:tc>
          <w:tcPr>
            <w:tcW w:w="1325"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,043</w:t>
            </w:r>
          </w:p>
        </w:tc>
        <w:tc>
          <w:tcPr>
            <w:tcW w:w="1459"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-,226</w:t>
            </w:r>
          </w:p>
        </w:tc>
        <w:tc>
          <w:tcPr>
            <w:tcW w:w="1013"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-2,184</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,030</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rPr>
                <w:rFonts w:cs="Arial"/>
                <w:color w:val="000000"/>
              </w:rPr>
            </w:pPr>
            <w:r w:rsidRPr="000B3455">
              <w:rPr>
                <w:rFonts w:cs="Arial"/>
                <w:color w:val="000000"/>
              </w:rPr>
              <w:t>,015</w:t>
            </w:r>
            <w:r w:rsidR="00F97730">
              <w:rPr>
                <w:rFonts w:cs="Arial"/>
                <w:color w:val="000000"/>
              </w:rPr>
              <w:t>**</w:t>
            </w:r>
          </w:p>
        </w:tc>
      </w:tr>
      <w:tr w:rsidR="00AD3252"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AD3252" w:rsidRPr="000B3455" w:rsidRDefault="00AD3252" w:rsidP="00D87452">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AD3252" w:rsidRPr="000B3455" w:rsidRDefault="00AD3252" w:rsidP="00D87452">
            <w:pPr>
              <w:autoSpaceDE w:val="0"/>
              <w:autoSpaceDN w:val="0"/>
              <w:adjustRightInd w:val="0"/>
              <w:spacing w:after="0" w:line="320" w:lineRule="atLeast"/>
              <w:ind w:left="60" w:right="60"/>
              <w:rPr>
                <w:rFonts w:cs="Arial"/>
                <w:color w:val="000000"/>
              </w:rPr>
            </w:pPr>
            <w:r w:rsidRPr="000B3455">
              <w:rPr>
                <w:rFonts w:cs="Arial"/>
                <w:color w:val="000000"/>
              </w:rPr>
              <w:t>D_2007</w:t>
            </w:r>
          </w:p>
        </w:tc>
        <w:tc>
          <w:tcPr>
            <w:tcW w:w="1327" w:type="dxa"/>
            <w:tcBorders>
              <w:top w:val="nil"/>
              <w:left w:val="single" w:sz="16" w:space="0" w:color="000000"/>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-,049</w:t>
            </w:r>
          </w:p>
        </w:tc>
        <w:tc>
          <w:tcPr>
            <w:tcW w:w="1325"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,039</w:t>
            </w:r>
          </w:p>
        </w:tc>
        <w:tc>
          <w:tcPr>
            <w:tcW w:w="1459"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-,115</w:t>
            </w:r>
          </w:p>
        </w:tc>
        <w:tc>
          <w:tcPr>
            <w:tcW w:w="1013"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-1,237</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,218</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rPr>
                <w:rFonts w:cs="Arial"/>
                <w:color w:val="000000"/>
              </w:rPr>
            </w:pPr>
            <w:r w:rsidRPr="000B3455">
              <w:rPr>
                <w:rFonts w:cs="Arial"/>
                <w:color w:val="000000"/>
              </w:rPr>
              <w:t>,109</w:t>
            </w:r>
          </w:p>
        </w:tc>
      </w:tr>
      <w:tr w:rsidR="00AD3252"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AD3252" w:rsidRPr="000B3455" w:rsidRDefault="00AD3252" w:rsidP="00D87452">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AD3252" w:rsidRPr="000B3455" w:rsidRDefault="00AD3252" w:rsidP="00D87452">
            <w:pPr>
              <w:autoSpaceDE w:val="0"/>
              <w:autoSpaceDN w:val="0"/>
              <w:adjustRightInd w:val="0"/>
              <w:spacing w:after="0" w:line="320" w:lineRule="atLeast"/>
              <w:ind w:left="60" w:right="60"/>
              <w:rPr>
                <w:rFonts w:cs="Arial"/>
                <w:color w:val="000000"/>
              </w:rPr>
            </w:pPr>
            <w:r w:rsidRPr="000B3455">
              <w:rPr>
                <w:rFonts w:cs="Arial"/>
                <w:color w:val="000000"/>
              </w:rPr>
              <w:t>LN_ASSETS</w:t>
            </w:r>
          </w:p>
        </w:tc>
        <w:tc>
          <w:tcPr>
            <w:tcW w:w="1327" w:type="dxa"/>
            <w:tcBorders>
              <w:top w:val="nil"/>
              <w:left w:val="single" w:sz="16" w:space="0" w:color="000000"/>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,013</w:t>
            </w:r>
          </w:p>
        </w:tc>
        <w:tc>
          <w:tcPr>
            <w:tcW w:w="1325"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,009</w:t>
            </w:r>
          </w:p>
        </w:tc>
        <w:tc>
          <w:tcPr>
            <w:tcW w:w="1459"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,168</w:t>
            </w:r>
          </w:p>
        </w:tc>
        <w:tc>
          <w:tcPr>
            <w:tcW w:w="1013"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1,404</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,162</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rPr>
                <w:rFonts w:cs="Arial"/>
                <w:color w:val="000000"/>
              </w:rPr>
            </w:pPr>
            <w:r w:rsidRPr="000B3455">
              <w:rPr>
                <w:rFonts w:cs="Arial"/>
                <w:color w:val="000000"/>
              </w:rPr>
              <w:t>,081</w:t>
            </w:r>
            <w:r w:rsidR="00F97730">
              <w:rPr>
                <w:rFonts w:cs="Arial"/>
                <w:color w:val="000000"/>
              </w:rPr>
              <w:t>*</w:t>
            </w:r>
          </w:p>
        </w:tc>
      </w:tr>
      <w:tr w:rsidR="00AD3252"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AD3252" w:rsidRPr="000B3455" w:rsidRDefault="00AD3252" w:rsidP="00D87452">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AD3252" w:rsidRPr="000B3455" w:rsidRDefault="00AD3252" w:rsidP="00D87452">
            <w:pPr>
              <w:autoSpaceDE w:val="0"/>
              <w:autoSpaceDN w:val="0"/>
              <w:adjustRightInd w:val="0"/>
              <w:spacing w:after="0" w:line="320" w:lineRule="atLeast"/>
              <w:ind w:left="60" w:right="60"/>
              <w:rPr>
                <w:rFonts w:cs="Arial"/>
                <w:color w:val="000000"/>
              </w:rPr>
            </w:pPr>
            <w:r w:rsidRPr="000B3455">
              <w:rPr>
                <w:rFonts w:cs="Arial"/>
                <w:color w:val="000000"/>
              </w:rPr>
              <w:t>MTB</w:t>
            </w:r>
          </w:p>
        </w:tc>
        <w:tc>
          <w:tcPr>
            <w:tcW w:w="1327" w:type="dxa"/>
            <w:tcBorders>
              <w:top w:val="nil"/>
              <w:left w:val="single" w:sz="16" w:space="0" w:color="000000"/>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,010</w:t>
            </w:r>
          </w:p>
        </w:tc>
        <w:tc>
          <w:tcPr>
            <w:tcW w:w="1325"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,007</w:t>
            </w:r>
          </w:p>
        </w:tc>
        <w:tc>
          <w:tcPr>
            <w:tcW w:w="1459"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,122</w:t>
            </w:r>
          </w:p>
        </w:tc>
        <w:tc>
          <w:tcPr>
            <w:tcW w:w="1013"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1,427</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,155</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rPr>
                <w:rFonts w:cs="Arial"/>
                <w:color w:val="000000"/>
              </w:rPr>
            </w:pPr>
            <w:r w:rsidRPr="000B3455">
              <w:rPr>
                <w:rFonts w:cs="Arial"/>
                <w:color w:val="000000"/>
              </w:rPr>
              <w:t>,078</w:t>
            </w:r>
            <w:r w:rsidR="00F97730">
              <w:rPr>
                <w:rFonts w:cs="Arial"/>
                <w:color w:val="000000"/>
              </w:rPr>
              <w:t>*</w:t>
            </w:r>
          </w:p>
        </w:tc>
      </w:tr>
      <w:tr w:rsidR="00AD3252"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AD3252" w:rsidRPr="000B3455" w:rsidRDefault="00AD3252" w:rsidP="00D87452">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AD3252" w:rsidRPr="000B3455" w:rsidRDefault="00AD3252" w:rsidP="00D87452">
            <w:pPr>
              <w:autoSpaceDE w:val="0"/>
              <w:autoSpaceDN w:val="0"/>
              <w:adjustRightInd w:val="0"/>
              <w:spacing w:after="0" w:line="320" w:lineRule="atLeast"/>
              <w:ind w:left="60" w:right="60"/>
              <w:rPr>
                <w:rFonts w:cs="Arial"/>
                <w:color w:val="000000"/>
              </w:rPr>
            </w:pPr>
            <w:r w:rsidRPr="000B3455">
              <w:rPr>
                <w:rFonts w:cs="Arial"/>
                <w:color w:val="000000"/>
              </w:rPr>
              <w:t>RET</w:t>
            </w:r>
          </w:p>
        </w:tc>
        <w:tc>
          <w:tcPr>
            <w:tcW w:w="1327" w:type="dxa"/>
            <w:tcBorders>
              <w:top w:val="nil"/>
              <w:left w:val="single" w:sz="16" w:space="0" w:color="000000"/>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,000</w:t>
            </w:r>
          </w:p>
        </w:tc>
        <w:tc>
          <w:tcPr>
            <w:tcW w:w="1325"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,000</w:t>
            </w:r>
          </w:p>
        </w:tc>
        <w:tc>
          <w:tcPr>
            <w:tcW w:w="1459"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,067</w:t>
            </w:r>
          </w:p>
        </w:tc>
        <w:tc>
          <w:tcPr>
            <w:tcW w:w="1013"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,701</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,484</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rPr>
                <w:rFonts w:cs="Arial"/>
                <w:color w:val="000000"/>
              </w:rPr>
            </w:pPr>
            <w:r w:rsidRPr="000B3455">
              <w:rPr>
                <w:rFonts w:cs="Arial"/>
                <w:color w:val="000000"/>
              </w:rPr>
              <w:t>,242</w:t>
            </w:r>
          </w:p>
        </w:tc>
      </w:tr>
      <w:tr w:rsidR="00AD3252"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AD3252" w:rsidRPr="000B3455" w:rsidRDefault="00AD3252" w:rsidP="00D87452">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AD3252" w:rsidRPr="000B3455" w:rsidRDefault="00AD3252" w:rsidP="00D87452">
            <w:pPr>
              <w:autoSpaceDE w:val="0"/>
              <w:autoSpaceDN w:val="0"/>
              <w:adjustRightInd w:val="0"/>
              <w:spacing w:after="0" w:line="320" w:lineRule="atLeast"/>
              <w:ind w:left="60" w:right="60"/>
              <w:rPr>
                <w:rFonts w:cs="Arial"/>
                <w:color w:val="000000"/>
              </w:rPr>
            </w:pPr>
            <w:r w:rsidRPr="000B3455">
              <w:rPr>
                <w:rFonts w:cs="Arial"/>
                <w:color w:val="000000"/>
              </w:rPr>
              <w:t>VOL</w:t>
            </w:r>
          </w:p>
        </w:tc>
        <w:tc>
          <w:tcPr>
            <w:tcW w:w="1327" w:type="dxa"/>
            <w:tcBorders>
              <w:top w:val="nil"/>
              <w:left w:val="single" w:sz="16" w:space="0" w:color="000000"/>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-1,230E-5</w:t>
            </w:r>
          </w:p>
        </w:tc>
        <w:tc>
          <w:tcPr>
            <w:tcW w:w="1325"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,001</w:t>
            </w:r>
          </w:p>
        </w:tc>
        <w:tc>
          <w:tcPr>
            <w:tcW w:w="1459"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-,001</w:t>
            </w:r>
          </w:p>
        </w:tc>
        <w:tc>
          <w:tcPr>
            <w:tcW w:w="1013"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-,009</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,993</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rPr>
                <w:rFonts w:cs="Arial"/>
                <w:color w:val="000000"/>
              </w:rPr>
            </w:pPr>
            <w:r w:rsidRPr="000B3455">
              <w:rPr>
                <w:rFonts w:cs="Arial"/>
                <w:color w:val="000000"/>
              </w:rPr>
              <w:t>,497</w:t>
            </w:r>
          </w:p>
        </w:tc>
      </w:tr>
      <w:tr w:rsidR="00AD3252"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AD3252" w:rsidRPr="000B3455" w:rsidRDefault="00AD3252" w:rsidP="00D87452">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AD3252" w:rsidRPr="000B3455" w:rsidRDefault="00AD3252" w:rsidP="00D87452">
            <w:pPr>
              <w:autoSpaceDE w:val="0"/>
              <w:autoSpaceDN w:val="0"/>
              <w:adjustRightInd w:val="0"/>
              <w:spacing w:after="0" w:line="320" w:lineRule="atLeast"/>
              <w:ind w:left="60" w:right="60"/>
              <w:rPr>
                <w:rFonts w:cs="Arial"/>
                <w:color w:val="000000"/>
              </w:rPr>
            </w:pPr>
            <w:r w:rsidRPr="000B3455">
              <w:rPr>
                <w:rFonts w:cs="Arial"/>
                <w:color w:val="000000"/>
              </w:rPr>
              <w:t>BOA_SIZE</w:t>
            </w:r>
          </w:p>
        </w:tc>
        <w:tc>
          <w:tcPr>
            <w:tcW w:w="1327" w:type="dxa"/>
            <w:tcBorders>
              <w:top w:val="nil"/>
              <w:left w:val="single" w:sz="16" w:space="0" w:color="000000"/>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,006</w:t>
            </w:r>
          </w:p>
        </w:tc>
        <w:tc>
          <w:tcPr>
            <w:tcW w:w="1325"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,010</w:t>
            </w:r>
          </w:p>
        </w:tc>
        <w:tc>
          <w:tcPr>
            <w:tcW w:w="1459"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,055</w:t>
            </w:r>
          </w:p>
        </w:tc>
        <w:tc>
          <w:tcPr>
            <w:tcW w:w="1013"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,559</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,577</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rPr>
                <w:rFonts w:cs="Arial"/>
                <w:color w:val="000000"/>
              </w:rPr>
            </w:pPr>
            <w:r w:rsidRPr="000B3455">
              <w:rPr>
                <w:rFonts w:cs="Arial"/>
                <w:color w:val="000000"/>
              </w:rPr>
              <w:t>,289</w:t>
            </w:r>
          </w:p>
        </w:tc>
      </w:tr>
      <w:tr w:rsidR="00AD3252"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AD3252" w:rsidRPr="000B3455" w:rsidRDefault="00AD3252" w:rsidP="00D87452">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AD3252" w:rsidRPr="000B3455" w:rsidRDefault="00AD3252" w:rsidP="00D87452">
            <w:pPr>
              <w:autoSpaceDE w:val="0"/>
              <w:autoSpaceDN w:val="0"/>
              <w:adjustRightInd w:val="0"/>
              <w:spacing w:after="0" w:line="320" w:lineRule="atLeast"/>
              <w:ind w:left="60" w:right="60"/>
              <w:rPr>
                <w:rFonts w:cs="Arial"/>
                <w:color w:val="000000"/>
              </w:rPr>
            </w:pPr>
            <w:r w:rsidRPr="000B3455">
              <w:rPr>
                <w:rFonts w:cs="Arial"/>
                <w:color w:val="000000"/>
              </w:rPr>
              <w:t>LIQ_CON</w:t>
            </w:r>
          </w:p>
        </w:tc>
        <w:tc>
          <w:tcPr>
            <w:tcW w:w="1327" w:type="dxa"/>
            <w:tcBorders>
              <w:top w:val="nil"/>
              <w:left w:val="single" w:sz="16" w:space="0" w:color="000000"/>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,155</w:t>
            </w:r>
          </w:p>
        </w:tc>
        <w:tc>
          <w:tcPr>
            <w:tcW w:w="1325"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,150</w:t>
            </w:r>
          </w:p>
        </w:tc>
        <w:tc>
          <w:tcPr>
            <w:tcW w:w="1459"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,088</w:t>
            </w:r>
          </w:p>
        </w:tc>
        <w:tc>
          <w:tcPr>
            <w:tcW w:w="1013"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1,033</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,303</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rPr>
                <w:rFonts w:cs="Arial"/>
                <w:color w:val="000000"/>
              </w:rPr>
            </w:pPr>
            <w:r w:rsidRPr="000B3455">
              <w:rPr>
                <w:rFonts w:cs="Arial"/>
                <w:color w:val="000000"/>
              </w:rPr>
              <w:t>,152</w:t>
            </w:r>
          </w:p>
        </w:tc>
      </w:tr>
      <w:tr w:rsidR="00AD3252"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AD3252" w:rsidRPr="000B3455" w:rsidRDefault="00AD3252" w:rsidP="00D87452">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AD3252" w:rsidRPr="000B3455" w:rsidRDefault="00AD3252" w:rsidP="00D87452">
            <w:pPr>
              <w:autoSpaceDE w:val="0"/>
              <w:autoSpaceDN w:val="0"/>
              <w:adjustRightInd w:val="0"/>
              <w:spacing w:after="0" w:line="320" w:lineRule="atLeast"/>
              <w:ind w:left="60" w:right="60"/>
              <w:rPr>
                <w:rFonts w:cs="Arial"/>
                <w:color w:val="000000"/>
              </w:rPr>
            </w:pPr>
            <w:r w:rsidRPr="000B3455">
              <w:rPr>
                <w:rFonts w:cs="Arial"/>
                <w:color w:val="000000"/>
              </w:rPr>
              <w:t>IND_D_MINING</w:t>
            </w:r>
          </w:p>
        </w:tc>
        <w:tc>
          <w:tcPr>
            <w:tcW w:w="1327" w:type="dxa"/>
            <w:tcBorders>
              <w:top w:val="nil"/>
              <w:left w:val="single" w:sz="16" w:space="0" w:color="000000"/>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-,014</w:t>
            </w:r>
          </w:p>
        </w:tc>
        <w:tc>
          <w:tcPr>
            <w:tcW w:w="1325"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,074</w:t>
            </w:r>
          </w:p>
        </w:tc>
        <w:tc>
          <w:tcPr>
            <w:tcW w:w="1459"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-,015</w:t>
            </w:r>
          </w:p>
        </w:tc>
        <w:tc>
          <w:tcPr>
            <w:tcW w:w="1013"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-,184</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,854</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rPr>
                <w:rFonts w:cs="Arial"/>
                <w:color w:val="000000"/>
              </w:rPr>
            </w:pPr>
            <w:r w:rsidRPr="000B3455">
              <w:rPr>
                <w:rFonts w:cs="Arial"/>
                <w:color w:val="000000"/>
              </w:rPr>
              <w:t>,427</w:t>
            </w:r>
          </w:p>
        </w:tc>
      </w:tr>
      <w:tr w:rsidR="00AD3252"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AD3252" w:rsidRPr="000B3455" w:rsidRDefault="00AD3252" w:rsidP="00D87452">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AD3252" w:rsidRPr="000B3455" w:rsidRDefault="00AD3252" w:rsidP="00D87452">
            <w:pPr>
              <w:autoSpaceDE w:val="0"/>
              <w:autoSpaceDN w:val="0"/>
              <w:adjustRightInd w:val="0"/>
              <w:spacing w:after="0" w:line="320" w:lineRule="atLeast"/>
              <w:ind w:left="60" w:right="60"/>
              <w:rPr>
                <w:rFonts w:cs="Arial"/>
                <w:color w:val="000000"/>
              </w:rPr>
            </w:pPr>
            <w:r w:rsidRPr="000B3455">
              <w:rPr>
                <w:rFonts w:cs="Arial"/>
                <w:color w:val="000000"/>
              </w:rPr>
              <w:t>IND_D_CONSTR</w:t>
            </w:r>
          </w:p>
        </w:tc>
        <w:tc>
          <w:tcPr>
            <w:tcW w:w="1327" w:type="dxa"/>
            <w:tcBorders>
              <w:top w:val="nil"/>
              <w:left w:val="single" w:sz="16" w:space="0" w:color="000000"/>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-,056</w:t>
            </w:r>
          </w:p>
        </w:tc>
        <w:tc>
          <w:tcPr>
            <w:tcW w:w="1325"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,068</w:t>
            </w:r>
          </w:p>
        </w:tc>
        <w:tc>
          <w:tcPr>
            <w:tcW w:w="1459"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-,061</w:t>
            </w:r>
          </w:p>
        </w:tc>
        <w:tc>
          <w:tcPr>
            <w:tcW w:w="1013"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-,825</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,411</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rPr>
                <w:rFonts w:cs="Arial"/>
                <w:color w:val="000000"/>
              </w:rPr>
            </w:pPr>
            <w:r w:rsidRPr="000B3455">
              <w:rPr>
                <w:rFonts w:cs="Arial"/>
                <w:color w:val="000000"/>
              </w:rPr>
              <w:t>,206</w:t>
            </w:r>
          </w:p>
        </w:tc>
      </w:tr>
      <w:tr w:rsidR="00AD3252"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AD3252" w:rsidRPr="000B3455" w:rsidRDefault="00AD3252" w:rsidP="00D87452">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AD3252" w:rsidRPr="000B3455" w:rsidRDefault="00AD3252" w:rsidP="00D87452">
            <w:pPr>
              <w:autoSpaceDE w:val="0"/>
              <w:autoSpaceDN w:val="0"/>
              <w:adjustRightInd w:val="0"/>
              <w:spacing w:after="0" w:line="320" w:lineRule="atLeast"/>
              <w:ind w:left="60" w:right="60"/>
              <w:rPr>
                <w:rFonts w:cs="Arial"/>
                <w:color w:val="000000"/>
              </w:rPr>
            </w:pPr>
            <w:r w:rsidRPr="000B3455">
              <w:rPr>
                <w:rFonts w:cs="Arial"/>
                <w:color w:val="000000"/>
              </w:rPr>
              <w:t>IND_D_TRANS_COMM_ELE_GAS_SAN_SERV</w:t>
            </w:r>
          </w:p>
        </w:tc>
        <w:tc>
          <w:tcPr>
            <w:tcW w:w="1327" w:type="dxa"/>
            <w:tcBorders>
              <w:top w:val="nil"/>
              <w:left w:val="single" w:sz="16" w:space="0" w:color="000000"/>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-,047</w:t>
            </w:r>
          </w:p>
        </w:tc>
        <w:tc>
          <w:tcPr>
            <w:tcW w:w="1325"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,051</w:t>
            </w:r>
          </w:p>
        </w:tc>
        <w:tc>
          <w:tcPr>
            <w:tcW w:w="1459"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-,070</w:t>
            </w:r>
          </w:p>
        </w:tc>
        <w:tc>
          <w:tcPr>
            <w:tcW w:w="1013"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-,909</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,365</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rPr>
                <w:rFonts w:cs="Arial"/>
                <w:color w:val="000000"/>
              </w:rPr>
            </w:pPr>
            <w:r w:rsidRPr="000B3455">
              <w:rPr>
                <w:rFonts w:cs="Arial"/>
                <w:color w:val="000000"/>
              </w:rPr>
              <w:t>,183</w:t>
            </w:r>
          </w:p>
        </w:tc>
      </w:tr>
      <w:tr w:rsidR="00AD3252"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AD3252" w:rsidRPr="000B3455" w:rsidRDefault="00AD3252" w:rsidP="00D87452">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AD3252" w:rsidRPr="000B3455" w:rsidRDefault="00AD3252" w:rsidP="00D87452">
            <w:pPr>
              <w:autoSpaceDE w:val="0"/>
              <w:autoSpaceDN w:val="0"/>
              <w:adjustRightInd w:val="0"/>
              <w:spacing w:after="0" w:line="320" w:lineRule="atLeast"/>
              <w:ind w:left="60" w:right="60"/>
              <w:rPr>
                <w:rFonts w:cs="Arial"/>
                <w:color w:val="000000"/>
              </w:rPr>
            </w:pPr>
            <w:r w:rsidRPr="000B3455">
              <w:rPr>
                <w:rFonts w:cs="Arial"/>
                <w:color w:val="000000"/>
              </w:rPr>
              <w:t>IND_D_WHOLESALE</w:t>
            </w:r>
          </w:p>
        </w:tc>
        <w:tc>
          <w:tcPr>
            <w:tcW w:w="1327" w:type="dxa"/>
            <w:tcBorders>
              <w:top w:val="nil"/>
              <w:left w:val="single" w:sz="16" w:space="0" w:color="000000"/>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-,050</w:t>
            </w:r>
          </w:p>
        </w:tc>
        <w:tc>
          <w:tcPr>
            <w:tcW w:w="1325"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,049</w:t>
            </w:r>
          </w:p>
        </w:tc>
        <w:tc>
          <w:tcPr>
            <w:tcW w:w="1459"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-,076</w:t>
            </w:r>
          </w:p>
        </w:tc>
        <w:tc>
          <w:tcPr>
            <w:tcW w:w="1013"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-1,022</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,308</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rPr>
                <w:rFonts w:cs="Arial"/>
                <w:color w:val="000000"/>
              </w:rPr>
            </w:pPr>
            <w:r w:rsidRPr="000B3455">
              <w:rPr>
                <w:rFonts w:cs="Arial"/>
                <w:color w:val="000000"/>
              </w:rPr>
              <w:t>,154</w:t>
            </w:r>
          </w:p>
        </w:tc>
      </w:tr>
      <w:tr w:rsidR="00AD3252"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AD3252" w:rsidRPr="000B3455" w:rsidRDefault="00AD3252" w:rsidP="00D87452">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AD3252" w:rsidRPr="000B3455" w:rsidRDefault="00AD3252" w:rsidP="00D87452">
            <w:pPr>
              <w:autoSpaceDE w:val="0"/>
              <w:autoSpaceDN w:val="0"/>
              <w:adjustRightInd w:val="0"/>
              <w:spacing w:after="0" w:line="320" w:lineRule="atLeast"/>
              <w:ind w:left="60" w:right="60"/>
              <w:rPr>
                <w:rFonts w:cs="Arial"/>
                <w:color w:val="000000"/>
              </w:rPr>
            </w:pPr>
            <w:r w:rsidRPr="000B3455">
              <w:rPr>
                <w:rFonts w:cs="Arial"/>
                <w:color w:val="000000"/>
              </w:rPr>
              <w:t>IND_D_RETAIL</w:t>
            </w:r>
          </w:p>
        </w:tc>
        <w:tc>
          <w:tcPr>
            <w:tcW w:w="1327" w:type="dxa"/>
            <w:tcBorders>
              <w:top w:val="nil"/>
              <w:left w:val="single" w:sz="16" w:space="0" w:color="000000"/>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,012</w:t>
            </w:r>
          </w:p>
        </w:tc>
        <w:tc>
          <w:tcPr>
            <w:tcW w:w="1325"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,042</w:t>
            </w:r>
          </w:p>
        </w:tc>
        <w:tc>
          <w:tcPr>
            <w:tcW w:w="1459"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,022</w:t>
            </w:r>
          </w:p>
        </w:tc>
        <w:tc>
          <w:tcPr>
            <w:tcW w:w="1013"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,287</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,775</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rPr>
                <w:rFonts w:cs="Arial"/>
                <w:color w:val="000000"/>
              </w:rPr>
            </w:pPr>
            <w:r w:rsidRPr="000B3455">
              <w:rPr>
                <w:rFonts w:cs="Arial"/>
                <w:color w:val="000000"/>
              </w:rPr>
              <w:t>,388</w:t>
            </w:r>
          </w:p>
        </w:tc>
      </w:tr>
      <w:tr w:rsidR="00AD3252"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AD3252" w:rsidRPr="000B3455" w:rsidRDefault="00AD3252" w:rsidP="00D87452">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AD3252" w:rsidRPr="000B3455" w:rsidRDefault="00AD3252" w:rsidP="00D87452">
            <w:pPr>
              <w:autoSpaceDE w:val="0"/>
              <w:autoSpaceDN w:val="0"/>
              <w:adjustRightInd w:val="0"/>
              <w:spacing w:after="0" w:line="320" w:lineRule="atLeast"/>
              <w:ind w:left="60" w:right="60"/>
              <w:rPr>
                <w:rFonts w:cs="Arial"/>
                <w:color w:val="000000"/>
              </w:rPr>
            </w:pPr>
            <w:r w:rsidRPr="000B3455">
              <w:rPr>
                <w:rFonts w:cs="Arial"/>
                <w:color w:val="000000"/>
              </w:rPr>
              <w:t>IND_D_FIN_INS_REAL_EST</w:t>
            </w:r>
          </w:p>
        </w:tc>
        <w:tc>
          <w:tcPr>
            <w:tcW w:w="1327" w:type="dxa"/>
            <w:tcBorders>
              <w:top w:val="nil"/>
              <w:left w:val="single" w:sz="16" w:space="0" w:color="000000"/>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-,080</w:t>
            </w:r>
          </w:p>
        </w:tc>
        <w:tc>
          <w:tcPr>
            <w:tcW w:w="1325"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,043</w:t>
            </w:r>
          </w:p>
        </w:tc>
        <w:tc>
          <w:tcPr>
            <w:tcW w:w="1459"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-,155</w:t>
            </w:r>
          </w:p>
        </w:tc>
        <w:tc>
          <w:tcPr>
            <w:tcW w:w="1013" w:type="dxa"/>
            <w:tcBorders>
              <w:top w:val="nil"/>
              <w:bottom w:val="nil"/>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-1,830</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,069</w:t>
            </w:r>
          </w:p>
        </w:tc>
        <w:tc>
          <w:tcPr>
            <w:tcW w:w="1013" w:type="dxa"/>
            <w:tcBorders>
              <w:top w:val="nil"/>
              <w:bottom w:val="nil"/>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rPr>
                <w:rFonts w:cs="Arial"/>
                <w:color w:val="000000"/>
              </w:rPr>
            </w:pPr>
            <w:r w:rsidRPr="000B3455">
              <w:rPr>
                <w:rFonts w:cs="Arial"/>
                <w:color w:val="000000"/>
              </w:rPr>
              <w:t>,035</w:t>
            </w:r>
            <w:r w:rsidR="00F97730">
              <w:rPr>
                <w:rFonts w:cs="Arial"/>
                <w:color w:val="000000"/>
              </w:rPr>
              <w:t>**</w:t>
            </w:r>
          </w:p>
        </w:tc>
      </w:tr>
      <w:tr w:rsidR="00AD3252"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AD3252" w:rsidRPr="000B3455" w:rsidRDefault="00AD3252" w:rsidP="00D87452">
            <w:pPr>
              <w:autoSpaceDE w:val="0"/>
              <w:autoSpaceDN w:val="0"/>
              <w:adjustRightInd w:val="0"/>
              <w:spacing w:after="0" w:line="240" w:lineRule="auto"/>
              <w:rPr>
                <w:rFonts w:cs="Arial"/>
                <w:color w:val="000000"/>
              </w:rPr>
            </w:pPr>
          </w:p>
        </w:tc>
        <w:tc>
          <w:tcPr>
            <w:tcW w:w="2433" w:type="dxa"/>
            <w:tcBorders>
              <w:top w:val="nil"/>
              <w:left w:val="nil"/>
              <w:bottom w:val="single" w:sz="16" w:space="0" w:color="000000"/>
              <w:right w:val="single" w:sz="16" w:space="0" w:color="000000"/>
            </w:tcBorders>
            <w:shd w:val="clear" w:color="auto" w:fill="FFFFFF"/>
          </w:tcPr>
          <w:p w:rsidR="00AD3252" w:rsidRPr="000B3455" w:rsidRDefault="00AD3252" w:rsidP="00D87452">
            <w:pPr>
              <w:autoSpaceDE w:val="0"/>
              <w:autoSpaceDN w:val="0"/>
              <w:adjustRightInd w:val="0"/>
              <w:spacing w:after="0" w:line="320" w:lineRule="atLeast"/>
              <w:ind w:left="60" w:right="60"/>
              <w:rPr>
                <w:rFonts w:cs="Arial"/>
                <w:color w:val="000000"/>
              </w:rPr>
            </w:pPr>
            <w:r w:rsidRPr="000B3455">
              <w:rPr>
                <w:rFonts w:cs="Arial"/>
                <w:color w:val="000000"/>
              </w:rPr>
              <w:t>IND_D_SERVICES</w:t>
            </w:r>
          </w:p>
        </w:tc>
        <w:tc>
          <w:tcPr>
            <w:tcW w:w="1327" w:type="dxa"/>
            <w:tcBorders>
              <w:top w:val="nil"/>
              <w:left w:val="single" w:sz="16" w:space="0" w:color="000000"/>
              <w:bottom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,063</w:t>
            </w:r>
          </w:p>
        </w:tc>
        <w:tc>
          <w:tcPr>
            <w:tcW w:w="1325" w:type="dxa"/>
            <w:tcBorders>
              <w:top w:val="nil"/>
              <w:bottom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,034</w:t>
            </w:r>
          </w:p>
        </w:tc>
        <w:tc>
          <w:tcPr>
            <w:tcW w:w="1459" w:type="dxa"/>
            <w:tcBorders>
              <w:top w:val="nil"/>
              <w:bottom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,171</w:t>
            </w:r>
          </w:p>
        </w:tc>
        <w:tc>
          <w:tcPr>
            <w:tcW w:w="1013" w:type="dxa"/>
            <w:tcBorders>
              <w:top w:val="nil"/>
              <w:bottom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1,879</w:t>
            </w:r>
          </w:p>
        </w:tc>
        <w:tc>
          <w:tcPr>
            <w:tcW w:w="1013" w:type="dxa"/>
            <w:tcBorders>
              <w:top w:val="nil"/>
              <w:bottom w:val="single" w:sz="16" w:space="0" w:color="000000"/>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jc w:val="right"/>
              <w:rPr>
                <w:rFonts w:cs="Arial"/>
                <w:color w:val="000000"/>
              </w:rPr>
            </w:pPr>
            <w:r w:rsidRPr="000B3455">
              <w:rPr>
                <w:rFonts w:cs="Arial"/>
                <w:color w:val="000000"/>
              </w:rPr>
              <w:t>,062</w:t>
            </w:r>
          </w:p>
        </w:tc>
        <w:tc>
          <w:tcPr>
            <w:tcW w:w="1013" w:type="dxa"/>
            <w:tcBorders>
              <w:top w:val="nil"/>
              <w:bottom w:val="single" w:sz="16" w:space="0" w:color="000000"/>
              <w:right w:val="single" w:sz="16" w:space="0" w:color="000000"/>
            </w:tcBorders>
            <w:shd w:val="clear" w:color="auto" w:fill="FFFFFF"/>
          </w:tcPr>
          <w:p w:rsidR="00AD3252" w:rsidRPr="000B3455" w:rsidRDefault="00AD3252" w:rsidP="00F97730">
            <w:pPr>
              <w:autoSpaceDE w:val="0"/>
              <w:autoSpaceDN w:val="0"/>
              <w:adjustRightInd w:val="0"/>
              <w:spacing w:after="0" w:line="320" w:lineRule="atLeast"/>
              <w:ind w:left="60" w:right="60"/>
              <w:rPr>
                <w:rFonts w:cs="Arial"/>
                <w:color w:val="000000"/>
              </w:rPr>
            </w:pPr>
            <w:r w:rsidRPr="000B3455">
              <w:rPr>
                <w:rFonts w:cs="Arial"/>
                <w:color w:val="000000"/>
              </w:rPr>
              <w:t>,031</w:t>
            </w:r>
            <w:r w:rsidR="00F97730">
              <w:rPr>
                <w:rFonts w:cs="Arial"/>
                <w:color w:val="000000"/>
              </w:rPr>
              <w:t>**</w:t>
            </w:r>
          </w:p>
        </w:tc>
      </w:tr>
      <w:tr w:rsidR="00AD3252" w:rsidRPr="000B3455" w:rsidTr="00D87452">
        <w:trPr>
          <w:cantSplit/>
        </w:trPr>
        <w:tc>
          <w:tcPr>
            <w:tcW w:w="9300" w:type="dxa"/>
            <w:gridSpan w:val="7"/>
            <w:tcBorders>
              <w:top w:val="nil"/>
              <w:left w:val="nil"/>
              <w:bottom w:val="nil"/>
              <w:right w:val="nil"/>
            </w:tcBorders>
            <w:shd w:val="clear" w:color="auto" w:fill="FFFFFF"/>
          </w:tcPr>
          <w:p w:rsidR="00F97730" w:rsidRPr="000B3455" w:rsidRDefault="00F97730" w:rsidP="00735F79">
            <w:pPr>
              <w:autoSpaceDE w:val="0"/>
              <w:autoSpaceDN w:val="0"/>
              <w:adjustRightInd w:val="0"/>
              <w:spacing w:after="0" w:line="320" w:lineRule="atLeast"/>
              <w:ind w:left="60" w:right="60"/>
              <w:rPr>
                <w:rFonts w:cs="Arial"/>
                <w:color w:val="000000"/>
              </w:rPr>
            </w:pPr>
            <w:r w:rsidRPr="00F97730">
              <w:rPr>
                <w:i/>
              </w:rPr>
              <w:t>*,**,*** significant at the 0.1, 0.05 and 0.01 levels (</w:t>
            </w:r>
            <w:r>
              <w:rPr>
                <w:i/>
              </w:rPr>
              <w:t>one</w:t>
            </w:r>
            <w:r w:rsidRPr="00F97730">
              <w:rPr>
                <w:i/>
              </w:rPr>
              <w:t>-tailed).</w:t>
            </w:r>
            <w:r>
              <w:rPr>
                <w:rFonts w:cs="Arial"/>
                <w:color w:val="000000"/>
              </w:rPr>
              <w:br/>
            </w:r>
            <w:r w:rsidR="00AD3252" w:rsidRPr="000B3455">
              <w:rPr>
                <w:rFonts w:cs="Arial"/>
                <w:color w:val="000000"/>
              </w:rPr>
              <w:t>a. Dependent Variable: PR_FV_STO_EXCL_MCL_COM</w:t>
            </w:r>
          </w:p>
        </w:tc>
        <w:tc>
          <w:tcPr>
            <w:tcW w:w="1013" w:type="dxa"/>
            <w:tcBorders>
              <w:top w:val="nil"/>
              <w:left w:val="nil"/>
              <w:bottom w:val="nil"/>
              <w:right w:val="nil"/>
            </w:tcBorders>
            <w:shd w:val="clear" w:color="auto" w:fill="FFFFFF"/>
          </w:tcPr>
          <w:p w:rsidR="00AD3252" w:rsidRPr="000B3455" w:rsidRDefault="00AD3252" w:rsidP="00D87452">
            <w:pPr>
              <w:autoSpaceDE w:val="0"/>
              <w:autoSpaceDN w:val="0"/>
              <w:adjustRightInd w:val="0"/>
              <w:spacing w:after="0" w:line="320" w:lineRule="atLeast"/>
              <w:ind w:left="60" w:right="60"/>
              <w:rPr>
                <w:rFonts w:cs="Arial"/>
                <w:color w:val="000000"/>
              </w:rPr>
            </w:pPr>
          </w:p>
        </w:tc>
      </w:tr>
    </w:tbl>
    <w:p w:rsidR="0087285A" w:rsidRDefault="00D51742" w:rsidP="00D51742">
      <w:pPr>
        <w:pStyle w:val="Caption"/>
        <w:rPr>
          <w:color w:val="auto"/>
        </w:rPr>
      </w:pPr>
      <w:bookmarkStart w:id="119" w:name="_Ref298855999"/>
      <w:r>
        <w:t xml:space="preserve">Table </w:t>
      </w:r>
      <w:fldSimple w:instr=" SEQ Table \* ARABIC ">
        <w:r w:rsidR="001D5F9A">
          <w:rPr>
            <w:noProof/>
          </w:rPr>
          <w:t>5</w:t>
        </w:r>
      </w:fldSimple>
      <w:bookmarkEnd w:id="119"/>
      <w:r>
        <w:t xml:space="preserve">: </w:t>
      </w:r>
      <w:r w:rsidRPr="00D51742">
        <w:rPr>
          <w:color w:val="auto"/>
        </w:rPr>
        <w:t>SPSS model parameters</w:t>
      </w:r>
    </w:p>
    <w:p w:rsidR="00D51742" w:rsidRPr="00D51742" w:rsidRDefault="00B92B41" w:rsidP="00D51742">
      <w:r>
        <w:br w:type="page"/>
      </w:r>
    </w:p>
    <w:tbl>
      <w:tblPr>
        <w:tblW w:w="5291"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8"/>
        <w:gridCol w:w="2426"/>
        <w:gridCol w:w="1124"/>
        <w:gridCol w:w="1013"/>
      </w:tblGrid>
      <w:tr w:rsidR="0087285A" w:rsidRPr="000B3455" w:rsidTr="0087285A">
        <w:trPr>
          <w:cantSplit/>
          <w:tblHeader/>
        </w:trPr>
        <w:tc>
          <w:tcPr>
            <w:tcW w:w="3154"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rPr>
                <w:rFonts w:cs="Arial"/>
                <w:color w:val="000000"/>
              </w:rPr>
            </w:pPr>
            <w:r w:rsidRPr="000B3455">
              <w:rPr>
                <w:rFonts w:cs="Arial"/>
                <w:color w:val="000000"/>
              </w:rPr>
              <w:lastRenderedPageBreak/>
              <w:t>Model</w:t>
            </w:r>
          </w:p>
        </w:tc>
        <w:tc>
          <w:tcPr>
            <w:tcW w:w="2137" w:type="dxa"/>
            <w:gridSpan w:val="2"/>
            <w:tcBorders>
              <w:top w:val="single" w:sz="16" w:space="0" w:color="000000"/>
              <w:right w:val="single" w:sz="16" w:space="0" w:color="000000"/>
            </w:tcBorders>
            <w:shd w:val="clear" w:color="auto" w:fill="FFFFFF"/>
            <w:vAlign w:val="bottom"/>
          </w:tcPr>
          <w:p w:rsidR="0087285A" w:rsidRPr="000B3455" w:rsidRDefault="0087285A" w:rsidP="00812CEE">
            <w:pPr>
              <w:autoSpaceDE w:val="0"/>
              <w:autoSpaceDN w:val="0"/>
              <w:adjustRightInd w:val="0"/>
              <w:spacing w:after="0" w:line="320" w:lineRule="atLeast"/>
              <w:ind w:left="60" w:right="60"/>
              <w:jc w:val="center"/>
              <w:rPr>
                <w:rFonts w:cs="Arial"/>
                <w:color w:val="000000"/>
              </w:rPr>
            </w:pPr>
            <w:r w:rsidRPr="000B3455">
              <w:rPr>
                <w:rFonts w:cs="Arial"/>
                <w:color w:val="000000"/>
              </w:rPr>
              <w:t>Collinearity Statistics</w:t>
            </w:r>
          </w:p>
        </w:tc>
      </w:tr>
      <w:tr w:rsidR="0087285A" w:rsidRPr="000B3455" w:rsidTr="0087285A">
        <w:trPr>
          <w:cantSplit/>
          <w:tblHeader/>
        </w:trPr>
        <w:tc>
          <w:tcPr>
            <w:tcW w:w="3154" w:type="dxa"/>
            <w:gridSpan w:val="2"/>
            <w:vMerge/>
            <w:tcBorders>
              <w:top w:val="single" w:sz="16" w:space="0" w:color="000000"/>
              <w:left w:val="single" w:sz="16" w:space="0" w:color="000000"/>
              <w:bottom w:val="single" w:sz="16" w:space="0" w:color="000000"/>
              <w:right w:val="single" w:sz="16" w:space="0" w:color="000000"/>
            </w:tcBorders>
            <w:shd w:val="clear" w:color="auto" w:fill="FFFFFF"/>
          </w:tcPr>
          <w:p w:rsidR="0087285A" w:rsidRPr="000B3455" w:rsidRDefault="0087285A" w:rsidP="00812CEE">
            <w:pPr>
              <w:autoSpaceDE w:val="0"/>
              <w:autoSpaceDN w:val="0"/>
              <w:adjustRightInd w:val="0"/>
              <w:spacing w:after="0" w:line="240" w:lineRule="auto"/>
              <w:rPr>
                <w:rFonts w:cs="Arial"/>
                <w:color w:val="000000"/>
              </w:rPr>
            </w:pPr>
          </w:p>
        </w:tc>
        <w:tc>
          <w:tcPr>
            <w:tcW w:w="1124" w:type="dxa"/>
            <w:tcBorders>
              <w:bottom w:val="single" w:sz="16" w:space="0" w:color="000000"/>
            </w:tcBorders>
            <w:shd w:val="clear" w:color="auto" w:fill="FFFFFF"/>
            <w:vAlign w:val="bottom"/>
          </w:tcPr>
          <w:p w:rsidR="0087285A" w:rsidRPr="000B3455" w:rsidRDefault="0087285A" w:rsidP="00812CEE">
            <w:pPr>
              <w:autoSpaceDE w:val="0"/>
              <w:autoSpaceDN w:val="0"/>
              <w:adjustRightInd w:val="0"/>
              <w:spacing w:after="0" w:line="320" w:lineRule="atLeast"/>
              <w:ind w:left="60" w:right="60"/>
              <w:jc w:val="center"/>
              <w:rPr>
                <w:rFonts w:cs="Arial"/>
                <w:color w:val="000000"/>
              </w:rPr>
            </w:pPr>
            <w:r w:rsidRPr="000B3455">
              <w:rPr>
                <w:rFonts w:cs="Arial"/>
                <w:color w:val="000000"/>
              </w:rPr>
              <w:t>Tolerance</w:t>
            </w:r>
          </w:p>
        </w:tc>
        <w:tc>
          <w:tcPr>
            <w:tcW w:w="1013" w:type="dxa"/>
            <w:tcBorders>
              <w:bottom w:val="single" w:sz="16" w:space="0" w:color="000000"/>
              <w:right w:val="single" w:sz="16" w:space="0" w:color="000000"/>
            </w:tcBorders>
            <w:shd w:val="clear" w:color="auto" w:fill="FFFFFF"/>
            <w:vAlign w:val="bottom"/>
          </w:tcPr>
          <w:p w:rsidR="0087285A" w:rsidRPr="000B3455" w:rsidRDefault="0087285A" w:rsidP="00812CEE">
            <w:pPr>
              <w:autoSpaceDE w:val="0"/>
              <w:autoSpaceDN w:val="0"/>
              <w:adjustRightInd w:val="0"/>
              <w:spacing w:after="0" w:line="320" w:lineRule="atLeast"/>
              <w:ind w:left="60" w:right="60"/>
              <w:jc w:val="center"/>
              <w:rPr>
                <w:rFonts w:cs="Arial"/>
                <w:color w:val="000000"/>
              </w:rPr>
            </w:pPr>
            <w:r w:rsidRPr="000B3455">
              <w:rPr>
                <w:rFonts w:cs="Arial"/>
                <w:color w:val="000000"/>
              </w:rPr>
              <w:t>VIF</w:t>
            </w:r>
          </w:p>
        </w:tc>
      </w:tr>
      <w:tr w:rsidR="0087285A" w:rsidRPr="000B3455" w:rsidTr="0087285A">
        <w:trPr>
          <w:cantSplit/>
          <w:tblHeader/>
        </w:trPr>
        <w:tc>
          <w:tcPr>
            <w:tcW w:w="728" w:type="dxa"/>
            <w:vMerge w:val="restart"/>
            <w:tcBorders>
              <w:top w:val="single" w:sz="16" w:space="0" w:color="000000"/>
              <w:left w:val="single" w:sz="16" w:space="0" w:color="000000"/>
              <w:bottom w:val="single" w:sz="16" w:space="0" w:color="000000"/>
              <w:right w:val="nil"/>
            </w:tcBorders>
            <w:shd w:val="clear" w:color="auto" w:fill="FFFFFF"/>
          </w:tcPr>
          <w:p w:rsidR="0087285A" w:rsidRPr="000B3455" w:rsidRDefault="0087285A" w:rsidP="00812CEE">
            <w:pPr>
              <w:autoSpaceDE w:val="0"/>
              <w:autoSpaceDN w:val="0"/>
              <w:adjustRightInd w:val="0"/>
              <w:spacing w:after="0" w:line="320" w:lineRule="atLeast"/>
              <w:ind w:left="60" w:right="60"/>
              <w:rPr>
                <w:rFonts w:cs="Arial"/>
                <w:color w:val="000000"/>
              </w:rPr>
            </w:pPr>
            <w:r w:rsidRPr="000B3455">
              <w:rPr>
                <w:rFonts w:cs="Arial"/>
                <w:color w:val="000000"/>
              </w:rPr>
              <w:t>1</w:t>
            </w:r>
          </w:p>
        </w:tc>
        <w:tc>
          <w:tcPr>
            <w:tcW w:w="2426" w:type="dxa"/>
            <w:tcBorders>
              <w:top w:val="single" w:sz="16" w:space="0" w:color="000000"/>
              <w:left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rPr>
                <w:rFonts w:cs="Arial"/>
                <w:color w:val="000000"/>
              </w:rPr>
            </w:pPr>
            <w:r w:rsidRPr="000B3455">
              <w:rPr>
                <w:rFonts w:cs="Arial"/>
                <w:color w:val="000000"/>
              </w:rPr>
              <w:t>(Constant)</w:t>
            </w:r>
          </w:p>
        </w:tc>
        <w:tc>
          <w:tcPr>
            <w:tcW w:w="1124" w:type="dxa"/>
            <w:tcBorders>
              <w:top w:val="single" w:sz="16" w:space="0" w:color="000000"/>
              <w:bottom w:val="nil"/>
            </w:tcBorders>
            <w:shd w:val="clear" w:color="auto" w:fill="FFFFFF"/>
            <w:vAlign w:val="center"/>
          </w:tcPr>
          <w:p w:rsidR="0087285A" w:rsidRPr="000B3455" w:rsidRDefault="0087285A" w:rsidP="00812CEE">
            <w:pPr>
              <w:autoSpaceDE w:val="0"/>
              <w:autoSpaceDN w:val="0"/>
              <w:adjustRightInd w:val="0"/>
              <w:spacing w:after="0" w:line="240" w:lineRule="auto"/>
              <w:jc w:val="center"/>
              <w:rPr>
                <w:rFonts w:cs="Times New Roman"/>
              </w:rPr>
            </w:pPr>
          </w:p>
        </w:tc>
        <w:tc>
          <w:tcPr>
            <w:tcW w:w="1013" w:type="dxa"/>
            <w:tcBorders>
              <w:top w:val="single" w:sz="16" w:space="0" w:color="000000"/>
              <w:bottom w:val="nil"/>
              <w:right w:val="single" w:sz="16" w:space="0" w:color="000000"/>
            </w:tcBorders>
            <w:shd w:val="clear" w:color="auto" w:fill="FFFFFF"/>
            <w:vAlign w:val="center"/>
          </w:tcPr>
          <w:p w:rsidR="0087285A" w:rsidRPr="000B3455" w:rsidRDefault="0087285A" w:rsidP="00812CEE">
            <w:pPr>
              <w:autoSpaceDE w:val="0"/>
              <w:autoSpaceDN w:val="0"/>
              <w:adjustRightInd w:val="0"/>
              <w:spacing w:after="0" w:line="240" w:lineRule="auto"/>
              <w:jc w:val="center"/>
              <w:rPr>
                <w:rFonts w:cs="Times New Roman"/>
              </w:rPr>
            </w:pPr>
          </w:p>
        </w:tc>
      </w:tr>
      <w:tr w:rsidR="0087285A" w:rsidRPr="000B3455" w:rsidTr="0087285A">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87285A" w:rsidRPr="000B3455" w:rsidRDefault="0087285A" w:rsidP="00812CEE">
            <w:pPr>
              <w:autoSpaceDE w:val="0"/>
              <w:autoSpaceDN w:val="0"/>
              <w:adjustRightInd w:val="0"/>
              <w:spacing w:after="0" w:line="240" w:lineRule="auto"/>
              <w:rPr>
                <w:rFonts w:cs="Times New Roman"/>
              </w:rPr>
            </w:pPr>
          </w:p>
        </w:tc>
        <w:tc>
          <w:tcPr>
            <w:tcW w:w="2426" w:type="dxa"/>
            <w:tcBorders>
              <w:top w:val="nil"/>
              <w:left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rPr>
                <w:rFonts w:cs="Arial"/>
                <w:color w:val="000000"/>
              </w:rPr>
            </w:pPr>
            <w:r w:rsidRPr="000B3455">
              <w:rPr>
                <w:rFonts w:cs="Arial"/>
                <w:color w:val="000000"/>
              </w:rPr>
              <w:t>D_2003</w:t>
            </w:r>
          </w:p>
        </w:tc>
        <w:tc>
          <w:tcPr>
            <w:tcW w:w="1124" w:type="dxa"/>
            <w:tcBorders>
              <w:top w:val="nil"/>
              <w:bottom w:val="nil"/>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,479</w:t>
            </w:r>
          </w:p>
        </w:tc>
        <w:tc>
          <w:tcPr>
            <w:tcW w:w="1013" w:type="dxa"/>
            <w:tcBorders>
              <w:top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2,087</w:t>
            </w:r>
          </w:p>
        </w:tc>
      </w:tr>
      <w:tr w:rsidR="0087285A" w:rsidRPr="000B3455" w:rsidTr="0087285A">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87285A" w:rsidRPr="000B3455" w:rsidRDefault="0087285A"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rPr>
                <w:rFonts w:cs="Arial"/>
                <w:color w:val="000000"/>
              </w:rPr>
            </w:pPr>
            <w:r w:rsidRPr="000B3455">
              <w:rPr>
                <w:rFonts w:cs="Arial"/>
                <w:color w:val="000000"/>
              </w:rPr>
              <w:t>D_2004</w:t>
            </w:r>
          </w:p>
        </w:tc>
        <w:tc>
          <w:tcPr>
            <w:tcW w:w="1124" w:type="dxa"/>
            <w:tcBorders>
              <w:top w:val="nil"/>
              <w:bottom w:val="nil"/>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,462</w:t>
            </w:r>
          </w:p>
        </w:tc>
        <w:tc>
          <w:tcPr>
            <w:tcW w:w="1013" w:type="dxa"/>
            <w:tcBorders>
              <w:top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2,166</w:t>
            </w:r>
          </w:p>
        </w:tc>
      </w:tr>
      <w:tr w:rsidR="0087285A" w:rsidRPr="000B3455" w:rsidTr="0087285A">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87285A" w:rsidRPr="000B3455" w:rsidRDefault="0087285A"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rPr>
                <w:rFonts w:cs="Arial"/>
                <w:color w:val="000000"/>
              </w:rPr>
            </w:pPr>
            <w:r w:rsidRPr="000B3455">
              <w:rPr>
                <w:rFonts w:cs="Arial"/>
                <w:color w:val="000000"/>
              </w:rPr>
              <w:t>D_2005</w:t>
            </w:r>
          </w:p>
        </w:tc>
        <w:tc>
          <w:tcPr>
            <w:tcW w:w="1124" w:type="dxa"/>
            <w:tcBorders>
              <w:top w:val="nil"/>
              <w:bottom w:val="nil"/>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,392</w:t>
            </w:r>
          </w:p>
        </w:tc>
        <w:tc>
          <w:tcPr>
            <w:tcW w:w="1013" w:type="dxa"/>
            <w:tcBorders>
              <w:top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2,554</w:t>
            </w:r>
          </w:p>
        </w:tc>
      </w:tr>
      <w:tr w:rsidR="0087285A" w:rsidRPr="000B3455" w:rsidTr="0087285A">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87285A" w:rsidRPr="000B3455" w:rsidRDefault="0087285A"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rPr>
                <w:rFonts w:cs="Arial"/>
                <w:color w:val="000000"/>
              </w:rPr>
            </w:pPr>
            <w:r w:rsidRPr="000B3455">
              <w:rPr>
                <w:rFonts w:cs="Arial"/>
                <w:color w:val="000000"/>
              </w:rPr>
              <w:t>D_2006</w:t>
            </w:r>
          </w:p>
        </w:tc>
        <w:tc>
          <w:tcPr>
            <w:tcW w:w="1124" w:type="dxa"/>
            <w:tcBorders>
              <w:top w:val="nil"/>
              <w:bottom w:val="nil"/>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,441</w:t>
            </w:r>
          </w:p>
        </w:tc>
        <w:tc>
          <w:tcPr>
            <w:tcW w:w="1013" w:type="dxa"/>
            <w:tcBorders>
              <w:top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2,266</w:t>
            </w:r>
          </w:p>
        </w:tc>
      </w:tr>
      <w:tr w:rsidR="0087285A" w:rsidRPr="000B3455" w:rsidTr="0087285A">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87285A" w:rsidRPr="000B3455" w:rsidRDefault="0087285A"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rPr>
                <w:rFonts w:cs="Arial"/>
                <w:color w:val="000000"/>
              </w:rPr>
            </w:pPr>
            <w:r w:rsidRPr="000B3455">
              <w:rPr>
                <w:rFonts w:cs="Arial"/>
                <w:color w:val="000000"/>
              </w:rPr>
              <w:t>D_2007</w:t>
            </w:r>
          </w:p>
        </w:tc>
        <w:tc>
          <w:tcPr>
            <w:tcW w:w="1124" w:type="dxa"/>
            <w:tcBorders>
              <w:top w:val="nil"/>
              <w:bottom w:val="nil"/>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,549</w:t>
            </w:r>
          </w:p>
        </w:tc>
        <w:tc>
          <w:tcPr>
            <w:tcW w:w="1013" w:type="dxa"/>
            <w:tcBorders>
              <w:top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1,821</w:t>
            </w:r>
          </w:p>
        </w:tc>
      </w:tr>
      <w:tr w:rsidR="0087285A" w:rsidRPr="000B3455" w:rsidTr="0087285A">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87285A" w:rsidRPr="000B3455" w:rsidRDefault="0087285A"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rPr>
                <w:rFonts w:cs="Arial"/>
                <w:color w:val="000000"/>
              </w:rPr>
            </w:pPr>
            <w:r w:rsidRPr="000B3455">
              <w:rPr>
                <w:rFonts w:cs="Arial"/>
                <w:color w:val="000000"/>
              </w:rPr>
              <w:t>LN_ASSETS</w:t>
            </w:r>
          </w:p>
        </w:tc>
        <w:tc>
          <w:tcPr>
            <w:tcW w:w="1124" w:type="dxa"/>
            <w:tcBorders>
              <w:top w:val="nil"/>
              <w:bottom w:val="nil"/>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,330</w:t>
            </w:r>
          </w:p>
        </w:tc>
        <w:tc>
          <w:tcPr>
            <w:tcW w:w="1013" w:type="dxa"/>
            <w:tcBorders>
              <w:top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3,031</w:t>
            </w:r>
          </w:p>
        </w:tc>
      </w:tr>
      <w:tr w:rsidR="0087285A" w:rsidRPr="000B3455" w:rsidTr="0087285A">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87285A" w:rsidRPr="000B3455" w:rsidRDefault="0087285A"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rPr>
                <w:rFonts w:cs="Arial"/>
                <w:color w:val="000000"/>
              </w:rPr>
            </w:pPr>
            <w:r w:rsidRPr="000B3455">
              <w:rPr>
                <w:rFonts w:cs="Arial"/>
                <w:color w:val="000000"/>
              </w:rPr>
              <w:t>MTB</w:t>
            </w:r>
          </w:p>
        </w:tc>
        <w:tc>
          <w:tcPr>
            <w:tcW w:w="1124" w:type="dxa"/>
            <w:tcBorders>
              <w:top w:val="nil"/>
              <w:bottom w:val="nil"/>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,643</w:t>
            </w:r>
          </w:p>
        </w:tc>
        <w:tc>
          <w:tcPr>
            <w:tcW w:w="1013" w:type="dxa"/>
            <w:tcBorders>
              <w:top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1,556</w:t>
            </w:r>
          </w:p>
        </w:tc>
      </w:tr>
      <w:tr w:rsidR="0087285A" w:rsidRPr="000B3455" w:rsidTr="0087285A">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87285A" w:rsidRPr="000B3455" w:rsidRDefault="0087285A"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rPr>
                <w:rFonts w:cs="Arial"/>
                <w:color w:val="000000"/>
              </w:rPr>
            </w:pPr>
            <w:r w:rsidRPr="000B3455">
              <w:rPr>
                <w:rFonts w:cs="Arial"/>
                <w:color w:val="000000"/>
              </w:rPr>
              <w:t>RET</w:t>
            </w:r>
          </w:p>
        </w:tc>
        <w:tc>
          <w:tcPr>
            <w:tcW w:w="1124" w:type="dxa"/>
            <w:tcBorders>
              <w:top w:val="nil"/>
              <w:bottom w:val="nil"/>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,510</w:t>
            </w:r>
          </w:p>
        </w:tc>
        <w:tc>
          <w:tcPr>
            <w:tcW w:w="1013" w:type="dxa"/>
            <w:tcBorders>
              <w:top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1,961</w:t>
            </w:r>
          </w:p>
        </w:tc>
      </w:tr>
      <w:tr w:rsidR="0087285A" w:rsidRPr="000B3455" w:rsidTr="0087285A">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87285A" w:rsidRPr="000B3455" w:rsidRDefault="0087285A"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rPr>
                <w:rFonts w:cs="Arial"/>
                <w:color w:val="000000"/>
              </w:rPr>
            </w:pPr>
            <w:r w:rsidRPr="000B3455">
              <w:rPr>
                <w:rFonts w:cs="Arial"/>
                <w:color w:val="000000"/>
              </w:rPr>
              <w:t>VOL</w:t>
            </w:r>
          </w:p>
        </w:tc>
        <w:tc>
          <w:tcPr>
            <w:tcW w:w="1124" w:type="dxa"/>
            <w:tcBorders>
              <w:top w:val="nil"/>
              <w:bottom w:val="nil"/>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,643</w:t>
            </w:r>
          </w:p>
        </w:tc>
        <w:tc>
          <w:tcPr>
            <w:tcW w:w="1013" w:type="dxa"/>
            <w:tcBorders>
              <w:top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1,555</w:t>
            </w:r>
          </w:p>
        </w:tc>
      </w:tr>
      <w:tr w:rsidR="0087285A" w:rsidRPr="000B3455" w:rsidTr="0087285A">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87285A" w:rsidRPr="000B3455" w:rsidRDefault="0087285A"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rPr>
                <w:rFonts w:cs="Arial"/>
                <w:color w:val="000000"/>
              </w:rPr>
            </w:pPr>
            <w:r w:rsidRPr="000B3455">
              <w:rPr>
                <w:rFonts w:cs="Arial"/>
                <w:color w:val="000000"/>
              </w:rPr>
              <w:t>BOA_SIZE</w:t>
            </w:r>
          </w:p>
        </w:tc>
        <w:tc>
          <w:tcPr>
            <w:tcW w:w="1124" w:type="dxa"/>
            <w:tcBorders>
              <w:top w:val="nil"/>
              <w:bottom w:val="nil"/>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,495</w:t>
            </w:r>
          </w:p>
        </w:tc>
        <w:tc>
          <w:tcPr>
            <w:tcW w:w="1013" w:type="dxa"/>
            <w:tcBorders>
              <w:top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2,021</w:t>
            </w:r>
          </w:p>
        </w:tc>
      </w:tr>
      <w:tr w:rsidR="0087285A" w:rsidRPr="000B3455" w:rsidTr="0087285A">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87285A" w:rsidRPr="000B3455" w:rsidRDefault="0087285A"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rPr>
                <w:rFonts w:cs="Arial"/>
                <w:color w:val="000000"/>
              </w:rPr>
            </w:pPr>
            <w:r w:rsidRPr="000B3455">
              <w:rPr>
                <w:rFonts w:cs="Arial"/>
                <w:color w:val="000000"/>
              </w:rPr>
              <w:t>LIQ_CON</w:t>
            </w:r>
          </w:p>
        </w:tc>
        <w:tc>
          <w:tcPr>
            <w:tcW w:w="1124" w:type="dxa"/>
            <w:tcBorders>
              <w:top w:val="nil"/>
              <w:bottom w:val="nil"/>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,648</w:t>
            </w:r>
          </w:p>
        </w:tc>
        <w:tc>
          <w:tcPr>
            <w:tcW w:w="1013" w:type="dxa"/>
            <w:tcBorders>
              <w:top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1,542</w:t>
            </w:r>
          </w:p>
        </w:tc>
      </w:tr>
      <w:tr w:rsidR="0087285A" w:rsidRPr="000B3455" w:rsidTr="0087285A">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87285A" w:rsidRPr="000B3455" w:rsidRDefault="0087285A"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rPr>
                <w:rFonts w:cs="Arial"/>
                <w:color w:val="000000"/>
              </w:rPr>
            </w:pPr>
            <w:r w:rsidRPr="000B3455">
              <w:rPr>
                <w:rFonts w:cs="Arial"/>
                <w:color w:val="000000"/>
              </w:rPr>
              <w:t>IND_D_MINING</w:t>
            </w:r>
          </w:p>
        </w:tc>
        <w:tc>
          <w:tcPr>
            <w:tcW w:w="1124" w:type="dxa"/>
            <w:tcBorders>
              <w:top w:val="nil"/>
              <w:bottom w:val="nil"/>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,736</w:t>
            </w:r>
          </w:p>
        </w:tc>
        <w:tc>
          <w:tcPr>
            <w:tcW w:w="1013" w:type="dxa"/>
            <w:tcBorders>
              <w:top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1,358</w:t>
            </w:r>
          </w:p>
        </w:tc>
      </w:tr>
      <w:tr w:rsidR="0087285A" w:rsidRPr="000B3455" w:rsidTr="0087285A">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87285A" w:rsidRPr="000B3455" w:rsidRDefault="0087285A"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rPr>
                <w:rFonts w:cs="Arial"/>
                <w:color w:val="000000"/>
              </w:rPr>
            </w:pPr>
            <w:r w:rsidRPr="000B3455">
              <w:rPr>
                <w:rFonts w:cs="Arial"/>
                <w:color w:val="000000"/>
              </w:rPr>
              <w:t>IND_D_CONSTR</w:t>
            </w:r>
          </w:p>
        </w:tc>
        <w:tc>
          <w:tcPr>
            <w:tcW w:w="1124" w:type="dxa"/>
            <w:tcBorders>
              <w:top w:val="nil"/>
              <w:bottom w:val="nil"/>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,870</w:t>
            </w:r>
          </w:p>
        </w:tc>
        <w:tc>
          <w:tcPr>
            <w:tcW w:w="1013" w:type="dxa"/>
            <w:tcBorders>
              <w:top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1,150</w:t>
            </w:r>
          </w:p>
        </w:tc>
      </w:tr>
      <w:tr w:rsidR="0087285A" w:rsidRPr="000B3455" w:rsidTr="0087285A">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87285A" w:rsidRPr="000B3455" w:rsidRDefault="0087285A"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rPr>
                <w:rFonts w:cs="Arial"/>
                <w:color w:val="000000"/>
              </w:rPr>
            </w:pPr>
            <w:r w:rsidRPr="000B3455">
              <w:rPr>
                <w:rFonts w:cs="Arial"/>
                <w:color w:val="000000"/>
              </w:rPr>
              <w:t>IND_D_TRANS_COMM_ELE_GAS_SAN_SERV</w:t>
            </w:r>
          </w:p>
        </w:tc>
        <w:tc>
          <w:tcPr>
            <w:tcW w:w="1124" w:type="dxa"/>
            <w:tcBorders>
              <w:top w:val="nil"/>
              <w:bottom w:val="nil"/>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,791</w:t>
            </w:r>
          </w:p>
        </w:tc>
        <w:tc>
          <w:tcPr>
            <w:tcW w:w="1013" w:type="dxa"/>
            <w:tcBorders>
              <w:top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1,264</w:t>
            </w:r>
          </w:p>
        </w:tc>
      </w:tr>
      <w:tr w:rsidR="0087285A" w:rsidRPr="000B3455" w:rsidTr="0087285A">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87285A" w:rsidRPr="000B3455" w:rsidRDefault="0087285A"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rPr>
                <w:rFonts w:cs="Arial"/>
                <w:color w:val="000000"/>
              </w:rPr>
            </w:pPr>
            <w:r w:rsidRPr="000B3455">
              <w:rPr>
                <w:rFonts w:cs="Arial"/>
                <w:color w:val="000000"/>
              </w:rPr>
              <w:t>IND_D_WHOLESALE</w:t>
            </w:r>
          </w:p>
        </w:tc>
        <w:tc>
          <w:tcPr>
            <w:tcW w:w="1124" w:type="dxa"/>
            <w:tcBorders>
              <w:top w:val="nil"/>
              <w:bottom w:val="nil"/>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,861</w:t>
            </w:r>
          </w:p>
        </w:tc>
        <w:tc>
          <w:tcPr>
            <w:tcW w:w="1013" w:type="dxa"/>
            <w:tcBorders>
              <w:top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1,162</w:t>
            </w:r>
          </w:p>
        </w:tc>
      </w:tr>
      <w:tr w:rsidR="0087285A" w:rsidRPr="000B3455" w:rsidTr="0087285A">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87285A" w:rsidRPr="000B3455" w:rsidRDefault="0087285A"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rPr>
                <w:rFonts w:cs="Arial"/>
                <w:color w:val="000000"/>
              </w:rPr>
            </w:pPr>
            <w:r w:rsidRPr="000B3455">
              <w:rPr>
                <w:rFonts w:cs="Arial"/>
                <w:color w:val="000000"/>
              </w:rPr>
              <w:t>IND_D_RETAIL</w:t>
            </w:r>
          </w:p>
        </w:tc>
        <w:tc>
          <w:tcPr>
            <w:tcW w:w="1124" w:type="dxa"/>
            <w:tcBorders>
              <w:top w:val="nil"/>
              <w:bottom w:val="nil"/>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,816</w:t>
            </w:r>
          </w:p>
        </w:tc>
        <w:tc>
          <w:tcPr>
            <w:tcW w:w="1013" w:type="dxa"/>
            <w:tcBorders>
              <w:top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1,226</w:t>
            </w:r>
          </w:p>
        </w:tc>
      </w:tr>
      <w:tr w:rsidR="0087285A" w:rsidRPr="000B3455" w:rsidTr="0087285A">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87285A" w:rsidRPr="000B3455" w:rsidRDefault="0087285A"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rPr>
                <w:rFonts w:cs="Arial"/>
                <w:color w:val="000000"/>
              </w:rPr>
            </w:pPr>
            <w:r w:rsidRPr="000B3455">
              <w:rPr>
                <w:rFonts w:cs="Arial"/>
                <w:color w:val="000000"/>
              </w:rPr>
              <w:t>IND_D_FIN_INS_REAL_EST</w:t>
            </w:r>
          </w:p>
        </w:tc>
        <w:tc>
          <w:tcPr>
            <w:tcW w:w="1124" w:type="dxa"/>
            <w:tcBorders>
              <w:top w:val="nil"/>
              <w:bottom w:val="nil"/>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,661</w:t>
            </w:r>
          </w:p>
        </w:tc>
        <w:tc>
          <w:tcPr>
            <w:tcW w:w="1013" w:type="dxa"/>
            <w:tcBorders>
              <w:top w:val="nil"/>
              <w:bottom w:val="nil"/>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1,513</w:t>
            </w:r>
          </w:p>
        </w:tc>
      </w:tr>
      <w:tr w:rsidR="0087285A" w:rsidRPr="000B3455" w:rsidTr="0087285A">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87285A" w:rsidRPr="000B3455" w:rsidRDefault="0087285A" w:rsidP="00812CEE">
            <w:pPr>
              <w:autoSpaceDE w:val="0"/>
              <w:autoSpaceDN w:val="0"/>
              <w:adjustRightInd w:val="0"/>
              <w:spacing w:after="0" w:line="240" w:lineRule="auto"/>
              <w:rPr>
                <w:rFonts w:cs="Arial"/>
                <w:color w:val="000000"/>
              </w:rPr>
            </w:pPr>
          </w:p>
        </w:tc>
        <w:tc>
          <w:tcPr>
            <w:tcW w:w="2426" w:type="dxa"/>
            <w:tcBorders>
              <w:top w:val="nil"/>
              <w:left w:val="nil"/>
              <w:bottom w:val="single" w:sz="16" w:space="0" w:color="000000"/>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rPr>
                <w:rFonts w:cs="Arial"/>
                <w:color w:val="000000"/>
              </w:rPr>
            </w:pPr>
            <w:r w:rsidRPr="000B3455">
              <w:rPr>
                <w:rFonts w:cs="Arial"/>
                <w:color w:val="000000"/>
              </w:rPr>
              <w:t>IND_D_SERVICES</w:t>
            </w:r>
          </w:p>
        </w:tc>
        <w:tc>
          <w:tcPr>
            <w:tcW w:w="1124" w:type="dxa"/>
            <w:tcBorders>
              <w:top w:val="nil"/>
              <w:bottom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,568</w:t>
            </w:r>
          </w:p>
        </w:tc>
        <w:tc>
          <w:tcPr>
            <w:tcW w:w="1013" w:type="dxa"/>
            <w:tcBorders>
              <w:top w:val="nil"/>
              <w:bottom w:val="single" w:sz="16" w:space="0" w:color="000000"/>
              <w:right w:val="single" w:sz="16" w:space="0" w:color="000000"/>
            </w:tcBorders>
            <w:shd w:val="clear" w:color="auto" w:fill="FFFFFF"/>
          </w:tcPr>
          <w:p w:rsidR="0087285A" w:rsidRPr="000B3455" w:rsidRDefault="0087285A" w:rsidP="00812CEE">
            <w:pPr>
              <w:autoSpaceDE w:val="0"/>
              <w:autoSpaceDN w:val="0"/>
              <w:adjustRightInd w:val="0"/>
              <w:spacing w:after="0" w:line="320" w:lineRule="atLeast"/>
              <w:ind w:left="60" w:right="60"/>
              <w:jc w:val="right"/>
              <w:rPr>
                <w:rFonts w:cs="Arial"/>
                <w:color w:val="000000"/>
              </w:rPr>
            </w:pPr>
            <w:r w:rsidRPr="000B3455">
              <w:rPr>
                <w:rFonts w:cs="Arial"/>
                <w:color w:val="000000"/>
              </w:rPr>
              <w:t>1,762</w:t>
            </w:r>
          </w:p>
        </w:tc>
      </w:tr>
    </w:tbl>
    <w:p w:rsidR="00D51742" w:rsidRPr="00D51742" w:rsidRDefault="00D51742" w:rsidP="00D51742">
      <w:pPr>
        <w:pStyle w:val="Caption"/>
      </w:pPr>
      <w:bookmarkStart w:id="120" w:name="_Ref298856950"/>
      <w:r>
        <w:t xml:space="preserve">Table </w:t>
      </w:r>
      <w:fldSimple w:instr=" SEQ Table \* ARABIC ">
        <w:r w:rsidR="001D5F9A">
          <w:rPr>
            <w:noProof/>
          </w:rPr>
          <w:t>6</w:t>
        </w:r>
      </w:fldSimple>
      <w:bookmarkEnd w:id="120"/>
      <w:r>
        <w:t xml:space="preserve">: </w:t>
      </w:r>
      <w:r w:rsidRPr="00D51742">
        <w:rPr>
          <w:color w:val="auto"/>
        </w:rPr>
        <w:t>Collinearity diagnostics for hypothesis 1</w:t>
      </w:r>
    </w:p>
    <w:p w:rsidR="0087285A" w:rsidRPr="000B3455" w:rsidRDefault="0087285A" w:rsidP="001D5F43"/>
    <w:p w:rsidR="003D5369" w:rsidRPr="000B3455" w:rsidRDefault="003D5369" w:rsidP="001D5F43"/>
    <w:p w:rsidR="003D5369" w:rsidRPr="000B3455" w:rsidRDefault="003D5369">
      <w:r w:rsidRPr="000B3455">
        <w:br w:type="page"/>
      </w:r>
    </w:p>
    <w:p w:rsidR="003D5369" w:rsidRDefault="003D5369" w:rsidP="00ED7148">
      <w:pPr>
        <w:pStyle w:val="AppendicesThesis"/>
      </w:pPr>
      <w:bookmarkStart w:id="121" w:name="VII"/>
      <w:bookmarkStart w:id="122" w:name="_Toc298944615"/>
      <w:r w:rsidRPr="000B3455">
        <w:lastRenderedPageBreak/>
        <w:t>Appendix VI</w:t>
      </w:r>
      <w:r w:rsidR="00C97617" w:rsidRPr="000B3455">
        <w:t>I</w:t>
      </w:r>
      <w:bookmarkEnd w:id="121"/>
      <w:r w:rsidRPr="000B3455">
        <w:t xml:space="preserve">: Descriptive </w:t>
      </w:r>
      <w:r w:rsidR="00E64A6D">
        <w:t>s</w:t>
      </w:r>
      <w:r w:rsidR="00E64A6D" w:rsidRPr="000B3455">
        <w:t xml:space="preserve">tatistics </w:t>
      </w:r>
      <w:r w:rsidRPr="000B3455">
        <w:t xml:space="preserve">on </w:t>
      </w:r>
      <w:r w:rsidR="00E64A6D">
        <w:t>h</w:t>
      </w:r>
      <w:r w:rsidR="00E64A6D" w:rsidRPr="000B3455">
        <w:t xml:space="preserve">ypothesis </w:t>
      </w:r>
      <w:r w:rsidRPr="000B3455">
        <w:t>2</w:t>
      </w:r>
      <w:bookmarkEnd w:id="122"/>
    </w:p>
    <w:p w:rsidR="00D51742" w:rsidRPr="000B3455" w:rsidRDefault="00D51742" w:rsidP="001D5F43">
      <w:pPr>
        <w:rPr>
          <w:b/>
        </w:rPr>
      </w:pPr>
    </w:p>
    <w:tbl>
      <w:tblPr>
        <w:tblStyle w:val="Gemiddeldearcering1-accent11"/>
        <w:tblW w:w="7338" w:type="dxa"/>
        <w:tblLook w:val="04A0"/>
      </w:tblPr>
      <w:tblGrid>
        <w:gridCol w:w="3936"/>
        <w:gridCol w:w="1842"/>
        <w:gridCol w:w="1560"/>
      </w:tblGrid>
      <w:tr w:rsidR="00CE06C7" w:rsidRPr="004F693F" w:rsidTr="003C0F81">
        <w:trPr>
          <w:cnfStyle w:val="100000000000"/>
        </w:trPr>
        <w:tc>
          <w:tcPr>
            <w:cnfStyle w:val="001000000000"/>
            <w:tcW w:w="3936" w:type="dxa"/>
          </w:tcPr>
          <w:p w:rsidR="00CE06C7" w:rsidRPr="004F693F" w:rsidRDefault="00CE06C7" w:rsidP="004F693F">
            <w:pPr>
              <w:ind w:left="-108" w:firstLine="108"/>
            </w:pPr>
            <w:r w:rsidRPr="004F693F">
              <w:t>Industry</w:t>
            </w:r>
          </w:p>
        </w:tc>
        <w:tc>
          <w:tcPr>
            <w:tcW w:w="1842" w:type="dxa"/>
          </w:tcPr>
          <w:p w:rsidR="00CE06C7" w:rsidRPr="004F693F" w:rsidRDefault="00CE06C7" w:rsidP="004F693F">
            <w:pPr>
              <w:ind w:left="-108" w:firstLine="108"/>
              <w:jc w:val="center"/>
              <w:cnfStyle w:val="100000000000"/>
            </w:pPr>
            <w:r w:rsidRPr="004F693F">
              <w:t>Frequency</w:t>
            </w:r>
          </w:p>
        </w:tc>
        <w:tc>
          <w:tcPr>
            <w:tcW w:w="1560" w:type="dxa"/>
          </w:tcPr>
          <w:p w:rsidR="00CE06C7" w:rsidRPr="004F693F" w:rsidRDefault="00CE06C7" w:rsidP="004F693F">
            <w:pPr>
              <w:ind w:left="-108" w:firstLine="108"/>
              <w:jc w:val="center"/>
              <w:cnfStyle w:val="100000000000"/>
            </w:pPr>
            <w:r w:rsidRPr="004F693F">
              <w:t>Percentage</w:t>
            </w:r>
          </w:p>
        </w:tc>
      </w:tr>
      <w:tr w:rsidR="00CE06C7" w:rsidRPr="000B3455" w:rsidTr="003C0F81">
        <w:trPr>
          <w:cnfStyle w:val="000000100000"/>
        </w:trPr>
        <w:tc>
          <w:tcPr>
            <w:cnfStyle w:val="001000000000"/>
            <w:tcW w:w="3936" w:type="dxa"/>
          </w:tcPr>
          <w:p w:rsidR="00CE06C7" w:rsidRPr="00A00F8F" w:rsidRDefault="00CE06C7" w:rsidP="004F693F">
            <w:pPr>
              <w:ind w:left="-108" w:firstLine="108"/>
              <w:rPr>
                <w:b w:val="0"/>
              </w:rPr>
            </w:pPr>
            <w:r w:rsidRPr="00A00F8F">
              <w:rPr>
                <w:b w:val="0"/>
              </w:rPr>
              <w:t>Agriculture, Forestry, and Fishing</w:t>
            </w:r>
          </w:p>
        </w:tc>
        <w:tc>
          <w:tcPr>
            <w:tcW w:w="1842" w:type="dxa"/>
          </w:tcPr>
          <w:p w:rsidR="00CE06C7" w:rsidRPr="000B3455" w:rsidRDefault="00CE06C7" w:rsidP="004F693F">
            <w:pPr>
              <w:ind w:left="-108" w:firstLine="108"/>
              <w:jc w:val="center"/>
              <w:cnfStyle w:val="000000100000"/>
            </w:pPr>
            <w:r w:rsidRPr="000B3455">
              <w:t>0</w:t>
            </w:r>
          </w:p>
        </w:tc>
        <w:tc>
          <w:tcPr>
            <w:tcW w:w="1560" w:type="dxa"/>
            <w:vAlign w:val="center"/>
          </w:tcPr>
          <w:p w:rsidR="00CE06C7" w:rsidRPr="000B3455" w:rsidRDefault="00CE06C7" w:rsidP="003C0F81">
            <w:pPr>
              <w:ind w:left="-108" w:right="176" w:firstLine="108"/>
              <w:jc w:val="right"/>
              <w:cnfStyle w:val="000000100000"/>
            </w:pPr>
            <w:r w:rsidRPr="000B3455">
              <w:t>0.00 %</w:t>
            </w:r>
          </w:p>
        </w:tc>
      </w:tr>
      <w:tr w:rsidR="00CE06C7" w:rsidRPr="000B3455" w:rsidTr="003C0F81">
        <w:trPr>
          <w:cnfStyle w:val="000000010000"/>
        </w:trPr>
        <w:tc>
          <w:tcPr>
            <w:cnfStyle w:val="001000000000"/>
            <w:tcW w:w="3936" w:type="dxa"/>
          </w:tcPr>
          <w:p w:rsidR="00CE06C7" w:rsidRPr="00A00F8F" w:rsidRDefault="00CE06C7" w:rsidP="004F693F">
            <w:pPr>
              <w:ind w:left="-108" w:firstLine="108"/>
              <w:rPr>
                <w:b w:val="0"/>
              </w:rPr>
            </w:pPr>
            <w:r w:rsidRPr="00A00F8F">
              <w:rPr>
                <w:b w:val="0"/>
              </w:rPr>
              <w:t>Mining</w:t>
            </w:r>
          </w:p>
        </w:tc>
        <w:tc>
          <w:tcPr>
            <w:tcW w:w="1842" w:type="dxa"/>
          </w:tcPr>
          <w:p w:rsidR="00CE06C7" w:rsidRPr="000B3455" w:rsidRDefault="00CE06C7" w:rsidP="004F693F">
            <w:pPr>
              <w:ind w:left="-108" w:firstLine="108"/>
              <w:jc w:val="center"/>
              <w:cnfStyle w:val="000000010000"/>
            </w:pPr>
            <w:r w:rsidRPr="000B3455">
              <w:t>1</w:t>
            </w:r>
          </w:p>
        </w:tc>
        <w:tc>
          <w:tcPr>
            <w:tcW w:w="1560" w:type="dxa"/>
            <w:vAlign w:val="center"/>
          </w:tcPr>
          <w:p w:rsidR="00CE06C7" w:rsidRPr="000B3455" w:rsidRDefault="00CE06C7" w:rsidP="003C0F81">
            <w:pPr>
              <w:ind w:left="-108" w:right="176" w:firstLine="108"/>
              <w:jc w:val="right"/>
              <w:cnfStyle w:val="000000010000"/>
            </w:pPr>
            <w:r w:rsidRPr="000B3455">
              <w:t>3.45 %</w:t>
            </w:r>
          </w:p>
        </w:tc>
      </w:tr>
      <w:tr w:rsidR="00CE06C7" w:rsidRPr="000B3455" w:rsidTr="003C0F81">
        <w:trPr>
          <w:cnfStyle w:val="000000100000"/>
        </w:trPr>
        <w:tc>
          <w:tcPr>
            <w:cnfStyle w:val="001000000000"/>
            <w:tcW w:w="3936" w:type="dxa"/>
          </w:tcPr>
          <w:p w:rsidR="00CE06C7" w:rsidRPr="00A00F8F" w:rsidRDefault="00CE06C7" w:rsidP="004F693F">
            <w:pPr>
              <w:ind w:left="-108" w:firstLine="108"/>
              <w:rPr>
                <w:b w:val="0"/>
              </w:rPr>
            </w:pPr>
            <w:r w:rsidRPr="00A00F8F">
              <w:rPr>
                <w:b w:val="0"/>
              </w:rPr>
              <w:t>Construction</w:t>
            </w:r>
          </w:p>
        </w:tc>
        <w:tc>
          <w:tcPr>
            <w:tcW w:w="1842" w:type="dxa"/>
          </w:tcPr>
          <w:p w:rsidR="00CE06C7" w:rsidRPr="000B3455" w:rsidRDefault="00CE06C7" w:rsidP="004F693F">
            <w:pPr>
              <w:ind w:left="-108" w:firstLine="108"/>
              <w:jc w:val="center"/>
              <w:cnfStyle w:val="000000100000"/>
            </w:pPr>
            <w:r w:rsidRPr="000B3455">
              <w:t>1</w:t>
            </w:r>
          </w:p>
        </w:tc>
        <w:tc>
          <w:tcPr>
            <w:tcW w:w="1560" w:type="dxa"/>
            <w:vAlign w:val="center"/>
          </w:tcPr>
          <w:p w:rsidR="00CE06C7" w:rsidRPr="000B3455" w:rsidRDefault="00CE06C7" w:rsidP="003C0F81">
            <w:pPr>
              <w:ind w:left="-108" w:right="176" w:firstLine="108"/>
              <w:jc w:val="right"/>
              <w:cnfStyle w:val="000000100000"/>
            </w:pPr>
            <w:r w:rsidRPr="000B3455">
              <w:t>3.45 %</w:t>
            </w:r>
          </w:p>
        </w:tc>
      </w:tr>
      <w:tr w:rsidR="00CE06C7" w:rsidRPr="000B3455" w:rsidTr="003C0F81">
        <w:trPr>
          <w:cnfStyle w:val="000000010000"/>
        </w:trPr>
        <w:tc>
          <w:tcPr>
            <w:cnfStyle w:val="001000000000"/>
            <w:tcW w:w="3936" w:type="dxa"/>
          </w:tcPr>
          <w:p w:rsidR="00CE06C7" w:rsidRPr="00A00F8F" w:rsidRDefault="00CE06C7" w:rsidP="004F693F">
            <w:pPr>
              <w:ind w:left="-108" w:firstLine="108"/>
              <w:rPr>
                <w:b w:val="0"/>
              </w:rPr>
            </w:pPr>
            <w:r w:rsidRPr="00A00F8F">
              <w:rPr>
                <w:b w:val="0"/>
              </w:rPr>
              <w:t>Manufacturing</w:t>
            </w:r>
          </w:p>
        </w:tc>
        <w:tc>
          <w:tcPr>
            <w:tcW w:w="1842" w:type="dxa"/>
          </w:tcPr>
          <w:p w:rsidR="00CE06C7" w:rsidRPr="000B3455" w:rsidRDefault="00CE06C7" w:rsidP="004F693F">
            <w:pPr>
              <w:ind w:left="-108" w:firstLine="108"/>
              <w:jc w:val="center"/>
              <w:cnfStyle w:val="000000010000"/>
            </w:pPr>
            <w:r w:rsidRPr="000B3455">
              <w:t>11</w:t>
            </w:r>
          </w:p>
        </w:tc>
        <w:tc>
          <w:tcPr>
            <w:tcW w:w="1560" w:type="dxa"/>
            <w:vAlign w:val="center"/>
          </w:tcPr>
          <w:p w:rsidR="00CE06C7" w:rsidRPr="000B3455" w:rsidRDefault="00CE06C7" w:rsidP="003C0F81">
            <w:pPr>
              <w:ind w:left="-108" w:right="176" w:firstLine="108"/>
              <w:jc w:val="right"/>
              <w:cnfStyle w:val="000000010000"/>
            </w:pPr>
            <w:r w:rsidRPr="000B3455">
              <w:t>37.93 %</w:t>
            </w:r>
          </w:p>
        </w:tc>
      </w:tr>
      <w:tr w:rsidR="00CE06C7" w:rsidRPr="000B3455" w:rsidTr="003C0F81">
        <w:trPr>
          <w:cnfStyle w:val="000000100000"/>
        </w:trPr>
        <w:tc>
          <w:tcPr>
            <w:cnfStyle w:val="001000000000"/>
            <w:tcW w:w="3936" w:type="dxa"/>
          </w:tcPr>
          <w:p w:rsidR="00CE06C7" w:rsidRPr="00A00F8F" w:rsidRDefault="00CE06C7" w:rsidP="00A00F8F">
            <w:pPr>
              <w:rPr>
                <w:b w:val="0"/>
              </w:rPr>
            </w:pPr>
            <w:r w:rsidRPr="00A00F8F">
              <w:rPr>
                <w:b w:val="0"/>
              </w:rPr>
              <w:t>Transportation, Communications, Electric, Gas, and Sanitary Services</w:t>
            </w:r>
          </w:p>
        </w:tc>
        <w:tc>
          <w:tcPr>
            <w:tcW w:w="1842" w:type="dxa"/>
          </w:tcPr>
          <w:p w:rsidR="00CE06C7" w:rsidRPr="000B3455" w:rsidRDefault="00CE06C7" w:rsidP="004F693F">
            <w:pPr>
              <w:ind w:left="-108" w:firstLine="108"/>
              <w:jc w:val="center"/>
              <w:cnfStyle w:val="000000100000"/>
            </w:pPr>
            <w:r w:rsidRPr="000B3455">
              <w:t>2</w:t>
            </w:r>
          </w:p>
        </w:tc>
        <w:tc>
          <w:tcPr>
            <w:tcW w:w="1560" w:type="dxa"/>
            <w:vAlign w:val="center"/>
          </w:tcPr>
          <w:p w:rsidR="00CE06C7" w:rsidRPr="000B3455" w:rsidRDefault="00CE06C7" w:rsidP="003C0F81">
            <w:pPr>
              <w:ind w:left="-108" w:right="176" w:firstLine="108"/>
              <w:jc w:val="right"/>
              <w:cnfStyle w:val="000000100000"/>
            </w:pPr>
            <w:r w:rsidRPr="000B3455">
              <w:t>6.90 %</w:t>
            </w:r>
          </w:p>
        </w:tc>
      </w:tr>
      <w:tr w:rsidR="00CE06C7" w:rsidRPr="000B3455" w:rsidTr="003C0F81">
        <w:trPr>
          <w:cnfStyle w:val="000000010000"/>
        </w:trPr>
        <w:tc>
          <w:tcPr>
            <w:cnfStyle w:val="001000000000"/>
            <w:tcW w:w="3936" w:type="dxa"/>
          </w:tcPr>
          <w:p w:rsidR="00CE06C7" w:rsidRPr="00A00F8F" w:rsidRDefault="00CE06C7" w:rsidP="004F693F">
            <w:pPr>
              <w:ind w:left="-108" w:firstLine="108"/>
              <w:rPr>
                <w:b w:val="0"/>
              </w:rPr>
            </w:pPr>
            <w:r w:rsidRPr="00A00F8F">
              <w:rPr>
                <w:b w:val="0"/>
              </w:rPr>
              <w:t>Wholesale Trade</w:t>
            </w:r>
          </w:p>
        </w:tc>
        <w:tc>
          <w:tcPr>
            <w:tcW w:w="1842" w:type="dxa"/>
          </w:tcPr>
          <w:p w:rsidR="00CE06C7" w:rsidRPr="000B3455" w:rsidRDefault="00CE06C7" w:rsidP="004F693F">
            <w:pPr>
              <w:ind w:left="-108" w:firstLine="108"/>
              <w:jc w:val="center"/>
              <w:cnfStyle w:val="000000010000"/>
            </w:pPr>
            <w:r w:rsidRPr="000B3455">
              <w:t>3</w:t>
            </w:r>
          </w:p>
        </w:tc>
        <w:tc>
          <w:tcPr>
            <w:tcW w:w="1560" w:type="dxa"/>
            <w:vAlign w:val="center"/>
          </w:tcPr>
          <w:p w:rsidR="00CE06C7" w:rsidRPr="000B3455" w:rsidRDefault="00CE06C7" w:rsidP="003C0F81">
            <w:pPr>
              <w:ind w:left="-108" w:right="176" w:firstLine="108"/>
              <w:jc w:val="right"/>
              <w:cnfStyle w:val="000000010000"/>
            </w:pPr>
            <w:r w:rsidRPr="000B3455">
              <w:t>10.34 %</w:t>
            </w:r>
          </w:p>
        </w:tc>
      </w:tr>
      <w:tr w:rsidR="00CE06C7" w:rsidRPr="000B3455" w:rsidTr="003C0F81">
        <w:trPr>
          <w:cnfStyle w:val="000000100000"/>
        </w:trPr>
        <w:tc>
          <w:tcPr>
            <w:cnfStyle w:val="001000000000"/>
            <w:tcW w:w="3936" w:type="dxa"/>
          </w:tcPr>
          <w:p w:rsidR="00CE06C7" w:rsidRPr="00A00F8F" w:rsidRDefault="00CE06C7" w:rsidP="004F693F">
            <w:pPr>
              <w:ind w:left="-108" w:firstLine="108"/>
              <w:rPr>
                <w:b w:val="0"/>
              </w:rPr>
            </w:pPr>
            <w:r w:rsidRPr="00A00F8F">
              <w:rPr>
                <w:b w:val="0"/>
              </w:rPr>
              <w:t>Retail Trade</w:t>
            </w:r>
          </w:p>
        </w:tc>
        <w:tc>
          <w:tcPr>
            <w:tcW w:w="1842" w:type="dxa"/>
          </w:tcPr>
          <w:p w:rsidR="00CE06C7" w:rsidRPr="000B3455" w:rsidRDefault="00CE06C7" w:rsidP="004F693F">
            <w:pPr>
              <w:ind w:left="-108" w:firstLine="108"/>
              <w:jc w:val="center"/>
              <w:cnfStyle w:val="000000100000"/>
            </w:pPr>
            <w:r w:rsidRPr="000B3455">
              <w:t>1</w:t>
            </w:r>
          </w:p>
        </w:tc>
        <w:tc>
          <w:tcPr>
            <w:tcW w:w="1560" w:type="dxa"/>
            <w:vAlign w:val="center"/>
          </w:tcPr>
          <w:p w:rsidR="00CE06C7" w:rsidRPr="000B3455" w:rsidRDefault="00CE06C7" w:rsidP="003C0F81">
            <w:pPr>
              <w:ind w:left="-108" w:right="176" w:firstLine="108"/>
              <w:jc w:val="right"/>
              <w:cnfStyle w:val="000000100000"/>
            </w:pPr>
            <w:r w:rsidRPr="000B3455">
              <w:t>3.45 %</w:t>
            </w:r>
          </w:p>
        </w:tc>
      </w:tr>
      <w:tr w:rsidR="00CE06C7" w:rsidRPr="000B3455" w:rsidTr="003C0F81">
        <w:trPr>
          <w:cnfStyle w:val="000000010000"/>
        </w:trPr>
        <w:tc>
          <w:tcPr>
            <w:cnfStyle w:val="001000000000"/>
            <w:tcW w:w="3936" w:type="dxa"/>
          </w:tcPr>
          <w:p w:rsidR="00CE06C7" w:rsidRPr="00A00F8F" w:rsidRDefault="00CE06C7" w:rsidP="004F693F">
            <w:pPr>
              <w:ind w:left="-108" w:firstLine="108"/>
              <w:rPr>
                <w:b w:val="0"/>
              </w:rPr>
            </w:pPr>
            <w:r w:rsidRPr="00A00F8F">
              <w:rPr>
                <w:b w:val="0"/>
              </w:rPr>
              <w:t>Finance, Insurance, and Real Estate</w:t>
            </w:r>
          </w:p>
        </w:tc>
        <w:tc>
          <w:tcPr>
            <w:tcW w:w="1842" w:type="dxa"/>
          </w:tcPr>
          <w:p w:rsidR="00CE06C7" w:rsidRPr="000B3455" w:rsidRDefault="00CE06C7" w:rsidP="004F693F">
            <w:pPr>
              <w:ind w:left="-108" w:firstLine="108"/>
              <w:jc w:val="center"/>
              <w:cnfStyle w:val="000000010000"/>
            </w:pPr>
            <w:r w:rsidRPr="000B3455">
              <w:t>4</w:t>
            </w:r>
          </w:p>
        </w:tc>
        <w:tc>
          <w:tcPr>
            <w:tcW w:w="1560" w:type="dxa"/>
            <w:vAlign w:val="center"/>
          </w:tcPr>
          <w:p w:rsidR="00CE06C7" w:rsidRPr="000B3455" w:rsidRDefault="00CE06C7" w:rsidP="003C0F81">
            <w:pPr>
              <w:ind w:left="-108" w:right="176" w:firstLine="108"/>
              <w:jc w:val="right"/>
              <w:cnfStyle w:val="000000010000"/>
            </w:pPr>
            <w:r w:rsidRPr="000B3455">
              <w:t>13.79 %</w:t>
            </w:r>
          </w:p>
        </w:tc>
      </w:tr>
      <w:tr w:rsidR="00CE06C7" w:rsidRPr="000B3455" w:rsidTr="003C0F81">
        <w:trPr>
          <w:cnfStyle w:val="000000100000"/>
        </w:trPr>
        <w:tc>
          <w:tcPr>
            <w:cnfStyle w:val="001000000000"/>
            <w:tcW w:w="3936" w:type="dxa"/>
          </w:tcPr>
          <w:p w:rsidR="00CE06C7" w:rsidRPr="00A00F8F" w:rsidRDefault="00CE06C7" w:rsidP="004F693F">
            <w:pPr>
              <w:ind w:left="-108" w:firstLine="108"/>
              <w:rPr>
                <w:b w:val="0"/>
              </w:rPr>
            </w:pPr>
            <w:r w:rsidRPr="00A00F8F">
              <w:rPr>
                <w:b w:val="0"/>
              </w:rPr>
              <w:t>Services</w:t>
            </w:r>
          </w:p>
        </w:tc>
        <w:tc>
          <w:tcPr>
            <w:tcW w:w="1842" w:type="dxa"/>
          </w:tcPr>
          <w:p w:rsidR="00CE06C7" w:rsidRPr="000B3455" w:rsidRDefault="00CE06C7" w:rsidP="004F693F">
            <w:pPr>
              <w:ind w:left="-108" w:firstLine="108"/>
              <w:jc w:val="center"/>
              <w:cnfStyle w:val="000000100000"/>
            </w:pPr>
            <w:r w:rsidRPr="000B3455">
              <w:t>6</w:t>
            </w:r>
          </w:p>
        </w:tc>
        <w:tc>
          <w:tcPr>
            <w:tcW w:w="1560" w:type="dxa"/>
            <w:vAlign w:val="center"/>
          </w:tcPr>
          <w:p w:rsidR="00CE06C7" w:rsidRPr="000B3455" w:rsidRDefault="00CE06C7" w:rsidP="003C0F81">
            <w:pPr>
              <w:ind w:left="-108" w:right="176" w:firstLine="108"/>
              <w:jc w:val="right"/>
              <w:cnfStyle w:val="000000100000"/>
            </w:pPr>
            <w:r w:rsidRPr="000B3455">
              <w:t>20.69 %</w:t>
            </w:r>
          </w:p>
        </w:tc>
      </w:tr>
      <w:tr w:rsidR="00CE06C7" w:rsidRPr="000B3455" w:rsidTr="003C0F81">
        <w:trPr>
          <w:cnfStyle w:val="000000010000"/>
        </w:trPr>
        <w:tc>
          <w:tcPr>
            <w:cnfStyle w:val="001000000000"/>
            <w:tcW w:w="3936" w:type="dxa"/>
          </w:tcPr>
          <w:p w:rsidR="00CE06C7" w:rsidRPr="00A00F8F" w:rsidRDefault="00CE06C7" w:rsidP="004F693F">
            <w:pPr>
              <w:ind w:left="-108" w:firstLine="108"/>
              <w:rPr>
                <w:b w:val="0"/>
              </w:rPr>
            </w:pPr>
            <w:r w:rsidRPr="00A00F8F">
              <w:rPr>
                <w:b w:val="0"/>
              </w:rPr>
              <w:t>Public Administration</w:t>
            </w:r>
          </w:p>
        </w:tc>
        <w:tc>
          <w:tcPr>
            <w:tcW w:w="1842" w:type="dxa"/>
          </w:tcPr>
          <w:p w:rsidR="00CE06C7" w:rsidRPr="000B3455" w:rsidRDefault="00CE06C7" w:rsidP="004F693F">
            <w:pPr>
              <w:ind w:left="-108" w:firstLine="108"/>
              <w:jc w:val="center"/>
              <w:cnfStyle w:val="000000010000"/>
            </w:pPr>
            <w:r w:rsidRPr="000B3455">
              <w:t>0</w:t>
            </w:r>
          </w:p>
        </w:tc>
        <w:tc>
          <w:tcPr>
            <w:tcW w:w="1560" w:type="dxa"/>
            <w:vAlign w:val="center"/>
          </w:tcPr>
          <w:p w:rsidR="00CE06C7" w:rsidRPr="000B3455" w:rsidRDefault="00CE06C7" w:rsidP="003C0F81">
            <w:pPr>
              <w:ind w:left="-108" w:right="176" w:firstLine="108"/>
              <w:jc w:val="right"/>
              <w:cnfStyle w:val="000000010000"/>
            </w:pPr>
            <w:r w:rsidRPr="000B3455">
              <w:t>0.00 %</w:t>
            </w:r>
          </w:p>
        </w:tc>
      </w:tr>
      <w:tr w:rsidR="00CE06C7" w:rsidRPr="000B3455" w:rsidTr="003C0F81">
        <w:trPr>
          <w:cnfStyle w:val="000000100000"/>
        </w:trPr>
        <w:tc>
          <w:tcPr>
            <w:cnfStyle w:val="001000000000"/>
            <w:tcW w:w="3936" w:type="dxa"/>
          </w:tcPr>
          <w:p w:rsidR="00CE06C7" w:rsidRPr="00A00F8F" w:rsidRDefault="00CE06C7" w:rsidP="004F693F">
            <w:pPr>
              <w:ind w:left="-108" w:firstLine="108"/>
              <w:rPr>
                <w:b w:val="0"/>
              </w:rPr>
            </w:pPr>
            <w:r w:rsidRPr="00A00F8F">
              <w:rPr>
                <w:b w:val="0"/>
              </w:rPr>
              <w:t>Nonclassifiable Establishments</w:t>
            </w:r>
          </w:p>
        </w:tc>
        <w:tc>
          <w:tcPr>
            <w:tcW w:w="1842" w:type="dxa"/>
          </w:tcPr>
          <w:p w:rsidR="00CE06C7" w:rsidRPr="000B3455" w:rsidRDefault="00CE06C7" w:rsidP="004F693F">
            <w:pPr>
              <w:ind w:left="-108" w:firstLine="108"/>
              <w:jc w:val="center"/>
              <w:cnfStyle w:val="000000100000"/>
            </w:pPr>
            <w:r w:rsidRPr="000B3455">
              <w:t>0</w:t>
            </w:r>
          </w:p>
        </w:tc>
        <w:tc>
          <w:tcPr>
            <w:tcW w:w="1560" w:type="dxa"/>
            <w:vAlign w:val="center"/>
          </w:tcPr>
          <w:p w:rsidR="00CE06C7" w:rsidRPr="000B3455" w:rsidRDefault="00CE06C7" w:rsidP="003C0F81">
            <w:pPr>
              <w:ind w:left="-108" w:right="176" w:firstLine="108"/>
              <w:jc w:val="right"/>
              <w:cnfStyle w:val="000000100000"/>
            </w:pPr>
            <w:r w:rsidRPr="000B3455">
              <w:t>0.00 %</w:t>
            </w:r>
          </w:p>
        </w:tc>
      </w:tr>
      <w:tr w:rsidR="00CE06C7" w:rsidRPr="004F693F" w:rsidTr="003C0F81">
        <w:trPr>
          <w:cnfStyle w:val="000000010000"/>
        </w:trPr>
        <w:tc>
          <w:tcPr>
            <w:cnfStyle w:val="001000000000"/>
            <w:tcW w:w="3936" w:type="dxa"/>
          </w:tcPr>
          <w:p w:rsidR="00CE06C7" w:rsidRPr="004F693F" w:rsidRDefault="00CE06C7" w:rsidP="004F693F">
            <w:pPr>
              <w:ind w:left="-108" w:firstLine="108"/>
            </w:pPr>
            <w:r w:rsidRPr="004F693F">
              <w:t>Total</w:t>
            </w:r>
          </w:p>
        </w:tc>
        <w:tc>
          <w:tcPr>
            <w:tcW w:w="1842" w:type="dxa"/>
          </w:tcPr>
          <w:p w:rsidR="00CE06C7" w:rsidRPr="004F693F" w:rsidRDefault="00CE06C7" w:rsidP="004F693F">
            <w:pPr>
              <w:ind w:left="-108" w:firstLine="108"/>
              <w:jc w:val="center"/>
              <w:cnfStyle w:val="000000010000"/>
              <w:rPr>
                <w:b/>
              </w:rPr>
            </w:pPr>
            <w:r w:rsidRPr="004F693F">
              <w:rPr>
                <w:b/>
              </w:rPr>
              <w:t>29</w:t>
            </w:r>
          </w:p>
        </w:tc>
        <w:tc>
          <w:tcPr>
            <w:tcW w:w="1560" w:type="dxa"/>
            <w:vAlign w:val="center"/>
          </w:tcPr>
          <w:p w:rsidR="00CE06C7" w:rsidRPr="004F693F" w:rsidRDefault="004F693F" w:rsidP="003C0F81">
            <w:pPr>
              <w:ind w:left="-108" w:right="176" w:firstLine="108"/>
              <w:jc w:val="right"/>
              <w:cnfStyle w:val="000000010000"/>
              <w:rPr>
                <w:b/>
              </w:rPr>
            </w:pPr>
            <w:r w:rsidRPr="004F693F">
              <w:rPr>
                <w:b/>
              </w:rPr>
              <w:t>100.00 %</w:t>
            </w:r>
          </w:p>
        </w:tc>
      </w:tr>
    </w:tbl>
    <w:p w:rsidR="00CE06C7" w:rsidRPr="00D51742" w:rsidRDefault="00D51742" w:rsidP="00D51742">
      <w:pPr>
        <w:pStyle w:val="Caption"/>
      </w:pPr>
      <w:bookmarkStart w:id="123" w:name="_Ref298857001"/>
      <w:r w:rsidRPr="00D51742">
        <w:t xml:space="preserve">Table </w:t>
      </w:r>
      <w:fldSimple w:instr=" SEQ Table \* ARABIC ">
        <w:r w:rsidR="001D5F9A">
          <w:rPr>
            <w:noProof/>
          </w:rPr>
          <w:t>7</w:t>
        </w:r>
      </w:fldSimple>
      <w:bookmarkEnd w:id="123"/>
      <w:r w:rsidR="00CE06C7" w:rsidRPr="00D51742">
        <w:t xml:space="preserve">: </w:t>
      </w:r>
      <w:r w:rsidR="00CE06C7" w:rsidRPr="00D51742">
        <w:rPr>
          <w:color w:val="auto"/>
        </w:rPr>
        <w:t>Classification of companies</w:t>
      </w:r>
    </w:p>
    <w:p w:rsidR="00CE06C7" w:rsidRPr="000B3455" w:rsidRDefault="00CE06C7" w:rsidP="00CE06C7"/>
    <w:tbl>
      <w:tblPr>
        <w:tblW w:w="32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1424"/>
        <w:gridCol w:w="1087"/>
      </w:tblGrid>
      <w:tr w:rsidR="00CE06C7" w:rsidRPr="000B3455" w:rsidTr="00CE06C7">
        <w:trPr>
          <w:cantSplit/>
          <w:tblHeader/>
        </w:trPr>
        <w:tc>
          <w:tcPr>
            <w:tcW w:w="3238" w:type="dxa"/>
            <w:gridSpan w:val="3"/>
            <w:tcBorders>
              <w:top w:val="nil"/>
              <w:left w:val="nil"/>
              <w:bottom w:val="nil"/>
              <w:right w:val="nil"/>
            </w:tcBorders>
            <w:shd w:val="clear" w:color="auto" w:fill="FFFFFF"/>
            <w:vAlign w:val="center"/>
          </w:tcPr>
          <w:p w:rsidR="00CE06C7" w:rsidRPr="000B3455" w:rsidRDefault="00CE06C7" w:rsidP="00AB4FD8">
            <w:pPr>
              <w:autoSpaceDE w:val="0"/>
              <w:autoSpaceDN w:val="0"/>
              <w:adjustRightInd w:val="0"/>
              <w:spacing w:after="0" w:line="320" w:lineRule="atLeast"/>
              <w:ind w:left="60" w:right="60"/>
              <w:jc w:val="center"/>
              <w:rPr>
                <w:rFonts w:cs="Arial"/>
                <w:color w:val="000000"/>
              </w:rPr>
            </w:pPr>
            <w:r w:rsidRPr="000B3455">
              <w:rPr>
                <w:rFonts w:cs="Arial"/>
                <w:b/>
                <w:bCs/>
                <w:color w:val="000000"/>
              </w:rPr>
              <w:t>Statistics</w:t>
            </w:r>
          </w:p>
        </w:tc>
      </w:tr>
      <w:tr w:rsidR="00CE06C7" w:rsidRPr="000B3455" w:rsidTr="00CE06C7">
        <w:trPr>
          <w:cantSplit/>
          <w:tblHeader/>
        </w:trPr>
        <w:tc>
          <w:tcPr>
            <w:tcW w:w="3238" w:type="dxa"/>
            <w:gridSpan w:val="3"/>
            <w:tcBorders>
              <w:top w:val="nil"/>
              <w:left w:val="nil"/>
              <w:bottom w:val="single" w:sz="16" w:space="0" w:color="000000"/>
              <w:right w:val="nil"/>
            </w:tcBorders>
            <w:shd w:val="clear" w:color="auto" w:fill="FFFFFF"/>
            <w:vAlign w:val="bottom"/>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PR_SHA_EXCL_MCL_COM</w:t>
            </w:r>
          </w:p>
        </w:tc>
      </w:tr>
      <w:tr w:rsidR="00CE06C7" w:rsidRPr="000B3455" w:rsidTr="00CE06C7">
        <w:trPr>
          <w:cantSplit/>
          <w:tblHeader/>
        </w:trPr>
        <w:tc>
          <w:tcPr>
            <w:tcW w:w="727" w:type="dxa"/>
            <w:vMerge w:val="restart"/>
            <w:tcBorders>
              <w:top w:val="single" w:sz="16" w:space="0" w:color="000000"/>
              <w:left w:val="single" w:sz="16" w:space="0" w:color="000000"/>
              <w:bottom w:val="nil"/>
              <w:right w:val="nil"/>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N</w:t>
            </w:r>
          </w:p>
        </w:tc>
        <w:tc>
          <w:tcPr>
            <w:tcW w:w="1424" w:type="dxa"/>
            <w:tcBorders>
              <w:top w:val="single" w:sz="16" w:space="0" w:color="000000"/>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Valid</w:t>
            </w:r>
          </w:p>
        </w:tc>
        <w:tc>
          <w:tcPr>
            <w:tcW w:w="1087" w:type="dxa"/>
            <w:tcBorders>
              <w:top w:val="single" w:sz="16" w:space="0" w:color="000000"/>
              <w:left w:val="single" w:sz="16" w:space="0" w:color="000000"/>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174</w:t>
            </w:r>
          </w:p>
        </w:tc>
      </w:tr>
      <w:tr w:rsidR="00CE06C7" w:rsidRPr="000B3455" w:rsidTr="00CE06C7">
        <w:trPr>
          <w:cantSplit/>
          <w:tblHeader/>
        </w:trPr>
        <w:tc>
          <w:tcPr>
            <w:tcW w:w="727" w:type="dxa"/>
            <w:vMerge/>
            <w:tcBorders>
              <w:top w:val="single" w:sz="16" w:space="0" w:color="000000"/>
              <w:left w:val="single" w:sz="16" w:space="0" w:color="000000"/>
              <w:bottom w:val="nil"/>
              <w:right w:val="nil"/>
            </w:tcBorders>
            <w:shd w:val="clear" w:color="auto" w:fill="FFFFFF"/>
          </w:tcPr>
          <w:p w:rsidR="00CE06C7" w:rsidRPr="000B3455" w:rsidRDefault="00CE06C7" w:rsidP="00AB4FD8">
            <w:pPr>
              <w:autoSpaceDE w:val="0"/>
              <w:autoSpaceDN w:val="0"/>
              <w:adjustRightInd w:val="0"/>
              <w:spacing w:after="0" w:line="240" w:lineRule="auto"/>
              <w:rPr>
                <w:rFonts w:cs="Arial"/>
                <w:color w:val="000000"/>
              </w:rPr>
            </w:pPr>
          </w:p>
        </w:tc>
        <w:tc>
          <w:tcPr>
            <w:tcW w:w="1424"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Missing</w:t>
            </w:r>
          </w:p>
        </w:tc>
        <w:tc>
          <w:tcPr>
            <w:tcW w:w="1087" w:type="dxa"/>
            <w:tcBorders>
              <w:top w:val="nil"/>
              <w:left w:val="single" w:sz="16" w:space="0" w:color="000000"/>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w:t>
            </w:r>
          </w:p>
        </w:tc>
      </w:tr>
      <w:tr w:rsidR="00CE06C7" w:rsidRPr="000B3455" w:rsidTr="00CE06C7">
        <w:trPr>
          <w:cantSplit/>
          <w:tblHeader/>
        </w:trPr>
        <w:tc>
          <w:tcPr>
            <w:tcW w:w="2151" w:type="dxa"/>
            <w:gridSpan w:val="2"/>
            <w:tcBorders>
              <w:top w:val="nil"/>
              <w:left w:val="single" w:sz="16" w:space="0" w:color="000000"/>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Mean</w:t>
            </w:r>
          </w:p>
        </w:tc>
        <w:tc>
          <w:tcPr>
            <w:tcW w:w="1087" w:type="dxa"/>
            <w:tcBorders>
              <w:top w:val="nil"/>
              <w:left w:val="single" w:sz="16" w:space="0" w:color="000000"/>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,162794</w:t>
            </w:r>
          </w:p>
        </w:tc>
      </w:tr>
      <w:tr w:rsidR="00CE06C7" w:rsidRPr="000B3455" w:rsidTr="00CE06C7">
        <w:trPr>
          <w:cantSplit/>
          <w:tblHeader/>
        </w:trPr>
        <w:tc>
          <w:tcPr>
            <w:tcW w:w="2151" w:type="dxa"/>
            <w:gridSpan w:val="2"/>
            <w:tcBorders>
              <w:top w:val="nil"/>
              <w:left w:val="single" w:sz="16" w:space="0" w:color="000000"/>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Std. Deviation</w:t>
            </w:r>
          </w:p>
        </w:tc>
        <w:tc>
          <w:tcPr>
            <w:tcW w:w="1087" w:type="dxa"/>
            <w:tcBorders>
              <w:top w:val="nil"/>
              <w:left w:val="single" w:sz="16" w:space="0" w:color="000000"/>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,1791073</w:t>
            </w:r>
          </w:p>
        </w:tc>
      </w:tr>
      <w:tr w:rsidR="00CE06C7" w:rsidRPr="000B3455" w:rsidTr="00CE06C7">
        <w:trPr>
          <w:cantSplit/>
          <w:tblHeader/>
        </w:trPr>
        <w:tc>
          <w:tcPr>
            <w:tcW w:w="2151" w:type="dxa"/>
            <w:gridSpan w:val="2"/>
            <w:tcBorders>
              <w:top w:val="nil"/>
              <w:left w:val="single" w:sz="16" w:space="0" w:color="000000"/>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Minimum</w:t>
            </w:r>
          </w:p>
        </w:tc>
        <w:tc>
          <w:tcPr>
            <w:tcW w:w="1087" w:type="dxa"/>
            <w:tcBorders>
              <w:top w:val="nil"/>
              <w:left w:val="single" w:sz="16" w:space="0" w:color="000000"/>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,0000</w:t>
            </w:r>
          </w:p>
        </w:tc>
      </w:tr>
      <w:tr w:rsidR="00CE06C7" w:rsidRPr="000B3455" w:rsidTr="00CE06C7">
        <w:trPr>
          <w:cantSplit/>
        </w:trPr>
        <w:tc>
          <w:tcPr>
            <w:tcW w:w="2151" w:type="dxa"/>
            <w:gridSpan w:val="2"/>
            <w:tcBorders>
              <w:top w:val="nil"/>
              <w:left w:val="single" w:sz="16" w:space="0" w:color="000000"/>
              <w:bottom w:val="single" w:sz="16" w:space="0" w:color="000000"/>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Maximum</w:t>
            </w:r>
          </w:p>
        </w:tc>
        <w:tc>
          <w:tcPr>
            <w:tcW w:w="1087" w:type="dxa"/>
            <w:tcBorders>
              <w:top w:val="nil"/>
              <w:left w:val="single" w:sz="16" w:space="0" w:color="000000"/>
              <w:bottom w:val="single" w:sz="16" w:space="0" w:color="000000"/>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,6988</w:t>
            </w:r>
          </w:p>
        </w:tc>
      </w:tr>
    </w:tbl>
    <w:p w:rsidR="00CE06C7" w:rsidRPr="00252033" w:rsidRDefault="00252033" w:rsidP="00252033">
      <w:pPr>
        <w:pStyle w:val="Caption"/>
        <w:rPr>
          <w:rFonts w:cstheme="minorHAnsi"/>
          <w:color w:val="auto"/>
        </w:rPr>
      </w:pPr>
      <w:bookmarkStart w:id="124" w:name="_Ref298857048"/>
      <w:bookmarkStart w:id="125" w:name="_Ref298857161"/>
      <w:r>
        <w:t xml:space="preserve">Table </w:t>
      </w:r>
      <w:fldSimple w:instr=" SEQ Table \* ARABIC ">
        <w:r w:rsidR="001D5F9A">
          <w:rPr>
            <w:noProof/>
          </w:rPr>
          <w:t>8</w:t>
        </w:r>
      </w:fldSimple>
      <w:bookmarkEnd w:id="124"/>
      <w:r w:rsidR="00CE06C7" w:rsidRPr="000B3455">
        <w:rPr>
          <w:rFonts w:cstheme="minorHAnsi"/>
        </w:rPr>
        <w:t>:</w:t>
      </w:r>
      <w:r>
        <w:rPr>
          <w:rFonts w:cstheme="minorHAnsi"/>
        </w:rPr>
        <w:t xml:space="preserve"> </w:t>
      </w:r>
      <w:r w:rsidRPr="00252033">
        <w:rPr>
          <w:rFonts w:cstheme="minorHAnsi"/>
          <w:color w:val="auto"/>
        </w:rPr>
        <w:t>SPSS output on descriptive statistics</w:t>
      </w:r>
      <w:bookmarkEnd w:id="125"/>
    </w:p>
    <w:p w:rsidR="00CE06C7" w:rsidRPr="000B3455" w:rsidRDefault="00CE06C7" w:rsidP="00CE06C7">
      <w:pPr>
        <w:autoSpaceDE w:val="0"/>
        <w:autoSpaceDN w:val="0"/>
        <w:adjustRightInd w:val="0"/>
        <w:spacing w:after="0" w:line="240" w:lineRule="auto"/>
        <w:rPr>
          <w:rFonts w:cstheme="minorHAnsi"/>
        </w:rPr>
      </w:pPr>
      <w:r w:rsidRPr="000B3455">
        <w:rPr>
          <w:rFonts w:cstheme="minorHAnsi"/>
          <w:noProof/>
          <w:lang w:val="nl-NL" w:eastAsia="nl-NL" w:bidi="ar-SA"/>
        </w:rPr>
        <w:lastRenderedPageBreak/>
        <w:drawing>
          <wp:inline distT="0" distB="0" distL="0" distR="0">
            <wp:extent cx="5730875" cy="4592955"/>
            <wp:effectExtent l="19050" t="0" r="317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srcRect/>
                    <a:stretch>
                      <a:fillRect/>
                    </a:stretch>
                  </pic:blipFill>
                  <pic:spPr bwMode="auto">
                    <a:xfrm>
                      <a:off x="0" y="0"/>
                      <a:ext cx="5730875" cy="4592955"/>
                    </a:xfrm>
                    <a:prstGeom prst="rect">
                      <a:avLst/>
                    </a:prstGeom>
                    <a:noFill/>
                    <a:ln w="9525">
                      <a:noFill/>
                      <a:miter lim="800000"/>
                      <a:headEnd/>
                      <a:tailEnd/>
                    </a:ln>
                  </pic:spPr>
                </pic:pic>
              </a:graphicData>
            </a:graphic>
          </wp:inline>
        </w:drawing>
      </w:r>
    </w:p>
    <w:p w:rsidR="00CE06C7" w:rsidRPr="000B3455" w:rsidRDefault="00252033" w:rsidP="00252033">
      <w:pPr>
        <w:pStyle w:val="Caption"/>
        <w:rPr>
          <w:rFonts w:cstheme="minorHAnsi"/>
        </w:rPr>
      </w:pPr>
      <w:bookmarkStart w:id="126" w:name="_Ref298857089"/>
      <w:r>
        <w:t xml:space="preserve">Figure </w:t>
      </w:r>
      <w:fldSimple w:instr=" SEQ Figure \* ARABIC ">
        <w:r w:rsidR="001D5F9A">
          <w:rPr>
            <w:noProof/>
          </w:rPr>
          <w:t>3</w:t>
        </w:r>
      </w:fldSimple>
      <w:bookmarkEnd w:id="126"/>
      <w:r w:rsidR="00CE06C7" w:rsidRPr="000B3455">
        <w:rPr>
          <w:rFonts w:cstheme="minorHAnsi"/>
        </w:rPr>
        <w:t xml:space="preserve">: </w:t>
      </w:r>
      <w:r w:rsidRPr="00252033">
        <w:rPr>
          <w:rFonts w:cstheme="minorHAnsi"/>
          <w:color w:val="auto"/>
        </w:rPr>
        <w:t>SPSS histogram of distribution of the proportion of shares</w:t>
      </w:r>
    </w:p>
    <w:p w:rsidR="00CE06C7" w:rsidRPr="000B3455" w:rsidRDefault="00735F79" w:rsidP="00CE06C7">
      <w:pPr>
        <w:rPr>
          <w:rFonts w:cstheme="minorHAnsi"/>
        </w:rPr>
      </w:pPr>
      <w:r>
        <w:rPr>
          <w:rFonts w:cstheme="minorHAnsi"/>
          <w:noProof/>
          <w:lang w:val="nl-NL" w:eastAsia="nl-NL" w:bidi="ar-SA"/>
        </w:rPr>
        <w:drawing>
          <wp:anchor distT="0" distB="0" distL="114300" distR="114300" simplePos="0" relativeHeight="251660288" behindDoc="1" locked="0" layoutInCell="1" allowOverlap="1">
            <wp:simplePos x="0" y="0"/>
            <wp:positionH relativeFrom="column">
              <wp:posOffset>19050</wp:posOffset>
            </wp:positionH>
            <wp:positionV relativeFrom="paragraph">
              <wp:posOffset>93345</wp:posOffset>
            </wp:positionV>
            <wp:extent cx="4575175" cy="2743200"/>
            <wp:effectExtent l="19050" t="0" r="15875" b="0"/>
            <wp:wrapTight wrapText="bothSides">
              <wp:wrapPolygon edited="0">
                <wp:start x="-90" y="0"/>
                <wp:lineTo x="-90" y="21600"/>
                <wp:lineTo x="21675" y="21600"/>
                <wp:lineTo x="21675" y="0"/>
                <wp:lineTo x="-90" y="0"/>
              </wp:wrapPolygon>
            </wp:wrapTight>
            <wp:docPr id="10" name="Chart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anchor>
        </w:drawing>
      </w:r>
    </w:p>
    <w:p w:rsidR="00CE06C7" w:rsidRDefault="00CE06C7" w:rsidP="00CE06C7">
      <w:pPr>
        <w:rPr>
          <w:rFonts w:cstheme="minorHAnsi"/>
          <w:noProof/>
        </w:rPr>
      </w:pPr>
    </w:p>
    <w:p w:rsidR="00735F79" w:rsidRDefault="00735F79" w:rsidP="00CE06C7">
      <w:pPr>
        <w:rPr>
          <w:rFonts w:cstheme="minorHAnsi"/>
          <w:noProof/>
        </w:rPr>
      </w:pPr>
    </w:p>
    <w:p w:rsidR="00735F79" w:rsidRDefault="00735F79" w:rsidP="00CE06C7">
      <w:pPr>
        <w:rPr>
          <w:rFonts w:cstheme="minorHAnsi"/>
          <w:noProof/>
        </w:rPr>
      </w:pPr>
    </w:p>
    <w:p w:rsidR="00735F79" w:rsidRDefault="00735F79" w:rsidP="00CE06C7">
      <w:pPr>
        <w:rPr>
          <w:rFonts w:cstheme="minorHAnsi"/>
          <w:noProof/>
        </w:rPr>
      </w:pPr>
    </w:p>
    <w:p w:rsidR="00735F79" w:rsidRDefault="00735F79" w:rsidP="00CE06C7">
      <w:pPr>
        <w:rPr>
          <w:rFonts w:cstheme="minorHAnsi"/>
          <w:noProof/>
        </w:rPr>
      </w:pPr>
    </w:p>
    <w:p w:rsidR="00735F79" w:rsidRDefault="00735F79" w:rsidP="00CE06C7">
      <w:pPr>
        <w:rPr>
          <w:rFonts w:cstheme="minorHAnsi"/>
          <w:noProof/>
        </w:rPr>
      </w:pPr>
    </w:p>
    <w:p w:rsidR="00735F79" w:rsidRDefault="00735F79" w:rsidP="00CE06C7">
      <w:pPr>
        <w:rPr>
          <w:rFonts w:cstheme="minorHAnsi"/>
          <w:noProof/>
        </w:rPr>
      </w:pPr>
    </w:p>
    <w:p w:rsidR="00735F79" w:rsidRPr="000B3455" w:rsidRDefault="00735F79" w:rsidP="00CE06C7">
      <w:pPr>
        <w:rPr>
          <w:rFonts w:cstheme="minorHAnsi"/>
          <w:noProof/>
        </w:rPr>
      </w:pPr>
    </w:p>
    <w:p w:rsidR="003D5369" w:rsidRPr="000B3455" w:rsidRDefault="00252033" w:rsidP="00252033">
      <w:pPr>
        <w:pStyle w:val="Caption"/>
      </w:pPr>
      <w:bookmarkStart w:id="127" w:name="_Ref298857116"/>
      <w:r>
        <w:t xml:space="preserve">Figure </w:t>
      </w:r>
      <w:fldSimple w:instr=" SEQ Figure \* ARABIC ">
        <w:r w:rsidR="001D5F9A">
          <w:rPr>
            <w:noProof/>
          </w:rPr>
          <w:t>4</w:t>
        </w:r>
      </w:fldSimple>
      <w:r>
        <w:t xml:space="preserve">: </w:t>
      </w:r>
      <w:r w:rsidRPr="00252033">
        <w:rPr>
          <w:rFonts w:cstheme="minorHAnsi"/>
          <w:noProof/>
          <w:color w:val="auto"/>
        </w:rPr>
        <w:t xml:space="preserve">Trend of proportion of granted </w:t>
      </w:r>
      <w:r>
        <w:rPr>
          <w:rFonts w:cstheme="minorHAnsi"/>
          <w:noProof/>
          <w:color w:val="auto"/>
        </w:rPr>
        <w:t>share</w:t>
      </w:r>
      <w:r w:rsidRPr="00252033">
        <w:rPr>
          <w:rFonts w:cstheme="minorHAnsi"/>
          <w:noProof/>
          <w:color w:val="auto"/>
        </w:rPr>
        <w:t>s to total compensation</w:t>
      </w:r>
      <w:bookmarkEnd w:id="127"/>
      <w:r w:rsidR="003D5369" w:rsidRPr="000B3455">
        <w:br w:type="page"/>
      </w:r>
    </w:p>
    <w:p w:rsidR="003D5369" w:rsidRPr="000B3455" w:rsidRDefault="003D5369" w:rsidP="00ED7148">
      <w:pPr>
        <w:pStyle w:val="AppendicesThesis"/>
      </w:pPr>
      <w:bookmarkStart w:id="128" w:name="VIII"/>
      <w:bookmarkStart w:id="129" w:name="_Toc298944616"/>
      <w:r w:rsidRPr="000B3455">
        <w:lastRenderedPageBreak/>
        <w:t>Appendix V</w:t>
      </w:r>
      <w:r w:rsidR="00C97617" w:rsidRPr="000B3455">
        <w:t>I</w:t>
      </w:r>
      <w:r w:rsidRPr="000B3455">
        <w:t>II</w:t>
      </w:r>
      <w:bookmarkEnd w:id="128"/>
      <w:r w:rsidRPr="000B3455">
        <w:t xml:space="preserve">: Statistical </w:t>
      </w:r>
      <w:r w:rsidR="00E64A6D">
        <w:t>f</w:t>
      </w:r>
      <w:r w:rsidR="00E64A6D" w:rsidRPr="000B3455">
        <w:t xml:space="preserve">indings </w:t>
      </w:r>
      <w:r w:rsidRPr="000B3455">
        <w:t xml:space="preserve">on </w:t>
      </w:r>
      <w:r w:rsidR="00E64A6D">
        <w:t>h</w:t>
      </w:r>
      <w:r w:rsidR="00E64A6D" w:rsidRPr="000B3455">
        <w:t xml:space="preserve">ypothesis </w:t>
      </w:r>
      <w:r w:rsidRPr="000B3455">
        <w:t>2</w:t>
      </w:r>
      <w:bookmarkEnd w:id="129"/>
    </w:p>
    <w:p w:rsidR="00CE06C7" w:rsidRDefault="00CE06C7" w:rsidP="00CE06C7">
      <w:pPr>
        <w:autoSpaceDE w:val="0"/>
        <w:autoSpaceDN w:val="0"/>
        <w:adjustRightInd w:val="0"/>
        <w:spacing w:after="0" w:line="240" w:lineRule="auto"/>
        <w:rPr>
          <w:rFonts w:cs="Times New Roman"/>
        </w:rPr>
      </w:pPr>
    </w:p>
    <w:p w:rsidR="00252033" w:rsidRDefault="00252033" w:rsidP="00252033">
      <w:pPr>
        <w:autoSpaceDE w:val="0"/>
        <w:autoSpaceDN w:val="0"/>
        <w:adjustRightInd w:val="0"/>
        <w:spacing w:after="0" w:line="320" w:lineRule="atLeast"/>
        <w:ind w:left="60" w:right="60"/>
        <w:jc w:val="center"/>
        <w:rPr>
          <w:rFonts w:cs="Arial"/>
          <w:b/>
          <w:bCs/>
          <w:color w:val="000000"/>
        </w:rPr>
      </w:pPr>
      <w:r w:rsidRPr="000B3455">
        <w:rPr>
          <w:rFonts w:cs="Arial"/>
          <w:b/>
          <w:bCs/>
          <w:color w:val="000000"/>
        </w:rPr>
        <w:t>Model Summary</w:t>
      </w:r>
    </w:p>
    <w:tbl>
      <w:tblPr>
        <w:tblStyle w:val="TableGrid"/>
        <w:tblW w:w="7421" w:type="dxa"/>
        <w:tblInd w:w="60"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tblPr>
      <w:tblGrid>
        <w:gridCol w:w="1155"/>
        <w:gridCol w:w="1155"/>
        <w:gridCol w:w="1155"/>
        <w:gridCol w:w="1705"/>
        <w:gridCol w:w="2251"/>
      </w:tblGrid>
      <w:tr w:rsidR="00252033" w:rsidTr="002C019F">
        <w:tc>
          <w:tcPr>
            <w:tcW w:w="1155" w:type="dxa"/>
            <w:tcBorders>
              <w:top w:val="single" w:sz="12" w:space="0" w:color="000000" w:themeColor="text1"/>
              <w:bottom w:val="single" w:sz="12" w:space="0" w:color="000000" w:themeColor="text1"/>
              <w:right w:val="single" w:sz="12" w:space="0" w:color="000000" w:themeColor="text1"/>
            </w:tcBorders>
            <w:vAlign w:val="bottom"/>
          </w:tcPr>
          <w:p w:rsidR="00252033" w:rsidRDefault="00252033" w:rsidP="002C019F">
            <w:pPr>
              <w:autoSpaceDE w:val="0"/>
              <w:autoSpaceDN w:val="0"/>
              <w:adjustRightInd w:val="0"/>
              <w:spacing w:line="320" w:lineRule="atLeast"/>
              <w:ind w:right="60"/>
              <w:jc w:val="center"/>
              <w:rPr>
                <w:rFonts w:cs="Arial"/>
                <w:color w:val="000000"/>
              </w:rPr>
            </w:pPr>
            <w:r>
              <w:rPr>
                <w:rFonts w:cs="Arial"/>
                <w:color w:val="000000"/>
              </w:rPr>
              <w:t>Model</w:t>
            </w:r>
          </w:p>
        </w:tc>
        <w:tc>
          <w:tcPr>
            <w:tcW w:w="1155" w:type="dxa"/>
            <w:tcBorders>
              <w:top w:val="single" w:sz="12" w:space="0" w:color="000000" w:themeColor="text1"/>
              <w:left w:val="single" w:sz="12" w:space="0" w:color="000000" w:themeColor="text1"/>
              <w:bottom w:val="single" w:sz="12" w:space="0" w:color="000000" w:themeColor="text1"/>
              <w:right w:val="single" w:sz="8" w:space="0" w:color="000000" w:themeColor="text1"/>
            </w:tcBorders>
            <w:vAlign w:val="bottom"/>
          </w:tcPr>
          <w:p w:rsidR="00252033" w:rsidRDefault="00252033" w:rsidP="002C019F">
            <w:pPr>
              <w:autoSpaceDE w:val="0"/>
              <w:autoSpaceDN w:val="0"/>
              <w:adjustRightInd w:val="0"/>
              <w:spacing w:line="320" w:lineRule="atLeast"/>
              <w:ind w:right="60"/>
              <w:jc w:val="center"/>
              <w:rPr>
                <w:rFonts w:cs="Arial"/>
                <w:color w:val="000000"/>
              </w:rPr>
            </w:pPr>
            <w:r>
              <w:rPr>
                <w:rFonts w:cs="Arial"/>
                <w:color w:val="000000"/>
              </w:rPr>
              <w:t>R</w:t>
            </w:r>
          </w:p>
        </w:tc>
        <w:tc>
          <w:tcPr>
            <w:tcW w:w="1155" w:type="dxa"/>
            <w:tcBorders>
              <w:top w:val="single" w:sz="12" w:space="0" w:color="000000" w:themeColor="text1"/>
              <w:left w:val="single" w:sz="8" w:space="0" w:color="000000" w:themeColor="text1"/>
              <w:bottom w:val="single" w:sz="12" w:space="0" w:color="000000" w:themeColor="text1"/>
              <w:right w:val="single" w:sz="8" w:space="0" w:color="000000" w:themeColor="text1"/>
            </w:tcBorders>
            <w:vAlign w:val="bottom"/>
          </w:tcPr>
          <w:p w:rsidR="00252033" w:rsidRDefault="00252033" w:rsidP="002C019F">
            <w:pPr>
              <w:autoSpaceDE w:val="0"/>
              <w:autoSpaceDN w:val="0"/>
              <w:adjustRightInd w:val="0"/>
              <w:spacing w:line="320" w:lineRule="atLeast"/>
              <w:ind w:right="60"/>
              <w:jc w:val="center"/>
              <w:rPr>
                <w:rFonts w:cs="Arial"/>
                <w:color w:val="000000"/>
              </w:rPr>
            </w:pPr>
            <w:r>
              <w:rPr>
                <w:rFonts w:cs="Arial"/>
                <w:color w:val="000000"/>
              </w:rPr>
              <w:t>R Square</w:t>
            </w:r>
          </w:p>
        </w:tc>
        <w:tc>
          <w:tcPr>
            <w:tcW w:w="1705" w:type="dxa"/>
            <w:tcBorders>
              <w:top w:val="single" w:sz="12" w:space="0" w:color="000000" w:themeColor="text1"/>
              <w:left w:val="single" w:sz="8" w:space="0" w:color="000000" w:themeColor="text1"/>
              <w:bottom w:val="single" w:sz="12" w:space="0" w:color="000000" w:themeColor="text1"/>
              <w:right w:val="single" w:sz="8" w:space="0" w:color="000000" w:themeColor="text1"/>
            </w:tcBorders>
            <w:vAlign w:val="bottom"/>
          </w:tcPr>
          <w:p w:rsidR="00252033" w:rsidRDefault="00252033" w:rsidP="002C019F">
            <w:pPr>
              <w:autoSpaceDE w:val="0"/>
              <w:autoSpaceDN w:val="0"/>
              <w:adjustRightInd w:val="0"/>
              <w:spacing w:line="320" w:lineRule="atLeast"/>
              <w:ind w:right="60"/>
              <w:jc w:val="center"/>
              <w:rPr>
                <w:rFonts w:cs="Arial"/>
                <w:color w:val="000000"/>
              </w:rPr>
            </w:pPr>
            <w:r>
              <w:rPr>
                <w:rFonts w:cs="Arial"/>
                <w:color w:val="000000"/>
              </w:rPr>
              <w:t>Adjusted R Square</w:t>
            </w:r>
          </w:p>
        </w:tc>
        <w:tc>
          <w:tcPr>
            <w:tcW w:w="2251" w:type="dxa"/>
            <w:tcBorders>
              <w:top w:val="single" w:sz="12" w:space="0" w:color="000000" w:themeColor="text1"/>
              <w:left w:val="single" w:sz="8" w:space="0" w:color="000000" w:themeColor="text1"/>
              <w:bottom w:val="single" w:sz="12" w:space="0" w:color="000000" w:themeColor="text1"/>
            </w:tcBorders>
            <w:vAlign w:val="bottom"/>
          </w:tcPr>
          <w:p w:rsidR="00252033" w:rsidRDefault="00252033" w:rsidP="002C019F">
            <w:pPr>
              <w:autoSpaceDE w:val="0"/>
              <w:autoSpaceDN w:val="0"/>
              <w:adjustRightInd w:val="0"/>
              <w:spacing w:line="320" w:lineRule="atLeast"/>
              <w:ind w:right="-108"/>
              <w:jc w:val="center"/>
              <w:rPr>
                <w:rFonts w:cs="Arial"/>
                <w:color w:val="000000"/>
              </w:rPr>
            </w:pPr>
            <w:r>
              <w:rPr>
                <w:rFonts w:cs="Arial"/>
                <w:color w:val="000000"/>
              </w:rPr>
              <w:t>Std. Error of the Estimate</w:t>
            </w:r>
          </w:p>
        </w:tc>
      </w:tr>
      <w:tr w:rsidR="00252033" w:rsidTr="002C019F">
        <w:tc>
          <w:tcPr>
            <w:tcW w:w="1155" w:type="dxa"/>
            <w:tcBorders>
              <w:top w:val="single" w:sz="12" w:space="0" w:color="000000" w:themeColor="text1"/>
              <w:bottom w:val="single" w:sz="12" w:space="0" w:color="000000" w:themeColor="text1"/>
              <w:right w:val="single" w:sz="12" w:space="0" w:color="000000" w:themeColor="text1"/>
            </w:tcBorders>
          </w:tcPr>
          <w:p w:rsidR="00252033" w:rsidRDefault="00252033" w:rsidP="002C019F">
            <w:pPr>
              <w:autoSpaceDE w:val="0"/>
              <w:autoSpaceDN w:val="0"/>
              <w:adjustRightInd w:val="0"/>
              <w:spacing w:line="320" w:lineRule="atLeast"/>
              <w:ind w:right="60"/>
              <w:rPr>
                <w:rFonts w:cs="Arial"/>
                <w:color w:val="000000"/>
              </w:rPr>
            </w:pPr>
            <w:r>
              <w:rPr>
                <w:rFonts w:cs="Arial"/>
                <w:color w:val="000000"/>
              </w:rPr>
              <w:t>1</w:t>
            </w:r>
          </w:p>
        </w:tc>
        <w:tc>
          <w:tcPr>
            <w:tcW w:w="1155" w:type="dxa"/>
            <w:tcBorders>
              <w:top w:val="single" w:sz="12" w:space="0" w:color="000000" w:themeColor="text1"/>
              <w:left w:val="single" w:sz="12" w:space="0" w:color="000000" w:themeColor="text1"/>
            </w:tcBorders>
            <w:vAlign w:val="center"/>
          </w:tcPr>
          <w:p w:rsidR="00252033" w:rsidRDefault="00252033" w:rsidP="00252033">
            <w:pPr>
              <w:autoSpaceDE w:val="0"/>
              <w:autoSpaceDN w:val="0"/>
              <w:adjustRightInd w:val="0"/>
              <w:spacing w:line="320" w:lineRule="atLeast"/>
              <w:ind w:right="60"/>
              <w:jc w:val="right"/>
              <w:rPr>
                <w:rFonts w:cs="Arial"/>
                <w:color w:val="000000"/>
              </w:rPr>
            </w:pPr>
            <w:r>
              <w:rPr>
                <w:rFonts w:cs="Arial"/>
                <w:color w:val="000000"/>
              </w:rPr>
              <w:t>,603</w:t>
            </w:r>
          </w:p>
        </w:tc>
        <w:tc>
          <w:tcPr>
            <w:tcW w:w="1155" w:type="dxa"/>
            <w:tcBorders>
              <w:top w:val="single" w:sz="12" w:space="0" w:color="000000" w:themeColor="text1"/>
            </w:tcBorders>
            <w:vAlign w:val="center"/>
          </w:tcPr>
          <w:p w:rsidR="00252033" w:rsidRDefault="00252033" w:rsidP="00252033">
            <w:pPr>
              <w:autoSpaceDE w:val="0"/>
              <w:autoSpaceDN w:val="0"/>
              <w:adjustRightInd w:val="0"/>
              <w:spacing w:line="320" w:lineRule="atLeast"/>
              <w:ind w:right="60"/>
              <w:jc w:val="right"/>
              <w:rPr>
                <w:rFonts w:cs="Arial"/>
                <w:color w:val="000000"/>
              </w:rPr>
            </w:pPr>
            <w:r>
              <w:rPr>
                <w:rFonts w:cs="Arial"/>
                <w:color w:val="000000"/>
              </w:rPr>
              <w:t>,364</w:t>
            </w:r>
          </w:p>
        </w:tc>
        <w:tc>
          <w:tcPr>
            <w:tcW w:w="1705" w:type="dxa"/>
            <w:tcBorders>
              <w:top w:val="single" w:sz="12" w:space="0" w:color="000000" w:themeColor="text1"/>
            </w:tcBorders>
            <w:vAlign w:val="center"/>
          </w:tcPr>
          <w:p w:rsidR="00252033" w:rsidRDefault="00252033" w:rsidP="00252033">
            <w:pPr>
              <w:autoSpaceDE w:val="0"/>
              <w:autoSpaceDN w:val="0"/>
              <w:adjustRightInd w:val="0"/>
              <w:spacing w:line="320" w:lineRule="atLeast"/>
              <w:ind w:right="60"/>
              <w:jc w:val="right"/>
              <w:rPr>
                <w:rFonts w:cs="Arial"/>
                <w:color w:val="000000"/>
              </w:rPr>
            </w:pPr>
            <w:r>
              <w:rPr>
                <w:rFonts w:cs="Arial"/>
                <w:color w:val="000000"/>
              </w:rPr>
              <w:t>,288</w:t>
            </w:r>
          </w:p>
        </w:tc>
        <w:tc>
          <w:tcPr>
            <w:tcW w:w="2251" w:type="dxa"/>
            <w:tcBorders>
              <w:top w:val="single" w:sz="12" w:space="0" w:color="000000" w:themeColor="text1"/>
            </w:tcBorders>
            <w:vAlign w:val="center"/>
          </w:tcPr>
          <w:p w:rsidR="00252033" w:rsidRDefault="00252033" w:rsidP="00252033">
            <w:pPr>
              <w:autoSpaceDE w:val="0"/>
              <w:autoSpaceDN w:val="0"/>
              <w:adjustRightInd w:val="0"/>
              <w:spacing w:line="320" w:lineRule="atLeast"/>
              <w:ind w:right="60"/>
              <w:jc w:val="right"/>
              <w:rPr>
                <w:rFonts w:cs="Arial"/>
                <w:color w:val="000000"/>
              </w:rPr>
            </w:pPr>
            <w:r>
              <w:rPr>
                <w:rFonts w:cs="Arial"/>
                <w:color w:val="000000"/>
              </w:rPr>
              <w:t>,1517601</w:t>
            </w:r>
          </w:p>
        </w:tc>
      </w:tr>
    </w:tbl>
    <w:tbl>
      <w:tblPr>
        <w:tblW w:w="73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71"/>
      </w:tblGrid>
      <w:tr w:rsidR="00CE06C7" w:rsidRPr="000B3455" w:rsidTr="00252033">
        <w:trPr>
          <w:cantSplit/>
        </w:trPr>
        <w:tc>
          <w:tcPr>
            <w:tcW w:w="7371" w:type="dxa"/>
            <w:tcBorders>
              <w:top w:val="nil"/>
              <w:left w:val="nil"/>
              <w:bottom w:val="nil"/>
              <w:right w:val="nil"/>
            </w:tcBorders>
            <w:shd w:val="clear" w:color="auto" w:fill="FFFFFF"/>
          </w:tcPr>
          <w:p w:rsidR="00CE06C7" w:rsidRPr="00252033" w:rsidRDefault="00252033" w:rsidP="00C83CEF">
            <w:pPr>
              <w:spacing w:line="360" w:lineRule="auto"/>
              <w:jc w:val="both"/>
            </w:pPr>
            <w:r>
              <w:rPr>
                <w:i/>
              </w:rPr>
              <w:t>PR_FV_SHA</w:t>
            </w:r>
            <w:r>
              <w:rPr>
                <w:i/>
                <w:vertAlign w:val="subscript"/>
              </w:rPr>
              <w:t>it</w:t>
            </w:r>
            <w:r>
              <w:rPr>
                <w:i/>
              </w:rPr>
              <w:t xml:space="preserve"> = </w:t>
            </w:r>
            <w:r>
              <w:rPr>
                <w:rFonts w:cstheme="minorHAnsi"/>
                <w:i/>
              </w:rPr>
              <w:t>β</w:t>
            </w:r>
            <w:r>
              <w:rPr>
                <w:i/>
                <w:vertAlign w:val="subscript"/>
              </w:rPr>
              <w:t>0</w:t>
            </w:r>
            <w:r>
              <w:rPr>
                <w:i/>
              </w:rPr>
              <w:t xml:space="preserve"> + </w:t>
            </w:r>
            <w:r>
              <w:rPr>
                <w:rFonts w:cstheme="minorHAnsi"/>
                <w:i/>
              </w:rPr>
              <w:t>β</w:t>
            </w:r>
            <w:r>
              <w:rPr>
                <w:i/>
                <w:vertAlign w:val="subscript"/>
              </w:rPr>
              <w:t>1</w:t>
            </w:r>
            <w:r>
              <w:rPr>
                <w:i/>
              </w:rPr>
              <w:t xml:space="preserve"> 2003 + </w:t>
            </w:r>
            <w:r>
              <w:rPr>
                <w:rFonts w:cstheme="minorHAnsi"/>
                <w:i/>
              </w:rPr>
              <w:t>β</w:t>
            </w:r>
            <w:r>
              <w:rPr>
                <w:rFonts w:cstheme="minorHAnsi"/>
                <w:i/>
                <w:vertAlign w:val="subscript"/>
              </w:rPr>
              <w:t xml:space="preserve">2 </w:t>
            </w:r>
            <w:r>
              <w:rPr>
                <w:rFonts w:cstheme="minorHAnsi"/>
                <w:i/>
              </w:rPr>
              <w:t>2004 + β</w:t>
            </w:r>
            <w:r>
              <w:rPr>
                <w:rFonts w:cstheme="minorHAnsi"/>
                <w:i/>
                <w:vertAlign w:val="subscript"/>
              </w:rPr>
              <w:t>3</w:t>
            </w:r>
            <w:r>
              <w:rPr>
                <w:rFonts w:cstheme="minorHAnsi"/>
                <w:i/>
              </w:rPr>
              <w:t xml:space="preserve"> 2005 + β</w:t>
            </w:r>
            <w:r>
              <w:rPr>
                <w:rFonts w:cstheme="minorHAnsi"/>
                <w:i/>
                <w:vertAlign w:val="subscript"/>
              </w:rPr>
              <w:t>4</w:t>
            </w:r>
            <w:r>
              <w:rPr>
                <w:rFonts w:cstheme="minorHAnsi"/>
                <w:i/>
              </w:rPr>
              <w:t xml:space="preserve"> 2006 + β</w:t>
            </w:r>
            <w:r>
              <w:rPr>
                <w:rFonts w:cstheme="minorHAnsi"/>
                <w:i/>
                <w:vertAlign w:val="subscript"/>
              </w:rPr>
              <w:t>5</w:t>
            </w:r>
            <w:r>
              <w:rPr>
                <w:rFonts w:cstheme="minorHAnsi"/>
                <w:i/>
              </w:rPr>
              <w:t xml:space="preserve"> 2007 + β</w:t>
            </w:r>
            <w:r>
              <w:rPr>
                <w:rFonts w:cstheme="minorHAnsi"/>
                <w:i/>
                <w:vertAlign w:val="subscript"/>
              </w:rPr>
              <w:t>6</w:t>
            </w:r>
            <w:r>
              <w:rPr>
                <w:i/>
              </w:rPr>
              <w:t xml:space="preserve"> LN_ASSETS</w:t>
            </w:r>
            <w:r>
              <w:rPr>
                <w:i/>
                <w:vertAlign w:val="subscript"/>
              </w:rPr>
              <w:t>it</w:t>
            </w:r>
            <w:r>
              <w:rPr>
                <w:i/>
              </w:rPr>
              <w:t xml:space="preserve"> + </w:t>
            </w:r>
            <w:r>
              <w:rPr>
                <w:rFonts w:cstheme="minorHAnsi"/>
                <w:i/>
              </w:rPr>
              <w:t>β</w:t>
            </w:r>
            <w:r>
              <w:rPr>
                <w:rFonts w:cstheme="minorHAnsi"/>
                <w:i/>
                <w:vertAlign w:val="subscript"/>
              </w:rPr>
              <w:t>7</w:t>
            </w:r>
            <w:r>
              <w:rPr>
                <w:i/>
                <w:vertAlign w:val="subscript"/>
              </w:rPr>
              <w:t xml:space="preserve"> </w:t>
            </w:r>
            <w:r>
              <w:rPr>
                <w:i/>
              </w:rPr>
              <w:t>MTB</w:t>
            </w:r>
            <w:r>
              <w:rPr>
                <w:i/>
                <w:vertAlign w:val="subscript"/>
              </w:rPr>
              <w:t>it</w:t>
            </w:r>
            <w:r>
              <w:rPr>
                <w:rFonts w:cstheme="minorHAnsi"/>
                <w:i/>
              </w:rPr>
              <w:t xml:space="preserve"> + β</w:t>
            </w:r>
            <w:r>
              <w:rPr>
                <w:rFonts w:cstheme="minorHAnsi"/>
                <w:i/>
                <w:vertAlign w:val="subscript"/>
              </w:rPr>
              <w:t>8</w:t>
            </w:r>
            <w:r>
              <w:rPr>
                <w:i/>
              </w:rPr>
              <w:t xml:space="preserve"> RET</w:t>
            </w:r>
            <w:r>
              <w:rPr>
                <w:i/>
                <w:vertAlign w:val="subscript"/>
              </w:rPr>
              <w:t>it</w:t>
            </w:r>
            <w:r>
              <w:rPr>
                <w:rFonts w:cstheme="minorHAnsi"/>
                <w:i/>
              </w:rPr>
              <w:t xml:space="preserve"> + β</w:t>
            </w:r>
            <w:r>
              <w:rPr>
                <w:rFonts w:cstheme="minorHAnsi"/>
                <w:i/>
                <w:vertAlign w:val="subscript"/>
              </w:rPr>
              <w:t>9</w:t>
            </w:r>
            <w:r>
              <w:rPr>
                <w:i/>
              </w:rPr>
              <w:t xml:space="preserve"> VOL</w:t>
            </w:r>
            <w:r>
              <w:rPr>
                <w:i/>
                <w:vertAlign w:val="subscript"/>
              </w:rPr>
              <w:t>it</w:t>
            </w:r>
            <w:r>
              <w:rPr>
                <w:rFonts w:cstheme="minorHAnsi"/>
                <w:i/>
              </w:rPr>
              <w:t xml:space="preserve"> + β</w:t>
            </w:r>
            <w:r>
              <w:rPr>
                <w:rFonts w:cstheme="minorHAnsi"/>
                <w:i/>
                <w:vertAlign w:val="subscript"/>
              </w:rPr>
              <w:t>10</w:t>
            </w:r>
            <w:r>
              <w:rPr>
                <w:i/>
              </w:rPr>
              <w:t xml:space="preserve"> BOA_SIZE</w:t>
            </w:r>
            <w:r>
              <w:rPr>
                <w:i/>
                <w:vertAlign w:val="subscript"/>
              </w:rPr>
              <w:t>it</w:t>
            </w:r>
            <w:r>
              <w:rPr>
                <w:rFonts w:cstheme="minorHAnsi"/>
                <w:i/>
              </w:rPr>
              <w:t xml:space="preserve"> + β</w:t>
            </w:r>
            <w:r>
              <w:rPr>
                <w:rFonts w:cstheme="minorHAnsi"/>
                <w:i/>
                <w:vertAlign w:val="subscript"/>
              </w:rPr>
              <w:t>11</w:t>
            </w:r>
            <w:r>
              <w:rPr>
                <w:i/>
              </w:rPr>
              <w:t xml:space="preserve"> LIQ_CON</w:t>
            </w:r>
            <w:r>
              <w:rPr>
                <w:i/>
                <w:vertAlign w:val="subscript"/>
              </w:rPr>
              <w:t>it</w:t>
            </w:r>
            <w:r>
              <w:rPr>
                <w:rFonts w:cstheme="minorHAnsi"/>
                <w:i/>
              </w:rPr>
              <w:t xml:space="preserve"> + ∑</w:t>
            </w:r>
            <w:r>
              <w:rPr>
                <w:i/>
              </w:rPr>
              <w:t xml:space="preserve"> IND_DUMM</w:t>
            </w:r>
            <w:r>
              <w:rPr>
                <w:i/>
                <w:vertAlign w:val="subscript"/>
              </w:rPr>
              <w:t>it</w:t>
            </w:r>
            <w:r>
              <w:rPr>
                <w:i/>
              </w:rPr>
              <w:t xml:space="preserve"> + </w:t>
            </w:r>
            <w:r>
              <w:rPr>
                <w:rFonts w:hAnsi="Times New Roman" w:cs="Times New Roman"/>
                <w:i/>
              </w:rPr>
              <w:t>ɛ</w:t>
            </w:r>
            <w:r>
              <w:rPr>
                <w:i/>
                <w:vertAlign w:val="subscript"/>
              </w:rPr>
              <w:t>it</w:t>
            </w:r>
          </w:p>
        </w:tc>
      </w:tr>
    </w:tbl>
    <w:p w:rsidR="00CE06C7" w:rsidRPr="00252033" w:rsidRDefault="00252033" w:rsidP="00252033">
      <w:pPr>
        <w:pStyle w:val="Caption"/>
        <w:rPr>
          <w:rFonts w:cstheme="minorHAnsi"/>
          <w:b w:val="0"/>
          <w:color w:val="auto"/>
        </w:rPr>
      </w:pPr>
      <w:bookmarkStart w:id="130" w:name="_Ref298857188"/>
      <w:r>
        <w:t xml:space="preserve">Table </w:t>
      </w:r>
      <w:fldSimple w:instr=" SEQ Table \* ARABIC ">
        <w:r w:rsidR="001D5F9A">
          <w:rPr>
            <w:noProof/>
          </w:rPr>
          <w:t>9</w:t>
        </w:r>
      </w:fldSimple>
      <w:r>
        <w:t xml:space="preserve">: </w:t>
      </w:r>
      <w:r w:rsidRPr="00252033">
        <w:rPr>
          <w:color w:val="auto"/>
        </w:rPr>
        <w:t>Summary of SPSS model</w:t>
      </w:r>
      <w:bookmarkEnd w:id="130"/>
    </w:p>
    <w:p w:rsidR="00CE06C7" w:rsidRPr="000B3455" w:rsidRDefault="00CE06C7" w:rsidP="00CE06C7">
      <w:pPr>
        <w:autoSpaceDE w:val="0"/>
        <w:autoSpaceDN w:val="0"/>
        <w:adjustRightInd w:val="0"/>
        <w:spacing w:after="0" w:line="240" w:lineRule="auto"/>
        <w:rPr>
          <w:rFonts w:cs="Times New Roman"/>
        </w:rPr>
      </w:pPr>
    </w:p>
    <w:tbl>
      <w:tblPr>
        <w:tblW w:w="788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8"/>
        <w:gridCol w:w="1272"/>
        <w:gridCol w:w="1456"/>
        <w:gridCol w:w="1009"/>
        <w:gridCol w:w="1398"/>
        <w:gridCol w:w="1010"/>
        <w:gridCol w:w="1010"/>
      </w:tblGrid>
      <w:tr w:rsidR="00CE06C7" w:rsidRPr="000B3455" w:rsidTr="00C83CEF">
        <w:trPr>
          <w:cantSplit/>
          <w:tblHeader/>
        </w:trPr>
        <w:tc>
          <w:tcPr>
            <w:tcW w:w="7883" w:type="dxa"/>
            <w:gridSpan w:val="7"/>
            <w:tcBorders>
              <w:top w:val="nil"/>
              <w:left w:val="nil"/>
              <w:bottom w:val="nil"/>
              <w:right w:val="nil"/>
            </w:tcBorders>
            <w:shd w:val="clear" w:color="auto" w:fill="FFFFFF"/>
            <w:vAlign w:val="center"/>
          </w:tcPr>
          <w:p w:rsidR="00CE06C7" w:rsidRPr="000B3455" w:rsidRDefault="00CE06C7" w:rsidP="00AB4FD8">
            <w:pPr>
              <w:autoSpaceDE w:val="0"/>
              <w:autoSpaceDN w:val="0"/>
              <w:adjustRightInd w:val="0"/>
              <w:spacing w:after="0" w:line="320" w:lineRule="atLeast"/>
              <w:ind w:left="60" w:right="60"/>
              <w:jc w:val="center"/>
              <w:rPr>
                <w:rFonts w:cs="Arial"/>
                <w:color w:val="000000"/>
              </w:rPr>
            </w:pPr>
            <w:r w:rsidRPr="000B3455">
              <w:rPr>
                <w:rFonts w:cs="Arial"/>
                <w:b/>
                <w:bCs/>
                <w:color w:val="000000"/>
              </w:rPr>
              <w:t>ANOVA</w:t>
            </w:r>
          </w:p>
        </w:tc>
      </w:tr>
      <w:tr w:rsidR="00CE06C7" w:rsidRPr="000B3455" w:rsidTr="00C83CEF">
        <w:trPr>
          <w:cantSplit/>
          <w:tblHeader/>
        </w:trPr>
        <w:tc>
          <w:tcPr>
            <w:tcW w:w="2000" w:type="dxa"/>
            <w:gridSpan w:val="2"/>
            <w:tcBorders>
              <w:top w:val="single" w:sz="16" w:space="0" w:color="000000"/>
              <w:left w:val="single" w:sz="16" w:space="0" w:color="000000"/>
              <w:bottom w:val="single" w:sz="16" w:space="0" w:color="000000"/>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Model</w:t>
            </w:r>
          </w:p>
        </w:tc>
        <w:tc>
          <w:tcPr>
            <w:tcW w:w="1456" w:type="dxa"/>
            <w:tcBorders>
              <w:top w:val="single" w:sz="16" w:space="0" w:color="000000"/>
              <w:left w:val="single" w:sz="16" w:space="0" w:color="000000"/>
              <w:bottom w:val="single" w:sz="16" w:space="0" w:color="000000"/>
            </w:tcBorders>
            <w:shd w:val="clear" w:color="auto" w:fill="FFFFFF"/>
            <w:vAlign w:val="bottom"/>
          </w:tcPr>
          <w:p w:rsidR="00CE06C7" w:rsidRPr="000B3455" w:rsidRDefault="00CE06C7" w:rsidP="00AB4FD8">
            <w:pPr>
              <w:autoSpaceDE w:val="0"/>
              <w:autoSpaceDN w:val="0"/>
              <w:adjustRightInd w:val="0"/>
              <w:spacing w:after="0" w:line="320" w:lineRule="atLeast"/>
              <w:ind w:left="60" w:right="60"/>
              <w:jc w:val="center"/>
              <w:rPr>
                <w:rFonts w:cs="Arial"/>
                <w:color w:val="000000"/>
              </w:rPr>
            </w:pPr>
            <w:r w:rsidRPr="000B3455">
              <w:rPr>
                <w:rFonts w:cs="Arial"/>
                <w:color w:val="000000"/>
              </w:rPr>
              <w:t>Sum of Squares</w:t>
            </w:r>
          </w:p>
        </w:tc>
        <w:tc>
          <w:tcPr>
            <w:tcW w:w="1009" w:type="dxa"/>
            <w:tcBorders>
              <w:top w:val="single" w:sz="16" w:space="0" w:color="000000"/>
              <w:bottom w:val="single" w:sz="16" w:space="0" w:color="000000"/>
            </w:tcBorders>
            <w:shd w:val="clear" w:color="auto" w:fill="FFFFFF"/>
            <w:vAlign w:val="bottom"/>
          </w:tcPr>
          <w:p w:rsidR="00CE06C7" w:rsidRPr="000B3455" w:rsidRDefault="00CE06C7" w:rsidP="00AB4FD8">
            <w:pPr>
              <w:autoSpaceDE w:val="0"/>
              <w:autoSpaceDN w:val="0"/>
              <w:adjustRightInd w:val="0"/>
              <w:spacing w:after="0" w:line="320" w:lineRule="atLeast"/>
              <w:ind w:left="60" w:right="60"/>
              <w:jc w:val="center"/>
              <w:rPr>
                <w:rFonts w:cs="Arial"/>
                <w:color w:val="000000"/>
              </w:rPr>
            </w:pPr>
            <w:r w:rsidRPr="000B3455">
              <w:rPr>
                <w:rFonts w:cs="Arial"/>
                <w:color w:val="000000"/>
              </w:rPr>
              <w:t>df</w:t>
            </w:r>
          </w:p>
        </w:tc>
        <w:tc>
          <w:tcPr>
            <w:tcW w:w="1398" w:type="dxa"/>
            <w:tcBorders>
              <w:top w:val="single" w:sz="16" w:space="0" w:color="000000"/>
              <w:bottom w:val="single" w:sz="16" w:space="0" w:color="000000"/>
            </w:tcBorders>
            <w:shd w:val="clear" w:color="auto" w:fill="FFFFFF"/>
            <w:vAlign w:val="bottom"/>
          </w:tcPr>
          <w:p w:rsidR="00CE06C7" w:rsidRPr="000B3455" w:rsidRDefault="00CE06C7" w:rsidP="00AB4FD8">
            <w:pPr>
              <w:autoSpaceDE w:val="0"/>
              <w:autoSpaceDN w:val="0"/>
              <w:adjustRightInd w:val="0"/>
              <w:spacing w:after="0" w:line="320" w:lineRule="atLeast"/>
              <w:ind w:left="60" w:right="60"/>
              <w:jc w:val="center"/>
              <w:rPr>
                <w:rFonts w:cs="Arial"/>
                <w:color w:val="000000"/>
              </w:rPr>
            </w:pPr>
            <w:r w:rsidRPr="000B3455">
              <w:rPr>
                <w:rFonts w:cs="Arial"/>
                <w:color w:val="000000"/>
              </w:rPr>
              <w:t>Mean Square</w:t>
            </w:r>
          </w:p>
        </w:tc>
        <w:tc>
          <w:tcPr>
            <w:tcW w:w="1010" w:type="dxa"/>
            <w:tcBorders>
              <w:top w:val="single" w:sz="16" w:space="0" w:color="000000"/>
              <w:bottom w:val="single" w:sz="16" w:space="0" w:color="000000"/>
            </w:tcBorders>
            <w:shd w:val="clear" w:color="auto" w:fill="FFFFFF"/>
            <w:vAlign w:val="bottom"/>
          </w:tcPr>
          <w:p w:rsidR="00CE06C7" w:rsidRPr="000B3455" w:rsidRDefault="00CE06C7" w:rsidP="00AB4FD8">
            <w:pPr>
              <w:autoSpaceDE w:val="0"/>
              <w:autoSpaceDN w:val="0"/>
              <w:adjustRightInd w:val="0"/>
              <w:spacing w:after="0" w:line="320" w:lineRule="atLeast"/>
              <w:ind w:left="60" w:right="60"/>
              <w:jc w:val="center"/>
              <w:rPr>
                <w:rFonts w:cs="Arial"/>
                <w:color w:val="000000"/>
              </w:rPr>
            </w:pPr>
            <w:r w:rsidRPr="000B3455">
              <w:rPr>
                <w:rFonts w:cs="Arial"/>
                <w:color w:val="000000"/>
              </w:rPr>
              <w:t>F</w:t>
            </w:r>
          </w:p>
        </w:tc>
        <w:tc>
          <w:tcPr>
            <w:tcW w:w="1010" w:type="dxa"/>
            <w:tcBorders>
              <w:top w:val="single" w:sz="16" w:space="0" w:color="000000"/>
              <w:bottom w:val="single" w:sz="16" w:space="0" w:color="000000"/>
              <w:right w:val="single" w:sz="16" w:space="0" w:color="000000"/>
            </w:tcBorders>
            <w:shd w:val="clear" w:color="auto" w:fill="FFFFFF"/>
            <w:vAlign w:val="bottom"/>
          </w:tcPr>
          <w:p w:rsidR="00CE06C7" w:rsidRPr="000B3455" w:rsidRDefault="00CE06C7" w:rsidP="00AB4FD8">
            <w:pPr>
              <w:autoSpaceDE w:val="0"/>
              <w:autoSpaceDN w:val="0"/>
              <w:adjustRightInd w:val="0"/>
              <w:spacing w:after="0" w:line="320" w:lineRule="atLeast"/>
              <w:ind w:left="60" w:right="60"/>
              <w:jc w:val="center"/>
              <w:rPr>
                <w:rFonts w:cs="Arial"/>
                <w:color w:val="000000"/>
              </w:rPr>
            </w:pPr>
            <w:r w:rsidRPr="000B3455">
              <w:rPr>
                <w:rFonts w:cs="Arial"/>
                <w:color w:val="000000"/>
              </w:rPr>
              <w:t>Sig.</w:t>
            </w:r>
          </w:p>
        </w:tc>
      </w:tr>
      <w:tr w:rsidR="00CE06C7" w:rsidRPr="000B3455" w:rsidTr="00C83CEF">
        <w:trPr>
          <w:cantSplit/>
          <w:tblHeader/>
        </w:trPr>
        <w:tc>
          <w:tcPr>
            <w:tcW w:w="728" w:type="dxa"/>
            <w:vMerge w:val="restart"/>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1</w:t>
            </w:r>
          </w:p>
        </w:tc>
        <w:tc>
          <w:tcPr>
            <w:tcW w:w="1272" w:type="dxa"/>
            <w:tcBorders>
              <w:top w:val="single" w:sz="16" w:space="0" w:color="000000"/>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Regression</w:t>
            </w:r>
          </w:p>
        </w:tc>
        <w:tc>
          <w:tcPr>
            <w:tcW w:w="1456" w:type="dxa"/>
            <w:tcBorders>
              <w:top w:val="single" w:sz="16" w:space="0" w:color="000000"/>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1,990</w:t>
            </w:r>
          </w:p>
        </w:tc>
        <w:tc>
          <w:tcPr>
            <w:tcW w:w="1009" w:type="dxa"/>
            <w:tcBorders>
              <w:top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18</w:t>
            </w:r>
          </w:p>
        </w:tc>
        <w:tc>
          <w:tcPr>
            <w:tcW w:w="1398" w:type="dxa"/>
            <w:tcBorders>
              <w:top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,111</w:t>
            </w:r>
          </w:p>
        </w:tc>
        <w:tc>
          <w:tcPr>
            <w:tcW w:w="1010" w:type="dxa"/>
            <w:tcBorders>
              <w:top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4,801</w:t>
            </w:r>
          </w:p>
        </w:tc>
        <w:tc>
          <w:tcPr>
            <w:tcW w:w="1010" w:type="dxa"/>
            <w:tcBorders>
              <w:top w:val="single" w:sz="16" w:space="0" w:color="000000"/>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,000</w:t>
            </w:r>
            <w:r w:rsidR="00F97730">
              <w:rPr>
                <w:rFonts w:cs="Arial"/>
                <w:color w:val="000000"/>
              </w:rPr>
              <w:t>***</w:t>
            </w:r>
          </w:p>
        </w:tc>
      </w:tr>
      <w:tr w:rsidR="00CE06C7" w:rsidRPr="000B3455" w:rsidTr="00C83CE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Arial"/>
                <w:color w:val="000000"/>
              </w:rPr>
            </w:pPr>
          </w:p>
        </w:tc>
        <w:tc>
          <w:tcPr>
            <w:tcW w:w="1272"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Residual</w:t>
            </w:r>
          </w:p>
        </w:tc>
        <w:tc>
          <w:tcPr>
            <w:tcW w:w="1456"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3,478</w:t>
            </w:r>
          </w:p>
        </w:tc>
        <w:tc>
          <w:tcPr>
            <w:tcW w:w="100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151</w:t>
            </w:r>
          </w:p>
        </w:tc>
        <w:tc>
          <w:tcPr>
            <w:tcW w:w="1398"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,023</w:t>
            </w:r>
          </w:p>
        </w:tc>
        <w:tc>
          <w:tcPr>
            <w:tcW w:w="1010" w:type="dxa"/>
            <w:tcBorders>
              <w:top w:val="nil"/>
              <w:bottom w:val="nil"/>
            </w:tcBorders>
            <w:shd w:val="clear" w:color="auto" w:fill="FFFFFF"/>
            <w:vAlign w:val="center"/>
          </w:tcPr>
          <w:p w:rsidR="00CE06C7" w:rsidRPr="000B3455" w:rsidRDefault="00CE06C7" w:rsidP="00AB4FD8">
            <w:pPr>
              <w:autoSpaceDE w:val="0"/>
              <w:autoSpaceDN w:val="0"/>
              <w:adjustRightInd w:val="0"/>
              <w:spacing w:after="0" w:line="240" w:lineRule="auto"/>
              <w:jc w:val="center"/>
              <w:rPr>
                <w:rFonts w:cs="Times New Roman"/>
              </w:rPr>
            </w:pPr>
          </w:p>
        </w:tc>
        <w:tc>
          <w:tcPr>
            <w:tcW w:w="1010" w:type="dxa"/>
            <w:tcBorders>
              <w:top w:val="nil"/>
              <w:bottom w:val="nil"/>
              <w:right w:val="single" w:sz="16" w:space="0" w:color="000000"/>
            </w:tcBorders>
            <w:shd w:val="clear" w:color="auto" w:fill="FFFFFF"/>
            <w:vAlign w:val="center"/>
          </w:tcPr>
          <w:p w:rsidR="00CE06C7" w:rsidRPr="000B3455" w:rsidRDefault="00CE06C7" w:rsidP="00AB4FD8">
            <w:pPr>
              <w:autoSpaceDE w:val="0"/>
              <w:autoSpaceDN w:val="0"/>
              <w:adjustRightInd w:val="0"/>
              <w:spacing w:after="0" w:line="240" w:lineRule="auto"/>
              <w:jc w:val="center"/>
              <w:rPr>
                <w:rFonts w:cs="Times New Roman"/>
              </w:rPr>
            </w:pPr>
          </w:p>
        </w:tc>
      </w:tr>
      <w:tr w:rsidR="00CE06C7" w:rsidRPr="000B3455" w:rsidTr="00C83CE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Times New Roman"/>
              </w:rPr>
            </w:pPr>
          </w:p>
        </w:tc>
        <w:tc>
          <w:tcPr>
            <w:tcW w:w="1272" w:type="dxa"/>
            <w:tcBorders>
              <w:top w:val="nil"/>
              <w:left w:val="nil"/>
              <w:bottom w:val="single" w:sz="16" w:space="0" w:color="000000"/>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Total</w:t>
            </w:r>
          </w:p>
        </w:tc>
        <w:tc>
          <w:tcPr>
            <w:tcW w:w="1456" w:type="dxa"/>
            <w:tcBorders>
              <w:top w:val="nil"/>
              <w:left w:val="single" w:sz="16" w:space="0" w:color="000000"/>
              <w:bottom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5,468</w:t>
            </w:r>
          </w:p>
        </w:tc>
        <w:tc>
          <w:tcPr>
            <w:tcW w:w="1009" w:type="dxa"/>
            <w:tcBorders>
              <w:top w:val="nil"/>
              <w:bottom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169</w:t>
            </w:r>
          </w:p>
        </w:tc>
        <w:tc>
          <w:tcPr>
            <w:tcW w:w="1398" w:type="dxa"/>
            <w:tcBorders>
              <w:top w:val="nil"/>
              <w:bottom w:val="single" w:sz="16" w:space="0" w:color="000000"/>
            </w:tcBorders>
            <w:shd w:val="clear" w:color="auto" w:fill="FFFFFF"/>
            <w:vAlign w:val="center"/>
          </w:tcPr>
          <w:p w:rsidR="00CE06C7" w:rsidRPr="000B3455" w:rsidRDefault="00CE06C7" w:rsidP="00AB4FD8">
            <w:pPr>
              <w:autoSpaceDE w:val="0"/>
              <w:autoSpaceDN w:val="0"/>
              <w:adjustRightInd w:val="0"/>
              <w:spacing w:after="0" w:line="240" w:lineRule="auto"/>
              <w:jc w:val="center"/>
              <w:rPr>
                <w:rFonts w:cs="Times New Roman"/>
              </w:rPr>
            </w:pPr>
          </w:p>
        </w:tc>
        <w:tc>
          <w:tcPr>
            <w:tcW w:w="1010" w:type="dxa"/>
            <w:tcBorders>
              <w:top w:val="nil"/>
              <w:bottom w:val="single" w:sz="16" w:space="0" w:color="000000"/>
            </w:tcBorders>
            <w:shd w:val="clear" w:color="auto" w:fill="FFFFFF"/>
            <w:vAlign w:val="center"/>
          </w:tcPr>
          <w:p w:rsidR="00CE06C7" w:rsidRPr="000B3455" w:rsidRDefault="00CE06C7" w:rsidP="00AB4FD8">
            <w:pPr>
              <w:autoSpaceDE w:val="0"/>
              <w:autoSpaceDN w:val="0"/>
              <w:adjustRightInd w:val="0"/>
              <w:spacing w:after="0" w:line="240" w:lineRule="auto"/>
              <w:jc w:val="center"/>
              <w:rPr>
                <w:rFonts w:cs="Times New Roman"/>
              </w:rPr>
            </w:pPr>
          </w:p>
        </w:tc>
        <w:tc>
          <w:tcPr>
            <w:tcW w:w="1010" w:type="dxa"/>
            <w:tcBorders>
              <w:top w:val="nil"/>
              <w:bottom w:val="single" w:sz="16" w:space="0" w:color="000000"/>
              <w:right w:val="single" w:sz="16" w:space="0" w:color="000000"/>
            </w:tcBorders>
            <w:shd w:val="clear" w:color="auto" w:fill="FFFFFF"/>
            <w:vAlign w:val="center"/>
          </w:tcPr>
          <w:p w:rsidR="00CE06C7" w:rsidRPr="000B3455" w:rsidRDefault="00CE06C7" w:rsidP="00AB4FD8">
            <w:pPr>
              <w:autoSpaceDE w:val="0"/>
              <w:autoSpaceDN w:val="0"/>
              <w:adjustRightInd w:val="0"/>
              <w:spacing w:after="0" w:line="240" w:lineRule="auto"/>
              <w:jc w:val="center"/>
              <w:rPr>
                <w:rFonts w:cs="Times New Roman"/>
              </w:rPr>
            </w:pPr>
          </w:p>
        </w:tc>
      </w:tr>
      <w:tr w:rsidR="00CE06C7" w:rsidRPr="000B3455" w:rsidTr="00C83CEF">
        <w:trPr>
          <w:cantSplit/>
          <w:tblHeader/>
        </w:trPr>
        <w:tc>
          <w:tcPr>
            <w:tcW w:w="7883" w:type="dxa"/>
            <w:gridSpan w:val="7"/>
            <w:tcBorders>
              <w:top w:val="nil"/>
              <w:left w:val="nil"/>
              <w:bottom w:val="nil"/>
              <w:right w:val="nil"/>
            </w:tcBorders>
            <w:shd w:val="clear" w:color="auto" w:fill="FFFFFF"/>
          </w:tcPr>
          <w:p w:rsidR="00CE06C7" w:rsidRPr="00C83CEF" w:rsidRDefault="00B92B41" w:rsidP="00B92B41">
            <w:pPr>
              <w:spacing w:line="360" w:lineRule="auto"/>
            </w:pPr>
            <w:r w:rsidRPr="00F97730">
              <w:rPr>
                <w:i/>
              </w:rPr>
              <w:t>*,**,*** significant at</w:t>
            </w:r>
            <w:r>
              <w:rPr>
                <w:i/>
              </w:rPr>
              <w:t xml:space="preserve"> the 0.1, 0.05 and 0.01 levels</w:t>
            </w:r>
            <w:r w:rsidRPr="00F97730">
              <w:rPr>
                <w:i/>
              </w:rPr>
              <w:t>.</w:t>
            </w:r>
            <w:r>
              <w:rPr>
                <w:i/>
              </w:rPr>
              <w:br/>
            </w:r>
            <w:r w:rsidR="00C83CEF">
              <w:rPr>
                <w:i/>
              </w:rPr>
              <w:t>PR_FV_SHA</w:t>
            </w:r>
            <w:r w:rsidR="00C83CEF">
              <w:rPr>
                <w:i/>
                <w:vertAlign w:val="subscript"/>
              </w:rPr>
              <w:t>it</w:t>
            </w:r>
            <w:r w:rsidR="00C83CEF">
              <w:rPr>
                <w:i/>
              </w:rPr>
              <w:t xml:space="preserve"> = </w:t>
            </w:r>
            <w:r w:rsidR="00C83CEF">
              <w:rPr>
                <w:rFonts w:cstheme="minorHAnsi"/>
                <w:i/>
              </w:rPr>
              <w:t>β</w:t>
            </w:r>
            <w:r w:rsidR="00C83CEF">
              <w:rPr>
                <w:i/>
                <w:vertAlign w:val="subscript"/>
              </w:rPr>
              <w:t>0</w:t>
            </w:r>
            <w:r w:rsidR="00C83CEF">
              <w:rPr>
                <w:i/>
              </w:rPr>
              <w:t xml:space="preserve"> + </w:t>
            </w:r>
            <w:r w:rsidR="00C83CEF">
              <w:rPr>
                <w:rFonts w:cstheme="minorHAnsi"/>
                <w:i/>
              </w:rPr>
              <w:t>β</w:t>
            </w:r>
            <w:r w:rsidR="00C83CEF">
              <w:rPr>
                <w:i/>
                <w:vertAlign w:val="subscript"/>
              </w:rPr>
              <w:t>1</w:t>
            </w:r>
            <w:r w:rsidR="00C83CEF">
              <w:rPr>
                <w:i/>
              </w:rPr>
              <w:t xml:space="preserve"> 2003 + </w:t>
            </w:r>
            <w:r w:rsidR="00C83CEF">
              <w:rPr>
                <w:rFonts w:cstheme="minorHAnsi"/>
                <w:i/>
              </w:rPr>
              <w:t>β</w:t>
            </w:r>
            <w:r w:rsidR="00C83CEF">
              <w:rPr>
                <w:rFonts w:cstheme="minorHAnsi"/>
                <w:i/>
                <w:vertAlign w:val="subscript"/>
              </w:rPr>
              <w:t xml:space="preserve">2 </w:t>
            </w:r>
            <w:r w:rsidR="00C83CEF">
              <w:rPr>
                <w:rFonts w:cstheme="minorHAnsi"/>
                <w:i/>
              </w:rPr>
              <w:t>2004 + β</w:t>
            </w:r>
            <w:r w:rsidR="00C83CEF">
              <w:rPr>
                <w:rFonts w:cstheme="minorHAnsi"/>
                <w:i/>
                <w:vertAlign w:val="subscript"/>
              </w:rPr>
              <w:t>3</w:t>
            </w:r>
            <w:r w:rsidR="00C83CEF">
              <w:rPr>
                <w:rFonts w:cstheme="minorHAnsi"/>
                <w:i/>
              </w:rPr>
              <w:t xml:space="preserve"> 2005 + β</w:t>
            </w:r>
            <w:r w:rsidR="00C83CEF">
              <w:rPr>
                <w:rFonts w:cstheme="minorHAnsi"/>
                <w:i/>
                <w:vertAlign w:val="subscript"/>
              </w:rPr>
              <w:t>4</w:t>
            </w:r>
            <w:r w:rsidR="00C83CEF">
              <w:rPr>
                <w:rFonts w:cstheme="minorHAnsi"/>
                <w:i/>
              </w:rPr>
              <w:t xml:space="preserve"> 2006 + β</w:t>
            </w:r>
            <w:r w:rsidR="00C83CEF">
              <w:rPr>
                <w:rFonts w:cstheme="minorHAnsi"/>
                <w:i/>
                <w:vertAlign w:val="subscript"/>
              </w:rPr>
              <w:t>5</w:t>
            </w:r>
            <w:r w:rsidR="00C83CEF">
              <w:rPr>
                <w:rFonts w:cstheme="minorHAnsi"/>
                <w:i/>
              </w:rPr>
              <w:t xml:space="preserve"> 2007 + β</w:t>
            </w:r>
            <w:r w:rsidR="00C83CEF">
              <w:rPr>
                <w:rFonts w:cstheme="minorHAnsi"/>
                <w:i/>
                <w:vertAlign w:val="subscript"/>
              </w:rPr>
              <w:t>6</w:t>
            </w:r>
            <w:r w:rsidR="00C83CEF">
              <w:rPr>
                <w:i/>
              </w:rPr>
              <w:t xml:space="preserve"> LN_ASSETS</w:t>
            </w:r>
            <w:r w:rsidR="00C83CEF">
              <w:rPr>
                <w:i/>
                <w:vertAlign w:val="subscript"/>
              </w:rPr>
              <w:t>it</w:t>
            </w:r>
            <w:r w:rsidR="00C83CEF">
              <w:rPr>
                <w:i/>
              </w:rPr>
              <w:t xml:space="preserve"> + </w:t>
            </w:r>
            <w:r w:rsidR="00C83CEF">
              <w:rPr>
                <w:rFonts w:cstheme="minorHAnsi"/>
                <w:i/>
              </w:rPr>
              <w:t>β</w:t>
            </w:r>
            <w:r w:rsidR="00C83CEF">
              <w:rPr>
                <w:rFonts w:cstheme="minorHAnsi"/>
                <w:i/>
                <w:vertAlign w:val="subscript"/>
              </w:rPr>
              <w:t>7</w:t>
            </w:r>
            <w:r w:rsidR="00C83CEF">
              <w:rPr>
                <w:i/>
                <w:vertAlign w:val="subscript"/>
              </w:rPr>
              <w:t xml:space="preserve"> </w:t>
            </w:r>
            <w:r w:rsidR="00C83CEF">
              <w:rPr>
                <w:i/>
              </w:rPr>
              <w:t>MTB</w:t>
            </w:r>
            <w:r w:rsidR="00C83CEF">
              <w:rPr>
                <w:i/>
                <w:vertAlign w:val="subscript"/>
              </w:rPr>
              <w:t>it</w:t>
            </w:r>
            <w:r w:rsidR="00C83CEF">
              <w:rPr>
                <w:rFonts w:cstheme="minorHAnsi"/>
                <w:i/>
              </w:rPr>
              <w:t xml:space="preserve"> + β</w:t>
            </w:r>
            <w:r w:rsidR="00C83CEF">
              <w:rPr>
                <w:rFonts w:cstheme="minorHAnsi"/>
                <w:i/>
                <w:vertAlign w:val="subscript"/>
              </w:rPr>
              <w:t>8</w:t>
            </w:r>
            <w:r w:rsidR="00C83CEF">
              <w:rPr>
                <w:i/>
              </w:rPr>
              <w:t xml:space="preserve"> RET</w:t>
            </w:r>
            <w:r w:rsidR="00C83CEF">
              <w:rPr>
                <w:i/>
                <w:vertAlign w:val="subscript"/>
              </w:rPr>
              <w:t>it</w:t>
            </w:r>
            <w:r w:rsidR="00C83CEF">
              <w:rPr>
                <w:rFonts w:cstheme="minorHAnsi"/>
                <w:i/>
              </w:rPr>
              <w:t xml:space="preserve"> + β</w:t>
            </w:r>
            <w:r w:rsidR="00C83CEF">
              <w:rPr>
                <w:rFonts w:cstheme="minorHAnsi"/>
                <w:i/>
                <w:vertAlign w:val="subscript"/>
              </w:rPr>
              <w:t>9</w:t>
            </w:r>
            <w:r w:rsidR="00C83CEF">
              <w:rPr>
                <w:i/>
              </w:rPr>
              <w:t xml:space="preserve"> VOL</w:t>
            </w:r>
            <w:r w:rsidR="00C83CEF">
              <w:rPr>
                <w:i/>
                <w:vertAlign w:val="subscript"/>
              </w:rPr>
              <w:t>it</w:t>
            </w:r>
            <w:r w:rsidR="00C83CEF">
              <w:rPr>
                <w:rFonts w:cstheme="minorHAnsi"/>
                <w:i/>
              </w:rPr>
              <w:t xml:space="preserve"> + β</w:t>
            </w:r>
            <w:r w:rsidR="00C83CEF">
              <w:rPr>
                <w:rFonts w:cstheme="minorHAnsi"/>
                <w:i/>
                <w:vertAlign w:val="subscript"/>
              </w:rPr>
              <w:t>10</w:t>
            </w:r>
            <w:r w:rsidR="00C83CEF">
              <w:rPr>
                <w:i/>
              </w:rPr>
              <w:t xml:space="preserve"> BOA_SIZE</w:t>
            </w:r>
            <w:r w:rsidR="00C83CEF">
              <w:rPr>
                <w:i/>
                <w:vertAlign w:val="subscript"/>
              </w:rPr>
              <w:t>it</w:t>
            </w:r>
            <w:r w:rsidR="00C83CEF">
              <w:rPr>
                <w:rFonts w:cstheme="minorHAnsi"/>
                <w:i/>
              </w:rPr>
              <w:t xml:space="preserve"> + β</w:t>
            </w:r>
            <w:r w:rsidR="00C83CEF">
              <w:rPr>
                <w:rFonts w:cstheme="minorHAnsi"/>
                <w:i/>
                <w:vertAlign w:val="subscript"/>
              </w:rPr>
              <w:t>11</w:t>
            </w:r>
            <w:r w:rsidR="00C83CEF">
              <w:rPr>
                <w:i/>
              </w:rPr>
              <w:t xml:space="preserve"> LIQ_CON</w:t>
            </w:r>
            <w:r w:rsidR="00C83CEF">
              <w:rPr>
                <w:i/>
                <w:vertAlign w:val="subscript"/>
              </w:rPr>
              <w:t>it</w:t>
            </w:r>
            <w:r w:rsidR="00C83CEF">
              <w:rPr>
                <w:rFonts w:cstheme="minorHAnsi"/>
                <w:i/>
              </w:rPr>
              <w:t xml:space="preserve"> + ∑</w:t>
            </w:r>
            <w:r w:rsidR="00C83CEF">
              <w:rPr>
                <w:i/>
              </w:rPr>
              <w:t xml:space="preserve"> IND_DUMM</w:t>
            </w:r>
            <w:r w:rsidR="00C83CEF">
              <w:rPr>
                <w:i/>
                <w:vertAlign w:val="subscript"/>
              </w:rPr>
              <w:t>it</w:t>
            </w:r>
            <w:r w:rsidR="00C83CEF">
              <w:rPr>
                <w:i/>
              </w:rPr>
              <w:t xml:space="preserve"> + </w:t>
            </w:r>
            <w:r w:rsidR="00C83CEF">
              <w:rPr>
                <w:rFonts w:hAnsi="Times New Roman" w:cs="Times New Roman"/>
                <w:i/>
              </w:rPr>
              <w:t>ɛ</w:t>
            </w:r>
            <w:r w:rsidR="00C83CEF">
              <w:rPr>
                <w:i/>
                <w:vertAlign w:val="subscript"/>
              </w:rPr>
              <w:t>it</w:t>
            </w:r>
          </w:p>
        </w:tc>
      </w:tr>
    </w:tbl>
    <w:p w:rsidR="00CE06C7" w:rsidRPr="000B3455" w:rsidRDefault="00C83CEF" w:rsidP="00C83CEF">
      <w:pPr>
        <w:pStyle w:val="Caption"/>
        <w:rPr>
          <w:rFonts w:cs="Times New Roman"/>
        </w:rPr>
      </w:pPr>
      <w:bookmarkStart w:id="131" w:name="_Ref298857235"/>
      <w:r>
        <w:t xml:space="preserve">Table </w:t>
      </w:r>
      <w:fldSimple w:instr=" SEQ Table \* ARABIC ">
        <w:r w:rsidR="001D5F9A">
          <w:rPr>
            <w:noProof/>
          </w:rPr>
          <w:t>10</w:t>
        </w:r>
      </w:fldSimple>
      <w:bookmarkEnd w:id="131"/>
      <w:r>
        <w:t xml:space="preserve">: </w:t>
      </w:r>
      <w:r w:rsidRPr="00C83CEF">
        <w:rPr>
          <w:color w:val="auto"/>
        </w:rPr>
        <w:t>SPSS analysis of variance</w:t>
      </w:r>
    </w:p>
    <w:p w:rsidR="00CE06C7" w:rsidRPr="000B3455" w:rsidRDefault="00CE06C7" w:rsidP="00CE06C7">
      <w:pPr>
        <w:autoSpaceDE w:val="0"/>
        <w:autoSpaceDN w:val="0"/>
        <w:adjustRightInd w:val="0"/>
        <w:spacing w:after="0" w:line="240" w:lineRule="auto"/>
        <w:rPr>
          <w:rFonts w:cs="Times New Roman"/>
        </w:rPr>
      </w:pPr>
    </w:p>
    <w:tbl>
      <w:tblPr>
        <w:tblW w:w="1109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1057"/>
        <w:gridCol w:w="40"/>
      </w:tblGrid>
      <w:tr w:rsidR="00CE06C7" w:rsidRPr="000B3455" w:rsidTr="00AB4FD8">
        <w:trPr>
          <w:cantSplit/>
          <w:tblHeader/>
        </w:trPr>
        <w:tc>
          <w:tcPr>
            <w:tcW w:w="11057" w:type="dxa"/>
            <w:tcBorders>
              <w:top w:val="nil"/>
              <w:left w:val="nil"/>
              <w:bottom w:val="nil"/>
              <w:right w:val="nil"/>
            </w:tcBorders>
            <w:shd w:val="clear" w:color="auto" w:fill="FFFFFF"/>
            <w:vAlign w:val="center"/>
          </w:tcPr>
          <w:tbl>
            <w:tblPr>
              <w:tblW w:w="103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0"/>
              <w:gridCol w:w="2433"/>
              <w:gridCol w:w="1327"/>
              <w:gridCol w:w="1325"/>
              <w:gridCol w:w="1459"/>
              <w:gridCol w:w="1013"/>
              <w:gridCol w:w="1013"/>
              <w:gridCol w:w="1013"/>
            </w:tblGrid>
            <w:tr w:rsidR="00CE06C7" w:rsidRPr="000B3455" w:rsidTr="00AB4FD8">
              <w:trPr>
                <w:cantSplit/>
                <w:tblHeader/>
              </w:trPr>
              <w:tc>
                <w:tcPr>
                  <w:tcW w:w="9300" w:type="dxa"/>
                  <w:gridSpan w:val="7"/>
                  <w:tcBorders>
                    <w:top w:val="nil"/>
                    <w:left w:val="nil"/>
                    <w:bottom w:val="nil"/>
                    <w:right w:val="nil"/>
                  </w:tcBorders>
                  <w:shd w:val="clear" w:color="auto" w:fill="FFFFFF"/>
                  <w:vAlign w:val="center"/>
                </w:tcPr>
                <w:p w:rsidR="00CE06C7" w:rsidRPr="000B3455" w:rsidRDefault="00CE06C7" w:rsidP="00AB4FD8">
                  <w:pPr>
                    <w:autoSpaceDE w:val="0"/>
                    <w:autoSpaceDN w:val="0"/>
                    <w:adjustRightInd w:val="0"/>
                    <w:spacing w:after="0" w:line="320" w:lineRule="atLeast"/>
                    <w:ind w:left="60" w:right="60"/>
                    <w:jc w:val="center"/>
                    <w:rPr>
                      <w:rFonts w:cs="Arial"/>
                      <w:color w:val="000000"/>
                    </w:rPr>
                  </w:pPr>
                  <w:r w:rsidRPr="000B3455">
                    <w:rPr>
                      <w:rFonts w:cs="Arial"/>
                      <w:b/>
                      <w:bCs/>
                      <w:color w:val="000000"/>
                    </w:rPr>
                    <w:lastRenderedPageBreak/>
                    <w:t>Coefficients</w:t>
                  </w:r>
                  <w:r w:rsidRPr="000B3455">
                    <w:rPr>
                      <w:rFonts w:cs="Arial"/>
                      <w:b/>
                      <w:bCs/>
                      <w:color w:val="000000"/>
                      <w:vertAlign w:val="superscript"/>
                    </w:rPr>
                    <w:t>a</w:t>
                  </w:r>
                </w:p>
              </w:tc>
              <w:tc>
                <w:tcPr>
                  <w:tcW w:w="1013" w:type="dxa"/>
                  <w:tcBorders>
                    <w:top w:val="nil"/>
                    <w:left w:val="nil"/>
                    <w:bottom w:val="nil"/>
                    <w:right w:val="nil"/>
                  </w:tcBorders>
                  <w:shd w:val="clear" w:color="auto" w:fill="FFFFFF"/>
                </w:tcPr>
                <w:p w:rsidR="00CE06C7" w:rsidRPr="000B3455" w:rsidRDefault="00CE06C7" w:rsidP="00AB4FD8">
                  <w:pPr>
                    <w:autoSpaceDE w:val="0"/>
                    <w:autoSpaceDN w:val="0"/>
                    <w:adjustRightInd w:val="0"/>
                    <w:spacing w:after="0" w:line="320" w:lineRule="atLeast"/>
                    <w:ind w:left="60" w:right="60"/>
                    <w:jc w:val="center"/>
                    <w:rPr>
                      <w:rFonts w:cs="Arial"/>
                      <w:b/>
                      <w:bCs/>
                      <w:color w:val="000000"/>
                    </w:rPr>
                  </w:pPr>
                </w:p>
              </w:tc>
            </w:tr>
            <w:tr w:rsidR="00CE06C7" w:rsidRPr="000B3455" w:rsidTr="00AB4FD8">
              <w:trPr>
                <w:cantSplit/>
                <w:tblHeader/>
              </w:trPr>
              <w:tc>
                <w:tcPr>
                  <w:tcW w:w="3163"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Model</w:t>
                  </w:r>
                </w:p>
              </w:tc>
              <w:tc>
                <w:tcPr>
                  <w:tcW w:w="2652" w:type="dxa"/>
                  <w:gridSpan w:val="2"/>
                  <w:tcBorders>
                    <w:top w:val="single" w:sz="16" w:space="0" w:color="000000"/>
                    <w:left w:val="single" w:sz="16" w:space="0" w:color="000000"/>
                  </w:tcBorders>
                  <w:shd w:val="clear" w:color="auto" w:fill="FFFFFF"/>
                  <w:vAlign w:val="bottom"/>
                </w:tcPr>
                <w:p w:rsidR="00CE06C7" w:rsidRPr="000B3455" w:rsidRDefault="00CE06C7" w:rsidP="00AB4FD8">
                  <w:pPr>
                    <w:autoSpaceDE w:val="0"/>
                    <w:autoSpaceDN w:val="0"/>
                    <w:adjustRightInd w:val="0"/>
                    <w:spacing w:after="0" w:line="320" w:lineRule="atLeast"/>
                    <w:ind w:left="60" w:right="60"/>
                    <w:jc w:val="center"/>
                    <w:rPr>
                      <w:rFonts w:cs="Arial"/>
                      <w:color w:val="000000"/>
                    </w:rPr>
                  </w:pPr>
                  <w:r w:rsidRPr="000B3455">
                    <w:rPr>
                      <w:rFonts w:cs="Arial"/>
                      <w:color w:val="000000"/>
                    </w:rPr>
                    <w:t>Unstandardized Coefficients</w:t>
                  </w:r>
                </w:p>
              </w:tc>
              <w:tc>
                <w:tcPr>
                  <w:tcW w:w="1459" w:type="dxa"/>
                  <w:tcBorders>
                    <w:top w:val="single" w:sz="16" w:space="0" w:color="000000"/>
                  </w:tcBorders>
                  <w:shd w:val="clear" w:color="auto" w:fill="FFFFFF"/>
                  <w:vAlign w:val="bottom"/>
                </w:tcPr>
                <w:p w:rsidR="00CE06C7" w:rsidRPr="000B3455" w:rsidRDefault="00CE06C7" w:rsidP="00AB4FD8">
                  <w:pPr>
                    <w:autoSpaceDE w:val="0"/>
                    <w:autoSpaceDN w:val="0"/>
                    <w:adjustRightInd w:val="0"/>
                    <w:spacing w:after="0" w:line="320" w:lineRule="atLeast"/>
                    <w:ind w:left="60" w:right="60"/>
                    <w:jc w:val="center"/>
                    <w:rPr>
                      <w:rFonts w:cs="Arial"/>
                      <w:color w:val="000000"/>
                    </w:rPr>
                  </w:pPr>
                  <w:r w:rsidRPr="000B3455">
                    <w:rPr>
                      <w:rFonts w:cs="Arial"/>
                      <w:color w:val="000000"/>
                    </w:rPr>
                    <w:t>Standardized Coefficients</w:t>
                  </w:r>
                </w:p>
              </w:tc>
              <w:tc>
                <w:tcPr>
                  <w:tcW w:w="1013" w:type="dxa"/>
                  <w:vMerge w:val="restart"/>
                  <w:tcBorders>
                    <w:top w:val="single" w:sz="16" w:space="0" w:color="000000"/>
                    <w:bottom w:val="single" w:sz="16" w:space="0" w:color="000000"/>
                  </w:tcBorders>
                  <w:shd w:val="clear" w:color="auto" w:fill="FFFFFF"/>
                  <w:vAlign w:val="bottom"/>
                </w:tcPr>
                <w:p w:rsidR="00CE06C7" w:rsidRPr="000B3455" w:rsidRDefault="00CE06C7" w:rsidP="00AB4FD8">
                  <w:pPr>
                    <w:autoSpaceDE w:val="0"/>
                    <w:autoSpaceDN w:val="0"/>
                    <w:adjustRightInd w:val="0"/>
                    <w:spacing w:after="0" w:line="320" w:lineRule="atLeast"/>
                    <w:ind w:left="60" w:right="60"/>
                    <w:jc w:val="center"/>
                    <w:rPr>
                      <w:rFonts w:cs="Arial"/>
                      <w:color w:val="000000"/>
                    </w:rPr>
                  </w:pPr>
                  <w:r w:rsidRPr="000B3455">
                    <w:rPr>
                      <w:rFonts w:cs="Arial"/>
                      <w:color w:val="000000"/>
                    </w:rPr>
                    <w:t>t</w:t>
                  </w:r>
                </w:p>
              </w:tc>
              <w:tc>
                <w:tcPr>
                  <w:tcW w:w="1013" w:type="dxa"/>
                  <w:vMerge w:val="restart"/>
                  <w:tcBorders>
                    <w:top w:val="single" w:sz="16" w:space="0" w:color="000000"/>
                    <w:bottom w:val="single" w:sz="16" w:space="0" w:color="000000"/>
                    <w:right w:val="single" w:sz="16" w:space="0" w:color="000000"/>
                  </w:tcBorders>
                  <w:shd w:val="clear" w:color="auto" w:fill="FFFFFF"/>
                  <w:vAlign w:val="bottom"/>
                </w:tcPr>
                <w:p w:rsidR="00CE06C7" w:rsidRPr="000B3455" w:rsidRDefault="00CE06C7" w:rsidP="00AB4FD8">
                  <w:pPr>
                    <w:autoSpaceDE w:val="0"/>
                    <w:autoSpaceDN w:val="0"/>
                    <w:adjustRightInd w:val="0"/>
                    <w:spacing w:after="0" w:line="320" w:lineRule="atLeast"/>
                    <w:ind w:left="60" w:right="60"/>
                    <w:jc w:val="center"/>
                    <w:rPr>
                      <w:rFonts w:cs="Arial"/>
                      <w:color w:val="000000"/>
                    </w:rPr>
                  </w:pPr>
                  <w:r w:rsidRPr="000B3455">
                    <w:rPr>
                      <w:rFonts w:cs="Arial"/>
                      <w:color w:val="000000"/>
                    </w:rPr>
                    <w:t>Sig.</w:t>
                  </w:r>
                </w:p>
              </w:tc>
              <w:tc>
                <w:tcPr>
                  <w:tcW w:w="1013" w:type="dxa"/>
                  <w:vMerge w:val="restart"/>
                  <w:tcBorders>
                    <w:top w:val="single" w:sz="16" w:space="0" w:color="000000"/>
                    <w:right w:val="single" w:sz="16" w:space="0" w:color="000000"/>
                  </w:tcBorders>
                  <w:shd w:val="clear" w:color="auto" w:fill="FFFFFF"/>
                  <w:vAlign w:val="bottom"/>
                </w:tcPr>
                <w:p w:rsidR="00CE06C7" w:rsidRPr="000B3455" w:rsidRDefault="00CE06C7" w:rsidP="00AB4FD8">
                  <w:pPr>
                    <w:autoSpaceDE w:val="0"/>
                    <w:autoSpaceDN w:val="0"/>
                    <w:adjustRightInd w:val="0"/>
                    <w:spacing w:after="0" w:line="320" w:lineRule="atLeast"/>
                    <w:ind w:left="60" w:right="60"/>
                    <w:jc w:val="center"/>
                    <w:rPr>
                      <w:rFonts w:cs="Arial"/>
                      <w:color w:val="000000"/>
                    </w:rPr>
                  </w:pPr>
                  <w:r w:rsidRPr="000B3455">
                    <w:rPr>
                      <w:rFonts w:cs="Arial"/>
                      <w:color w:val="000000"/>
                    </w:rPr>
                    <w:t>Sig. 1-tailed</w:t>
                  </w:r>
                </w:p>
              </w:tc>
            </w:tr>
            <w:tr w:rsidR="00CE06C7" w:rsidRPr="000B3455" w:rsidTr="00AB4FD8">
              <w:trPr>
                <w:cantSplit/>
                <w:tblHeader/>
              </w:trPr>
              <w:tc>
                <w:tcPr>
                  <w:tcW w:w="3163" w:type="dxa"/>
                  <w:gridSpan w:val="2"/>
                  <w:vMerge/>
                  <w:tcBorders>
                    <w:top w:val="single" w:sz="16" w:space="0" w:color="000000"/>
                    <w:left w:val="single" w:sz="16" w:space="0" w:color="000000"/>
                    <w:bottom w:val="single" w:sz="16" w:space="0" w:color="000000"/>
                    <w:right w:val="single" w:sz="16" w:space="0" w:color="000000"/>
                  </w:tcBorders>
                  <w:shd w:val="clear" w:color="auto" w:fill="FFFFFF"/>
                </w:tcPr>
                <w:p w:rsidR="00CE06C7" w:rsidRPr="000B3455" w:rsidRDefault="00CE06C7" w:rsidP="00AB4FD8">
                  <w:pPr>
                    <w:autoSpaceDE w:val="0"/>
                    <w:autoSpaceDN w:val="0"/>
                    <w:adjustRightInd w:val="0"/>
                    <w:spacing w:after="0" w:line="240" w:lineRule="auto"/>
                    <w:rPr>
                      <w:rFonts w:cs="Arial"/>
                      <w:color w:val="000000"/>
                    </w:rPr>
                  </w:pPr>
                </w:p>
              </w:tc>
              <w:tc>
                <w:tcPr>
                  <w:tcW w:w="1327" w:type="dxa"/>
                  <w:tcBorders>
                    <w:left w:val="single" w:sz="16" w:space="0" w:color="000000"/>
                    <w:bottom w:val="single" w:sz="16" w:space="0" w:color="000000"/>
                  </w:tcBorders>
                  <w:shd w:val="clear" w:color="auto" w:fill="FFFFFF"/>
                  <w:vAlign w:val="bottom"/>
                </w:tcPr>
                <w:p w:rsidR="00CE06C7" w:rsidRPr="000B3455" w:rsidRDefault="00CE06C7" w:rsidP="00AB4FD8">
                  <w:pPr>
                    <w:autoSpaceDE w:val="0"/>
                    <w:autoSpaceDN w:val="0"/>
                    <w:adjustRightInd w:val="0"/>
                    <w:spacing w:after="0" w:line="320" w:lineRule="atLeast"/>
                    <w:ind w:left="60" w:right="60"/>
                    <w:jc w:val="center"/>
                    <w:rPr>
                      <w:rFonts w:cs="Arial"/>
                      <w:color w:val="000000"/>
                    </w:rPr>
                  </w:pPr>
                  <w:r w:rsidRPr="000B3455">
                    <w:rPr>
                      <w:rFonts w:cs="Arial"/>
                      <w:color w:val="000000"/>
                    </w:rPr>
                    <w:t>B</w:t>
                  </w:r>
                </w:p>
              </w:tc>
              <w:tc>
                <w:tcPr>
                  <w:tcW w:w="1325" w:type="dxa"/>
                  <w:tcBorders>
                    <w:bottom w:val="single" w:sz="16" w:space="0" w:color="000000"/>
                  </w:tcBorders>
                  <w:shd w:val="clear" w:color="auto" w:fill="FFFFFF"/>
                  <w:vAlign w:val="bottom"/>
                </w:tcPr>
                <w:p w:rsidR="00CE06C7" w:rsidRPr="000B3455" w:rsidRDefault="00CE06C7" w:rsidP="00AB4FD8">
                  <w:pPr>
                    <w:autoSpaceDE w:val="0"/>
                    <w:autoSpaceDN w:val="0"/>
                    <w:adjustRightInd w:val="0"/>
                    <w:spacing w:after="0" w:line="320" w:lineRule="atLeast"/>
                    <w:ind w:left="60" w:right="60"/>
                    <w:jc w:val="center"/>
                    <w:rPr>
                      <w:rFonts w:cs="Arial"/>
                      <w:color w:val="000000"/>
                    </w:rPr>
                  </w:pPr>
                  <w:r w:rsidRPr="000B3455">
                    <w:rPr>
                      <w:rFonts w:cs="Arial"/>
                      <w:color w:val="000000"/>
                    </w:rPr>
                    <w:t>Std. Error</w:t>
                  </w:r>
                </w:p>
              </w:tc>
              <w:tc>
                <w:tcPr>
                  <w:tcW w:w="1459" w:type="dxa"/>
                  <w:tcBorders>
                    <w:bottom w:val="single" w:sz="16" w:space="0" w:color="000000"/>
                  </w:tcBorders>
                  <w:shd w:val="clear" w:color="auto" w:fill="FFFFFF"/>
                  <w:vAlign w:val="bottom"/>
                </w:tcPr>
                <w:p w:rsidR="00CE06C7" w:rsidRPr="000B3455" w:rsidRDefault="00CE06C7" w:rsidP="00AB4FD8">
                  <w:pPr>
                    <w:autoSpaceDE w:val="0"/>
                    <w:autoSpaceDN w:val="0"/>
                    <w:adjustRightInd w:val="0"/>
                    <w:spacing w:after="0" w:line="320" w:lineRule="atLeast"/>
                    <w:ind w:left="60" w:right="60"/>
                    <w:jc w:val="center"/>
                    <w:rPr>
                      <w:rFonts w:cs="Arial"/>
                      <w:color w:val="000000"/>
                    </w:rPr>
                  </w:pPr>
                  <w:r w:rsidRPr="000B3455">
                    <w:rPr>
                      <w:rFonts w:cs="Arial"/>
                      <w:color w:val="000000"/>
                    </w:rPr>
                    <w:t>Beta</w:t>
                  </w:r>
                </w:p>
              </w:tc>
              <w:tc>
                <w:tcPr>
                  <w:tcW w:w="1013" w:type="dxa"/>
                  <w:vMerge/>
                  <w:tcBorders>
                    <w:top w:val="single" w:sz="16" w:space="0" w:color="000000"/>
                    <w:bottom w:val="single" w:sz="16" w:space="0" w:color="000000"/>
                  </w:tcBorders>
                  <w:shd w:val="clear" w:color="auto" w:fill="FFFFFF"/>
                  <w:vAlign w:val="bottom"/>
                </w:tcPr>
                <w:p w:rsidR="00CE06C7" w:rsidRPr="000B3455" w:rsidRDefault="00CE06C7" w:rsidP="00AB4FD8">
                  <w:pPr>
                    <w:autoSpaceDE w:val="0"/>
                    <w:autoSpaceDN w:val="0"/>
                    <w:adjustRightInd w:val="0"/>
                    <w:spacing w:after="0" w:line="240" w:lineRule="auto"/>
                    <w:rPr>
                      <w:rFonts w:cs="Arial"/>
                      <w:color w:val="000000"/>
                    </w:rPr>
                  </w:pPr>
                </w:p>
              </w:tc>
              <w:tc>
                <w:tcPr>
                  <w:tcW w:w="1013" w:type="dxa"/>
                  <w:vMerge/>
                  <w:tcBorders>
                    <w:top w:val="single" w:sz="16" w:space="0" w:color="000000"/>
                    <w:bottom w:val="single" w:sz="16" w:space="0" w:color="000000"/>
                    <w:right w:val="single" w:sz="16" w:space="0" w:color="000000"/>
                  </w:tcBorders>
                  <w:shd w:val="clear" w:color="auto" w:fill="FFFFFF"/>
                  <w:vAlign w:val="bottom"/>
                </w:tcPr>
                <w:p w:rsidR="00CE06C7" w:rsidRPr="000B3455" w:rsidRDefault="00CE06C7" w:rsidP="00AB4FD8">
                  <w:pPr>
                    <w:autoSpaceDE w:val="0"/>
                    <w:autoSpaceDN w:val="0"/>
                    <w:adjustRightInd w:val="0"/>
                    <w:spacing w:after="0" w:line="240" w:lineRule="auto"/>
                    <w:rPr>
                      <w:rFonts w:cs="Arial"/>
                      <w:color w:val="000000"/>
                    </w:rPr>
                  </w:pPr>
                </w:p>
              </w:tc>
              <w:tc>
                <w:tcPr>
                  <w:tcW w:w="1013" w:type="dxa"/>
                  <w:vMerge/>
                  <w:tcBorders>
                    <w:bottom w:val="single" w:sz="16" w:space="0" w:color="000000"/>
                    <w:right w:val="single" w:sz="16" w:space="0" w:color="000000"/>
                  </w:tcBorders>
                  <w:shd w:val="clear" w:color="auto" w:fill="FFFFFF"/>
                </w:tcPr>
                <w:p w:rsidR="00CE06C7" w:rsidRPr="000B3455" w:rsidRDefault="00CE06C7" w:rsidP="00AB4FD8">
                  <w:pPr>
                    <w:autoSpaceDE w:val="0"/>
                    <w:autoSpaceDN w:val="0"/>
                    <w:adjustRightInd w:val="0"/>
                    <w:spacing w:after="0" w:line="240" w:lineRule="auto"/>
                    <w:rPr>
                      <w:rFonts w:cs="Arial"/>
                      <w:color w:val="000000"/>
                    </w:rPr>
                  </w:pPr>
                </w:p>
              </w:tc>
            </w:tr>
            <w:tr w:rsidR="00CE06C7" w:rsidRPr="000B3455" w:rsidTr="00F97730">
              <w:trPr>
                <w:cantSplit/>
                <w:tblHeader/>
              </w:trPr>
              <w:tc>
                <w:tcPr>
                  <w:tcW w:w="730" w:type="dxa"/>
                  <w:vMerge w:val="restart"/>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1</w:t>
                  </w:r>
                </w:p>
              </w:tc>
              <w:tc>
                <w:tcPr>
                  <w:tcW w:w="2433" w:type="dxa"/>
                  <w:tcBorders>
                    <w:top w:val="single" w:sz="16" w:space="0" w:color="000000"/>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(Constant)</w:t>
                  </w:r>
                </w:p>
              </w:tc>
              <w:tc>
                <w:tcPr>
                  <w:tcW w:w="1327" w:type="dxa"/>
                  <w:tcBorders>
                    <w:top w:val="single" w:sz="16" w:space="0" w:color="000000"/>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,090</w:t>
                  </w:r>
                </w:p>
              </w:tc>
              <w:tc>
                <w:tcPr>
                  <w:tcW w:w="1325" w:type="dxa"/>
                  <w:tcBorders>
                    <w:top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,156</w:t>
                  </w:r>
                </w:p>
              </w:tc>
              <w:tc>
                <w:tcPr>
                  <w:tcW w:w="1459" w:type="dxa"/>
                  <w:tcBorders>
                    <w:top w:val="single" w:sz="16" w:space="0" w:color="000000"/>
                    <w:bottom w:val="nil"/>
                  </w:tcBorders>
                  <w:shd w:val="clear" w:color="auto" w:fill="FFFFFF"/>
                  <w:vAlign w:val="center"/>
                </w:tcPr>
                <w:p w:rsidR="00CE06C7" w:rsidRPr="000B3455" w:rsidRDefault="00CE06C7" w:rsidP="00AB4FD8">
                  <w:pPr>
                    <w:autoSpaceDE w:val="0"/>
                    <w:autoSpaceDN w:val="0"/>
                    <w:adjustRightInd w:val="0"/>
                    <w:spacing w:after="0" w:line="240" w:lineRule="auto"/>
                    <w:jc w:val="center"/>
                    <w:rPr>
                      <w:rFonts w:cs="Times New Roman"/>
                    </w:rPr>
                  </w:pPr>
                </w:p>
              </w:tc>
              <w:tc>
                <w:tcPr>
                  <w:tcW w:w="1013" w:type="dxa"/>
                  <w:tcBorders>
                    <w:top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,579</w:t>
                  </w:r>
                </w:p>
              </w:tc>
              <w:tc>
                <w:tcPr>
                  <w:tcW w:w="1013" w:type="dxa"/>
                  <w:tcBorders>
                    <w:top w:val="single" w:sz="16" w:space="0" w:color="000000"/>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,563</w:t>
                  </w:r>
                </w:p>
              </w:tc>
              <w:tc>
                <w:tcPr>
                  <w:tcW w:w="1013" w:type="dxa"/>
                  <w:tcBorders>
                    <w:top w:val="single" w:sz="16" w:space="0" w:color="000000"/>
                    <w:bottom w:val="nil"/>
                    <w:right w:val="single" w:sz="16" w:space="0" w:color="000000"/>
                  </w:tcBorders>
                  <w:shd w:val="clear" w:color="auto" w:fill="FFFFFF"/>
                </w:tcPr>
                <w:p w:rsidR="00CE06C7" w:rsidRPr="000B3455" w:rsidRDefault="00CE06C7" w:rsidP="00F97730">
                  <w:pPr>
                    <w:autoSpaceDE w:val="0"/>
                    <w:autoSpaceDN w:val="0"/>
                    <w:adjustRightInd w:val="0"/>
                    <w:spacing w:after="0" w:line="320" w:lineRule="atLeast"/>
                    <w:ind w:left="60" w:right="60"/>
                    <w:rPr>
                      <w:rFonts w:cs="Arial"/>
                      <w:color w:val="000000"/>
                    </w:rPr>
                  </w:pPr>
                  <w:r w:rsidRPr="000B3455">
                    <w:rPr>
                      <w:rFonts w:cs="Arial"/>
                      <w:color w:val="000000"/>
                    </w:rPr>
                    <w:t>,282</w:t>
                  </w:r>
                </w:p>
              </w:tc>
            </w:tr>
            <w:tr w:rsidR="00CE06C7"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D_2003</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,003</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,046</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,005</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,058</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,954</w:t>
                  </w:r>
                </w:p>
              </w:tc>
              <w:tc>
                <w:tcPr>
                  <w:tcW w:w="1013" w:type="dxa"/>
                  <w:tcBorders>
                    <w:top w:val="nil"/>
                    <w:bottom w:val="nil"/>
                    <w:right w:val="single" w:sz="16" w:space="0" w:color="000000"/>
                  </w:tcBorders>
                  <w:shd w:val="clear" w:color="auto" w:fill="FFFFFF"/>
                </w:tcPr>
                <w:p w:rsidR="00CE06C7" w:rsidRPr="000B3455" w:rsidRDefault="00CE06C7" w:rsidP="00F97730">
                  <w:pPr>
                    <w:autoSpaceDE w:val="0"/>
                    <w:autoSpaceDN w:val="0"/>
                    <w:adjustRightInd w:val="0"/>
                    <w:spacing w:after="0" w:line="320" w:lineRule="atLeast"/>
                    <w:ind w:left="60" w:right="60"/>
                    <w:rPr>
                      <w:rFonts w:cs="Arial"/>
                      <w:color w:val="000000"/>
                    </w:rPr>
                  </w:pPr>
                  <w:r w:rsidRPr="000B3455">
                    <w:rPr>
                      <w:rFonts w:cs="Arial"/>
                      <w:color w:val="000000"/>
                    </w:rPr>
                    <w:t>,477</w:t>
                  </w:r>
                </w:p>
              </w:tc>
            </w:tr>
            <w:tr w:rsidR="00CE06C7"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D_2004</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,093</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,044</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,194</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2,089</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,038</w:t>
                  </w:r>
                </w:p>
              </w:tc>
              <w:tc>
                <w:tcPr>
                  <w:tcW w:w="1013" w:type="dxa"/>
                  <w:tcBorders>
                    <w:top w:val="nil"/>
                    <w:bottom w:val="nil"/>
                    <w:right w:val="single" w:sz="16" w:space="0" w:color="000000"/>
                  </w:tcBorders>
                  <w:shd w:val="clear" w:color="auto" w:fill="FFFFFF"/>
                </w:tcPr>
                <w:p w:rsidR="00CE06C7" w:rsidRPr="000B3455" w:rsidRDefault="00CE06C7" w:rsidP="00F97730">
                  <w:pPr>
                    <w:autoSpaceDE w:val="0"/>
                    <w:autoSpaceDN w:val="0"/>
                    <w:adjustRightInd w:val="0"/>
                    <w:spacing w:after="0" w:line="320" w:lineRule="atLeast"/>
                    <w:ind w:left="60" w:right="60"/>
                    <w:rPr>
                      <w:rFonts w:cs="Arial"/>
                      <w:color w:val="000000"/>
                    </w:rPr>
                  </w:pPr>
                  <w:r w:rsidRPr="000B3455">
                    <w:rPr>
                      <w:rFonts w:cs="Arial"/>
                      <w:color w:val="000000"/>
                    </w:rPr>
                    <w:t>,019</w:t>
                  </w:r>
                  <w:r w:rsidR="00F97730">
                    <w:rPr>
                      <w:rFonts w:cs="Arial"/>
                      <w:color w:val="000000"/>
                    </w:rPr>
                    <w:t>**</w:t>
                  </w:r>
                </w:p>
              </w:tc>
            </w:tr>
            <w:tr w:rsidR="00CE06C7"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D_2005</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,094</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,048</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,196</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1,944</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,054</w:t>
                  </w:r>
                </w:p>
              </w:tc>
              <w:tc>
                <w:tcPr>
                  <w:tcW w:w="1013" w:type="dxa"/>
                  <w:tcBorders>
                    <w:top w:val="nil"/>
                    <w:bottom w:val="nil"/>
                    <w:right w:val="single" w:sz="16" w:space="0" w:color="000000"/>
                  </w:tcBorders>
                  <w:shd w:val="clear" w:color="auto" w:fill="FFFFFF"/>
                </w:tcPr>
                <w:p w:rsidR="00CE06C7" w:rsidRPr="000B3455" w:rsidRDefault="00CE06C7" w:rsidP="00F97730">
                  <w:pPr>
                    <w:autoSpaceDE w:val="0"/>
                    <w:autoSpaceDN w:val="0"/>
                    <w:adjustRightInd w:val="0"/>
                    <w:spacing w:after="0" w:line="320" w:lineRule="atLeast"/>
                    <w:ind w:left="60" w:right="60"/>
                    <w:rPr>
                      <w:rFonts w:cs="Arial"/>
                      <w:color w:val="000000"/>
                    </w:rPr>
                  </w:pPr>
                  <w:r w:rsidRPr="000B3455">
                    <w:rPr>
                      <w:rFonts w:cs="Arial"/>
                      <w:color w:val="000000"/>
                    </w:rPr>
                    <w:t>,027</w:t>
                  </w:r>
                  <w:r w:rsidR="00F97730">
                    <w:rPr>
                      <w:rFonts w:cs="Arial"/>
                      <w:color w:val="000000"/>
                    </w:rPr>
                    <w:t>**</w:t>
                  </w:r>
                </w:p>
              </w:tc>
            </w:tr>
            <w:tr w:rsidR="00CE06C7"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D_2006</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,170</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,047</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,357</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3,635</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,000</w:t>
                  </w:r>
                </w:p>
              </w:tc>
              <w:tc>
                <w:tcPr>
                  <w:tcW w:w="1013" w:type="dxa"/>
                  <w:tcBorders>
                    <w:top w:val="nil"/>
                    <w:bottom w:val="nil"/>
                    <w:right w:val="single" w:sz="16" w:space="0" w:color="000000"/>
                  </w:tcBorders>
                  <w:shd w:val="clear" w:color="auto" w:fill="FFFFFF"/>
                </w:tcPr>
                <w:p w:rsidR="00CE06C7" w:rsidRPr="000B3455" w:rsidRDefault="00CE06C7" w:rsidP="00F97730">
                  <w:pPr>
                    <w:autoSpaceDE w:val="0"/>
                    <w:autoSpaceDN w:val="0"/>
                    <w:adjustRightInd w:val="0"/>
                    <w:spacing w:after="0" w:line="320" w:lineRule="atLeast"/>
                    <w:ind w:left="60" w:right="60"/>
                    <w:rPr>
                      <w:rFonts w:cs="Arial"/>
                      <w:color w:val="000000"/>
                    </w:rPr>
                  </w:pPr>
                  <w:r w:rsidRPr="000B3455">
                    <w:rPr>
                      <w:rFonts w:cs="Arial"/>
                      <w:color w:val="000000"/>
                    </w:rPr>
                    <w:t>,000</w:t>
                  </w:r>
                  <w:r w:rsidR="00F97730">
                    <w:rPr>
                      <w:rFonts w:cs="Arial"/>
                      <w:color w:val="000000"/>
                    </w:rPr>
                    <w:t>***</w:t>
                  </w:r>
                </w:p>
              </w:tc>
            </w:tr>
            <w:tr w:rsidR="00CE06C7"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D_2007</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,180</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,042</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,372</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4,237</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,000</w:t>
                  </w:r>
                </w:p>
              </w:tc>
              <w:tc>
                <w:tcPr>
                  <w:tcW w:w="1013" w:type="dxa"/>
                  <w:tcBorders>
                    <w:top w:val="nil"/>
                    <w:bottom w:val="nil"/>
                    <w:right w:val="single" w:sz="16" w:space="0" w:color="000000"/>
                  </w:tcBorders>
                  <w:shd w:val="clear" w:color="auto" w:fill="FFFFFF"/>
                </w:tcPr>
                <w:p w:rsidR="00CE06C7" w:rsidRPr="000B3455" w:rsidRDefault="00CE06C7" w:rsidP="00F97730">
                  <w:pPr>
                    <w:autoSpaceDE w:val="0"/>
                    <w:autoSpaceDN w:val="0"/>
                    <w:adjustRightInd w:val="0"/>
                    <w:spacing w:after="0" w:line="320" w:lineRule="atLeast"/>
                    <w:ind w:left="60" w:right="60"/>
                    <w:rPr>
                      <w:rFonts w:cs="Arial"/>
                      <w:color w:val="000000"/>
                    </w:rPr>
                  </w:pPr>
                  <w:r w:rsidRPr="000B3455">
                    <w:rPr>
                      <w:rFonts w:cs="Arial"/>
                      <w:color w:val="000000"/>
                    </w:rPr>
                    <w:t>,000</w:t>
                  </w:r>
                  <w:r w:rsidR="00F97730">
                    <w:rPr>
                      <w:rFonts w:cs="Arial"/>
                      <w:color w:val="000000"/>
                    </w:rPr>
                    <w:t>***</w:t>
                  </w:r>
                </w:p>
              </w:tc>
            </w:tr>
            <w:tr w:rsidR="00CE06C7"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LN_ASSETS</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,002</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,010</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,026</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,233</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,816</w:t>
                  </w:r>
                </w:p>
              </w:tc>
              <w:tc>
                <w:tcPr>
                  <w:tcW w:w="1013" w:type="dxa"/>
                  <w:tcBorders>
                    <w:top w:val="nil"/>
                    <w:bottom w:val="nil"/>
                    <w:right w:val="single" w:sz="16" w:space="0" w:color="000000"/>
                  </w:tcBorders>
                  <w:shd w:val="clear" w:color="auto" w:fill="FFFFFF"/>
                </w:tcPr>
                <w:p w:rsidR="00CE06C7" w:rsidRPr="000B3455" w:rsidRDefault="00CE06C7" w:rsidP="00F97730">
                  <w:pPr>
                    <w:autoSpaceDE w:val="0"/>
                    <w:autoSpaceDN w:val="0"/>
                    <w:adjustRightInd w:val="0"/>
                    <w:spacing w:after="0" w:line="320" w:lineRule="atLeast"/>
                    <w:ind w:left="60" w:right="60"/>
                    <w:rPr>
                      <w:rFonts w:cs="Arial"/>
                    </w:rPr>
                  </w:pPr>
                  <w:r w:rsidRPr="000B3455">
                    <w:rPr>
                      <w:rFonts w:cs="Arial"/>
                    </w:rPr>
                    <w:t>,408</w:t>
                  </w:r>
                </w:p>
              </w:tc>
            </w:tr>
            <w:tr w:rsidR="00CE06C7"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MTB</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,011</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,008</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,118</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1,377</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,171</w:t>
                  </w:r>
                </w:p>
              </w:tc>
              <w:tc>
                <w:tcPr>
                  <w:tcW w:w="1013" w:type="dxa"/>
                  <w:tcBorders>
                    <w:top w:val="nil"/>
                    <w:bottom w:val="nil"/>
                    <w:right w:val="single" w:sz="16" w:space="0" w:color="000000"/>
                  </w:tcBorders>
                  <w:shd w:val="clear" w:color="auto" w:fill="FFFFFF"/>
                </w:tcPr>
                <w:p w:rsidR="00CE06C7" w:rsidRPr="000B3455" w:rsidRDefault="00CE06C7" w:rsidP="00F97730">
                  <w:pPr>
                    <w:autoSpaceDE w:val="0"/>
                    <w:autoSpaceDN w:val="0"/>
                    <w:adjustRightInd w:val="0"/>
                    <w:spacing w:after="0" w:line="320" w:lineRule="atLeast"/>
                    <w:ind w:left="60" w:right="60"/>
                    <w:rPr>
                      <w:rFonts w:cs="Arial"/>
                    </w:rPr>
                  </w:pPr>
                  <w:r w:rsidRPr="000B3455">
                    <w:rPr>
                      <w:rFonts w:cs="Arial"/>
                    </w:rPr>
                    <w:t>,086</w:t>
                  </w:r>
                  <w:r w:rsidR="00F97730">
                    <w:rPr>
                      <w:rFonts w:cs="Arial"/>
                    </w:rPr>
                    <w:t>*</w:t>
                  </w:r>
                </w:p>
              </w:tc>
            </w:tr>
            <w:tr w:rsidR="00CE06C7"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RET</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8,065E-5</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,000</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,018</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,198</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,844</w:t>
                  </w:r>
                </w:p>
              </w:tc>
              <w:tc>
                <w:tcPr>
                  <w:tcW w:w="1013" w:type="dxa"/>
                  <w:tcBorders>
                    <w:top w:val="nil"/>
                    <w:bottom w:val="nil"/>
                    <w:right w:val="single" w:sz="16" w:space="0" w:color="000000"/>
                  </w:tcBorders>
                  <w:shd w:val="clear" w:color="auto" w:fill="FFFFFF"/>
                </w:tcPr>
                <w:p w:rsidR="00CE06C7" w:rsidRPr="000B3455" w:rsidRDefault="00CE06C7" w:rsidP="00F97730">
                  <w:pPr>
                    <w:autoSpaceDE w:val="0"/>
                    <w:autoSpaceDN w:val="0"/>
                    <w:adjustRightInd w:val="0"/>
                    <w:spacing w:after="0" w:line="320" w:lineRule="atLeast"/>
                    <w:ind w:left="60" w:right="60"/>
                    <w:rPr>
                      <w:rFonts w:cs="Arial"/>
                    </w:rPr>
                  </w:pPr>
                  <w:r w:rsidRPr="000B3455">
                    <w:rPr>
                      <w:rFonts w:cs="Arial"/>
                    </w:rPr>
                    <w:t>,422</w:t>
                  </w:r>
                </w:p>
              </w:tc>
            </w:tr>
            <w:tr w:rsidR="00CE06C7"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VOL</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,002</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,001</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,093</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1,112</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,268</w:t>
                  </w:r>
                </w:p>
              </w:tc>
              <w:tc>
                <w:tcPr>
                  <w:tcW w:w="1013" w:type="dxa"/>
                  <w:tcBorders>
                    <w:top w:val="nil"/>
                    <w:bottom w:val="nil"/>
                    <w:right w:val="single" w:sz="16" w:space="0" w:color="000000"/>
                  </w:tcBorders>
                  <w:shd w:val="clear" w:color="auto" w:fill="FFFFFF"/>
                </w:tcPr>
                <w:p w:rsidR="00CE06C7" w:rsidRPr="000B3455" w:rsidRDefault="00CE06C7" w:rsidP="00F97730">
                  <w:pPr>
                    <w:autoSpaceDE w:val="0"/>
                    <w:autoSpaceDN w:val="0"/>
                    <w:adjustRightInd w:val="0"/>
                    <w:spacing w:after="0" w:line="320" w:lineRule="atLeast"/>
                    <w:ind w:left="60" w:right="60"/>
                    <w:rPr>
                      <w:rFonts w:cs="Arial"/>
                    </w:rPr>
                  </w:pPr>
                  <w:r w:rsidRPr="000B3455">
                    <w:rPr>
                      <w:rFonts w:cs="Arial"/>
                    </w:rPr>
                    <w:t>,134</w:t>
                  </w:r>
                </w:p>
              </w:tc>
            </w:tr>
            <w:tr w:rsidR="00CE06C7"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BOA_SIZE</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-,023</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,012</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-,178</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-1,927</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,056</w:t>
                  </w:r>
                </w:p>
              </w:tc>
              <w:tc>
                <w:tcPr>
                  <w:tcW w:w="1013" w:type="dxa"/>
                  <w:tcBorders>
                    <w:top w:val="nil"/>
                    <w:bottom w:val="nil"/>
                    <w:right w:val="single" w:sz="16" w:space="0" w:color="000000"/>
                  </w:tcBorders>
                  <w:shd w:val="clear" w:color="auto" w:fill="FFFFFF"/>
                </w:tcPr>
                <w:p w:rsidR="00CE06C7" w:rsidRPr="000B3455" w:rsidRDefault="00CE06C7" w:rsidP="00F97730">
                  <w:pPr>
                    <w:autoSpaceDE w:val="0"/>
                    <w:autoSpaceDN w:val="0"/>
                    <w:adjustRightInd w:val="0"/>
                    <w:spacing w:after="0" w:line="320" w:lineRule="atLeast"/>
                    <w:ind w:left="60" w:right="60"/>
                    <w:rPr>
                      <w:rFonts w:cs="Arial"/>
                    </w:rPr>
                  </w:pPr>
                  <w:r w:rsidRPr="000B3455">
                    <w:rPr>
                      <w:rFonts w:cs="Arial"/>
                    </w:rPr>
                    <w:t>,028</w:t>
                  </w:r>
                  <w:r w:rsidR="00F97730">
                    <w:rPr>
                      <w:rFonts w:cs="Arial"/>
                    </w:rPr>
                    <w:t>**</w:t>
                  </w:r>
                </w:p>
              </w:tc>
            </w:tr>
            <w:tr w:rsidR="00CE06C7"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LIQ_CON</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,237</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,178</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,119</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1,331</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,185</w:t>
                  </w:r>
                </w:p>
              </w:tc>
              <w:tc>
                <w:tcPr>
                  <w:tcW w:w="1013" w:type="dxa"/>
                  <w:tcBorders>
                    <w:top w:val="nil"/>
                    <w:bottom w:val="nil"/>
                    <w:right w:val="single" w:sz="16" w:space="0" w:color="000000"/>
                  </w:tcBorders>
                  <w:shd w:val="clear" w:color="auto" w:fill="FFFFFF"/>
                </w:tcPr>
                <w:p w:rsidR="00CE06C7" w:rsidRPr="000B3455" w:rsidRDefault="00CE06C7" w:rsidP="00F97730">
                  <w:pPr>
                    <w:autoSpaceDE w:val="0"/>
                    <w:autoSpaceDN w:val="0"/>
                    <w:adjustRightInd w:val="0"/>
                    <w:spacing w:after="0" w:line="320" w:lineRule="atLeast"/>
                    <w:ind w:left="60" w:right="60"/>
                    <w:rPr>
                      <w:rFonts w:cs="Arial"/>
                    </w:rPr>
                  </w:pPr>
                  <w:r w:rsidRPr="000B3455">
                    <w:rPr>
                      <w:rFonts w:cs="Arial"/>
                    </w:rPr>
                    <w:t>,093</w:t>
                  </w:r>
                  <w:r w:rsidR="00F97730">
                    <w:rPr>
                      <w:rFonts w:cs="Arial"/>
                    </w:rPr>
                    <w:t>*</w:t>
                  </w:r>
                </w:p>
              </w:tc>
            </w:tr>
            <w:tr w:rsidR="00CE06C7"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IND_D_MINING</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,132</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,076</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,135</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1,738</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,084</w:t>
                  </w:r>
                </w:p>
              </w:tc>
              <w:tc>
                <w:tcPr>
                  <w:tcW w:w="1013" w:type="dxa"/>
                  <w:tcBorders>
                    <w:top w:val="nil"/>
                    <w:bottom w:val="nil"/>
                    <w:right w:val="single" w:sz="16" w:space="0" w:color="000000"/>
                  </w:tcBorders>
                  <w:shd w:val="clear" w:color="auto" w:fill="FFFFFF"/>
                </w:tcPr>
                <w:p w:rsidR="00CE06C7" w:rsidRPr="000B3455" w:rsidRDefault="00CE06C7" w:rsidP="00F97730">
                  <w:pPr>
                    <w:autoSpaceDE w:val="0"/>
                    <w:autoSpaceDN w:val="0"/>
                    <w:adjustRightInd w:val="0"/>
                    <w:spacing w:after="0" w:line="320" w:lineRule="atLeast"/>
                    <w:ind w:left="60" w:right="60"/>
                    <w:rPr>
                      <w:rFonts w:cs="Arial"/>
                      <w:color w:val="000000"/>
                    </w:rPr>
                  </w:pPr>
                  <w:r w:rsidRPr="000B3455">
                    <w:rPr>
                      <w:rFonts w:cs="Arial"/>
                      <w:color w:val="000000"/>
                    </w:rPr>
                    <w:t>,042</w:t>
                  </w:r>
                  <w:r w:rsidR="00F97730">
                    <w:rPr>
                      <w:rFonts w:cs="Arial"/>
                      <w:color w:val="000000"/>
                    </w:rPr>
                    <w:t>**</w:t>
                  </w:r>
                </w:p>
              </w:tc>
            </w:tr>
            <w:tr w:rsidR="00CE06C7"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IND_D_CONSTR</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-,106</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,067</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-,109</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-1,592</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,113</w:t>
                  </w:r>
                </w:p>
              </w:tc>
              <w:tc>
                <w:tcPr>
                  <w:tcW w:w="1013" w:type="dxa"/>
                  <w:tcBorders>
                    <w:top w:val="nil"/>
                    <w:bottom w:val="nil"/>
                    <w:right w:val="single" w:sz="16" w:space="0" w:color="000000"/>
                  </w:tcBorders>
                  <w:shd w:val="clear" w:color="auto" w:fill="FFFFFF"/>
                </w:tcPr>
                <w:p w:rsidR="00CE06C7" w:rsidRPr="000B3455" w:rsidRDefault="00CE06C7" w:rsidP="00F97730">
                  <w:pPr>
                    <w:autoSpaceDE w:val="0"/>
                    <w:autoSpaceDN w:val="0"/>
                    <w:adjustRightInd w:val="0"/>
                    <w:spacing w:after="0" w:line="320" w:lineRule="atLeast"/>
                    <w:ind w:left="60" w:right="60"/>
                    <w:rPr>
                      <w:rFonts w:cs="Arial"/>
                      <w:color w:val="000000"/>
                    </w:rPr>
                  </w:pPr>
                  <w:r w:rsidRPr="000B3455">
                    <w:rPr>
                      <w:rFonts w:cs="Arial"/>
                      <w:color w:val="000000"/>
                    </w:rPr>
                    <w:t>,057</w:t>
                  </w:r>
                  <w:r w:rsidR="00F97730">
                    <w:rPr>
                      <w:rFonts w:cs="Arial"/>
                      <w:color w:val="000000"/>
                    </w:rPr>
                    <w:t>*</w:t>
                  </w:r>
                </w:p>
              </w:tc>
            </w:tr>
            <w:tr w:rsidR="00CE06C7"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IND_D_TRANS_COMM_ELE_GAS_SAN_SERV</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-,100</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,051</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-,143</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-1,968</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,051</w:t>
                  </w:r>
                </w:p>
              </w:tc>
              <w:tc>
                <w:tcPr>
                  <w:tcW w:w="1013" w:type="dxa"/>
                  <w:tcBorders>
                    <w:top w:val="nil"/>
                    <w:bottom w:val="nil"/>
                    <w:right w:val="single" w:sz="16" w:space="0" w:color="000000"/>
                  </w:tcBorders>
                  <w:shd w:val="clear" w:color="auto" w:fill="FFFFFF"/>
                </w:tcPr>
                <w:p w:rsidR="00CE06C7" w:rsidRPr="000B3455" w:rsidRDefault="00CE06C7" w:rsidP="00F97730">
                  <w:pPr>
                    <w:autoSpaceDE w:val="0"/>
                    <w:autoSpaceDN w:val="0"/>
                    <w:adjustRightInd w:val="0"/>
                    <w:spacing w:after="0" w:line="320" w:lineRule="atLeast"/>
                    <w:ind w:left="60" w:right="60"/>
                    <w:rPr>
                      <w:rFonts w:cs="Arial"/>
                      <w:color w:val="000000"/>
                    </w:rPr>
                  </w:pPr>
                  <w:r w:rsidRPr="000B3455">
                    <w:rPr>
                      <w:rFonts w:cs="Arial"/>
                      <w:color w:val="000000"/>
                    </w:rPr>
                    <w:t>,026</w:t>
                  </w:r>
                  <w:r w:rsidR="00F97730">
                    <w:rPr>
                      <w:rFonts w:cs="Arial"/>
                      <w:color w:val="000000"/>
                    </w:rPr>
                    <w:t>**</w:t>
                  </w:r>
                </w:p>
              </w:tc>
            </w:tr>
            <w:tr w:rsidR="00CE06C7"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IND_D_WHOLESALE</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,041</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,045</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,071</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,930</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,354</w:t>
                  </w:r>
                </w:p>
              </w:tc>
              <w:tc>
                <w:tcPr>
                  <w:tcW w:w="1013" w:type="dxa"/>
                  <w:tcBorders>
                    <w:top w:val="nil"/>
                    <w:bottom w:val="nil"/>
                    <w:right w:val="single" w:sz="16" w:space="0" w:color="000000"/>
                  </w:tcBorders>
                  <w:shd w:val="clear" w:color="auto" w:fill="FFFFFF"/>
                </w:tcPr>
                <w:p w:rsidR="00CE06C7" w:rsidRPr="000B3455" w:rsidRDefault="00CE06C7" w:rsidP="00F97730">
                  <w:pPr>
                    <w:autoSpaceDE w:val="0"/>
                    <w:autoSpaceDN w:val="0"/>
                    <w:adjustRightInd w:val="0"/>
                    <w:spacing w:after="0" w:line="320" w:lineRule="atLeast"/>
                    <w:ind w:left="60" w:right="60"/>
                    <w:rPr>
                      <w:rFonts w:cs="Arial"/>
                      <w:color w:val="000000"/>
                    </w:rPr>
                  </w:pPr>
                  <w:r w:rsidRPr="000B3455">
                    <w:rPr>
                      <w:rFonts w:cs="Arial"/>
                      <w:color w:val="000000"/>
                    </w:rPr>
                    <w:t>,177</w:t>
                  </w:r>
                </w:p>
              </w:tc>
            </w:tr>
            <w:tr w:rsidR="00CE06C7"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IND_D_RETAIL</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-,100</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,069</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-,103</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-1,442</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,151</w:t>
                  </w:r>
                </w:p>
              </w:tc>
              <w:tc>
                <w:tcPr>
                  <w:tcW w:w="1013" w:type="dxa"/>
                  <w:tcBorders>
                    <w:top w:val="nil"/>
                    <w:bottom w:val="nil"/>
                    <w:right w:val="single" w:sz="16" w:space="0" w:color="000000"/>
                  </w:tcBorders>
                  <w:shd w:val="clear" w:color="auto" w:fill="FFFFFF"/>
                </w:tcPr>
                <w:p w:rsidR="00CE06C7" w:rsidRPr="000B3455" w:rsidRDefault="00CE06C7" w:rsidP="00F97730">
                  <w:pPr>
                    <w:autoSpaceDE w:val="0"/>
                    <w:autoSpaceDN w:val="0"/>
                    <w:adjustRightInd w:val="0"/>
                    <w:spacing w:after="0" w:line="320" w:lineRule="atLeast"/>
                    <w:ind w:left="60" w:right="60"/>
                    <w:rPr>
                      <w:rFonts w:cs="Arial"/>
                      <w:color w:val="000000"/>
                    </w:rPr>
                  </w:pPr>
                  <w:r w:rsidRPr="000B3455">
                    <w:rPr>
                      <w:rFonts w:cs="Arial"/>
                      <w:color w:val="000000"/>
                    </w:rPr>
                    <w:t>,076</w:t>
                  </w:r>
                  <w:r w:rsidR="00F97730">
                    <w:rPr>
                      <w:rFonts w:cs="Arial"/>
                      <w:color w:val="000000"/>
                    </w:rPr>
                    <w:t>*</w:t>
                  </w:r>
                </w:p>
              </w:tc>
            </w:tr>
            <w:tr w:rsidR="00CE06C7"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IND_D_FIN_INS_REAL_EST</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-,158</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,044</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-,291</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-3,561</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,000</w:t>
                  </w:r>
                </w:p>
              </w:tc>
              <w:tc>
                <w:tcPr>
                  <w:tcW w:w="1013" w:type="dxa"/>
                  <w:tcBorders>
                    <w:top w:val="nil"/>
                    <w:bottom w:val="nil"/>
                    <w:right w:val="single" w:sz="16" w:space="0" w:color="000000"/>
                  </w:tcBorders>
                  <w:shd w:val="clear" w:color="auto" w:fill="FFFFFF"/>
                </w:tcPr>
                <w:p w:rsidR="00CE06C7" w:rsidRPr="000B3455" w:rsidRDefault="00CE06C7" w:rsidP="00F97730">
                  <w:pPr>
                    <w:autoSpaceDE w:val="0"/>
                    <w:autoSpaceDN w:val="0"/>
                    <w:adjustRightInd w:val="0"/>
                    <w:spacing w:after="0" w:line="320" w:lineRule="atLeast"/>
                    <w:ind w:left="60" w:right="60"/>
                    <w:rPr>
                      <w:rFonts w:cs="Arial"/>
                      <w:color w:val="000000"/>
                    </w:rPr>
                  </w:pPr>
                  <w:r w:rsidRPr="000B3455">
                    <w:rPr>
                      <w:rFonts w:cs="Arial"/>
                      <w:color w:val="000000"/>
                    </w:rPr>
                    <w:t>,000</w:t>
                  </w:r>
                  <w:r w:rsidR="00F97730">
                    <w:rPr>
                      <w:rFonts w:cs="Arial"/>
                      <w:color w:val="000000"/>
                    </w:rPr>
                    <w:t>***</w:t>
                  </w:r>
                </w:p>
              </w:tc>
            </w:tr>
            <w:tr w:rsidR="00CE06C7" w:rsidRPr="000B3455" w:rsidTr="00F97730">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Arial"/>
                      <w:color w:val="000000"/>
                    </w:rPr>
                  </w:pPr>
                </w:p>
              </w:tc>
              <w:tc>
                <w:tcPr>
                  <w:tcW w:w="2433" w:type="dxa"/>
                  <w:tcBorders>
                    <w:top w:val="nil"/>
                    <w:left w:val="nil"/>
                    <w:bottom w:val="single" w:sz="16" w:space="0" w:color="000000"/>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IND_D_SERVICES</w:t>
                  </w:r>
                </w:p>
              </w:tc>
              <w:tc>
                <w:tcPr>
                  <w:tcW w:w="1327" w:type="dxa"/>
                  <w:tcBorders>
                    <w:top w:val="nil"/>
                    <w:left w:val="single" w:sz="16" w:space="0" w:color="000000"/>
                    <w:bottom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-,068</w:t>
                  </w:r>
                </w:p>
              </w:tc>
              <w:tc>
                <w:tcPr>
                  <w:tcW w:w="1325" w:type="dxa"/>
                  <w:tcBorders>
                    <w:top w:val="nil"/>
                    <w:bottom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,040</w:t>
                  </w:r>
                </w:p>
              </w:tc>
              <w:tc>
                <w:tcPr>
                  <w:tcW w:w="1459" w:type="dxa"/>
                  <w:tcBorders>
                    <w:top w:val="nil"/>
                    <w:bottom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-,153</w:t>
                  </w:r>
                </w:p>
              </w:tc>
              <w:tc>
                <w:tcPr>
                  <w:tcW w:w="1013" w:type="dxa"/>
                  <w:tcBorders>
                    <w:top w:val="nil"/>
                    <w:bottom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-1,697</w:t>
                  </w:r>
                </w:p>
              </w:tc>
              <w:tc>
                <w:tcPr>
                  <w:tcW w:w="1013" w:type="dxa"/>
                  <w:tcBorders>
                    <w:top w:val="nil"/>
                    <w:bottom w:val="single" w:sz="16" w:space="0" w:color="000000"/>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,092</w:t>
                  </w:r>
                </w:p>
              </w:tc>
              <w:tc>
                <w:tcPr>
                  <w:tcW w:w="1013" w:type="dxa"/>
                  <w:tcBorders>
                    <w:top w:val="nil"/>
                    <w:bottom w:val="single" w:sz="16" w:space="0" w:color="000000"/>
                    <w:right w:val="single" w:sz="16" w:space="0" w:color="000000"/>
                  </w:tcBorders>
                  <w:shd w:val="clear" w:color="auto" w:fill="FFFFFF"/>
                </w:tcPr>
                <w:p w:rsidR="00CE06C7" w:rsidRPr="000B3455" w:rsidRDefault="00CE06C7" w:rsidP="00F97730">
                  <w:pPr>
                    <w:autoSpaceDE w:val="0"/>
                    <w:autoSpaceDN w:val="0"/>
                    <w:adjustRightInd w:val="0"/>
                    <w:spacing w:after="0" w:line="320" w:lineRule="atLeast"/>
                    <w:ind w:left="60" w:right="60"/>
                    <w:rPr>
                      <w:rFonts w:cs="Arial"/>
                      <w:color w:val="FF0000"/>
                    </w:rPr>
                  </w:pPr>
                  <w:r w:rsidRPr="000B3455">
                    <w:rPr>
                      <w:rFonts w:cs="Arial"/>
                      <w:color w:val="000000"/>
                    </w:rPr>
                    <w:t>,046</w:t>
                  </w:r>
                  <w:r w:rsidR="00F97730">
                    <w:rPr>
                      <w:rFonts w:cs="Arial"/>
                      <w:color w:val="000000"/>
                    </w:rPr>
                    <w:t>**</w:t>
                  </w:r>
                </w:p>
              </w:tc>
            </w:tr>
            <w:tr w:rsidR="00CE06C7" w:rsidRPr="000B3455" w:rsidTr="00AB4FD8">
              <w:trPr>
                <w:cantSplit/>
              </w:trPr>
              <w:tc>
                <w:tcPr>
                  <w:tcW w:w="9300" w:type="dxa"/>
                  <w:gridSpan w:val="7"/>
                  <w:tcBorders>
                    <w:top w:val="nil"/>
                    <w:left w:val="nil"/>
                    <w:bottom w:val="nil"/>
                    <w:right w:val="nil"/>
                  </w:tcBorders>
                  <w:shd w:val="clear" w:color="auto" w:fill="FFFFFF"/>
                </w:tcPr>
                <w:p w:rsidR="00F97730" w:rsidRDefault="00F97730" w:rsidP="00AB4FD8">
                  <w:pPr>
                    <w:autoSpaceDE w:val="0"/>
                    <w:autoSpaceDN w:val="0"/>
                    <w:adjustRightInd w:val="0"/>
                    <w:spacing w:after="0" w:line="320" w:lineRule="atLeast"/>
                    <w:ind w:left="60" w:right="60"/>
                    <w:rPr>
                      <w:rFonts w:cs="Arial"/>
                      <w:color w:val="000000"/>
                    </w:rPr>
                  </w:pPr>
                  <w:r w:rsidRPr="00F97730">
                    <w:rPr>
                      <w:i/>
                    </w:rPr>
                    <w:t>*,**,*** significant at the 0.1, 0.05 and 0.01 levels (</w:t>
                  </w:r>
                  <w:r>
                    <w:rPr>
                      <w:i/>
                    </w:rPr>
                    <w:t>one</w:t>
                  </w:r>
                  <w:r w:rsidRPr="00F97730">
                    <w:rPr>
                      <w:i/>
                    </w:rPr>
                    <w:t>-tailed).</w:t>
                  </w:r>
                </w:p>
                <w:p w:rsidR="00C83CEF" w:rsidRPr="000B3455" w:rsidRDefault="00CE06C7" w:rsidP="00735F79">
                  <w:pPr>
                    <w:autoSpaceDE w:val="0"/>
                    <w:autoSpaceDN w:val="0"/>
                    <w:adjustRightInd w:val="0"/>
                    <w:spacing w:after="0" w:line="320" w:lineRule="atLeast"/>
                    <w:ind w:left="60" w:right="60"/>
                    <w:rPr>
                      <w:rFonts w:cs="Arial"/>
                      <w:color w:val="000000"/>
                    </w:rPr>
                  </w:pPr>
                  <w:r w:rsidRPr="000B3455">
                    <w:rPr>
                      <w:rFonts w:cs="Arial"/>
                      <w:color w:val="000000"/>
                    </w:rPr>
                    <w:t>a. Dependent Variable: PR_FV_SHA_EXCL_MCL_COM</w:t>
                  </w:r>
                </w:p>
              </w:tc>
              <w:tc>
                <w:tcPr>
                  <w:tcW w:w="1013" w:type="dxa"/>
                  <w:tcBorders>
                    <w:top w:val="nil"/>
                    <w:left w:val="nil"/>
                    <w:bottom w:val="nil"/>
                    <w:right w:val="nil"/>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p>
              </w:tc>
            </w:tr>
          </w:tbl>
          <w:p w:rsidR="00CE06C7" w:rsidRPr="000B3455" w:rsidRDefault="00CE06C7" w:rsidP="00AB4FD8">
            <w:pPr>
              <w:autoSpaceDE w:val="0"/>
              <w:autoSpaceDN w:val="0"/>
              <w:adjustRightInd w:val="0"/>
              <w:spacing w:after="0" w:line="320" w:lineRule="atLeast"/>
              <w:ind w:left="60" w:right="60"/>
              <w:jc w:val="center"/>
              <w:rPr>
                <w:rFonts w:cs="Arial"/>
                <w:color w:val="000000"/>
              </w:rPr>
            </w:pPr>
          </w:p>
        </w:tc>
        <w:tc>
          <w:tcPr>
            <w:tcW w:w="40" w:type="dxa"/>
            <w:tcBorders>
              <w:top w:val="nil"/>
              <w:left w:val="nil"/>
              <w:bottom w:val="nil"/>
              <w:right w:val="nil"/>
            </w:tcBorders>
            <w:shd w:val="clear" w:color="auto" w:fill="FFFFFF"/>
          </w:tcPr>
          <w:p w:rsidR="00CE06C7" w:rsidRPr="000B3455" w:rsidRDefault="00CE06C7" w:rsidP="00AB4FD8">
            <w:pPr>
              <w:autoSpaceDE w:val="0"/>
              <w:autoSpaceDN w:val="0"/>
              <w:adjustRightInd w:val="0"/>
              <w:spacing w:after="0" w:line="240" w:lineRule="auto"/>
              <w:ind w:left="-2694" w:right="-912" w:firstLine="1914"/>
              <w:rPr>
                <w:rFonts w:cs="Times New Roman"/>
              </w:rPr>
            </w:pPr>
          </w:p>
        </w:tc>
      </w:tr>
    </w:tbl>
    <w:p w:rsidR="00C83CEF" w:rsidRDefault="00C83CEF" w:rsidP="00C83CEF">
      <w:pPr>
        <w:pStyle w:val="Caption"/>
        <w:rPr>
          <w:color w:val="auto"/>
        </w:rPr>
      </w:pPr>
      <w:bookmarkStart w:id="132" w:name="_Ref298857249"/>
      <w:r>
        <w:t xml:space="preserve">Table </w:t>
      </w:r>
      <w:fldSimple w:instr=" SEQ Table \* ARABIC ">
        <w:r w:rsidR="001D5F9A">
          <w:rPr>
            <w:noProof/>
          </w:rPr>
          <w:t>11</w:t>
        </w:r>
      </w:fldSimple>
      <w:bookmarkEnd w:id="132"/>
      <w:r>
        <w:t xml:space="preserve">: </w:t>
      </w:r>
      <w:r w:rsidRPr="00C83CEF">
        <w:rPr>
          <w:color w:val="auto"/>
        </w:rPr>
        <w:t>SPSS model parameters</w:t>
      </w:r>
    </w:p>
    <w:p w:rsidR="00C83CEF" w:rsidRPr="00C83CEF" w:rsidRDefault="00B92B41" w:rsidP="00C83CEF">
      <w:r>
        <w:br w:type="page"/>
      </w:r>
    </w:p>
    <w:tbl>
      <w:tblPr>
        <w:tblW w:w="5291"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8"/>
        <w:gridCol w:w="2426"/>
        <w:gridCol w:w="1124"/>
        <w:gridCol w:w="1013"/>
      </w:tblGrid>
      <w:tr w:rsidR="003B3B5F" w:rsidRPr="000B3455" w:rsidTr="003B3B5F">
        <w:trPr>
          <w:cantSplit/>
          <w:tblHeader/>
        </w:trPr>
        <w:tc>
          <w:tcPr>
            <w:tcW w:w="3154"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lastRenderedPageBreak/>
              <w:t>Model</w:t>
            </w:r>
          </w:p>
        </w:tc>
        <w:tc>
          <w:tcPr>
            <w:tcW w:w="2137" w:type="dxa"/>
            <w:gridSpan w:val="2"/>
            <w:tcBorders>
              <w:top w:val="single" w:sz="16" w:space="0" w:color="000000"/>
              <w:right w:val="single" w:sz="16" w:space="0" w:color="000000"/>
            </w:tcBorders>
            <w:shd w:val="clear" w:color="auto" w:fill="FFFFFF"/>
            <w:vAlign w:val="bottom"/>
          </w:tcPr>
          <w:p w:rsidR="003B3B5F" w:rsidRPr="000B3455" w:rsidRDefault="003B3B5F" w:rsidP="00812CEE">
            <w:pPr>
              <w:autoSpaceDE w:val="0"/>
              <w:autoSpaceDN w:val="0"/>
              <w:adjustRightInd w:val="0"/>
              <w:spacing w:after="0" w:line="320" w:lineRule="atLeast"/>
              <w:ind w:left="60" w:right="60"/>
              <w:jc w:val="center"/>
              <w:rPr>
                <w:rFonts w:cs="Arial"/>
                <w:color w:val="000000"/>
              </w:rPr>
            </w:pPr>
            <w:r w:rsidRPr="000B3455">
              <w:rPr>
                <w:rFonts w:cs="Arial"/>
                <w:color w:val="000000"/>
              </w:rPr>
              <w:t>Collinearity Statistics</w:t>
            </w:r>
          </w:p>
        </w:tc>
      </w:tr>
      <w:tr w:rsidR="003B3B5F" w:rsidRPr="000B3455" w:rsidTr="003B3B5F">
        <w:trPr>
          <w:cantSplit/>
          <w:tblHeader/>
        </w:trPr>
        <w:tc>
          <w:tcPr>
            <w:tcW w:w="3154" w:type="dxa"/>
            <w:gridSpan w:val="2"/>
            <w:vMerge/>
            <w:tcBorders>
              <w:top w:val="single" w:sz="16" w:space="0" w:color="000000"/>
              <w:left w:val="single" w:sz="16" w:space="0" w:color="000000"/>
              <w:bottom w:val="single" w:sz="16" w:space="0" w:color="000000"/>
              <w:right w:val="single" w:sz="16" w:space="0" w:color="000000"/>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1124" w:type="dxa"/>
            <w:tcBorders>
              <w:bottom w:val="single" w:sz="16" w:space="0" w:color="000000"/>
            </w:tcBorders>
            <w:shd w:val="clear" w:color="auto" w:fill="FFFFFF"/>
            <w:vAlign w:val="bottom"/>
          </w:tcPr>
          <w:p w:rsidR="003B3B5F" w:rsidRPr="000B3455" w:rsidRDefault="003B3B5F" w:rsidP="00812CEE">
            <w:pPr>
              <w:autoSpaceDE w:val="0"/>
              <w:autoSpaceDN w:val="0"/>
              <w:adjustRightInd w:val="0"/>
              <w:spacing w:after="0" w:line="320" w:lineRule="atLeast"/>
              <w:ind w:left="60" w:right="60"/>
              <w:jc w:val="center"/>
              <w:rPr>
                <w:rFonts w:cs="Arial"/>
                <w:color w:val="000000"/>
              </w:rPr>
            </w:pPr>
            <w:r w:rsidRPr="000B3455">
              <w:rPr>
                <w:rFonts w:cs="Arial"/>
                <w:color w:val="000000"/>
              </w:rPr>
              <w:t>Tolerance</w:t>
            </w:r>
          </w:p>
        </w:tc>
        <w:tc>
          <w:tcPr>
            <w:tcW w:w="1013" w:type="dxa"/>
            <w:tcBorders>
              <w:bottom w:val="single" w:sz="16" w:space="0" w:color="000000"/>
              <w:right w:val="single" w:sz="16" w:space="0" w:color="000000"/>
            </w:tcBorders>
            <w:shd w:val="clear" w:color="auto" w:fill="FFFFFF"/>
            <w:vAlign w:val="bottom"/>
          </w:tcPr>
          <w:p w:rsidR="003B3B5F" w:rsidRPr="000B3455" w:rsidRDefault="003B3B5F" w:rsidP="00812CEE">
            <w:pPr>
              <w:autoSpaceDE w:val="0"/>
              <w:autoSpaceDN w:val="0"/>
              <w:adjustRightInd w:val="0"/>
              <w:spacing w:after="0" w:line="320" w:lineRule="atLeast"/>
              <w:ind w:left="60" w:right="60"/>
              <w:jc w:val="center"/>
              <w:rPr>
                <w:rFonts w:cs="Arial"/>
                <w:color w:val="000000"/>
              </w:rPr>
            </w:pPr>
            <w:r w:rsidRPr="000B3455">
              <w:rPr>
                <w:rFonts w:cs="Arial"/>
                <w:color w:val="000000"/>
              </w:rPr>
              <w:t>VIF</w:t>
            </w:r>
          </w:p>
        </w:tc>
      </w:tr>
      <w:tr w:rsidR="003B3B5F" w:rsidRPr="000B3455" w:rsidTr="003B3B5F">
        <w:trPr>
          <w:cantSplit/>
          <w:tblHeader/>
        </w:trPr>
        <w:tc>
          <w:tcPr>
            <w:tcW w:w="728" w:type="dxa"/>
            <w:vMerge w:val="restart"/>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1</w:t>
            </w:r>
          </w:p>
        </w:tc>
        <w:tc>
          <w:tcPr>
            <w:tcW w:w="2426" w:type="dxa"/>
            <w:tcBorders>
              <w:top w:val="single" w:sz="16" w:space="0" w:color="000000"/>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(Constant)</w:t>
            </w:r>
          </w:p>
        </w:tc>
        <w:tc>
          <w:tcPr>
            <w:tcW w:w="1124" w:type="dxa"/>
            <w:tcBorders>
              <w:top w:val="single" w:sz="16" w:space="0" w:color="000000"/>
              <w:bottom w:val="nil"/>
            </w:tcBorders>
            <w:shd w:val="clear" w:color="auto" w:fill="FFFFFF"/>
            <w:vAlign w:val="center"/>
          </w:tcPr>
          <w:p w:rsidR="003B3B5F" w:rsidRPr="000B3455" w:rsidRDefault="003B3B5F" w:rsidP="00812CEE">
            <w:pPr>
              <w:autoSpaceDE w:val="0"/>
              <w:autoSpaceDN w:val="0"/>
              <w:adjustRightInd w:val="0"/>
              <w:spacing w:after="0" w:line="240" w:lineRule="auto"/>
              <w:jc w:val="center"/>
              <w:rPr>
                <w:rFonts w:cs="Times New Roman"/>
              </w:rPr>
            </w:pPr>
          </w:p>
        </w:tc>
        <w:tc>
          <w:tcPr>
            <w:tcW w:w="1013" w:type="dxa"/>
            <w:tcBorders>
              <w:top w:val="single" w:sz="16" w:space="0" w:color="000000"/>
              <w:bottom w:val="nil"/>
              <w:right w:val="single" w:sz="16" w:space="0" w:color="000000"/>
            </w:tcBorders>
            <w:shd w:val="clear" w:color="auto" w:fill="FFFFFF"/>
            <w:vAlign w:val="center"/>
          </w:tcPr>
          <w:p w:rsidR="003B3B5F" w:rsidRPr="000B3455" w:rsidRDefault="003B3B5F" w:rsidP="00812CEE">
            <w:pPr>
              <w:autoSpaceDE w:val="0"/>
              <w:autoSpaceDN w:val="0"/>
              <w:adjustRightInd w:val="0"/>
              <w:spacing w:after="0" w:line="240" w:lineRule="auto"/>
              <w:jc w:val="center"/>
              <w:rPr>
                <w:rFonts w:cs="Times New Roman"/>
              </w:rPr>
            </w:pP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Times New Roman"/>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D_2003</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,472</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2,117</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D_2004</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,488</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2,051</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D_2005</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,413</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2,423</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D_2006</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,437</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2,287</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D_2007</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,546</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1,831</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LN_ASSETS</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,334</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2,992</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MTB</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,574</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1,743</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RET</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,519</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1,927</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VOL</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,603</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1,659</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BOA_SIZE</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,492</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2,035</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LIQ_CON</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,529</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1,889</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IND_D_MINING</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,694</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1,442</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IND_D_CONSTR</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,894</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1,119</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IND_D_TRANS_COMM_ELE_GAS_SAN_SERV</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,800</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1,250</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IND_D_WHOLESALE</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,721</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1,387</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IND_D_RETAIL</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,824</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1,213</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IND_D_FIN_INS_REAL_EST</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,633</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1,581</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single" w:sz="16" w:space="0" w:color="000000"/>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IND_D_SERVICES</w:t>
            </w:r>
          </w:p>
        </w:tc>
        <w:tc>
          <w:tcPr>
            <w:tcW w:w="1124" w:type="dxa"/>
            <w:tcBorders>
              <w:top w:val="nil"/>
              <w:bottom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,518</w:t>
            </w:r>
          </w:p>
        </w:tc>
        <w:tc>
          <w:tcPr>
            <w:tcW w:w="1013" w:type="dxa"/>
            <w:tcBorders>
              <w:top w:val="nil"/>
              <w:bottom w:val="single" w:sz="16" w:space="0" w:color="000000"/>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1,930</w:t>
            </w:r>
          </w:p>
        </w:tc>
      </w:tr>
    </w:tbl>
    <w:p w:rsidR="00C83CEF" w:rsidRPr="000B3455" w:rsidRDefault="00C83CEF" w:rsidP="00C83CEF">
      <w:pPr>
        <w:pStyle w:val="Caption"/>
      </w:pPr>
      <w:bookmarkStart w:id="133" w:name="_Ref298857322"/>
      <w:r>
        <w:t xml:space="preserve">Table </w:t>
      </w:r>
      <w:fldSimple w:instr=" SEQ Table \* ARABIC ">
        <w:r w:rsidR="001D5F9A">
          <w:rPr>
            <w:noProof/>
          </w:rPr>
          <w:t>12</w:t>
        </w:r>
      </w:fldSimple>
      <w:bookmarkEnd w:id="133"/>
      <w:r>
        <w:t xml:space="preserve">: </w:t>
      </w:r>
      <w:r w:rsidRPr="00C83CEF">
        <w:rPr>
          <w:color w:val="auto"/>
        </w:rPr>
        <w:t>Collinearity diagnostics for hypothesis 2</w:t>
      </w:r>
    </w:p>
    <w:p w:rsidR="00681954" w:rsidRPr="000B3455" w:rsidRDefault="00681954">
      <w:pPr>
        <w:rPr>
          <w:b/>
        </w:rPr>
      </w:pPr>
      <w:r w:rsidRPr="000B3455">
        <w:rPr>
          <w:b/>
        </w:rPr>
        <w:br w:type="page"/>
      </w:r>
    </w:p>
    <w:p w:rsidR="003D5369" w:rsidRDefault="00681954" w:rsidP="00ED7148">
      <w:pPr>
        <w:pStyle w:val="AppendicesThesis"/>
      </w:pPr>
      <w:bookmarkStart w:id="134" w:name="IX"/>
      <w:bookmarkStart w:id="135" w:name="_Toc298944617"/>
      <w:r w:rsidRPr="000B3455">
        <w:lastRenderedPageBreak/>
        <w:t xml:space="preserve">Appendix </w:t>
      </w:r>
      <w:r w:rsidR="00C97617" w:rsidRPr="000B3455">
        <w:t>IX</w:t>
      </w:r>
      <w:bookmarkEnd w:id="134"/>
      <w:r w:rsidRPr="000B3455">
        <w:t xml:space="preserve">: Descriptive </w:t>
      </w:r>
      <w:r w:rsidR="00E64A6D">
        <w:t>s</w:t>
      </w:r>
      <w:r w:rsidR="00E64A6D" w:rsidRPr="000B3455">
        <w:t xml:space="preserve">tatistics </w:t>
      </w:r>
      <w:r w:rsidRPr="000B3455">
        <w:t xml:space="preserve">on </w:t>
      </w:r>
      <w:r w:rsidR="00E64A6D">
        <w:t>s</w:t>
      </w:r>
      <w:r w:rsidR="00E64A6D" w:rsidRPr="000B3455">
        <w:t xml:space="preserve">ubstitution </w:t>
      </w:r>
      <w:r w:rsidR="00E64A6D">
        <w:t>t</w:t>
      </w:r>
      <w:r w:rsidR="00E64A6D" w:rsidRPr="000B3455">
        <w:t xml:space="preserve">est </w:t>
      </w:r>
      <w:r w:rsidR="00E64A6D">
        <w:t>h</w:t>
      </w:r>
      <w:r w:rsidR="00E64A6D" w:rsidRPr="000B3455">
        <w:t xml:space="preserve">ypothesis </w:t>
      </w:r>
      <w:r w:rsidRPr="000B3455">
        <w:t>2</w:t>
      </w:r>
      <w:bookmarkEnd w:id="135"/>
    </w:p>
    <w:p w:rsidR="00C83CEF" w:rsidRPr="000B3455" w:rsidRDefault="00C83CEF" w:rsidP="001D5F43">
      <w:pPr>
        <w:rPr>
          <w:b/>
        </w:rPr>
      </w:pPr>
    </w:p>
    <w:tbl>
      <w:tblPr>
        <w:tblW w:w="50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1424"/>
        <w:gridCol w:w="1456"/>
        <w:gridCol w:w="1454"/>
      </w:tblGrid>
      <w:tr w:rsidR="00787446" w:rsidRPr="000B3455" w:rsidTr="00787446">
        <w:trPr>
          <w:cantSplit/>
          <w:tblHeader/>
        </w:trPr>
        <w:tc>
          <w:tcPr>
            <w:tcW w:w="5061" w:type="dxa"/>
            <w:gridSpan w:val="4"/>
            <w:tcBorders>
              <w:top w:val="nil"/>
              <w:left w:val="nil"/>
              <w:bottom w:val="nil"/>
              <w:right w:val="nil"/>
            </w:tcBorders>
            <w:shd w:val="clear" w:color="auto" w:fill="FFFFFF"/>
            <w:vAlign w:val="center"/>
          </w:tcPr>
          <w:p w:rsidR="00787446" w:rsidRPr="000B3455" w:rsidRDefault="00787446" w:rsidP="00787446">
            <w:pPr>
              <w:autoSpaceDE w:val="0"/>
              <w:autoSpaceDN w:val="0"/>
              <w:adjustRightInd w:val="0"/>
              <w:spacing w:after="0" w:line="320" w:lineRule="atLeast"/>
              <w:ind w:left="60" w:right="60"/>
              <w:jc w:val="center"/>
              <w:rPr>
                <w:rFonts w:cs="Arial"/>
                <w:color w:val="000000"/>
              </w:rPr>
            </w:pPr>
            <w:r w:rsidRPr="000B3455">
              <w:rPr>
                <w:rFonts w:cs="Arial"/>
                <w:b/>
                <w:bCs/>
                <w:color w:val="000000"/>
              </w:rPr>
              <w:t>Statistics</w:t>
            </w:r>
          </w:p>
        </w:tc>
      </w:tr>
      <w:tr w:rsidR="00787446" w:rsidRPr="000B3455" w:rsidTr="00787446">
        <w:trPr>
          <w:cantSplit/>
          <w:tblHeader/>
        </w:trPr>
        <w:tc>
          <w:tcPr>
            <w:tcW w:w="2151"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787446" w:rsidRPr="000B3455" w:rsidRDefault="00787446" w:rsidP="00787446">
            <w:pPr>
              <w:autoSpaceDE w:val="0"/>
              <w:autoSpaceDN w:val="0"/>
              <w:adjustRightInd w:val="0"/>
              <w:spacing w:after="0" w:line="240" w:lineRule="auto"/>
              <w:jc w:val="center"/>
              <w:rPr>
                <w:rFonts w:cs="Times New Roman"/>
              </w:rPr>
            </w:pPr>
          </w:p>
        </w:tc>
        <w:tc>
          <w:tcPr>
            <w:tcW w:w="1456" w:type="dxa"/>
            <w:tcBorders>
              <w:top w:val="single" w:sz="16" w:space="0" w:color="000000"/>
              <w:left w:val="single" w:sz="16" w:space="0" w:color="000000"/>
              <w:bottom w:val="single" w:sz="16" w:space="0" w:color="000000"/>
            </w:tcBorders>
            <w:shd w:val="clear" w:color="auto" w:fill="FFFFFF"/>
            <w:vAlign w:val="bottom"/>
          </w:tcPr>
          <w:p w:rsidR="00787446" w:rsidRPr="000B3455" w:rsidRDefault="00787446" w:rsidP="00787446">
            <w:pPr>
              <w:autoSpaceDE w:val="0"/>
              <w:autoSpaceDN w:val="0"/>
              <w:adjustRightInd w:val="0"/>
              <w:spacing w:after="0" w:line="320" w:lineRule="atLeast"/>
              <w:ind w:left="60" w:right="60"/>
              <w:jc w:val="center"/>
              <w:rPr>
                <w:rFonts w:cs="Arial"/>
                <w:color w:val="000000"/>
              </w:rPr>
            </w:pPr>
            <w:r w:rsidRPr="000B3455">
              <w:rPr>
                <w:rFonts w:cs="Arial"/>
                <w:color w:val="000000"/>
              </w:rPr>
              <w:t>PR_FV_SHA_EXCL_MCL_COM</w:t>
            </w:r>
          </w:p>
        </w:tc>
        <w:tc>
          <w:tcPr>
            <w:tcW w:w="1454" w:type="dxa"/>
            <w:tcBorders>
              <w:top w:val="single" w:sz="16" w:space="0" w:color="000000"/>
              <w:bottom w:val="single" w:sz="16" w:space="0" w:color="000000"/>
              <w:right w:val="single" w:sz="16" w:space="0" w:color="000000"/>
            </w:tcBorders>
            <w:shd w:val="clear" w:color="auto" w:fill="FFFFFF"/>
            <w:vAlign w:val="bottom"/>
          </w:tcPr>
          <w:p w:rsidR="00787446" w:rsidRPr="000B3455" w:rsidRDefault="00787446" w:rsidP="00787446">
            <w:pPr>
              <w:autoSpaceDE w:val="0"/>
              <w:autoSpaceDN w:val="0"/>
              <w:adjustRightInd w:val="0"/>
              <w:spacing w:after="0" w:line="320" w:lineRule="atLeast"/>
              <w:ind w:left="60" w:right="60"/>
              <w:jc w:val="center"/>
              <w:rPr>
                <w:rFonts w:cs="Arial"/>
                <w:color w:val="000000"/>
              </w:rPr>
            </w:pPr>
            <w:r w:rsidRPr="000B3455">
              <w:rPr>
                <w:rFonts w:cs="Arial"/>
                <w:color w:val="000000"/>
              </w:rPr>
              <w:t>Delta_PR_FV_SHA_EXCL_MCL</w:t>
            </w:r>
          </w:p>
        </w:tc>
      </w:tr>
      <w:tr w:rsidR="00787446" w:rsidRPr="000B3455" w:rsidTr="00787446">
        <w:trPr>
          <w:cantSplit/>
          <w:tblHeader/>
        </w:trPr>
        <w:tc>
          <w:tcPr>
            <w:tcW w:w="727" w:type="dxa"/>
            <w:vMerge w:val="restart"/>
            <w:tcBorders>
              <w:top w:val="single" w:sz="16" w:space="0" w:color="000000"/>
              <w:left w:val="single" w:sz="16" w:space="0" w:color="000000"/>
              <w:bottom w:val="nil"/>
              <w:right w:val="nil"/>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N</w:t>
            </w:r>
          </w:p>
        </w:tc>
        <w:tc>
          <w:tcPr>
            <w:tcW w:w="1424" w:type="dxa"/>
            <w:tcBorders>
              <w:top w:val="single" w:sz="16" w:space="0" w:color="000000"/>
              <w:left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Valid</w:t>
            </w:r>
          </w:p>
        </w:tc>
        <w:tc>
          <w:tcPr>
            <w:tcW w:w="1456" w:type="dxa"/>
            <w:tcBorders>
              <w:top w:val="single" w:sz="16" w:space="0" w:color="000000"/>
              <w:left w:val="single" w:sz="16" w:space="0" w:color="000000"/>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145</w:t>
            </w:r>
          </w:p>
        </w:tc>
        <w:tc>
          <w:tcPr>
            <w:tcW w:w="1454" w:type="dxa"/>
            <w:tcBorders>
              <w:top w:val="single" w:sz="16" w:space="0" w:color="000000"/>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145</w:t>
            </w:r>
          </w:p>
        </w:tc>
      </w:tr>
      <w:tr w:rsidR="00787446" w:rsidRPr="000B3455" w:rsidTr="00787446">
        <w:trPr>
          <w:cantSplit/>
          <w:tblHeader/>
        </w:trPr>
        <w:tc>
          <w:tcPr>
            <w:tcW w:w="727" w:type="dxa"/>
            <w:vMerge/>
            <w:tcBorders>
              <w:top w:val="single" w:sz="16" w:space="0" w:color="000000"/>
              <w:left w:val="single" w:sz="16" w:space="0" w:color="000000"/>
              <w:bottom w:val="nil"/>
              <w:right w:val="nil"/>
            </w:tcBorders>
            <w:shd w:val="clear" w:color="auto" w:fill="FFFFFF"/>
          </w:tcPr>
          <w:p w:rsidR="00787446" w:rsidRPr="000B3455" w:rsidRDefault="00787446" w:rsidP="00787446">
            <w:pPr>
              <w:autoSpaceDE w:val="0"/>
              <w:autoSpaceDN w:val="0"/>
              <w:adjustRightInd w:val="0"/>
              <w:spacing w:after="0" w:line="240" w:lineRule="auto"/>
              <w:rPr>
                <w:rFonts w:cs="Arial"/>
                <w:color w:val="000000"/>
              </w:rPr>
            </w:pPr>
          </w:p>
        </w:tc>
        <w:tc>
          <w:tcPr>
            <w:tcW w:w="1424" w:type="dxa"/>
            <w:tcBorders>
              <w:top w:val="nil"/>
              <w:left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Missing</w:t>
            </w:r>
          </w:p>
        </w:tc>
        <w:tc>
          <w:tcPr>
            <w:tcW w:w="1456" w:type="dxa"/>
            <w:tcBorders>
              <w:top w:val="nil"/>
              <w:left w:val="single" w:sz="16" w:space="0" w:color="000000"/>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0</w:t>
            </w:r>
          </w:p>
        </w:tc>
        <w:tc>
          <w:tcPr>
            <w:tcW w:w="1454" w:type="dxa"/>
            <w:tcBorders>
              <w:top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0</w:t>
            </w:r>
          </w:p>
        </w:tc>
      </w:tr>
      <w:tr w:rsidR="00787446" w:rsidRPr="000B3455" w:rsidTr="00787446">
        <w:trPr>
          <w:cantSplit/>
          <w:tblHeader/>
        </w:trPr>
        <w:tc>
          <w:tcPr>
            <w:tcW w:w="2151" w:type="dxa"/>
            <w:gridSpan w:val="2"/>
            <w:tcBorders>
              <w:top w:val="nil"/>
              <w:left w:val="single" w:sz="16" w:space="0" w:color="000000"/>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Mean</w:t>
            </w:r>
          </w:p>
        </w:tc>
        <w:tc>
          <w:tcPr>
            <w:tcW w:w="1456" w:type="dxa"/>
            <w:tcBorders>
              <w:top w:val="nil"/>
              <w:left w:val="single" w:sz="16" w:space="0" w:color="000000"/>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,183042</w:t>
            </w:r>
          </w:p>
        </w:tc>
        <w:tc>
          <w:tcPr>
            <w:tcW w:w="1454" w:type="dxa"/>
            <w:tcBorders>
              <w:top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3,728917</w:t>
            </w:r>
          </w:p>
        </w:tc>
      </w:tr>
      <w:tr w:rsidR="00787446" w:rsidRPr="000B3455" w:rsidTr="00787446">
        <w:trPr>
          <w:cantSplit/>
          <w:tblHeader/>
        </w:trPr>
        <w:tc>
          <w:tcPr>
            <w:tcW w:w="2151" w:type="dxa"/>
            <w:gridSpan w:val="2"/>
            <w:tcBorders>
              <w:top w:val="nil"/>
              <w:left w:val="single" w:sz="16" w:space="0" w:color="000000"/>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Std. Deviation</w:t>
            </w:r>
          </w:p>
        </w:tc>
        <w:tc>
          <w:tcPr>
            <w:tcW w:w="1456" w:type="dxa"/>
            <w:tcBorders>
              <w:top w:val="nil"/>
              <w:left w:val="single" w:sz="16" w:space="0" w:color="000000"/>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,1809188</w:t>
            </w:r>
          </w:p>
        </w:tc>
        <w:tc>
          <w:tcPr>
            <w:tcW w:w="1454" w:type="dxa"/>
            <w:tcBorders>
              <w:top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14,0922954</w:t>
            </w:r>
          </w:p>
        </w:tc>
      </w:tr>
      <w:tr w:rsidR="00787446" w:rsidRPr="000B3455" w:rsidTr="00787446">
        <w:trPr>
          <w:cantSplit/>
          <w:tblHeader/>
        </w:trPr>
        <w:tc>
          <w:tcPr>
            <w:tcW w:w="2151" w:type="dxa"/>
            <w:gridSpan w:val="2"/>
            <w:tcBorders>
              <w:top w:val="nil"/>
              <w:left w:val="single" w:sz="16" w:space="0" w:color="000000"/>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Minimum</w:t>
            </w:r>
          </w:p>
        </w:tc>
        <w:tc>
          <w:tcPr>
            <w:tcW w:w="1456" w:type="dxa"/>
            <w:tcBorders>
              <w:top w:val="nil"/>
              <w:left w:val="single" w:sz="16" w:space="0" w:color="000000"/>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,0000</w:t>
            </w:r>
          </w:p>
        </w:tc>
        <w:tc>
          <w:tcPr>
            <w:tcW w:w="1454" w:type="dxa"/>
            <w:tcBorders>
              <w:top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-52,3976</w:t>
            </w:r>
          </w:p>
        </w:tc>
      </w:tr>
      <w:tr w:rsidR="00787446" w:rsidRPr="000B3455" w:rsidTr="00787446">
        <w:trPr>
          <w:cantSplit/>
        </w:trPr>
        <w:tc>
          <w:tcPr>
            <w:tcW w:w="2151" w:type="dxa"/>
            <w:gridSpan w:val="2"/>
            <w:tcBorders>
              <w:top w:val="nil"/>
              <w:left w:val="single" w:sz="16" w:space="0" w:color="000000"/>
              <w:bottom w:val="single" w:sz="16" w:space="0" w:color="000000"/>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Maximum</w:t>
            </w:r>
          </w:p>
        </w:tc>
        <w:tc>
          <w:tcPr>
            <w:tcW w:w="1456" w:type="dxa"/>
            <w:tcBorders>
              <w:top w:val="nil"/>
              <w:left w:val="single" w:sz="16" w:space="0" w:color="000000"/>
              <w:bottom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,6988</w:t>
            </w:r>
          </w:p>
        </w:tc>
        <w:tc>
          <w:tcPr>
            <w:tcW w:w="1454" w:type="dxa"/>
            <w:tcBorders>
              <w:top w:val="nil"/>
              <w:bottom w:val="single" w:sz="16" w:space="0" w:color="000000"/>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55,8186</w:t>
            </w:r>
          </w:p>
        </w:tc>
      </w:tr>
    </w:tbl>
    <w:p w:rsidR="00681954" w:rsidRPr="00C83CEF" w:rsidRDefault="00C83CEF" w:rsidP="00C83CEF">
      <w:pPr>
        <w:pStyle w:val="Caption"/>
        <w:rPr>
          <w:rFonts w:cs="Times New Roman"/>
          <w:color w:val="auto"/>
        </w:rPr>
      </w:pPr>
      <w:bookmarkStart w:id="136" w:name="_Ref298857377"/>
      <w:r>
        <w:t xml:space="preserve">Table </w:t>
      </w:r>
      <w:fldSimple w:instr=" SEQ Table \* ARABIC ">
        <w:r w:rsidR="001D5F9A">
          <w:rPr>
            <w:noProof/>
          </w:rPr>
          <w:t>13</w:t>
        </w:r>
      </w:fldSimple>
      <w:r>
        <w:t xml:space="preserve">: </w:t>
      </w:r>
      <w:r w:rsidRPr="00C83CEF">
        <w:rPr>
          <w:rFonts w:cstheme="minorHAnsi"/>
          <w:color w:val="auto"/>
        </w:rPr>
        <w:t>SPSS output on descriptive statistics</w:t>
      </w:r>
      <w:bookmarkEnd w:id="136"/>
    </w:p>
    <w:p w:rsidR="00681954" w:rsidRPr="000B3455" w:rsidRDefault="00681954" w:rsidP="00681954">
      <w:pPr>
        <w:autoSpaceDE w:val="0"/>
        <w:autoSpaceDN w:val="0"/>
        <w:adjustRightInd w:val="0"/>
        <w:spacing w:after="0" w:line="240" w:lineRule="auto"/>
        <w:rPr>
          <w:rFonts w:cs="Times New Roman"/>
        </w:rPr>
      </w:pPr>
    </w:p>
    <w:p w:rsidR="00681954" w:rsidRPr="000B3455" w:rsidRDefault="00787446" w:rsidP="00681954">
      <w:pPr>
        <w:autoSpaceDE w:val="0"/>
        <w:autoSpaceDN w:val="0"/>
        <w:adjustRightInd w:val="0"/>
        <w:spacing w:after="0" w:line="240" w:lineRule="auto"/>
        <w:rPr>
          <w:rFonts w:cs="Times New Roman"/>
        </w:rPr>
      </w:pPr>
      <w:r w:rsidRPr="000B3455">
        <w:rPr>
          <w:rFonts w:cs="Times New Roman"/>
          <w:noProof/>
          <w:lang w:val="nl-NL" w:eastAsia="nl-NL" w:bidi="ar-SA"/>
        </w:rPr>
        <w:drawing>
          <wp:inline distT="0" distB="0" distL="0" distR="0">
            <wp:extent cx="5735955" cy="4584065"/>
            <wp:effectExtent l="19050" t="0" r="0" b="0"/>
            <wp:docPr id="1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srcRect/>
                    <a:stretch>
                      <a:fillRect/>
                    </a:stretch>
                  </pic:blipFill>
                  <pic:spPr bwMode="auto">
                    <a:xfrm>
                      <a:off x="0" y="0"/>
                      <a:ext cx="5735955" cy="4584065"/>
                    </a:xfrm>
                    <a:prstGeom prst="rect">
                      <a:avLst/>
                    </a:prstGeom>
                    <a:noFill/>
                    <a:ln w="9525">
                      <a:noFill/>
                      <a:miter lim="800000"/>
                      <a:headEnd/>
                      <a:tailEnd/>
                    </a:ln>
                  </pic:spPr>
                </pic:pic>
              </a:graphicData>
            </a:graphic>
          </wp:inline>
        </w:drawing>
      </w:r>
    </w:p>
    <w:p w:rsidR="00681954" w:rsidRPr="000B3455" w:rsidRDefault="00C83CEF" w:rsidP="00C83CEF">
      <w:pPr>
        <w:pStyle w:val="Caption"/>
        <w:rPr>
          <w:rFonts w:cs="Times New Roman"/>
        </w:rPr>
      </w:pPr>
      <w:bookmarkStart w:id="137" w:name="_Ref298857479"/>
      <w:r>
        <w:t xml:space="preserve">Figure </w:t>
      </w:r>
      <w:fldSimple w:instr=" SEQ Figure \* ARABIC ">
        <w:r w:rsidR="001D5F9A">
          <w:rPr>
            <w:noProof/>
          </w:rPr>
          <w:t>5</w:t>
        </w:r>
      </w:fldSimple>
      <w:bookmarkEnd w:id="137"/>
      <w:r>
        <w:t xml:space="preserve">: </w:t>
      </w:r>
      <w:r w:rsidRPr="00C83CEF">
        <w:rPr>
          <w:rFonts w:cstheme="minorHAnsi"/>
          <w:color w:val="auto"/>
        </w:rPr>
        <w:t>SPSS histogram of distribution of the change in the proportion of shares</w:t>
      </w:r>
    </w:p>
    <w:p w:rsidR="00681954" w:rsidRPr="000B3455" w:rsidRDefault="00681954" w:rsidP="00681954">
      <w:pPr>
        <w:rPr>
          <w:rFonts w:cstheme="minorHAnsi"/>
          <w:b/>
        </w:rPr>
      </w:pPr>
      <w:r w:rsidRPr="000B3455">
        <w:rPr>
          <w:rFonts w:cstheme="minorHAnsi"/>
          <w:b/>
          <w:noProof/>
          <w:lang w:val="nl-NL" w:eastAsia="nl-NL" w:bidi="ar-SA"/>
        </w:rPr>
        <w:lastRenderedPageBreak/>
        <w:drawing>
          <wp:inline distT="0" distB="0" distL="0" distR="0">
            <wp:extent cx="4572000" cy="2743200"/>
            <wp:effectExtent l="19050" t="0" r="19050" b="0"/>
            <wp:docPr id="14"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C83CEF" w:rsidRDefault="00C83CEF" w:rsidP="00C83CEF">
      <w:pPr>
        <w:pStyle w:val="Caption"/>
        <w:rPr>
          <w:rFonts w:cstheme="minorHAnsi"/>
          <w:noProof/>
          <w:color w:val="auto"/>
        </w:rPr>
      </w:pPr>
      <w:bookmarkStart w:id="138" w:name="_Ref298857525"/>
      <w:r>
        <w:t xml:space="preserve">Figure </w:t>
      </w:r>
      <w:fldSimple w:instr=" SEQ Figure \* ARABIC ">
        <w:r w:rsidR="001D5F9A">
          <w:rPr>
            <w:noProof/>
          </w:rPr>
          <w:t>6</w:t>
        </w:r>
      </w:fldSimple>
      <w:bookmarkEnd w:id="138"/>
      <w:r>
        <w:t xml:space="preserve">: </w:t>
      </w:r>
      <w:r w:rsidRPr="00C83CEF">
        <w:rPr>
          <w:rFonts w:cstheme="minorHAnsi"/>
          <w:noProof/>
          <w:color w:val="auto"/>
        </w:rPr>
        <w:t>Trend of proportion of granted stock options and shares</w:t>
      </w:r>
    </w:p>
    <w:p w:rsidR="00C83CEF" w:rsidRPr="00C83CEF" w:rsidRDefault="00C83CEF" w:rsidP="00C83CEF"/>
    <w:p w:rsidR="00681954" w:rsidRPr="000B3455" w:rsidRDefault="00681954" w:rsidP="00681954">
      <w:pPr>
        <w:rPr>
          <w:rFonts w:cstheme="minorHAnsi"/>
          <w:b/>
        </w:rPr>
      </w:pPr>
      <w:r w:rsidRPr="000B3455">
        <w:rPr>
          <w:rFonts w:cstheme="minorHAnsi"/>
          <w:b/>
          <w:noProof/>
          <w:lang w:val="nl-NL" w:eastAsia="nl-NL" w:bidi="ar-SA"/>
        </w:rPr>
        <w:drawing>
          <wp:inline distT="0" distB="0" distL="0" distR="0">
            <wp:extent cx="4572000" cy="2743200"/>
            <wp:effectExtent l="19050" t="0" r="19050" b="0"/>
            <wp:docPr id="15"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681954" w:rsidRPr="000B3455" w:rsidRDefault="00C83CEF" w:rsidP="00C83CEF">
      <w:pPr>
        <w:pStyle w:val="Caption"/>
        <w:rPr>
          <w:rFonts w:cstheme="minorHAnsi"/>
          <w:b w:val="0"/>
        </w:rPr>
      </w:pPr>
      <w:bookmarkStart w:id="139" w:name="_Ref298857531"/>
      <w:r>
        <w:t xml:space="preserve">Figure </w:t>
      </w:r>
      <w:fldSimple w:instr=" SEQ Figure \* ARABIC ">
        <w:r w:rsidR="001D5F9A">
          <w:rPr>
            <w:noProof/>
          </w:rPr>
          <w:t>7</w:t>
        </w:r>
      </w:fldSimple>
      <w:bookmarkEnd w:id="139"/>
      <w:r>
        <w:t xml:space="preserve">: </w:t>
      </w:r>
      <w:r w:rsidRPr="00C83CEF">
        <w:rPr>
          <w:rFonts w:cstheme="minorHAnsi"/>
          <w:noProof/>
          <w:color w:val="auto"/>
        </w:rPr>
        <w:t>Trend of the change in the proportion of granted stock options and shares</w:t>
      </w:r>
    </w:p>
    <w:p w:rsidR="00681954" w:rsidRPr="000B3455" w:rsidRDefault="00681954" w:rsidP="001D5F43"/>
    <w:p w:rsidR="00681954" w:rsidRPr="000B3455" w:rsidRDefault="00681954" w:rsidP="001D5F43"/>
    <w:p w:rsidR="003D5369" w:rsidRPr="000B3455" w:rsidRDefault="003D5369">
      <w:r w:rsidRPr="000B3455">
        <w:br w:type="page"/>
      </w:r>
    </w:p>
    <w:p w:rsidR="00681954" w:rsidRPr="000B3455" w:rsidRDefault="00C97617" w:rsidP="00ED7148">
      <w:pPr>
        <w:pStyle w:val="AppendicesThesis"/>
      </w:pPr>
      <w:bookmarkStart w:id="140" w:name="X"/>
      <w:bookmarkStart w:id="141" w:name="_Toc298944618"/>
      <w:r w:rsidRPr="000B3455">
        <w:lastRenderedPageBreak/>
        <w:t xml:space="preserve">Appendix </w:t>
      </w:r>
      <w:r w:rsidR="00681954" w:rsidRPr="000B3455">
        <w:t>X</w:t>
      </w:r>
      <w:bookmarkEnd w:id="140"/>
      <w:r w:rsidR="00681954" w:rsidRPr="000B3455">
        <w:t xml:space="preserve">: Statistical </w:t>
      </w:r>
      <w:r w:rsidR="00E64A6D">
        <w:t>findings</w:t>
      </w:r>
      <w:r w:rsidR="00E64A6D" w:rsidRPr="000B3455">
        <w:t xml:space="preserve"> </w:t>
      </w:r>
      <w:r w:rsidR="00681954" w:rsidRPr="000B3455">
        <w:t xml:space="preserve">on </w:t>
      </w:r>
      <w:r w:rsidR="00E64A6D">
        <w:t>s</w:t>
      </w:r>
      <w:r w:rsidR="00E64A6D" w:rsidRPr="000B3455">
        <w:t xml:space="preserve">ubstitution </w:t>
      </w:r>
      <w:r w:rsidR="00E64A6D">
        <w:t>t</w:t>
      </w:r>
      <w:r w:rsidR="00E64A6D" w:rsidRPr="000B3455">
        <w:t xml:space="preserve">est </w:t>
      </w:r>
      <w:r w:rsidR="00E64A6D">
        <w:t>h</w:t>
      </w:r>
      <w:r w:rsidR="00E64A6D" w:rsidRPr="000B3455">
        <w:t xml:space="preserve">ypothesis </w:t>
      </w:r>
      <w:r w:rsidR="00681954" w:rsidRPr="000B3455">
        <w:t>2</w:t>
      </w:r>
      <w:bookmarkEnd w:id="141"/>
    </w:p>
    <w:p w:rsidR="00787446" w:rsidRPr="000B3455" w:rsidRDefault="00787446" w:rsidP="00787446">
      <w:pPr>
        <w:autoSpaceDE w:val="0"/>
        <w:autoSpaceDN w:val="0"/>
        <w:adjustRightInd w:val="0"/>
        <w:spacing w:after="0" w:line="240" w:lineRule="auto"/>
        <w:rPr>
          <w:rFonts w:cs="Times New Roman"/>
        </w:rPr>
      </w:pPr>
    </w:p>
    <w:tbl>
      <w:tblPr>
        <w:tblW w:w="72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30"/>
      </w:tblGrid>
      <w:tr w:rsidR="00787446" w:rsidRPr="000B3455" w:rsidTr="00C83CEF">
        <w:trPr>
          <w:cantSplit/>
          <w:tblHeader/>
        </w:trPr>
        <w:tc>
          <w:tcPr>
            <w:tcW w:w="7230" w:type="dxa"/>
            <w:tcBorders>
              <w:top w:val="nil"/>
              <w:left w:val="nil"/>
              <w:bottom w:val="nil"/>
              <w:right w:val="nil"/>
            </w:tcBorders>
            <w:shd w:val="clear" w:color="auto" w:fill="FFFFFF"/>
            <w:vAlign w:val="center"/>
          </w:tcPr>
          <w:p w:rsidR="00787446" w:rsidRDefault="00787446" w:rsidP="00787446">
            <w:pPr>
              <w:autoSpaceDE w:val="0"/>
              <w:autoSpaceDN w:val="0"/>
              <w:adjustRightInd w:val="0"/>
              <w:spacing w:after="0" w:line="320" w:lineRule="atLeast"/>
              <w:ind w:left="60" w:right="60"/>
              <w:jc w:val="center"/>
              <w:rPr>
                <w:rFonts w:cs="Arial"/>
                <w:b/>
                <w:bCs/>
                <w:color w:val="000000"/>
              </w:rPr>
            </w:pPr>
            <w:r w:rsidRPr="000B3455">
              <w:rPr>
                <w:rFonts w:cs="Arial"/>
                <w:b/>
                <w:bCs/>
                <w:color w:val="000000"/>
              </w:rPr>
              <w:t>Model Summary</w:t>
            </w:r>
          </w:p>
          <w:tbl>
            <w:tblPr>
              <w:tblStyle w:val="TableGrid"/>
              <w:tblW w:w="7013" w:type="dxa"/>
              <w:tblInd w:w="60"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tblPr>
            <w:tblGrid>
              <w:gridCol w:w="1191"/>
              <w:gridCol w:w="1192"/>
              <w:gridCol w:w="1193"/>
              <w:gridCol w:w="1318"/>
              <w:gridCol w:w="2119"/>
            </w:tblGrid>
            <w:tr w:rsidR="00C83CEF" w:rsidRPr="00C83CEF" w:rsidTr="00C83CEF">
              <w:trPr>
                <w:trHeight w:val="807"/>
              </w:trPr>
              <w:tc>
                <w:tcPr>
                  <w:tcW w:w="119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bottom"/>
                  <w:hideMark/>
                </w:tcPr>
                <w:p w:rsidR="00C83CEF" w:rsidRDefault="00C83CEF">
                  <w:pPr>
                    <w:autoSpaceDE w:val="0"/>
                    <w:autoSpaceDN w:val="0"/>
                    <w:adjustRightInd w:val="0"/>
                    <w:spacing w:line="320" w:lineRule="atLeast"/>
                    <w:ind w:right="-12"/>
                    <w:jc w:val="center"/>
                    <w:rPr>
                      <w:rFonts w:cs="Arial"/>
                      <w:color w:val="000000"/>
                    </w:rPr>
                  </w:pPr>
                  <w:r>
                    <w:rPr>
                      <w:rFonts w:cs="Arial"/>
                      <w:color w:val="000000"/>
                    </w:rPr>
                    <w:t>Model</w:t>
                  </w:r>
                </w:p>
              </w:tc>
              <w:tc>
                <w:tcPr>
                  <w:tcW w:w="1192" w:type="dxa"/>
                  <w:tcBorders>
                    <w:top w:val="single" w:sz="12" w:space="0" w:color="000000" w:themeColor="text1"/>
                    <w:left w:val="single" w:sz="12" w:space="0" w:color="000000" w:themeColor="text1"/>
                    <w:bottom w:val="single" w:sz="12" w:space="0" w:color="000000" w:themeColor="text1"/>
                    <w:right w:val="single" w:sz="8" w:space="0" w:color="000000" w:themeColor="text1"/>
                  </w:tcBorders>
                  <w:vAlign w:val="bottom"/>
                  <w:hideMark/>
                </w:tcPr>
                <w:p w:rsidR="00C83CEF" w:rsidRDefault="00C83CEF">
                  <w:pPr>
                    <w:autoSpaceDE w:val="0"/>
                    <w:autoSpaceDN w:val="0"/>
                    <w:adjustRightInd w:val="0"/>
                    <w:spacing w:line="320" w:lineRule="atLeast"/>
                    <w:ind w:right="-12"/>
                    <w:jc w:val="center"/>
                    <w:rPr>
                      <w:rFonts w:cs="Arial"/>
                      <w:color w:val="000000"/>
                    </w:rPr>
                  </w:pPr>
                  <w:r>
                    <w:rPr>
                      <w:rFonts w:cs="Arial"/>
                      <w:color w:val="000000"/>
                    </w:rPr>
                    <w:t>R</w:t>
                  </w:r>
                </w:p>
              </w:tc>
              <w:tc>
                <w:tcPr>
                  <w:tcW w:w="1193" w:type="dxa"/>
                  <w:tcBorders>
                    <w:top w:val="single" w:sz="12" w:space="0" w:color="000000" w:themeColor="text1"/>
                    <w:left w:val="single" w:sz="8" w:space="0" w:color="000000" w:themeColor="text1"/>
                    <w:bottom w:val="single" w:sz="12" w:space="0" w:color="000000" w:themeColor="text1"/>
                    <w:right w:val="single" w:sz="8" w:space="0" w:color="000000" w:themeColor="text1"/>
                  </w:tcBorders>
                  <w:vAlign w:val="bottom"/>
                  <w:hideMark/>
                </w:tcPr>
                <w:p w:rsidR="00C83CEF" w:rsidRDefault="00C83CEF">
                  <w:pPr>
                    <w:autoSpaceDE w:val="0"/>
                    <w:autoSpaceDN w:val="0"/>
                    <w:adjustRightInd w:val="0"/>
                    <w:spacing w:line="320" w:lineRule="atLeast"/>
                    <w:ind w:right="-12"/>
                    <w:jc w:val="center"/>
                    <w:rPr>
                      <w:rFonts w:cs="Arial"/>
                      <w:color w:val="000000"/>
                    </w:rPr>
                  </w:pPr>
                  <w:r>
                    <w:rPr>
                      <w:rFonts w:cs="Arial"/>
                      <w:color w:val="000000"/>
                    </w:rPr>
                    <w:t>R Square</w:t>
                  </w:r>
                </w:p>
              </w:tc>
              <w:tc>
                <w:tcPr>
                  <w:tcW w:w="1318" w:type="dxa"/>
                  <w:tcBorders>
                    <w:top w:val="single" w:sz="12" w:space="0" w:color="000000" w:themeColor="text1"/>
                    <w:left w:val="single" w:sz="8" w:space="0" w:color="000000" w:themeColor="text1"/>
                    <w:bottom w:val="single" w:sz="12" w:space="0" w:color="000000" w:themeColor="text1"/>
                    <w:right w:val="single" w:sz="8" w:space="0" w:color="000000" w:themeColor="text1"/>
                  </w:tcBorders>
                  <w:vAlign w:val="bottom"/>
                  <w:hideMark/>
                </w:tcPr>
                <w:p w:rsidR="00C83CEF" w:rsidRDefault="00C83CEF">
                  <w:pPr>
                    <w:autoSpaceDE w:val="0"/>
                    <w:autoSpaceDN w:val="0"/>
                    <w:adjustRightInd w:val="0"/>
                    <w:spacing w:line="320" w:lineRule="atLeast"/>
                    <w:ind w:right="-12"/>
                    <w:jc w:val="center"/>
                    <w:rPr>
                      <w:rFonts w:cs="Arial"/>
                      <w:color w:val="000000"/>
                    </w:rPr>
                  </w:pPr>
                  <w:r>
                    <w:rPr>
                      <w:rFonts w:cs="Arial"/>
                      <w:color w:val="000000"/>
                    </w:rPr>
                    <w:t>Adjusted R Square</w:t>
                  </w:r>
                </w:p>
              </w:tc>
              <w:tc>
                <w:tcPr>
                  <w:tcW w:w="2119" w:type="dxa"/>
                  <w:tcBorders>
                    <w:top w:val="single" w:sz="12" w:space="0" w:color="000000" w:themeColor="text1"/>
                    <w:left w:val="single" w:sz="8" w:space="0" w:color="000000" w:themeColor="text1"/>
                    <w:bottom w:val="single" w:sz="12" w:space="0" w:color="000000" w:themeColor="text1"/>
                    <w:right w:val="single" w:sz="12" w:space="0" w:color="000000" w:themeColor="text1"/>
                  </w:tcBorders>
                  <w:vAlign w:val="bottom"/>
                  <w:hideMark/>
                </w:tcPr>
                <w:p w:rsidR="00C83CEF" w:rsidRDefault="00C83CEF">
                  <w:pPr>
                    <w:autoSpaceDE w:val="0"/>
                    <w:autoSpaceDN w:val="0"/>
                    <w:adjustRightInd w:val="0"/>
                    <w:spacing w:line="320" w:lineRule="atLeast"/>
                    <w:ind w:right="317"/>
                    <w:jc w:val="center"/>
                    <w:rPr>
                      <w:rFonts w:cs="Arial"/>
                      <w:color w:val="000000"/>
                    </w:rPr>
                  </w:pPr>
                  <w:r>
                    <w:rPr>
                      <w:rFonts w:cs="Arial"/>
                      <w:color w:val="000000"/>
                    </w:rPr>
                    <w:t>Std. Error of the Estimate</w:t>
                  </w:r>
                </w:p>
              </w:tc>
            </w:tr>
            <w:tr w:rsidR="00C83CEF" w:rsidTr="00C83CEF">
              <w:trPr>
                <w:trHeight w:val="197"/>
              </w:trPr>
              <w:tc>
                <w:tcPr>
                  <w:tcW w:w="119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hideMark/>
                </w:tcPr>
                <w:p w:rsidR="00C83CEF" w:rsidRDefault="00C83CEF">
                  <w:pPr>
                    <w:autoSpaceDE w:val="0"/>
                    <w:autoSpaceDN w:val="0"/>
                    <w:adjustRightInd w:val="0"/>
                    <w:spacing w:line="320" w:lineRule="atLeast"/>
                    <w:ind w:right="-12"/>
                    <w:rPr>
                      <w:rFonts w:cs="Arial"/>
                      <w:color w:val="000000"/>
                    </w:rPr>
                  </w:pPr>
                  <w:r>
                    <w:rPr>
                      <w:rFonts w:cs="Arial"/>
                      <w:color w:val="000000"/>
                    </w:rPr>
                    <w:t>1</w:t>
                  </w:r>
                </w:p>
              </w:tc>
              <w:tc>
                <w:tcPr>
                  <w:tcW w:w="1192" w:type="dxa"/>
                  <w:tcBorders>
                    <w:top w:val="single" w:sz="12" w:space="0" w:color="000000" w:themeColor="text1"/>
                    <w:left w:val="single" w:sz="12" w:space="0" w:color="000000" w:themeColor="text1"/>
                    <w:bottom w:val="single" w:sz="12" w:space="0" w:color="000000" w:themeColor="text1"/>
                    <w:right w:val="single" w:sz="6" w:space="0" w:color="000000" w:themeColor="text1"/>
                  </w:tcBorders>
                  <w:vAlign w:val="center"/>
                  <w:hideMark/>
                </w:tcPr>
                <w:p w:rsidR="00C83CEF" w:rsidRDefault="00C83CEF" w:rsidP="00C83CEF">
                  <w:pPr>
                    <w:autoSpaceDE w:val="0"/>
                    <w:autoSpaceDN w:val="0"/>
                    <w:adjustRightInd w:val="0"/>
                    <w:spacing w:line="320" w:lineRule="atLeast"/>
                    <w:ind w:right="-12"/>
                    <w:jc w:val="right"/>
                    <w:rPr>
                      <w:rFonts w:cs="Arial"/>
                      <w:color w:val="000000"/>
                    </w:rPr>
                  </w:pPr>
                  <w:r>
                    <w:rPr>
                      <w:rFonts w:cs="Arial"/>
                      <w:color w:val="000000"/>
                    </w:rPr>
                    <w:t>,407</w:t>
                  </w:r>
                </w:p>
              </w:tc>
              <w:tc>
                <w:tcPr>
                  <w:tcW w:w="1193" w:type="dxa"/>
                  <w:tcBorders>
                    <w:top w:val="single" w:sz="12" w:space="0" w:color="000000" w:themeColor="text1"/>
                    <w:left w:val="single" w:sz="6" w:space="0" w:color="000000" w:themeColor="text1"/>
                    <w:bottom w:val="single" w:sz="12" w:space="0" w:color="000000" w:themeColor="text1"/>
                    <w:right w:val="single" w:sz="6" w:space="0" w:color="000000" w:themeColor="text1"/>
                  </w:tcBorders>
                  <w:vAlign w:val="center"/>
                  <w:hideMark/>
                </w:tcPr>
                <w:p w:rsidR="00C83CEF" w:rsidRDefault="00C83CEF" w:rsidP="00C83CEF">
                  <w:pPr>
                    <w:autoSpaceDE w:val="0"/>
                    <w:autoSpaceDN w:val="0"/>
                    <w:adjustRightInd w:val="0"/>
                    <w:spacing w:line="320" w:lineRule="atLeast"/>
                    <w:ind w:right="-12"/>
                    <w:jc w:val="right"/>
                    <w:rPr>
                      <w:rFonts w:cs="Arial"/>
                      <w:color w:val="000000"/>
                    </w:rPr>
                  </w:pPr>
                  <w:r>
                    <w:rPr>
                      <w:rFonts w:cs="Arial"/>
                      <w:color w:val="000000"/>
                    </w:rPr>
                    <w:t>,165</w:t>
                  </w:r>
                </w:p>
              </w:tc>
              <w:tc>
                <w:tcPr>
                  <w:tcW w:w="1318" w:type="dxa"/>
                  <w:tcBorders>
                    <w:top w:val="single" w:sz="12" w:space="0" w:color="000000" w:themeColor="text1"/>
                    <w:left w:val="single" w:sz="6" w:space="0" w:color="000000" w:themeColor="text1"/>
                    <w:bottom w:val="single" w:sz="12" w:space="0" w:color="000000" w:themeColor="text1"/>
                    <w:right w:val="single" w:sz="6" w:space="0" w:color="000000" w:themeColor="text1"/>
                  </w:tcBorders>
                  <w:vAlign w:val="center"/>
                  <w:hideMark/>
                </w:tcPr>
                <w:p w:rsidR="00C83CEF" w:rsidRDefault="00C83CEF" w:rsidP="00C83CEF">
                  <w:pPr>
                    <w:autoSpaceDE w:val="0"/>
                    <w:autoSpaceDN w:val="0"/>
                    <w:adjustRightInd w:val="0"/>
                    <w:spacing w:line="320" w:lineRule="atLeast"/>
                    <w:ind w:right="-12"/>
                    <w:jc w:val="right"/>
                    <w:rPr>
                      <w:rFonts w:cs="Arial"/>
                      <w:color w:val="000000"/>
                    </w:rPr>
                  </w:pPr>
                  <w:r>
                    <w:rPr>
                      <w:rFonts w:cs="Arial"/>
                      <w:color w:val="000000"/>
                    </w:rPr>
                    <w:t>,044</w:t>
                  </w:r>
                </w:p>
              </w:tc>
              <w:tc>
                <w:tcPr>
                  <w:tcW w:w="2119" w:type="dxa"/>
                  <w:tcBorders>
                    <w:top w:val="single" w:sz="12" w:space="0" w:color="000000" w:themeColor="text1"/>
                    <w:left w:val="single" w:sz="6" w:space="0" w:color="000000" w:themeColor="text1"/>
                    <w:bottom w:val="single" w:sz="12" w:space="0" w:color="000000" w:themeColor="text1"/>
                    <w:right w:val="single" w:sz="12" w:space="0" w:color="000000" w:themeColor="text1"/>
                  </w:tcBorders>
                  <w:vAlign w:val="center"/>
                  <w:hideMark/>
                </w:tcPr>
                <w:p w:rsidR="00C83CEF" w:rsidRDefault="00C83CEF">
                  <w:pPr>
                    <w:autoSpaceDE w:val="0"/>
                    <w:autoSpaceDN w:val="0"/>
                    <w:adjustRightInd w:val="0"/>
                    <w:spacing w:line="320" w:lineRule="atLeast"/>
                    <w:ind w:right="381"/>
                    <w:jc w:val="right"/>
                    <w:rPr>
                      <w:rFonts w:cs="Arial"/>
                      <w:color w:val="000000"/>
                    </w:rPr>
                  </w:pPr>
                  <w:r>
                    <w:rPr>
                      <w:rFonts w:cs="Arial"/>
                      <w:color w:val="000000"/>
                    </w:rPr>
                    <w:t>13,8647984</w:t>
                  </w:r>
                </w:p>
              </w:tc>
            </w:tr>
          </w:tbl>
          <w:p w:rsidR="00C83CEF" w:rsidRPr="000B3455" w:rsidRDefault="00C83CEF" w:rsidP="00787446">
            <w:pPr>
              <w:autoSpaceDE w:val="0"/>
              <w:autoSpaceDN w:val="0"/>
              <w:adjustRightInd w:val="0"/>
              <w:spacing w:after="0" w:line="320" w:lineRule="atLeast"/>
              <w:ind w:left="60" w:right="60"/>
              <w:jc w:val="center"/>
              <w:rPr>
                <w:rFonts w:cs="Arial"/>
                <w:color w:val="000000"/>
              </w:rPr>
            </w:pPr>
          </w:p>
        </w:tc>
      </w:tr>
      <w:tr w:rsidR="00787446" w:rsidRPr="000B3455" w:rsidTr="00C83CEF">
        <w:trPr>
          <w:cantSplit/>
        </w:trPr>
        <w:tc>
          <w:tcPr>
            <w:tcW w:w="7230" w:type="dxa"/>
            <w:tcBorders>
              <w:top w:val="nil"/>
              <w:left w:val="nil"/>
              <w:bottom w:val="nil"/>
              <w:right w:val="nil"/>
            </w:tcBorders>
            <w:shd w:val="clear" w:color="auto" w:fill="FFFFFF"/>
          </w:tcPr>
          <w:p w:rsidR="00787446" w:rsidRPr="00C87238" w:rsidRDefault="00C83CEF" w:rsidP="00C87238">
            <w:pPr>
              <w:spacing w:line="360" w:lineRule="auto"/>
              <w:ind w:right="142"/>
              <w:jc w:val="both"/>
            </w:pPr>
            <w:r>
              <w:rPr>
                <w:rFonts w:cstheme="minorHAnsi"/>
                <w:i/>
              </w:rPr>
              <w:t>Δ PR_FV_SHA</w:t>
            </w:r>
            <w:r>
              <w:rPr>
                <w:rFonts w:eastAsia="SymbolMT" w:cstheme="minorHAnsi"/>
                <w:i/>
                <w:vertAlign w:val="subscript"/>
                <w:lang w:eastAsia="nl-NL"/>
              </w:rPr>
              <w:t>it</w:t>
            </w:r>
            <w:r>
              <w:rPr>
                <w:rFonts w:eastAsia="SymbolMT" w:cstheme="minorHAnsi"/>
                <w:lang w:eastAsia="nl-NL"/>
              </w:rPr>
              <w:t xml:space="preserve"> </w:t>
            </w:r>
            <w:r>
              <w:rPr>
                <w:rFonts w:eastAsia="SymbolMT" w:cstheme="minorHAnsi"/>
                <w:i/>
                <w:lang w:eastAsia="nl-NL"/>
              </w:rPr>
              <w:t>= α</w:t>
            </w:r>
            <w:r>
              <w:rPr>
                <w:rFonts w:eastAsia="SymbolMT" w:cstheme="minorHAnsi"/>
                <w:i/>
                <w:vertAlign w:val="subscript"/>
                <w:lang w:eastAsia="nl-NL"/>
              </w:rPr>
              <w:t>0</w:t>
            </w:r>
            <w:r>
              <w:rPr>
                <w:rFonts w:eastAsia="SymbolMT" w:cstheme="minorHAnsi"/>
                <w:i/>
                <w:lang w:eastAsia="nl-NL"/>
              </w:rPr>
              <w:t xml:space="preserve"> + α</w:t>
            </w:r>
            <w:r>
              <w:rPr>
                <w:rFonts w:eastAsia="SymbolMT" w:cstheme="minorHAnsi"/>
                <w:i/>
                <w:vertAlign w:val="subscript"/>
                <w:lang w:eastAsia="nl-NL"/>
              </w:rPr>
              <w:t xml:space="preserve">1 </w:t>
            </w:r>
            <w:r>
              <w:rPr>
                <w:rFonts w:eastAsia="SymbolMT" w:cstheme="minorHAnsi"/>
                <w:i/>
                <w:lang w:eastAsia="nl-NL"/>
              </w:rPr>
              <w:t>Δ PR_FV_STO</w:t>
            </w:r>
            <w:r>
              <w:rPr>
                <w:rFonts w:eastAsia="SymbolMT" w:cstheme="minorHAnsi"/>
                <w:i/>
                <w:vertAlign w:val="subscript"/>
                <w:lang w:eastAsia="nl-NL"/>
              </w:rPr>
              <w:t>it</w:t>
            </w:r>
            <w:r>
              <w:rPr>
                <w:rFonts w:eastAsia="SymbolMT" w:cstheme="minorHAnsi"/>
                <w:i/>
                <w:lang w:eastAsia="nl-NL"/>
              </w:rPr>
              <w:t xml:space="preserve"> +  α</w:t>
            </w:r>
            <w:r>
              <w:rPr>
                <w:rFonts w:eastAsia="SymbolMT" w:cstheme="minorHAnsi"/>
                <w:i/>
                <w:vertAlign w:val="subscript"/>
                <w:lang w:eastAsia="nl-NL"/>
              </w:rPr>
              <w:t>2</w:t>
            </w:r>
            <w:r>
              <w:rPr>
                <w:rFonts w:eastAsia="SymbolMT" w:cstheme="minorHAnsi"/>
                <w:i/>
                <w:lang w:eastAsia="nl-NL"/>
              </w:rPr>
              <w:t xml:space="preserve"> 2004 + α</w:t>
            </w:r>
            <w:r>
              <w:rPr>
                <w:rFonts w:eastAsia="SymbolMT" w:cstheme="minorHAnsi"/>
                <w:i/>
                <w:vertAlign w:val="subscript"/>
                <w:lang w:eastAsia="nl-NL"/>
              </w:rPr>
              <w:t xml:space="preserve">3 </w:t>
            </w:r>
            <w:r>
              <w:rPr>
                <w:rFonts w:eastAsia="SymbolMT" w:cstheme="minorHAnsi"/>
                <w:i/>
                <w:lang w:eastAsia="nl-NL"/>
              </w:rPr>
              <w:t>2005 + α</w:t>
            </w:r>
            <w:r>
              <w:rPr>
                <w:rFonts w:eastAsia="SymbolMT" w:cstheme="minorHAnsi"/>
                <w:i/>
                <w:vertAlign w:val="subscript"/>
                <w:lang w:eastAsia="nl-NL"/>
              </w:rPr>
              <w:t>4</w:t>
            </w:r>
            <w:r>
              <w:rPr>
                <w:rFonts w:eastAsia="SymbolMT" w:cstheme="minorHAnsi"/>
                <w:i/>
                <w:lang w:eastAsia="nl-NL"/>
              </w:rPr>
              <w:t xml:space="preserve"> 2006 + α</w:t>
            </w:r>
            <w:r>
              <w:rPr>
                <w:rFonts w:eastAsia="SymbolMT" w:cstheme="minorHAnsi"/>
                <w:i/>
                <w:vertAlign w:val="subscript"/>
                <w:lang w:eastAsia="nl-NL"/>
              </w:rPr>
              <w:t xml:space="preserve">5 </w:t>
            </w:r>
            <w:r>
              <w:rPr>
                <w:rFonts w:cstheme="minorHAnsi"/>
                <w:i/>
              </w:rPr>
              <w:t xml:space="preserve">2007 + </w:t>
            </w:r>
            <w:r>
              <w:rPr>
                <w:rFonts w:eastAsia="SymbolMT" w:cstheme="minorHAnsi"/>
                <w:i/>
                <w:lang w:eastAsia="nl-NL"/>
              </w:rPr>
              <w:t>α</w:t>
            </w:r>
            <w:r>
              <w:rPr>
                <w:rFonts w:eastAsia="SymbolMT" w:cstheme="minorHAnsi"/>
                <w:i/>
                <w:vertAlign w:val="subscript"/>
                <w:lang w:eastAsia="nl-NL"/>
              </w:rPr>
              <w:t xml:space="preserve">6 </w:t>
            </w:r>
            <w:r>
              <w:rPr>
                <w:i/>
              </w:rPr>
              <w:t>LN_ASSETS</w:t>
            </w:r>
            <w:r>
              <w:rPr>
                <w:i/>
                <w:vertAlign w:val="subscript"/>
              </w:rPr>
              <w:t>it</w:t>
            </w:r>
            <w:r>
              <w:rPr>
                <w:i/>
              </w:rPr>
              <w:t xml:space="preserve"> + </w:t>
            </w:r>
            <w:r>
              <w:rPr>
                <w:rFonts w:eastAsia="SymbolMT" w:cstheme="minorHAnsi"/>
                <w:i/>
                <w:lang w:eastAsia="nl-NL"/>
              </w:rPr>
              <w:t>α</w:t>
            </w:r>
            <w:r>
              <w:rPr>
                <w:rFonts w:cstheme="minorHAnsi"/>
                <w:i/>
                <w:vertAlign w:val="subscript"/>
              </w:rPr>
              <w:t xml:space="preserve">7 </w:t>
            </w:r>
            <w:r>
              <w:rPr>
                <w:i/>
              </w:rPr>
              <w:t>MTB</w:t>
            </w:r>
            <w:r>
              <w:rPr>
                <w:i/>
                <w:vertAlign w:val="subscript"/>
              </w:rPr>
              <w:t>it</w:t>
            </w:r>
            <w:r>
              <w:rPr>
                <w:rFonts w:cstheme="minorHAnsi"/>
                <w:i/>
              </w:rPr>
              <w:t xml:space="preserve"> + </w:t>
            </w:r>
            <w:r>
              <w:rPr>
                <w:rFonts w:eastAsia="SymbolMT" w:cstheme="minorHAnsi"/>
                <w:i/>
                <w:lang w:eastAsia="nl-NL"/>
              </w:rPr>
              <w:t>α</w:t>
            </w:r>
            <w:r>
              <w:rPr>
                <w:rFonts w:cstheme="minorHAnsi"/>
                <w:i/>
                <w:vertAlign w:val="subscript"/>
              </w:rPr>
              <w:t xml:space="preserve">8 </w:t>
            </w:r>
            <w:r>
              <w:rPr>
                <w:i/>
              </w:rPr>
              <w:t>RET</w:t>
            </w:r>
            <w:r>
              <w:rPr>
                <w:i/>
                <w:vertAlign w:val="subscript"/>
              </w:rPr>
              <w:t>it</w:t>
            </w:r>
            <w:r>
              <w:rPr>
                <w:rFonts w:cstheme="minorHAnsi"/>
                <w:i/>
              </w:rPr>
              <w:t xml:space="preserve"> + </w:t>
            </w:r>
            <w:r>
              <w:rPr>
                <w:rFonts w:eastAsia="SymbolMT" w:cstheme="minorHAnsi"/>
                <w:i/>
                <w:lang w:eastAsia="nl-NL"/>
              </w:rPr>
              <w:t>α</w:t>
            </w:r>
            <w:r>
              <w:rPr>
                <w:rFonts w:cstheme="minorHAnsi"/>
                <w:i/>
                <w:vertAlign w:val="subscript"/>
              </w:rPr>
              <w:t xml:space="preserve">9 </w:t>
            </w:r>
            <w:r>
              <w:rPr>
                <w:i/>
              </w:rPr>
              <w:t>VOL</w:t>
            </w:r>
            <w:r>
              <w:rPr>
                <w:i/>
                <w:vertAlign w:val="subscript"/>
              </w:rPr>
              <w:t>it</w:t>
            </w:r>
            <w:r>
              <w:rPr>
                <w:rFonts w:cstheme="minorHAnsi"/>
                <w:i/>
              </w:rPr>
              <w:t xml:space="preserve"> + </w:t>
            </w:r>
            <w:r>
              <w:rPr>
                <w:rFonts w:eastAsia="SymbolMT" w:cstheme="minorHAnsi"/>
                <w:i/>
                <w:lang w:eastAsia="nl-NL"/>
              </w:rPr>
              <w:t>α</w:t>
            </w:r>
            <w:r>
              <w:rPr>
                <w:rFonts w:cstheme="minorHAnsi"/>
                <w:i/>
                <w:vertAlign w:val="subscript"/>
              </w:rPr>
              <w:t xml:space="preserve">10 </w:t>
            </w:r>
            <w:r>
              <w:rPr>
                <w:i/>
              </w:rPr>
              <w:t>BOA_SIZE</w:t>
            </w:r>
            <w:r>
              <w:rPr>
                <w:i/>
                <w:vertAlign w:val="subscript"/>
              </w:rPr>
              <w:t>it</w:t>
            </w:r>
            <w:r>
              <w:rPr>
                <w:rFonts w:cstheme="minorHAnsi"/>
                <w:i/>
              </w:rPr>
              <w:t xml:space="preserve"> + </w:t>
            </w:r>
            <w:r>
              <w:rPr>
                <w:rFonts w:eastAsia="SymbolMT" w:cstheme="minorHAnsi"/>
                <w:i/>
                <w:lang w:eastAsia="nl-NL"/>
              </w:rPr>
              <w:t>α</w:t>
            </w:r>
            <w:r>
              <w:rPr>
                <w:rFonts w:cstheme="minorHAnsi"/>
                <w:i/>
                <w:vertAlign w:val="subscript"/>
              </w:rPr>
              <w:t xml:space="preserve">11 </w:t>
            </w:r>
            <w:r>
              <w:rPr>
                <w:i/>
              </w:rPr>
              <w:t>LIQ_CON</w:t>
            </w:r>
            <w:r>
              <w:rPr>
                <w:i/>
                <w:vertAlign w:val="subscript"/>
              </w:rPr>
              <w:t>it</w:t>
            </w:r>
            <w:r>
              <w:rPr>
                <w:rFonts w:cstheme="minorHAnsi"/>
                <w:i/>
              </w:rPr>
              <w:t xml:space="preserve"> + ∑ </w:t>
            </w:r>
            <w:r>
              <w:rPr>
                <w:i/>
              </w:rPr>
              <w:t>IND_DUMM</w:t>
            </w:r>
            <w:r>
              <w:rPr>
                <w:i/>
                <w:vertAlign w:val="subscript"/>
              </w:rPr>
              <w:t>it</w:t>
            </w:r>
            <w:r>
              <w:rPr>
                <w:i/>
              </w:rPr>
              <w:t xml:space="preserve"> + </w:t>
            </w:r>
            <w:r>
              <w:rPr>
                <w:rFonts w:hAnsi="Times New Roman" w:cs="Times New Roman"/>
                <w:i/>
              </w:rPr>
              <w:t>ɛ</w:t>
            </w:r>
            <w:r>
              <w:rPr>
                <w:i/>
                <w:vertAlign w:val="subscript"/>
              </w:rPr>
              <w:t>it</w:t>
            </w:r>
          </w:p>
        </w:tc>
      </w:tr>
    </w:tbl>
    <w:p w:rsidR="00787446" w:rsidRPr="000B3455" w:rsidRDefault="00C87238" w:rsidP="00C87238">
      <w:pPr>
        <w:pStyle w:val="Caption"/>
        <w:rPr>
          <w:rFonts w:cs="Times New Roman"/>
          <w:b w:val="0"/>
        </w:rPr>
      </w:pPr>
      <w:bookmarkStart w:id="142" w:name="_Ref298857584"/>
      <w:r>
        <w:t xml:space="preserve">Table </w:t>
      </w:r>
      <w:fldSimple w:instr=" SEQ Table \* ARABIC ">
        <w:r w:rsidR="001D5F9A">
          <w:rPr>
            <w:noProof/>
          </w:rPr>
          <w:t>14</w:t>
        </w:r>
      </w:fldSimple>
      <w:bookmarkEnd w:id="142"/>
      <w:r>
        <w:t xml:space="preserve">: </w:t>
      </w:r>
      <w:r w:rsidRPr="00C87238">
        <w:rPr>
          <w:color w:val="auto"/>
        </w:rPr>
        <w:t>Summary of SPSS model</w:t>
      </w:r>
    </w:p>
    <w:p w:rsidR="00787446" w:rsidRPr="000B3455" w:rsidRDefault="00787446" w:rsidP="00787446">
      <w:pPr>
        <w:autoSpaceDE w:val="0"/>
        <w:autoSpaceDN w:val="0"/>
        <w:adjustRightInd w:val="0"/>
        <w:spacing w:after="0" w:line="240" w:lineRule="auto"/>
        <w:rPr>
          <w:rFonts w:cs="Times New Roman"/>
        </w:rPr>
      </w:pPr>
    </w:p>
    <w:tbl>
      <w:tblPr>
        <w:tblW w:w="788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8"/>
        <w:gridCol w:w="1272"/>
        <w:gridCol w:w="1456"/>
        <w:gridCol w:w="1009"/>
        <w:gridCol w:w="1398"/>
        <w:gridCol w:w="1010"/>
        <w:gridCol w:w="1010"/>
      </w:tblGrid>
      <w:tr w:rsidR="00787446" w:rsidRPr="000B3455" w:rsidTr="00787446">
        <w:trPr>
          <w:cantSplit/>
          <w:tblHeader/>
        </w:trPr>
        <w:tc>
          <w:tcPr>
            <w:tcW w:w="7880" w:type="dxa"/>
            <w:gridSpan w:val="7"/>
            <w:tcBorders>
              <w:top w:val="nil"/>
              <w:left w:val="nil"/>
              <w:bottom w:val="nil"/>
              <w:right w:val="nil"/>
            </w:tcBorders>
            <w:shd w:val="clear" w:color="auto" w:fill="FFFFFF"/>
            <w:vAlign w:val="center"/>
          </w:tcPr>
          <w:p w:rsidR="00787446" w:rsidRPr="000B3455" w:rsidRDefault="00787446" w:rsidP="00787446">
            <w:pPr>
              <w:autoSpaceDE w:val="0"/>
              <w:autoSpaceDN w:val="0"/>
              <w:adjustRightInd w:val="0"/>
              <w:spacing w:after="0" w:line="320" w:lineRule="atLeast"/>
              <w:ind w:left="60" w:right="60"/>
              <w:jc w:val="center"/>
              <w:rPr>
                <w:rFonts w:cs="Arial"/>
                <w:color w:val="000000"/>
              </w:rPr>
            </w:pPr>
            <w:r w:rsidRPr="000B3455">
              <w:rPr>
                <w:rFonts w:cs="Arial"/>
                <w:b/>
                <w:bCs/>
                <w:color w:val="000000"/>
              </w:rPr>
              <w:t>ANOVA</w:t>
            </w:r>
          </w:p>
        </w:tc>
      </w:tr>
      <w:tr w:rsidR="00787446" w:rsidRPr="000B3455" w:rsidTr="00787446">
        <w:trPr>
          <w:cantSplit/>
          <w:tblHeader/>
        </w:trPr>
        <w:tc>
          <w:tcPr>
            <w:tcW w:w="1999" w:type="dxa"/>
            <w:gridSpan w:val="2"/>
            <w:tcBorders>
              <w:top w:val="single" w:sz="16" w:space="0" w:color="000000"/>
              <w:left w:val="single" w:sz="16" w:space="0" w:color="000000"/>
              <w:bottom w:val="single" w:sz="16" w:space="0" w:color="000000"/>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Model</w:t>
            </w:r>
          </w:p>
        </w:tc>
        <w:tc>
          <w:tcPr>
            <w:tcW w:w="1455" w:type="dxa"/>
            <w:tcBorders>
              <w:top w:val="single" w:sz="16" w:space="0" w:color="000000"/>
              <w:left w:val="single" w:sz="16" w:space="0" w:color="000000"/>
              <w:bottom w:val="single" w:sz="16" w:space="0" w:color="000000"/>
            </w:tcBorders>
            <w:shd w:val="clear" w:color="auto" w:fill="FFFFFF"/>
            <w:vAlign w:val="bottom"/>
          </w:tcPr>
          <w:p w:rsidR="00787446" w:rsidRPr="000B3455" w:rsidRDefault="00787446" w:rsidP="00787446">
            <w:pPr>
              <w:autoSpaceDE w:val="0"/>
              <w:autoSpaceDN w:val="0"/>
              <w:adjustRightInd w:val="0"/>
              <w:spacing w:after="0" w:line="320" w:lineRule="atLeast"/>
              <w:ind w:left="60" w:right="60"/>
              <w:jc w:val="center"/>
              <w:rPr>
                <w:rFonts w:cs="Arial"/>
                <w:color w:val="000000"/>
              </w:rPr>
            </w:pPr>
            <w:r w:rsidRPr="000B3455">
              <w:rPr>
                <w:rFonts w:cs="Arial"/>
                <w:color w:val="000000"/>
              </w:rPr>
              <w:t>Sum of Squares</w:t>
            </w:r>
          </w:p>
        </w:tc>
        <w:tc>
          <w:tcPr>
            <w:tcW w:w="1009" w:type="dxa"/>
            <w:tcBorders>
              <w:top w:val="single" w:sz="16" w:space="0" w:color="000000"/>
              <w:bottom w:val="single" w:sz="16" w:space="0" w:color="000000"/>
            </w:tcBorders>
            <w:shd w:val="clear" w:color="auto" w:fill="FFFFFF"/>
            <w:vAlign w:val="bottom"/>
          </w:tcPr>
          <w:p w:rsidR="00787446" w:rsidRPr="000B3455" w:rsidRDefault="00787446" w:rsidP="00787446">
            <w:pPr>
              <w:autoSpaceDE w:val="0"/>
              <w:autoSpaceDN w:val="0"/>
              <w:adjustRightInd w:val="0"/>
              <w:spacing w:after="0" w:line="320" w:lineRule="atLeast"/>
              <w:ind w:left="60" w:right="60"/>
              <w:jc w:val="center"/>
              <w:rPr>
                <w:rFonts w:cs="Arial"/>
                <w:color w:val="000000"/>
              </w:rPr>
            </w:pPr>
            <w:r w:rsidRPr="000B3455">
              <w:rPr>
                <w:rFonts w:cs="Arial"/>
                <w:color w:val="000000"/>
              </w:rPr>
              <w:t>df</w:t>
            </w:r>
          </w:p>
        </w:tc>
        <w:tc>
          <w:tcPr>
            <w:tcW w:w="1397" w:type="dxa"/>
            <w:tcBorders>
              <w:top w:val="single" w:sz="16" w:space="0" w:color="000000"/>
              <w:bottom w:val="single" w:sz="16" w:space="0" w:color="000000"/>
            </w:tcBorders>
            <w:shd w:val="clear" w:color="auto" w:fill="FFFFFF"/>
            <w:vAlign w:val="bottom"/>
          </w:tcPr>
          <w:p w:rsidR="00787446" w:rsidRPr="000B3455" w:rsidRDefault="00787446" w:rsidP="00787446">
            <w:pPr>
              <w:autoSpaceDE w:val="0"/>
              <w:autoSpaceDN w:val="0"/>
              <w:adjustRightInd w:val="0"/>
              <w:spacing w:after="0" w:line="320" w:lineRule="atLeast"/>
              <w:ind w:left="60" w:right="60"/>
              <w:jc w:val="center"/>
              <w:rPr>
                <w:rFonts w:cs="Arial"/>
                <w:color w:val="000000"/>
              </w:rPr>
            </w:pPr>
            <w:r w:rsidRPr="000B3455">
              <w:rPr>
                <w:rFonts w:cs="Arial"/>
                <w:color w:val="000000"/>
              </w:rPr>
              <w:t>Mean Square</w:t>
            </w:r>
          </w:p>
        </w:tc>
        <w:tc>
          <w:tcPr>
            <w:tcW w:w="1010" w:type="dxa"/>
            <w:tcBorders>
              <w:top w:val="single" w:sz="16" w:space="0" w:color="000000"/>
              <w:bottom w:val="single" w:sz="16" w:space="0" w:color="000000"/>
            </w:tcBorders>
            <w:shd w:val="clear" w:color="auto" w:fill="FFFFFF"/>
            <w:vAlign w:val="bottom"/>
          </w:tcPr>
          <w:p w:rsidR="00787446" w:rsidRPr="000B3455" w:rsidRDefault="00787446" w:rsidP="00787446">
            <w:pPr>
              <w:autoSpaceDE w:val="0"/>
              <w:autoSpaceDN w:val="0"/>
              <w:adjustRightInd w:val="0"/>
              <w:spacing w:after="0" w:line="320" w:lineRule="atLeast"/>
              <w:ind w:left="60" w:right="60"/>
              <w:jc w:val="center"/>
              <w:rPr>
                <w:rFonts w:cs="Arial"/>
                <w:color w:val="000000"/>
              </w:rPr>
            </w:pPr>
            <w:r w:rsidRPr="000B3455">
              <w:rPr>
                <w:rFonts w:cs="Arial"/>
                <w:color w:val="000000"/>
              </w:rPr>
              <w:t>F</w:t>
            </w:r>
          </w:p>
        </w:tc>
        <w:tc>
          <w:tcPr>
            <w:tcW w:w="1010" w:type="dxa"/>
            <w:tcBorders>
              <w:top w:val="single" w:sz="16" w:space="0" w:color="000000"/>
              <w:bottom w:val="single" w:sz="16" w:space="0" w:color="000000"/>
              <w:right w:val="single" w:sz="16" w:space="0" w:color="000000"/>
            </w:tcBorders>
            <w:shd w:val="clear" w:color="auto" w:fill="FFFFFF"/>
            <w:vAlign w:val="bottom"/>
          </w:tcPr>
          <w:p w:rsidR="00787446" w:rsidRPr="000B3455" w:rsidRDefault="00787446" w:rsidP="00787446">
            <w:pPr>
              <w:autoSpaceDE w:val="0"/>
              <w:autoSpaceDN w:val="0"/>
              <w:adjustRightInd w:val="0"/>
              <w:spacing w:after="0" w:line="320" w:lineRule="atLeast"/>
              <w:ind w:left="60" w:right="60"/>
              <w:jc w:val="center"/>
              <w:rPr>
                <w:rFonts w:cs="Arial"/>
                <w:color w:val="000000"/>
              </w:rPr>
            </w:pPr>
            <w:r w:rsidRPr="000B3455">
              <w:rPr>
                <w:rFonts w:cs="Arial"/>
                <w:color w:val="000000"/>
              </w:rPr>
              <w:t>Sig.</w:t>
            </w:r>
          </w:p>
        </w:tc>
      </w:tr>
      <w:tr w:rsidR="00787446" w:rsidRPr="000B3455" w:rsidTr="00787446">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1</w:t>
            </w:r>
          </w:p>
        </w:tc>
        <w:tc>
          <w:tcPr>
            <w:tcW w:w="1272" w:type="dxa"/>
            <w:tcBorders>
              <w:top w:val="single" w:sz="16" w:space="0" w:color="000000"/>
              <w:left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Regression</w:t>
            </w:r>
          </w:p>
        </w:tc>
        <w:tc>
          <w:tcPr>
            <w:tcW w:w="1455" w:type="dxa"/>
            <w:tcBorders>
              <w:top w:val="single" w:sz="16" w:space="0" w:color="000000"/>
              <w:left w:val="single" w:sz="16" w:space="0" w:color="000000"/>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4719,364</w:t>
            </w:r>
          </w:p>
        </w:tc>
        <w:tc>
          <w:tcPr>
            <w:tcW w:w="1009" w:type="dxa"/>
            <w:tcBorders>
              <w:top w:val="single" w:sz="16" w:space="0" w:color="000000"/>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18</w:t>
            </w:r>
          </w:p>
        </w:tc>
        <w:tc>
          <w:tcPr>
            <w:tcW w:w="1397" w:type="dxa"/>
            <w:tcBorders>
              <w:top w:val="single" w:sz="16" w:space="0" w:color="000000"/>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262,187</w:t>
            </w:r>
          </w:p>
        </w:tc>
        <w:tc>
          <w:tcPr>
            <w:tcW w:w="1010" w:type="dxa"/>
            <w:tcBorders>
              <w:top w:val="single" w:sz="16" w:space="0" w:color="000000"/>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1,364</w:t>
            </w:r>
          </w:p>
        </w:tc>
        <w:tc>
          <w:tcPr>
            <w:tcW w:w="1010" w:type="dxa"/>
            <w:tcBorders>
              <w:top w:val="single" w:sz="16" w:space="0" w:color="000000"/>
              <w:bottom w:val="nil"/>
              <w:right w:val="single" w:sz="16" w:space="0" w:color="000000"/>
            </w:tcBorders>
            <w:shd w:val="clear" w:color="auto" w:fill="FFFFFF"/>
          </w:tcPr>
          <w:p w:rsidR="00787446" w:rsidRPr="000B3455" w:rsidRDefault="00787446" w:rsidP="00C87238">
            <w:pPr>
              <w:autoSpaceDE w:val="0"/>
              <w:autoSpaceDN w:val="0"/>
              <w:adjustRightInd w:val="0"/>
              <w:spacing w:after="0" w:line="320" w:lineRule="atLeast"/>
              <w:ind w:left="60" w:right="60"/>
              <w:jc w:val="right"/>
              <w:rPr>
                <w:rFonts w:cs="Arial"/>
                <w:color w:val="000000"/>
              </w:rPr>
            </w:pPr>
            <w:r w:rsidRPr="000B3455">
              <w:rPr>
                <w:rFonts w:cs="Arial"/>
                <w:color w:val="000000"/>
              </w:rPr>
              <w:t>,162</w:t>
            </w:r>
          </w:p>
        </w:tc>
      </w:tr>
      <w:tr w:rsidR="00787446" w:rsidRPr="000B3455" w:rsidTr="00787446">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787446" w:rsidRPr="000B3455" w:rsidRDefault="00787446" w:rsidP="00787446">
            <w:pPr>
              <w:autoSpaceDE w:val="0"/>
              <w:autoSpaceDN w:val="0"/>
              <w:adjustRightInd w:val="0"/>
              <w:spacing w:after="0" w:line="240" w:lineRule="auto"/>
              <w:rPr>
                <w:rFonts w:cs="Arial"/>
                <w:color w:val="000000"/>
              </w:rPr>
            </w:pPr>
          </w:p>
        </w:tc>
        <w:tc>
          <w:tcPr>
            <w:tcW w:w="1272" w:type="dxa"/>
            <w:tcBorders>
              <w:top w:val="nil"/>
              <w:left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Residual</w:t>
            </w:r>
          </w:p>
        </w:tc>
        <w:tc>
          <w:tcPr>
            <w:tcW w:w="1455" w:type="dxa"/>
            <w:tcBorders>
              <w:top w:val="nil"/>
              <w:left w:val="single" w:sz="16" w:space="0" w:color="000000"/>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23836,847</w:t>
            </w:r>
          </w:p>
        </w:tc>
        <w:tc>
          <w:tcPr>
            <w:tcW w:w="1009"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124</w:t>
            </w:r>
          </w:p>
        </w:tc>
        <w:tc>
          <w:tcPr>
            <w:tcW w:w="1397"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192,233</w:t>
            </w:r>
          </w:p>
        </w:tc>
        <w:tc>
          <w:tcPr>
            <w:tcW w:w="1010" w:type="dxa"/>
            <w:tcBorders>
              <w:top w:val="nil"/>
              <w:bottom w:val="nil"/>
            </w:tcBorders>
            <w:shd w:val="clear" w:color="auto" w:fill="FFFFFF"/>
            <w:vAlign w:val="center"/>
          </w:tcPr>
          <w:p w:rsidR="00787446" w:rsidRPr="000B3455" w:rsidRDefault="00787446" w:rsidP="00787446">
            <w:pPr>
              <w:autoSpaceDE w:val="0"/>
              <w:autoSpaceDN w:val="0"/>
              <w:adjustRightInd w:val="0"/>
              <w:spacing w:after="0" w:line="240" w:lineRule="auto"/>
              <w:jc w:val="center"/>
              <w:rPr>
                <w:rFonts w:cs="Times New Roman"/>
              </w:rPr>
            </w:pPr>
          </w:p>
        </w:tc>
        <w:tc>
          <w:tcPr>
            <w:tcW w:w="1010" w:type="dxa"/>
            <w:tcBorders>
              <w:top w:val="nil"/>
              <w:bottom w:val="nil"/>
              <w:right w:val="single" w:sz="16" w:space="0" w:color="000000"/>
            </w:tcBorders>
            <w:shd w:val="clear" w:color="auto" w:fill="FFFFFF"/>
            <w:vAlign w:val="center"/>
          </w:tcPr>
          <w:p w:rsidR="00787446" w:rsidRPr="000B3455" w:rsidRDefault="00787446" w:rsidP="00787446">
            <w:pPr>
              <w:autoSpaceDE w:val="0"/>
              <w:autoSpaceDN w:val="0"/>
              <w:adjustRightInd w:val="0"/>
              <w:spacing w:after="0" w:line="240" w:lineRule="auto"/>
              <w:jc w:val="center"/>
              <w:rPr>
                <w:rFonts w:cs="Times New Roman"/>
              </w:rPr>
            </w:pPr>
          </w:p>
        </w:tc>
      </w:tr>
      <w:tr w:rsidR="00787446" w:rsidRPr="000B3455" w:rsidTr="00787446">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787446" w:rsidRPr="000B3455" w:rsidRDefault="00787446" w:rsidP="00787446">
            <w:pPr>
              <w:autoSpaceDE w:val="0"/>
              <w:autoSpaceDN w:val="0"/>
              <w:adjustRightInd w:val="0"/>
              <w:spacing w:after="0" w:line="240" w:lineRule="auto"/>
              <w:rPr>
                <w:rFonts w:cs="Times New Roman"/>
              </w:rPr>
            </w:pPr>
          </w:p>
        </w:tc>
        <w:tc>
          <w:tcPr>
            <w:tcW w:w="1272" w:type="dxa"/>
            <w:tcBorders>
              <w:top w:val="nil"/>
              <w:left w:val="nil"/>
              <w:bottom w:val="single" w:sz="16" w:space="0" w:color="000000"/>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Total</w:t>
            </w:r>
          </w:p>
        </w:tc>
        <w:tc>
          <w:tcPr>
            <w:tcW w:w="1455" w:type="dxa"/>
            <w:tcBorders>
              <w:top w:val="nil"/>
              <w:left w:val="single" w:sz="16" w:space="0" w:color="000000"/>
              <w:bottom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28556,210</w:t>
            </w:r>
          </w:p>
        </w:tc>
        <w:tc>
          <w:tcPr>
            <w:tcW w:w="1009" w:type="dxa"/>
            <w:tcBorders>
              <w:top w:val="nil"/>
              <w:bottom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142</w:t>
            </w:r>
          </w:p>
        </w:tc>
        <w:tc>
          <w:tcPr>
            <w:tcW w:w="1397" w:type="dxa"/>
            <w:tcBorders>
              <w:top w:val="nil"/>
              <w:bottom w:val="single" w:sz="16" w:space="0" w:color="000000"/>
            </w:tcBorders>
            <w:shd w:val="clear" w:color="auto" w:fill="FFFFFF"/>
            <w:vAlign w:val="center"/>
          </w:tcPr>
          <w:p w:rsidR="00787446" w:rsidRPr="000B3455" w:rsidRDefault="00787446" w:rsidP="00787446">
            <w:pPr>
              <w:autoSpaceDE w:val="0"/>
              <w:autoSpaceDN w:val="0"/>
              <w:adjustRightInd w:val="0"/>
              <w:spacing w:after="0" w:line="240" w:lineRule="auto"/>
              <w:jc w:val="center"/>
              <w:rPr>
                <w:rFonts w:cs="Times New Roman"/>
              </w:rPr>
            </w:pPr>
          </w:p>
        </w:tc>
        <w:tc>
          <w:tcPr>
            <w:tcW w:w="1010" w:type="dxa"/>
            <w:tcBorders>
              <w:top w:val="nil"/>
              <w:bottom w:val="single" w:sz="16" w:space="0" w:color="000000"/>
            </w:tcBorders>
            <w:shd w:val="clear" w:color="auto" w:fill="FFFFFF"/>
            <w:vAlign w:val="center"/>
          </w:tcPr>
          <w:p w:rsidR="00787446" w:rsidRPr="000B3455" w:rsidRDefault="00787446" w:rsidP="00787446">
            <w:pPr>
              <w:autoSpaceDE w:val="0"/>
              <w:autoSpaceDN w:val="0"/>
              <w:adjustRightInd w:val="0"/>
              <w:spacing w:after="0" w:line="240" w:lineRule="auto"/>
              <w:jc w:val="center"/>
              <w:rPr>
                <w:rFonts w:cs="Times New Roman"/>
              </w:rPr>
            </w:pPr>
          </w:p>
        </w:tc>
        <w:tc>
          <w:tcPr>
            <w:tcW w:w="1010" w:type="dxa"/>
            <w:tcBorders>
              <w:top w:val="nil"/>
              <w:bottom w:val="single" w:sz="16" w:space="0" w:color="000000"/>
              <w:right w:val="single" w:sz="16" w:space="0" w:color="000000"/>
            </w:tcBorders>
            <w:shd w:val="clear" w:color="auto" w:fill="FFFFFF"/>
            <w:vAlign w:val="center"/>
          </w:tcPr>
          <w:p w:rsidR="00787446" w:rsidRPr="000B3455" w:rsidRDefault="00787446" w:rsidP="00787446">
            <w:pPr>
              <w:autoSpaceDE w:val="0"/>
              <w:autoSpaceDN w:val="0"/>
              <w:adjustRightInd w:val="0"/>
              <w:spacing w:after="0" w:line="240" w:lineRule="auto"/>
              <w:jc w:val="center"/>
              <w:rPr>
                <w:rFonts w:cs="Times New Roman"/>
              </w:rPr>
            </w:pPr>
          </w:p>
        </w:tc>
      </w:tr>
      <w:tr w:rsidR="00787446" w:rsidRPr="000B3455" w:rsidTr="00787446">
        <w:trPr>
          <w:cantSplit/>
          <w:tblHeader/>
        </w:trPr>
        <w:tc>
          <w:tcPr>
            <w:tcW w:w="7880" w:type="dxa"/>
            <w:gridSpan w:val="7"/>
            <w:tcBorders>
              <w:top w:val="nil"/>
              <w:left w:val="nil"/>
              <w:bottom w:val="nil"/>
              <w:right w:val="nil"/>
            </w:tcBorders>
            <w:shd w:val="clear" w:color="auto" w:fill="FFFFFF"/>
          </w:tcPr>
          <w:p w:rsidR="00787446" w:rsidRPr="000B3455" w:rsidRDefault="00C87238" w:rsidP="00787446">
            <w:pPr>
              <w:autoSpaceDE w:val="0"/>
              <w:autoSpaceDN w:val="0"/>
              <w:adjustRightInd w:val="0"/>
              <w:spacing w:after="0" w:line="320" w:lineRule="atLeast"/>
              <w:ind w:left="60" w:right="60"/>
              <w:rPr>
                <w:rFonts w:cs="Arial"/>
                <w:color w:val="000000"/>
              </w:rPr>
            </w:pPr>
            <w:r>
              <w:rPr>
                <w:rFonts w:cstheme="minorHAnsi"/>
                <w:i/>
              </w:rPr>
              <w:t>Δ PR_FV_SHA</w:t>
            </w:r>
            <w:r>
              <w:rPr>
                <w:rFonts w:eastAsia="SymbolMT" w:cstheme="minorHAnsi"/>
                <w:i/>
                <w:vertAlign w:val="subscript"/>
                <w:lang w:eastAsia="nl-NL"/>
              </w:rPr>
              <w:t>it</w:t>
            </w:r>
            <w:r>
              <w:rPr>
                <w:rFonts w:eastAsia="SymbolMT" w:cstheme="minorHAnsi"/>
                <w:lang w:eastAsia="nl-NL"/>
              </w:rPr>
              <w:t xml:space="preserve"> </w:t>
            </w:r>
            <w:r>
              <w:rPr>
                <w:rFonts w:eastAsia="SymbolMT" w:cstheme="minorHAnsi"/>
                <w:i/>
                <w:lang w:eastAsia="nl-NL"/>
              </w:rPr>
              <w:t>= α</w:t>
            </w:r>
            <w:r>
              <w:rPr>
                <w:rFonts w:eastAsia="SymbolMT" w:cstheme="minorHAnsi"/>
                <w:i/>
                <w:vertAlign w:val="subscript"/>
                <w:lang w:eastAsia="nl-NL"/>
              </w:rPr>
              <w:t>0</w:t>
            </w:r>
            <w:r>
              <w:rPr>
                <w:rFonts w:eastAsia="SymbolMT" w:cstheme="minorHAnsi"/>
                <w:i/>
                <w:lang w:eastAsia="nl-NL"/>
              </w:rPr>
              <w:t xml:space="preserve"> + α</w:t>
            </w:r>
            <w:r>
              <w:rPr>
                <w:rFonts w:eastAsia="SymbolMT" w:cstheme="minorHAnsi"/>
                <w:i/>
                <w:vertAlign w:val="subscript"/>
                <w:lang w:eastAsia="nl-NL"/>
              </w:rPr>
              <w:t xml:space="preserve">1 </w:t>
            </w:r>
            <w:r>
              <w:rPr>
                <w:rFonts w:eastAsia="SymbolMT" w:cstheme="minorHAnsi"/>
                <w:i/>
                <w:lang w:eastAsia="nl-NL"/>
              </w:rPr>
              <w:t>Δ PR_FV_STO</w:t>
            </w:r>
            <w:r>
              <w:rPr>
                <w:rFonts w:eastAsia="SymbolMT" w:cstheme="minorHAnsi"/>
                <w:i/>
                <w:vertAlign w:val="subscript"/>
                <w:lang w:eastAsia="nl-NL"/>
              </w:rPr>
              <w:t>it</w:t>
            </w:r>
            <w:r>
              <w:rPr>
                <w:rFonts w:eastAsia="SymbolMT" w:cstheme="minorHAnsi"/>
                <w:i/>
                <w:lang w:eastAsia="nl-NL"/>
              </w:rPr>
              <w:t xml:space="preserve"> +  α</w:t>
            </w:r>
            <w:r>
              <w:rPr>
                <w:rFonts w:eastAsia="SymbolMT" w:cstheme="minorHAnsi"/>
                <w:i/>
                <w:vertAlign w:val="subscript"/>
                <w:lang w:eastAsia="nl-NL"/>
              </w:rPr>
              <w:t>2</w:t>
            </w:r>
            <w:r>
              <w:rPr>
                <w:rFonts w:eastAsia="SymbolMT" w:cstheme="minorHAnsi"/>
                <w:i/>
                <w:lang w:eastAsia="nl-NL"/>
              </w:rPr>
              <w:t xml:space="preserve"> 2004 + α</w:t>
            </w:r>
            <w:r>
              <w:rPr>
                <w:rFonts w:eastAsia="SymbolMT" w:cstheme="minorHAnsi"/>
                <w:i/>
                <w:vertAlign w:val="subscript"/>
                <w:lang w:eastAsia="nl-NL"/>
              </w:rPr>
              <w:t xml:space="preserve">3 </w:t>
            </w:r>
            <w:r>
              <w:rPr>
                <w:rFonts w:eastAsia="SymbolMT" w:cstheme="minorHAnsi"/>
                <w:i/>
                <w:lang w:eastAsia="nl-NL"/>
              </w:rPr>
              <w:t>2005 + α</w:t>
            </w:r>
            <w:r>
              <w:rPr>
                <w:rFonts w:eastAsia="SymbolMT" w:cstheme="minorHAnsi"/>
                <w:i/>
                <w:vertAlign w:val="subscript"/>
                <w:lang w:eastAsia="nl-NL"/>
              </w:rPr>
              <w:t>4</w:t>
            </w:r>
            <w:r>
              <w:rPr>
                <w:rFonts w:eastAsia="SymbolMT" w:cstheme="minorHAnsi"/>
                <w:i/>
                <w:lang w:eastAsia="nl-NL"/>
              </w:rPr>
              <w:t xml:space="preserve"> 2006 + α</w:t>
            </w:r>
            <w:r>
              <w:rPr>
                <w:rFonts w:eastAsia="SymbolMT" w:cstheme="minorHAnsi"/>
                <w:i/>
                <w:vertAlign w:val="subscript"/>
                <w:lang w:eastAsia="nl-NL"/>
              </w:rPr>
              <w:t xml:space="preserve">5 </w:t>
            </w:r>
            <w:r>
              <w:rPr>
                <w:rFonts w:cstheme="minorHAnsi"/>
                <w:i/>
              </w:rPr>
              <w:t xml:space="preserve">2007 + </w:t>
            </w:r>
            <w:r>
              <w:rPr>
                <w:rFonts w:eastAsia="SymbolMT" w:cstheme="minorHAnsi"/>
                <w:i/>
                <w:lang w:eastAsia="nl-NL"/>
              </w:rPr>
              <w:t>α</w:t>
            </w:r>
            <w:r>
              <w:rPr>
                <w:rFonts w:eastAsia="SymbolMT" w:cstheme="minorHAnsi"/>
                <w:i/>
                <w:vertAlign w:val="subscript"/>
                <w:lang w:eastAsia="nl-NL"/>
              </w:rPr>
              <w:t xml:space="preserve">6 </w:t>
            </w:r>
            <w:r>
              <w:rPr>
                <w:i/>
              </w:rPr>
              <w:t>LN_ASSETS</w:t>
            </w:r>
            <w:r>
              <w:rPr>
                <w:i/>
                <w:vertAlign w:val="subscript"/>
              </w:rPr>
              <w:t>it</w:t>
            </w:r>
            <w:r>
              <w:rPr>
                <w:i/>
              </w:rPr>
              <w:t xml:space="preserve"> + </w:t>
            </w:r>
            <w:r>
              <w:rPr>
                <w:rFonts w:eastAsia="SymbolMT" w:cstheme="minorHAnsi"/>
                <w:i/>
                <w:lang w:eastAsia="nl-NL"/>
              </w:rPr>
              <w:t>α</w:t>
            </w:r>
            <w:r>
              <w:rPr>
                <w:rFonts w:cstheme="minorHAnsi"/>
                <w:i/>
                <w:vertAlign w:val="subscript"/>
              </w:rPr>
              <w:t xml:space="preserve">7 </w:t>
            </w:r>
            <w:r>
              <w:rPr>
                <w:i/>
              </w:rPr>
              <w:t>MTB</w:t>
            </w:r>
            <w:r>
              <w:rPr>
                <w:i/>
                <w:vertAlign w:val="subscript"/>
              </w:rPr>
              <w:t>it</w:t>
            </w:r>
            <w:r>
              <w:rPr>
                <w:rFonts w:cstheme="minorHAnsi"/>
                <w:i/>
              </w:rPr>
              <w:t xml:space="preserve"> + </w:t>
            </w:r>
            <w:r>
              <w:rPr>
                <w:rFonts w:eastAsia="SymbolMT" w:cstheme="minorHAnsi"/>
                <w:i/>
                <w:lang w:eastAsia="nl-NL"/>
              </w:rPr>
              <w:t>α</w:t>
            </w:r>
            <w:r>
              <w:rPr>
                <w:rFonts w:cstheme="minorHAnsi"/>
                <w:i/>
                <w:vertAlign w:val="subscript"/>
              </w:rPr>
              <w:t xml:space="preserve">8 </w:t>
            </w:r>
            <w:r>
              <w:rPr>
                <w:i/>
              </w:rPr>
              <w:t>RET</w:t>
            </w:r>
            <w:r>
              <w:rPr>
                <w:i/>
                <w:vertAlign w:val="subscript"/>
              </w:rPr>
              <w:t>it</w:t>
            </w:r>
            <w:r>
              <w:rPr>
                <w:rFonts w:cstheme="minorHAnsi"/>
                <w:i/>
              </w:rPr>
              <w:t xml:space="preserve"> + </w:t>
            </w:r>
            <w:r>
              <w:rPr>
                <w:rFonts w:eastAsia="SymbolMT" w:cstheme="minorHAnsi"/>
                <w:i/>
                <w:lang w:eastAsia="nl-NL"/>
              </w:rPr>
              <w:t>α</w:t>
            </w:r>
            <w:r>
              <w:rPr>
                <w:rFonts w:cstheme="minorHAnsi"/>
                <w:i/>
                <w:vertAlign w:val="subscript"/>
              </w:rPr>
              <w:t xml:space="preserve">9 </w:t>
            </w:r>
            <w:r>
              <w:rPr>
                <w:i/>
              </w:rPr>
              <w:t>VOL</w:t>
            </w:r>
            <w:r>
              <w:rPr>
                <w:i/>
                <w:vertAlign w:val="subscript"/>
              </w:rPr>
              <w:t>it</w:t>
            </w:r>
            <w:r>
              <w:rPr>
                <w:rFonts w:cstheme="minorHAnsi"/>
                <w:i/>
              </w:rPr>
              <w:t xml:space="preserve"> + </w:t>
            </w:r>
            <w:r>
              <w:rPr>
                <w:rFonts w:eastAsia="SymbolMT" w:cstheme="minorHAnsi"/>
                <w:i/>
                <w:lang w:eastAsia="nl-NL"/>
              </w:rPr>
              <w:t>α</w:t>
            </w:r>
            <w:r>
              <w:rPr>
                <w:rFonts w:cstheme="minorHAnsi"/>
                <w:i/>
                <w:vertAlign w:val="subscript"/>
              </w:rPr>
              <w:t xml:space="preserve">10 </w:t>
            </w:r>
            <w:r>
              <w:rPr>
                <w:i/>
              </w:rPr>
              <w:t>BOA_SIZE</w:t>
            </w:r>
            <w:r>
              <w:rPr>
                <w:i/>
                <w:vertAlign w:val="subscript"/>
              </w:rPr>
              <w:t>it</w:t>
            </w:r>
            <w:r>
              <w:rPr>
                <w:rFonts w:cstheme="minorHAnsi"/>
                <w:i/>
              </w:rPr>
              <w:t xml:space="preserve"> + </w:t>
            </w:r>
            <w:r>
              <w:rPr>
                <w:rFonts w:eastAsia="SymbolMT" w:cstheme="minorHAnsi"/>
                <w:i/>
                <w:lang w:eastAsia="nl-NL"/>
              </w:rPr>
              <w:t>α</w:t>
            </w:r>
            <w:r>
              <w:rPr>
                <w:rFonts w:cstheme="minorHAnsi"/>
                <w:i/>
                <w:vertAlign w:val="subscript"/>
              </w:rPr>
              <w:t xml:space="preserve">11 </w:t>
            </w:r>
            <w:r>
              <w:rPr>
                <w:i/>
              </w:rPr>
              <w:t>LIQ_CON</w:t>
            </w:r>
            <w:r>
              <w:rPr>
                <w:i/>
                <w:vertAlign w:val="subscript"/>
              </w:rPr>
              <w:t>it</w:t>
            </w:r>
            <w:r>
              <w:rPr>
                <w:rFonts w:cstheme="minorHAnsi"/>
                <w:i/>
              </w:rPr>
              <w:t xml:space="preserve"> + ∑ </w:t>
            </w:r>
            <w:r>
              <w:rPr>
                <w:i/>
              </w:rPr>
              <w:t>IND_DUMM</w:t>
            </w:r>
            <w:r>
              <w:rPr>
                <w:i/>
                <w:vertAlign w:val="subscript"/>
              </w:rPr>
              <w:t>it</w:t>
            </w:r>
            <w:r>
              <w:rPr>
                <w:i/>
              </w:rPr>
              <w:t xml:space="preserve"> + </w:t>
            </w:r>
            <w:r>
              <w:rPr>
                <w:rFonts w:hAnsi="Times New Roman" w:cs="Times New Roman"/>
                <w:i/>
              </w:rPr>
              <w:t>ɛ</w:t>
            </w:r>
            <w:r>
              <w:rPr>
                <w:i/>
                <w:vertAlign w:val="subscript"/>
              </w:rPr>
              <w:t>it</w:t>
            </w:r>
          </w:p>
        </w:tc>
      </w:tr>
      <w:tr w:rsidR="00787446" w:rsidRPr="000B3455" w:rsidTr="00787446">
        <w:trPr>
          <w:cantSplit/>
        </w:trPr>
        <w:tc>
          <w:tcPr>
            <w:tcW w:w="7880" w:type="dxa"/>
            <w:gridSpan w:val="7"/>
            <w:tcBorders>
              <w:top w:val="nil"/>
              <w:left w:val="nil"/>
              <w:bottom w:val="nil"/>
              <w:right w:val="nil"/>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p>
        </w:tc>
      </w:tr>
    </w:tbl>
    <w:p w:rsidR="00787446" w:rsidRPr="000B3455" w:rsidRDefault="00C87238" w:rsidP="00C87238">
      <w:pPr>
        <w:pStyle w:val="Caption"/>
        <w:rPr>
          <w:rFonts w:cs="Times New Roman"/>
          <w:b w:val="0"/>
        </w:rPr>
      </w:pPr>
      <w:bookmarkStart w:id="143" w:name="_Ref298857600"/>
      <w:r>
        <w:t xml:space="preserve">Table </w:t>
      </w:r>
      <w:fldSimple w:instr=" SEQ Table \* ARABIC ">
        <w:r w:rsidR="001D5F9A">
          <w:rPr>
            <w:noProof/>
          </w:rPr>
          <w:t>15</w:t>
        </w:r>
      </w:fldSimple>
      <w:r>
        <w:t xml:space="preserve">: </w:t>
      </w:r>
      <w:r w:rsidRPr="00C87238">
        <w:rPr>
          <w:color w:val="auto"/>
        </w:rPr>
        <w:t>SPSS analysis of variance</w:t>
      </w:r>
      <w:bookmarkEnd w:id="143"/>
    </w:p>
    <w:p w:rsidR="00787446" w:rsidRPr="000B3455" w:rsidRDefault="00B92B41" w:rsidP="00B92B41">
      <w:pPr>
        <w:rPr>
          <w:rFonts w:cs="Times New Roman"/>
        </w:rPr>
      </w:pPr>
      <w:r>
        <w:rPr>
          <w:rFonts w:cs="Times New Roman"/>
        </w:rPr>
        <w:br w:type="page"/>
      </w:r>
    </w:p>
    <w:tbl>
      <w:tblPr>
        <w:tblW w:w="103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0"/>
        <w:gridCol w:w="2433"/>
        <w:gridCol w:w="1327"/>
        <w:gridCol w:w="1325"/>
        <w:gridCol w:w="1459"/>
        <w:gridCol w:w="1013"/>
        <w:gridCol w:w="1013"/>
        <w:gridCol w:w="1013"/>
      </w:tblGrid>
      <w:tr w:rsidR="00787446" w:rsidRPr="000B3455" w:rsidTr="00787446">
        <w:trPr>
          <w:cantSplit/>
          <w:tblHeader/>
        </w:trPr>
        <w:tc>
          <w:tcPr>
            <w:tcW w:w="9300" w:type="dxa"/>
            <w:gridSpan w:val="7"/>
            <w:tcBorders>
              <w:top w:val="nil"/>
              <w:left w:val="nil"/>
              <w:bottom w:val="nil"/>
              <w:right w:val="nil"/>
            </w:tcBorders>
            <w:shd w:val="clear" w:color="auto" w:fill="FFFFFF"/>
            <w:vAlign w:val="center"/>
          </w:tcPr>
          <w:p w:rsidR="00787446" w:rsidRPr="000B3455" w:rsidRDefault="00787446" w:rsidP="00787446">
            <w:pPr>
              <w:autoSpaceDE w:val="0"/>
              <w:autoSpaceDN w:val="0"/>
              <w:adjustRightInd w:val="0"/>
              <w:spacing w:after="0" w:line="320" w:lineRule="atLeast"/>
              <w:ind w:left="60" w:right="60"/>
              <w:jc w:val="center"/>
              <w:rPr>
                <w:rFonts w:cs="Arial"/>
                <w:color w:val="000000"/>
              </w:rPr>
            </w:pPr>
            <w:r w:rsidRPr="000B3455">
              <w:rPr>
                <w:rFonts w:cs="Arial"/>
                <w:b/>
                <w:bCs/>
                <w:color w:val="000000"/>
              </w:rPr>
              <w:lastRenderedPageBreak/>
              <w:t>Coefficients</w:t>
            </w:r>
            <w:r w:rsidRPr="000B3455">
              <w:rPr>
                <w:rFonts w:cs="Arial"/>
                <w:b/>
                <w:bCs/>
                <w:color w:val="000000"/>
                <w:vertAlign w:val="superscript"/>
              </w:rPr>
              <w:t>a</w:t>
            </w:r>
          </w:p>
        </w:tc>
        <w:tc>
          <w:tcPr>
            <w:tcW w:w="1013" w:type="dxa"/>
            <w:tcBorders>
              <w:top w:val="nil"/>
              <w:left w:val="nil"/>
              <w:bottom w:val="nil"/>
              <w:right w:val="nil"/>
            </w:tcBorders>
            <w:shd w:val="clear" w:color="auto" w:fill="FFFFFF"/>
          </w:tcPr>
          <w:p w:rsidR="00787446" w:rsidRPr="000B3455" w:rsidRDefault="00787446" w:rsidP="00787446">
            <w:pPr>
              <w:autoSpaceDE w:val="0"/>
              <w:autoSpaceDN w:val="0"/>
              <w:adjustRightInd w:val="0"/>
              <w:spacing w:after="0" w:line="320" w:lineRule="atLeast"/>
              <w:ind w:left="60" w:right="60"/>
              <w:jc w:val="center"/>
              <w:rPr>
                <w:rFonts w:cs="Arial"/>
                <w:b/>
                <w:bCs/>
                <w:color w:val="000000"/>
              </w:rPr>
            </w:pPr>
          </w:p>
        </w:tc>
      </w:tr>
      <w:tr w:rsidR="00787446" w:rsidRPr="000B3455" w:rsidTr="00787446">
        <w:trPr>
          <w:cantSplit/>
          <w:tblHeader/>
        </w:trPr>
        <w:tc>
          <w:tcPr>
            <w:tcW w:w="3163"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Model</w:t>
            </w:r>
          </w:p>
        </w:tc>
        <w:tc>
          <w:tcPr>
            <w:tcW w:w="2652" w:type="dxa"/>
            <w:gridSpan w:val="2"/>
            <w:tcBorders>
              <w:top w:val="single" w:sz="16" w:space="0" w:color="000000"/>
              <w:left w:val="single" w:sz="16" w:space="0" w:color="000000"/>
            </w:tcBorders>
            <w:shd w:val="clear" w:color="auto" w:fill="FFFFFF"/>
            <w:vAlign w:val="bottom"/>
          </w:tcPr>
          <w:p w:rsidR="00787446" w:rsidRPr="000B3455" w:rsidRDefault="00787446" w:rsidP="00787446">
            <w:pPr>
              <w:autoSpaceDE w:val="0"/>
              <w:autoSpaceDN w:val="0"/>
              <w:adjustRightInd w:val="0"/>
              <w:spacing w:after="0" w:line="320" w:lineRule="atLeast"/>
              <w:ind w:left="60" w:right="60"/>
              <w:jc w:val="center"/>
              <w:rPr>
                <w:rFonts w:cs="Arial"/>
                <w:color w:val="000000"/>
              </w:rPr>
            </w:pPr>
            <w:r w:rsidRPr="000B3455">
              <w:rPr>
                <w:rFonts w:cs="Arial"/>
                <w:color w:val="000000"/>
              </w:rPr>
              <w:t>Unstandardized Coefficients</w:t>
            </w:r>
          </w:p>
        </w:tc>
        <w:tc>
          <w:tcPr>
            <w:tcW w:w="1459" w:type="dxa"/>
            <w:tcBorders>
              <w:top w:val="single" w:sz="16" w:space="0" w:color="000000"/>
            </w:tcBorders>
            <w:shd w:val="clear" w:color="auto" w:fill="FFFFFF"/>
            <w:vAlign w:val="bottom"/>
          </w:tcPr>
          <w:p w:rsidR="00787446" w:rsidRPr="000B3455" w:rsidRDefault="00787446" w:rsidP="00787446">
            <w:pPr>
              <w:autoSpaceDE w:val="0"/>
              <w:autoSpaceDN w:val="0"/>
              <w:adjustRightInd w:val="0"/>
              <w:spacing w:after="0" w:line="320" w:lineRule="atLeast"/>
              <w:ind w:left="60" w:right="60"/>
              <w:jc w:val="center"/>
              <w:rPr>
                <w:rFonts w:cs="Arial"/>
                <w:color w:val="000000"/>
              </w:rPr>
            </w:pPr>
            <w:r w:rsidRPr="000B3455">
              <w:rPr>
                <w:rFonts w:cs="Arial"/>
                <w:color w:val="000000"/>
              </w:rPr>
              <w:t>Standardized Coefficients</w:t>
            </w:r>
          </w:p>
        </w:tc>
        <w:tc>
          <w:tcPr>
            <w:tcW w:w="1013" w:type="dxa"/>
            <w:vMerge w:val="restart"/>
            <w:tcBorders>
              <w:top w:val="single" w:sz="16" w:space="0" w:color="000000"/>
              <w:bottom w:val="single" w:sz="16" w:space="0" w:color="000000"/>
            </w:tcBorders>
            <w:shd w:val="clear" w:color="auto" w:fill="FFFFFF"/>
            <w:vAlign w:val="bottom"/>
          </w:tcPr>
          <w:p w:rsidR="00787446" w:rsidRPr="000B3455" w:rsidRDefault="00787446" w:rsidP="00787446">
            <w:pPr>
              <w:autoSpaceDE w:val="0"/>
              <w:autoSpaceDN w:val="0"/>
              <w:adjustRightInd w:val="0"/>
              <w:spacing w:after="0" w:line="320" w:lineRule="atLeast"/>
              <w:ind w:left="60" w:right="60"/>
              <w:jc w:val="center"/>
              <w:rPr>
                <w:rFonts w:cs="Arial"/>
                <w:color w:val="000000"/>
              </w:rPr>
            </w:pPr>
            <w:r w:rsidRPr="000B3455">
              <w:rPr>
                <w:rFonts w:cs="Arial"/>
                <w:color w:val="000000"/>
              </w:rPr>
              <w:t>t</w:t>
            </w:r>
          </w:p>
        </w:tc>
        <w:tc>
          <w:tcPr>
            <w:tcW w:w="1013" w:type="dxa"/>
            <w:vMerge w:val="restart"/>
            <w:tcBorders>
              <w:top w:val="single" w:sz="16" w:space="0" w:color="000000"/>
              <w:bottom w:val="single" w:sz="16" w:space="0" w:color="000000"/>
              <w:right w:val="single" w:sz="16" w:space="0" w:color="000000"/>
            </w:tcBorders>
            <w:shd w:val="clear" w:color="auto" w:fill="FFFFFF"/>
            <w:vAlign w:val="bottom"/>
          </w:tcPr>
          <w:p w:rsidR="00787446" w:rsidRPr="000B3455" w:rsidRDefault="00787446" w:rsidP="00787446">
            <w:pPr>
              <w:autoSpaceDE w:val="0"/>
              <w:autoSpaceDN w:val="0"/>
              <w:adjustRightInd w:val="0"/>
              <w:spacing w:after="0" w:line="320" w:lineRule="atLeast"/>
              <w:ind w:left="60" w:right="60"/>
              <w:jc w:val="center"/>
              <w:rPr>
                <w:rFonts w:cs="Arial"/>
                <w:color w:val="000000"/>
              </w:rPr>
            </w:pPr>
            <w:r w:rsidRPr="000B3455">
              <w:rPr>
                <w:rFonts w:cs="Arial"/>
                <w:color w:val="000000"/>
              </w:rPr>
              <w:t>Sig.</w:t>
            </w:r>
          </w:p>
        </w:tc>
        <w:tc>
          <w:tcPr>
            <w:tcW w:w="1013" w:type="dxa"/>
            <w:vMerge w:val="restart"/>
            <w:tcBorders>
              <w:top w:val="single" w:sz="16" w:space="0" w:color="000000"/>
              <w:right w:val="single" w:sz="16" w:space="0" w:color="000000"/>
            </w:tcBorders>
            <w:shd w:val="clear" w:color="auto" w:fill="FFFFFF"/>
            <w:vAlign w:val="bottom"/>
          </w:tcPr>
          <w:p w:rsidR="00787446" w:rsidRPr="000B3455" w:rsidRDefault="00787446" w:rsidP="00787446">
            <w:pPr>
              <w:autoSpaceDE w:val="0"/>
              <w:autoSpaceDN w:val="0"/>
              <w:adjustRightInd w:val="0"/>
              <w:spacing w:after="0" w:line="320" w:lineRule="atLeast"/>
              <w:ind w:left="60" w:right="60"/>
              <w:jc w:val="center"/>
              <w:rPr>
                <w:rFonts w:cs="Arial"/>
                <w:color w:val="000000"/>
              </w:rPr>
            </w:pPr>
            <w:r w:rsidRPr="000B3455">
              <w:rPr>
                <w:rFonts w:cs="Arial"/>
                <w:color w:val="000000"/>
              </w:rPr>
              <w:t>Sig. 1-tailed</w:t>
            </w:r>
          </w:p>
        </w:tc>
      </w:tr>
      <w:tr w:rsidR="00787446" w:rsidRPr="000B3455" w:rsidTr="00787446">
        <w:trPr>
          <w:cantSplit/>
          <w:tblHeader/>
        </w:trPr>
        <w:tc>
          <w:tcPr>
            <w:tcW w:w="3163" w:type="dxa"/>
            <w:gridSpan w:val="2"/>
            <w:vMerge/>
            <w:tcBorders>
              <w:top w:val="single" w:sz="16" w:space="0" w:color="000000"/>
              <w:left w:val="single" w:sz="16" w:space="0" w:color="000000"/>
              <w:bottom w:val="single" w:sz="16" w:space="0" w:color="000000"/>
              <w:right w:val="single" w:sz="16" w:space="0" w:color="000000"/>
            </w:tcBorders>
            <w:shd w:val="clear" w:color="auto" w:fill="FFFFFF"/>
          </w:tcPr>
          <w:p w:rsidR="00787446" w:rsidRPr="000B3455" w:rsidRDefault="00787446" w:rsidP="00787446">
            <w:pPr>
              <w:autoSpaceDE w:val="0"/>
              <w:autoSpaceDN w:val="0"/>
              <w:adjustRightInd w:val="0"/>
              <w:spacing w:after="0" w:line="240" w:lineRule="auto"/>
              <w:rPr>
                <w:rFonts w:cs="Arial"/>
                <w:color w:val="000000"/>
              </w:rPr>
            </w:pPr>
          </w:p>
        </w:tc>
        <w:tc>
          <w:tcPr>
            <w:tcW w:w="1327" w:type="dxa"/>
            <w:tcBorders>
              <w:left w:val="single" w:sz="16" w:space="0" w:color="000000"/>
              <w:bottom w:val="single" w:sz="16" w:space="0" w:color="000000"/>
            </w:tcBorders>
            <w:shd w:val="clear" w:color="auto" w:fill="FFFFFF"/>
            <w:vAlign w:val="bottom"/>
          </w:tcPr>
          <w:p w:rsidR="00787446" w:rsidRPr="000B3455" w:rsidRDefault="00787446" w:rsidP="00787446">
            <w:pPr>
              <w:autoSpaceDE w:val="0"/>
              <w:autoSpaceDN w:val="0"/>
              <w:adjustRightInd w:val="0"/>
              <w:spacing w:after="0" w:line="320" w:lineRule="atLeast"/>
              <w:ind w:left="60" w:right="60"/>
              <w:jc w:val="center"/>
              <w:rPr>
                <w:rFonts w:cs="Arial"/>
                <w:color w:val="000000"/>
              </w:rPr>
            </w:pPr>
            <w:r w:rsidRPr="000B3455">
              <w:rPr>
                <w:rFonts w:cs="Arial"/>
                <w:color w:val="000000"/>
              </w:rPr>
              <w:t>B</w:t>
            </w:r>
          </w:p>
        </w:tc>
        <w:tc>
          <w:tcPr>
            <w:tcW w:w="1325" w:type="dxa"/>
            <w:tcBorders>
              <w:bottom w:val="single" w:sz="16" w:space="0" w:color="000000"/>
            </w:tcBorders>
            <w:shd w:val="clear" w:color="auto" w:fill="FFFFFF"/>
            <w:vAlign w:val="bottom"/>
          </w:tcPr>
          <w:p w:rsidR="00787446" w:rsidRPr="000B3455" w:rsidRDefault="00787446" w:rsidP="00787446">
            <w:pPr>
              <w:autoSpaceDE w:val="0"/>
              <w:autoSpaceDN w:val="0"/>
              <w:adjustRightInd w:val="0"/>
              <w:spacing w:after="0" w:line="320" w:lineRule="atLeast"/>
              <w:ind w:left="60" w:right="60"/>
              <w:jc w:val="center"/>
              <w:rPr>
                <w:rFonts w:cs="Arial"/>
                <w:color w:val="000000"/>
              </w:rPr>
            </w:pPr>
            <w:r w:rsidRPr="000B3455">
              <w:rPr>
                <w:rFonts w:cs="Arial"/>
                <w:color w:val="000000"/>
              </w:rPr>
              <w:t>Std. Error</w:t>
            </w:r>
          </w:p>
        </w:tc>
        <w:tc>
          <w:tcPr>
            <w:tcW w:w="1459" w:type="dxa"/>
            <w:tcBorders>
              <w:bottom w:val="single" w:sz="16" w:space="0" w:color="000000"/>
            </w:tcBorders>
            <w:shd w:val="clear" w:color="auto" w:fill="FFFFFF"/>
            <w:vAlign w:val="bottom"/>
          </w:tcPr>
          <w:p w:rsidR="00787446" w:rsidRPr="000B3455" w:rsidRDefault="00787446" w:rsidP="00787446">
            <w:pPr>
              <w:autoSpaceDE w:val="0"/>
              <w:autoSpaceDN w:val="0"/>
              <w:adjustRightInd w:val="0"/>
              <w:spacing w:after="0" w:line="320" w:lineRule="atLeast"/>
              <w:ind w:left="60" w:right="60"/>
              <w:jc w:val="center"/>
              <w:rPr>
                <w:rFonts w:cs="Arial"/>
                <w:color w:val="000000"/>
              </w:rPr>
            </w:pPr>
            <w:r w:rsidRPr="000B3455">
              <w:rPr>
                <w:rFonts w:cs="Arial"/>
                <w:color w:val="000000"/>
              </w:rPr>
              <w:t>Beta</w:t>
            </w:r>
          </w:p>
        </w:tc>
        <w:tc>
          <w:tcPr>
            <w:tcW w:w="1013" w:type="dxa"/>
            <w:vMerge/>
            <w:tcBorders>
              <w:top w:val="single" w:sz="16" w:space="0" w:color="000000"/>
              <w:bottom w:val="single" w:sz="16" w:space="0" w:color="000000"/>
            </w:tcBorders>
            <w:shd w:val="clear" w:color="auto" w:fill="FFFFFF"/>
            <w:vAlign w:val="bottom"/>
          </w:tcPr>
          <w:p w:rsidR="00787446" w:rsidRPr="000B3455" w:rsidRDefault="00787446" w:rsidP="00787446">
            <w:pPr>
              <w:autoSpaceDE w:val="0"/>
              <w:autoSpaceDN w:val="0"/>
              <w:adjustRightInd w:val="0"/>
              <w:spacing w:after="0" w:line="240" w:lineRule="auto"/>
              <w:rPr>
                <w:rFonts w:cs="Arial"/>
                <w:color w:val="000000"/>
              </w:rPr>
            </w:pPr>
          </w:p>
        </w:tc>
        <w:tc>
          <w:tcPr>
            <w:tcW w:w="1013" w:type="dxa"/>
            <w:vMerge/>
            <w:tcBorders>
              <w:top w:val="single" w:sz="16" w:space="0" w:color="000000"/>
              <w:bottom w:val="single" w:sz="16" w:space="0" w:color="000000"/>
              <w:right w:val="single" w:sz="16" w:space="0" w:color="000000"/>
            </w:tcBorders>
            <w:shd w:val="clear" w:color="auto" w:fill="FFFFFF"/>
            <w:vAlign w:val="bottom"/>
          </w:tcPr>
          <w:p w:rsidR="00787446" w:rsidRPr="000B3455" w:rsidRDefault="00787446" w:rsidP="00787446">
            <w:pPr>
              <w:autoSpaceDE w:val="0"/>
              <w:autoSpaceDN w:val="0"/>
              <w:adjustRightInd w:val="0"/>
              <w:spacing w:after="0" w:line="240" w:lineRule="auto"/>
              <w:rPr>
                <w:rFonts w:cs="Arial"/>
                <w:color w:val="000000"/>
              </w:rPr>
            </w:pPr>
          </w:p>
        </w:tc>
        <w:tc>
          <w:tcPr>
            <w:tcW w:w="1013" w:type="dxa"/>
            <w:vMerge/>
            <w:tcBorders>
              <w:bottom w:val="single" w:sz="16" w:space="0" w:color="000000"/>
              <w:right w:val="single" w:sz="16" w:space="0" w:color="000000"/>
            </w:tcBorders>
            <w:shd w:val="clear" w:color="auto" w:fill="FFFFFF"/>
          </w:tcPr>
          <w:p w:rsidR="00787446" w:rsidRPr="000B3455" w:rsidRDefault="00787446" w:rsidP="00787446">
            <w:pPr>
              <w:autoSpaceDE w:val="0"/>
              <w:autoSpaceDN w:val="0"/>
              <w:adjustRightInd w:val="0"/>
              <w:spacing w:after="0" w:line="240" w:lineRule="auto"/>
              <w:rPr>
                <w:rFonts w:cs="Arial"/>
                <w:color w:val="000000"/>
              </w:rPr>
            </w:pPr>
          </w:p>
        </w:tc>
      </w:tr>
      <w:tr w:rsidR="00787446" w:rsidRPr="000B3455" w:rsidTr="005C202A">
        <w:trPr>
          <w:cantSplit/>
          <w:tblHeader/>
        </w:trPr>
        <w:tc>
          <w:tcPr>
            <w:tcW w:w="730" w:type="dxa"/>
            <w:vMerge w:val="restart"/>
            <w:tcBorders>
              <w:top w:val="single" w:sz="16" w:space="0" w:color="000000"/>
              <w:left w:val="single" w:sz="16" w:space="0" w:color="000000"/>
              <w:bottom w:val="single" w:sz="16" w:space="0" w:color="000000"/>
              <w:right w:val="nil"/>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1</w:t>
            </w:r>
          </w:p>
        </w:tc>
        <w:tc>
          <w:tcPr>
            <w:tcW w:w="2433" w:type="dxa"/>
            <w:tcBorders>
              <w:top w:val="single" w:sz="16" w:space="0" w:color="000000"/>
              <w:left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(Constant)</w:t>
            </w:r>
          </w:p>
        </w:tc>
        <w:tc>
          <w:tcPr>
            <w:tcW w:w="1327" w:type="dxa"/>
            <w:tcBorders>
              <w:top w:val="single" w:sz="16" w:space="0" w:color="000000"/>
              <w:left w:val="single" w:sz="16" w:space="0" w:color="000000"/>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1,852</w:t>
            </w:r>
          </w:p>
        </w:tc>
        <w:tc>
          <w:tcPr>
            <w:tcW w:w="1325" w:type="dxa"/>
            <w:tcBorders>
              <w:top w:val="single" w:sz="16" w:space="0" w:color="000000"/>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16,230</w:t>
            </w:r>
          </w:p>
        </w:tc>
        <w:tc>
          <w:tcPr>
            <w:tcW w:w="1459" w:type="dxa"/>
            <w:tcBorders>
              <w:top w:val="single" w:sz="16" w:space="0" w:color="000000"/>
              <w:bottom w:val="nil"/>
            </w:tcBorders>
            <w:shd w:val="clear" w:color="auto" w:fill="FFFFFF"/>
            <w:vAlign w:val="center"/>
          </w:tcPr>
          <w:p w:rsidR="00787446" w:rsidRPr="000B3455" w:rsidRDefault="00787446" w:rsidP="00787446">
            <w:pPr>
              <w:autoSpaceDE w:val="0"/>
              <w:autoSpaceDN w:val="0"/>
              <w:adjustRightInd w:val="0"/>
              <w:spacing w:after="0" w:line="240" w:lineRule="auto"/>
              <w:jc w:val="center"/>
              <w:rPr>
                <w:rFonts w:cs="Times New Roman"/>
              </w:rPr>
            </w:pPr>
          </w:p>
        </w:tc>
        <w:tc>
          <w:tcPr>
            <w:tcW w:w="1013" w:type="dxa"/>
            <w:tcBorders>
              <w:top w:val="single" w:sz="16" w:space="0" w:color="000000"/>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,114</w:t>
            </w:r>
          </w:p>
        </w:tc>
        <w:tc>
          <w:tcPr>
            <w:tcW w:w="1013" w:type="dxa"/>
            <w:tcBorders>
              <w:top w:val="single" w:sz="16" w:space="0" w:color="000000"/>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,909</w:t>
            </w:r>
          </w:p>
        </w:tc>
        <w:tc>
          <w:tcPr>
            <w:tcW w:w="1013" w:type="dxa"/>
            <w:tcBorders>
              <w:top w:val="single" w:sz="16" w:space="0" w:color="000000"/>
              <w:bottom w:val="nil"/>
              <w:right w:val="single" w:sz="16" w:space="0" w:color="000000"/>
            </w:tcBorders>
            <w:shd w:val="clear" w:color="auto" w:fill="FFFFFF"/>
          </w:tcPr>
          <w:p w:rsidR="00787446" w:rsidRPr="000B3455" w:rsidRDefault="00787446" w:rsidP="005C202A">
            <w:pPr>
              <w:autoSpaceDE w:val="0"/>
              <w:autoSpaceDN w:val="0"/>
              <w:adjustRightInd w:val="0"/>
              <w:spacing w:after="0" w:line="320" w:lineRule="atLeast"/>
              <w:ind w:left="60" w:right="60"/>
              <w:rPr>
                <w:rFonts w:cs="Arial"/>
                <w:color w:val="000000"/>
              </w:rPr>
            </w:pPr>
            <w:r w:rsidRPr="000B3455">
              <w:rPr>
                <w:rFonts w:cs="Arial"/>
                <w:color w:val="000000"/>
              </w:rPr>
              <w:t>,455</w:t>
            </w:r>
          </w:p>
        </w:tc>
      </w:tr>
      <w:tr w:rsidR="00787446"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787446" w:rsidRPr="000B3455" w:rsidRDefault="00787446" w:rsidP="00787446">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Delta_PR_FV_STO_EXCL_MCL</w:t>
            </w:r>
          </w:p>
        </w:tc>
        <w:tc>
          <w:tcPr>
            <w:tcW w:w="1327" w:type="dxa"/>
            <w:tcBorders>
              <w:top w:val="nil"/>
              <w:left w:val="single" w:sz="16" w:space="0" w:color="000000"/>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-,283</w:t>
            </w:r>
          </w:p>
        </w:tc>
        <w:tc>
          <w:tcPr>
            <w:tcW w:w="1325"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,102</w:t>
            </w:r>
          </w:p>
        </w:tc>
        <w:tc>
          <w:tcPr>
            <w:tcW w:w="1459"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-,243</w:t>
            </w:r>
          </w:p>
        </w:tc>
        <w:tc>
          <w:tcPr>
            <w:tcW w:w="1013"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-2,784</w:t>
            </w:r>
          </w:p>
        </w:tc>
        <w:tc>
          <w:tcPr>
            <w:tcW w:w="1013" w:type="dxa"/>
            <w:tcBorders>
              <w:top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,006</w:t>
            </w:r>
          </w:p>
        </w:tc>
        <w:tc>
          <w:tcPr>
            <w:tcW w:w="1013" w:type="dxa"/>
            <w:tcBorders>
              <w:top w:val="nil"/>
              <w:bottom w:val="nil"/>
              <w:right w:val="single" w:sz="16" w:space="0" w:color="000000"/>
            </w:tcBorders>
            <w:shd w:val="clear" w:color="auto" w:fill="FFFFFF"/>
          </w:tcPr>
          <w:p w:rsidR="00787446" w:rsidRPr="000B3455" w:rsidRDefault="00787446" w:rsidP="005C202A">
            <w:pPr>
              <w:autoSpaceDE w:val="0"/>
              <w:autoSpaceDN w:val="0"/>
              <w:adjustRightInd w:val="0"/>
              <w:spacing w:after="0" w:line="320" w:lineRule="atLeast"/>
              <w:ind w:left="60" w:right="60"/>
              <w:rPr>
                <w:rFonts w:cs="Arial"/>
                <w:color w:val="000000"/>
              </w:rPr>
            </w:pPr>
            <w:r w:rsidRPr="000B3455">
              <w:rPr>
                <w:rFonts w:cs="Arial"/>
                <w:color w:val="000000"/>
              </w:rPr>
              <w:t>,003</w:t>
            </w:r>
            <w:r w:rsidR="005C202A">
              <w:rPr>
                <w:rFonts w:cs="Arial"/>
                <w:color w:val="000000"/>
              </w:rPr>
              <w:t>***</w:t>
            </w:r>
          </w:p>
        </w:tc>
      </w:tr>
      <w:tr w:rsidR="00787446"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787446" w:rsidRPr="000B3455" w:rsidRDefault="00787446" w:rsidP="00787446">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D_2004</w:t>
            </w:r>
          </w:p>
        </w:tc>
        <w:tc>
          <w:tcPr>
            <w:tcW w:w="1327" w:type="dxa"/>
            <w:tcBorders>
              <w:top w:val="nil"/>
              <w:left w:val="single" w:sz="16" w:space="0" w:color="000000"/>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5,932</w:t>
            </w:r>
          </w:p>
        </w:tc>
        <w:tc>
          <w:tcPr>
            <w:tcW w:w="1325"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3,702</w:t>
            </w:r>
          </w:p>
        </w:tc>
        <w:tc>
          <w:tcPr>
            <w:tcW w:w="1459"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,169</w:t>
            </w:r>
          </w:p>
        </w:tc>
        <w:tc>
          <w:tcPr>
            <w:tcW w:w="1013"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1,603</w:t>
            </w:r>
          </w:p>
        </w:tc>
        <w:tc>
          <w:tcPr>
            <w:tcW w:w="1013" w:type="dxa"/>
            <w:tcBorders>
              <w:top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,112</w:t>
            </w:r>
          </w:p>
        </w:tc>
        <w:tc>
          <w:tcPr>
            <w:tcW w:w="1013" w:type="dxa"/>
            <w:tcBorders>
              <w:top w:val="nil"/>
              <w:bottom w:val="nil"/>
              <w:right w:val="single" w:sz="16" w:space="0" w:color="000000"/>
            </w:tcBorders>
            <w:shd w:val="clear" w:color="auto" w:fill="FFFFFF"/>
          </w:tcPr>
          <w:p w:rsidR="00787446" w:rsidRPr="000B3455" w:rsidRDefault="00787446" w:rsidP="005C202A">
            <w:pPr>
              <w:autoSpaceDE w:val="0"/>
              <w:autoSpaceDN w:val="0"/>
              <w:adjustRightInd w:val="0"/>
              <w:spacing w:after="0" w:line="320" w:lineRule="atLeast"/>
              <w:ind w:left="60" w:right="60"/>
              <w:rPr>
                <w:rFonts w:cs="Arial"/>
                <w:color w:val="000000"/>
              </w:rPr>
            </w:pPr>
            <w:r w:rsidRPr="000B3455">
              <w:rPr>
                <w:rFonts w:cs="Arial"/>
                <w:color w:val="000000"/>
              </w:rPr>
              <w:t>,056</w:t>
            </w:r>
            <w:r w:rsidR="005C202A">
              <w:rPr>
                <w:rFonts w:cs="Arial"/>
                <w:color w:val="000000"/>
              </w:rPr>
              <w:t>*</w:t>
            </w:r>
          </w:p>
        </w:tc>
      </w:tr>
      <w:tr w:rsidR="00787446"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787446" w:rsidRPr="000B3455" w:rsidRDefault="00787446" w:rsidP="00787446">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D_2005</w:t>
            </w:r>
          </w:p>
        </w:tc>
        <w:tc>
          <w:tcPr>
            <w:tcW w:w="1327" w:type="dxa"/>
            <w:tcBorders>
              <w:top w:val="nil"/>
              <w:left w:val="single" w:sz="16" w:space="0" w:color="000000"/>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-,225</w:t>
            </w:r>
          </w:p>
        </w:tc>
        <w:tc>
          <w:tcPr>
            <w:tcW w:w="1325"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3,771</w:t>
            </w:r>
          </w:p>
        </w:tc>
        <w:tc>
          <w:tcPr>
            <w:tcW w:w="1459"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-,006</w:t>
            </w:r>
          </w:p>
        </w:tc>
        <w:tc>
          <w:tcPr>
            <w:tcW w:w="1013"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-,060</w:t>
            </w:r>
          </w:p>
        </w:tc>
        <w:tc>
          <w:tcPr>
            <w:tcW w:w="1013" w:type="dxa"/>
            <w:tcBorders>
              <w:top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,953</w:t>
            </w:r>
          </w:p>
        </w:tc>
        <w:tc>
          <w:tcPr>
            <w:tcW w:w="1013" w:type="dxa"/>
            <w:tcBorders>
              <w:top w:val="nil"/>
              <w:bottom w:val="nil"/>
              <w:right w:val="single" w:sz="16" w:space="0" w:color="000000"/>
            </w:tcBorders>
            <w:shd w:val="clear" w:color="auto" w:fill="FFFFFF"/>
          </w:tcPr>
          <w:p w:rsidR="00787446" w:rsidRPr="000B3455" w:rsidRDefault="00787446" w:rsidP="005C202A">
            <w:pPr>
              <w:autoSpaceDE w:val="0"/>
              <w:autoSpaceDN w:val="0"/>
              <w:adjustRightInd w:val="0"/>
              <w:spacing w:after="0" w:line="320" w:lineRule="atLeast"/>
              <w:ind w:left="60" w:right="60"/>
              <w:rPr>
                <w:rFonts w:cs="Arial"/>
                <w:color w:val="000000"/>
              </w:rPr>
            </w:pPr>
            <w:r w:rsidRPr="000B3455">
              <w:rPr>
                <w:rFonts w:cs="Arial"/>
                <w:color w:val="000000"/>
              </w:rPr>
              <w:t>,477</w:t>
            </w:r>
          </w:p>
        </w:tc>
      </w:tr>
      <w:tr w:rsidR="00787446"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787446" w:rsidRPr="000B3455" w:rsidRDefault="00787446" w:rsidP="00787446">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D_2006</w:t>
            </w:r>
          </w:p>
        </w:tc>
        <w:tc>
          <w:tcPr>
            <w:tcW w:w="1327" w:type="dxa"/>
            <w:tcBorders>
              <w:top w:val="nil"/>
              <w:left w:val="single" w:sz="16" w:space="0" w:color="000000"/>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6,611</w:t>
            </w:r>
          </w:p>
        </w:tc>
        <w:tc>
          <w:tcPr>
            <w:tcW w:w="1325"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3,823</w:t>
            </w:r>
          </w:p>
        </w:tc>
        <w:tc>
          <w:tcPr>
            <w:tcW w:w="1459"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,188</w:t>
            </w:r>
          </w:p>
        </w:tc>
        <w:tc>
          <w:tcPr>
            <w:tcW w:w="1013"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1,729</w:t>
            </w:r>
          </w:p>
        </w:tc>
        <w:tc>
          <w:tcPr>
            <w:tcW w:w="1013" w:type="dxa"/>
            <w:tcBorders>
              <w:top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,086</w:t>
            </w:r>
          </w:p>
        </w:tc>
        <w:tc>
          <w:tcPr>
            <w:tcW w:w="1013" w:type="dxa"/>
            <w:tcBorders>
              <w:top w:val="nil"/>
              <w:bottom w:val="nil"/>
              <w:right w:val="single" w:sz="16" w:space="0" w:color="000000"/>
            </w:tcBorders>
            <w:shd w:val="clear" w:color="auto" w:fill="FFFFFF"/>
          </w:tcPr>
          <w:p w:rsidR="00787446" w:rsidRPr="000B3455" w:rsidRDefault="00787446" w:rsidP="005C202A">
            <w:pPr>
              <w:autoSpaceDE w:val="0"/>
              <w:autoSpaceDN w:val="0"/>
              <w:adjustRightInd w:val="0"/>
              <w:spacing w:after="0" w:line="320" w:lineRule="atLeast"/>
              <w:ind w:left="60" w:right="60"/>
              <w:rPr>
                <w:rFonts w:cs="Arial"/>
                <w:color w:val="000000"/>
              </w:rPr>
            </w:pPr>
            <w:r w:rsidRPr="000B3455">
              <w:rPr>
                <w:rFonts w:cs="Arial"/>
                <w:color w:val="000000"/>
              </w:rPr>
              <w:t>,043</w:t>
            </w:r>
            <w:r w:rsidR="005C202A">
              <w:rPr>
                <w:rFonts w:cs="Arial"/>
                <w:color w:val="000000"/>
              </w:rPr>
              <w:t>**</w:t>
            </w:r>
          </w:p>
        </w:tc>
      </w:tr>
      <w:tr w:rsidR="00787446"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787446" w:rsidRPr="000B3455" w:rsidRDefault="00787446" w:rsidP="00787446">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D_2007</w:t>
            </w:r>
          </w:p>
        </w:tc>
        <w:tc>
          <w:tcPr>
            <w:tcW w:w="1327" w:type="dxa"/>
            <w:tcBorders>
              <w:top w:val="nil"/>
              <w:left w:val="single" w:sz="16" w:space="0" w:color="000000"/>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-,345</w:t>
            </w:r>
          </w:p>
        </w:tc>
        <w:tc>
          <w:tcPr>
            <w:tcW w:w="1325"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4,005</w:t>
            </w:r>
          </w:p>
        </w:tc>
        <w:tc>
          <w:tcPr>
            <w:tcW w:w="1459"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-,010</w:t>
            </w:r>
          </w:p>
        </w:tc>
        <w:tc>
          <w:tcPr>
            <w:tcW w:w="1013"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-,086</w:t>
            </w:r>
          </w:p>
        </w:tc>
        <w:tc>
          <w:tcPr>
            <w:tcW w:w="1013" w:type="dxa"/>
            <w:tcBorders>
              <w:top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,931</w:t>
            </w:r>
          </w:p>
        </w:tc>
        <w:tc>
          <w:tcPr>
            <w:tcW w:w="1013" w:type="dxa"/>
            <w:tcBorders>
              <w:top w:val="nil"/>
              <w:bottom w:val="nil"/>
              <w:right w:val="single" w:sz="16" w:space="0" w:color="000000"/>
            </w:tcBorders>
            <w:shd w:val="clear" w:color="auto" w:fill="FFFFFF"/>
          </w:tcPr>
          <w:p w:rsidR="00787446" w:rsidRPr="000B3455" w:rsidRDefault="00787446" w:rsidP="005C202A">
            <w:pPr>
              <w:autoSpaceDE w:val="0"/>
              <w:autoSpaceDN w:val="0"/>
              <w:adjustRightInd w:val="0"/>
              <w:spacing w:after="0" w:line="320" w:lineRule="atLeast"/>
              <w:ind w:left="60" w:right="60"/>
              <w:rPr>
                <w:rFonts w:cs="Arial"/>
                <w:color w:val="000000"/>
              </w:rPr>
            </w:pPr>
            <w:r w:rsidRPr="000B3455">
              <w:rPr>
                <w:rFonts w:cs="Arial"/>
                <w:color w:val="000000"/>
              </w:rPr>
              <w:t>,466</w:t>
            </w:r>
          </w:p>
        </w:tc>
      </w:tr>
      <w:tr w:rsidR="00787446"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787446" w:rsidRPr="000B3455" w:rsidRDefault="00787446" w:rsidP="00787446">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LN_ASSETS</w:t>
            </w:r>
          </w:p>
        </w:tc>
        <w:tc>
          <w:tcPr>
            <w:tcW w:w="1327" w:type="dxa"/>
            <w:tcBorders>
              <w:top w:val="nil"/>
              <w:left w:val="single" w:sz="16" w:space="0" w:color="000000"/>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-,171</w:t>
            </w:r>
          </w:p>
        </w:tc>
        <w:tc>
          <w:tcPr>
            <w:tcW w:w="1325"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1,021</w:t>
            </w:r>
          </w:p>
        </w:tc>
        <w:tc>
          <w:tcPr>
            <w:tcW w:w="1459"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-,024</w:t>
            </w:r>
          </w:p>
        </w:tc>
        <w:tc>
          <w:tcPr>
            <w:tcW w:w="1013"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-,168</w:t>
            </w:r>
          </w:p>
        </w:tc>
        <w:tc>
          <w:tcPr>
            <w:tcW w:w="1013" w:type="dxa"/>
            <w:tcBorders>
              <w:top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,867</w:t>
            </w:r>
          </w:p>
        </w:tc>
        <w:tc>
          <w:tcPr>
            <w:tcW w:w="1013" w:type="dxa"/>
            <w:tcBorders>
              <w:top w:val="nil"/>
              <w:bottom w:val="nil"/>
              <w:right w:val="single" w:sz="16" w:space="0" w:color="000000"/>
            </w:tcBorders>
            <w:shd w:val="clear" w:color="auto" w:fill="FFFFFF"/>
          </w:tcPr>
          <w:p w:rsidR="00787446" w:rsidRPr="000B3455" w:rsidRDefault="00787446" w:rsidP="005C202A">
            <w:pPr>
              <w:autoSpaceDE w:val="0"/>
              <w:autoSpaceDN w:val="0"/>
              <w:adjustRightInd w:val="0"/>
              <w:spacing w:after="0" w:line="320" w:lineRule="atLeast"/>
              <w:ind w:left="60" w:right="60"/>
              <w:rPr>
                <w:rFonts w:cs="Arial"/>
                <w:color w:val="000000"/>
              </w:rPr>
            </w:pPr>
            <w:r w:rsidRPr="000B3455">
              <w:rPr>
                <w:rFonts w:cs="Arial"/>
                <w:color w:val="000000"/>
              </w:rPr>
              <w:t>,434</w:t>
            </w:r>
          </w:p>
        </w:tc>
      </w:tr>
      <w:tr w:rsidR="00787446"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787446" w:rsidRPr="000B3455" w:rsidRDefault="00787446" w:rsidP="00787446">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MTB</w:t>
            </w:r>
          </w:p>
        </w:tc>
        <w:tc>
          <w:tcPr>
            <w:tcW w:w="1327" w:type="dxa"/>
            <w:tcBorders>
              <w:top w:val="nil"/>
              <w:left w:val="single" w:sz="16" w:space="0" w:color="000000"/>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-,283</w:t>
            </w:r>
          </w:p>
        </w:tc>
        <w:tc>
          <w:tcPr>
            <w:tcW w:w="1325"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,811</w:t>
            </w:r>
          </w:p>
        </w:tc>
        <w:tc>
          <w:tcPr>
            <w:tcW w:w="1459"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-,038</w:t>
            </w:r>
          </w:p>
        </w:tc>
        <w:tc>
          <w:tcPr>
            <w:tcW w:w="1013"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-,349</w:t>
            </w:r>
          </w:p>
        </w:tc>
        <w:tc>
          <w:tcPr>
            <w:tcW w:w="1013" w:type="dxa"/>
            <w:tcBorders>
              <w:top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,727</w:t>
            </w:r>
          </w:p>
        </w:tc>
        <w:tc>
          <w:tcPr>
            <w:tcW w:w="1013" w:type="dxa"/>
            <w:tcBorders>
              <w:top w:val="nil"/>
              <w:bottom w:val="nil"/>
              <w:right w:val="single" w:sz="16" w:space="0" w:color="000000"/>
            </w:tcBorders>
            <w:shd w:val="clear" w:color="auto" w:fill="FFFFFF"/>
          </w:tcPr>
          <w:p w:rsidR="00787446" w:rsidRPr="000B3455" w:rsidRDefault="00787446" w:rsidP="005C202A">
            <w:pPr>
              <w:autoSpaceDE w:val="0"/>
              <w:autoSpaceDN w:val="0"/>
              <w:adjustRightInd w:val="0"/>
              <w:spacing w:after="0" w:line="320" w:lineRule="atLeast"/>
              <w:ind w:left="60" w:right="60"/>
              <w:rPr>
                <w:rFonts w:cs="Arial"/>
                <w:color w:val="000000"/>
              </w:rPr>
            </w:pPr>
            <w:r w:rsidRPr="000B3455">
              <w:rPr>
                <w:rFonts w:cs="Arial"/>
                <w:color w:val="000000"/>
              </w:rPr>
              <w:t>,364</w:t>
            </w:r>
          </w:p>
        </w:tc>
      </w:tr>
      <w:tr w:rsidR="00787446"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787446" w:rsidRPr="000B3455" w:rsidRDefault="00787446" w:rsidP="00787446">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RET</w:t>
            </w:r>
          </w:p>
        </w:tc>
        <w:tc>
          <w:tcPr>
            <w:tcW w:w="1327" w:type="dxa"/>
            <w:tcBorders>
              <w:top w:val="nil"/>
              <w:left w:val="single" w:sz="16" w:space="0" w:color="000000"/>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,023</w:t>
            </w:r>
          </w:p>
        </w:tc>
        <w:tc>
          <w:tcPr>
            <w:tcW w:w="1325"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,040</w:t>
            </w:r>
          </w:p>
        </w:tc>
        <w:tc>
          <w:tcPr>
            <w:tcW w:w="1459"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,061</w:t>
            </w:r>
          </w:p>
        </w:tc>
        <w:tc>
          <w:tcPr>
            <w:tcW w:w="1013"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,581</w:t>
            </w:r>
          </w:p>
        </w:tc>
        <w:tc>
          <w:tcPr>
            <w:tcW w:w="1013" w:type="dxa"/>
            <w:tcBorders>
              <w:top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,563</w:t>
            </w:r>
          </w:p>
        </w:tc>
        <w:tc>
          <w:tcPr>
            <w:tcW w:w="1013" w:type="dxa"/>
            <w:tcBorders>
              <w:top w:val="nil"/>
              <w:bottom w:val="nil"/>
              <w:right w:val="single" w:sz="16" w:space="0" w:color="000000"/>
            </w:tcBorders>
            <w:shd w:val="clear" w:color="auto" w:fill="FFFFFF"/>
          </w:tcPr>
          <w:p w:rsidR="00787446" w:rsidRPr="000B3455" w:rsidRDefault="00787446" w:rsidP="005C202A">
            <w:pPr>
              <w:autoSpaceDE w:val="0"/>
              <w:autoSpaceDN w:val="0"/>
              <w:adjustRightInd w:val="0"/>
              <w:spacing w:after="0" w:line="320" w:lineRule="atLeast"/>
              <w:ind w:left="60" w:right="60"/>
              <w:rPr>
                <w:rFonts w:cs="Arial"/>
                <w:color w:val="000000"/>
              </w:rPr>
            </w:pPr>
            <w:r w:rsidRPr="000B3455">
              <w:rPr>
                <w:rFonts w:cs="Arial"/>
                <w:color w:val="000000"/>
              </w:rPr>
              <w:t>,282</w:t>
            </w:r>
          </w:p>
        </w:tc>
      </w:tr>
      <w:tr w:rsidR="00787446"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787446" w:rsidRPr="000B3455" w:rsidRDefault="00787446" w:rsidP="00787446">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VOL</w:t>
            </w:r>
          </w:p>
        </w:tc>
        <w:tc>
          <w:tcPr>
            <w:tcW w:w="1327" w:type="dxa"/>
            <w:tcBorders>
              <w:top w:val="nil"/>
              <w:left w:val="single" w:sz="16" w:space="0" w:color="000000"/>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-,005</w:t>
            </w:r>
          </w:p>
        </w:tc>
        <w:tc>
          <w:tcPr>
            <w:tcW w:w="1325"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,150</w:t>
            </w:r>
          </w:p>
        </w:tc>
        <w:tc>
          <w:tcPr>
            <w:tcW w:w="1459"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-,004</w:t>
            </w:r>
          </w:p>
        </w:tc>
        <w:tc>
          <w:tcPr>
            <w:tcW w:w="1013"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-,037</w:t>
            </w:r>
          </w:p>
        </w:tc>
        <w:tc>
          <w:tcPr>
            <w:tcW w:w="1013" w:type="dxa"/>
            <w:tcBorders>
              <w:top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,971</w:t>
            </w:r>
          </w:p>
        </w:tc>
        <w:tc>
          <w:tcPr>
            <w:tcW w:w="1013" w:type="dxa"/>
            <w:tcBorders>
              <w:top w:val="nil"/>
              <w:bottom w:val="nil"/>
              <w:right w:val="single" w:sz="16" w:space="0" w:color="000000"/>
            </w:tcBorders>
            <w:shd w:val="clear" w:color="auto" w:fill="FFFFFF"/>
          </w:tcPr>
          <w:p w:rsidR="00787446" w:rsidRPr="000B3455" w:rsidRDefault="00787446" w:rsidP="005C202A">
            <w:pPr>
              <w:autoSpaceDE w:val="0"/>
              <w:autoSpaceDN w:val="0"/>
              <w:adjustRightInd w:val="0"/>
              <w:spacing w:after="0" w:line="320" w:lineRule="atLeast"/>
              <w:ind w:left="60" w:right="60"/>
              <w:rPr>
                <w:rFonts w:cs="Arial"/>
                <w:color w:val="000000"/>
              </w:rPr>
            </w:pPr>
            <w:r w:rsidRPr="000B3455">
              <w:rPr>
                <w:rFonts w:cs="Arial"/>
                <w:color w:val="000000"/>
              </w:rPr>
              <w:t>,486</w:t>
            </w:r>
          </w:p>
        </w:tc>
      </w:tr>
      <w:tr w:rsidR="00787446"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787446" w:rsidRPr="000B3455" w:rsidRDefault="00787446" w:rsidP="00787446">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BOA_SIZE</w:t>
            </w:r>
          </w:p>
        </w:tc>
        <w:tc>
          <w:tcPr>
            <w:tcW w:w="1327" w:type="dxa"/>
            <w:tcBorders>
              <w:top w:val="nil"/>
              <w:left w:val="single" w:sz="16" w:space="0" w:color="000000"/>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,519</w:t>
            </w:r>
          </w:p>
        </w:tc>
        <w:tc>
          <w:tcPr>
            <w:tcW w:w="1325"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1,190</w:t>
            </w:r>
          </w:p>
        </w:tc>
        <w:tc>
          <w:tcPr>
            <w:tcW w:w="1459"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,050</w:t>
            </w:r>
          </w:p>
        </w:tc>
        <w:tc>
          <w:tcPr>
            <w:tcW w:w="1013"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,436</w:t>
            </w:r>
          </w:p>
        </w:tc>
        <w:tc>
          <w:tcPr>
            <w:tcW w:w="1013" w:type="dxa"/>
            <w:tcBorders>
              <w:top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,663</w:t>
            </w:r>
          </w:p>
        </w:tc>
        <w:tc>
          <w:tcPr>
            <w:tcW w:w="1013" w:type="dxa"/>
            <w:tcBorders>
              <w:top w:val="nil"/>
              <w:bottom w:val="nil"/>
              <w:right w:val="single" w:sz="16" w:space="0" w:color="000000"/>
            </w:tcBorders>
            <w:shd w:val="clear" w:color="auto" w:fill="FFFFFF"/>
          </w:tcPr>
          <w:p w:rsidR="00787446" w:rsidRPr="000B3455" w:rsidRDefault="00787446" w:rsidP="005C202A">
            <w:pPr>
              <w:autoSpaceDE w:val="0"/>
              <w:autoSpaceDN w:val="0"/>
              <w:adjustRightInd w:val="0"/>
              <w:spacing w:after="0" w:line="320" w:lineRule="atLeast"/>
              <w:ind w:left="60" w:right="60"/>
              <w:rPr>
                <w:rFonts w:cs="Arial"/>
                <w:color w:val="000000"/>
              </w:rPr>
            </w:pPr>
            <w:r w:rsidRPr="000B3455">
              <w:rPr>
                <w:rFonts w:cs="Arial"/>
                <w:color w:val="000000"/>
              </w:rPr>
              <w:t>,332</w:t>
            </w:r>
          </w:p>
        </w:tc>
      </w:tr>
      <w:tr w:rsidR="00787446"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787446" w:rsidRPr="000B3455" w:rsidRDefault="00787446" w:rsidP="00787446">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LIQ_CON</w:t>
            </w:r>
          </w:p>
        </w:tc>
        <w:tc>
          <w:tcPr>
            <w:tcW w:w="1327" w:type="dxa"/>
            <w:tcBorders>
              <w:top w:val="nil"/>
              <w:left w:val="single" w:sz="16" w:space="0" w:color="000000"/>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-5,042</w:t>
            </w:r>
          </w:p>
        </w:tc>
        <w:tc>
          <w:tcPr>
            <w:tcW w:w="1325"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17,474</w:t>
            </w:r>
          </w:p>
        </w:tc>
        <w:tc>
          <w:tcPr>
            <w:tcW w:w="1459"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-,032</w:t>
            </w:r>
          </w:p>
        </w:tc>
        <w:tc>
          <w:tcPr>
            <w:tcW w:w="1013"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-,289</w:t>
            </w:r>
          </w:p>
        </w:tc>
        <w:tc>
          <w:tcPr>
            <w:tcW w:w="1013" w:type="dxa"/>
            <w:tcBorders>
              <w:top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,773</w:t>
            </w:r>
          </w:p>
        </w:tc>
        <w:tc>
          <w:tcPr>
            <w:tcW w:w="1013" w:type="dxa"/>
            <w:tcBorders>
              <w:top w:val="nil"/>
              <w:bottom w:val="nil"/>
              <w:right w:val="single" w:sz="16" w:space="0" w:color="000000"/>
            </w:tcBorders>
            <w:shd w:val="clear" w:color="auto" w:fill="FFFFFF"/>
          </w:tcPr>
          <w:p w:rsidR="00787446" w:rsidRPr="000B3455" w:rsidRDefault="00787446" w:rsidP="005C202A">
            <w:pPr>
              <w:autoSpaceDE w:val="0"/>
              <w:autoSpaceDN w:val="0"/>
              <w:adjustRightInd w:val="0"/>
              <w:spacing w:after="0" w:line="320" w:lineRule="atLeast"/>
              <w:ind w:left="60" w:right="60"/>
              <w:rPr>
                <w:rFonts w:cs="Arial"/>
                <w:color w:val="000000"/>
              </w:rPr>
            </w:pPr>
            <w:r w:rsidRPr="000B3455">
              <w:rPr>
                <w:rFonts w:cs="Arial"/>
                <w:color w:val="000000"/>
              </w:rPr>
              <w:t>,387</w:t>
            </w:r>
          </w:p>
        </w:tc>
      </w:tr>
      <w:tr w:rsidR="00787446"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787446" w:rsidRPr="000B3455" w:rsidRDefault="00787446" w:rsidP="00787446">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IND_D_MINING</w:t>
            </w:r>
          </w:p>
        </w:tc>
        <w:tc>
          <w:tcPr>
            <w:tcW w:w="1327" w:type="dxa"/>
            <w:tcBorders>
              <w:top w:val="nil"/>
              <w:left w:val="single" w:sz="16" w:space="0" w:color="000000"/>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3,347</w:t>
            </w:r>
          </w:p>
        </w:tc>
        <w:tc>
          <w:tcPr>
            <w:tcW w:w="1325"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7,538</w:t>
            </w:r>
          </w:p>
        </w:tc>
        <w:tc>
          <w:tcPr>
            <w:tcW w:w="1459"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,044</w:t>
            </w:r>
          </w:p>
        </w:tc>
        <w:tc>
          <w:tcPr>
            <w:tcW w:w="1013"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,444</w:t>
            </w:r>
          </w:p>
        </w:tc>
        <w:tc>
          <w:tcPr>
            <w:tcW w:w="1013" w:type="dxa"/>
            <w:tcBorders>
              <w:top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,658</w:t>
            </w:r>
          </w:p>
        </w:tc>
        <w:tc>
          <w:tcPr>
            <w:tcW w:w="1013" w:type="dxa"/>
            <w:tcBorders>
              <w:top w:val="nil"/>
              <w:bottom w:val="nil"/>
              <w:right w:val="single" w:sz="16" w:space="0" w:color="000000"/>
            </w:tcBorders>
            <w:shd w:val="clear" w:color="auto" w:fill="FFFFFF"/>
          </w:tcPr>
          <w:p w:rsidR="00787446" w:rsidRPr="000B3455" w:rsidRDefault="00787446" w:rsidP="005C202A">
            <w:pPr>
              <w:autoSpaceDE w:val="0"/>
              <w:autoSpaceDN w:val="0"/>
              <w:adjustRightInd w:val="0"/>
              <w:spacing w:after="0" w:line="320" w:lineRule="atLeast"/>
              <w:ind w:left="60" w:right="60"/>
              <w:rPr>
                <w:rFonts w:cs="Arial"/>
                <w:color w:val="000000"/>
              </w:rPr>
            </w:pPr>
            <w:r w:rsidRPr="000B3455">
              <w:rPr>
                <w:rFonts w:cs="Arial"/>
                <w:color w:val="000000"/>
              </w:rPr>
              <w:t>,329</w:t>
            </w:r>
          </w:p>
        </w:tc>
      </w:tr>
      <w:tr w:rsidR="00787446"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787446" w:rsidRPr="000B3455" w:rsidRDefault="00787446" w:rsidP="00787446">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IND_D_CONSTR</w:t>
            </w:r>
          </w:p>
        </w:tc>
        <w:tc>
          <w:tcPr>
            <w:tcW w:w="1327" w:type="dxa"/>
            <w:tcBorders>
              <w:top w:val="nil"/>
              <w:left w:val="single" w:sz="16" w:space="0" w:color="000000"/>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-13,851</w:t>
            </w:r>
          </w:p>
        </w:tc>
        <w:tc>
          <w:tcPr>
            <w:tcW w:w="1325"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6,680</w:t>
            </w:r>
          </w:p>
        </w:tc>
        <w:tc>
          <w:tcPr>
            <w:tcW w:w="1459"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-,180</w:t>
            </w:r>
          </w:p>
        </w:tc>
        <w:tc>
          <w:tcPr>
            <w:tcW w:w="1013"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-2,074</w:t>
            </w:r>
          </w:p>
        </w:tc>
        <w:tc>
          <w:tcPr>
            <w:tcW w:w="1013" w:type="dxa"/>
            <w:tcBorders>
              <w:top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,040</w:t>
            </w:r>
          </w:p>
        </w:tc>
        <w:tc>
          <w:tcPr>
            <w:tcW w:w="1013" w:type="dxa"/>
            <w:tcBorders>
              <w:top w:val="nil"/>
              <w:bottom w:val="nil"/>
              <w:right w:val="single" w:sz="16" w:space="0" w:color="000000"/>
            </w:tcBorders>
            <w:shd w:val="clear" w:color="auto" w:fill="FFFFFF"/>
          </w:tcPr>
          <w:p w:rsidR="00787446" w:rsidRPr="000B3455" w:rsidRDefault="00787446" w:rsidP="005C202A">
            <w:pPr>
              <w:autoSpaceDE w:val="0"/>
              <w:autoSpaceDN w:val="0"/>
              <w:adjustRightInd w:val="0"/>
              <w:spacing w:after="0" w:line="320" w:lineRule="atLeast"/>
              <w:ind w:left="60" w:right="60"/>
              <w:rPr>
                <w:rFonts w:cs="Arial"/>
                <w:color w:val="000000"/>
              </w:rPr>
            </w:pPr>
            <w:r w:rsidRPr="000B3455">
              <w:rPr>
                <w:rFonts w:cs="Arial"/>
                <w:color w:val="000000"/>
              </w:rPr>
              <w:t>,020</w:t>
            </w:r>
            <w:r w:rsidR="005C202A">
              <w:rPr>
                <w:rFonts w:cs="Arial"/>
                <w:color w:val="000000"/>
              </w:rPr>
              <w:t>**</w:t>
            </w:r>
          </w:p>
        </w:tc>
      </w:tr>
      <w:tr w:rsidR="00787446"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787446" w:rsidRPr="000B3455" w:rsidRDefault="00787446" w:rsidP="00787446">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IND_D_TRANS_COMM_ELE_GAS_SAN_SERV</w:t>
            </w:r>
          </w:p>
        </w:tc>
        <w:tc>
          <w:tcPr>
            <w:tcW w:w="1327" w:type="dxa"/>
            <w:tcBorders>
              <w:top w:val="nil"/>
              <w:left w:val="single" w:sz="16" w:space="0" w:color="000000"/>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,014</w:t>
            </w:r>
          </w:p>
        </w:tc>
        <w:tc>
          <w:tcPr>
            <w:tcW w:w="1325"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5,097</w:t>
            </w:r>
          </w:p>
        </w:tc>
        <w:tc>
          <w:tcPr>
            <w:tcW w:w="1459"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,000</w:t>
            </w:r>
          </w:p>
        </w:tc>
        <w:tc>
          <w:tcPr>
            <w:tcW w:w="1013"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,003</w:t>
            </w:r>
          </w:p>
        </w:tc>
        <w:tc>
          <w:tcPr>
            <w:tcW w:w="1013" w:type="dxa"/>
            <w:tcBorders>
              <w:top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,998</w:t>
            </w:r>
          </w:p>
        </w:tc>
        <w:tc>
          <w:tcPr>
            <w:tcW w:w="1013" w:type="dxa"/>
            <w:tcBorders>
              <w:top w:val="nil"/>
              <w:bottom w:val="nil"/>
              <w:right w:val="single" w:sz="16" w:space="0" w:color="000000"/>
            </w:tcBorders>
            <w:shd w:val="clear" w:color="auto" w:fill="FFFFFF"/>
          </w:tcPr>
          <w:p w:rsidR="00787446" w:rsidRPr="000B3455" w:rsidRDefault="00787446" w:rsidP="005C202A">
            <w:pPr>
              <w:autoSpaceDE w:val="0"/>
              <w:autoSpaceDN w:val="0"/>
              <w:adjustRightInd w:val="0"/>
              <w:spacing w:after="0" w:line="320" w:lineRule="atLeast"/>
              <w:ind w:left="60" w:right="60"/>
              <w:rPr>
                <w:rFonts w:cs="Arial"/>
                <w:color w:val="000000"/>
              </w:rPr>
            </w:pPr>
            <w:r w:rsidRPr="000B3455">
              <w:rPr>
                <w:rFonts w:cs="Arial"/>
                <w:color w:val="000000"/>
              </w:rPr>
              <w:t>,499</w:t>
            </w:r>
          </w:p>
        </w:tc>
      </w:tr>
      <w:tr w:rsidR="00787446"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787446" w:rsidRPr="000B3455" w:rsidRDefault="00787446" w:rsidP="00787446">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IND_D_WHOLESALE</w:t>
            </w:r>
          </w:p>
        </w:tc>
        <w:tc>
          <w:tcPr>
            <w:tcW w:w="1327" w:type="dxa"/>
            <w:tcBorders>
              <w:top w:val="nil"/>
              <w:left w:val="single" w:sz="16" w:space="0" w:color="000000"/>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-,259</w:t>
            </w:r>
          </w:p>
        </w:tc>
        <w:tc>
          <w:tcPr>
            <w:tcW w:w="1325"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4,454</w:t>
            </w:r>
          </w:p>
        </w:tc>
        <w:tc>
          <w:tcPr>
            <w:tcW w:w="1459"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-,006</w:t>
            </w:r>
          </w:p>
        </w:tc>
        <w:tc>
          <w:tcPr>
            <w:tcW w:w="1013"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-,058</w:t>
            </w:r>
          </w:p>
        </w:tc>
        <w:tc>
          <w:tcPr>
            <w:tcW w:w="1013" w:type="dxa"/>
            <w:tcBorders>
              <w:top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,954</w:t>
            </w:r>
          </w:p>
        </w:tc>
        <w:tc>
          <w:tcPr>
            <w:tcW w:w="1013" w:type="dxa"/>
            <w:tcBorders>
              <w:top w:val="nil"/>
              <w:bottom w:val="nil"/>
              <w:right w:val="single" w:sz="16" w:space="0" w:color="000000"/>
            </w:tcBorders>
            <w:shd w:val="clear" w:color="auto" w:fill="FFFFFF"/>
          </w:tcPr>
          <w:p w:rsidR="00787446" w:rsidRPr="000B3455" w:rsidRDefault="00787446" w:rsidP="005C202A">
            <w:pPr>
              <w:autoSpaceDE w:val="0"/>
              <w:autoSpaceDN w:val="0"/>
              <w:adjustRightInd w:val="0"/>
              <w:spacing w:after="0" w:line="320" w:lineRule="atLeast"/>
              <w:ind w:left="60" w:right="60"/>
              <w:rPr>
                <w:rFonts w:cs="Arial"/>
                <w:color w:val="000000"/>
              </w:rPr>
            </w:pPr>
            <w:r w:rsidRPr="000B3455">
              <w:rPr>
                <w:rFonts w:cs="Arial"/>
                <w:color w:val="000000"/>
              </w:rPr>
              <w:t>,477</w:t>
            </w:r>
          </w:p>
        </w:tc>
      </w:tr>
      <w:tr w:rsidR="00787446"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787446" w:rsidRPr="000B3455" w:rsidRDefault="00787446" w:rsidP="00787446">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IND_D_RETAIL</w:t>
            </w:r>
          </w:p>
        </w:tc>
        <w:tc>
          <w:tcPr>
            <w:tcW w:w="1327" w:type="dxa"/>
            <w:tcBorders>
              <w:top w:val="nil"/>
              <w:left w:val="single" w:sz="16" w:space="0" w:color="000000"/>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-1,158</w:t>
            </w:r>
          </w:p>
        </w:tc>
        <w:tc>
          <w:tcPr>
            <w:tcW w:w="1325"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6,931</w:t>
            </w:r>
          </w:p>
        </w:tc>
        <w:tc>
          <w:tcPr>
            <w:tcW w:w="1459"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-,015</w:t>
            </w:r>
          </w:p>
        </w:tc>
        <w:tc>
          <w:tcPr>
            <w:tcW w:w="1013"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-,167</w:t>
            </w:r>
          </w:p>
        </w:tc>
        <w:tc>
          <w:tcPr>
            <w:tcW w:w="1013" w:type="dxa"/>
            <w:tcBorders>
              <w:top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,868</w:t>
            </w:r>
          </w:p>
        </w:tc>
        <w:tc>
          <w:tcPr>
            <w:tcW w:w="1013" w:type="dxa"/>
            <w:tcBorders>
              <w:top w:val="nil"/>
              <w:bottom w:val="nil"/>
              <w:right w:val="single" w:sz="16" w:space="0" w:color="000000"/>
            </w:tcBorders>
            <w:shd w:val="clear" w:color="auto" w:fill="FFFFFF"/>
          </w:tcPr>
          <w:p w:rsidR="00787446" w:rsidRPr="000B3455" w:rsidRDefault="00787446" w:rsidP="005C202A">
            <w:pPr>
              <w:autoSpaceDE w:val="0"/>
              <w:autoSpaceDN w:val="0"/>
              <w:adjustRightInd w:val="0"/>
              <w:spacing w:after="0" w:line="320" w:lineRule="atLeast"/>
              <w:ind w:left="60" w:right="60"/>
              <w:rPr>
                <w:rFonts w:cs="Arial"/>
                <w:color w:val="000000"/>
              </w:rPr>
            </w:pPr>
            <w:r w:rsidRPr="000B3455">
              <w:rPr>
                <w:rFonts w:cs="Arial"/>
                <w:color w:val="000000"/>
              </w:rPr>
              <w:t>,434</w:t>
            </w:r>
          </w:p>
        </w:tc>
      </w:tr>
      <w:tr w:rsidR="00787446"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787446" w:rsidRPr="000B3455" w:rsidRDefault="00787446" w:rsidP="00787446">
            <w:pPr>
              <w:autoSpaceDE w:val="0"/>
              <w:autoSpaceDN w:val="0"/>
              <w:adjustRightInd w:val="0"/>
              <w:spacing w:after="0" w:line="240" w:lineRule="auto"/>
              <w:rPr>
                <w:rFonts w:cs="Arial"/>
                <w:color w:val="000000"/>
              </w:rPr>
            </w:pPr>
          </w:p>
        </w:tc>
        <w:tc>
          <w:tcPr>
            <w:tcW w:w="2433" w:type="dxa"/>
            <w:tcBorders>
              <w:top w:val="nil"/>
              <w:left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IND_D_FIN_INS_REAL_EST</w:t>
            </w:r>
          </w:p>
        </w:tc>
        <w:tc>
          <w:tcPr>
            <w:tcW w:w="1327" w:type="dxa"/>
            <w:tcBorders>
              <w:top w:val="nil"/>
              <w:left w:val="single" w:sz="16" w:space="0" w:color="000000"/>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-1,418</w:t>
            </w:r>
          </w:p>
        </w:tc>
        <w:tc>
          <w:tcPr>
            <w:tcW w:w="1325"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4,342</w:t>
            </w:r>
          </w:p>
        </w:tc>
        <w:tc>
          <w:tcPr>
            <w:tcW w:w="1459"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-,033</w:t>
            </w:r>
          </w:p>
        </w:tc>
        <w:tc>
          <w:tcPr>
            <w:tcW w:w="1013" w:type="dxa"/>
            <w:tcBorders>
              <w:top w:val="nil"/>
              <w:bottom w:val="nil"/>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-,327</w:t>
            </w:r>
          </w:p>
        </w:tc>
        <w:tc>
          <w:tcPr>
            <w:tcW w:w="1013" w:type="dxa"/>
            <w:tcBorders>
              <w:top w:val="nil"/>
              <w:bottom w:val="nil"/>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,745</w:t>
            </w:r>
          </w:p>
        </w:tc>
        <w:tc>
          <w:tcPr>
            <w:tcW w:w="1013" w:type="dxa"/>
            <w:tcBorders>
              <w:top w:val="nil"/>
              <w:bottom w:val="nil"/>
              <w:right w:val="single" w:sz="16" w:space="0" w:color="000000"/>
            </w:tcBorders>
            <w:shd w:val="clear" w:color="auto" w:fill="FFFFFF"/>
          </w:tcPr>
          <w:p w:rsidR="00787446" w:rsidRPr="000B3455" w:rsidRDefault="00787446" w:rsidP="005C202A">
            <w:pPr>
              <w:autoSpaceDE w:val="0"/>
              <w:autoSpaceDN w:val="0"/>
              <w:adjustRightInd w:val="0"/>
              <w:spacing w:after="0" w:line="320" w:lineRule="atLeast"/>
              <w:ind w:left="60" w:right="60"/>
              <w:rPr>
                <w:rFonts w:cs="Arial"/>
                <w:color w:val="000000"/>
              </w:rPr>
            </w:pPr>
            <w:r w:rsidRPr="000B3455">
              <w:rPr>
                <w:rFonts w:cs="Arial"/>
                <w:color w:val="000000"/>
              </w:rPr>
              <w:t>,373</w:t>
            </w:r>
          </w:p>
        </w:tc>
      </w:tr>
      <w:tr w:rsidR="00787446"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787446" w:rsidRPr="000B3455" w:rsidRDefault="00787446" w:rsidP="00787446">
            <w:pPr>
              <w:autoSpaceDE w:val="0"/>
              <w:autoSpaceDN w:val="0"/>
              <w:adjustRightInd w:val="0"/>
              <w:spacing w:after="0" w:line="240" w:lineRule="auto"/>
              <w:rPr>
                <w:rFonts w:cs="Arial"/>
                <w:color w:val="000000"/>
              </w:rPr>
            </w:pPr>
          </w:p>
        </w:tc>
        <w:tc>
          <w:tcPr>
            <w:tcW w:w="2433" w:type="dxa"/>
            <w:tcBorders>
              <w:top w:val="nil"/>
              <w:left w:val="nil"/>
              <w:bottom w:val="single" w:sz="16" w:space="0" w:color="000000"/>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r w:rsidRPr="000B3455">
              <w:rPr>
                <w:rFonts w:cs="Arial"/>
                <w:color w:val="000000"/>
              </w:rPr>
              <w:t>IND_D_SERVICES</w:t>
            </w:r>
          </w:p>
        </w:tc>
        <w:tc>
          <w:tcPr>
            <w:tcW w:w="1327" w:type="dxa"/>
            <w:tcBorders>
              <w:top w:val="nil"/>
              <w:left w:val="single" w:sz="16" w:space="0" w:color="000000"/>
              <w:bottom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1,978</w:t>
            </w:r>
          </w:p>
        </w:tc>
        <w:tc>
          <w:tcPr>
            <w:tcW w:w="1325" w:type="dxa"/>
            <w:tcBorders>
              <w:top w:val="nil"/>
              <w:bottom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4,014</w:t>
            </w:r>
          </w:p>
        </w:tc>
        <w:tc>
          <w:tcPr>
            <w:tcW w:w="1459" w:type="dxa"/>
            <w:tcBorders>
              <w:top w:val="nil"/>
              <w:bottom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,057</w:t>
            </w:r>
          </w:p>
        </w:tc>
        <w:tc>
          <w:tcPr>
            <w:tcW w:w="1013" w:type="dxa"/>
            <w:tcBorders>
              <w:top w:val="nil"/>
              <w:bottom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,493</w:t>
            </w:r>
          </w:p>
        </w:tc>
        <w:tc>
          <w:tcPr>
            <w:tcW w:w="1013" w:type="dxa"/>
            <w:tcBorders>
              <w:top w:val="nil"/>
              <w:bottom w:val="single" w:sz="16" w:space="0" w:color="000000"/>
              <w:right w:val="single" w:sz="16" w:space="0" w:color="000000"/>
            </w:tcBorders>
            <w:shd w:val="clear" w:color="auto" w:fill="FFFFFF"/>
          </w:tcPr>
          <w:p w:rsidR="00787446" w:rsidRPr="000B3455" w:rsidRDefault="00787446" w:rsidP="00787446">
            <w:pPr>
              <w:autoSpaceDE w:val="0"/>
              <w:autoSpaceDN w:val="0"/>
              <w:adjustRightInd w:val="0"/>
              <w:spacing w:after="0" w:line="320" w:lineRule="atLeast"/>
              <w:ind w:left="60" w:right="60"/>
              <w:jc w:val="right"/>
              <w:rPr>
                <w:rFonts w:cs="Arial"/>
                <w:color w:val="000000"/>
              </w:rPr>
            </w:pPr>
            <w:r w:rsidRPr="000B3455">
              <w:rPr>
                <w:rFonts w:cs="Arial"/>
                <w:color w:val="000000"/>
              </w:rPr>
              <w:t>,623</w:t>
            </w:r>
          </w:p>
        </w:tc>
        <w:tc>
          <w:tcPr>
            <w:tcW w:w="1013" w:type="dxa"/>
            <w:tcBorders>
              <w:top w:val="nil"/>
              <w:bottom w:val="single" w:sz="16" w:space="0" w:color="000000"/>
              <w:right w:val="single" w:sz="16" w:space="0" w:color="000000"/>
            </w:tcBorders>
            <w:shd w:val="clear" w:color="auto" w:fill="FFFFFF"/>
          </w:tcPr>
          <w:p w:rsidR="00787446" w:rsidRPr="000B3455" w:rsidRDefault="00787446" w:rsidP="005C202A">
            <w:pPr>
              <w:autoSpaceDE w:val="0"/>
              <w:autoSpaceDN w:val="0"/>
              <w:adjustRightInd w:val="0"/>
              <w:spacing w:after="0" w:line="320" w:lineRule="atLeast"/>
              <w:ind w:left="60" w:right="60"/>
              <w:rPr>
                <w:rFonts w:cs="Arial"/>
                <w:color w:val="000000"/>
              </w:rPr>
            </w:pPr>
            <w:r w:rsidRPr="000B3455">
              <w:rPr>
                <w:rFonts w:cs="Arial"/>
                <w:color w:val="000000"/>
              </w:rPr>
              <w:t>,312</w:t>
            </w:r>
          </w:p>
        </w:tc>
      </w:tr>
      <w:tr w:rsidR="00787446" w:rsidRPr="000B3455" w:rsidTr="00787446">
        <w:trPr>
          <w:cantSplit/>
        </w:trPr>
        <w:tc>
          <w:tcPr>
            <w:tcW w:w="9300" w:type="dxa"/>
            <w:gridSpan w:val="7"/>
            <w:tcBorders>
              <w:top w:val="nil"/>
              <w:left w:val="nil"/>
              <w:bottom w:val="nil"/>
              <w:right w:val="nil"/>
            </w:tcBorders>
            <w:shd w:val="clear" w:color="auto" w:fill="FFFFFF"/>
          </w:tcPr>
          <w:p w:rsidR="005C202A" w:rsidRDefault="005C202A" w:rsidP="00787446">
            <w:pPr>
              <w:autoSpaceDE w:val="0"/>
              <w:autoSpaceDN w:val="0"/>
              <w:adjustRightInd w:val="0"/>
              <w:spacing w:after="0" w:line="320" w:lineRule="atLeast"/>
              <w:ind w:left="60" w:right="60"/>
              <w:rPr>
                <w:rFonts w:cs="Arial"/>
                <w:color w:val="000000"/>
              </w:rPr>
            </w:pPr>
            <w:r w:rsidRPr="00F97730">
              <w:rPr>
                <w:i/>
              </w:rPr>
              <w:t>*,**,*** significant at the 0.1, 0.05 and 0.01 levels (</w:t>
            </w:r>
            <w:r>
              <w:rPr>
                <w:i/>
              </w:rPr>
              <w:t>one</w:t>
            </w:r>
            <w:r w:rsidRPr="00F97730">
              <w:rPr>
                <w:i/>
              </w:rPr>
              <w:t>-tailed).</w:t>
            </w:r>
          </w:p>
          <w:p w:rsidR="00C87238" w:rsidRPr="000B3455" w:rsidRDefault="00787446" w:rsidP="00735F79">
            <w:pPr>
              <w:autoSpaceDE w:val="0"/>
              <w:autoSpaceDN w:val="0"/>
              <w:adjustRightInd w:val="0"/>
              <w:spacing w:after="0" w:line="320" w:lineRule="atLeast"/>
              <w:ind w:left="60" w:right="60"/>
              <w:rPr>
                <w:rFonts w:cs="Arial"/>
                <w:color w:val="000000"/>
              </w:rPr>
            </w:pPr>
            <w:r w:rsidRPr="000B3455">
              <w:rPr>
                <w:rFonts w:cs="Arial"/>
                <w:color w:val="000000"/>
              </w:rPr>
              <w:t>a. Dependent Variable: Delta_PR_FV_SHA_EXCL_MCL</w:t>
            </w:r>
          </w:p>
        </w:tc>
        <w:tc>
          <w:tcPr>
            <w:tcW w:w="1013" w:type="dxa"/>
            <w:tcBorders>
              <w:top w:val="nil"/>
              <w:left w:val="nil"/>
              <w:bottom w:val="nil"/>
              <w:right w:val="nil"/>
            </w:tcBorders>
            <w:shd w:val="clear" w:color="auto" w:fill="FFFFFF"/>
          </w:tcPr>
          <w:p w:rsidR="00787446" w:rsidRPr="000B3455" w:rsidRDefault="00787446" w:rsidP="00787446">
            <w:pPr>
              <w:autoSpaceDE w:val="0"/>
              <w:autoSpaceDN w:val="0"/>
              <w:adjustRightInd w:val="0"/>
              <w:spacing w:after="0" w:line="320" w:lineRule="atLeast"/>
              <w:ind w:left="60" w:right="60"/>
              <w:rPr>
                <w:rFonts w:cs="Arial"/>
                <w:color w:val="000000"/>
              </w:rPr>
            </w:pPr>
          </w:p>
        </w:tc>
      </w:tr>
    </w:tbl>
    <w:p w:rsidR="00681954" w:rsidRPr="000B3455" w:rsidRDefault="00C87238" w:rsidP="00C87238">
      <w:pPr>
        <w:pStyle w:val="Caption"/>
        <w:rPr>
          <w:rFonts w:cs="Times New Roman"/>
        </w:rPr>
      </w:pPr>
      <w:bookmarkStart w:id="144" w:name="_Ref298858247"/>
      <w:r>
        <w:t xml:space="preserve">Table </w:t>
      </w:r>
      <w:fldSimple w:instr=" SEQ Table \* ARABIC ">
        <w:r w:rsidR="001D5F9A">
          <w:rPr>
            <w:noProof/>
          </w:rPr>
          <w:t>16</w:t>
        </w:r>
      </w:fldSimple>
      <w:bookmarkEnd w:id="144"/>
      <w:r>
        <w:t xml:space="preserve">: </w:t>
      </w:r>
      <w:r w:rsidRPr="00C87238">
        <w:rPr>
          <w:color w:val="auto"/>
        </w:rPr>
        <w:t>SPSS model parameters</w:t>
      </w:r>
    </w:p>
    <w:p w:rsidR="00681954" w:rsidRPr="000B3455" w:rsidRDefault="00B92B41" w:rsidP="00B92B41">
      <w:pPr>
        <w:rPr>
          <w:rFonts w:cs="Times New Roman"/>
        </w:rPr>
      </w:pPr>
      <w:r>
        <w:rPr>
          <w:rFonts w:cs="Times New Roman"/>
        </w:rPr>
        <w:br w:type="page"/>
      </w:r>
    </w:p>
    <w:tbl>
      <w:tblPr>
        <w:tblW w:w="5291"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8"/>
        <w:gridCol w:w="2426"/>
        <w:gridCol w:w="1124"/>
        <w:gridCol w:w="1013"/>
      </w:tblGrid>
      <w:tr w:rsidR="003B3B5F" w:rsidRPr="000B3455" w:rsidTr="003B3B5F">
        <w:trPr>
          <w:cantSplit/>
          <w:tblHeader/>
        </w:trPr>
        <w:tc>
          <w:tcPr>
            <w:tcW w:w="3154"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lastRenderedPageBreak/>
              <w:t>Model</w:t>
            </w:r>
          </w:p>
        </w:tc>
        <w:tc>
          <w:tcPr>
            <w:tcW w:w="2137" w:type="dxa"/>
            <w:gridSpan w:val="2"/>
            <w:tcBorders>
              <w:top w:val="single" w:sz="16" w:space="0" w:color="000000"/>
              <w:right w:val="single" w:sz="16" w:space="0" w:color="000000"/>
            </w:tcBorders>
            <w:shd w:val="clear" w:color="auto" w:fill="FFFFFF"/>
            <w:vAlign w:val="bottom"/>
          </w:tcPr>
          <w:p w:rsidR="003B3B5F" w:rsidRPr="000B3455" w:rsidRDefault="003B3B5F" w:rsidP="00812CEE">
            <w:pPr>
              <w:autoSpaceDE w:val="0"/>
              <w:autoSpaceDN w:val="0"/>
              <w:adjustRightInd w:val="0"/>
              <w:spacing w:after="0" w:line="320" w:lineRule="atLeast"/>
              <w:ind w:left="60" w:right="60"/>
              <w:jc w:val="center"/>
              <w:rPr>
                <w:rFonts w:cs="Arial"/>
                <w:color w:val="000000"/>
              </w:rPr>
            </w:pPr>
            <w:r w:rsidRPr="000B3455">
              <w:rPr>
                <w:rFonts w:cs="Arial"/>
                <w:color w:val="000000"/>
              </w:rPr>
              <w:t>Collinearity Statistics</w:t>
            </w:r>
          </w:p>
        </w:tc>
      </w:tr>
      <w:tr w:rsidR="003B3B5F" w:rsidRPr="000B3455" w:rsidTr="003B3B5F">
        <w:trPr>
          <w:cantSplit/>
          <w:tblHeader/>
        </w:trPr>
        <w:tc>
          <w:tcPr>
            <w:tcW w:w="3154" w:type="dxa"/>
            <w:gridSpan w:val="2"/>
            <w:vMerge/>
            <w:tcBorders>
              <w:top w:val="single" w:sz="16" w:space="0" w:color="000000"/>
              <w:left w:val="single" w:sz="16" w:space="0" w:color="000000"/>
              <w:bottom w:val="single" w:sz="16" w:space="0" w:color="000000"/>
              <w:right w:val="single" w:sz="16" w:space="0" w:color="000000"/>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1124" w:type="dxa"/>
            <w:tcBorders>
              <w:bottom w:val="single" w:sz="16" w:space="0" w:color="000000"/>
            </w:tcBorders>
            <w:shd w:val="clear" w:color="auto" w:fill="FFFFFF"/>
            <w:vAlign w:val="bottom"/>
          </w:tcPr>
          <w:p w:rsidR="003B3B5F" w:rsidRPr="000B3455" w:rsidRDefault="003B3B5F" w:rsidP="00812CEE">
            <w:pPr>
              <w:autoSpaceDE w:val="0"/>
              <w:autoSpaceDN w:val="0"/>
              <w:adjustRightInd w:val="0"/>
              <w:spacing w:after="0" w:line="320" w:lineRule="atLeast"/>
              <w:ind w:left="60" w:right="60"/>
              <w:jc w:val="center"/>
              <w:rPr>
                <w:rFonts w:cs="Arial"/>
                <w:color w:val="000000"/>
              </w:rPr>
            </w:pPr>
            <w:r w:rsidRPr="000B3455">
              <w:rPr>
                <w:rFonts w:cs="Arial"/>
                <w:color w:val="000000"/>
              </w:rPr>
              <w:t>Tolerance</w:t>
            </w:r>
          </w:p>
        </w:tc>
        <w:tc>
          <w:tcPr>
            <w:tcW w:w="1013" w:type="dxa"/>
            <w:tcBorders>
              <w:bottom w:val="single" w:sz="16" w:space="0" w:color="000000"/>
              <w:right w:val="single" w:sz="16" w:space="0" w:color="000000"/>
            </w:tcBorders>
            <w:shd w:val="clear" w:color="auto" w:fill="FFFFFF"/>
            <w:vAlign w:val="bottom"/>
          </w:tcPr>
          <w:p w:rsidR="003B3B5F" w:rsidRPr="000B3455" w:rsidRDefault="003B3B5F" w:rsidP="00812CEE">
            <w:pPr>
              <w:autoSpaceDE w:val="0"/>
              <w:autoSpaceDN w:val="0"/>
              <w:adjustRightInd w:val="0"/>
              <w:spacing w:after="0" w:line="320" w:lineRule="atLeast"/>
              <w:ind w:left="60" w:right="60"/>
              <w:jc w:val="center"/>
              <w:rPr>
                <w:rFonts w:cs="Arial"/>
                <w:color w:val="000000"/>
              </w:rPr>
            </w:pPr>
            <w:r w:rsidRPr="000B3455">
              <w:rPr>
                <w:rFonts w:cs="Arial"/>
                <w:color w:val="000000"/>
              </w:rPr>
              <w:t>VIF</w:t>
            </w:r>
          </w:p>
        </w:tc>
      </w:tr>
      <w:tr w:rsidR="003B3B5F" w:rsidRPr="000B3455" w:rsidTr="003B3B5F">
        <w:trPr>
          <w:cantSplit/>
          <w:tblHeader/>
        </w:trPr>
        <w:tc>
          <w:tcPr>
            <w:tcW w:w="728" w:type="dxa"/>
            <w:vMerge w:val="restart"/>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1</w:t>
            </w:r>
          </w:p>
        </w:tc>
        <w:tc>
          <w:tcPr>
            <w:tcW w:w="2426" w:type="dxa"/>
            <w:tcBorders>
              <w:top w:val="single" w:sz="16" w:space="0" w:color="000000"/>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(Constant)</w:t>
            </w:r>
          </w:p>
        </w:tc>
        <w:tc>
          <w:tcPr>
            <w:tcW w:w="1124" w:type="dxa"/>
            <w:tcBorders>
              <w:top w:val="single" w:sz="16" w:space="0" w:color="000000"/>
              <w:bottom w:val="nil"/>
            </w:tcBorders>
            <w:shd w:val="clear" w:color="auto" w:fill="FFFFFF"/>
            <w:vAlign w:val="center"/>
          </w:tcPr>
          <w:p w:rsidR="003B3B5F" w:rsidRPr="000B3455" w:rsidRDefault="003B3B5F" w:rsidP="00812CEE">
            <w:pPr>
              <w:autoSpaceDE w:val="0"/>
              <w:autoSpaceDN w:val="0"/>
              <w:adjustRightInd w:val="0"/>
              <w:spacing w:after="0" w:line="240" w:lineRule="auto"/>
              <w:jc w:val="center"/>
              <w:rPr>
                <w:rFonts w:cs="Times New Roman"/>
              </w:rPr>
            </w:pPr>
          </w:p>
        </w:tc>
        <w:tc>
          <w:tcPr>
            <w:tcW w:w="1013" w:type="dxa"/>
            <w:tcBorders>
              <w:top w:val="single" w:sz="16" w:space="0" w:color="000000"/>
              <w:bottom w:val="nil"/>
              <w:right w:val="single" w:sz="16" w:space="0" w:color="000000"/>
            </w:tcBorders>
            <w:shd w:val="clear" w:color="auto" w:fill="FFFFFF"/>
            <w:vAlign w:val="center"/>
          </w:tcPr>
          <w:p w:rsidR="003B3B5F" w:rsidRPr="000B3455" w:rsidRDefault="003B3B5F" w:rsidP="00812CEE">
            <w:pPr>
              <w:autoSpaceDE w:val="0"/>
              <w:autoSpaceDN w:val="0"/>
              <w:adjustRightInd w:val="0"/>
              <w:spacing w:after="0" w:line="240" w:lineRule="auto"/>
              <w:jc w:val="center"/>
              <w:rPr>
                <w:rFonts w:cs="Times New Roman"/>
              </w:rPr>
            </w:pP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Times New Roman"/>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Delta_PR_FV_STO_EXCL_MCL</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,900</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1,112</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D_2004</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,746</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1,340</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D_2005</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,667</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1,498</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D_2006</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,679</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1,472</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D_2007</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,739</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1,353</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LN_ASSETS</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,328</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3,051</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MTB</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,570</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1,754</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RET</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,638</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1,568</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VOL</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,602</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1,661</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BOA_SIZE</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,476</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2,103</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LIQ_CON</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,529</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1,889</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IND_D_MINING</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,694</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1,441</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IND_D_CONSTR</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,893</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1,120</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IND_D_TRANS_COMM_ELE_GAS_SAN_SERV</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,799</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1,252</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IND_D_WHOLESALE</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,721</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1,387</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IND_D_RETAIL</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,823</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1,215</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IND_D_FIN_INS_REAL_EST</w:t>
            </w:r>
          </w:p>
        </w:tc>
        <w:tc>
          <w:tcPr>
            <w:tcW w:w="1124" w:type="dxa"/>
            <w:tcBorders>
              <w:top w:val="nil"/>
              <w:bottom w:val="nil"/>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,634</w:t>
            </w:r>
          </w:p>
        </w:tc>
        <w:tc>
          <w:tcPr>
            <w:tcW w:w="1013" w:type="dxa"/>
            <w:tcBorders>
              <w:top w:val="nil"/>
              <w:bottom w:val="nil"/>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1,578</w:t>
            </w:r>
          </w:p>
        </w:tc>
      </w:tr>
      <w:tr w:rsidR="003B3B5F" w:rsidRPr="000B3455" w:rsidTr="003B3B5F">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3B3B5F" w:rsidRPr="000B3455" w:rsidRDefault="003B3B5F" w:rsidP="00812CEE">
            <w:pPr>
              <w:autoSpaceDE w:val="0"/>
              <w:autoSpaceDN w:val="0"/>
              <w:adjustRightInd w:val="0"/>
              <w:spacing w:after="0" w:line="240" w:lineRule="auto"/>
              <w:rPr>
                <w:rFonts w:cs="Arial"/>
                <w:color w:val="000000"/>
              </w:rPr>
            </w:pPr>
          </w:p>
        </w:tc>
        <w:tc>
          <w:tcPr>
            <w:tcW w:w="2426" w:type="dxa"/>
            <w:tcBorders>
              <w:top w:val="nil"/>
              <w:left w:val="nil"/>
              <w:bottom w:val="single" w:sz="16" w:space="0" w:color="000000"/>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rPr>
                <w:rFonts w:cs="Arial"/>
                <w:color w:val="000000"/>
              </w:rPr>
            </w:pPr>
            <w:r w:rsidRPr="000B3455">
              <w:rPr>
                <w:rFonts w:cs="Arial"/>
                <w:color w:val="000000"/>
              </w:rPr>
              <w:t>IND_D_SERVICES</w:t>
            </w:r>
          </w:p>
        </w:tc>
        <w:tc>
          <w:tcPr>
            <w:tcW w:w="1124" w:type="dxa"/>
            <w:tcBorders>
              <w:top w:val="nil"/>
              <w:bottom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,517</w:t>
            </w:r>
          </w:p>
        </w:tc>
        <w:tc>
          <w:tcPr>
            <w:tcW w:w="1013" w:type="dxa"/>
            <w:tcBorders>
              <w:top w:val="nil"/>
              <w:bottom w:val="single" w:sz="16" w:space="0" w:color="000000"/>
              <w:right w:val="single" w:sz="16" w:space="0" w:color="000000"/>
            </w:tcBorders>
            <w:shd w:val="clear" w:color="auto" w:fill="FFFFFF"/>
          </w:tcPr>
          <w:p w:rsidR="003B3B5F" w:rsidRPr="000B3455" w:rsidRDefault="003B3B5F" w:rsidP="00812CEE">
            <w:pPr>
              <w:autoSpaceDE w:val="0"/>
              <w:autoSpaceDN w:val="0"/>
              <w:adjustRightInd w:val="0"/>
              <w:spacing w:after="0" w:line="320" w:lineRule="atLeast"/>
              <w:ind w:left="60" w:right="60"/>
              <w:jc w:val="right"/>
              <w:rPr>
                <w:rFonts w:cs="Arial"/>
                <w:color w:val="000000"/>
              </w:rPr>
            </w:pPr>
            <w:r w:rsidRPr="000B3455">
              <w:rPr>
                <w:rFonts w:cs="Arial"/>
                <w:color w:val="000000"/>
              </w:rPr>
              <w:t>1,936</w:t>
            </w:r>
          </w:p>
        </w:tc>
      </w:tr>
    </w:tbl>
    <w:p w:rsidR="00C87238" w:rsidRPr="000B3455" w:rsidRDefault="00C87238" w:rsidP="00C87238">
      <w:pPr>
        <w:pStyle w:val="Caption"/>
        <w:rPr>
          <w:b w:val="0"/>
        </w:rPr>
      </w:pPr>
      <w:bookmarkStart w:id="145" w:name="_Ref298858119"/>
      <w:r>
        <w:t xml:space="preserve">Table </w:t>
      </w:r>
      <w:fldSimple w:instr=" SEQ Table \* ARABIC ">
        <w:r w:rsidR="001D5F9A">
          <w:rPr>
            <w:noProof/>
          </w:rPr>
          <w:t>17</w:t>
        </w:r>
      </w:fldSimple>
      <w:bookmarkEnd w:id="145"/>
      <w:r>
        <w:t xml:space="preserve">: </w:t>
      </w:r>
      <w:r w:rsidRPr="00C87238">
        <w:rPr>
          <w:b w:val="0"/>
          <w:color w:val="auto"/>
        </w:rPr>
        <w:t>Collinearity diagnostics for substitution effect of hypothesis 2</w:t>
      </w:r>
    </w:p>
    <w:p w:rsidR="00C87238" w:rsidRDefault="00C87238">
      <w:pPr>
        <w:rPr>
          <w:b/>
        </w:rPr>
      </w:pPr>
    </w:p>
    <w:p w:rsidR="00681954" w:rsidRPr="000B3455" w:rsidRDefault="00681954">
      <w:pPr>
        <w:rPr>
          <w:b/>
        </w:rPr>
      </w:pPr>
      <w:r w:rsidRPr="000B3455">
        <w:rPr>
          <w:b/>
        </w:rPr>
        <w:br w:type="page"/>
      </w:r>
    </w:p>
    <w:p w:rsidR="003D5369" w:rsidRPr="000B3455" w:rsidRDefault="003D5369" w:rsidP="00ED7148">
      <w:pPr>
        <w:pStyle w:val="AppendicesThesis"/>
      </w:pPr>
      <w:bookmarkStart w:id="146" w:name="_Toc298944619"/>
      <w:r w:rsidRPr="000B3455">
        <w:lastRenderedPageBreak/>
        <w:t xml:space="preserve">Appendix </w:t>
      </w:r>
      <w:bookmarkStart w:id="147" w:name="XI"/>
      <w:r w:rsidR="00681954" w:rsidRPr="000B3455">
        <w:t>X</w:t>
      </w:r>
      <w:r w:rsidR="00C97617" w:rsidRPr="000B3455">
        <w:t>I</w:t>
      </w:r>
      <w:bookmarkEnd w:id="147"/>
      <w:r w:rsidRPr="000B3455">
        <w:t xml:space="preserve">: Descriptive </w:t>
      </w:r>
      <w:r w:rsidR="00E64A6D">
        <w:t>s</w:t>
      </w:r>
      <w:r w:rsidR="00E64A6D" w:rsidRPr="000B3455">
        <w:t xml:space="preserve">tatistics </w:t>
      </w:r>
      <w:r w:rsidRPr="000B3455">
        <w:t xml:space="preserve">on </w:t>
      </w:r>
      <w:r w:rsidR="00E64A6D">
        <w:t>h</w:t>
      </w:r>
      <w:r w:rsidR="00E64A6D" w:rsidRPr="000B3455">
        <w:t xml:space="preserve">ypothesis </w:t>
      </w:r>
      <w:r w:rsidRPr="000B3455">
        <w:t>3</w:t>
      </w:r>
      <w:bookmarkEnd w:id="146"/>
    </w:p>
    <w:p w:rsidR="00CE06C7" w:rsidRPr="000B3455" w:rsidRDefault="00CE06C7" w:rsidP="00CE06C7">
      <w:pPr>
        <w:autoSpaceDE w:val="0"/>
        <w:autoSpaceDN w:val="0"/>
        <w:adjustRightInd w:val="0"/>
        <w:spacing w:after="0" w:line="240" w:lineRule="auto"/>
        <w:rPr>
          <w:rFonts w:cs="Times New Roman"/>
        </w:rPr>
      </w:pPr>
    </w:p>
    <w:tbl>
      <w:tblPr>
        <w:tblW w:w="50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1424"/>
        <w:gridCol w:w="1456"/>
        <w:gridCol w:w="1454"/>
      </w:tblGrid>
      <w:tr w:rsidR="00CE06C7" w:rsidRPr="000B3455" w:rsidTr="00AB4FD8">
        <w:trPr>
          <w:cantSplit/>
          <w:tblHeader/>
        </w:trPr>
        <w:tc>
          <w:tcPr>
            <w:tcW w:w="5061" w:type="dxa"/>
            <w:gridSpan w:val="4"/>
            <w:tcBorders>
              <w:top w:val="nil"/>
              <w:left w:val="nil"/>
              <w:bottom w:val="nil"/>
              <w:right w:val="nil"/>
            </w:tcBorders>
            <w:shd w:val="clear" w:color="auto" w:fill="FFFFFF"/>
            <w:vAlign w:val="center"/>
          </w:tcPr>
          <w:p w:rsidR="00CE06C7" w:rsidRPr="000B3455" w:rsidRDefault="00CE06C7" w:rsidP="00AB4FD8">
            <w:pPr>
              <w:autoSpaceDE w:val="0"/>
              <w:autoSpaceDN w:val="0"/>
              <w:adjustRightInd w:val="0"/>
              <w:spacing w:after="0" w:line="320" w:lineRule="atLeast"/>
              <w:ind w:left="60" w:right="60"/>
              <w:jc w:val="center"/>
              <w:rPr>
                <w:rFonts w:cs="Arial"/>
                <w:color w:val="000000"/>
              </w:rPr>
            </w:pPr>
            <w:r w:rsidRPr="000B3455">
              <w:rPr>
                <w:rFonts w:cs="Arial"/>
                <w:b/>
                <w:bCs/>
                <w:color w:val="000000"/>
              </w:rPr>
              <w:t>Statistics</w:t>
            </w:r>
          </w:p>
        </w:tc>
      </w:tr>
      <w:tr w:rsidR="00CE06C7" w:rsidRPr="000B3455" w:rsidTr="00AB4FD8">
        <w:trPr>
          <w:cantSplit/>
          <w:tblHeader/>
        </w:trPr>
        <w:tc>
          <w:tcPr>
            <w:tcW w:w="2151"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CE06C7" w:rsidRPr="000B3455" w:rsidRDefault="00CE06C7" w:rsidP="00AB4FD8">
            <w:pPr>
              <w:autoSpaceDE w:val="0"/>
              <w:autoSpaceDN w:val="0"/>
              <w:adjustRightInd w:val="0"/>
              <w:spacing w:after="0" w:line="240" w:lineRule="auto"/>
              <w:jc w:val="center"/>
              <w:rPr>
                <w:rFonts w:cs="Times New Roman"/>
              </w:rPr>
            </w:pPr>
          </w:p>
        </w:tc>
        <w:tc>
          <w:tcPr>
            <w:tcW w:w="1456" w:type="dxa"/>
            <w:tcBorders>
              <w:top w:val="single" w:sz="16" w:space="0" w:color="000000"/>
              <w:left w:val="single" w:sz="16" w:space="0" w:color="000000"/>
              <w:bottom w:val="single" w:sz="16" w:space="0" w:color="000000"/>
            </w:tcBorders>
            <w:shd w:val="clear" w:color="auto" w:fill="FFFFFF"/>
            <w:vAlign w:val="bottom"/>
          </w:tcPr>
          <w:p w:rsidR="00CE06C7" w:rsidRPr="000B3455" w:rsidRDefault="00CE06C7" w:rsidP="00AB4FD8">
            <w:pPr>
              <w:autoSpaceDE w:val="0"/>
              <w:autoSpaceDN w:val="0"/>
              <w:adjustRightInd w:val="0"/>
              <w:spacing w:after="0" w:line="320" w:lineRule="atLeast"/>
              <w:ind w:left="60" w:right="60"/>
              <w:jc w:val="center"/>
              <w:rPr>
                <w:rFonts w:cs="Arial"/>
                <w:color w:val="000000"/>
              </w:rPr>
            </w:pPr>
            <w:r w:rsidRPr="000B3455">
              <w:rPr>
                <w:rFonts w:cs="Arial"/>
                <w:color w:val="000000"/>
              </w:rPr>
              <w:t>PR_FIX_SAL_EXCL_MCL</w:t>
            </w:r>
          </w:p>
        </w:tc>
        <w:tc>
          <w:tcPr>
            <w:tcW w:w="1454" w:type="dxa"/>
            <w:tcBorders>
              <w:top w:val="single" w:sz="16" w:space="0" w:color="000000"/>
              <w:bottom w:val="single" w:sz="16" w:space="0" w:color="000000"/>
              <w:right w:val="single" w:sz="16" w:space="0" w:color="000000"/>
            </w:tcBorders>
            <w:shd w:val="clear" w:color="auto" w:fill="FFFFFF"/>
            <w:vAlign w:val="bottom"/>
          </w:tcPr>
          <w:p w:rsidR="00CE06C7" w:rsidRPr="000B3455" w:rsidRDefault="00CE06C7" w:rsidP="00AB4FD8">
            <w:pPr>
              <w:autoSpaceDE w:val="0"/>
              <w:autoSpaceDN w:val="0"/>
              <w:adjustRightInd w:val="0"/>
              <w:spacing w:after="0" w:line="320" w:lineRule="atLeast"/>
              <w:ind w:left="60" w:right="60"/>
              <w:jc w:val="center"/>
              <w:rPr>
                <w:rFonts w:cs="Arial"/>
                <w:color w:val="000000"/>
              </w:rPr>
            </w:pPr>
            <w:r w:rsidRPr="000B3455">
              <w:rPr>
                <w:rFonts w:cs="Arial"/>
                <w:color w:val="000000"/>
              </w:rPr>
              <w:t>Delta_PR_FIX_SAL_EXCL_MCL</w:t>
            </w:r>
          </w:p>
        </w:tc>
      </w:tr>
      <w:tr w:rsidR="00CE06C7" w:rsidRPr="000B3455" w:rsidTr="00AB4FD8">
        <w:trPr>
          <w:cantSplit/>
          <w:tblHeader/>
        </w:trPr>
        <w:tc>
          <w:tcPr>
            <w:tcW w:w="727" w:type="dxa"/>
            <w:vMerge w:val="restart"/>
            <w:tcBorders>
              <w:top w:val="single" w:sz="16" w:space="0" w:color="000000"/>
              <w:left w:val="single" w:sz="16" w:space="0" w:color="000000"/>
              <w:bottom w:val="nil"/>
              <w:right w:val="nil"/>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N</w:t>
            </w:r>
          </w:p>
        </w:tc>
        <w:tc>
          <w:tcPr>
            <w:tcW w:w="1424" w:type="dxa"/>
            <w:tcBorders>
              <w:top w:val="single" w:sz="16" w:space="0" w:color="000000"/>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Valid</w:t>
            </w:r>
          </w:p>
        </w:tc>
        <w:tc>
          <w:tcPr>
            <w:tcW w:w="1456" w:type="dxa"/>
            <w:tcBorders>
              <w:top w:val="single" w:sz="16" w:space="0" w:color="000000"/>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170</w:t>
            </w:r>
          </w:p>
        </w:tc>
        <w:tc>
          <w:tcPr>
            <w:tcW w:w="1454" w:type="dxa"/>
            <w:tcBorders>
              <w:top w:val="single" w:sz="16" w:space="0" w:color="000000"/>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170</w:t>
            </w:r>
          </w:p>
        </w:tc>
      </w:tr>
      <w:tr w:rsidR="00CE06C7" w:rsidRPr="000B3455" w:rsidTr="00AB4FD8">
        <w:trPr>
          <w:cantSplit/>
          <w:tblHeader/>
        </w:trPr>
        <w:tc>
          <w:tcPr>
            <w:tcW w:w="727" w:type="dxa"/>
            <w:vMerge/>
            <w:tcBorders>
              <w:top w:val="single" w:sz="16" w:space="0" w:color="000000"/>
              <w:left w:val="single" w:sz="16" w:space="0" w:color="000000"/>
              <w:bottom w:val="nil"/>
              <w:right w:val="nil"/>
            </w:tcBorders>
            <w:shd w:val="clear" w:color="auto" w:fill="FFFFFF"/>
          </w:tcPr>
          <w:p w:rsidR="00CE06C7" w:rsidRPr="000B3455" w:rsidRDefault="00CE06C7" w:rsidP="00AB4FD8">
            <w:pPr>
              <w:autoSpaceDE w:val="0"/>
              <w:autoSpaceDN w:val="0"/>
              <w:adjustRightInd w:val="0"/>
              <w:spacing w:after="0" w:line="240" w:lineRule="auto"/>
              <w:rPr>
                <w:rFonts w:cs="Arial"/>
                <w:color w:val="000000"/>
              </w:rPr>
            </w:pPr>
          </w:p>
        </w:tc>
        <w:tc>
          <w:tcPr>
            <w:tcW w:w="1424"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Missing</w:t>
            </w:r>
          </w:p>
        </w:tc>
        <w:tc>
          <w:tcPr>
            <w:tcW w:w="1456"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w:t>
            </w:r>
          </w:p>
        </w:tc>
        <w:tc>
          <w:tcPr>
            <w:tcW w:w="1454"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w:t>
            </w:r>
          </w:p>
        </w:tc>
      </w:tr>
      <w:tr w:rsidR="00CE06C7" w:rsidRPr="000B3455" w:rsidTr="00AB4FD8">
        <w:trPr>
          <w:cantSplit/>
          <w:tblHeader/>
        </w:trPr>
        <w:tc>
          <w:tcPr>
            <w:tcW w:w="2151" w:type="dxa"/>
            <w:gridSpan w:val="2"/>
            <w:tcBorders>
              <w:top w:val="nil"/>
              <w:left w:val="single" w:sz="16" w:space="0" w:color="000000"/>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Mean</w:t>
            </w:r>
          </w:p>
        </w:tc>
        <w:tc>
          <w:tcPr>
            <w:tcW w:w="1456"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,483965</w:t>
            </w:r>
          </w:p>
        </w:tc>
        <w:tc>
          <w:tcPr>
            <w:tcW w:w="1454"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-3,6589529</w:t>
            </w:r>
          </w:p>
        </w:tc>
      </w:tr>
      <w:tr w:rsidR="00CE06C7" w:rsidRPr="000B3455" w:rsidTr="00AB4FD8">
        <w:trPr>
          <w:cantSplit/>
          <w:tblHeader/>
        </w:trPr>
        <w:tc>
          <w:tcPr>
            <w:tcW w:w="2151" w:type="dxa"/>
            <w:gridSpan w:val="2"/>
            <w:tcBorders>
              <w:top w:val="nil"/>
              <w:left w:val="single" w:sz="16" w:space="0" w:color="000000"/>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Std. Deviation</w:t>
            </w:r>
          </w:p>
        </w:tc>
        <w:tc>
          <w:tcPr>
            <w:tcW w:w="1456"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,1616853</w:t>
            </w:r>
          </w:p>
        </w:tc>
        <w:tc>
          <w:tcPr>
            <w:tcW w:w="1454"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14,46210168</w:t>
            </w:r>
          </w:p>
        </w:tc>
      </w:tr>
      <w:tr w:rsidR="00CE06C7" w:rsidRPr="000B3455" w:rsidTr="00AB4FD8">
        <w:trPr>
          <w:cantSplit/>
          <w:tblHeader/>
        </w:trPr>
        <w:tc>
          <w:tcPr>
            <w:tcW w:w="2151" w:type="dxa"/>
            <w:gridSpan w:val="2"/>
            <w:tcBorders>
              <w:top w:val="nil"/>
              <w:left w:val="single" w:sz="16" w:space="0" w:color="000000"/>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Minimum</w:t>
            </w:r>
          </w:p>
        </w:tc>
        <w:tc>
          <w:tcPr>
            <w:tcW w:w="1456"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,1888</w:t>
            </w:r>
          </w:p>
        </w:tc>
        <w:tc>
          <w:tcPr>
            <w:tcW w:w="1454"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-47,90725</w:t>
            </w:r>
          </w:p>
        </w:tc>
      </w:tr>
      <w:tr w:rsidR="00CE06C7" w:rsidRPr="000B3455" w:rsidTr="00AB4FD8">
        <w:trPr>
          <w:cantSplit/>
        </w:trPr>
        <w:tc>
          <w:tcPr>
            <w:tcW w:w="2151" w:type="dxa"/>
            <w:gridSpan w:val="2"/>
            <w:tcBorders>
              <w:top w:val="nil"/>
              <w:left w:val="single" w:sz="16" w:space="0" w:color="000000"/>
              <w:bottom w:val="single" w:sz="16" w:space="0" w:color="000000"/>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Maximum</w:t>
            </w:r>
          </w:p>
        </w:tc>
        <w:tc>
          <w:tcPr>
            <w:tcW w:w="1456" w:type="dxa"/>
            <w:tcBorders>
              <w:top w:val="nil"/>
              <w:left w:val="single" w:sz="16" w:space="0" w:color="000000"/>
              <w:bottom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,8815</w:t>
            </w:r>
          </w:p>
        </w:tc>
        <w:tc>
          <w:tcPr>
            <w:tcW w:w="1454" w:type="dxa"/>
            <w:tcBorders>
              <w:top w:val="nil"/>
              <w:bottom w:val="single" w:sz="16" w:space="0" w:color="000000"/>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43,11852</w:t>
            </w:r>
          </w:p>
        </w:tc>
      </w:tr>
    </w:tbl>
    <w:p w:rsidR="00CE06C7" w:rsidRPr="000B3455" w:rsidRDefault="00490FE6" w:rsidP="00490FE6">
      <w:pPr>
        <w:pStyle w:val="Caption"/>
        <w:rPr>
          <w:rFonts w:cstheme="minorHAnsi"/>
        </w:rPr>
      </w:pPr>
      <w:bookmarkStart w:id="148" w:name="_Ref298858325"/>
      <w:r>
        <w:t xml:space="preserve">Table </w:t>
      </w:r>
      <w:fldSimple w:instr=" SEQ Table \* ARABIC ">
        <w:r w:rsidR="001D5F9A">
          <w:rPr>
            <w:noProof/>
          </w:rPr>
          <w:t>18</w:t>
        </w:r>
      </w:fldSimple>
      <w:bookmarkEnd w:id="148"/>
      <w:r>
        <w:t xml:space="preserve">: </w:t>
      </w:r>
      <w:r w:rsidRPr="00490FE6">
        <w:rPr>
          <w:rFonts w:cstheme="minorHAnsi"/>
          <w:color w:val="auto"/>
        </w:rPr>
        <w:t>SPSS output on descriptive statistics</w:t>
      </w:r>
    </w:p>
    <w:p w:rsidR="00CE06C7" w:rsidRPr="000B3455" w:rsidRDefault="00CE06C7" w:rsidP="00CE06C7">
      <w:pPr>
        <w:autoSpaceDE w:val="0"/>
        <w:autoSpaceDN w:val="0"/>
        <w:adjustRightInd w:val="0"/>
        <w:spacing w:after="0" w:line="240" w:lineRule="auto"/>
        <w:rPr>
          <w:rFonts w:cstheme="minorHAnsi"/>
        </w:rPr>
      </w:pPr>
      <w:r w:rsidRPr="000B3455">
        <w:rPr>
          <w:rFonts w:cstheme="minorHAnsi"/>
          <w:noProof/>
          <w:lang w:val="nl-NL" w:eastAsia="nl-NL" w:bidi="ar-SA"/>
        </w:rPr>
        <w:drawing>
          <wp:inline distT="0" distB="0" distL="0" distR="0">
            <wp:extent cx="5735955" cy="4584065"/>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print"/>
                    <a:srcRect/>
                    <a:stretch>
                      <a:fillRect/>
                    </a:stretch>
                  </pic:blipFill>
                  <pic:spPr bwMode="auto">
                    <a:xfrm>
                      <a:off x="0" y="0"/>
                      <a:ext cx="5735955" cy="4584065"/>
                    </a:xfrm>
                    <a:prstGeom prst="rect">
                      <a:avLst/>
                    </a:prstGeom>
                    <a:noFill/>
                    <a:ln w="9525">
                      <a:noFill/>
                      <a:miter lim="800000"/>
                      <a:headEnd/>
                      <a:tailEnd/>
                    </a:ln>
                  </pic:spPr>
                </pic:pic>
              </a:graphicData>
            </a:graphic>
          </wp:inline>
        </w:drawing>
      </w:r>
    </w:p>
    <w:p w:rsidR="00CE06C7" w:rsidRPr="000B3455" w:rsidRDefault="00490FE6" w:rsidP="00490FE6">
      <w:pPr>
        <w:pStyle w:val="Caption"/>
        <w:rPr>
          <w:rFonts w:cstheme="minorHAnsi"/>
        </w:rPr>
      </w:pPr>
      <w:bookmarkStart w:id="149" w:name="_Ref298858427"/>
      <w:r>
        <w:t xml:space="preserve">Figure </w:t>
      </w:r>
      <w:fldSimple w:instr=" SEQ Figure \* ARABIC ">
        <w:r w:rsidR="001D5F9A">
          <w:rPr>
            <w:noProof/>
          </w:rPr>
          <w:t>8</w:t>
        </w:r>
      </w:fldSimple>
      <w:r>
        <w:t xml:space="preserve">: </w:t>
      </w:r>
      <w:r w:rsidRPr="00490FE6">
        <w:rPr>
          <w:rFonts w:cstheme="minorHAnsi"/>
          <w:color w:val="auto"/>
        </w:rPr>
        <w:t>SPSS histogram of distribution of the proportion of fixed salary</w:t>
      </w:r>
      <w:bookmarkEnd w:id="149"/>
    </w:p>
    <w:p w:rsidR="00CE06C7" w:rsidRPr="000B3455" w:rsidRDefault="00CE06C7" w:rsidP="00490FE6">
      <w:pPr>
        <w:autoSpaceDE w:val="0"/>
        <w:autoSpaceDN w:val="0"/>
        <w:adjustRightInd w:val="0"/>
        <w:spacing w:after="0" w:line="240" w:lineRule="auto"/>
        <w:rPr>
          <w:rFonts w:cstheme="minorHAnsi"/>
        </w:rPr>
      </w:pPr>
      <w:r w:rsidRPr="000B3455">
        <w:rPr>
          <w:rFonts w:cstheme="minorHAnsi"/>
          <w:noProof/>
          <w:lang w:val="nl-NL" w:eastAsia="nl-NL" w:bidi="ar-SA"/>
        </w:rPr>
        <w:lastRenderedPageBreak/>
        <w:drawing>
          <wp:inline distT="0" distB="0" distL="0" distR="0">
            <wp:extent cx="5524500" cy="4415074"/>
            <wp:effectExtent l="19050" t="0" r="0" b="0"/>
            <wp:docPr id="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cstate="print"/>
                    <a:srcRect/>
                    <a:stretch>
                      <a:fillRect/>
                    </a:stretch>
                  </pic:blipFill>
                  <pic:spPr bwMode="auto">
                    <a:xfrm>
                      <a:off x="0" y="0"/>
                      <a:ext cx="5527563" cy="4417522"/>
                    </a:xfrm>
                    <a:prstGeom prst="rect">
                      <a:avLst/>
                    </a:prstGeom>
                    <a:noFill/>
                    <a:ln w="9525">
                      <a:noFill/>
                      <a:miter lim="800000"/>
                      <a:headEnd/>
                      <a:tailEnd/>
                    </a:ln>
                  </pic:spPr>
                </pic:pic>
              </a:graphicData>
            </a:graphic>
          </wp:inline>
        </w:drawing>
      </w:r>
    </w:p>
    <w:p w:rsidR="00CE06C7" w:rsidRDefault="00490FE6" w:rsidP="00735F79">
      <w:pPr>
        <w:pStyle w:val="Caption"/>
        <w:rPr>
          <w:rFonts w:cstheme="minorHAnsi"/>
          <w:color w:val="auto"/>
        </w:rPr>
      </w:pPr>
      <w:bookmarkStart w:id="150" w:name="_Ref298858625"/>
      <w:r>
        <w:t xml:space="preserve">Figure </w:t>
      </w:r>
      <w:fldSimple w:instr=" SEQ Figure \* ARABIC ">
        <w:r w:rsidR="001D5F9A">
          <w:rPr>
            <w:noProof/>
          </w:rPr>
          <w:t>9</w:t>
        </w:r>
      </w:fldSimple>
      <w:bookmarkEnd w:id="150"/>
      <w:r>
        <w:t xml:space="preserve">: </w:t>
      </w:r>
      <w:r w:rsidRPr="00490FE6">
        <w:rPr>
          <w:rFonts w:cstheme="minorHAnsi"/>
          <w:color w:val="auto"/>
        </w:rPr>
        <w:t>SPSS histogram of distribution of the change in the proportion of fixed salary</w:t>
      </w:r>
    </w:p>
    <w:p w:rsidR="00735F79" w:rsidRPr="00735F79" w:rsidRDefault="00735F79" w:rsidP="00735F79"/>
    <w:p w:rsidR="00CE06C7" w:rsidRDefault="00CE06C7" w:rsidP="00CE06C7">
      <w:pPr>
        <w:autoSpaceDE w:val="0"/>
        <w:autoSpaceDN w:val="0"/>
        <w:adjustRightInd w:val="0"/>
        <w:spacing w:after="0" w:line="400" w:lineRule="atLeast"/>
        <w:rPr>
          <w:rFonts w:cstheme="minorHAnsi"/>
        </w:rPr>
      </w:pPr>
      <w:r w:rsidRPr="000B3455">
        <w:rPr>
          <w:rFonts w:cstheme="minorHAnsi"/>
          <w:noProof/>
          <w:lang w:val="nl-NL" w:eastAsia="nl-NL" w:bidi="ar-SA"/>
        </w:rPr>
        <w:drawing>
          <wp:inline distT="0" distB="0" distL="0" distR="0">
            <wp:extent cx="4572000" cy="2752725"/>
            <wp:effectExtent l="19050" t="0" r="1905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490FE6" w:rsidRPr="000B3455" w:rsidRDefault="00490FE6" w:rsidP="00CE06C7">
      <w:pPr>
        <w:autoSpaceDE w:val="0"/>
        <w:autoSpaceDN w:val="0"/>
        <w:adjustRightInd w:val="0"/>
        <w:spacing w:after="0" w:line="400" w:lineRule="atLeast"/>
        <w:rPr>
          <w:rFonts w:cstheme="minorHAnsi"/>
        </w:rPr>
      </w:pPr>
    </w:p>
    <w:p w:rsidR="00490FE6" w:rsidRDefault="00490FE6" w:rsidP="00490FE6">
      <w:pPr>
        <w:pStyle w:val="Caption"/>
      </w:pPr>
      <w:bookmarkStart w:id="151" w:name="_Ref298858449"/>
      <w:r>
        <w:t xml:space="preserve">Figure </w:t>
      </w:r>
      <w:fldSimple w:instr=" SEQ Figure \* ARABIC ">
        <w:r w:rsidR="001D5F9A">
          <w:rPr>
            <w:noProof/>
          </w:rPr>
          <w:t>10</w:t>
        </w:r>
      </w:fldSimple>
      <w:bookmarkEnd w:id="151"/>
      <w:r>
        <w:t xml:space="preserve">: </w:t>
      </w:r>
      <w:r w:rsidRPr="00490FE6">
        <w:rPr>
          <w:rFonts w:cstheme="minorHAnsi"/>
          <w:noProof/>
          <w:color w:val="auto"/>
        </w:rPr>
        <w:t>Trend of proportion of granted stock options and fixed salary</w:t>
      </w:r>
    </w:p>
    <w:p w:rsidR="00CE06C7" w:rsidRDefault="00CE06C7" w:rsidP="00CE06C7">
      <w:pPr>
        <w:autoSpaceDE w:val="0"/>
        <w:autoSpaceDN w:val="0"/>
        <w:adjustRightInd w:val="0"/>
        <w:spacing w:after="0" w:line="400" w:lineRule="atLeast"/>
        <w:rPr>
          <w:rFonts w:cstheme="minorHAnsi"/>
        </w:rPr>
      </w:pPr>
      <w:r w:rsidRPr="000B3455">
        <w:rPr>
          <w:rFonts w:cstheme="minorHAnsi"/>
          <w:noProof/>
          <w:lang w:val="nl-NL" w:eastAsia="nl-NL" w:bidi="ar-SA"/>
        </w:rPr>
        <w:lastRenderedPageBreak/>
        <w:drawing>
          <wp:inline distT="0" distB="0" distL="0" distR="0">
            <wp:extent cx="4619625" cy="2733675"/>
            <wp:effectExtent l="19050" t="0" r="9525" b="0"/>
            <wp:docPr id="6"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490FE6" w:rsidRPr="000B3455" w:rsidRDefault="00490FE6" w:rsidP="00CE06C7">
      <w:pPr>
        <w:autoSpaceDE w:val="0"/>
        <w:autoSpaceDN w:val="0"/>
        <w:adjustRightInd w:val="0"/>
        <w:spacing w:after="0" w:line="400" w:lineRule="atLeast"/>
        <w:rPr>
          <w:rFonts w:cstheme="minorHAnsi"/>
        </w:rPr>
      </w:pPr>
    </w:p>
    <w:p w:rsidR="003D5369" w:rsidRDefault="00490FE6" w:rsidP="00490FE6">
      <w:pPr>
        <w:pStyle w:val="Caption"/>
        <w:rPr>
          <w:rFonts w:cstheme="minorHAnsi"/>
          <w:noProof/>
          <w:color w:val="auto"/>
        </w:rPr>
      </w:pPr>
      <w:bookmarkStart w:id="152" w:name="_Ref298858459"/>
      <w:r>
        <w:t xml:space="preserve">Figure </w:t>
      </w:r>
      <w:fldSimple w:instr=" SEQ Figure \* ARABIC ">
        <w:r w:rsidR="001D5F9A">
          <w:rPr>
            <w:noProof/>
          </w:rPr>
          <w:t>11</w:t>
        </w:r>
      </w:fldSimple>
      <w:bookmarkEnd w:id="152"/>
      <w:r>
        <w:t xml:space="preserve">: </w:t>
      </w:r>
      <w:r w:rsidRPr="00490FE6">
        <w:rPr>
          <w:rFonts w:cstheme="minorHAnsi"/>
          <w:noProof/>
          <w:color w:val="auto"/>
        </w:rPr>
        <w:t>Trend of the change in the proportion of granted stock options and fixed salary</w:t>
      </w:r>
    </w:p>
    <w:p w:rsidR="00490FE6" w:rsidRPr="00490FE6" w:rsidRDefault="00490FE6" w:rsidP="00490FE6"/>
    <w:p w:rsidR="003D5369" w:rsidRPr="000B3455" w:rsidRDefault="003D5369">
      <w:r w:rsidRPr="000B3455">
        <w:br w:type="page"/>
      </w:r>
    </w:p>
    <w:p w:rsidR="003D5369" w:rsidRPr="000B3455" w:rsidRDefault="003D5369" w:rsidP="00ED7148">
      <w:pPr>
        <w:pStyle w:val="AppendicesThesis"/>
      </w:pPr>
      <w:bookmarkStart w:id="153" w:name="XII"/>
      <w:bookmarkStart w:id="154" w:name="_Toc298944620"/>
      <w:r w:rsidRPr="000B3455">
        <w:lastRenderedPageBreak/>
        <w:t>Appendix X</w:t>
      </w:r>
      <w:r w:rsidR="00681954" w:rsidRPr="000B3455">
        <w:t>I</w:t>
      </w:r>
      <w:r w:rsidR="00C97617" w:rsidRPr="000B3455">
        <w:t>I</w:t>
      </w:r>
      <w:bookmarkEnd w:id="153"/>
      <w:r w:rsidRPr="000B3455">
        <w:t xml:space="preserve">: Statistical </w:t>
      </w:r>
      <w:r w:rsidR="00E64A6D">
        <w:t>f</w:t>
      </w:r>
      <w:r w:rsidR="00E64A6D" w:rsidRPr="000B3455">
        <w:t xml:space="preserve">indings </w:t>
      </w:r>
      <w:r w:rsidRPr="000B3455">
        <w:t xml:space="preserve">on </w:t>
      </w:r>
      <w:r w:rsidR="00E64A6D">
        <w:t>h</w:t>
      </w:r>
      <w:r w:rsidR="00E64A6D" w:rsidRPr="000B3455">
        <w:t xml:space="preserve">ypothesis </w:t>
      </w:r>
      <w:r w:rsidRPr="000B3455">
        <w:t>3</w:t>
      </w:r>
      <w:bookmarkEnd w:id="154"/>
    </w:p>
    <w:tbl>
      <w:tblPr>
        <w:tblW w:w="73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71"/>
      </w:tblGrid>
      <w:tr w:rsidR="00CE06C7" w:rsidRPr="000B3455" w:rsidTr="00490FE6">
        <w:trPr>
          <w:cantSplit/>
          <w:tblHeader/>
        </w:trPr>
        <w:tc>
          <w:tcPr>
            <w:tcW w:w="7371" w:type="dxa"/>
            <w:tcBorders>
              <w:top w:val="nil"/>
              <w:left w:val="nil"/>
              <w:bottom w:val="nil"/>
              <w:right w:val="nil"/>
            </w:tcBorders>
            <w:shd w:val="clear" w:color="auto" w:fill="FFFFFF"/>
            <w:vAlign w:val="center"/>
          </w:tcPr>
          <w:p w:rsidR="00CE06C7" w:rsidRPr="000B3455" w:rsidRDefault="00CE06C7" w:rsidP="00AB4FD8">
            <w:pPr>
              <w:autoSpaceDE w:val="0"/>
              <w:autoSpaceDN w:val="0"/>
              <w:adjustRightInd w:val="0"/>
              <w:spacing w:after="0" w:line="320" w:lineRule="atLeast"/>
              <w:ind w:left="60" w:right="60"/>
              <w:jc w:val="center"/>
              <w:rPr>
                <w:rFonts w:cs="Arial"/>
                <w:b/>
                <w:bCs/>
                <w:color w:val="000000"/>
              </w:rPr>
            </w:pPr>
          </w:p>
          <w:p w:rsidR="00CE06C7" w:rsidRDefault="00CE06C7" w:rsidP="00AB4FD8">
            <w:pPr>
              <w:autoSpaceDE w:val="0"/>
              <w:autoSpaceDN w:val="0"/>
              <w:adjustRightInd w:val="0"/>
              <w:spacing w:after="0" w:line="320" w:lineRule="atLeast"/>
              <w:ind w:left="60" w:right="60"/>
              <w:jc w:val="center"/>
              <w:rPr>
                <w:rFonts w:cs="Arial"/>
                <w:b/>
                <w:bCs/>
                <w:color w:val="000000"/>
              </w:rPr>
            </w:pPr>
            <w:r w:rsidRPr="000B3455">
              <w:rPr>
                <w:rFonts w:cs="Arial"/>
                <w:b/>
                <w:bCs/>
                <w:color w:val="000000"/>
              </w:rPr>
              <w:t>Model Summary</w:t>
            </w:r>
          </w:p>
          <w:tbl>
            <w:tblPr>
              <w:tblStyle w:val="TableGrid"/>
              <w:tblW w:w="7155" w:type="dxa"/>
              <w:tblInd w:w="60" w:type="dxa"/>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ayout w:type="fixed"/>
              <w:tblLook w:val="04A0"/>
            </w:tblPr>
            <w:tblGrid>
              <w:gridCol w:w="1191"/>
              <w:gridCol w:w="1192"/>
              <w:gridCol w:w="1193"/>
              <w:gridCol w:w="1318"/>
              <w:gridCol w:w="2261"/>
            </w:tblGrid>
            <w:tr w:rsidR="00490FE6" w:rsidRPr="00490FE6" w:rsidTr="00490FE6">
              <w:trPr>
                <w:trHeight w:val="1012"/>
              </w:trPr>
              <w:tc>
                <w:tcPr>
                  <w:tcW w:w="119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bottom"/>
                  <w:hideMark/>
                </w:tcPr>
                <w:p w:rsidR="00490FE6" w:rsidRDefault="00490FE6">
                  <w:pPr>
                    <w:autoSpaceDE w:val="0"/>
                    <w:autoSpaceDN w:val="0"/>
                    <w:adjustRightInd w:val="0"/>
                    <w:spacing w:line="320" w:lineRule="atLeast"/>
                    <w:ind w:right="-12"/>
                    <w:jc w:val="center"/>
                    <w:rPr>
                      <w:rFonts w:cs="Arial"/>
                      <w:color w:val="000000"/>
                    </w:rPr>
                  </w:pPr>
                  <w:r>
                    <w:rPr>
                      <w:rFonts w:cs="Arial"/>
                      <w:color w:val="000000"/>
                    </w:rPr>
                    <w:t>Model</w:t>
                  </w:r>
                </w:p>
              </w:tc>
              <w:tc>
                <w:tcPr>
                  <w:tcW w:w="1192" w:type="dxa"/>
                  <w:tcBorders>
                    <w:top w:val="single" w:sz="12" w:space="0" w:color="000000" w:themeColor="text1"/>
                    <w:left w:val="single" w:sz="12" w:space="0" w:color="000000" w:themeColor="text1"/>
                    <w:bottom w:val="single" w:sz="12" w:space="0" w:color="000000" w:themeColor="text1"/>
                    <w:right w:val="single" w:sz="8" w:space="0" w:color="000000" w:themeColor="text1"/>
                  </w:tcBorders>
                  <w:vAlign w:val="bottom"/>
                  <w:hideMark/>
                </w:tcPr>
                <w:p w:rsidR="00490FE6" w:rsidRDefault="00490FE6">
                  <w:pPr>
                    <w:autoSpaceDE w:val="0"/>
                    <w:autoSpaceDN w:val="0"/>
                    <w:adjustRightInd w:val="0"/>
                    <w:spacing w:line="320" w:lineRule="atLeast"/>
                    <w:ind w:right="-12"/>
                    <w:jc w:val="center"/>
                    <w:rPr>
                      <w:rFonts w:cs="Arial"/>
                      <w:color w:val="000000"/>
                    </w:rPr>
                  </w:pPr>
                  <w:r>
                    <w:rPr>
                      <w:rFonts w:cs="Arial"/>
                      <w:color w:val="000000"/>
                    </w:rPr>
                    <w:t>R</w:t>
                  </w:r>
                </w:p>
              </w:tc>
              <w:tc>
                <w:tcPr>
                  <w:tcW w:w="1193" w:type="dxa"/>
                  <w:tcBorders>
                    <w:top w:val="single" w:sz="12" w:space="0" w:color="000000" w:themeColor="text1"/>
                    <w:left w:val="single" w:sz="8" w:space="0" w:color="000000" w:themeColor="text1"/>
                    <w:bottom w:val="single" w:sz="12" w:space="0" w:color="000000" w:themeColor="text1"/>
                    <w:right w:val="single" w:sz="8" w:space="0" w:color="000000" w:themeColor="text1"/>
                  </w:tcBorders>
                  <w:vAlign w:val="bottom"/>
                  <w:hideMark/>
                </w:tcPr>
                <w:p w:rsidR="00490FE6" w:rsidRDefault="00490FE6">
                  <w:pPr>
                    <w:autoSpaceDE w:val="0"/>
                    <w:autoSpaceDN w:val="0"/>
                    <w:adjustRightInd w:val="0"/>
                    <w:spacing w:line="320" w:lineRule="atLeast"/>
                    <w:ind w:right="-12"/>
                    <w:jc w:val="center"/>
                    <w:rPr>
                      <w:rFonts w:cs="Arial"/>
                      <w:color w:val="000000"/>
                    </w:rPr>
                  </w:pPr>
                  <w:r>
                    <w:rPr>
                      <w:rFonts w:cs="Arial"/>
                      <w:color w:val="000000"/>
                    </w:rPr>
                    <w:t>R Square</w:t>
                  </w:r>
                </w:p>
              </w:tc>
              <w:tc>
                <w:tcPr>
                  <w:tcW w:w="1318" w:type="dxa"/>
                  <w:tcBorders>
                    <w:top w:val="single" w:sz="12" w:space="0" w:color="000000" w:themeColor="text1"/>
                    <w:left w:val="single" w:sz="8" w:space="0" w:color="000000" w:themeColor="text1"/>
                    <w:bottom w:val="single" w:sz="12" w:space="0" w:color="000000" w:themeColor="text1"/>
                    <w:right w:val="single" w:sz="8" w:space="0" w:color="000000" w:themeColor="text1"/>
                  </w:tcBorders>
                  <w:vAlign w:val="bottom"/>
                  <w:hideMark/>
                </w:tcPr>
                <w:p w:rsidR="00490FE6" w:rsidRDefault="00490FE6">
                  <w:pPr>
                    <w:autoSpaceDE w:val="0"/>
                    <w:autoSpaceDN w:val="0"/>
                    <w:adjustRightInd w:val="0"/>
                    <w:spacing w:line="320" w:lineRule="atLeast"/>
                    <w:ind w:right="-12"/>
                    <w:jc w:val="center"/>
                    <w:rPr>
                      <w:rFonts w:cs="Arial"/>
                      <w:color w:val="000000"/>
                    </w:rPr>
                  </w:pPr>
                  <w:r>
                    <w:rPr>
                      <w:rFonts w:cs="Arial"/>
                      <w:color w:val="000000"/>
                    </w:rPr>
                    <w:t>Adjusted R Square</w:t>
                  </w:r>
                </w:p>
              </w:tc>
              <w:tc>
                <w:tcPr>
                  <w:tcW w:w="2261" w:type="dxa"/>
                  <w:tcBorders>
                    <w:top w:val="single" w:sz="12" w:space="0" w:color="000000" w:themeColor="text1"/>
                    <w:left w:val="single" w:sz="8" w:space="0" w:color="000000" w:themeColor="text1"/>
                    <w:bottom w:val="single" w:sz="12" w:space="0" w:color="000000" w:themeColor="text1"/>
                    <w:right w:val="single" w:sz="12" w:space="0" w:color="000000" w:themeColor="text1"/>
                  </w:tcBorders>
                  <w:vAlign w:val="bottom"/>
                  <w:hideMark/>
                </w:tcPr>
                <w:p w:rsidR="00490FE6" w:rsidRDefault="00490FE6">
                  <w:pPr>
                    <w:autoSpaceDE w:val="0"/>
                    <w:autoSpaceDN w:val="0"/>
                    <w:adjustRightInd w:val="0"/>
                    <w:spacing w:line="320" w:lineRule="atLeast"/>
                    <w:ind w:right="317"/>
                    <w:jc w:val="center"/>
                    <w:rPr>
                      <w:rFonts w:cs="Arial"/>
                      <w:color w:val="000000"/>
                    </w:rPr>
                  </w:pPr>
                  <w:r>
                    <w:rPr>
                      <w:rFonts w:cs="Arial"/>
                      <w:color w:val="000000"/>
                    </w:rPr>
                    <w:t>Std. Error of the Estimate</w:t>
                  </w:r>
                </w:p>
              </w:tc>
            </w:tr>
            <w:tr w:rsidR="00490FE6" w:rsidTr="00490FE6">
              <w:trPr>
                <w:trHeight w:val="332"/>
              </w:trPr>
              <w:tc>
                <w:tcPr>
                  <w:tcW w:w="119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hideMark/>
                </w:tcPr>
                <w:p w:rsidR="00490FE6" w:rsidRDefault="00490FE6">
                  <w:pPr>
                    <w:autoSpaceDE w:val="0"/>
                    <w:autoSpaceDN w:val="0"/>
                    <w:adjustRightInd w:val="0"/>
                    <w:spacing w:line="320" w:lineRule="atLeast"/>
                    <w:ind w:right="-12"/>
                    <w:rPr>
                      <w:rFonts w:cs="Arial"/>
                      <w:color w:val="000000"/>
                    </w:rPr>
                  </w:pPr>
                  <w:r>
                    <w:rPr>
                      <w:rFonts w:cs="Arial"/>
                      <w:color w:val="000000"/>
                    </w:rPr>
                    <w:t>1</w:t>
                  </w:r>
                </w:p>
              </w:tc>
              <w:tc>
                <w:tcPr>
                  <w:tcW w:w="1192" w:type="dxa"/>
                  <w:tcBorders>
                    <w:top w:val="single" w:sz="12" w:space="0" w:color="000000" w:themeColor="text1"/>
                    <w:left w:val="single" w:sz="12" w:space="0" w:color="000000" w:themeColor="text1"/>
                    <w:bottom w:val="single" w:sz="12" w:space="0" w:color="000000" w:themeColor="text1"/>
                    <w:right w:val="single" w:sz="6" w:space="0" w:color="000000" w:themeColor="text1"/>
                  </w:tcBorders>
                  <w:vAlign w:val="center"/>
                  <w:hideMark/>
                </w:tcPr>
                <w:p w:rsidR="00490FE6" w:rsidRDefault="00490FE6" w:rsidP="00490FE6">
                  <w:pPr>
                    <w:autoSpaceDE w:val="0"/>
                    <w:autoSpaceDN w:val="0"/>
                    <w:adjustRightInd w:val="0"/>
                    <w:spacing w:line="320" w:lineRule="atLeast"/>
                    <w:ind w:right="-12"/>
                    <w:jc w:val="right"/>
                    <w:rPr>
                      <w:rFonts w:cs="Arial"/>
                      <w:color w:val="000000"/>
                    </w:rPr>
                  </w:pPr>
                  <w:r>
                    <w:rPr>
                      <w:rFonts w:cs="Arial"/>
                      <w:color w:val="000000"/>
                    </w:rPr>
                    <w:t>,609</w:t>
                  </w:r>
                </w:p>
              </w:tc>
              <w:tc>
                <w:tcPr>
                  <w:tcW w:w="1193" w:type="dxa"/>
                  <w:tcBorders>
                    <w:top w:val="single" w:sz="12" w:space="0" w:color="000000" w:themeColor="text1"/>
                    <w:left w:val="single" w:sz="6" w:space="0" w:color="000000" w:themeColor="text1"/>
                    <w:bottom w:val="single" w:sz="12" w:space="0" w:color="000000" w:themeColor="text1"/>
                    <w:right w:val="single" w:sz="6" w:space="0" w:color="000000" w:themeColor="text1"/>
                  </w:tcBorders>
                  <w:vAlign w:val="center"/>
                  <w:hideMark/>
                </w:tcPr>
                <w:p w:rsidR="00490FE6" w:rsidRDefault="00490FE6" w:rsidP="002C019F">
                  <w:pPr>
                    <w:autoSpaceDE w:val="0"/>
                    <w:autoSpaceDN w:val="0"/>
                    <w:adjustRightInd w:val="0"/>
                    <w:spacing w:line="320" w:lineRule="atLeast"/>
                    <w:ind w:right="-12"/>
                    <w:jc w:val="right"/>
                    <w:rPr>
                      <w:rFonts w:cs="Arial"/>
                      <w:color w:val="000000"/>
                    </w:rPr>
                  </w:pPr>
                  <w:r>
                    <w:rPr>
                      <w:rFonts w:cs="Arial"/>
                      <w:color w:val="000000"/>
                    </w:rPr>
                    <w:t>,3</w:t>
                  </w:r>
                  <w:r w:rsidR="002C019F">
                    <w:rPr>
                      <w:rFonts w:cs="Arial"/>
                      <w:color w:val="000000"/>
                    </w:rPr>
                    <w:t>71</w:t>
                  </w:r>
                </w:p>
              </w:tc>
              <w:tc>
                <w:tcPr>
                  <w:tcW w:w="1318" w:type="dxa"/>
                  <w:tcBorders>
                    <w:top w:val="single" w:sz="12" w:space="0" w:color="000000" w:themeColor="text1"/>
                    <w:left w:val="single" w:sz="6" w:space="0" w:color="000000" w:themeColor="text1"/>
                    <w:bottom w:val="single" w:sz="12" w:space="0" w:color="000000" w:themeColor="text1"/>
                    <w:right w:val="single" w:sz="6" w:space="0" w:color="000000" w:themeColor="text1"/>
                  </w:tcBorders>
                  <w:vAlign w:val="center"/>
                  <w:hideMark/>
                </w:tcPr>
                <w:p w:rsidR="00490FE6" w:rsidRDefault="00490FE6" w:rsidP="002C019F">
                  <w:pPr>
                    <w:autoSpaceDE w:val="0"/>
                    <w:autoSpaceDN w:val="0"/>
                    <w:adjustRightInd w:val="0"/>
                    <w:spacing w:line="320" w:lineRule="atLeast"/>
                    <w:ind w:right="-12"/>
                    <w:jc w:val="right"/>
                    <w:rPr>
                      <w:rFonts w:cs="Arial"/>
                      <w:color w:val="000000"/>
                    </w:rPr>
                  </w:pPr>
                  <w:r>
                    <w:rPr>
                      <w:rFonts w:cs="Arial"/>
                      <w:color w:val="000000"/>
                    </w:rPr>
                    <w:t>,2</w:t>
                  </w:r>
                  <w:r w:rsidR="002C019F">
                    <w:rPr>
                      <w:rFonts w:cs="Arial"/>
                      <w:color w:val="000000"/>
                    </w:rPr>
                    <w:t>95</w:t>
                  </w:r>
                </w:p>
              </w:tc>
              <w:tc>
                <w:tcPr>
                  <w:tcW w:w="2261" w:type="dxa"/>
                  <w:tcBorders>
                    <w:top w:val="single" w:sz="12" w:space="0" w:color="000000" w:themeColor="text1"/>
                    <w:left w:val="single" w:sz="6" w:space="0" w:color="000000" w:themeColor="text1"/>
                    <w:bottom w:val="single" w:sz="12" w:space="0" w:color="000000" w:themeColor="text1"/>
                    <w:right w:val="single" w:sz="12" w:space="0" w:color="000000" w:themeColor="text1"/>
                  </w:tcBorders>
                  <w:vAlign w:val="center"/>
                  <w:hideMark/>
                </w:tcPr>
                <w:p w:rsidR="00490FE6" w:rsidRDefault="002C019F">
                  <w:pPr>
                    <w:autoSpaceDE w:val="0"/>
                    <w:autoSpaceDN w:val="0"/>
                    <w:adjustRightInd w:val="0"/>
                    <w:spacing w:line="320" w:lineRule="atLeast"/>
                    <w:ind w:right="381"/>
                    <w:jc w:val="right"/>
                    <w:rPr>
                      <w:rFonts w:cs="Arial"/>
                      <w:color w:val="000000"/>
                    </w:rPr>
                  </w:pPr>
                  <w:r>
                    <w:rPr>
                      <w:rFonts w:cs="Arial"/>
                      <w:color w:val="000000"/>
                    </w:rPr>
                    <w:t>12,20713537</w:t>
                  </w:r>
                </w:p>
              </w:tc>
            </w:tr>
          </w:tbl>
          <w:p w:rsidR="00490FE6" w:rsidRPr="000B3455" w:rsidRDefault="00490FE6" w:rsidP="00AB4FD8">
            <w:pPr>
              <w:autoSpaceDE w:val="0"/>
              <w:autoSpaceDN w:val="0"/>
              <w:adjustRightInd w:val="0"/>
              <w:spacing w:after="0" w:line="320" w:lineRule="atLeast"/>
              <w:ind w:left="60" w:right="60"/>
              <w:jc w:val="center"/>
              <w:rPr>
                <w:rFonts w:cs="Arial"/>
                <w:color w:val="000000"/>
              </w:rPr>
            </w:pPr>
          </w:p>
        </w:tc>
      </w:tr>
      <w:tr w:rsidR="00CE06C7" w:rsidRPr="000B3455" w:rsidTr="00490FE6">
        <w:trPr>
          <w:cantSplit/>
        </w:trPr>
        <w:tc>
          <w:tcPr>
            <w:tcW w:w="7371" w:type="dxa"/>
            <w:tcBorders>
              <w:top w:val="nil"/>
              <w:left w:val="nil"/>
              <w:bottom w:val="nil"/>
              <w:right w:val="nil"/>
            </w:tcBorders>
            <w:shd w:val="clear" w:color="auto" w:fill="FFFFFF"/>
          </w:tcPr>
          <w:p w:rsidR="00CE06C7" w:rsidRPr="002C019F" w:rsidRDefault="002C019F" w:rsidP="002C019F">
            <w:pPr>
              <w:spacing w:line="360" w:lineRule="auto"/>
              <w:ind w:right="141"/>
              <w:jc w:val="both"/>
              <w:rPr>
                <w:i/>
                <w:vertAlign w:val="subscript"/>
              </w:rPr>
            </w:pPr>
            <w:r>
              <w:rPr>
                <w:rFonts w:cstheme="minorHAnsi"/>
                <w:i/>
              </w:rPr>
              <w:t>Δ PR_FIX_SAL</w:t>
            </w:r>
            <w:r>
              <w:rPr>
                <w:rFonts w:eastAsia="SymbolMT" w:cstheme="minorHAnsi"/>
                <w:i/>
                <w:vertAlign w:val="subscript"/>
                <w:lang w:eastAsia="nl-NL"/>
              </w:rPr>
              <w:t>it</w:t>
            </w:r>
            <w:r>
              <w:rPr>
                <w:rFonts w:eastAsia="SymbolMT" w:cstheme="minorHAnsi"/>
                <w:lang w:eastAsia="nl-NL"/>
              </w:rPr>
              <w:t xml:space="preserve"> </w:t>
            </w:r>
            <w:r>
              <w:rPr>
                <w:rFonts w:eastAsia="SymbolMT" w:cstheme="minorHAnsi"/>
                <w:i/>
                <w:lang w:eastAsia="nl-NL"/>
              </w:rPr>
              <w:t>= α</w:t>
            </w:r>
            <w:r>
              <w:rPr>
                <w:rFonts w:eastAsia="SymbolMT" w:cstheme="minorHAnsi"/>
                <w:i/>
                <w:vertAlign w:val="subscript"/>
                <w:lang w:eastAsia="nl-NL"/>
              </w:rPr>
              <w:t>0</w:t>
            </w:r>
            <w:r>
              <w:rPr>
                <w:rFonts w:eastAsia="SymbolMT" w:cstheme="minorHAnsi"/>
                <w:i/>
                <w:lang w:eastAsia="nl-NL"/>
              </w:rPr>
              <w:t xml:space="preserve"> + α</w:t>
            </w:r>
            <w:r>
              <w:rPr>
                <w:rFonts w:eastAsia="SymbolMT" w:cstheme="minorHAnsi"/>
                <w:i/>
                <w:vertAlign w:val="subscript"/>
                <w:lang w:eastAsia="nl-NL"/>
              </w:rPr>
              <w:t xml:space="preserve">1 </w:t>
            </w:r>
            <w:r>
              <w:rPr>
                <w:rFonts w:eastAsia="SymbolMT" w:cstheme="minorHAnsi"/>
                <w:i/>
                <w:lang w:eastAsia="nl-NL"/>
              </w:rPr>
              <w:t>Δ PR_FV_STO</w:t>
            </w:r>
            <w:r>
              <w:rPr>
                <w:rFonts w:eastAsia="SymbolMT" w:cstheme="minorHAnsi"/>
                <w:i/>
                <w:vertAlign w:val="subscript"/>
                <w:lang w:eastAsia="nl-NL"/>
              </w:rPr>
              <w:t>it</w:t>
            </w:r>
            <w:r>
              <w:rPr>
                <w:rFonts w:eastAsia="SymbolMT" w:cstheme="minorHAnsi"/>
                <w:i/>
                <w:lang w:eastAsia="nl-NL"/>
              </w:rPr>
              <w:t xml:space="preserve"> +  α</w:t>
            </w:r>
            <w:r>
              <w:rPr>
                <w:rFonts w:eastAsia="SymbolMT" w:cstheme="minorHAnsi"/>
                <w:i/>
                <w:vertAlign w:val="subscript"/>
                <w:lang w:eastAsia="nl-NL"/>
              </w:rPr>
              <w:t>2</w:t>
            </w:r>
            <w:r>
              <w:rPr>
                <w:rFonts w:eastAsia="SymbolMT" w:cstheme="minorHAnsi"/>
                <w:i/>
                <w:lang w:eastAsia="nl-NL"/>
              </w:rPr>
              <w:t xml:space="preserve"> 2004 + α</w:t>
            </w:r>
            <w:r>
              <w:rPr>
                <w:rFonts w:eastAsia="SymbolMT" w:cstheme="minorHAnsi"/>
                <w:i/>
                <w:vertAlign w:val="subscript"/>
                <w:lang w:eastAsia="nl-NL"/>
              </w:rPr>
              <w:t xml:space="preserve">3 </w:t>
            </w:r>
            <w:r>
              <w:rPr>
                <w:rFonts w:eastAsia="SymbolMT" w:cstheme="minorHAnsi"/>
                <w:i/>
                <w:lang w:eastAsia="nl-NL"/>
              </w:rPr>
              <w:t>2005 + α</w:t>
            </w:r>
            <w:r>
              <w:rPr>
                <w:rFonts w:eastAsia="SymbolMT" w:cstheme="minorHAnsi"/>
                <w:i/>
                <w:vertAlign w:val="subscript"/>
                <w:lang w:eastAsia="nl-NL"/>
              </w:rPr>
              <w:t>4</w:t>
            </w:r>
            <w:r>
              <w:rPr>
                <w:rFonts w:eastAsia="SymbolMT" w:cstheme="minorHAnsi"/>
                <w:i/>
                <w:lang w:eastAsia="nl-NL"/>
              </w:rPr>
              <w:t xml:space="preserve"> 2006 + α</w:t>
            </w:r>
            <w:r>
              <w:rPr>
                <w:rFonts w:eastAsia="SymbolMT" w:cstheme="minorHAnsi"/>
                <w:i/>
                <w:vertAlign w:val="subscript"/>
                <w:lang w:eastAsia="nl-NL"/>
              </w:rPr>
              <w:t xml:space="preserve">5 </w:t>
            </w:r>
            <w:r>
              <w:rPr>
                <w:rFonts w:cstheme="minorHAnsi"/>
                <w:i/>
              </w:rPr>
              <w:t xml:space="preserve">2007 + </w:t>
            </w:r>
            <w:r>
              <w:rPr>
                <w:rFonts w:eastAsia="SymbolMT" w:cstheme="minorHAnsi"/>
                <w:i/>
                <w:lang w:eastAsia="nl-NL"/>
              </w:rPr>
              <w:t>α</w:t>
            </w:r>
            <w:r>
              <w:rPr>
                <w:rFonts w:eastAsia="SymbolMT" w:cstheme="minorHAnsi"/>
                <w:i/>
                <w:vertAlign w:val="subscript"/>
                <w:lang w:eastAsia="nl-NL"/>
              </w:rPr>
              <w:t xml:space="preserve">6 </w:t>
            </w:r>
            <w:r>
              <w:rPr>
                <w:i/>
              </w:rPr>
              <w:t>LN_ASSETS</w:t>
            </w:r>
            <w:r>
              <w:rPr>
                <w:i/>
                <w:vertAlign w:val="subscript"/>
              </w:rPr>
              <w:t>it</w:t>
            </w:r>
            <w:r>
              <w:rPr>
                <w:i/>
              </w:rPr>
              <w:t xml:space="preserve"> + </w:t>
            </w:r>
            <w:r>
              <w:rPr>
                <w:rFonts w:eastAsia="SymbolMT" w:cstheme="minorHAnsi"/>
                <w:i/>
                <w:lang w:eastAsia="nl-NL"/>
              </w:rPr>
              <w:t>α</w:t>
            </w:r>
            <w:r>
              <w:rPr>
                <w:rFonts w:cstheme="minorHAnsi"/>
                <w:i/>
                <w:vertAlign w:val="subscript"/>
              </w:rPr>
              <w:t xml:space="preserve">7 </w:t>
            </w:r>
            <w:r>
              <w:rPr>
                <w:i/>
              </w:rPr>
              <w:t>MTB</w:t>
            </w:r>
            <w:r>
              <w:rPr>
                <w:i/>
                <w:vertAlign w:val="subscript"/>
              </w:rPr>
              <w:t>it</w:t>
            </w:r>
            <w:r>
              <w:rPr>
                <w:rFonts w:cstheme="minorHAnsi"/>
                <w:i/>
              </w:rPr>
              <w:t xml:space="preserve"> + </w:t>
            </w:r>
            <w:r>
              <w:rPr>
                <w:rFonts w:eastAsia="SymbolMT" w:cstheme="minorHAnsi"/>
                <w:i/>
                <w:lang w:eastAsia="nl-NL"/>
              </w:rPr>
              <w:t>α</w:t>
            </w:r>
            <w:r>
              <w:rPr>
                <w:rFonts w:cstheme="minorHAnsi"/>
                <w:i/>
                <w:vertAlign w:val="subscript"/>
              </w:rPr>
              <w:t xml:space="preserve">8 </w:t>
            </w:r>
            <w:r>
              <w:rPr>
                <w:i/>
              </w:rPr>
              <w:t>RET</w:t>
            </w:r>
            <w:r>
              <w:rPr>
                <w:i/>
                <w:vertAlign w:val="subscript"/>
              </w:rPr>
              <w:t>it</w:t>
            </w:r>
            <w:r>
              <w:rPr>
                <w:rFonts w:cstheme="minorHAnsi"/>
                <w:i/>
              </w:rPr>
              <w:t xml:space="preserve"> + </w:t>
            </w:r>
            <w:r>
              <w:rPr>
                <w:rFonts w:eastAsia="SymbolMT" w:cstheme="minorHAnsi"/>
                <w:i/>
                <w:lang w:eastAsia="nl-NL"/>
              </w:rPr>
              <w:t>α</w:t>
            </w:r>
            <w:r>
              <w:rPr>
                <w:rFonts w:cstheme="minorHAnsi"/>
                <w:i/>
                <w:vertAlign w:val="subscript"/>
              </w:rPr>
              <w:t xml:space="preserve">9 </w:t>
            </w:r>
            <w:r>
              <w:rPr>
                <w:i/>
              </w:rPr>
              <w:t>VOL</w:t>
            </w:r>
            <w:r>
              <w:rPr>
                <w:i/>
                <w:vertAlign w:val="subscript"/>
              </w:rPr>
              <w:t>it</w:t>
            </w:r>
            <w:r>
              <w:rPr>
                <w:rFonts w:cstheme="minorHAnsi"/>
                <w:i/>
              </w:rPr>
              <w:t xml:space="preserve"> + </w:t>
            </w:r>
            <w:r>
              <w:rPr>
                <w:rFonts w:eastAsia="SymbolMT" w:cstheme="minorHAnsi"/>
                <w:i/>
                <w:lang w:eastAsia="nl-NL"/>
              </w:rPr>
              <w:t>α</w:t>
            </w:r>
            <w:r>
              <w:rPr>
                <w:rFonts w:cstheme="minorHAnsi"/>
                <w:i/>
                <w:vertAlign w:val="subscript"/>
              </w:rPr>
              <w:t xml:space="preserve">10 </w:t>
            </w:r>
            <w:r>
              <w:rPr>
                <w:i/>
              </w:rPr>
              <w:t>BOA_SIZE</w:t>
            </w:r>
            <w:r>
              <w:rPr>
                <w:i/>
                <w:vertAlign w:val="subscript"/>
              </w:rPr>
              <w:t>it</w:t>
            </w:r>
            <w:r>
              <w:rPr>
                <w:rFonts w:cstheme="minorHAnsi"/>
                <w:i/>
              </w:rPr>
              <w:t xml:space="preserve"> + </w:t>
            </w:r>
            <w:r>
              <w:rPr>
                <w:rFonts w:eastAsia="SymbolMT" w:cstheme="minorHAnsi"/>
                <w:i/>
                <w:lang w:eastAsia="nl-NL"/>
              </w:rPr>
              <w:t>α</w:t>
            </w:r>
            <w:r>
              <w:rPr>
                <w:rFonts w:cstheme="minorHAnsi"/>
                <w:i/>
                <w:vertAlign w:val="subscript"/>
              </w:rPr>
              <w:t xml:space="preserve">11 </w:t>
            </w:r>
            <w:r>
              <w:rPr>
                <w:i/>
              </w:rPr>
              <w:t>LIQ_CON</w:t>
            </w:r>
            <w:r>
              <w:rPr>
                <w:i/>
                <w:vertAlign w:val="subscript"/>
              </w:rPr>
              <w:t>it</w:t>
            </w:r>
            <w:r>
              <w:rPr>
                <w:rFonts w:cstheme="minorHAnsi"/>
                <w:i/>
              </w:rPr>
              <w:t xml:space="preserve"> + ∑ </w:t>
            </w:r>
            <w:r>
              <w:rPr>
                <w:i/>
              </w:rPr>
              <w:t>IND_DUMM</w:t>
            </w:r>
            <w:r>
              <w:rPr>
                <w:i/>
                <w:vertAlign w:val="subscript"/>
              </w:rPr>
              <w:t>it</w:t>
            </w:r>
            <w:r>
              <w:rPr>
                <w:i/>
              </w:rPr>
              <w:t xml:space="preserve"> + </w:t>
            </w:r>
            <w:r>
              <w:rPr>
                <w:rFonts w:hAnsi="Times New Roman" w:cs="Times New Roman"/>
                <w:i/>
              </w:rPr>
              <w:t>ɛ</w:t>
            </w:r>
            <w:r>
              <w:rPr>
                <w:i/>
                <w:vertAlign w:val="subscript"/>
              </w:rPr>
              <w:t>it</w:t>
            </w:r>
          </w:p>
        </w:tc>
      </w:tr>
    </w:tbl>
    <w:p w:rsidR="00CE06C7" w:rsidRPr="000B3455" w:rsidRDefault="002C019F" w:rsidP="002C019F">
      <w:pPr>
        <w:pStyle w:val="Caption"/>
        <w:rPr>
          <w:rFonts w:cstheme="minorHAnsi"/>
        </w:rPr>
      </w:pPr>
      <w:bookmarkStart w:id="155" w:name="_Ref298859013"/>
      <w:r>
        <w:t xml:space="preserve">Table </w:t>
      </w:r>
      <w:fldSimple w:instr=" SEQ Table \* ARABIC ">
        <w:r w:rsidR="001D5F9A">
          <w:rPr>
            <w:noProof/>
          </w:rPr>
          <w:t>19</w:t>
        </w:r>
      </w:fldSimple>
      <w:bookmarkEnd w:id="155"/>
      <w:r>
        <w:t xml:space="preserve">: </w:t>
      </w:r>
      <w:r w:rsidRPr="002C019F">
        <w:rPr>
          <w:color w:val="auto"/>
        </w:rPr>
        <w:t>Summary of SPSS model</w:t>
      </w:r>
    </w:p>
    <w:tbl>
      <w:tblPr>
        <w:tblW w:w="788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8"/>
        <w:gridCol w:w="1272"/>
        <w:gridCol w:w="1456"/>
        <w:gridCol w:w="1009"/>
        <w:gridCol w:w="1398"/>
        <w:gridCol w:w="1010"/>
        <w:gridCol w:w="1010"/>
      </w:tblGrid>
      <w:tr w:rsidR="00CE06C7" w:rsidRPr="000B3455" w:rsidTr="00AB4FD8">
        <w:trPr>
          <w:cantSplit/>
          <w:tblHeader/>
        </w:trPr>
        <w:tc>
          <w:tcPr>
            <w:tcW w:w="7880" w:type="dxa"/>
            <w:gridSpan w:val="7"/>
            <w:tcBorders>
              <w:top w:val="nil"/>
              <w:left w:val="nil"/>
              <w:bottom w:val="nil"/>
              <w:right w:val="nil"/>
            </w:tcBorders>
            <w:shd w:val="clear" w:color="auto" w:fill="FFFFFF"/>
            <w:vAlign w:val="center"/>
          </w:tcPr>
          <w:p w:rsidR="00CE06C7" w:rsidRPr="000B3455" w:rsidRDefault="00CE06C7" w:rsidP="00AB4FD8">
            <w:pPr>
              <w:autoSpaceDE w:val="0"/>
              <w:autoSpaceDN w:val="0"/>
              <w:adjustRightInd w:val="0"/>
              <w:spacing w:after="0" w:line="320" w:lineRule="atLeast"/>
              <w:ind w:left="60" w:right="60"/>
              <w:jc w:val="center"/>
              <w:rPr>
                <w:rFonts w:cstheme="minorHAnsi"/>
                <w:color w:val="000000"/>
              </w:rPr>
            </w:pPr>
            <w:r w:rsidRPr="000B3455">
              <w:rPr>
                <w:rFonts w:cstheme="minorHAnsi"/>
                <w:b/>
                <w:bCs/>
                <w:color w:val="000000"/>
              </w:rPr>
              <w:t>ANOVA</w:t>
            </w:r>
          </w:p>
        </w:tc>
      </w:tr>
      <w:tr w:rsidR="00CE06C7" w:rsidRPr="000B3455" w:rsidTr="00AB4FD8">
        <w:trPr>
          <w:cantSplit/>
          <w:tblHeader/>
        </w:trPr>
        <w:tc>
          <w:tcPr>
            <w:tcW w:w="1999" w:type="dxa"/>
            <w:gridSpan w:val="2"/>
            <w:tcBorders>
              <w:top w:val="single" w:sz="16" w:space="0" w:color="000000"/>
              <w:left w:val="single" w:sz="16" w:space="0" w:color="000000"/>
              <w:bottom w:val="single" w:sz="16" w:space="0" w:color="000000"/>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theme="minorHAnsi"/>
                <w:color w:val="000000"/>
              </w:rPr>
            </w:pPr>
            <w:r w:rsidRPr="000B3455">
              <w:rPr>
                <w:rFonts w:cstheme="minorHAnsi"/>
                <w:color w:val="000000"/>
              </w:rPr>
              <w:t>Model</w:t>
            </w:r>
          </w:p>
        </w:tc>
        <w:tc>
          <w:tcPr>
            <w:tcW w:w="1455" w:type="dxa"/>
            <w:tcBorders>
              <w:top w:val="single" w:sz="16" w:space="0" w:color="000000"/>
              <w:left w:val="single" w:sz="16" w:space="0" w:color="000000"/>
              <w:bottom w:val="single" w:sz="16" w:space="0" w:color="000000"/>
            </w:tcBorders>
            <w:shd w:val="clear" w:color="auto" w:fill="FFFFFF"/>
            <w:vAlign w:val="bottom"/>
          </w:tcPr>
          <w:p w:rsidR="00CE06C7" w:rsidRPr="000B3455" w:rsidRDefault="00CE06C7" w:rsidP="00AB4FD8">
            <w:pPr>
              <w:autoSpaceDE w:val="0"/>
              <w:autoSpaceDN w:val="0"/>
              <w:adjustRightInd w:val="0"/>
              <w:spacing w:after="0" w:line="320" w:lineRule="atLeast"/>
              <w:ind w:left="60" w:right="60"/>
              <w:jc w:val="center"/>
              <w:rPr>
                <w:rFonts w:cstheme="minorHAnsi"/>
                <w:color w:val="000000"/>
              </w:rPr>
            </w:pPr>
            <w:r w:rsidRPr="000B3455">
              <w:rPr>
                <w:rFonts w:cstheme="minorHAnsi"/>
                <w:color w:val="000000"/>
              </w:rPr>
              <w:t>Sum of Squares</w:t>
            </w:r>
          </w:p>
        </w:tc>
        <w:tc>
          <w:tcPr>
            <w:tcW w:w="1009" w:type="dxa"/>
            <w:tcBorders>
              <w:top w:val="single" w:sz="16" w:space="0" w:color="000000"/>
              <w:bottom w:val="single" w:sz="16" w:space="0" w:color="000000"/>
            </w:tcBorders>
            <w:shd w:val="clear" w:color="auto" w:fill="FFFFFF"/>
            <w:vAlign w:val="bottom"/>
          </w:tcPr>
          <w:p w:rsidR="00CE06C7" w:rsidRPr="000B3455" w:rsidRDefault="00CE06C7" w:rsidP="00AB4FD8">
            <w:pPr>
              <w:autoSpaceDE w:val="0"/>
              <w:autoSpaceDN w:val="0"/>
              <w:adjustRightInd w:val="0"/>
              <w:spacing w:after="0" w:line="320" w:lineRule="atLeast"/>
              <w:ind w:left="60" w:right="60"/>
              <w:jc w:val="center"/>
              <w:rPr>
                <w:rFonts w:cstheme="minorHAnsi"/>
                <w:color w:val="000000"/>
              </w:rPr>
            </w:pPr>
            <w:r w:rsidRPr="000B3455">
              <w:rPr>
                <w:rFonts w:cstheme="minorHAnsi"/>
                <w:color w:val="000000"/>
              </w:rPr>
              <w:t>df</w:t>
            </w:r>
          </w:p>
        </w:tc>
        <w:tc>
          <w:tcPr>
            <w:tcW w:w="1397" w:type="dxa"/>
            <w:tcBorders>
              <w:top w:val="single" w:sz="16" w:space="0" w:color="000000"/>
              <w:bottom w:val="single" w:sz="16" w:space="0" w:color="000000"/>
            </w:tcBorders>
            <w:shd w:val="clear" w:color="auto" w:fill="FFFFFF"/>
            <w:vAlign w:val="bottom"/>
          </w:tcPr>
          <w:p w:rsidR="00CE06C7" w:rsidRPr="000B3455" w:rsidRDefault="00CE06C7" w:rsidP="00AB4FD8">
            <w:pPr>
              <w:autoSpaceDE w:val="0"/>
              <w:autoSpaceDN w:val="0"/>
              <w:adjustRightInd w:val="0"/>
              <w:spacing w:after="0" w:line="320" w:lineRule="atLeast"/>
              <w:ind w:left="60" w:right="60"/>
              <w:jc w:val="center"/>
              <w:rPr>
                <w:rFonts w:cstheme="minorHAnsi"/>
                <w:color w:val="000000"/>
              </w:rPr>
            </w:pPr>
            <w:r w:rsidRPr="000B3455">
              <w:rPr>
                <w:rFonts w:cstheme="minorHAnsi"/>
                <w:color w:val="000000"/>
              </w:rPr>
              <w:t>Mean Square</w:t>
            </w:r>
          </w:p>
        </w:tc>
        <w:tc>
          <w:tcPr>
            <w:tcW w:w="1010" w:type="dxa"/>
            <w:tcBorders>
              <w:top w:val="single" w:sz="16" w:space="0" w:color="000000"/>
              <w:bottom w:val="single" w:sz="16" w:space="0" w:color="000000"/>
            </w:tcBorders>
            <w:shd w:val="clear" w:color="auto" w:fill="FFFFFF"/>
            <w:vAlign w:val="bottom"/>
          </w:tcPr>
          <w:p w:rsidR="00CE06C7" w:rsidRPr="000B3455" w:rsidRDefault="00CE06C7" w:rsidP="00AB4FD8">
            <w:pPr>
              <w:autoSpaceDE w:val="0"/>
              <w:autoSpaceDN w:val="0"/>
              <w:adjustRightInd w:val="0"/>
              <w:spacing w:after="0" w:line="320" w:lineRule="atLeast"/>
              <w:ind w:left="60" w:right="60"/>
              <w:jc w:val="center"/>
              <w:rPr>
                <w:rFonts w:cstheme="minorHAnsi"/>
                <w:color w:val="000000"/>
              </w:rPr>
            </w:pPr>
            <w:r w:rsidRPr="000B3455">
              <w:rPr>
                <w:rFonts w:cstheme="minorHAnsi"/>
                <w:color w:val="000000"/>
              </w:rPr>
              <w:t>F</w:t>
            </w:r>
          </w:p>
        </w:tc>
        <w:tc>
          <w:tcPr>
            <w:tcW w:w="1010" w:type="dxa"/>
            <w:tcBorders>
              <w:top w:val="single" w:sz="16" w:space="0" w:color="000000"/>
              <w:bottom w:val="single" w:sz="16" w:space="0" w:color="000000"/>
              <w:right w:val="single" w:sz="16" w:space="0" w:color="000000"/>
            </w:tcBorders>
            <w:shd w:val="clear" w:color="auto" w:fill="FFFFFF"/>
            <w:vAlign w:val="bottom"/>
          </w:tcPr>
          <w:p w:rsidR="00CE06C7" w:rsidRPr="000B3455" w:rsidRDefault="00CE06C7" w:rsidP="00AB4FD8">
            <w:pPr>
              <w:autoSpaceDE w:val="0"/>
              <w:autoSpaceDN w:val="0"/>
              <w:adjustRightInd w:val="0"/>
              <w:spacing w:after="0" w:line="320" w:lineRule="atLeast"/>
              <w:ind w:left="60" w:right="60"/>
              <w:jc w:val="center"/>
              <w:rPr>
                <w:rFonts w:cstheme="minorHAnsi"/>
                <w:color w:val="000000"/>
              </w:rPr>
            </w:pPr>
            <w:r w:rsidRPr="000B3455">
              <w:rPr>
                <w:rFonts w:cstheme="minorHAnsi"/>
                <w:color w:val="000000"/>
              </w:rPr>
              <w:t>Sig.</w:t>
            </w:r>
          </w:p>
        </w:tc>
      </w:tr>
      <w:tr w:rsidR="00CE06C7" w:rsidRPr="000B3455" w:rsidTr="00AB4FD8">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320" w:lineRule="atLeast"/>
              <w:ind w:left="60" w:right="60"/>
              <w:rPr>
                <w:rFonts w:cstheme="minorHAnsi"/>
                <w:color w:val="000000"/>
              </w:rPr>
            </w:pPr>
            <w:r w:rsidRPr="000B3455">
              <w:rPr>
                <w:rFonts w:cstheme="minorHAnsi"/>
                <w:color w:val="000000"/>
              </w:rPr>
              <w:t>1</w:t>
            </w:r>
          </w:p>
        </w:tc>
        <w:tc>
          <w:tcPr>
            <w:tcW w:w="1272" w:type="dxa"/>
            <w:tcBorders>
              <w:top w:val="single" w:sz="16" w:space="0" w:color="000000"/>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theme="minorHAnsi"/>
                <w:color w:val="000000"/>
              </w:rPr>
            </w:pPr>
            <w:r w:rsidRPr="000B3455">
              <w:rPr>
                <w:rFonts w:cstheme="minorHAnsi"/>
                <w:color w:val="000000"/>
              </w:rPr>
              <w:t>Regression</w:t>
            </w:r>
          </w:p>
        </w:tc>
        <w:tc>
          <w:tcPr>
            <w:tcW w:w="1455" w:type="dxa"/>
            <w:tcBorders>
              <w:top w:val="single" w:sz="16" w:space="0" w:color="000000"/>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13075,748</w:t>
            </w:r>
          </w:p>
        </w:tc>
        <w:tc>
          <w:tcPr>
            <w:tcW w:w="1009" w:type="dxa"/>
            <w:tcBorders>
              <w:top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18</w:t>
            </w:r>
          </w:p>
        </w:tc>
        <w:tc>
          <w:tcPr>
            <w:tcW w:w="1397" w:type="dxa"/>
            <w:tcBorders>
              <w:top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726,430</w:t>
            </w:r>
          </w:p>
        </w:tc>
        <w:tc>
          <w:tcPr>
            <w:tcW w:w="1010" w:type="dxa"/>
            <w:tcBorders>
              <w:top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4,875</w:t>
            </w:r>
          </w:p>
        </w:tc>
        <w:tc>
          <w:tcPr>
            <w:tcW w:w="1010" w:type="dxa"/>
            <w:tcBorders>
              <w:top w:val="single" w:sz="16" w:space="0" w:color="000000"/>
              <w:bottom w:val="nil"/>
              <w:right w:val="single" w:sz="16" w:space="0" w:color="000000"/>
            </w:tcBorders>
            <w:shd w:val="clear" w:color="auto" w:fill="FFFFFF"/>
          </w:tcPr>
          <w:p w:rsidR="00CE06C7" w:rsidRPr="00B92B41"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,000</w:t>
            </w:r>
            <w:r w:rsidR="00B92B41">
              <w:rPr>
                <w:rFonts w:cstheme="minorHAnsi"/>
                <w:color w:val="000000"/>
              </w:rPr>
              <w:t>***</w:t>
            </w:r>
          </w:p>
        </w:tc>
      </w:tr>
      <w:tr w:rsidR="00CE06C7" w:rsidRPr="000B3455" w:rsidTr="00AB4FD8">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theme="minorHAnsi"/>
                <w:color w:val="000000"/>
              </w:rPr>
            </w:pPr>
          </w:p>
        </w:tc>
        <w:tc>
          <w:tcPr>
            <w:tcW w:w="1272"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theme="minorHAnsi"/>
                <w:color w:val="000000"/>
              </w:rPr>
            </w:pPr>
            <w:r w:rsidRPr="000B3455">
              <w:rPr>
                <w:rFonts w:cstheme="minorHAnsi"/>
                <w:color w:val="000000"/>
              </w:rPr>
              <w:t>Residual</w:t>
            </w:r>
          </w:p>
        </w:tc>
        <w:tc>
          <w:tcPr>
            <w:tcW w:w="1455"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22203,109</w:t>
            </w:r>
          </w:p>
        </w:tc>
        <w:tc>
          <w:tcPr>
            <w:tcW w:w="100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149</w:t>
            </w:r>
          </w:p>
        </w:tc>
        <w:tc>
          <w:tcPr>
            <w:tcW w:w="1397"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149,014</w:t>
            </w:r>
          </w:p>
        </w:tc>
        <w:tc>
          <w:tcPr>
            <w:tcW w:w="1010" w:type="dxa"/>
            <w:tcBorders>
              <w:top w:val="nil"/>
              <w:bottom w:val="nil"/>
            </w:tcBorders>
            <w:shd w:val="clear" w:color="auto" w:fill="FFFFFF"/>
            <w:vAlign w:val="center"/>
          </w:tcPr>
          <w:p w:rsidR="00CE06C7" w:rsidRPr="000B3455" w:rsidRDefault="00CE06C7" w:rsidP="00AB4FD8">
            <w:pPr>
              <w:autoSpaceDE w:val="0"/>
              <w:autoSpaceDN w:val="0"/>
              <w:adjustRightInd w:val="0"/>
              <w:spacing w:after="0" w:line="240" w:lineRule="auto"/>
              <w:jc w:val="center"/>
              <w:rPr>
                <w:rFonts w:cstheme="minorHAnsi"/>
              </w:rPr>
            </w:pPr>
          </w:p>
        </w:tc>
        <w:tc>
          <w:tcPr>
            <w:tcW w:w="1010" w:type="dxa"/>
            <w:tcBorders>
              <w:top w:val="nil"/>
              <w:bottom w:val="nil"/>
              <w:right w:val="single" w:sz="16" w:space="0" w:color="000000"/>
            </w:tcBorders>
            <w:shd w:val="clear" w:color="auto" w:fill="FFFFFF"/>
            <w:vAlign w:val="center"/>
          </w:tcPr>
          <w:p w:rsidR="00CE06C7" w:rsidRPr="000B3455" w:rsidRDefault="00CE06C7" w:rsidP="00AB4FD8">
            <w:pPr>
              <w:autoSpaceDE w:val="0"/>
              <w:autoSpaceDN w:val="0"/>
              <w:adjustRightInd w:val="0"/>
              <w:spacing w:after="0" w:line="240" w:lineRule="auto"/>
              <w:jc w:val="center"/>
              <w:rPr>
                <w:rFonts w:cstheme="minorHAnsi"/>
              </w:rPr>
            </w:pPr>
          </w:p>
        </w:tc>
      </w:tr>
      <w:tr w:rsidR="00CE06C7" w:rsidRPr="000B3455" w:rsidTr="00AB4FD8">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theme="minorHAnsi"/>
              </w:rPr>
            </w:pPr>
          </w:p>
        </w:tc>
        <w:tc>
          <w:tcPr>
            <w:tcW w:w="1272" w:type="dxa"/>
            <w:tcBorders>
              <w:top w:val="nil"/>
              <w:left w:val="nil"/>
              <w:bottom w:val="single" w:sz="16" w:space="0" w:color="000000"/>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theme="minorHAnsi"/>
                <w:color w:val="000000"/>
              </w:rPr>
            </w:pPr>
            <w:r w:rsidRPr="000B3455">
              <w:rPr>
                <w:rFonts w:cstheme="minorHAnsi"/>
                <w:color w:val="000000"/>
              </w:rPr>
              <w:t>Total</w:t>
            </w:r>
          </w:p>
        </w:tc>
        <w:tc>
          <w:tcPr>
            <w:tcW w:w="1455" w:type="dxa"/>
            <w:tcBorders>
              <w:top w:val="nil"/>
              <w:left w:val="single" w:sz="16" w:space="0" w:color="000000"/>
              <w:bottom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35278,857</w:t>
            </w:r>
          </w:p>
        </w:tc>
        <w:tc>
          <w:tcPr>
            <w:tcW w:w="1009" w:type="dxa"/>
            <w:tcBorders>
              <w:top w:val="nil"/>
              <w:bottom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167</w:t>
            </w:r>
          </w:p>
        </w:tc>
        <w:tc>
          <w:tcPr>
            <w:tcW w:w="1397" w:type="dxa"/>
            <w:tcBorders>
              <w:top w:val="nil"/>
              <w:bottom w:val="single" w:sz="16" w:space="0" w:color="000000"/>
            </w:tcBorders>
            <w:shd w:val="clear" w:color="auto" w:fill="FFFFFF"/>
            <w:vAlign w:val="center"/>
          </w:tcPr>
          <w:p w:rsidR="00CE06C7" w:rsidRPr="000B3455" w:rsidRDefault="00CE06C7" w:rsidP="00AB4FD8">
            <w:pPr>
              <w:autoSpaceDE w:val="0"/>
              <w:autoSpaceDN w:val="0"/>
              <w:adjustRightInd w:val="0"/>
              <w:spacing w:after="0" w:line="240" w:lineRule="auto"/>
              <w:jc w:val="center"/>
              <w:rPr>
                <w:rFonts w:cstheme="minorHAnsi"/>
              </w:rPr>
            </w:pPr>
          </w:p>
        </w:tc>
        <w:tc>
          <w:tcPr>
            <w:tcW w:w="1010" w:type="dxa"/>
            <w:tcBorders>
              <w:top w:val="nil"/>
              <w:bottom w:val="single" w:sz="16" w:space="0" w:color="000000"/>
            </w:tcBorders>
            <w:shd w:val="clear" w:color="auto" w:fill="FFFFFF"/>
            <w:vAlign w:val="center"/>
          </w:tcPr>
          <w:p w:rsidR="00CE06C7" w:rsidRPr="000B3455" w:rsidRDefault="00CE06C7" w:rsidP="00AB4FD8">
            <w:pPr>
              <w:autoSpaceDE w:val="0"/>
              <w:autoSpaceDN w:val="0"/>
              <w:adjustRightInd w:val="0"/>
              <w:spacing w:after="0" w:line="240" w:lineRule="auto"/>
              <w:jc w:val="center"/>
              <w:rPr>
                <w:rFonts w:cstheme="minorHAnsi"/>
              </w:rPr>
            </w:pPr>
          </w:p>
        </w:tc>
        <w:tc>
          <w:tcPr>
            <w:tcW w:w="1010" w:type="dxa"/>
            <w:tcBorders>
              <w:top w:val="nil"/>
              <w:bottom w:val="single" w:sz="16" w:space="0" w:color="000000"/>
              <w:right w:val="single" w:sz="16" w:space="0" w:color="000000"/>
            </w:tcBorders>
            <w:shd w:val="clear" w:color="auto" w:fill="FFFFFF"/>
            <w:vAlign w:val="center"/>
          </w:tcPr>
          <w:p w:rsidR="00CE06C7" w:rsidRPr="000B3455" w:rsidRDefault="00CE06C7" w:rsidP="00AB4FD8">
            <w:pPr>
              <w:autoSpaceDE w:val="0"/>
              <w:autoSpaceDN w:val="0"/>
              <w:adjustRightInd w:val="0"/>
              <w:spacing w:after="0" w:line="240" w:lineRule="auto"/>
              <w:jc w:val="center"/>
              <w:rPr>
                <w:rFonts w:cstheme="minorHAnsi"/>
              </w:rPr>
            </w:pPr>
          </w:p>
        </w:tc>
      </w:tr>
      <w:tr w:rsidR="00CE06C7" w:rsidRPr="000B3455" w:rsidTr="00AB4FD8">
        <w:trPr>
          <w:cantSplit/>
          <w:tblHeader/>
        </w:trPr>
        <w:tc>
          <w:tcPr>
            <w:tcW w:w="7880" w:type="dxa"/>
            <w:gridSpan w:val="7"/>
            <w:tcBorders>
              <w:top w:val="nil"/>
              <w:left w:val="nil"/>
              <w:bottom w:val="nil"/>
              <w:right w:val="nil"/>
            </w:tcBorders>
            <w:shd w:val="clear" w:color="auto" w:fill="FFFFFF"/>
          </w:tcPr>
          <w:p w:rsidR="00CE06C7" w:rsidRPr="000B3455" w:rsidRDefault="00B92B41" w:rsidP="00B92B41">
            <w:pPr>
              <w:autoSpaceDE w:val="0"/>
              <w:autoSpaceDN w:val="0"/>
              <w:adjustRightInd w:val="0"/>
              <w:spacing w:after="0" w:line="320" w:lineRule="atLeast"/>
              <w:ind w:left="60" w:right="60"/>
              <w:rPr>
                <w:rFonts w:cstheme="minorHAnsi"/>
                <w:color w:val="000000"/>
              </w:rPr>
            </w:pPr>
            <w:r w:rsidRPr="00F97730">
              <w:rPr>
                <w:i/>
              </w:rPr>
              <w:t>*,**,*** significant at</w:t>
            </w:r>
            <w:r>
              <w:rPr>
                <w:i/>
              </w:rPr>
              <w:t xml:space="preserve"> the 0.1, 0.05 and 0.01 levels</w:t>
            </w:r>
            <w:r w:rsidRPr="00F97730">
              <w:rPr>
                <w:i/>
              </w:rPr>
              <w:t>.</w:t>
            </w:r>
            <w:r>
              <w:rPr>
                <w:i/>
              </w:rPr>
              <w:br/>
            </w:r>
            <w:r w:rsidR="002C019F">
              <w:rPr>
                <w:rFonts w:cstheme="minorHAnsi"/>
                <w:i/>
              </w:rPr>
              <w:t>Δ PR_FIX_SAL</w:t>
            </w:r>
            <w:r w:rsidR="002C019F">
              <w:rPr>
                <w:rFonts w:eastAsia="SymbolMT" w:cstheme="minorHAnsi"/>
                <w:i/>
                <w:vertAlign w:val="subscript"/>
                <w:lang w:eastAsia="nl-NL"/>
              </w:rPr>
              <w:t>it</w:t>
            </w:r>
            <w:r w:rsidR="002C019F">
              <w:rPr>
                <w:rFonts w:eastAsia="SymbolMT" w:cstheme="minorHAnsi"/>
                <w:lang w:eastAsia="nl-NL"/>
              </w:rPr>
              <w:t xml:space="preserve"> </w:t>
            </w:r>
            <w:r w:rsidR="002C019F">
              <w:rPr>
                <w:rFonts w:eastAsia="SymbolMT" w:cstheme="minorHAnsi"/>
                <w:i/>
                <w:lang w:eastAsia="nl-NL"/>
              </w:rPr>
              <w:t>= α</w:t>
            </w:r>
            <w:r w:rsidR="002C019F">
              <w:rPr>
                <w:rFonts w:eastAsia="SymbolMT" w:cstheme="minorHAnsi"/>
                <w:i/>
                <w:vertAlign w:val="subscript"/>
                <w:lang w:eastAsia="nl-NL"/>
              </w:rPr>
              <w:t>0</w:t>
            </w:r>
            <w:r w:rsidR="002C019F">
              <w:rPr>
                <w:rFonts w:eastAsia="SymbolMT" w:cstheme="minorHAnsi"/>
                <w:i/>
                <w:lang w:eastAsia="nl-NL"/>
              </w:rPr>
              <w:t xml:space="preserve"> + α</w:t>
            </w:r>
            <w:r w:rsidR="002C019F">
              <w:rPr>
                <w:rFonts w:eastAsia="SymbolMT" w:cstheme="minorHAnsi"/>
                <w:i/>
                <w:vertAlign w:val="subscript"/>
                <w:lang w:eastAsia="nl-NL"/>
              </w:rPr>
              <w:t xml:space="preserve">1 </w:t>
            </w:r>
            <w:r w:rsidR="002C019F">
              <w:rPr>
                <w:rFonts w:eastAsia="SymbolMT" w:cstheme="minorHAnsi"/>
                <w:i/>
                <w:lang w:eastAsia="nl-NL"/>
              </w:rPr>
              <w:t>Δ PR_FV_STO</w:t>
            </w:r>
            <w:r w:rsidR="002C019F">
              <w:rPr>
                <w:rFonts w:eastAsia="SymbolMT" w:cstheme="minorHAnsi"/>
                <w:i/>
                <w:vertAlign w:val="subscript"/>
                <w:lang w:eastAsia="nl-NL"/>
              </w:rPr>
              <w:t>it</w:t>
            </w:r>
            <w:r w:rsidR="002C019F">
              <w:rPr>
                <w:rFonts w:eastAsia="SymbolMT" w:cstheme="minorHAnsi"/>
                <w:i/>
                <w:lang w:eastAsia="nl-NL"/>
              </w:rPr>
              <w:t xml:space="preserve"> +  α</w:t>
            </w:r>
            <w:r w:rsidR="002C019F">
              <w:rPr>
                <w:rFonts w:eastAsia="SymbolMT" w:cstheme="minorHAnsi"/>
                <w:i/>
                <w:vertAlign w:val="subscript"/>
                <w:lang w:eastAsia="nl-NL"/>
              </w:rPr>
              <w:t>2</w:t>
            </w:r>
            <w:r w:rsidR="002C019F">
              <w:rPr>
                <w:rFonts w:eastAsia="SymbolMT" w:cstheme="minorHAnsi"/>
                <w:i/>
                <w:lang w:eastAsia="nl-NL"/>
              </w:rPr>
              <w:t xml:space="preserve"> 2004 + α</w:t>
            </w:r>
            <w:r w:rsidR="002C019F">
              <w:rPr>
                <w:rFonts w:eastAsia="SymbolMT" w:cstheme="minorHAnsi"/>
                <w:i/>
                <w:vertAlign w:val="subscript"/>
                <w:lang w:eastAsia="nl-NL"/>
              </w:rPr>
              <w:t xml:space="preserve">3 </w:t>
            </w:r>
            <w:r w:rsidR="002C019F">
              <w:rPr>
                <w:rFonts w:eastAsia="SymbolMT" w:cstheme="minorHAnsi"/>
                <w:i/>
                <w:lang w:eastAsia="nl-NL"/>
              </w:rPr>
              <w:t>2005 + α</w:t>
            </w:r>
            <w:r w:rsidR="002C019F">
              <w:rPr>
                <w:rFonts w:eastAsia="SymbolMT" w:cstheme="minorHAnsi"/>
                <w:i/>
                <w:vertAlign w:val="subscript"/>
                <w:lang w:eastAsia="nl-NL"/>
              </w:rPr>
              <w:t>4</w:t>
            </w:r>
            <w:r w:rsidR="002C019F">
              <w:rPr>
                <w:rFonts w:eastAsia="SymbolMT" w:cstheme="minorHAnsi"/>
                <w:i/>
                <w:lang w:eastAsia="nl-NL"/>
              </w:rPr>
              <w:t xml:space="preserve"> 2006 + α</w:t>
            </w:r>
            <w:r w:rsidR="002C019F">
              <w:rPr>
                <w:rFonts w:eastAsia="SymbolMT" w:cstheme="minorHAnsi"/>
                <w:i/>
                <w:vertAlign w:val="subscript"/>
                <w:lang w:eastAsia="nl-NL"/>
              </w:rPr>
              <w:t xml:space="preserve">5 </w:t>
            </w:r>
            <w:r w:rsidR="002C019F">
              <w:rPr>
                <w:rFonts w:cstheme="minorHAnsi"/>
                <w:i/>
              </w:rPr>
              <w:t xml:space="preserve">2007 + </w:t>
            </w:r>
            <w:r w:rsidR="002C019F">
              <w:rPr>
                <w:rFonts w:eastAsia="SymbolMT" w:cstheme="minorHAnsi"/>
                <w:i/>
                <w:lang w:eastAsia="nl-NL"/>
              </w:rPr>
              <w:t>α</w:t>
            </w:r>
            <w:r w:rsidR="002C019F">
              <w:rPr>
                <w:rFonts w:eastAsia="SymbolMT" w:cstheme="minorHAnsi"/>
                <w:i/>
                <w:vertAlign w:val="subscript"/>
                <w:lang w:eastAsia="nl-NL"/>
              </w:rPr>
              <w:t xml:space="preserve">6 </w:t>
            </w:r>
            <w:r w:rsidR="002C019F">
              <w:rPr>
                <w:i/>
              </w:rPr>
              <w:t>LN_ASSETS</w:t>
            </w:r>
            <w:r w:rsidR="002C019F">
              <w:rPr>
                <w:i/>
                <w:vertAlign w:val="subscript"/>
              </w:rPr>
              <w:t>it</w:t>
            </w:r>
            <w:r w:rsidR="002C019F">
              <w:rPr>
                <w:i/>
              </w:rPr>
              <w:t xml:space="preserve"> + </w:t>
            </w:r>
            <w:r w:rsidR="002C019F">
              <w:rPr>
                <w:rFonts w:eastAsia="SymbolMT" w:cstheme="minorHAnsi"/>
                <w:i/>
                <w:lang w:eastAsia="nl-NL"/>
              </w:rPr>
              <w:t>α</w:t>
            </w:r>
            <w:r w:rsidR="002C019F">
              <w:rPr>
                <w:rFonts w:cstheme="minorHAnsi"/>
                <w:i/>
                <w:vertAlign w:val="subscript"/>
              </w:rPr>
              <w:t xml:space="preserve">7 </w:t>
            </w:r>
            <w:r w:rsidR="002C019F">
              <w:rPr>
                <w:i/>
              </w:rPr>
              <w:t>MTB</w:t>
            </w:r>
            <w:r w:rsidR="002C019F">
              <w:rPr>
                <w:i/>
                <w:vertAlign w:val="subscript"/>
              </w:rPr>
              <w:t>it</w:t>
            </w:r>
            <w:r w:rsidR="002C019F">
              <w:rPr>
                <w:rFonts w:cstheme="minorHAnsi"/>
                <w:i/>
              </w:rPr>
              <w:t xml:space="preserve"> + </w:t>
            </w:r>
            <w:r w:rsidR="002C019F">
              <w:rPr>
                <w:rFonts w:eastAsia="SymbolMT" w:cstheme="minorHAnsi"/>
                <w:i/>
                <w:lang w:eastAsia="nl-NL"/>
              </w:rPr>
              <w:t>α</w:t>
            </w:r>
            <w:r w:rsidR="002C019F">
              <w:rPr>
                <w:rFonts w:cstheme="minorHAnsi"/>
                <w:i/>
                <w:vertAlign w:val="subscript"/>
              </w:rPr>
              <w:t xml:space="preserve">8 </w:t>
            </w:r>
            <w:r w:rsidR="002C019F">
              <w:rPr>
                <w:i/>
              </w:rPr>
              <w:t>RET</w:t>
            </w:r>
            <w:r w:rsidR="002C019F">
              <w:rPr>
                <w:i/>
                <w:vertAlign w:val="subscript"/>
              </w:rPr>
              <w:t>it</w:t>
            </w:r>
            <w:r w:rsidR="002C019F">
              <w:rPr>
                <w:rFonts w:cstheme="minorHAnsi"/>
                <w:i/>
              </w:rPr>
              <w:t xml:space="preserve"> + </w:t>
            </w:r>
            <w:r w:rsidR="002C019F">
              <w:rPr>
                <w:rFonts w:eastAsia="SymbolMT" w:cstheme="minorHAnsi"/>
                <w:i/>
                <w:lang w:eastAsia="nl-NL"/>
              </w:rPr>
              <w:t>α</w:t>
            </w:r>
            <w:r w:rsidR="002C019F">
              <w:rPr>
                <w:rFonts w:cstheme="minorHAnsi"/>
                <w:i/>
                <w:vertAlign w:val="subscript"/>
              </w:rPr>
              <w:t xml:space="preserve">9 </w:t>
            </w:r>
            <w:r w:rsidR="002C019F">
              <w:rPr>
                <w:i/>
              </w:rPr>
              <w:t>VOL</w:t>
            </w:r>
            <w:r w:rsidR="002C019F">
              <w:rPr>
                <w:i/>
                <w:vertAlign w:val="subscript"/>
              </w:rPr>
              <w:t>it</w:t>
            </w:r>
            <w:r w:rsidR="002C019F">
              <w:rPr>
                <w:rFonts w:cstheme="minorHAnsi"/>
                <w:i/>
              </w:rPr>
              <w:t xml:space="preserve"> + </w:t>
            </w:r>
            <w:r w:rsidR="002C019F">
              <w:rPr>
                <w:rFonts w:eastAsia="SymbolMT" w:cstheme="minorHAnsi"/>
                <w:i/>
                <w:lang w:eastAsia="nl-NL"/>
              </w:rPr>
              <w:t>α</w:t>
            </w:r>
            <w:r w:rsidR="002C019F">
              <w:rPr>
                <w:rFonts w:cstheme="minorHAnsi"/>
                <w:i/>
                <w:vertAlign w:val="subscript"/>
              </w:rPr>
              <w:t xml:space="preserve">10 </w:t>
            </w:r>
            <w:r w:rsidR="002C019F">
              <w:rPr>
                <w:i/>
              </w:rPr>
              <w:t>BOA_SIZE</w:t>
            </w:r>
            <w:r w:rsidR="002C019F">
              <w:rPr>
                <w:i/>
                <w:vertAlign w:val="subscript"/>
              </w:rPr>
              <w:t>it</w:t>
            </w:r>
            <w:r w:rsidR="002C019F">
              <w:rPr>
                <w:rFonts w:cstheme="minorHAnsi"/>
                <w:i/>
              </w:rPr>
              <w:t xml:space="preserve"> + </w:t>
            </w:r>
            <w:r w:rsidR="002C019F">
              <w:rPr>
                <w:rFonts w:eastAsia="SymbolMT" w:cstheme="minorHAnsi"/>
                <w:i/>
                <w:lang w:eastAsia="nl-NL"/>
              </w:rPr>
              <w:t>α</w:t>
            </w:r>
            <w:r w:rsidR="002C019F">
              <w:rPr>
                <w:rFonts w:cstheme="minorHAnsi"/>
                <w:i/>
                <w:vertAlign w:val="subscript"/>
              </w:rPr>
              <w:t xml:space="preserve">11 </w:t>
            </w:r>
            <w:r w:rsidR="002C019F">
              <w:rPr>
                <w:i/>
              </w:rPr>
              <w:t>LIQ_CON</w:t>
            </w:r>
            <w:r w:rsidR="002C019F">
              <w:rPr>
                <w:i/>
                <w:vertAlign w:val="subscript"/>
              </w:rPr>
              <w:t>it</w:t>
            </w:r>
            <w:r w:rsidR="002C019F">
              <w:rPr>
                <w:rFonts w:cstheme="minorHAnsi"/>
                <w:i/>
              </w:rPr>
              <w:t xml:space="preserve"> + ∑ </w:t>
            </w:r>
            <w:r w:rsidR="002C019F">
              <w:rPr>
                <w:i/>
              </w:rPr>
              <w:t>IND_DUMM</w:t>
            </w:r>
            <w:r w:rsidR="002C019F">
              <w:rPr>
                <w:i/>
                <w:vertAlign w:val="subscript"/>
              </w:rPr>
              <w:t>it</w:t>
            </w:r>
            <w:r w:rsidR="002C019F">
              <w:rPr>
                <w:i/>
              </w:rPr>
              <w:t xml:space="preserve"> + </w:t>
            </w:r>
            <w:r w:rsidR="002C019F">
              <w:rPr>
                <w:rFonts w:hAnsi="Times New Roman" w:cs="Times New Roman"/>
                <w:i/>
              </w:rPr>
              <w:t>ɛ</w:t>
            </w:r>
            <w:r w:rsidR="002C019F">
              <w:rPr>
                <w:i/>
                <w:vertAlign w:val="subscript"/>
              </w:rPr>
              <w:t>it</w:t>
            </w:r>
          </w:p>
        </w:tc>
      </w:tr>
      <w:tr w:rsidR="00CE06C7" w:rsidRPr="000B3455" w:rsidTr="00AB4FD8">
        <w:trPr>
          <w:cantSplit/>
        </w:trPr>
        <w:tc>
          <w:tcPr>
            <w:tcW w:w="7880" w:type="dxa"/>
            <w:gridSpan w:val="7"/>
            <w:tcBorders>
              <w:top w:val="nil"/>
              <w:left w:val="nil"/>
              <w:bottom w:val="nil"/>
              <w:right w:val="nil"/>
            </w:tcBorders>
            <w:shd w:val="clear" w:color="auto" w:fill="FFFFFF"/>
          </w:tcPr>
          <w:p w:rsidR="00CE06C7" w:rsidRPr="000B3455" w:rsidRDefault="00CE06C7" w:rsidP="002C019F">
            <w:pPr>
              <w:autoSpaceDE w:val="0"/>
              <w:autoSpaceDN w:val="0"/>
              <w:adjustRightInd w:val="0"/>
              <w:spacing w:after="0" w:line="320" w:lineRule="atLeast"/>
              <w:ind w:right="60"/>
              <w:rPr>
                <w:rFonts w:cstheme="minorHAnsi"/>
                <w:color w:val="000000"/>
              </w:rPr>
            </w:pPr>
          </w:p>
        </w:tc>
      </w:tr>
    </w:tbl>
    <w:p w:rsidR="00CE06C7" w:rsidRPr="000B3455" w:rsidRDefault="002C019F" w:rsidP="002C019F">
      <w:pPr>
        <w:pStyle w:val="Caption"/>
        <w:rPr>
          <w:rFonts w:cstheme="minorHAnsi"/>
        </w:rPr>
      </w:pPr>
      <w:bookmarkStart w:id="156" w:name="_Ref298859513"/>
      <w:r>
        <w:t xml:space="preserve">Table </w:t>
      </w:r>
      <w:fldSimple w:instr=" SEQ Table \* ARABIC ">
        <w:r w:rsidR="001D5F9A">
          <w:rPr>
            <w:noProof/>
          </w:rPr>
          <w:t>20</w:t>
        </w:r>
      </w:fldSimple>
      <w:bookmarkEnd w:id="156"/>
      <w:r>
        <w:t xml:space="preserve">: </w:t>
      </w:r>
      <w:r w:rsidRPr="002C019F">
        <w:rPr>
          <w:color w:val="auto"/>
        </w:rPr>
        <w:t>SPSS analysis of variance</w:t>
      </w:r>
    </w:p>
    <w:p w:rsidR="00CE06C7" w:rsidRPr="000B3455" w:rsidRDefault="00B92B41" w:rsidP="00B92B41">
      <w:pPr>
        <w:rPr>
          <w:rFonts w:cstheme="minorHAnsi"/>
        </w:rPr>
      </w:pPr>
      <w:r>
        <w:rPr>
          <w:rFonts w:cstheme="minorHAnsi"/>
        </w:rPr>
        <w:br w:type="page"/>
      </w:r>
    </w:p>
    <w:tbl>
      <w:tblPr>
        <w:tblW w:w="103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0"/>
        <w:gridCol w:w="2433"/>
        <w:gridCol w:w="1327"/>
        <w:gridCol w:w="1325"/>
        <w:gridCol w:w="1459"/>
        <w:gridCol w:w="1013"/>
        <w:gridCol w:w="1013"/>
        <w:gridCol w:w="1013"/>
      </w:tblGrid>
      <w:tr w:rsidR="00CE06C7" w:rsidRPr="000B3455" w:rsidTr="00AB4FD8">
        <w:trPr>
          <w:cantSplit/>
          <w:tblHeader/>
        </w:trPr>
        <w:tc>
          <w:tcPr>
            <w:tcW w:w="9300" w:type="dxa"/>
            <w:gridSpan w:val="7"/>
            <w:tcBorders>
              <w:top w:val="nil"/>
              <w:left w:val="nil"/>
              <w:bottom w:val="nil"/>
              <w:right w:val="nil"/>
            </w:tcBorders>
            <w:shd w:val="clear" w:color="auto" w:fill="FFFFFF"/>
            <w:vAlign w:val="center"/>
          </w:tcPr>
          <w:p w:rsidR="00CE06C7" w:rsidRPr="000B3455" w:rsidRDefault="00CE06C7" w:rsidP="00AB4FD8">
            <w:pPr>
              <w:autoSpaceDE w:val="0"/>
              <w:autoSpaceDN w:val="0"/>
              <w:adjustRightInd w:val="0"/>
              <w:spacing w:after="0" w:line="320" w:lineRule="atLeast"/>
              <w:ind w:left="60" w:right="60"/>
              <w:jc w:val="center"/>
              <w:rPr>
                <w:rFonts w:cstheme="minorHAnsi"/>
                <w:color w:val="000000"/>
              </w:rPr>
            </w:pPr>
            <w:r w:rsidRPr="000B3455">
              <w:rPr>
                <w:rFonts w:cstheme="minorHAnsi"/>
                <w:b/>
                <w:bCs/>
                <w:color w:val="000000"/>
              </w:rPr>
              <w:lastRenderedPageBreak/>
              <w:t>Coefficients</w:t>
            </w:r>
            <w:r w:rsidRPr="000B3455">
              <w:rPr>
                <w:rFonts w:cstheme="minorHAnsi"/>
                <w:b/>
                <w:bCs/>
                <w:color w:val="000000"/>
                <w:vertAlign w:val="superscript"/>
              </w:rPr>
              <w:t>a</w:t>
            </w:r>
          </w:p>
        </w:tc>
        <w:tc>
          <w:tcPr>
            <w:tcW w:w="1013" w:type="dxa"/>
            <w:tcBorders>
              <w:top w:val="nil"/>
              <w:left w:val="nil"/>
              <w:bottom w:val="nil"/>
              <w:right w:val="nil"/>
            </w:tcBorders>
            <w:shd w:val="clear" w:color="auto" w:fill="FFFFFF"/>
          </w:tcPr>
          <w:p w:rsidR="00CE06C7" w:rsidRPr="000B3455" w:rsidRDefault="00CE06C7" w:rsidP="00AB4FD8">
            <w:pPr>
              <w:autoSpaceDE w:val="0"/>
              <w:autoSpaceDN w:val="0"/>
              <w:adjustRightInd w:val="0"/>
              <w:spacing w:after="0" w:line="320" w:lineRule="atLeast"/>
              <w:ind w:left="60" w:right="60"/>
              <w:jc w:val="center"/>
              <w:rPr>
                <w:rFonts w:cstheme="minorHAnsi"/>
                <w:b/>
                <w:bCs/>
                <w:color w:val="000000"/>
              </w:rPr>
            </w:pPr>
          </w:p>
        </w:tc>
      </w:tr>
      <w:tr w:rsidR="00CE06C7" w:rsidRPr="000B3455" w:rsidTr="00AB4FD8">
        <w:trPr>
          <w:cantSplit/>
          <w:tblHeader/>
        </w:trPr>
        <w:tc>
          <w:tcPr>
            <w:tcW w:w="3163"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theme="minorHAnsi"/>
                <w:color w:val="000000"/>
              </w:rPr>
            </w:pPr>
            <w:r w:rsidRPr="000B3455">
              <w:rPr>
                <w:rFonts w:cstheme="minorHAnsi"/>
                <w:color w:val="000000"/>
              </w:rPr>
              <w:t>Model</w:t>
            </w:r>
          </w:p>
        </w:tc>
        <w:tc>
          <w:tcPr>
            <w:tcW w:w="2652" w:type="dxa"/>
            <w:gridSpan w:val="2"/>
            <w:tcBorders>
              <w:top w:val="single" w:sz="16" w:space="0" w:color="000000"/>
              <w:left w:val="single" w:sz="16" w:space="0" w:color="000000"/>
            </w:tcBorders>
            <w:shd w:val="clear" w:color="auto" w:fill="FFFFFF"/>
            <w:vAlign w:val="bottom"/>
          </w:tcPr>
          <w:p w:rsidR="00CE06C7" w:rsidRPr="000B3455" w:rsidRDefault="00CE06C7" w:rsidP="00AB4FD8">
            <w:pPr>
              <w:autoSpaceDE w:val="0"/>
              <w:autoSpaceDN w:val="0"/>
              <w:adjustRightInd w:val="0"/>
              <w:spacing w:after="0" w:line="320" w:lineRule="atLeast"/>
              <w:ind w:left="60" w:right="60"/>
              <w:jc w:val="center"/>
              <w:rPr>
                <w:rFonts w:cstheme="minorHAnsi"/>
                <w:color w:val="000000"/>
              </w:rPr>
            </w:pPr>
            <w:r w:rsidRPr="000B3455">
              <w:rPr>
                <w:rFonts w:cstheme="minorHAnsi"/>
                <w:color w:val="000000"/>
              </w:rPr>
              <w:t>Unstandardized Coefficients</w:t>
            </w:r>
          </w:p>
        </w:tc>
        <w:tc>
          <w:tcPr>
            <w:tcW w:w="1459" w:type="dxa"/>
            <w:tcBorders>
              <w:top w:val="single" w:sz="16" w:space="0" w:color="000000"/>
            </w:tcBorders>
            <w:shd w:val="clear" w:color="auto" w:fill="FFFFFF"/>
            <w:vAlign w:val="bottom"/>
          </w:tcPr>
          <w:p w:rsidR="00CE06C7" w:rsidRPr="000B3455" w:rsidRDefault="00CE06C7" w:rsidP="00AB4FD8">
            <w:pPr>
              <w:autoSpaceDE w:val="0"/>
              <w:autoSpaceDN w:val="0"/>
              <w:adjustRightInd w:val="0"/>
              <w:spacing w:after="0" w:line="320" w:lineRule="atLeast"/>
              <w:ind w:left="60" w:right="60"/>
              <w:jc w:val="center"/>
              <w:rPr>
                <w:rFonts w:cstheme="minorHAnsi"/>
                <w:color w:val="000000"/>
              </w:rPr>
            </w:pPr>
            <w:r w:rsidRPr="000B3455">
              <w:rPr>
                <w:rFonts w:cstheme="minorHAnsi"/>
                <w:color w:val="000000"/>
              </w:rPr>
              <w:t>Standardized Coefficients</w:t>
            </w:r>
          </w:p>
        </w:tc>
        <w:tc>
          <w:tcPr>
            <w:tcW w:w="1013" w:type="dxa"/>
            <w:vMerge w:val="restart"/>
            <w:tcBorders>
              <w:top w:val="single" w:sz="16" w:space="0" w:color="000000"/>
              <w:bottom w:val="single" w:sz="16" w:space="0" w:color="000000"/>
            </w:tcBorders>
            <w:shd w:val="clear" w:color="auto" w:fill="FFFFFF"/>
            <w:vAlign w:val="bottom"/>
          </w:tcPr>
          <w:p w:rsidR="00CE06C7" w:rsidRPr="000B3455" w:rsidRDefault="00CE06C7" w:rsidP="00AB4FD8">
            <w:pPr>
              <w:autoSpaceDE w:val="0"/>
              <w:autoSpaceDN w:val="0"/>
              <w:adjustRightInd w:val="0"/>
              <w:spacing w:after="0" w:line="320" w:lineRule="atLeast"/>
              <w:ind w:left="60" w:right="60"/>
              <w:jc w:val="center"/>
              <w:rPr>
                <w:rFonts w:cstheme="minorHAnsi"/>
                <w:color w:val="000000"/>
              </w:rPr>
            </w:pPr>
            <w:r w:rsidRPr="000B3455">
              <w:rPr>
                <w:rFonts w:cstheme="minorHAnsi"/>
                <w:color w:val="000000"/>
              </w:rPr>
              <w:t>t</w:t>
            </w:r>
          </w:p>
        </w:tc>
        <w:tc>
          <w:tcPr>
            <w:tcW w:w="1013" w:type="dxa"/>
            <w:vMerge w:val="restart"/>
            <w:tcBorders>
              <w:top w:val="single" w:sz="16" w:space="0" w:color="000000"/>
              <w:bottom w:val="single" w:sz="16" w:space="0" w:color="000000"/>
              <w:right w:val="single" w:sz="16" w:space="0" w:color="000000"/>
            </w:tcBorders>
            <w:shd w:val="clear" w:color="auto" w:fill="FFFFFF"/>
            <w:vAlign w:val="bottom"/>
          </w:tcPr>
          <w:p w:rsidR="00CE06C7" w:rsidRPr="000B3455" w:rsidRDefault="00CE06C7" w:rsidP="00AB4FD8">
            <w:pPr>
              <w:autoSpaceDE w:val="0"/>
              <w:autoSpaceDN w:val="0"/>
              <w:adjustRightInd w:val="0"/>
              <w:spacing w:after="0" w:line="320" w:lineRule="atLeast"/>
              <w:ind w:left="60" w:right="60"/>
              <w:jc w:val="center"/>
              <w:rPr>
                <w:rFonts w:cstheme="minorHAnsi"/>
                <w:color w:val="000000"/>
              </w:rPr>
            </w:pPr>
            <w:r w:rsidRPr="000B3455">
              <w:rPr>
                <w:rFonts w:cstheme="minorHAnsi"/>
                <w:color w:val="000000"/>
              </w:rPr>
              <w:t>Sig.</w:t>
            </w:r>
          </w:p>
        </w:tc>
        <w:tc>
          <w:tcPr>
            <w:tcW w:w="1013" w:type="dxa"/>
            <w:vMerge w:val="restart"/>
            <w:tcBorders>
              <w:top w:val="single" w:sz="16" w:space="0" w:color="000000"/>
              <w:right w:val="single" w:sz="16" w:space="0" w:color="000000"/>
            </w:tcBorders>
            <w:shd w:val="clear" w:color="auto" w:fill="FFFFFF"/>
            <w:vAlign w:val="bottom"/>
          </w:tcPr>
          <w:p w:rsidR="00CE06C7" w:rsidRPr="000B3455" w:rsidRDefault="00CE06C7" w:rsidP="00AB4FD8">
            <w:pPr>
              <w:autoSpaceDE w:val="0"/>
              <w:autoSpaceDN w:val="0"/>
              <w:adjustRightInd w:val="0"/>
              <w:spacing w:after="0" w:line="320" w:lineRule="atLeast"/>
              <w:ind w:left="60" w:right="60"/>
              <w:jc w:val="center"/>
              <w:rPr>
                <w:rFonts w:cstheme="minorHAnsi"/>
                <w:color w:val="000000"/>
              </w:rPr>
            </w:pPr>
            <w:r w:rsidRPr="000B3455">
              <w:rPr>
                <w:rFonts w:cstheme="minorHAnsi"/>
                <w:color w:val="000000"/>
              </w:rPr>
              <w:t>Sig. 1-tailed</w:t>
            </w:r>
          </w:p>
        </w:tc>
      </w:tr>
      <w:tr w:rsidR="00CE06C7" w:rsidRPr="000B3455" w:rsidTr="00AB4FD8">
        <w:trPr>
          <w:cantSplit/>
          <w:tblHeader/>
        </w:trPr>
        <w:tc>
          <w:tcPr>
            <w:tcW w:w="3163" w:type="dxa"/>
            <w:gridSpan w:val="2"/>
            <w:vMerge/>
            <w:tcBorders>
              <w:top w:val="single" w:sz="16" w:space="0" w:color="000000"/>
              <w:left w:val="single" w:sz="16" w:space="0" w:color="000000"/>
              <w:bottom w:val="single" w:sz="16" w:space="0" w:color="000000"/>
              <w:right w:val="single" w:sz="16" w:space="0" w:color="000000"/>
            </w:tcBorders>
            <w:shd w:val="clear" w:color="auto" w:fill="FFFFFF"/>
          </w:tcPr>
          <w:p w:rsidR="00CE06C7" w:rsidRPr="000B3455" w:rsidRDefault="00CE06C7" w:rsidP="00AB4FD8">
            <w:pPr>
              <w:autoSpaceDE w:val="0"/>
              <w:autoSpaceDN w:val="0"/>
              <w:adjustRightInd w:val="0"/>
              <w:spacing w:after="0" w:line="240" w:lineRule="auto"/>
              <w:rPr>
                <w:rFonts w:cstheme="minorHAnsi"/>
                <w:color w:val="000000"/>
              </w:rPr>
            </w:pPr>
          </w:p>
        </w:tc>
        <w:tc>
          <w:tcPr>
            <w:tcW w:w="1327" w:type="dxa"/>
            <w:tcBorders>
              <w:left w:val="single" w:sz="16" w:space="0" w:color="000000"/>
              <w:bottom w:val="single" w:sz="16" w:space="0" w:color="000000"/>
            </w:tcBorders>
            <w:shd w:val="clear" w:color="auto" w:fill="FFFFFF"/>
            <w:vAlign w:val="bottom"/>
          </w:tcPr>
          <w:p w:rsidR="00CE06C7" w:rsidRPr="000B3455" w:rsidRDefault="00CE06C7" w:rsidP="00AB4FD8">
            <w:pPr>
              <w:autoSpaceDE w:val="0"/>
              <w:autoSpaceDN w:val="0"/>
              <w:adjustRightInd w:val="0"/>
              <w:spacing w:after="0" w:line="320" w:lineRule="atLeast"/>
              <w:ind w:left="60" w:right="60"/>
              <w:jc w:val="center"/>
              <w:rPr>
                <w:rFonts w:cstheme="minorHAnsi"/>
                <w:color w:val="000000"/>
              </w:rPr>
            </w:pPr>
            <w:r w:rsidRPr="000B3455">
              <w:rPr>
                <w:rFonts w:cstheme="minorHAnsi"/>
                <w:color w:val="000000"/>
              </w:rPr>
              <w:t>A</w:t>
            </w:r>
          </w:p>
        </w:tc>
        <w:tc>
          <w:tcPr>
            <w:tcW w:w="1325" w:type="dxa"/>
            <w:tcBorders>
              <w:bottom w:val="single" w:sz="16" w:space="0" w:color="000000"/>
            </w:tcBorders>
            <w:shd w:val="clear" w:color="auto" w:fill="FFFFFF"/>
            <w:vAlign w:val="bottom"/>
          </w:tcPr>
          <w:p w:rsidR="00CE06C7" w:rsidRPr="000B3455" w:rsidRDefault="00CE06C7" w:rsidP="00AB4FD8">
            <w:pPr>
              <w:autoSpaceDE w:val="0"/>
              <w:autoSpaceDN w:val="0"/>
              <w:adjustRightInd w:val="0"/>
              <w:spacing w:after="0" w:line="320" w:lineRule="atLeast"/>
              <w:ind w:left="60" w:right="60"/>
              <w:jc w:val="center"/>
              <w:rPr>
                <w:rFonts w:cstheme="minorHAnsi"/>
                <w:color w:val="000000"/>
              </w:rPr>
            </w:pPr>
            <w:r w:rsidRPr="000B3455">
              <w:rPr>
                <w:rFonts w:cstheme="minorHAnsi"/>
                <w:color w:val="000000"/>
              </w:rPr>
              <w:t>Std. Error</w:t>
            </w:r>
          </w:p>
        </w:tc>
        <w:tc>
          <w:tcPr>
            <w:tcW w:w="1459" w:type="dxa"/>
            <w:tcBorders>
              <w:bottom w:val="single" w:sz="16" w:space="0" w:color="000000"/>
            </w:tcBorders>
            <w:shd w:val="clear" w:color="auto" w:fill="FFFFFF"/>
            <w:vAlign w:val="bottom"/>
          </w:tcPr>
          <w:p w:rsidR="00CE06C7" w:rsidRPr="000B3455" w:rsidRDefault="00CE06C7" w:rsidP="00AB4FD8">
            <w:pPr>
              <w:autoSpaceDE w:val="0"/>
              <w:autoSpaceDN w:val="0"/>
              <w:adjustRightInd w:val="0"/>
              <w:spacing w:after="0" w:line="320" w:lineRule="atLeast"/>
              <w:ind w:left="60" w:right="60"/>
              <w:jc w:val="center"/>
              <w:rPr>
                <w:rFonts w:cstheme="minorHAnsi"/>
                <w:color w:val="000000"/>
              </w:rPr>
            </w:pPr>
            <w:r w:rsidRPr="000B3455">
              <w:rPr>
                <w:rFonts w:cstheme="minorHAnsi"/>
                <w:color w:val="000000"/>
              </w:rPr>
              <w:t>Alpha</w:t>
            </w:r>
          </w:p>
        </w:tc>
        <w:tc>
          <w:tcPr>
            <w:tcW w:w="1013" w:type="dxa"/>
            <w:vMerge/>
            <w:tcBorders>
              <w:top w:val="single" w:sz="16" w:space="0" w:color="000000"/>
              <w:bottom w:val="single" w:sz="16" w:space="0" w:color="000000"/>
            </w:tcBorders>
            <w:shd w:val="clear" w:color="auto" w:fill="FFFFFF"/>
            <w:vAlign w:val="bottom"/>
          </w:tcPr>
          <w:p w:rsidR="00CE06C7" w:rsidRPr="000B3455" w:rsidRDefault="00CE06C7" w:rsidP="00AB4FD8">
            <w:pPr>
              <w:autoSpaceDE w:val="0"/>
              <w:autoSpaceDN w:val="0"/>
              <w:adjustRightInd w:val="0"/>
              <w:spacing w:after="0" w:line="240" w:lineRule="auto"/>
              <w:rPr>
                <w:rFonts w:cstheme="minorHAnsi"/>
                <w:color w:val="000000"/>
              </w:rPr>
            </w:pPr>
          </w:p>
        </w:tc>
        <w:tc>
          <w:tcPr>
            <w:tcW w:w="1013" w:type="dxa"/>
            <w:vMerge/>
            <w:tcBorders>
              <w:top w:val="single" w:sz="16" w:space="0" w:color="000000"/>
              <w:bottom w:val="single" w:sz="16" w:space="0" w:color="000000"/>
              <w:right w:val="single" w:sz="16" w:space="0" w:color="000000"/>
            </w:tcBorders>
            <w:shd w:val="clear" w:color="auto" w:fill="FFFFFF"/>
            <w:vAlign w:val="bottom"/>
          </w:tcPr>
          <w:p w:rsidR="00CE06C7" w:rsidRPr="000B3455" w:rsidRDefault="00CE06C7" w:rsidP="00AB4FD8">
            <w:pPr>
              <w:autoSpaceDE w:val="0"/>
              <w:autoSpaceDN w:val="0"/>
              <w:adjustRightInd w:val="0"/>
              <w:spacing w:after="0" w:line="240" w:lineRule="auto"/>
              <w:rPr>
                <w:rFonts w:cstheme="minorHAnsi"/>
                <w:color w:val="000000"/>
              </w:rPr>
            </w:pPr>
          </w:p>
        </w:tc>
        <w:tc>
          <w:tcPr>
            <w:tcW w:w="1013" w:type="dxa"/>
            <w:vMerge/>
            <w:tcBorders>
              <w:bottom w:val="single" w:sz="16" w:space="0" w:color="000000"/>
              <w:right w:val="single" w:sz="16" w:space="0" w:color="000000"/>
            </w:tcBorders>
            <w:shd w:val="clear" w:color="auto" w:fill="FFFFFF"/>
          </w:tcPr>
          <w:p w:rsidR="00CE06C7" w:rsidRPr="000B3455" w:rsidRDefault="00CE06C7" w:rsidP="00AB4FD8">
            <w:pPr>
              <w:autoSpaceDE w:val="0"/>
              <w:autoSpaceDN w:val="0"/>
              <w:adjustRightInd w:val="0"/>
              <w:spacing w:after="0" w:line="240" w:lineRule="auto"/>
              <w:rPr>
                <w:rFonts w:cstheme="minorHAnsi"/>
                <w:color w:val="000000"/>
              </w:rPr>
            </w:pPr>
          </w:p>
        </w:tc>
      </w:tr>
      <w:tr w:rsidR="00CE06C7" w:rsidRPr="000B3455" w:rsidTr="005C202A">
        <w:trPr>
          <w:cantSplit/>
          <w:tblHeader/>
        </w:trPr>
        <w:tc>
          <w:tcPr>
            <w:tcW w:w="730" w:type="dxa"/>
            <w:vMerge w:val="restart"/>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320" w:lineRule="atLeast"/>
              <w:ind w:left="60" w:right="60"/>
              <w:rPr>
                <w:rFonts w:cstheme="minorHAnsi"/>
                <w:color w:val="000000"/>
              </w:rPr>
            </w:pPr>
            <w:r w:rsidRPr="000B3455">
              <w:rPr>
                <w:rFonts w:cstheme="minorHAnsi"/>
                <w:color w:val="000000"/>
              </w:rPr>
              <w:t>1</w:t>
            </w:r>
          </w:p>
        </w:tc>
        <w:tc>
          <w:tcPr>
            <w:tcW w:w="2433" w:type="dxa"/>
            <w:tcBorders>
              <w:top w:val="single" w:sz="16" w:space="0" w:color="000000"/>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theme="minorHAnsi"/>
                <w:color w:val="000000"/>
              </w:rPr>
            </w:pPr>
            <w:r w:rsidRPr="000B3455">
              <w:rPr>
                <w:rFonts w:cstheme="minorHAnsi"/>
                <w:color w:val="000000"/>
              </w:rPr>
              <w:t>(Constant)</w:t>
            </w:r>
          </w:p>
        </w:tc>
        <w:tc>
          <w:tcPr>
            <w:tcW w:w="1327" w:type="dxa"/>
            <w:tcBorders>
              <w:top w:val="single" w:sz="16" w:space="0" w:color="000000"/>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10,445</w:t>
            </w:r>
          </w:p>
        </w:tc>
        <w:tc>
          <w:tcPr>
            <w:tcW w:w="1325" w:type="dxa"/>
            <w:tcBorders>
              <w:top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11,898</w:t>
            </w:r>
          </w:p>
        </w:tc>
        <w:tc>
          <w:tcPr>
            <w:tcW w:w="1459" w:type="dxa"/>
            <w:tcBorders>
              <w:top w:val="single" w:sz="16" w:space="0" w:color="000000"/>
              <w:bottom w:val="nil"/>
            </w:tcBorders>
            <w:shd w:val="clear" w:color="auto" w:fill="FFFFFF"/>
            <w:vAlign w:val="center"/>
          </w:tcPr>
          <w:p w:rsidR="00CE06C7" w:rsidRPr="000B3455" w:rsidRDefault="00CE06C7" w:rsidP="00AB4FD8">
            <w:pPr>
              <w:autoSpaceDE w:val="0"/>
              <w:autoSpaceDN w:val="0"/>
              <w:adjustRightInd w:val="0"/>
              <w:spacing w:after="0" w:line="240" w:lineRule="auto"/>
              <w:jc w:val="center"/>
              <w:rPr>
                <w:rFonts w:cstheme="minorHAnsi"/>
              </w:rPr>
            </w:pPr>
          </w:p>
        </w:tc>
        <w:tc>
          <w:tcPr>
            <w:tcW w:w="1013" w:type="dxa"/>
            <w:tcBorders>
              <w:top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,878</w:t>
            </w:r>
          </w:p>
        </w:tc>
        <w:tc>
          <w:tcPr>
            <w:tcW w:w="1013" w:type="dxa"/>
            <w:tcBorders>
              <w:top w:val="single" w:sz="16" w:space="0" w:color="000000"/>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,381</w:t>
            </w:r>
          </w:p>
        </w:tc>
        <w:tc>
          <w:tcPr>
            <w:tcW w:w="1013" w:type="dxa"/>
            <w:tcBorders>
              <w:top w:val="single" w:sz="16" w:space="0" w:color="000000"/>
              <w:bottom w:val="nil"/>
              <w:right w:val="single" w:sz="16" w:space="0" w:color="000000"/>
            </w:tcBorders>
            <w:shd w:val="clear" w:color="auto" w:fill="FFFFFF"/>
          </w:tcPr>
          <w:p w:rsidR="00CE06C7" w:rsidRPr="000B3455" w:rsidRDefault="00CE06C7" w:rsidP="005C202A">
            <w:pPr>
              <w:autoSpaceDE w:val="0"/>
              <w:autoSpaceDN w:val="0"/>
              <w:adjustRightInd w:val="0"/>
              <w:spacing w:after="0" w:line="320" w:lineRule="atLeast"/>
              <w:ind w:left="60" w:right="60"/>
              <w:rPr>
                <w:rFonts w:cstheme="minorHAnsi"/>
                <w:color w:val="000000"/>
              </w:rPr>
            </w:pPr>
            <w:r w:rsidRPr="000B3455">
              <w:rPr>
                <w:rFonts w:cstheme="minorHAnsi"/>
                <w:color w:val="000000"/>
              </w:rPr>
              <w:t>,191</w:t>
            </w:r>
          </w:p>
        </w:tc>
      </w:tr>
      <w:tr w:rsidR="00CE06C7"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theme="minorHAnsi"/>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theme="minorHAnsi"/>
                <w:color w:val="000000"/>
              </w:rPr>
            </w:pPr>
            <w:r w:rsidRPr="000B3455">
              <w:rPr>
                <w:rFonts w:cstheme="minorHAnsi"/>
                <w:color w:val="000000"/>
              </w:rPr>
              <w:t>Delta_PR_FV_STO_EXCL_MCL</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-,523</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,064</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-,567</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-8,132</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,000</w:t>
            </w:r>
          </w:p>
        </w:tc>
        <w:tc>
          <w:tcPr>
            <w:tcW w:w="1013" w:type="dxa"/>
            <w:tcBorders>
              <w:top w:val="nil"/>
              <w:bottom w:val="nil"/>
              <w:right w:val="single" w:sz="16" w:space="0" w:color="000000"/>
            </w:tcBorders>
            <w:shd w:val="clear" w:color="auto" w:fill="FFFFFF"/>
          </w:tcPr>
          <w:p w:rsidR="00CE06C7" w:rsidRPr="000B3455" w:rsidRDefault="00CE06C7" w:rsidP="005C202A">
            <w:pPr>
              <w:autoSpaceDE w:val="0"/>
              <w:autoSpaceDN w:val="0"/>
              <w:adjustRightInd w:val="0"/>
              <w:spacing w:after="0" w:line="320" w:lineRule="atLeast"/>
              <w:ind w:left="60" w:right="60"/>
              <w:rPr>
                <w:rFonts w:cstheme="minorHAnsi"/>
                <w:color w:val="000000"/>
              </w:rPr>
            </w:pPr>
            <w:r w:rsidRPr="000B3455">
              <w:rPr>
                <w:rFonts w:cstheme="minorHAnsi"/>
                <w:color w:val="000000"/>
              </w:rPr>
              <w:t>,000</w:t>
            </w:r>
            <w:r w:rsidR="005C202A">
              <w:rPr>
                <w:rFonts w:cstheme="minorHAnsi"/>
                <w:color w:val="000000"/>
              </w:rPr>
              <w:t>***</w:t>
            </w:r>
          </w:p>
        </w:tc>
      </w:tr>
      <w:tr w:rsidR="00CE06C7"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theme="minorHAnsi"/>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theme="minorHAnsi"/>
                <w:color w:val="000000"/>
              </w:rPr>
            </w:pPr>
            <w:r w:rsidRPr="000B3455">
              <w:rPr>
                <w:rFonts w:cstheme="minorHAnsi"/>
                <w:color w:val="000000"/>
              </w:rPr>
              <w:t>D_2004</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-5,927</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3,036</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-,164</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-1,952</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,053</w:t>
            </w:r>
          </w:p>
        </w:tc>
        <w:tc>
          <w:tcPr>
            <w:tcW w:w="1013" w:type="dxa"/>
            <w:tcBorders>
              <w:top w:val="nil"/>
              <w:bottom w:val="nil"/>
              <w:right w:val="single" w:sz="16" w:space="0" w:color="000000"/>
            </w:tcBorders>
            <w:shd w:val="clear" w:color="auto" w:fill="FFFFFF"/>
          </w:tcPr>
          <w:p w:rsidR="00CE06C7" w:rsidRPr="000B3455" w:rsidRDefault="00CE06C7" w:rsidP="005C202A">
            <w:pPr>
              <w:autoSpaceDE w:val="0"/>
              <w:autoSpaceDN w:val="0"/>
              <w:adjustRightInd w:val="0"/>
              <w:spacing w:after="0" w:line="320" w:lineRule="atLeast"/>
              <w:ind w:left="60" w:right="60"/>
              <w:rPr>
                <w:rFonts w:cstheme="minorHAnsi"/>
                <w:color w:val="000000"/>
              </w:rPr>
            </w:pPr>
            <w:r w:rsidRPr="000B3455">
              <w:rPr>
                <w:rFonts w:cstheme="minorHAnsi"/>
                <w:color w:val="000000"/>
              </w:rPr>
              <w:t>,027</w:t>
            </w:r>
            <w:r w:rsidR="005C202A">
              <w:rPr>
                <w:rFonts w:cstheme="minorHAnsi"/>
                <w:color w:val="000000"/>
              </w:rPr>
              <w:t>**</w:t>
            </w:r>
          </w:p>
        </w:tc>
      </w:tr>
      <w:tr w:rsidR="00CE06C7"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theme="minorHAnsi"/>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theme="minorHAnsi"/>
                <w:color w:val="000000"/>
              </w:rPr>
            </w:pPr>
            <w:r w:rsidRPr="000B3455">
              <w:rPr>
                <w:rFonts w:cstheme="minorHAnsi"/>
                <w:color w:val="000000"/>
              </w:rPr>
              <w:t>D_2005</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,753</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3,127</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,021</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,241</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,810</w:t>
            </w:r>
          </w:p>
        </w:tc>
        <w:tc>
          <w:tcPr>
            <w:tcW w:w="1013" w:type="dxa"/>
            <w:tcBorders>
              <w:top w:val="nil"/>
              <w:bottom w:val="nil"/>
              <w:right w:val="single" w:sz="16" w:space="0" w:color="000000"/>
            </w:tcBorders>
            <w:shd w:val="clear" w:color="auto" w:fill="FFFFFF"/>
          </w:tcPr>
          <w:p w:rsidR="00CE06C7" w:rsidRPr="000B3455" w:rsidRDefault="00CE06C7" w:rsidP="005C202A">
            <w:pPr>
              <w:autoSpaceDE w:val="0"/>
              <w:autoSpaceDN w:val="0"/>
              <w:adjustRightInd w:val="0"/>
              <w:spacing w:after="0" w:line="320" w:lineRule="atLeast"/>
              <w:ind w:left="60" w:right="60"/>
              <w:rPr>
                <w:rFonts w:cstheme="minorHAnsi"/>
                <w:color w:val="000000"/>
              </w:rPr>
            </w:pPr>
            <w:r w:rsidRPr="000B3455">
              <w:rPr>
                <w:rFonts w:cstheme="minorHAnsi"/>
                <w:color w:val="000000"/>
              </w:rPr>
              <w:t>,405</w:t>
            </w:r>
          </w:p>
        </w:tc>
      </w:tr>
      <w:tr w:rsidR="00CE06C7"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theme="minorHAnsi"/>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theme="minorHAnsi"/>
                <w:color w:val="000000"/>
              </w:rPr>
            </w:pPr>
            <w:r w:rsidRPr="000B3455">
              <w:rPr>
                <w:rFonts w:cstheme="minorHAnsi"/>
                <w:color w:val="000000"/>
              </w:rPr>
              <w:t>D_2006</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-2,698</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3,136</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-,075</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-,860</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,391</w:t>
            </w:r>
          </w:p>
        </w:tc>
        <w:tc>
          <w:tcPr>
            <w:tcW w:w="1013" w:type="dxa"/>
            <w:tcBorders>
              <w:top w:val="nil"/>
              <w:bottom w:val="nil"/>
              <w:right w:val="single" w:sz="16" w:space="0" w:color="000000"/>
            </w:tcBorders>
            <w:shd w:val="clear" w:color="auto" w:fill="FFFFFF"/>
          </w:tcPr>
          <w:p w:rsidR="00CE06C7" w:rsidRPr="000B3455" w:rsidRDefault="00CE06C7" w:rsidP="005C202A">
            <w:pPr>
              <w:autoSpaceDE w:val="0"/>
              <w:autoSpaceDN w:val="0"/>
              <w:adjustRightInd w:val="0"/>
              <w:spacing w:after="0" w:line="320" w:lineRule="atLeast"/>
              <w:ind w:left="60" w:right="60"/>
              <w:rPr>
                <w:rFonts w:cstheme="minorHAnsi"/>
                <w:color w:val="000000"/>
              </w:rPr>
            </w:pPr>
            <w:r w:rsidRPr="000B3455">
              <w:rPr>
                <w:rFonts w:cstheme="minorHAnsi"/>
                <w:color w:val="000000"/>
              </w:rPr>
              <w:t>,196</w:t>
            </w:r>
          </w:p>
        </w:tc>
      </w:tr>
      <w:tr w:rsidR="00CE06C7"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theme="minorHAnsi"/>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theme="minorHAnsi"/>
                <w:color w:val="000000"/>
              </w:rPr>
            </w:pPr>
            <w:r w:rsidRPr="000B3455">
              <w:rPr>
                <w:rFonts w:cstheme="minorHAnsi"/>
                <w:color w:val="000000"/>
              </w:rPr>
              <w:t>D_2007</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-1,566</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3,232</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-,043</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-,485</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,629</w:t>
            </w:r>
          </w:p>
        </w:tc>
        <w:tc>
          <w:tcPr>
            <w:tcW w:w="1013" w:type="dxa"/>
            <w:tcBorders>
              <w:top w:val="nil"/>
              <w:bottom w:val="nil"/>
              <w:right w:val="single" w:sz="16" w:space="0" w:color="000000"/>
            </w:tcBorders>
            <w:shd w:val="clear" w:color="auto" w:fill="FFFFFF"/>
          </w:tcPr>
          <w:p w:rsidR="00CE06C7" w:rsidRPr="000B3455" w:rsidRDefault="00CE06C7" w:rsidP="005C202A">
            <w:pPr>
              <w:autoSpaceDE w:val="0"/>
              <w:autoSpaceDN w:val="0"/>
              <w:adjustRightInd w:val="0"/>
              <w:spacing w:after="0" w:line="320" w:lineRule="atLeast"/>
              <w:ind w:left="60" w:right="60"/>
              <w:rPr>
                <w:rFonts w:cstheme="minorHAnsi"/>
                <w:color w:val="000000"/>
              </w:rPr>
            </w:pPr>
            <w:r w:rsidRPr="000B3455">
              <w:rPr>
                <w:rFonts w:cstheme="minorHAnsi"/>
                <w:color w:val="000000"/>
              </w:rPr>
              <w:t>,315</w:t>
            </w:r>
          </w:p>
        </w:tc>
      </w:tr>
      <w:tr w:rsidR="00CE06C7"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theme="minorHAnsi"/>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theme="minorHAnsi"/>
                <w:color w:val="000000"/>
              </w:rPr>
            </w:pPr>
            <w:r w:rsidRPr="000B3455">
              <w:rPr>
                <w:rFonts w:cstheme="minorHAnsi"/>
                <w:color w:val="000000"/>
              </w:rPr>
              <w:t>LN_ASSETS</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-,784</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,805</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-,111</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-,974</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,332</w:t>
            </w:r>
          </w:p>
        </w:tc>
        <w:tc>
          <w:tcPr>
            <w:tcW w:w="1013" w:type="dxa"/>
            <w:tcBorders>
              <w:top w:val="nil"/>
              <w:bottom w:val="nil"/>
              <w:right w:val="single" w:sz="16" w:space="0" w:color="000000"/>
            </w:tcBorders>
            <w:shd w:val="clear" w:color="auto" w:fill="FFFFFF"/>
          </w:tcPr>
          <w:p w:rsidR="00CE06C7" w:rsidRPr="000B3455" w:rsidRDefault="00CE06C7" w:rsidP="005C202A">
            <w:pPr>
              <w:autoSpaceDE w:val="0"/>
              <w:autoSpaceDN w:val="0"/>
              <w:adjustRightInd w:val="0"/>
              <w:spacing w:after="0" w:line="320" w:lineRule="atLeast"/>
              <w:ind w:left="60" w:right="60"/>
              <w:rPr>
                <w:rFonts w:cstheme="minorHAnsi"/>
                <w:color w:val="000000"/>
              </w:rPr>
            </w:pPr>
            <w:r w:rsidRPr="000B3455">
              <w:rPr>
                <w:rFonts w:cstheme="minorHAnsi"/>
                <w:color w:val="000000"/>
              </w:rPr>
              <w:t>,166</w:t>
            </w:r>
          </w:p>
        </w:tc>
      </w:tr>
      <w:tr w:rsidR="00CE06C7"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theme="minorHAnsi"/>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theme="minorHAnsi"/>
                <w:color w:val="000000"/>
              </w:rPr>
            </w:pPr>
            <w:r w:rsidRPr="000B3455">
              <w:rPr>
                <w:rFonts w:cstheme="minorHAnsi"/>
                <w:color w:val="000000"/>
              </w:rPr>
              <w:t>MTB</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-,395</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,594</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-,054</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-,664</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,508</w:t>
            </w:r>
          </w:p>
        </w:tc>
        <w:tc>
          <w:tcPr>
            <w:tcW w:w="1013" w:type="dxa"/>
            <w:tcBorders>
              <w:top w:val="nil"/>
              <w:bottom w:val="nil"/>
              <w:right w:val="single" w:sz="16" w:space="0" w:color="000000"/>
            </w:tcBorders>
            <w:shd w:val="clear" w:color="auto" w:fill="FFFFFF"/>
          </w:tcPr>
          <w:p w:rsidR="00CE06C7" w:rsidRPr="000B3455" w:rsidRDefault="00CE06C7" w:rsidP="005C202A">
            <w:pPr>
              <w:autoSpaceDE w:val="0"/>
              <w:autoSpaceDN w:val="0"/>
              <w:adjustRightInd w:val="0"/>
              <w:spacing w:after="0" w:line="320" w:lineRule="atLeast"/>
              <w:ind w:left="60" w:right="60"/>
              <w:rPr>
                <w:rFonts w:cstheme="minorHAnsi"/>
                <w:color w:val="000000"/>
              </w:rPr>
            </w:pPr>
            <w:r w:rsidRPr="000B3455">
              <w:rPr>
                <w:rFonts w:cstheme="minorHAnsi"/>
                <w:color w:val="000000"/>
              </w:rPr>
              <w:t>,254</w:t>
            </w:r>
          </w:p>
        </w:tc>
      </w:tr>
      <w:tr w:rsidR="00CE06C7"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theme="minorHAnsi"/>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theme="minorHAnsi"/>
                <w:color w:val="000000"/>
              </w:rPr>
            </w:pPr>
            <w:r w:rsidRPr="000B3455">
              <w:rPr>
                <w:rFonts w:cstheme="minorHAnsi"/>
                <w:color w:val="000000"/>
              </w:rPr>
              <w:t>RET</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-,054</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,029</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-,154</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-1,833</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,069</w:t>
            </w:r>
          </w:p>
        </w:tc>
        <w:tc>
          <w:tcPr>
            <w:tcW w:w="1013" w:type="dxa"/>
            <w:tcBorders>
              <w:top w:val="nil"/>
              <w:bottom w:val="nil"/>
              <w:right w:val="single" w:sz="16" w:space="0" w:color="000000"/>
            </w:tcBorders>
            <w:shd w:val="clear" w:color="auto" w:fill="FFFFFF"/>
          </w:tcPr>
          <w:p w:rsidR="00CE06C7" w:rsidRPr="000B3455" w:rsidRDefault="00CE06C7" w:rsidP="005C202A">
            <w:pPr>
              <w:autoSpaceDE w:val="0"/>
              <w:autoSpaceDN w:val="0"/>
              <w:adjustRightInd w:val="0"/>
              <w:spacing w:after="0" w:line="320" w:lineRule="atLeast"/>
              <w:ind w:left="60" w:right="60"/>
              <w:rPr>
                <w:rFonts w:cstheme="minorHAnsi"/>
                <w:color w:val="000000"/>
              </w:rPr>
            </w:pPr>
            <w:r w:rsidRPr="000B3455">
              <w:rPr>
                <w:rFonts w:cstheme="minorHAnsi"/>
                <w:color w:val="000000"/>
              </w:rPr>
              <w:t>,035</w:t>
            </w:r>
            <w:r w:rsidR="005C202A">
              <w:rPr>
                <w:rFonts w:cstheme="minorHAnsi"/>
                <w:color w:val="000000"/>
              </w:rPr>
              <w:t>**</w:t>
            </w:r>
          </w:p>
        </w:tc>
      </w:tr>
      <w:tr w:rsidR="00CE06C7"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theme="minorHAnsi"/>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theme="minorHAnsi"/>
                <w:color w:val="000000"/>
              </w:rPr>
            </w:pPr>
            <w:r w:rsidRPr="000B3455">
              <w:rPr>
                <w:rFonts w:cstheme="minorHAnsi"/>
                <w:color w:val="000000"/>
              </w:rPr>
              <w:t>VOL</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-,131</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,124</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-,088</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-1,052</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,294</w:t>
            </w:r>
          </w:p>
        </w:tc>
        <w:tc>
          <w:tcPr>
            <w:tcW w:w="1013" w:type="dxa"/>
            <w:tcBorders>
              <w:top w:val="nil"/>
              <w:bottom w:val="nil"/>
              <w:right w:val="single" w:sz="16" w:space="0" w:color="000000"/>
            </w:tcBorders>
            <w:shd w:val="clear" w:color="auto" w:fill="FFFFFF"/>
          </w:tcPr>
          <w:p w:rsidR="00CE06C7" w:rsidRPr="000B3455" w:rsidRDefault="00CE06C7" w:rsidP="005C202A">
            <w:pPr>
              <w:autoSpaceDE w:val="0"/>
              <w:autoSpaceDN w:val="0"/>
              <w:adjustRightInd w:val="0"/>
              <w:spacing w:after="0" w:line="320" w:lineRule="atLeast"/>
              <w:ind w:left="60" w:right="60"/>
              <w:rPr>
                <w:rFonts w:cstheme="minorHAnsi"/>
                <w:color w:val="000000"/>
              </w:rPr>
            </w:pPr>
            <w:r w:rsidRPr="000B3455">
              <w:rPr>
                <w:rFonts w:cstheme="minorHAnsi"/>
                <w:color w:val="000000"/>
              </w:rPr>
              <w:t>,147</w:t>
            </w:r>
          </w:p>
        </w:tc>
      </w:tr>
      <w:tr w:rsidR="00CE06C7"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theme="minorHAnsi"/>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theme="minorHAnsi"/>
                <w:color w:val="000000"/>
              </w:rPr>
            </w:pPr>
            <w:r w:rsidRPr="000B3455">
              <w:rPr>
                <w:rFonts w:cstheme="minorHAnsi"/>
                <w:color w:val="000000"/>
              </w:rPr>
              <w:t>BOA_SIZE</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1,528</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,916</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,151</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1,668</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,097</w:t>
            </w:r>
          </w:p>
        </w:tc>
        <w:tc>
          <w:tcPr>
            <w:tcW w:w="1013" w:type="dxa"/>
            <w:tcBorders>
              <w:top w:val="nil"/>
              <w:bottom w:val="nil"/>
              <w:right w:val="single" w:sz="16" w:space="0" w:color="000000"/>
            </w:tcBorders>
            <w:shd w:val="clear" w:color="auto" w:fill="FFFFFF"/>
          </w:tcPr>
          <w:p w:rsidR="00CE06C7" w:rsidRPr="000B3455" w:rsidRDefault="00CE06C7" w:rsidP="005C202A">
            <w:pPr>
              <w:autoSpaceDE w:val="0"/>
              <w:autoSpaceDN w:val="0"/>
              <w:adjustRightInd w:val="0"/>
              <w:spacing w:after="0" w:line="320" w:lineRule="atLeast"/>
              <w:ind w:left="60" w:right="60"/>
              <w:rPr>
                <w:rFonts w:cstheme="minorHAnsi"/>
                <w:color w:val="000000"/>
              </w:rPr>
            </w:pPr>
            <w:r w:rsidRPr="000B3455">
              <w:rPr>
                <w:rFonts w:cstheme="minorHAnsi"/>
                <w:color w:val="000000"/>
              </w:rPr>
              <w:t>,049</w:t>
            </w:r>
            <w:r w:rsidR="005C202A">
              <w:rPr>
                <w:rFonts w:cstheme="minorHAnsi"/>
                <w:color w:val="000000"/>
              </w:rPr>
              <w:t>**</w:t>
            </w:r>
          </w:p>
        </w:tc>
      </w:tr>
      <w:tr w:rsidR="00CE06C7"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theme="minorHAnsi"/>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theme="minorHAnsi"/>
                <w:color w:val="000000"/>
              </w:rPr>
            </w:pPr>
            <w:r w:rsidRPr="000B3455">
              <w:rPr>
                <w:rFonts w:cstheme="minorHAnsi"/>
                <w:color w:val="000000"/>
              </w:rPr>
              <w:t>LIQ_CON</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11,521</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13,162</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,070</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,875</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,383</w:t>
            </w:r>
          </w:p>
        </w:tc>
        <w:tc>
          <w:tcPr>
            <w:tcW w:w="1013" w:type="dxa"/>
            <w:tcBorders>
              <w:top w:val="nil"/>
              <w:bottom w:val="nil"/>
              <w:right w:val="single" w:sz="16" w:space="0" w:color="000000"/>
            </w:tcBorders>
            <w:shd w:val="clear" w:color="auto" w:fill="FFFFFF"/>
          </w:tcPr>
          <w:p w:rsidR="00CE06C7" w:rsidRPr="000B3455" w:rsidRDefault="00CE06C7" w:rsidP="005C202A">
            <w:pPr>
              <w:autoSpaceDE w:val="0"/>
              <w:autoSpaceDN w:val="0"/>
              <w:adjustRightInd w:val="0"/>
              <w:spacing w:after="0" w:line="320" w:lineRule="atLeast"/>
              <w:ind w:left="60" w:right="60"/>
              <w:rPr>
                <w:rFonts w:cstheme="minorHAnsi"/>
                <w:color w:val="000000"/>
              </w:rPr>
            </w:pPr>
            <w:r w:rsidRPr="000B3455">
              <w:rPr>
                <w:rFonts w:cstheme="minorHAnsi"/>
                <w:color w:val="000000"/>
              </w:rPr>
              <w:t>,192</w:t>
            </w:r>
          </w:p>
        </w:tc>
      </w:tr>
      <w:tr w:rsidR="00CE06C7"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theme="minorHAnsi"/>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theme="minorHAnsi"/>
                <w:color w:val="000000"/>
              </w:rPr>
            </w:pPr>
            <w:r w:rsidRPr="000B3455">
              <w:rPr>
                <w:rFonts w:cstheme="minorHAnsi"/>
                <w:color w:val="000000"/>
              </w:rPr>
              <w:t>IND_D_MINING</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-3,969</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6,449</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-,047</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-,615</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,539</w:t>
            </w:r>
          </w:p>
        </w:tc>
        <w:tc>
          <w:tcPr>
            <w:tcW w:w="1013" w:type="dxa"/>
            <w:tcBorders>
              <w:top w:val="nil"/>
              <w:bottom w:val="nil"/>
              <w:right w:val="single" w:sz="16" w:space="0" w:color="000000"/>
            </w:tcBorders>
            <w:shd w:val="clear" w:color="auto" w:fill="FFFFFF"/>
          </w:tcPr>
          <w:p w:rsidR="00CE06C7" w:rsidRPr="000B3455" w:rsidRDefault="00CE06C7" w:rsidP="005C202A">
            <w:pPr>
              <w:autoSpaceDE w:val="0"/>
              <w:autoSpaceDN w:val="0"/>
              <w:adjustRightInd w:val="0"/>
              <w:spacing w:after="0" w:line="320" w:lineRule="atLeast"/>
              <w:ind w:left="60" w:right="60"/>
              <w:rPr>
                <w:rFonts w:cstheme="minorHAnsi"/>
                <w:color w:val="000000"/>
              </w:rPr>
            </w:pPr>
            <w:r w:rsidRPr="000B3455">
              <w:rPr>
                <w:rFonts w:cstheme="minorHAnsi"/>
                <w:color w:val="000000"/>
              </w:rPr>
              <w:t>,270</w:t>
            </w:r>
          </w:p>
        </w:tc>
      </w:tr>
      <w:tr w:rsidR="00CE06C7"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theme="minorHAnsi"/>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theme="minorHAnsi"/>
                <w:color w:val="000000"/>
              </w:rPr>
            </w:pPr>
            <w:r w:rsidRPr="000B3455">
              <w:rPr>
                <w:rFonts w:cstheme="minorHAnsi"/>
                <w:color w:val="000000"/>
              </w:rPr>
              <w:t>IND_D_CONSTR</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-,055</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6,035</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-,001</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-,009</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,993</w:t>
            </w:r>
          </w:p>
        </w:tc>
        <w:tc>
          <w:tcPr>
            <w:tcW w:w="1013" w:type="dxa"/>
            <w:tcBorders>
              <w:top w:val="nil"/>
              <w:bottom w:val="nil"/>
              <w:right w:val="single" w:sz="16" w:space="0" w:color="000000"/>
            </w:tcBorders>
            <w:shd w:val="clear" w:color="auto" w:fill="FFFFFF"/>
          </w:tcPr>
          <w:p w:rsidR="00CE06C7" w:rsidRPr="000B3455" w:rsidRDefault="00CE06C7" w:rsidP="005C202A">
            <w:pPr>
              <w:autoSpaceDE w:val="0"/>
              <w:autoSpaceDN w:val="0"/>
              <w:adjustRightInd w:val="0"/>
              <w:spacing w:after="0" w:line="320" w:lineRule="atLeast"/>
              <w:ind w:left="60" w:right="60"/>
              <w:rPr>
                <w:rFonts w:cstheme="minorHAnsi"/>
                <w:color w:val="000000"/>
              </w:rPr>
            </w:pPr>
            <w:r w:rsidRPr="000B3455">
              <w:rPr>
                <w:rFonts w:cstheme="minorHAnsi"/>
                <w:color w:val="000000"/>
              </w:rPr>
              <w:t>,497</w:t>
            </w:r>
          </w:p>
        </w:tc>
      </w:tr>
      <w:tr w:rsidR="00CE06C7"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theme="minorHAnsi"/>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theme="minorHAnsi"/>
                <w:color w:val="000000"/>
              </w:rPr>
            </w:pPr>
            <w:r w:rsidRPr="000B3455">
              <w:rPr>
                <w:rFonts w:cstheme="minorHAnsi"/>
                <w:color w:val="000000"/>
              </w:rPr>
              <w:t>IND_D_TRANS_COMM_ELE_GAS_SAN_SERV</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3,617</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4,484</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,059</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,807</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,421</w:t>
            </w:r>
          </w:p>
        </w:tc>
        <w:tc>
          <w:tcPr>
            <w:tcW w:w="1013" w:type="dxa"/>
            <w:tcBorders>
              <w:top w:val="nil"/>
              <w:bottom w:val="nil"/>
              <w:right w:val="single" w:sz="16" w:space="0" w:color="000000"/>
            </w:tcBorders>
            <w:shd w:val="clear" w:color="auto" w:fill="FFFFFF"/>
          </w:tcPr>
          <w:p w:rsidR="00CE06C7" w:rsidRPr="000B3455" w:rsidRDefault="00CE06C7" w:rsidP="005C202A">
            <w:pPr>
              <w:autoSpaceDE w:val="0"/>
              <w:autoSpaceDN w:val="0"/>
              <w:adjustRightInd w:val="0"/>
              <w:spacing w:after="0" w:line="320" w:lineRule="atLeast"/>
              <w:ind w:left="60" w:right="60"/>
              <w:rPr>
                <w:rFonts w:cstheme="minorHAnsi"/>
                <w:color w:val="000000"/>
              </w:rPr>
            </w:pPr>
            <w:r w:rsidRPr="000B3455">
              <w:rPr>
                <w:rFonts w:cstheme="minorHAnsi"/>
                <w:color w:val="000000"/>
              </w:rPr>
              <w:t>,211</w:t>
            </w:r>
          </w:p>
        </w:tc>
      </w:tr>
      <w:tr w:rsidR="00CE06C7"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theme="minorHAnsi"/>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theme="minorHAnsi"/>
                <w:color w:val="000000"/>
              </w:rPr>
            </w:pPr>
            <w:r w:rsidRPr="000B3455">
              <w:rPr>
                <w:rFonts w:cstheme="minorHAnsi"/>
                <w:color w:val="000000"/>
              </w:rPr>
              <w:t>IND_D_WHOLESALE</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-2,046</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4,318</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-,033</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-,474</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,636</w:t>
            </w:r>
          </w:p>
        </w:tc>
        <w:tc>
          <w:tcPr>
            <w:tcW w:w="1013" w:type="dxa"/>
            <w:tcBorders>
              <w:top w:val="nil"/>
              <w:bottom w:val="nil"/>
              <w:right w:val="single" w:sz="16" w:space="0" w:color="000000"/>
            </w:tcBorders>
            <w:shd w:val="clear" w:color="auto" w:fill="FFFFFF"/>
          </w:tcPr>
          <w:p w:rsidR="00CE06C7" w:rsidRPr="000B3455" w:rsidRDefault="00CE06C7" w:rsidP="005C202A">
            <w:pPr>
              <w:autoSpaceDE w:val="0"/>
              <w:autoSpaceDN w:val="0"/>
              <w:adjustRightInd w:val="0"/>
              <w:spacing w:after="0" w:line="320" w:lineRule="atLeast"/>
              <w:ind w:left="60" w:right="60"/>
              <w:rPr>
                <w:rFonts w:cstheme="minorHAnsi"/>
                <w:color w:val="000000"/>
              </w:rPr>
            </w:pPr>
            <w:r w:rsidRPr="000B3455">
              <w:rPr>
                <w:rFonts w:cstheme="minorHAnsi"/>
                <w:color w:val="000000"/>
              </w:rPr>
              <w:t>,318</w:t>
            </w:r>
          </w:p>
        </w:tc>
      </w:tr>
      <w:tr w:rsidR="00CE06C7"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theme="minorHAnsi"/>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theme="minorHAnsi"/>
                <w:color w:val="000000"/>
              </w:rPr>
            </w:pPr>
            <w:r w:rsidRPr="000B3455">
              <w:rPr>
                <w:rFonts w:cstheme="minorHAnsi"/>
                <w:color w:val="000000"/>
              </w:rPr>
              <w:t>IND_D_RETAIL</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,444</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3,712</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,009</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,120</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,905</w:t>
            </w:r>
          </w:p>
        </w:tc>
        <w:tc>
          <w:tcPr>
            <w:tcW w:w="1013" w:type="dxa"/>
            <w:tcBorders>
              <w:top w:val="nil"/>
              <w:bottom w:val="nil"/>
              <w:right w:val="single" w:sz="16" w:space="0" w:color="000000"/>
            </w:tcBorders>
            <w:shd w:val="clear" w:color="auto" w:fill="FFFFFF"/>
          </w:tcPr>
          <w:p w:rsidR="00CE06C7" w:rsidRPr="000B3455" w:rsidRDefault="00CE06C7" w:rsidP="005C202A">
            <w:pPr>
              <w:autoSpaceDE w:val="0"/>
              <w:autoSpaceDN w:val="0"/>
              <w:adjustRightInd w:val="0"/>
              <w:spacing w:after="0" w:line="320" w:lineRule="atLeast"/>
              <w:ind w:left="60" w:right="60"/>
              <w:rPr>
                <w:rFonts w:cstheme="minorHAnsi"/>
                <w:color w:val="000000"/>
              </w:rPr>
            </w:pPr>
            <w:r w:rsidRPr="000B3455">
              <w:rPr>
                <w:rFonts w:cstheme="minorHAnsi"/>
                <w:color w:val="000000"/>
              </w:rPr>
              <w:t>,453</w:t>
            </w:r>
          </w:p>
        </w:tc>
      </w:tr>
      <w:tr w:rsidR="00CE06C7"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theme="minorHAnsi"/>
                <w:color w:val="000000"/>
              </w:rPr>
            </w:pPr>
          </w:p>
        </w:tc>
        <w:tc>
          <w:tcPr>
            <w:tcW w:w="243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theme="minorHAnsi"/>
                <w:color w:val="000000"/>
              </w:rPr>
            </w:pPr>
            <w:r w:rsidRPr="000B3455">
              <w:rPr>
                <w:rFonts w:cstheme="minorHAnsi"/>
                <w:color w:val="000000"/>
              </w:rPr>
              <w:t>IND_D_FIN_INS_REAL_EST</w:t>
            </w:r>
          </w:p>
        </w:tc>
        <w:tc>
          <w:tcPr>
            <w:tcW w:w="1327"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-1,726</w:t>
            </w:r>
          </w:p>
        </w:tc>
        <w:tc>
          <w:tcPr>
            <w:tcW w:w="1325"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3,721</w:t>
            </w:r>
          </w:p>
        </w:tc>
        <w:tc>
          <w:tcPr>
            <w:tcW w:w="1459"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-,037</w:t>
            </w:r>
          </w:p>
        </w:tc>
        <w:tc>
          <w:tcPr>
            <w:tcW w:w="1013" w:type="dxa"/>
            <w:tcBorders>
              <w:top w:val="nil"/>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-,464</w:t>
            </w:r>
          </w:p>
        </w:tc>
        <w:tc>
          <w:tcPr>
            <w:tcW w:w="101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,643</w:t>
            </w:r>
          </w:p>
        </w:tc>
        <w:tc>
          <w:tcPr>
            <w:tcW w:w="1013" w:type="dxa"/>
            <w:tcBorders>
              <w:top w:val="nil"/>
              <w:bottom w:val="nil"/>
              <w:right w:val="single" w:sz="16" w:space="0" w:color="000000"/>
            </w:tcBorders>
            <w:shd w:val="clear" w:color="auto" w:fill="FFFFFF"/>
          </w:tcPr>
          <w:p w:rsidR="00CE06C7" w:rsidRPr="000B3455" w:rsidRDefault="00CE06C7" w:rsidP="005C202A">
            <w:pPr>
              <w:autoSpaceDE w:val="0"/>
              <w:autoSpaceDN w:val="0"/>
              <w:adjustRightInd w:val="0"/>
              <w:spacing w:after="0" w:line="320" w:lineRule="atLeast"/>
              <w:ind w:left="60" w:right="60"/>
              <w:rPr>
                <w:rFonts w:cstheme="minorHAnsi"/>
                <w:color w:val="000000"/>
              </w:rPr>
            </w:pPr>
            <w:r w:rsidRPr="000B3455">
              <w:rPr>
                <w:rFonts w:cstheme="minorHAnsi"/>
                <w:color w:val="000000"/>
              </w:rPr>
              <w:t>,322</w:t>
            </w:r>
          </w:p>
        </w:tc>
      </w:tr>
      <w:tr w:rsidR="00CE06C7" w:rsidRPr="000B3455" w:rsidTr="005C202A">
        <w:trPr>
          <w:cantSplit/>
          <w:tblHeader/>
        </w:trPr>
        <w:tc>
          <w:tcPr>
            <w:tcW w:w="730" w:type="dxa"/>
            <w:vMerge/>
            <w:tcBorders>
              <w:top w:val="single" w:sz="16" w:space="0" w:color="000000"/>
              <w:left w:val="single" w:sz="16" w:space="0" w:color="000000"/>
              <w:bottom w:val="single" w:sz="16" w:space="0" w:color="000000"/>
              <w:right w:val="nil"/>
            </w:tcBorders>
            <w:shd w:val="clear" w:color="auto" w:fill="FFFFFF"/>
          </w:tcPr>
          <w:p w:rsidR="00CE06C7" w:rsidRPr="000B3455" w:rsidRDefault="00CE06C7" w:rsidP="00AB4FD8">
            <w:pPr>
              <w:autoSpaceDE w:val="0"/>
              <w:autoSpaceDN w:val="0"/>
              <w:adjustRightInd w:val="0"/>
              <w:spacing w:after="0" w:line="240" w:lineRule="auto"/>
              <w:rPr>
                <w:rFonts w:cstheme="minorHAnsi"/>
                <w:color w:val="000000"/>
              </w:rPr>
            </w:pPr>
          </w:p>
        </w:tc>
        <w:tc>
          <w:tcPr>
            <w:tcW w:w="2433" w:type="dxa"/>
            <w:tcBorders>
              <w:top w:val="nil"/>
              <w:left w:val="nil"/>
              <w:bottom w:val="single" w:sz="16" w:space="0" w:color="000000"/>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theme="minorHAnsi"/>
                <w:color w:val="000000"/>
              </w:rPr>
            </w:pPr>
            <w:r w:rsidRPr="000B3455">
              <w:rPr>
                <w:rFonts w:cstheme="minorHAnsi"/>
                <w:color w:val="000000"/>
              </w:rPr>
              <w:t>IND_D_SERVICES</w:t>
            </w:r>
          </w:p>
        </w:tc>
        <w:tc>
          <w:tcPr>
            <w:tcW w:w="1327" w:type="dxa"/>
            <w:tcBorders>
              <w:top w:val="nil"/>
              <w:left w:val="single" w:sz="16" w:space="0" w:color="000000"/>
              <w:bottom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2,673</w:t>
            </w:r>
          </w:p>
        </w:tc>
        <w:tc>
          <w:tcPr>
            <w:tcW w:w="1325" w:type="dxa"/>
            <w:tcBorders>
              <w:top w:val="nil"/>
              <w:bottom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2,937</w:t>
            </w:r>
          </w:p>
        </w:tc>
        <w:tc>
          <w:tcPr>
            <w:tcW w:w="1459" w:type="dxa"/>
            <w:tcBorders>
              <w:top w:val="nil"/>
              <w:bottom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,079</w:t>
            </w:r>
          </w:p>
        </w:tc>
        <w:tc>
          <w:tcPr>
            <w:tcW w:w="1013" w:type="dxa"/>
            <w:tcBorders>
              <w:top w:val="nil"/>
              <w:bottom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,910</w:t>
            </w:r>
          </w:p>
        </w:tc>
        <w:tc>
          <w:tcPr>
            <w:tcW w:w="1013" w:type="dxa"/>
            <w:tcBorders>
              <w:top w:val="nil"/>
              <w:bottom w:val="single" w:sz="16" w:space="0" w:color="000000"/>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theme="minorHAnsi"/>
                <w:color w:val="000000"/>
              </w:rPr>
            </w:pPr>
            <w:r w:rsidRPr="000B3455">
              <w:rPr>
                <w:rFonts w:cstheme="minorHAnsi"/>
                <w:color w:val="000000"/>
              </w:rPr>
              <w:t>,364</w:t>
            </w:r>
          </w:p>
        </w:tc>
        <w:tc>
          <w:tcPr>
            <w:tcW w:w="1013" w:type="dxa"/>
            <w:tcBorders>
              <w:top w:val="nil"/>
              <w:bottom w:val="single" w:sz="16" w:space="0" w:color="000000"/>
              <w:right w:val="single" w:sz="16" w:space="0" w:color="000000"/>
            </w:tcBorders>
            <w:shd w:val="clear" w:color="auto" w:fill="FFFFFF"/>
          </w:tcPr>
          <w:p w:rsidR="00CE06C7" w:rsidRPr="000B3455" w:rsidRDefault="00CE06C7" w:rsidP="005C202A">
            <w:pPr>
              <w:autoSpaceDE w:val="0"/>
              <w:autoSpaceDN w:val="0"/>
              <w:adjustRightInd w:val="0"/>
              <w:spacing w:after="0" w:line="320" w:lineRule="atLeast"/>
              <w:ind w:left="60" w:right="60"/>
              <w:rPr>
                <w:rFonts w:cstheme="minorHAnsi"/>
                <w:color w:val="000000"/>
              </w:rPr>
            </w:pPr>
            <w:r w:rsidRPr="000B3455">
              <w:rPr>
                <w:rFonts w:cstheme="minorHAnsi"/>
                <w:color w:val="000000"/>
              </w:rPr>
              <w:t>,182</w:t>
            </w:r>
          </w:p>
        </w:tc>
      </w:tr>
      <w:tr w:rsidR="00CE06C7" w:rsidRPr="000B3455" w:rsidTr="00AB4FD8">
        <w:trPr>
          <w:cantSplit/>
        </w:trPr>
        <w:tc>
          <w:tcPr>
            <w:tcW w:w="9300" w:type="dxa"/>
            <w:gridSpan w:val="7"/>
            <w:tcBorders>
              <w:top w:val="nil"/>
              <w:left w:val="nil"/>
              <w:bottom w:val="nil"/>
              <w:right w:val="nil"/>
            </w:tcBorders>
            <w:shd w:val="clear" w:color="auto" w:fill="FFFFFF"/>
          </w:tcPr>
          <w:p w:rsidR="005C202A" w:rsidRDefault="005C202A" w:rsidP="00AB4FD8">
            <w:pPr>
              <w:autoSpaceDE w:val="0"/>
              <w:autoSpaceDN w:val="0"/>
              <w:adjustRightInd w:val="0"/>
              <w:spacing w:after="0" w:line="320" w:lineRule="atLeast"/>
              <w:ind w:left="60" w:right="60"/>
              <w:rPr>
                <w:rFonts w:cstheme="minorHAnsi"/>
                <w:color w:val="000000"/>
              </w:rPr>
            </w:pPr>
            <w:r w:rsidRPr="00F97730">
              <w:rPr>
                <w:i/>
              </w:rPr>
              <w:t>*,**,*** significant at the 0.1, 0.05 and 0.01 levels (</w:t>
            </w:r>
            <w:r>
              <w:rPr>
                <w:i/>
              </w:rPr>
              <w:t>one</w:t>
            </w:r>
            <w:r w:rsidRPr="00F97730">
              <w:rPr>
                <w:i/>
              </w:rPr>
              <w:t>-tailed).</w:t>
            </w:r>
          </w:p>
          <w:p w:rsidR="00CE06C7" w:rsidRPr="000B3455" w:rsidRDefault="00CE06C7" w:rsidP="00AB4FD8">
            <w:pPr>
              <w:autoSpaceDE w:val="0"/>
              <w:autoSpaceDN w:val="0"/>
              <w:adjustRightInd w:val="0"/>
              <w:spacing w:after="0" w:line="320" w:lineRule="atLeast"/>
              <w:ind w:left="60" w:right="60"/>
              <w:rPr>
                <w:rFonts w:cstheme="minorHAnsi"/>
                <w:color w:val="000000"/>
              </w:rPr>
            </w:pPr>
            <w:r w:rsidRPr="000B3455">
              <w:rPr>
                <w:rFonts w:cstheme="minorHAnsi"/>
                <w:color w:val="000000"/>
              </w:rPr>
              <w:t>a. Dependent Variable: Delta_PR_FIX_SAL_EXCL_MCL</w:t>
            </w:r>
          </w:p>
        </w:tc>
        <w:tc>
          <w:tcPr>
            <w:tcW w:w="1013" w:type="dxa"/>
            <w:tcBorders>
              <w:top w:val="nil"/>
              <w:left w:val="nil"/>
              <w:bottom w:val="nil"/>
              <w:right w:val="nil"/>
            </w:tcBorders>
            <w:shd w:val="clear" w:color="auto" w:fill="FFFFFF"/>
          </w:tcPr>
          <w:p w:rsidR="00CE06C7" w:rsidRPr="000B3455" w:rsidRDefault="00CE06C7" w:rsidP="00AB4FD8">
            <w:pPr>
              <w:autoSpaceDE w:val="0"/>
              <w:autoSpaceDN w:val="0"/>
              <w:adjustRightInd w:val="0"/>
              <w:spacing w:after="0" w:line="320" w:lineRule="atLeast"/>
              <w:ind w:left="60" w:right="60"/>
              <w:rPr>
                <w:rFonts w:cstheme="minorHAnsi"/>
                <w:color w:val="000000"/>
              </w:rPr>
            </w:pPr>
          </w:p>
        </w:tc>
      </w:tr>
    </w:tbl>
    <w:p w:rsidR="003D5369" w:rsidRDefault="002C019F" w:rsidP="002C019F">
      <w:pPr>
        <w:pStyle w:val="Caption"/>
        <w:rPr>
          <w:color w:val="auto"/>
        </w:rPr>
      </w:pPr>
      <w:bookmarkStart w:id="157" w:name="_Ref298858967"/>
      <w:r>
        <w:t xml:space="preserve">Table </w:t>
      </w:r>
      <w:fldSimple w:instr=" SEQ Table \* ARABIC ">
        <w:r w:rsidR="001D5F9A">
          <w:rPr>
            <w:noProof/>
          </w:rPr>
          <w:t>21</w:t>
        </w:r>
      </w:fldSimple>
      <w:bookmarkEnd w:id="157"/>
      <w:r>
        <w:t xml:space="preserve">: </w:t>
      </w:r>
      <w:r w:rsidRPr="002C019F">
        <w:rPr>
          <w:color w:val="auto"/>
        </w:rPr>
        <w:t>SPSS model parameters</w:t>
      </w:r>
    </w:p>
    <w:p w:rsidR="002C019F" w:rsidRPr="002C019F" w:rsidRDefault="00B92B41" w:rsidP="002C019F">
      <w:r>
        <w:br w:type="page"/>
      </w:r>
    </w:p>
    <w:tbl>
      <w:tblPr>
        <w:tblW w:w="5291"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8"/>
        <w:gridCol w:w="2426"/>
        <w:gridCol w:w="1124"/>
        <w:gridCol w:w="1013"/>
      </w:tblGrid>
      <w:tr w:rsidR="00D30463" w:rsidRPr="000B3455" w:rsidTr="00D30463">
        <w:trPr>
          <w:cantSplit/>
          <w:tblHeader/>
        </w:trPr>
        <w:tc>
          <w:tcPr>
            <w:tcW w:w="3154"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rPr>
                <w:rFonts w:cs="Arial"/>
                <w:color w:val="000000"/>
              </w:rPr>
            </w:pPr>
            <w:r w:rsidRPr="000B3455">
              <w:rPr>
                <w:rFonts w:cs="Arial"/>
                <w:color w:val="000000"/>
              </w:rPr>
              <w:lastRenderedPageBreak/>
              <w:t>Model</w:t>
            </w:r>
          </w:p>
        </w:tc>
        <w:tc>
          <w:tcPr>
            <w:tcW w:w="2137" w:type="dxa"/>
            <w:gridSpan w:val="2"/>
            <w:tcBorders>
              <w:top w:val="single" w:sz="16" w:space="0" w:color="000000"/>
              <w:right w:val="single" w:sz="16" w:space="0" w:color="000000"/>
            </w:tcBorders>
            <w:shd w:val="clear" w:color="auto" w:fill="FFFFFF"/>
            <w:vAlign w:val="bottom"/>
          </w:tcPr>
          <w:p w:rsidR="00D30463" w:rsidRPr="000B3455" w:rsidRDefault="00D30463" w:rsidP="00812CEE">
            <w:pPr>
              <w:autoSpaceDE w:val="0"/>
              <w:autoSpaceDN w:val="0"/>
              <w:adjustRightInd w:val="0"/>
              <w:spacing w:after="0" w:line="320" w:lineRule="atLeast"/>
              <w:ind w:left="60" w:right="60"/>
              <w:jc w:val="center"/>
              <w:rPr>
                <w:rFonts w:cs="Arial"/>
                <w:color w:val="000000"/>
              </w:rPr>
            </w:pPr>
            <w:r w:rsidRPr="000B3455">
              <w:rPr>
                <w:rFonts w:cs="Arial"/>
                <w:color w:val="000000"/>
              </w:rPr>
              <w:t>Collinearity Statistics</w:t>
            </w:r>
          </w:p>
        </w:tc>
      </w:tr>
      <w:tr w:rsidR="00D30463" w:rsidRPr="000B3455" w:rsidTr="00D30463">
        <w:trPr>
          <w:cantSplit/>
          <w:tblHeader/>
        </w:trPr>
        <w:tc>
          <w:tcPr>
            <w:tcW w:w="3154" w:type="dxa"/>
            <w:gridSpan w:val="2"/>
            <w:vMerge/>
            <w:tcBorders>
              <w:top w:val="single" w:sz="16" w:space="0" w:color="000000"/>
              <w:left w:val="single" w:sz="16" w:space="0" w:color="000000"/>
              <w:bottom w:val="single" w:sz="16" w:space="0" w:color="000000"/>
              <w:right w:val="single" w:sz="16" w:space="0" w:color="000000"/>
            </w:tcBorders>
            <w:shd w:val="clear" w:color="auto" w:fill="FFFFFF"/>
          </w:tcPr>
          <w:p w:rsidR="00D30463" w:rsidRPr="000B3455" w:rsidRDefault="00D30463" w:rsidP="00812CEE">
            <w:pPr>
              <w:autoSpaceDE w:val="0"/>
              <w:autoSpaceDN w:val="0"/>
              <w:adjustRightInd w:val="0"/>
              <w:spacing w:after="0" w:line="240" w:lineRule="auto"/>
              <w:rPr>
                <w:rFonts w:cs="Arial"/>
                <w:color w:val="000000"/>
              </w:rPr>
            </w:pPr>
          </w:p>
        </w:tc>
        <w:tc>
          <w:tcPr>
            <w:tcW w:w="1124" w:type="dxa"/>
            <w:tcBorders>
              <w:bottom w:val="single" w:sz="16" w:space="0" w:color="000000"/>
            </w:tcBorders>
            <w:shd w:val="clear" w:color="auto" w:fill="FFFFFF"/>
            <w:vAlign w:val="bottom"/>
          </w:tcPr>
          <w:p w:rsidR="00D30463" w:rsidRPr="000B3455" w:rsidRDefault="00D30463" w:rsidP="00812CEE">
            <w:pPr>
              <w:autoSpaceDE w:val="0"/>
              <w:autoSpaceDN w:val="0"/>
              <w:adjustRightInd w:val="0"/>
              <w:spacing w:after="0" w:line="320" w:lineRule="atLeast"/>
              <w:ind w:left="60" w:right="60"/>
              <w:jc w:val="center"/>
              <w:rPr>
                <w:rFonts w:cs="Arial"/>
                <w:color w:val="000000"/>
              </w:rPr>
            </w:pPr>
            <w:r w:rsidRPr="000B3455">
              <w:rPr>
                <w:rFonts w:cs="Arial"/>
                <w:color w:val="000000"/>
              </w:rPr>
              <w:t>Tolerance</w:t>
            </w:r>
          </w:p>
        </w:tc>
        <w:tc>
          <w:tcPr>
            <w:tcW w:w="1013" w:type="dxa"/>
            <w:tcBorders>
              <w:bottom w:val="single" w:sz="16" w:space="0" w:color="000000"/>
              <w:right w:val="single" w:sz="16" w:space="0" w:color="000000"/>
            </w:tcBorders>
            <w:shd w:val="clear" w:color="auto" w:fill="FFFFFF"/>
            <w:vAlign w:val="bottom"/>
          </w:tcPr>
          <w:p w:rsidR="00D30463" w:rsidRPr="000B3455" w:rsidRDefault="00D30463" w:rsidP="00812CEE">
            <w:pPr>
              <w:autoSpaceDE w:val="0"/>
              <w:autoSpaceDN w:val="0"/>
              <w:adjustRightInd w:val="0"/>
              <w:spacing w:after="0" w:line="320" w:lineRule="atLeast"/>
              <w:ind w:left="60" w:right="60"/>
              <w:jc w:val="center"/>
              <w:rPr>
                <w:rFonts w:cs="Arial"/>
                <w:color w:val="000000"/>
              </w:rPr>
            </w:pPr>
            <w:r w:rsidRPr="000B3455">
              <w:rPr>
                <w:rFonts w:cs="Arial"/>
                <w:color w:val="000000"/>
              </w:rPr>
              <w:t>VIF</w:t>
            </w:r>
          </w:p>
        </w:tc>
      </w:tr>
      <w:tr w:rsidR="00D30463" w:rsidRPr="000B3455" w:rsidTr="00D30463">
        <w:trPr>
          <w:cantSplit/>
          <w:tblHeader/>
        </w:trPr>
        <w:tc>
          <w:tcPr>
            <w:tcW w:w="728" w:type="dxa"/>
            <w:vMerge w:val="restart"/>
            <w:tcBorders>
              <w:top w:val="single" w:sz="16" w:space="0" w:color="000000"/>
              <w:left w:val="single" w:sz="16" w:space="0" w:color="000000"/>
              <w:bottom w:val="single" w:sz="16" w:space="0" w:color="000000"/>
              <w:right w:val="nil"/>
            </w:tcBorders>
            <w:shd w:val="clear" w:color="auto" w:fill="FFFFFF"/>
          </w:tcPr>
          <w:p w:rsidR="00D30463" w:rsidRPr="000B3455" w:rsidRDefault="00D30463" w:rsidP="00812CEE">
            <w:pPr>
              <w:autoSpaceDE w:val="0"/>
              <w:autoSpaceDN w:val="0"/>
              <w:adjustRightInd w:val="0"/>
              <w:spacing w:after="0" w:line="320" w:lineRule="atLeast"/>
              <w:ind w:left="60" w:right="60"/>
              <w:rPr>
                <w:rFonts w:cs="Arial"/>
                <w:color w:val="000000"/>
              </w:rPr>
            </w:pPr>
            <w:r w:rsidRPr="000B3455">
              <w:rPr>
                <w:rFonts w:cs="Arial"/>
                <w:color w:val="000000"/>
              </w:rPr>
              <w:t>1</w:t>
            </w:r>
          </w:p>
        </w:tc>
        <w:tc>
          <w:tcPr>
            <w:tcW w:w="2426" w:type="dxa"/>
            <w:tcBorders>
              <w:top w:val="single" w:sz="16" w:space="0" w:color="000000"/>
              <w:left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rPr>
                <w:rFonts w:cs="Arial"/>
                <w:color w:val="000000"/>
              </w:rPr>
            </w:pPr>
            <w:r w:rsidRPr="000B3455">
              <w:rPr>
                <w:rFonts w:cs="Arial"/>
                <w:color w:val="000000"/>
              </w:rPr>
              <w:t>(Constant)</w:t>
            </w:r>
          </w:p>
        </w:tc>
        <w:tc>
          <w:tcPr>
            <w:tcW w:w="1124" w:type="dxa"/>
            <w:tcBorders>
              <w:top w:val="single" w:sz="16" w:space="0" w:color="000000"/>
              <w:bottom w:val="nil"/>
            </w:tcBorders>
            <w:shd w:val="clear" w:color="auto" w:fill="FFFFFF"/>
            <w:vAlign w:val="center"/>
          </w:tcPr>
          <w:p w:rsidR="00D30463" w:rsidRPr="000B3455" w:rsidRDefault="00D30463" w:rsidP="00812CEE">
            <w:pPr>
              <w:autoSpaceDE w:val="0"/>
              <w:autoSpaceDN w:val="0"/>
              <w:adjustRightInd w:val="0"/>
              <w:spacing w:after="0" w:line="240" w:lineRule="auto"/>
              <w:jc w:val="center"/>
              <w:rPr>
                <w:rFonts w:cs="Times New Roman"/>
              </w:rPr>
            </w:pPr>
          </w:p>
        </w:tc>
        <w:tc>
          <w:tcPr>
            <w:tcW w:w="1013" w:type="dxa"/>
            <w:tcBorders>
              <w:top w:val="single" w:sz="16" w:space="0" w:color="000000"/>
              <w:bottom w:val="nil"/>
              <w:right w:val="single" w:sz="16" w:space="0" w:color="000000"/>
            </w:tcBorders>
            <w:shd w:val="clear" w:color="auto" w:fill="FFFFFF"/>
            <w:vAlign w:val="center"/>
          </w:tcPr>
          <w:p w:rsidR="00D30463" w:rsidRPr="000B3455" w:rsidRDefault="00D30463" w:rsidP="00812CEE">
            <w:pPr>
              <w:autoSpaceDE w:val="0"/>
              <w:autoSpaceDN w:val="0"/>
              <w:adjustRightInd w:val="0"/>
              <w:spacing w:after="0" w:line="240" w:lineRule="auto"/>
              <w:jc w:val="center"/>
              <w:rPr>
                <w:rFonts w:cs="Times New Roman"/>
              </w:rPr>
            </w:pPr>
          </w:p>
        </w:tc>
      </w:tr>
      <w:tr w:rsidR="00D30463" w:rsidRPr="000B3455" w:rsidTr="00D30463">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D30463" w:rsidRPr="000B3455" w:rsidRDefault="00D30463" w:rsidP="00812CEE">
            <w:pPr>
              <w:autoSpaceDE w:val="0"/>
              <w:autoSpaceDN w:val="0"/>
              <w:adjustRightInd w:val="0"/>
              <w:spacing w:after="0" w:line="240" w:lineRule="auto"/>
              <w:rPr>
                <w:rFonts w:cs="Times New Roman"/>
              </w:rPr>
            </w:pPr>
          </w:p>
        </w:tc>
        <w:tc>
          <w:tcPr>
            <w:tcW w:w="2426" w:type="dxa"/>
            <w:tcBorders>
              <w:top w:val="nil"/>
              <w:left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rPr>
                <w:rFonts w:cs="Arial"/>
                <w:color w:val="000000"/>
              </w:rPr>
            </w:pPr>
            <w:r w:rsidRPr="000B3455">
              <w:rPr>
                <w:rFonts w:cs="Arial"/>
                <w:color w:val="000000"/>
              </w:rPr>
              <w:t>Delta_PR_FV_STO_EXCL_MCL</w:t>
            </w:r>
          </w:p>
        </w:tc>
        <w:tc>
          <w:tcPr>
            <w:tcW w:w="1124" w:type="dxa"/>
            <w:tcBorders>
              <w:top w:val="nil"/>
              <w:bottom w:val="nil"/>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,882</w:t>
            </w:r>
          </w:p>
        </w:tc>
        <w:tc>
          <w:tcPr>
            <w:tcW w:w="1013" w:type="dxa"/>
            <w:tcBorders>
              <w:top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1,134</w:t>
            </w:r>
          </w:p>
        </w:tc>
      </w:tr>
      <w:tr w:rsidR="00D30463" w:rsidRPr="000B3455" w:rsidTr="00D30463">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D30463" w:rsidRPr="000B3455" w:rsidRDefault="00D30463"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rPr>
                <w:rFonts w:cs="Arial"/>
                <w:color w:val="000000"/>
              </w:rPr>
            </w:pPr>
            <w:r w:rsidRPr="000B3455">
              <w:rPr>
                <w:rFonts w:cs="Arial"/>
                <w:color w:val="000000"/>
              </w:rPr>
              <w:t>D_2004</w:t>
            </w:r>
          </w:p>
        </w:tc>
        <w:tc>
          <w:tcPr>
            <w:tcW w:w="1124" w:type="dxa"/>
            <w:tcBorders>
              <w:top w:val="nil"/>
              <w:bottom w:val="nil"/>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,702</w:t>
            </w:r>
          </w:p>
        </w:tc>
        <w:tc>
          <w:tcPr>
            <w:tcW w:w="1013" w:type="dxa"/>
            <w:tcBorders>
              <w:top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1,425</w:t>
            </w:r>
          </w:p>
        </w:tc>
      </w:tr>
      <w:tr w:rsidR="00D30463" w:rsidRPr="000B3455" w:rsidTr="00D30463">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D30463" w:rsidRPr="000B3455" w:rsidRDefault="00D30463"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rPr>
                <w:rFonts w:cs="Arial"/>
                <w:color w:val="000000"/>
              </w:rPr>
            </w:pPr>
            <w:r w:rsidRPr="000B3455">
              <w:rPr>
                <w:rFonts w:cs="Arial"/>
                <w:color w:val="000000"/>
              </w:rPr>
              <w:t>D_2005</w:t>
            </w:r>
          </w:p>
        </w:tc>
        <w:tc>
          <w:tcPr>
            <w:tcW w:w="1124" w:type="dxa"/>
            <w:tcBorders>
              <w:top w:val="nil"/>
              <w:bottom w:val="nil"/>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,628</w:t>
            </w:r>
          </w:p>
        </w:tc>
        <w:tc>
          <w:tcPr>
            <w:tcW w:w="1013" w:type="dxa"/>
            <w:tcBorders>
              <w:top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1,592</w:t>
            </w:r>
          </w:p>
        </w:tc>
      </w:tr>
      <w:tr w:rsidR="00D30463" w:rsidRPr="000B3455" w:rsidTr="00D30463">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D30463" w:rsidRPr="000B3455" w:rsidRDefault="00D30463"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rPr>
                <w:rFonts w:cs="Arial"/>
                <w:color w:val="000000"/>
              </w:rPr>
            </w:pPr>
            <w:r w:rsidRPr="000B3455">
              <w:rPr>
                <w:rFonts w:cs="Arial"/>
                <w:color w:val="000000"/>
              </w:rPr>
              <w:t>D_2006</w:t>
            </w:r>
          </w:p>
        </w:tc>
        <w:tc>
          <w:tcPr>
            <w:tcW w:w="1124" w:type="dxa"/>
            <w:tcBorders>
              <w:top w:val="nil"/>
              <w:bottom w:val="nil"/>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,670</w:t>
            </w:r>
          </w:p>
        </w:tc>
        <w:tc>
          <w:tcPr>
            <w:tcW w:w="1013" w:type="dxa"/>
            <w:tcBorders>
              <w:top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1,492</w:t>
            </w:r>
          </w:p>
        </w:tc>
      </w:tr>
      <w:tr w:rsidR="00D30463" w:rsidRPr="000B3455" w:rsidTr="00D30463">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D30463" w:rsidRPr="000B3455" w:rsidRDefault="00D30463"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rPr>
                <w:rFonts w:cs="Arial"/>
                <w:color w:val="000000"/>
              </w:rPr>
            </w:pPr>
            <w:r w:rsidRPr="000B3455">
              <w:rPr>
                <w:rFonts w:cs="Arial"/>
                <w:color w:val="000000"/>
              </w:rPr>
              <w:t>D_2007</w:t>
            </w:r>
          </w:p>
        </w:tc>
        <w:tc>
          <w:tcPr>
            <w:tcW w:w="1124" w:type="dxa"/>
            <w:tcBorders>
              <w:top w:val="nil"/>
              <w:bottom w:val="nil"/>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,741</w:t>
            </w:r>
          </w:p>
        </w:tc>
        <w:tc>
          <w:tcPr>
            <w:tcW w:w="1013" w:type="dxa"/>
            <w:tcBorders>
              <w:top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1,349</w:t>
            </w:r>
          </w:p>
        </w:tc>
      </w:tr>
      <w:tr w:rsidR="00D30463" w:rsidRPr="000B3455" w:rsidTr="00D30463">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D30463" w:rsidRPr="000B3455" w:rsidRDefault="00D30463"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rPr>
                <w:rFonts w:cs="Arial"/>
                <w:color w:val="000000"/>
              </w:rPr>
            </w:pPr>
            <w:r w:rsidRPr="000B3455">
              <w:rPr>
                <w:rFonts w:cs="Arial"/>
                <w:color w:val="000000"/>
              </w:rPr>
              <w:t>LN_ASSETS</w:t>
            </w:r>
          </w:p>
        </w:tc>
        <w:tc>
          <w:tcPr>
            <w:tcW w:w="1124" w:type="dxa"/>
            <w:tcBorders>
              <w:top w:val="nil"/>
              <w:bottom w:val="nil"/>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,324</w:t>
            </w:r>
          </w:p>
        </w:tc>
        <w:tc>
          <w:tcPr>
            <w:tcW w:w="1013" w:type="dxa"/>
            <w:tcBorders>
              <w:top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3,088</w:t>
            </w:r>
          </w:p>
        </w:tc>
      </w:tr>
      <w:tr w:rsidR="00D30463" w:rsidRPr="000B3455" w:rsidTr="00D30463">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D30463" w:rsidRPr="000B3455" w:rsidRDefault="00D30463"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rPr>
                <w:rFonts w:cs="Arial"/>
                <w:color w:val="000000"/>
              </w:rPr>
            </w:pPr>
            <w:r w:rsidRPr="000B3455">
              <w:rPr>
                <w:rFonts w:cs="Arial"/>
                <w:color w:val="000000"/>
              </w:rPr>
              <w:t>MTB</w:t>
            </w:r>
          </w:p>
        </w:tc>
        <w:tc>
          <w:tcPr>
            <w:tcW w:w="1124" w:type="dxa"/>
            <w:tcBorders>
              <w:top w:val="nil"/>
              <w:bottom w:val="nil"/>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,639</w:t>
            </w:r>
          </w:p>
        </w:tc>
        <w:tc>
          <w:tcPr>
            <w:tcW w:w="1013" w:type="dxa"/>
            <w:tcBorders>
              <w:top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1,565</w:t>
            </w:r>
          </w:p>
        </w:tc>
      </w:tr>
      <w:tr w:rsidR="00D30463" w:rsidRPr="000B3455" w:rsidTr="00D30463">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D30463" w:rsidRPr="000B3455" w:rsidRDefault="00D30463"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rPr>
                <w:rFonts w:cs="Arial"/>
                <w:color w:val="000000"/>
              </w:rPr>
            </w:pPr>
            <w:r w:rsidRPr="000B3455">
              <w:rPr>
                <w:rFonts w:cs="Arial"/>
                <w:color w:val="000000"/>
              </w:rPr>
              <w:t>RET</w:t>
            </w:r>
          </w:p>
        </w:tc>
        <w:tc>
          <w:tcPr>
            <w:tcW w:w="1124" w:type="dxa"/>
            <w:tcBorders>
              <w:top w:val="nil"/>
              <w:bottom w:val="nil"/>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,625</w:t>
            </w:r>
          </w:p>
        </w:tc>
        <w:tc>
          <w:tcPr>
            <w:tcW w:w="1013" w:type="dxa"/>
            <w:tcBorders>
              <w:top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1,600</w:t>
            </w:r>
          </w:p>
        </w:tc>
      </w:tr>
      <w:tr w:rsidR="00D30463" w:rsidRPr="000B3455" w:rsidTr="00D30463">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D30463" w:rsidRPr="000B3455" w:rsidRDefault="00D30463"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rPr>
                <w:rFonts w:cs="Arial"/>
                <w:color w:val="000000"/>
              </w:rPr>
            </w:pPr>
            <w:r w:rsidRPr="000B3455">
              <w:rPr>
                <w:rFonts w:cs="Arial"/>
                <w:color w:val="000000"/>
              </w:rPr>
              <w:t>VOL</w:t>
            </w:r>
          </w:p>
        </w:tc>
        <w:tc>
          <w:tcPr>
            <w:tcW w:w="1124" w:type="dxa"/>
            <w:tcBorders>
              <w:top w:val="nil"/>
              <w:bottom w:val="nil"/>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,643</w:t>
            </w:r>
          </w:p>
        </w:tc>
        <w:tc>
          <w:tcPr>
            <w:tcW w:w="1013" w:type="dxa"/>
            <w:tcBorders>
              <w:top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1,554</w:t>
            </w:r>
          </w:p>
        </w:tc>
      </w:tr>
      <w:tr w:rsidR="00D30463" w:rsidRPr="000B3455" w:rsidTr="00D30463">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D30463" w:rsidRPr="000B3455" w:rsidRDefault="00D30463"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rPr>
                <w:rFonts w:cs="Arial"/>
                <w:color w:val="000000"/>
              </w:rPr>
            </w:pPr>
            <w:r w:rsidRPr="000B3455">
              <w:rPr>
                <w:rFonts w:cs="Arial"/>
                <w:color w:val="000000"/>
              </w:rPr>
              <w:t>BOA_SIZE</w:t>
            </w:r>
          </w:p>
        </w:tc>
        <w:tc>
          <w:tcPr>
            <w:tcW w:w="1124" w:type="dxa"/>
            <w:tcBorders>
              <w:top w:val="nil"/>
              <w:bottom w:val="nil"/>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,490</w:t>
            </w:r>
          </w:p>
        </w:tc>
        <w:tc>
          <w:tcPr>
            <w:tcW w:w="1013" w:type="dxa"/>
            <w:tcBorders>
              <w:top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2,042</w:t>
            </w:r>
          </w:p>
        </w:tc>
      </w:tr>
      <w:tr w:rsidR="00D30463" w:rsidRPr="000B3455" w:rsidTr="00D30463">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D30463" w:rsidRPr="000B3455" w:rsidRDefault="00D30463"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rPr>
                <w:rFonts w:cs="Arial"/>
                <w:color w:val="000000"/>
              </w:rPr>
            </w:pPr>
            <w:r w:rsidRPr="000B3455">
              <w:rPr>
                <w:rFonts w:cs="Arial"/>
                <w:color w:val="000000"/>
              </w:rPr>
              <w:t>LIQ_CON</w:t>
            </w:r>
          </w:p>
        </w:tc>
        <w:tc>
          <w:tcPr>
            <w:tcW w:w="1124" w:type="dxa"/>
            <w:tcBorders>
              <w:top w:val="nil"/>
              <w:bottom w:val="nil"/>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,648</w:t>
            </w:r>
          </w:p>
        </w:tc>
        <w:tc>
          <w:tcPr>
            <w:tcW w:w="1013" w:type="dxa"/>
            <w:tcBorders>
              <w:top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1,543</w:t>
            </w:r>
          </w:p>
        </w:tc>
      </w:tr>
      <w:tr w:rsidR="00D30463" w:rsidRPr="000B3455" w:rsidTr="00D30463">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D30463" w:rsidRPr="000B3455" w:rsidRDefault="00D30463"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rPr>
                <w:rFonts w:cs="Arial"/>
                <w:color w:val="000000"/>
              </w:rPr>
            </w:pPr>
            <w:r w:rsidRPr="000B3455">
              <w:rPr>
                <w:rFonts w:cs="Arial"/>
                <w:color w:val="000000"/>
              </w:rPr>
              <w:t>IND_D_MINING</w:t>
            </w:r>
          </w:p>
        </w:tc>
        <w:tc>
          <w:tcPr>
            <w:tcW w:w="1124" w:type="dxa"/>
            <w:tcBorders>
              <w:top w:val="nil"/>
              <w:bottom w:val="nil"/>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,737</w:t>
            </w:r>
          </w:p>
        </w:tc>
        <w:tc>
          <w:tcPr>
            <w:tcW w:w="1013" w:type="dxa"/>
            <w:tcBorders>
              <w:top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1,357</w:t>
            </w:r>
          </w:p>
        </w:tc>
      </w:tr>
      <w:tr w:rsidR="00D30463" w:rsidRPr="000B3455" w:rsidTr="00D30463">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D30463" w:rsidRPr="000B3455" w:rsidRDefault="00D30463"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rPr>
                <w:rFonts w:cs="Arial"/>
                <w:color w:val="000000"/>
              </w:rPr>
            </w:pPr>
            <w:r w:rsidRPr="000B3455">
              <w:rPr>
                <w:rFonts w:cs="Arial"/>
                <w:color w:val="000000"/>
              </w:rPr>
              <w:t>IND_D_CONSTR</w:t>
            </w:r>
          </w:p>
        </w:tc>
        <w:tc>
          <w:tcPr>
            <w:tcW w:w="1124" w:type="dxa"/>
            <w:tcBorders>
              <w:top w:val="nil"/>
              <w:bottom w:val="nil"/>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,867</w:t>
            </w:r>
          </w:p>
        </w:tc>
        <w:tc>
          <w:tcPr>
            <w:tcW w:w="1013" w:type="dxa"/>
            <w:tcBorders>
              <w:top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1,154</w:t>
            </w:r>
          </w:p>
        </w:tc>
      </w:tr>
      <w:tr w:rsidR="00D30463" w:rsidRPr="000B3455" w:rsidTr="00D30463">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D30463" w:rsidRPr="000B3455" w:rsidRDefault="00D30463"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rPr>
                <w:rFonts w:cs="Arial"/>
                <w:color w:val="000000"/>
              </w:rPr>
            </w:pPr>
            <w:r w:rsidRPr="000B3455">
              <w:rPr>
                <w:rFonts w:cs="Arial"/>
                <w:color w:val="000000"/>
              </w:rPr>
              <w:t>IND_D_TRANS_COMM_ELE_GAS_SAN_SERV</w:t>
            </w:r>
          </w:p>
        </w:tc>
        <w:tc>
          <w:tcPr>
            <w:tcW w:w="1124" w:type="dxa"/>
            <w:tcBorders>
              <w:top w:val="nil"/>
              <w:bottom w:val="nil"/>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,790</w:t>
            </w:r>
          </w:p>
        </w:tc>
        <w:tc>
          <w:tcPr>
            <w:tcW w:w="1013" w:type="dxa"/>
            <w:tcBorders>
              <w:top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1,265</w:t>
            </w:r>
          </w:p>
        </w:tc>
      </w:tr>
      <w:tr w:rsidR="00D30463" w:rsidRPr="000B3455" w:rsidTr="00D30463">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D30463" w:rsidRPr="000B3455" w:rsidRDefault="00D30463"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rPr>
                <w:rFonts w:cs="Arial"/>
                <w:color w:val="000000"/>
              </w:rPr>
            </w:pPr>
            <w:r w:rsidRPr="000B3455">
              <w:rPr>
                <w:rFonts w:cs="Arial"/>
                <w:color w:val="000000"/>
              </w:rPr>
              <w:t>IND_D_WHOLESALE</w:t>
            </w:r>
          </w:p>
        </w:tc>
        <w:tc>
          <w:tcPr>
            <w:tcW w:w="1124" w:type="dxa"/>
            <w:tcBorders>
              <w:top w:val="nil"/>
              <w:bottom w:val="nil"/>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,857</w:t>
            </w:r>
          </w:p>
        </w:tc>
        <w:tc>
          <w:tcPr>
            <w:tcW w:w="1013" w:type="dxa"/>
            <w:tcBorders>
              <w:top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1,166</w:t>
            </w:r>
          </w:p>
        </w:tc>
      </w:tr>
      <w:tr w:rsidR="00D30463" w:rsidRPr="000B3455" w:rsidTr="00D30463">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D30463" w:rsidRPr="000B3455" w:rsidRDefault="00D30463"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rPr>
                <w:rFonts w:cs="Arial"/>
                <w:color w:val="000000"/>
              </w:rPr>
            </w:pPr>
            <w:r w:rsidRPr="000B3455">
              <w:rPr>
                <w:rFonts w:cs="Arial"/>
                <w:color w:val="000000"/>
              </w:rPr>
              <w:t>IND_D_RETAIL</w:t>
            </w:r>
          </w:p>
        </w:tc>
        <w:tc>
          <w:tcPr>
            <w:tcW w:w="1124" w:type="dxa"/>
            <w:tcBorders>
              <w:top w:val="nil"/>
              <w:bottom w:val="nil"/>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,815</w:t>
            </w:r>
          </w:p>
        </w:tc>
        <w:tc>
          <w:tcPr>
            <w:tcW w:w="1013" w:type="dxa"/>
            <w:tcBorders>
              <w:top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1,228</w:t>
            </w:r>
          </w:p>
        </w:tc>
      </w:tr>
      <w:tr w:rsidR="00D30463" w:rsidRPr="000B3455" w:rsidTr="00D30463">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D30463" w:rsidRPr="000B3455" w:rsidRDefault="00D30463"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rPr>
                <w:rFonts w:cs="Arial"/>
                <w:color w:val="000000"/>
              </w:rPr>
            </w:pPr>
            <w:r w:rsidRPr="000B3455">
              <w:rPr>
                <w:rFonts w:cs="Arial"/>
                <w:color w:val="000000"/>
              </w:rPr>
              <w:t>IND_D_FIN_INS_REAL_EST</w:t>
            </w:r>
          </w:p>
        </w:tc>
        <w:tc>
          <w:tcPr>
            <w:tcW w:w="1124" w:type="dxa"/>
            <w:tcBorders>
              <w:top w:val="nil"/>
              <w:bottom w:val="nil"/>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,660</w:t>
            </w:r>
          </w:p>
        </w:tc>
        <w:tc>
          <w:tcPr>
            <w:tcW w:w="1013" w:type="dxa"/>
            <w:tcBorders>
              <w:top w:val="nil"/>
              <w:bottom w:val="nil"/>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1,516</w:t>
            </w:r>
          </w:p>
        </w:tc>
      </w:tr>
      <w:tr w:rsidR="00D30463" w:rsidRPr="000B3455" w:rsidTr="00D30463">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D30463" w:rsidRPr="000B3455" w:rsidRDefault="00D30463" w:rsidP="00812CEE">
            <w:pPr>
              <w:autoSpaceDE w:val="0"/>
              <w:autoSpaceDN w:val="0"/>
              <w:adjustRightInd w:val="0"/>
              <w:spacing w:after="0" w:line="240" w:lineRule="auto"/>
              <w:rPr>
                <w:rFonts w:cs="Arial"/>
                <w:color w:val="000000"/>
              </w:rPr>
            </w:pPr>
          </w:p>
        </w:tc>
        <w:tc>
          <w:tcPr>
            <w:tcW w:w="2426" w:type="dxa"/>
            <w:tcBorders>
              <w:top w:val="nil"/>
              <w:left w:val="nil"/>
              <w:bottom w:val="single" w:sz="16" w:space="0" w:color="000000"/>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rPr>
                <w:rFonts w:cs="Arial"/>
                <w:color w:val="000000"/>
              </w:rPr>
            </w:pPr>
            <w:r w:rsidRPr="000B3455">
              <w:rPr>
                <w:rFonts w:cs="Arial"/>
                <w:color w:val="000000"/>
              </w:rPr>
              <w:t>IND_D_SERVICES</w:t>
            </w:r>
          </w:p>
        </w:tc>
        <w:tc>
          <w:tcPr>
            <w:tcW w:w="1124" w:type="dxa"/>
            <w:tcBorders>
              <w:top w:val="nil"/>
              <w:bottom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,568</w:t>
            </w:r>
          </w:p>
        </w:tc>
        <w:tc>
          <w:tcPr>
            <w:tcW w:w="1013" w:type="dxa"/>
            <w:tcBorders>
              <w:top w:val="nil"/>
              <w:bottom w:val="single" w:sz="16" w:space="0" w:color="000000"/>
              <w:right w:val="single" w:sz="16" w:space="0" w:color="000000"/>
            </w:tcBorders>
            <w:shd w:val="clear" w:color="auto" w:fill="FFFFFF"/>
          </w:tcPr>
          <w:p w:rsidR="00D30463" w:rsidRPr="000B3455" w:rsidRDefault="00D30463" w:rsidP="00812CEE">
            <w:pPr>
              <w:autoSpaceDE w:val="0"/>
              <w:autoSpaceDN w:val="0"/>
              <w:adjustRightInd w:val="0"/>
              <w:spacing w:after="0" w:line="320" w:lineRule="atLeast"/>
              <w:ind w:left="60" w:right="60"/>
              <w:jc w:val="right"/>
              <w:rPr>
                <w:rFonts w:cs="Arial"/>
                <w:color w:val="000000"/>
              </w:rPr>
            </w:pPr>
            <w:r w:rsidRPr="000B3455">
              <w:rPr>
                <w:rFonts w:cs="Arial"/>
                <w:color w:val="000000"/>
              </w:rPr>
              <w:t>1,761</w:t>
            </w:r>
          </w:p>
        </w:tc>
      </w:tr>
    </w:tbl>
    <w:p w:rsidR="00D30463" w:rsidRPr="000B3455" w:rsidRDefault="002C019F" w:rsidP="002C019F">
      <w:pPr>
        <w:pStyle w:val="Caption"/>
        <w:rPr>
          <w:rFonts w:cs="Times New Roman"/>
          <w:b w:val="0"/>
        </w:rPr>
      </w:pPr>
      <w:bookmarkStart w:id="158" w:name="_Ref298858851"/>
      <w:bookmarkStart w:id="159" w:name="_Ref298858835"/>
      <w:r>
        <w:t xml:space="preserve">Table </w:t>
      </w:r>
      <w:fldSimple w:instr=" SEQ Table \* ARABIC ">
        <w:r w:rsidR="001D5F9A">
          <w:rPr>
            <w:noProof/>
          </w:rPr>
          <w:t>22</w:t>
        </w:r>
      </w:fldSimple>
      <w:bookmarkEnd w:id="158"/>
      <w:r>
        <w:t xml:space="preserve">: </w:t>
      </w:r>
      <w:r w:rsidRPr="002C019F">
        <w:rPr>
          <w:color w:val="auto"/>
        </w:rPr>
        <w:t>Collinearity diagnostics for hypothesis 3</w:t>
      </w:r>
      <w:bookmarkEnd w:id="159"/>
    </w:p>
    <w:p w:rsidR="003D5369" w:rsidRPr="000B3455" w:rsidRDefault="003D5369">
      <w:r w:rsidRPr="000B3455">
        <w:br w:type="page"/>
      </w:r>
    </w:p>
    <w:p w:rsidR="003D5369" w:rsidRPr="000B3455" w:rsidRDefault="003D5369" w:rsidP="00ED7148">
      <w:pPr>
        <w:pStyle w:val="AppendicesThesis"/>
      </w:pPr>
      <w:bookmarkStart w:id="160" w:name="XIII"/>
      <w:bookmarkStart w:id="161" w:name="_Toc298944621"/>
      <w:r w:rsidRPr="000B3455">
        <w:lastRenderedPageBreak/>
        <w:t>Appendix X</w:t>
      </w:r>
      <w:r w:rsidR="00681954" w:rsidRPr="000B3455">
        <w:t>I</w:t>
      </w:r>
      <w:r w:rsidR="00C97617" w:rsidRPr="000B3455">
        <w:t>I</w:t>
      </w:r>
      <w:r w:rsidR="00681954" w:rsidRPr="000B3455">
        <w:t>I</w:t>
      </w:r>
      <w:bookmarkEnd w:id="160"/>
      <w:r w:rsidRPr="000B3455">
        <w:t xml:space="preserve">: Descriptive </w:t>
      </w:r>
      <w:r w:rsidR="00E64A6D">
        <w:t>s</w:t>
      </w:r>
      <w:r w:rsidR="00E64A6D" w:rsidRPr="000B3455">
        <w:t xml:space="preserve">tatistics </w:t>
      </w:r>
      <w:r w:rsidRPr="000B3455">
        <w:t xml:space="preserve">on </w:t>
      </w:r>
      <w:r w:rsidR="00E64A6D">
        <w:t>h</w:t>
      </w:r>
      <w:r w:rsidR="00E64A6D" w:rsidRPr="000B3455">
        <w:t xml:space="preserve">ypothesis </w:t>
      </w:r>
      <w:r w:rsidRPr="000B3455">
        <w:t>4</w:t>
      </w:r>
      <w:bookmarkEnd w:id="161"/>
    </w:p>
    <w:p w:rsidR="00CE06C7" w:rsidRPr="000B3455" w:rsidRDefault="00CE06C7" w:rsidP="00CE06C7">
      <w:pPr>
        <w:autoSpaceDE w:val="0"/>
        <w:autoSpaceDN w:val="0"/>
        <w:adjustRightInd w:val="0"/>
        <w:spacing w:after="0" w:line="240" w:lineRule="auto"/>
        <w:rPr>
          <w:rFonts w:cs="Times New Roman"/>
        </w:rPr>
      </w:pPr>
    </w:p>
    <w:tbl>
      <w:tblPr>
        <w:tblW w:w="50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1424"/>
        <w:gridCol w:w="1456"/>
        <w:gridCol w:w="1454"/>
      </w:tblGrid>
      <w:tr w:rsidR="00CE06C7" w:rsidRPr="000B3455" w:rsidTr="00AB4FD8">
        <w:trPr>
          <w:cantSplit/>
          <w:tblHeader/>
        </w:trPr>
        <w:tc>
          <w:tcPr>
            <w:tcW w:w="5058" w:type="dxa"/>
            <w:gridSpan w:val="4"/>
            <w:tcBorders>
              <w:top w:val="nil"/>
              <w:left w:val="nil"/>
              <w:bottom w:val="nil"/>
              <w:right w:val="nil"/>
            </w:tcBorders>
            <w:shd w:val="clear" w:color="auto" w:fill="FFFFFF"/>
            <w:vAlign w:val="center"/>
          </w:tcPr>
          <w:p w:rsidR="00CE06C7" w:rsidRPr="000B3455" w:rsidRDefault="00CE06C7" w:rsidP="00AB4FD8">
            <w:pPr>
              <w:autoSpaceDE w:val="0"/>
              <w:autoSpaceDN w:val="0"/>
              <w:adjustRightInd w:val="0"/>
              <w:spacing w:after="0" w:line="320" w:lineRule="atLeast"/>
              <w:ind w:left="60" w:right="60"/>
              <w:jc w:val="center"/>
              <w:rPr>
                <w:rFonts w:cs="Arial"/>
                <w:color w:val="000000"/>
              </w:rPr>
            </w:pPr>
            <w:r w:rsidRPr="000B3455">
              <w:rPr>
                <w:rFonts w:cs="Arial"/>
                <w:b/>
                <w:bCs/>
                <w:color w:val="000000"/>
              </w:rPr>
              <w:t>Statistics</w:t>
            </w:r>
          </w:p>
        </w:tc>
      </w:tr>
      <w:tr w:rsidR="00CE06C7" w:rsidRPr="000B3455" w:rsidTr="00AB4FD8">
        <w:trPr>
          <w:cantSplit/>
          <w:tblHeader/>
        </w:trPr>
        <w:tc>
          <w:tcPr>
            <w:tcW w:w="2150"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CE06C7" w:rsidRPr="000B3455" w:rsidRDefault="00CE06C7" w:rsidP="00AB4FD8">
            <w:pPr>
              <w:autoSpaceDE w:val="0"/>
              <w:autoSpaceDN w:val="0"/>
              <w:adjustRightInd w:val="0"/>
              <w:spacing w:after="0" w:line="240" w:lineRule="auto"/>
              <w:jc w:val="center"/>
              <w:rPr>
                <w:rFonts w:cs="Times New Roman"/>
              </w:rPr>
            </w:pPr>
          </w:p>
        </w:tc>
        <w:tc>
          <w:tcPr>
            <w:tcW w:w="1455" w:type="dxa"/>
            <w:tcBorders>
              <w:top w:val="single" w:sz="16" w:space="0" w:color="000000"/>
              <w:left w:val="single" w:sz="16" w:space="0" w:color="000000"/>
              <w:bottom w:val="single" w:sz="16" w:space="0" w:color="000000"/>
            </w:tcBorders>
            <w:shd w:val="clear" w:color="auto" w:fill="FFFFFF"/>
            <w:vAlign w:val="bottom"/>
          </w:tcPr>
          <w:p w:rsidR="00CE06C7" w:rsidRPr="000B3455" w:rsidRDefault="00CE06C7" w:rsidP="00AB4FD8">
            <w:pPr>
              <w:autoSpaceDE w:val="0"/>
              <w:autoSpaceDN w:val="0"/>
              <w:adjustRightInd w:val="0"/>
              <w:spacing w:after="0" w:line="320" w:lineRule="atLeast"/>
              <w:ind w:left="60" w:right="60"/>
              <w:jc w:val="center"/>
              <w:rPr>
                <w:rFonts w:cs="Arial"/>
                <w:color w:val="000000"/>
              </w:rPr>
            </w:pPr>
            <w:r w:rsidRPr="000B3455">
              <w:rPr>
                <w:rFonts w:cs="Arial"/>
                <w:color w:val="000000"/>
              </w:rPr>
              <w:t>PR_CSH_BON_EXCL_MCL</w:t>
            </w:r>
          </w:p>
        </w:tc>
        <w:tc>
          <w:tcPr>
            <w:tcW w:w="1453" w:type="dxa"/>
            <w:tcBorders>
              <w:top w:val="single" w:sz="16" w:space="0" w:color="000000"/>
              <w:bottom w:val="single" w:sz="16" w:space="0" w:color="000000"/>
              <w:right w:val="single" w:sz="16" w:space="0" w:color="000000"/>
            </w:tcBorders>
            <w:shd w:val="clear" w:color="auto" w:fill="FFFFFF"/>
            <w:vAlign w:val="bottom"/>
          </w:tcPr>
          <w:p w:rsidR="00CE06C7" w:rsidRPr="000B3455" w:rsidRDefault="00CE06C7" w:rsidP="00AB4FD8">
            <w:pPr>
              <w:autoSpaceDE w:val="0"/>
              <w:autoSpaceDN w:val="0"/>
              <w:adjustRightInd w:val="0"/>
              <w:spacing w:after="0" w:line="320" w:lineRule="atLeast"/>
              <w:ind w:left="60" w:right="60"/>
              <w:jc w:val="center"/>
              <w:rPr>
                <w:rFonts w:cs="Arial"/>
                <w:color w:val="000000"/>
              </w:rPr>
            </w:pPr>
            <w:r w:rsidRPr="000B3455">
              <w:rPr>
                <w:rFonts w:cs="Arial"/>
                <w:color w:val="000000"/>
              </w:rPr>
              <w:t>Delta_PR_CSH_BON_EXCL_MCL</w:t>
            </w:r>
          </w:p>
        </w:tc>
      </w:tr>
      <w:tr w:rsidR="00CE06C7" w:rsidRPr="000B3455" w:rsidTr="00AB4FD8">
        <w:trPr>
          <w:cantSplit/>
          <w:tblHeader/>
        </w:trPr>
        <w:tc>
          <w:tcPr>
            <w:tcW w:w="727" w:type="dxa"/>
            <w:vMerge w:val="restart"/>
            <w:tcBorders>
              <w:top w:val="single" w:sz="16" w:space="0" w:color="000000"/>
              <w:left w:val="single" w:sz="16" w:space="0" w:color="000000"/>
              <w:bottom w:val="nil"/>
              <w:right w:val="nil"/>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N</w:t>
            </w:r>
          </w:p>
        </w:tc>
        <w:tc>
          <w:tcPr>
            <w:tcW w:w="1423" w:type="dxa"/>
            <w:tcBorders>
              <w:top w:val="single" w:sz="16" w:space="0" w:color="000000"/>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Valid</w:t>
            </w:r>
          </w:p>
        </w:tc>
        <w:tc>
          <w:tcPr>
            <w:tcW w:w="1455" w:type="dxa"/>
            <w:tcBorders>
              <w:top w:val="single" w:sz="16" w:space="0" w:color="000000"/>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170</w:t>
            </w:r>
          </w:p>
        </w:tc>
        <w:tc>
          <w:tcPr>
            <w:tcW w:w="1453" w:type="dxa"/>
            <w:tcBorders>
              <w:top w:val="single" w:sz="16" w:space="0" w:color="000000"/>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170</w:t>
            </w:r>
          </w:p>
        </w:tc>
      </w:tr>
      <w:tr w:rsidR="00CE06C7" w:rsidRPr="000B3455" w:rsidTr="00AB4FD8">
        <w:trPr>
          <w:cantSplit/>
          <w:tblHeader/>
        </w:trPr>
        <w:tc>
          <w:tcPr>
            <w:tcW w:w="727" w:type="dxa"/>
            <w:vMerge/>
            <w:tcBorders>
              <w:top w:val="single" w:sz="16" w:space="0" w:color="000000"/>
              <w:left w:val="single" w:sz="16" w:space="0" w:color="000000"/>
              <w:bottom w:val="nil"/>
              <w:right w:val="nil"/>
            </w:tcBorders>
            <w:shd w:val="clear" w:color="auto" w:fill="FFFFFF"/>
          </w:tcPr>
          <w:p w:rsidR="00CE06C7" w:rsidRPr="000B3455" w:rsidRDefault="00CE06C7" w:rsidP="00AB4FD8">
            <w:pPr>
              <w:autoSpaceDE w:val="0"/>
              <w:autoSpaceDN w:val="0"/>
              <w:adjustRightInd w:val="0"/>
              <w:spacing w:after="0" w:line="240" w:lineRule="auto"/>
              <w:rPr>
                <w:rFonts w:cs="Arial"/>
                <w:color w:val="000000"/>
              </w:rPr>
            </w:pPr>
          </w:p>
        </w:tc>
        <w:tc>
          <w:tcPr>
            <w:tcW w:w="1423" w:type="dxa"/>
            <w:tcBorders>
              <w:top w:val="nil"/>
              <w:left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Missing</w:t>
            </w:r>
          </w:p>
        </w:tc>
        <w:tc>
          <w:tcPr>
            <w:tcW w:w="1455"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w:t>
            </w:r>
          </w:p>
        </w:tc>
        <w:tc>
          <w:tcPr>
            <w:tcW w:w="145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w:t>
            </w:r>
          </w:p>
        </w:tc>
      </w:tr>
      <w:tr w:rsidR="00CE06C7" w:rsidRPr="000B3455" w:rsidTr="00AB4FD8">
        <w:trPr>
          <w:cantSplit/>
          <w:tblHeader/>
        </w:trPr>
        <w:tc>
          <w:tcPr>
            <w:tcW w:w="2150" w:type="dxa"/>
            <w:gridSpan w:val="2"/>
            <w:tcBorders>
              <w:top w:val="nil"/>
              <w:left w:val="single" w:sz="16" w:space="0" w:color="000000"/>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Mean</w:t>
            </w:r>
          </w:p>
        </w:tc>
        <w:tc>
          <w:tcPr>
            <w:tcW w:w="1455"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,243337</w:t>
            </w:r>
          </w:p>
        </w:tc>
        <w:tc>
          <w:tcPr>
            <w:tcW w:w="145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,999138</w:t>
            </w:r>
          </w:p>
        </w:tc>
      </w:tr>
      <w:tr w:rsidR="00CE06C7" w:rsidRPr="000B3455" w:rsidTr="00AB4FD8">
        <w:trPr>
          <w:cantSplit/>
          <w:tblHeader/>
        </w:trPr>
        <w:tc>
          <w:tcPr>
            <w:tcW w:w="2150" w:type="dxa"/>
            <w:gridSpan w:val="2"/>
            <w:tcBorders>
              <w:top w:val="nil"/>
              <w:left w:val="single" w:sz="16" w:space="0" w:color="000000"/>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Std. Deviation</w:t>
            </w:r>
          </w:p>
        </w:tc>
        <w:tc>
          <w:tcPr>
            <w:tcW w:w="1455"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,1163288</w:t>
            </w:r>
          </w:p>
        </w:tc>
        <w:tc>
          <w:tcPr>
            <w:tcW w:w="145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11,2603609</w:t>
            </w:r>
          </w:p>
        </w:tc>
      </w:tr>
      <w:tr w:rsidR="00CE06C7" w:rsidRPr="000B3455" w:rsidTr="00AB4FD8">
        <w:trPr>
          <w:cantSplit/>
          <w:tblHeader/>
        </w:trPr>
        <w:tc>
          <w:tcPr>
            <w:tcW w:w="2150" w:type="dxa"/>
            <w:gridSpan w:val="2"/>
            <w:tcBorders>
              <w:top w:val="nil"/>
              <w:left w:val="single" w:sz="16" w:space="0" w:color="000000"/>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Minimum</w:t>
            </w:r>
          </w:p>
        </w:tc>
        <w:tc>
          <w:tcPr>
            <w:tcW w:w="1455" w:type="dxa"/>
            <w:tcBorders>
              <w:top w:val="nil"/>
              <w:left w:val="single" w:sz="16" w:space="0" w:color="000000"/>
              <w:bottom w:val="nil"/>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,0000</w:t>
            </w:r>
          </w:p>
        </w:tc>
        <w:tc>
          <w:tcPr>
            <w:tcW w:w="1453" w:type="dxa"/>
            <w:tcBorders>
              <w:top w:val="nil"/>
              <w:bottom w:val="nil"/>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-32,8272</w:t>
            </w:r>
          </w:p>
        </w:tc>
      </w:tr>
      <w:tr w:rsidR="00CE06C7" w:rsidRPr="000B3455" w:rsidTr="00AB4FD8">
        <w:trPr>
          <w:cantSplit/>
        </w:trPr>
        <w:tc>
          <w:tcPr>
            <w:tcW w:w="2150" w:type="dxa"/>
            <w:gridSpan w:val="2"/>
            <w:tcBorders>
              <w:top w:val="nil"/>
              <w:left w:val="single" w:sz="16" w:space="0" w:color="000000"/>
              <w:bottom w:val="single" w:sz="16" w:space="0" w:color="000000"/>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rPr>
                <w:rFonts w:cs="Arial"/>
                <w:color w:val="000000"/>
              </w:rPr>
            </w:pPr>
            <w:r w:rsidRPr="000B3455">
              <w:rPr>
                <w:rFonts w:cs="Arial"/>
                <w:color w:val="000000"/>
              </w:rPr>
              <w:t>Maximum</w:t>
            </w:r>
          </w:p>
        </w:tc>
        <w:tc>
          <w:tcPr>
            <w:tcW w:w="1455" w:type="dxa"/>
            <w:tcBorders>
              <w:top w:val="nil"/>
              <w:left w:val="single" w:sz="16" w:space="0" w:color="000000"/>
              <w:bottom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,6291</w:t>
            </w:r>
          </w:p>
        </w:tc>
        <w:tc>
          <w:tcPr>
            <w:tcW w:w="1453" w:type="dxa"/>
            <w:tcBorders>
              <w:top w:val="nil"/>
              <w:bottom w:val="single" w:sz="16" w:space="0" w:color="000000"/>
              <w:right w:val="single" w:sz="16" w:space="0" w:color="000000"/>
            </w:tcBorders>
            <w:shd w:val="clear" w:color="auto" w:fill="FFFFFF"/>
          </w:tcPr>
          <w:p w:rsidR="00CE06C7" w:rsidRPr="000B3455" w:rsidRDefault="00CE06C7" w:rsidP="00AB4FD8">
            <w:pPr>
              <w:autoSpaceDE w:val="0"/>
              <w:autoSpaceDN w:val="0"/>
              <w:adjustRightInd w:val="0"/>
              <w:spacing w:after="0" w:line="320" w:lineRule="atLeast"/>
              <w:ind w:left="60" w:right="60"/>
              <w:jc w:val="right"/>
              <w:rPr>
                <w:rFonts w:cs="Arial"/>
                <w:color w:val="000000"/>
              </w:rPr>
            </w:pPr>
            <w:r w:rsidRPr="000B3455">
              <w:rPr>
                <w:rFonts w:cs="Arial"/>
                <w:color w:val="000000"/>
              </w:rPr>
              <w:t>30,1070</w:t>
            </w:r>
          </w:p>
        </w:tc>
      </w:tr>
    </w:tbl>
    <w:p w:rsidR="00CE06C7" w:rsidRPr="000B3455" w:rsidRDefault="002C019F" w:rsidP="002C019F">
      <w:pPr>
        <w:pStyle w:val="Caption"/>
        <w:rPr>
          <w:rFonts w:cstheme="minorHAnsi"/>
        </w:rPr>
      </w:pPr>
      <w:r>
        <w:t xml:space="preserve">Table </w:t>
      </w:r>
      <w:fldSimple w:instr=" SEQ Table \* ARABIC ">
        <w:r w:rsidR="001D5F9A">
          <w:rPr>
            <w:noProof/>
          </w:rPr>
          <w:t>23</w:t>
        </w:r>
      </w:fldSimple>
      <w:r>
        <w:t xml:space="preserve">: </w:t>
      </w:r>
      <w:r w:rsidRPr="002C019F">
        <w:rPr>
          <w:rFonts w:cstheme="minorHAnsi"/>
          <w:color w:val="auto"/>
        </w:rPr>
        <w:t>SPSS output on descriptive statistics</w:t>
      </w:r>
    </w:p>
    <w:p w:rsidR="00CE06C7" w:rsidRPr="000B3455" w:rsidRDefault="00CE06C7" w:rsidP="00CE06C7">
      <w:pPr>
        <w:autoSpaceDE w:val="0"/>
        <w:autoSpaceDN w:val="0"/>
        <w:adjustRightInd w:val="0"/>
        <w:spacing w:after="0" w:line="240" w:lineRule="auto"/>
        <w:rPr>
          <w:rFonts w:cstheme="minorHAnsi"/>
        </w:rPr>
      </w:pPr>
      <w:r w:rsidRPr="000B3455">
        <w:rPr>
          <w:rFonts w:cstheme="minorHAnsi"/>
          <w:noProof/>
          <w:lang w:val="nl-NL" w:eastAsia="nl-NL" w:bidi="ar-SA"/>
        </w:rPr>
        <w:drawing>
          <wp:inline distT="0" distB="0" distL="0" distR="0">
            <wp:extent cx="5730875" cy="4592955"/>
            <wp:effectExtent l="19050" t="0" r="3175"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srcRect/>
                    <a:stretch>
                      <a:fillRect/>
                    </a:stretch>
                  </pic:blipFill>
                  <pic:spPr bwMode="auto">
                    <a:xfrm>
                      <a:off x="0" y="0"/>
                      <a:ext cx="5730875" cy="4592955"/>
                    </a:xfrm>
                    <a:prstGeom prst="rect">
                      <a:avLst/>
                    </a:prstGeom>
                    <a:noFill/>
                    <a:ln w="9525">
                      <a:noFill/>
                      <a:miter lim="800000"/>
                      <a:headEnd/>
                      <a:tailEnd/>
                    </a:ln>
                  </pic:spPr>
                </pic:pic>
              </a:graphicData>
            </a:graphic>
          </wp:inline>
        </w:drawing>
      </w:r>
    </w:p>
    <w:p w:rsidR="00CE06C7" w:rsidRPr="002C019F" w:rsidRDefault="002C019F" w:rsidP="002C019F">
      <w:pPr>
        <w:pStyle w:val="Caption"/>
        <w:rPr>
          <w:rFonts w:cstheme="minorHAnsi"/>
          <w:color w:val="auto"/>
        </w:rPr>
      </w:pPr>
      <w:bookmarkStart w:id="162" w:name="_Ref298859640"/>
      <w:r>
        <w:t xml:space="preserve">Figure </w:t>
      </w:r>
      <w:fldSimple w:instr=" SEQ Figure \* ARABIC ">
        <w:r w:rsidR="001D5F9A">
          <w:rPr>
            <w:noProof/>
          </w:rPr>
          <w:t>12</w:t>
        </w:r>
      </w:fldSimple>
      <w:r>
        <w:t xml:space="preserve">: </w:t>
      </w:r>
      <w:r w:rsidRPr="002C019F">
        <w:rPr>
          <w:rFonts w:cstheme="minorHAnsi"/>
          <w:color w:val="auto"/>
        </w:rPr>
        <w:t>SPSS histogram of distribution of the proportion of cash bonuses</w:t>
      </w:r>
      <w:bookmarkEnd w:id="162"/>
    </w:p>
    <w:p w:rsidR="00CE06C7" w:rsidRPr="000B3455" w:rsidRDefault="00CE06C7" w:rsidP="00CE06C7">
      <w:pPr>
        <w:autoSpaceDE w:val="0"/>
        <w:autoSpaceDN w:val="0"/>
        <w:adjustRightInd w:val="0"/>
        <w:spacing w:after="0" w:line="240" w:lineRule="auto"/>
        <w:rPr>
          <w:rFonts w:cstheme="minorHAnsi"/>
        </w:rPr>
      </w:pPr>
      <w:r w:rsidRPr="000B3455">
        <w:rPr>
          <w:rFonts w:cstheme="minorHAnsi"/>
          <w:noProof/>
          <w:lang w:val="nl-NL" w:eastAsia="nl-NL" w:bidi="ar-SA"/>
        </w:rPr>
        <w:lastRenderedPageBreak/>
        <w:drawing>
          <wp:inline distT="0" distB="0" distL="0" distR="0">
            <wp:extent cx="5730875" cy="4592955"/>
            <wp:effectExtent l="19050" t="0" r="3175" b="0"/>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cstate="print"/>
                    <a:srcRect/>
                    <a:stretch>
                      <a:fillRect/>
                    </a:stretch>
                  </pic:blipFill>
                  <pic:spPr bwMode="auto">
                    <a:xfrm>
                      <a:off x="0" y="0"/>
                      <a:ext cx="5730875" cy="4592955"/>
                    </a:xfrm>
                    <a:prstGeom prst="rect">
                      <a:avLst/>
                    </a:prstGeom>
                    <a:noFill/>
                    <a:ln w="9525">
                      <a:noFill/>
                      <a:miter lim="800000"/>
                      <a:headEnd/>
                      <a:tailEnd/>
                    </a:ln>
                  </pic:spPr>
                </pic:pic>
              </a:graphicData>
            </a:graphic>
          </wp:inline>
        </w:drawing>
      </w:r>
    </w:p>
    <w:p w:rsidR="00CE06C7" w:rsidRPr="000B3455" w:rsidRDefault="002C019F" w:rsidP="002C019F">
      <w:pPr>
        <w:pStyle w:val="Caption"/>
        <w:rPr>
          <w:rFonts w:cstheme="minorHAnsi"/>
        </w:rPr>
      </w:pPr>
      <w:bookmarkStart w:id="163" w:name="_Ref298859656"/>
      <w:r>
        <w:t xml:space="preserve">Figure </w:t>
      </w:r>
      <w:fldSimple w:instr=" SEQ Figure \* ARABIC ">
        <w:r w:rsidR="001D5F9A">
          <w:rPr>
            <w:noProof/>
          </w:rPr>
          <w:t>13</w:t>
        </w:r>
      </w:fldSimple>
      <w:bookmarkEnd w:id="163"/>
      <w:r>
        <w:t xml:space="preserve">: </w:t>
      </w:r>
      <w:r w:rsidRPr="002C019F">
        <w:rPr>
          <w:rFonts w:cstheme="minorHAnsi"/>
          <w:color w:val="auto"/>
        </w:rPr>
        <w:t>SPSS histogram of distribution of the change in the proportion of cash bonuses</w:t>
      </w:r>
    </w:p>
    <w:p w:rsidR="002C019F" w:rsidRDefault="00CE06C7" w:rsidP="002C019F">
      <w:pPr>
        <w:autoSpaceDE w:val="0"/>
        <w:autoSpaceDN w:val="0"/>
        <w:adjustRightInd w:val="0"/>
        <w:spacing w:after="0" w:line="400" w:lineRule="atLeast"/>
        <w:rPr>
          <w:rFonts w:cstheme="minorHAnsi"/>
          <w:b/>
          <w:noProof/>
        </w:rPr>
      </w:pPr>
      <w:r w:rsidRPr="000B3455">
        <w:rPr>
          <w:rFonts w:cstheme="minorHAnsi"/>
          <w:b/>
          <w:noProof/>
          <w:lang w:val="nl-NL" w:eastAsia="nl-NL" w:bidi="ar-SA"/>
        </w:rPr>
        <w:drawing>
          <wp:inline distT="0" distB="0" distL="0" distR="0">
            <wp:extent cx="4574667" cy="2747899"/>
            <wp:effectExtent l="12192" t="6096" r="6096" b="0"/>
            <wp:docPr id="11"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2C019F" w:rsidRPr="002C019F" w:rsidRDefault="002C019F" w:rsidP="002C019F">
      <w:pPr>
        <w:autoSpaceDE w:val="0"/>
        <w:autoSpaceDN w:val="0"/>
        <w:adjustRightInd w:val="0"/>
        <w:spacing w:after="0" w:line="400" w:lineRule="atLeast"/>
        <w:rPr>
          <w:rFonts w:cstheme="minorHAnsi"/>
          <w:b/>
          <w:noProof/>
        </w:rPr>
      </w:pPr>
    </w:p>
    <w:p w:rsidR="00CE06C7" w:rsidRPr="000B3455" w:rsidRDefault="002C019F" w:rsidP="002C019F">
      <w:pPr>
        <w:pStyle w:val="Caption"/>
        <w:rPr>
          <w:rFonts w:cstheme="minorHAnsi"/>
          <w:b w:val="0"/>
          <w:noProof/>
        </w:rPr>
      </w:pPr>
      <w:bookmarkStart w:id="164" w:name="_Ref298859662"/>
      <w:r>
        <w:t xml:space="preserve">Figure </w:t>
      </w:r>
      <w:fldSimple w:instr=" SEQ Figure \* ARABIC ">
        <w:r w:rsidR="001D5F9A">
          <w:rPr>
            <w:noProof/>
          </w:rPr>
          <w:t>14</w:t>
        </w:r>
      </w:fldSimple>
      <w:bookmarkEnd w:id="164"/>
      <w:r>
        <w:t xml:space="preserve">: </w:t>
      </w:r>
      <w:r w:rsidRPr="002C019F">
        <w:rPr>
          <w:rFonts w:cstheme="minorHAnsi"/>
          <w:noProof/>
          <w:color w:val="auto"/>
        </w:rPr>
        <w:t>Trend of proportion of granted stock options and cash bonuses</w:t>
      </w:r>
    </w:p>
    <w:p w:rsidR="00CE06C7" w:rsidRDefault="00CE06C7" w:rsidP="00CE06C7">
      <w:pPr>
        <w:autoSpaceDE w:val="0"/>
        <w:autoSpaceDN w:val="0"/>
        <w:adjustRightInd w:val="0"/>
        <w:spacing w:after="0" w:line="400" w:lineRule="atLeast"/>
        <w:rPr>
          <w:rFonts w:cstheme="minorHAnsi"/>
          <w:b/>
          <w:noProof/>
        </w:rPr>
      </w:pPr>
      <w:r w:rsidRPr="000B3455">
        <w:rPr>
          <w:rFonts w:cstheme="minorHAnsi"/>
          <w:b/>
          <w:noProof/>
          <w:lang w:val="nl-NL" w:eastAsia="nl-NL" w:bidi="ar-SA"/>
        </w:rPr>
        <w:lastRenderedPageBreak/>
        <w:drawing>
          <wp:inline distT="0" distB="0" distL="0" distR="0">
            <wp:extent cx="4574667" cy="2747899"/>
            <wp:effectExtent l="19050" t="0" r="16383" b="0"/>
            <wp:docPr id="12" name="Chart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2C019F" w:rsidRDefault="002C019F" w:rsidP="00CE06C7">
      <w:pPr>
        <w:autoSpaceDE w:val="0"/>
        <w:autoSpaceDN w:val="0"/>
        <w:adjustRightInd w:val="0"/>
        <w:spacing w:after="0" w:line="400" w:lineRule="atLeast"/>
        <w:rPr>
          <w:rFonts w:cstheme="minorHAnsi"/>
          <w:b/>
          <w:noProof/>
        </w:rPr>
      </w:pPr>
    </w:p>
    <w:p w:rsidR="002C019F" w:rsidRPr="000B3455" w:rsidRDefault="002C019F" w:rsidP="002C019F">
      <w:pPr>
        <w:pStyle w:val="Caption"/>
        <w:rPr>
          <w:rFonts w:cstheme="minorHAnsi"/>
          <w:b w:val="0"/>
          <w:noProof/>
        </w:rPr>
      </w:pPr>
      <w:bookmarkStart w:id="165" w:name="_Ref298859667"/>
      <w:r>
        <w:t xml:space="preserve">Figure </w:t>
      </w:r>
      <w:fldSimple w:instr=" SEQ Figure \* ARABIC ">
        <w:r w:rsidR="001D5F9A">
          <w:rPr>
            <w:noProof/>
          </w:rPr>
          <w:t>15</w:t>
        </w:r>
      </w:fldSimple>
      <w:bookmarkEnd w:id="165"/>
      <w:r>
        <w:t xml:space="preserve">: </w:t>
      </w:r>
      <w:r w:rsidRPr="002C019F">
        <w:rPr>
          <w:rFonts w:cstheme="minorHAnsi"/>
          <w:noProof/>
          <w:color w:val="auto"/>
        </w:rPr>
        <w:t>Trend of the change in the proportion of granted stock options and cash bonuses</w:t>
      </w:r>
    </w:p>
    <w:p w:rsidR="003D5369" w:rsidRPr="000B3455" w:rsidRDefault="003D5369">
      <w:r w:rsidRPr="000B3455">
        <w:br w:type="page"/>
      </w:r>
    </w:p>
    <w:p w:rsidR="003D5369" w:rsidRPr="000B3455" w:rsidRDefault="003D5369" w:rsidP="00ED7148">
      <w:pPr>
        <w:pStyle w:val="AppendicesThesis"/>
      </w:pPr>
      <w:bookmarkStart w:id="166" w:name="XIV"/>
      <w:bookmarkStart w:id="167" w:name="_Toc298944622"/>
      <w:r w:rsidRPr="000B3455">
        <w:lastRenderedPageBreak/>
        <w:t>Appendix XI</w:t>
      </w:r>
      <w:r w:rsidR="00C97617" w:rsidRPr="000B3455">
        <w:t>V</w:t>
      </w:r>
      <w:bookmarkEnd w:id="166"/>
      <w:r w:rsidRPr="000B3455">
        <w:t xml:space="preserve">: Statistical </w:t>
      </w:r>
      <w:r w:rsidR="00E64A6D">
        <w:t>f</w:t>
      </w:r>
      <w:r w:rsidR="00E64A6D" w:rsidRPr="000B3455">
        <w:t xml:space="preserve">indings </w:t>
      </w:r>
      <w:r w:rsidRPr="000B3455">
        <w:t xml:space="preserve">on </w:t>
      </w:r>
      <w:r w:rsidR="00E64A6D">
        <w:t>h</w:t>
      </w:r>
      <w:r w:rsidR="00E64A6D" w:rsidRPr="000B3455">
        <w:t xml:space="preserve">ypothesis </w:t>
      </w:r>
      <w:r w:rsidRPr="000B3455">
        <w:t>4</w:t>
      </w:r>
      <w:bookmarkEnd w:id="167"/>
    </w:p>
    <w:p w:rsidR="00E63EF0" w:rsidRPr="000B3455" w:rsidRDefault="00E63EF0" w:rsidP="00E63EF0">
      <w:pPr>
        <w:autoSpaceDE w:val="0"/>
        <w:autoSpaceDN w:val="0"/>
        <w:adjustRightInd w:val="0"/>
        <w:spacing w:after="0" w:line="400" w:lineRule="atLeast"/>
        <w:rPr>
          <w:rFonts w:cs="Times New Roman"/>
        </w:rPr>
      </w:pPr>
    </w:p>
    <w:tbl>
      <w:tblPr>
        <w:tblW w:w="7371"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93"/>
        <w:gridCol w:w="992"/>
        <w:gridCol w:w="1134"/>
        <w:gridCol w:w="1559"/>
        <w:gridCol w:w="2693"/>
      </w:tblGrid>
      <w:tr w:rsidR="002C019F" w:rsidRPr="000B3455" w:rsidTr="002C019F">
        <w:trPr>
          <w:cantSplit/>
          <w:tblHeader/>
        </w:trPr>
        <w:tc>
          <w:tcPr>
            <w:tcW w:w="993" w:type="dxa"/>
            <w:tcBorders>
              <w:top w:val="single" w:sz="16" w:space="0" w:color="000000"/>
              <w:left w:val="single" w:sz="16" w:space="0" w:color="000000"/>
              <w:bottom w:val="single" w:sz="16" w:space="0" w:color="000000"/>
              <w:right w:val="single" w:sz="16" w:space="0" w:color="000000"/>
            </w:tcBorders>
            <w:shd w:val="clear" w:color="auto" w:fill="FFFFFF"/>
          </w:tcPr>
          <w:p w:rsidR="002C019F" w:rsidRPr="000B3455" w:rsidRDefault="002C019F" w:rsidP="00576C14">
            <w:pPr>
              <w:autoSpaceDE w:val="0"/>
              <w:autoSpaceDN w:val="0"/>
              <w:adjustRightInd w:val="0"/>
              <w:spacing w:after="0" w:line="320" w:lineRule="atLeast"/>
              <w:ind w:left="60" w:right="60"/>
              <w:rPr>
                <w:rFonts w:cs="Arial"/>
                <w:color w:val="000000"/>
                <w:lang w:val="nl-NL"/>
              </w:rPr>
            </w:pPr>
            <w:r w:rsidRPr="000B3455">
              <w:rPr>
                <w:rFonts w:cs="Arial"/>
                <w:color w:val="000000"/>
                <w:lang w:val="nl-NL"/>
              </w:rPr>
              <w:t>Model</w:t>
            </w:r>
          </w:p>
        </w:tc>
        <w:tc>
          <w:tcPr>
            <w:tcW w:w="992" w:type="dxa"/>
            <w:tcBorders>
              <w:top w:val="single" w:sz="16" w:space="0" w:color="000000"/>
              <w:left w:val="single" w:sz="16" w:space="0" w:color="000000"/>
              <w:bottom w:val="single" w:sz="16" w:space="0" w:color="000000"/>
            </w:tcBorders>
            <w:shd w:val="clear" w:color="auto" w:fill="FFFFFF"/>
            <w:vAlign w:val="bottom"/>
          </w:tcPr>
          <w:p w:rsidR="002C019F" w:rsidRPr="000B3455" w:rsidRDefault="002C019F" w:rsidP="00576C14">
            <w:pPr>
              <w:autoSpaceDE w:val="0"/>
              <w:autoSpaceDN w:val="0"/>
              <w:adjustRightInd w:val="0"/>
              <w:spacing w:after="0" w:line="320" w:lineRule="atLeast"/>
              <w:ind w:left="60" w:right="60"/>
              <w:jc w:val="center"/>
              <w:rPr>
                <w:rFonts w:cs="Arial"/>
                <w:color w:val="000000"/>
                <w:lang w:val="nl-NL"/>
              </w:rPr>
            </w:pPr>
            <w:r w:rsidRPr="000B3455">
              <w:rPr>
                <w:rFonts w:cs="Arial"/>
                <w:color w:val="000000"/>
                <w:lang w:val="nl-NL"/>
              </w:rPr>
              <w:t>R</w:t>
            </w:r>
          </w:p>
        </w:tc>
        <w:tc>
          <w:tcPr>
            <w:tcW w:w="1134" w:type="dxa"/>
            <w:tcBorders>
              <w:top w:val="single" w:sz="16" w:space="0" w:color="000000"/>
              <w:bottom w:val="single" w:sz="16" w:space="0" w:color="000000"/>
            </w:tcBorders>
            <w:shd w:val="clear" w:color="auto" w:fill="FFFFFF"/>
            <w:vAlign w:val="bottom"/>
          </w:tcPr>
          <w:p w:rsidR="002C019F" w:rsidRPr="000B3455" w:rsidRDefault="002C019F" w:rsidP="00576C14">
            <w:pPr>
              <w:autoSpaceDE w:val="0"/>
              <w:autoSpaceDN w:val="0"/>
              <w:adjustRightInd w:val="0"/>
              <w:spacing w:after="0" w:line="320" w:lineRule="atLeast"/>
              <w:ind w:left="60" w:right="60"/>
              <w:jc w:val="center"/>
              <w:rPr>
                <w:rFonts w:cs="Arial"/>
                <w:color w:val="000000"/>
                <w:lang w:val="nl-NL"/>
              </w:rPr>
            </w:pPr>
            <w:r w:rsidRPr="000B3455">
              <w:rPr>
                <w:rFonts w:cs="Arial"/>
                <w:color w:val="000000"/>
                <w:lang w:val="nl-NL"/>
              </w:rPr>
              <w:t>R Square</w:t>
            </w:r>
          </w:p>
        </w:tc>
        <w:tc>
          <w:tcPr>
            <w:tcW w:w="1559" w:type="dxa"/>
            <w:tcBorders>
              <w:top w:val="single" w:sz="16" w:space="0" w:color="000000"/>
              <w:bottom w:val="single" w:sz="16" w:space="0" w:color="000000"/>
              <w:right w:val="single" w:sz="8" w:space="0" w:color="000000"/>
            </w:tcBorders>
            <w:shd w:val="clear" w:color="auto" w:fill="FFFFFF"/>
            <w:vAlign w:val="bottom"/>
          </w:tcPr>
          <w:p w:rsidR="002C019F" w:rsidRPr="000B3455" w:rsidRDefault="002C019F" w:rsidP="00576C14">
            <w:pPr>
              <w:autoSpaceDE w:val="0"/>
              <w:autoSpaceDN w:val="0"/>
              <w:adjustRightInd w:val="0"/>
              <w:spacing w:after="0" w:line="320" w:lineRule="atLeast"/>
              <w:ind w:left="60" w:right="60"/>
              <w:jc w:val="center"/>
              <w:rPr>
                <w:rFonts w:cs="Arial"/>
                <w:color w:val="000000"/>
                <w:lang w:val="nl-NL"/>
              </w:rPr>
            </w:pPr>
            <w:r w:rsidRPr="000B3455">
              <w:rPr>
                <w:rFonts w:cs="Arial"/>
                <w:color w:val="000000"/>
                <w:lang w:val="nl-NL"/>
              </w:rPr>
              <w:t>Adjusted R Square</w:t>
            </w:r>
          </w:p>
        </w:tc>
        <w:tc>
          <w:tcPr>
            <w:tcW w:w="2693" w:type="dxa"/>
            <w:tcBorders>
              <w:top w:val="single" w:sz="12" w:space="0" w:color="000000"/>
              <w:left w:val="single" w:sz="8" w:space="0" w:color="000000"/>
              <w:bottom w:val="single" w:sz="12" w:space="0" w:color="000000"/>
              <w:right w:val="single" w:sz="12" w:space="0" w:color="000000"/>
            </w:tcBorders>
            <w:shd w:val="clear" w:color="auto" w:fill="FFFFFF"/>
            <w:vAlign w:val="bottom"/>
          </w:tcPr>
          <w:p w:rsidR="002C019F" w:rsidRPr="000B3455" w:rsidRDefault="002C019F" w:rsidP="00576C14">
            <w:pPr>
              <w:autoSpaceDE w:val="0"/>
              <w:autoSpaceDN w:val="0"/>
              <w:adjustRightInd w:val="0"/>
              <w:spacing w:after="0" w:line="320" w:lineRule="atLeast"/>
              <w:ind w:left="60" w:right="60"/>
              <w:jc w:val="center"/>
              <w:rPr>
                <w:rFonts w:cs="Arial"/>
                <w:color w:val="000000"/>
              </w:rPr>
            </w:pPr>
            <w:r w:rsidRPr="000B3455">
              <w:rPr>
                <w:rFonts w:cs="Arial"/>
                <w:color w:val="000000"/>
              </w:rPr>
              <w:t>Std. Error of the Estimate</w:t>
            </w:r>
          </w:p>
        </w:tc>
      </w:tr>
      <w:tr w:rsidR="002C019F" w:rsidRPr="000B3455" w:rsidTr="002C019F">
        <w:trPr>
          <w:cantSplit/>
          <w:tblHeader/>
        </w:trPr>
        <w:tc>
          <w:tcPr>
            <w:tcW w:w="993" w:type="dxa"/>
            <w:tcBorders>
              <w:top w:val="single" w:sz="16" w:space="0" w:color="000000"/>
              <w:left w:val="single" w:sz="16" w:space="0" w:color="000000"/>
              <w:bottom w:val="single" w:sz="16" w:space="0" w:color="000000"/>
              <w:right w:val="single" w:sz="16" w:space="0" w:color="000000"/>
            </w:tcBorders>
            <w:shd w:val="clear" w:color="auto" w:fill="FFFFFF"/>
          </w:tcPr>
          <w:p w:rsidR="002C019F" w:rsidRPr="000B3455" w:rsidRDefault="002C019F" w:rsidP="00576C14">
            <w:pPr>
              <w:autoSpaceDE w:val="0"/>
              <w:autoSpaceDN w:val="0"/>
              <w:adjustRightInd w:val="0"/>
              <w:spacing w:after="0" w:line="320" w:lineRule="atLeast"/>
              <w:ind w:left="60" w:right="60"/>
              <w:rPr>
                <w:rFonts w:cs="Arial"/>
                <w:color w:val="000000"/>
                <w:lang w:val="nl-NL"/>
              </w:rPr>
            </w:pPr>
            <w:r w:rsidRPr="000B3455">
              <w:rPr>
                <w:rFonts w:cs="Arial"/>
                <w:color w:val="000000"/>
                <w:lang w:val="nl-NL"/>
              </w:rPr>
              <w:t>1</w:t>
            </w:r>
          </w:p>
        </w:tc>
        <w:tc>
          <w:tcPr>
            <w:tcW w:w="992" w:type="dxa"/>
            <w:tcBorders>
              <w:top w:val="single" w:sz="16" w:space="0" w:color="000000"/>
              <w:left w:val="single" w:sz="16" w:space="0" w:color="000000"/>
              <w:bottom w:val="single" w:sz="16" w:space="0" w:color="000000"/>
            </w:tcBorders>
            <w:shd w:val="clear" w:color="auto" w:fill="FFFFFF"/>
          </w:tcPr>
          <w:p w:rsidR="002C019F" w:rsidRPr="000B3455" w:rsidRDefault="002C019F" w:rsidP="00576C14">
            <w:pPr>
              <w:autoSpaceDE w:val="0"/>
              <w:autoSpaceDN w:val="0"/>
              <w:adjustRightInd w:val="0"/>
              <w:spacing w:after="0" w:line="320" w:lineRule="atLeast"/>
              <w:ind w:left="60" w:right="60"/>
              <w:jc w:val="right"/>
              <w:rPr>
                <w:rFonts w:cs="Arial"/>
                <w:color w:val="000000"/>
                <w:lang w:val="nl-NL"/>
              </w:rPr>
            </w:pPr>
            <w:r w:rsidRPr="000B3455">
              <w:rPr>
                <w:rFonts w:cs="Arial"/>
                <w:color w:val="000000"/>
                <w:lang w:val="nl-NL"/>
              </w:rPr>
              <w:t>,546</w:t>
            </w:r>
            <w:r w:rsidRPr="000B3455">
              <w:rPr>
                <w:rFonts w:cs="Arial"/>
                <w:color w:val="000000"/>
                <w:vertAlign w:val="superscript"/>
                <w:lang w:val="nl-NL"/>
              </w:rPr>
              <w:t>a</w:t>
            </w:r>
          </w:p>
        </w:tc>
        <w:tc>
          <w:tcPr>
            <w:tcW w:w="1134" w:type="dxa"/>
            <w:tcBorders>
              <w:top w:val="single" w:sz="16" w:space="0" w:color="000000"/>
              <w:bottom w:val="single" w:sz="16" w:space="0" w:color="000000"/>
            </w:tcBorders>
            <w:shd w:val="clear" w:color="auto" w:fill="FFFFFF"/>
          </w:tcPr>
          <w:p w:rsidR="002C019F" w:rsidRPr="000B3455" w:rsidRDefault="002C019F" w:rsidP="00576C14">
            <w:pPr>
              <w:autoSpaceDE w:val="0"/>
              <w:autoSpaceDN w:val="0"/>
              <w:adjustRightInd w:val="0"/>
              <w:spacing w:after="0" w:line="320" w:lineRule="atLeast"/>
              <w:ind w:left="60" w:right="60"/>
              <w:jc w:val="right"/>
              <w:rPr>
                <w:rFonts w:cs="Arial"/>
                <w:color w:val="000000"/>
                <w:lang w:val="nl-NL"/>
              </w:rPr>
            </w:pPr>
            <w:r w:rsidRPr="000B3455">
              <w:rPr>
                <w:rFonts w:cs="Arial"/>
                <w:color w:val="000000"/>
                <w:lang w:val="nl-NL"/>
              </w:rPr>
              <w:t>,298</w:t>
            </w:r>
          </w:p>
        </w:tc>
        <w:tc>
          <w:tcPr>
            <w:tcW w:w="1559" w:type="dxa"/>
            <w:tcBorders>
              <w:top w:val="single" w:sz="16" w:space="0" w:color="000000"/>
              <w:bottom w:val="single" w:sz="16" w:space="0" w:color="000000"/>
              <w:right w:val="single" w:sz="8" w:space="0" w:color="000000"/>
            </w:tcBorders>
            <w:shd w:val="clear" w:color="auto" w:fill="FFFFFF"/>
          </w:tcPr>
          <w:p w:rsidR="002C019F" w:rsidRPr="000B3455" w:rsidRDefault="002C019F" w:rsidP="00576C14">
            <w:pPr>
              <w:autoSpaceDE w:val="0"/>
              <w:autoSpaceDN w:val="0"/>
              <w:adjustRightInd w:val="0"/>
              <w:spacing w:after="0" w:line="320" w:lineRule="atLeast"/>
              <w:ind w:left="60" w:right="60"/>
              <w:jc w:val="right"/>
              <w:rPr>
                <w:rFonts w:cs="Arial"/>
                <w:color w:val="000000"/>
                <w:lang w:val="nl-NL"/>
              </w:rPr>
            </w:pPr>
            <w:r w:rsidRPr="000B3455">
              <w:rPr>
                <w:rFonts w:cs="Arial"/>
                <w:color w:val="000000"/>
                <w:lang w:val="nl-NL"/>
              </w:rPr>
              <w:t>,229</w:t>
            </w:r>
          </w:p>
        </w:tc>
        <w:tc>
          <w:tcPr>
            <w:tcW w:w="2693" w:type="dxa"/>
            <w:tcBorders>
              <w:top w:val="single" w:sz="12" w:space="0" w:color="000000"/>
              <w:left w:val="single" w:sz="8" w:space="0" w:color="000000"/>
              <w:bottom w:val="single" w:sz="12" w:space="0" w:color="000000"/>
              <w:right w:val="single" w:sz="12" w:space="0" w:color="000000"/>
            </w:tcBorders>
            <w:shd w:val="clear" w:color="auto" w:fill="FFFFFF"/>
          </w:tcPr>
          <w:p w:rsidR="002C019F" w:rsidRPr="000B3455" w:rsidRDefault="002C019F" w:rsidP="00576C14">
            <w:pPr>
              <w:autoSpaceDE w:val="0"/>
              <w:autoSpaceDN w:val="0"/>
              <w:adjustRightInd w:val="0"/>
              <w:spacing w:after="0" w:line="320" w:lineRule="atLeast"/>
              <w:ind w:left="60" w:right="60"/>
              <w:jc w:val="right"/>
              <w:rPr>
                <w:rFonts w:cs="Arial"/>
                <w:color w:val="000000"/>
                <w:lang w:val="nl-NL"/>
              </w:rPr>
            </w:pPr>
            <w:r w:rsidRPr="000B3455">
              <w:rPr>
                <w:rFonts w:cs="Arial"/>
                <w:color w:val="000000"/>
                <w:lang w:val="nl-NL"/>
              </w:rPr>
              <w:t>9,0915614</w:t>
            </w:r>
          </w:p>
        </w:tc>
      </w:tr>
    </w:tbl>
    <w:p w:rsidR="00665A0D" w:rsidRDefault="00665A0D" w:rsidP="00665A0D">
      <w:pPr>
        <w:tabs>
          <w:tab w:val="left" w:pos="7371"/>
        </w:tabs>
        <w:spacing w:line="360" w:lineRule="auto"/>
        <w:ind w:right="1989"/>
        <w:jc w:val="both"/>
      </w:pPr>
      <w:r>
        <w:rPr>
          <w:rFonts w:cstheme="minorHAnsi"/>
          <w:i/>
        </w:rPr>
        <w:t>Δ PR_CSH_BON</w:t>
      </w:r>
      <w:r>
        <w:rPr>
          <w:rFonts w:eastAsia="SymbolMT" w:cstheme="minorHAnsi"/>
          <w:i/>
          <w:vertAlign w:val="subscript"/>
          <w:lang w:eastAsia="nl-NL"/>
        </w:rPr>
        <w:t>it</w:t>
      </w:r>
      <w:r>
        <w:rPr>
          <w:rFonts w:eastAsia="SymbolMT" w:cstheme="minorHAnsi"/>
          <w:lang w:eastAsia="nl-NL"/>
        </w:rPr>
        <w:t xml:space="preserve"> </w:t>
      </w:r>
      <w:r>
        <w:rPr>
          <w:rFonts w:eastAsia="SymbolMT" w:cstheme="minorHAnsi"/>
          <w:i/>
          <w:lang w:eastAsia="nl-NL"/>
        </w:rPr>
        <w:t>= α</w:t>
      </w:r>
      <w:r>
        <w:rPr>
          <w:rFonts w:eastAsia="SymbolMT" w:cstheme="minorHAnsi"/>
          <w:i/>
          <w:vertAlign w:val="subscript"/>
          <w:lang w:eastAsia="nl-NL"/>
        </w:rPr>
        <w:t>0</w:t>
      </w:r>
      <w:r>
        <w:rPr>
          <w:rFonts w:eastAsia="SymbolMT" w:cstheme="minorHAnsi"/>
          <w:i/>
          <w:lang w:eastAsia="nl-NL"/>
        </w:rPr>
        <w:t xml:space="preserve"> + α</w:t>
      </w:r>
      <w:r>
        <w:rPr>
          <w:rFonts w:eastAsia="SymbolMT" w:cstheme="minorHAnsi"/>
          <w:i/>
          <w:vertAlign w:val="subscript"/>
          <w:lang w:eastAsia="nl-NL"/>
        </w:rPr>
        <w:t xml:space="preserve">1 </w:t>
      </w:r>
      <w:r>
        <w:rPr>
          <w:rFonts w:eastAsia="SymbolMT" w:cstheme="minorHAnsi"/>
          <w:i/>
          <w:lang w:eastAsia="nl-NL"/>
        </w:rPr>
        <w:t>Δ PR_FV_STO</w:t>
      </w:r>
      <w:r>
        <w:rPr>
          <w:rFonts w:eastAsia="SymbolMT" w:cstheme="minorHAnsi"/>
          <w:i/>
          <w:vertAlign w:val="subscript"/>
          <w:lang w:eastAsia="nl-NL"/>
        </w:rPr>
        <w:t>it</w:t>
      </w:r>
      <w:r>
        <w:rPr>
          <w:rFonts w:eastAsia="SymbolMT" w:cstheme="minorHAnsi"/>
          <w:i/>
          <w:lang w:eastAsia="nl-NL"/>
        </w:rPr>
        <w:t xml:space="preserve"> +  α</w:t>
      </w:r>
      <w:r>
        <w:rPr>
          <w:rFonts w:eastAsia="SymbolMT" w:cstheme="minorHAnsi"/>
          <w:i/>
          <w:vertAlign w:val="subscript"/>
          <w:lang w:eastAsia="nl-NL"/>
        </w:rPr>
        <w:t>2</w:t>
      </w:r>
      <w:r>
        <w:rPr>
          <w:rFonts w:eastAsia="SymbolMT" w:cstheme="minorHAnsi"/>
          <w:i/>
          <w:lang w:eastAsia="nl-NL"/>
        </w:rPr>
        <w:t xml:space="preserve"> 2004 + α</w:t>
      </w:r>
      <w:r>
        <w:rPr>
          <w:rFonts w:eastAsia="SymbolMT" w:cstheme="minorHAnsi"/>
          <w:i/>
          <w:vertAlign w:val="subscript"/>
          <w:lang w:eastAsia="nl-NL"/>
        </w:rPr>
        <w:t xml:space="preserve">3 </w:t>
      </w:r>
      <w:r>
        <w:rPr>
          <w:rFonts w:eastAsia="SymbolMT" w:cstheme="minorHAnsi"/>
          <w:i/>
          <w:lang w:eastAsia="nl-NL"/>
        </w:rPr>
        <w:t>2005 + α</w:t>
      </w:r>
      <w:r>
        <w:rPr>
          <w:rFonts w:eastAsia="SymbolMT" w:cstheme="minorHAnsi"/>
          <w:i/>
          <w:vertAlign w:val="subscript"/>
          <w:lang w:eastAsia="nl-NL"/>
        </w:rPr>
        <w:t>4</w:t>
      </w:r>
      <w:r>
        <w:rPr>
          <w:rFonts w:eastAsia="SymbolMT" w:cstheme="minorHAnsi"/>
          <w:i/>
          <w:lang w:eastAsia="nl-NL"/>
        </w:rPr>
        <w:t xml:space="preserve"> 2006 + α</w:t>
      </w:r>
      <w:r>
        <w:rPr>
          <w:rFonts w:eastAsia="SymbolMT" w:cstheme="minorHAnsi"/>
          <w:i/>
          <w:vertAlign w:val="subscript"/>
          <w:lang w:eastAsia="nl-NL"/>
        </w:rPr>
        <w:t xml:space="preserve">5 </w:t>
      </w:r>
      <w:r>
        <w:rPr>
          <w:rFonts w:cstheme="minorHAnsi"/>
          <w:i/>
        </w:rPr>
        <w:t xml:space="preserve">2007 + </w:t>
      </w:r>
      <w:r>
        <w:rPr>
          <w:rFonts w:eastAsia="SymbolMT" w:cstheme="minorHAnsi"/>
          <w:i/>
          <w:lang w:eastAsia="nl-NL"/>
        </w:rPr>
        <w:t>α</w:t>
      </w:r>
      <w:r>
        <w:rPr>
          <w:rFonts w:eastAsia="SymbolMT" w:cstheme="minorHAnsi"/>
          <w:i/>
          <w:vertAlign w:val="subscript"/>
          <w:lang w:eastAsia="nl-NL"/>
        </w:rPr>
        <w:t xml:space="preserve">6 </w:t>
      </w:r>
      <w:r>
        <w:rPr>
          <w:i/>
        </w:rPr>
        <w:t>LN_ASSETS</w:t>
      </w:r>
      <w:r>
        <w:rPr>
          <w:i/>
          <w:vertAlign w:val="subscript"/>
        </w:rPr>
        <w:t>it</w:t>
      </w:r>
      <w:r>
        <w:rPr>
          <w:i/>
        </w:rPr>
        <w:t xml:space="preserve"> + </w:t>
      </w:r>
      <w:r>
        <w:rPr>
          <w:rFonts w:eastAsia="SymbolMT" w:cstheme="minorHAnsi"/>
          <w:i/>
          <w:lang w:eastAsia="nl-NL"/>
        </w:rPr>
        <w:t>α</w:t>
      </w:r>
      <w:r>
        <w:rPr>
          <w:rFonts w:cstheme="minorHAnsi"/>
          <w:i/>
          <w:vertAlign w:val="subscript"/>
        </w:rPr>
        <w:t xml:space="preserve">7 </w:t>
      </w:r>
      <w:r>
        <w:rPr>
          <w:i/>
        </w:rPr>
        <w:t>MTB</w:t>
      </w:r>
      <w:r>
        <w:rPr>
          <w:i/>
          <w:vertAlign w:val="subscript"/>
        </w:rPr>
        <w:t>it</w:t>
      </w:r>
      <w:r>
        <w:rPr>
          <w:rFonts w:cstheme="minorHAnsi"/>
          <w:i/>
        </w:rPr>
        <w:t xml:space="preserve"> + </w:t>
      </w:r>
      <w:r>
        <w:rPr>
          <w:rFonts w:eastAsia="SymbolMT" w:cstheme="minorHAnsi"/>
          <w:i/>
          <w:lang w:eastAsia="nl-NL"/>
        </w:rPr>
        <w:t>α</w:t>
      </w:r>
      <w:r>
        <w:rPr>
          <w:rFonts w:cstheme="minorHAnsi"/>
          <w:i/>
          <w:vertAlign w:val="subscript"/>
        </w:rPr>
        <w:t xml:space="preserve">8 </w:t>
      </w:r>
      <w:r>
        <w:rPr>
          <w:i/>
        </w:rPr>
        <w:t>RET</w:t>
      </w:r>
      <w:r>
        <w:rPr>
          <w:i/>
          <w:vertAlign w:val="subscript"/>
        </w:rPr>
        <w:t>it</w:t>
      </w:r>
      <w:r>
        <w:rPr>
          <w:rFonts w:cstheme="minorHAnsi"/>
          <w:i/>
        </w:rPr>
        <w:t xml:space="preserve"> + </w:t>
      </w:r>
      <w:r>
        <w:rPr>
          <w:rFonts w:eastAsia="SymbolMT" w:cstheme="minorHAnsi"/>
          <w:i/>
          <w:lang w:eastAsia="nl-NL"/>
        </w:rPr>
        <w:t>α</w:t>
      </w:r>
      <w:r>
        <w:rPr>
          <w:rFonts w:cstheme="minorHAnsi"/>
          <w:i/>
          <w:vertAlign w:val="subscript"/>
        </w:rPr>
        <w:t xml:space="preserve">9 </w:t>
      </w:r>
      <w:r>
        <w:rPr>
          <w:i/>
        </w:rPr>
        <w:t>VOL</w:t>
      </w:r>
      <w:r>
        <w:rPr>
          <w:i/>
          <w:vertAlign w:val="subscript"/>
        </w:rPr>
        <w:t>it</w:t>
      </w:r>
      <w:r>
        <w:rPr>
          <w:rFonts w:cstheme="minorHAnsi"/>
          <w:i/>
        </w:rPr>
        <w:t xml:space="preserve"> + </w:t>
      </w:r>
      <w:r>
        <w:rPr>
          <w:rFonts w:eastAsia="SymbolMT" w:cstheme="minorHAnsi"/>
          <w:i/>
          <w:lang w:eastAsia="nl-NL"/>
        </w:rPr>
        <w:t>α</w:t>
      </w:r>
      <w:r>
        <w:rPr>
          <w:rFonts w:cstheme="minorHAnsi"/>
          <w:i/>
          <w:vertAlign w:val="subscript"/>
        </w:rPr>
        <w:t xml:space="preserve">10 </w:t>
      </w:r>
      <w:r>
        <w:rPr>
          <w:i/>
        </w:rPr>
        <w:t>BOA_SIZE</w:t>
      </w:r>
      <w:r>
        <w:rPr>
          <w:i/>
          <w:vertAlign w:val="subscript"/>
        </w:rPr>
        <w:t>it</w:t>
      </w:r>
      <w:r>
        <w:rPr>
          <w:rFonts w:cstheme="minorHAnsi"/>
          <w:i/>
        </w:rPr>
        <w:t xml:space="preserve"> + </w:t>
      </w:r>
      <w:r>
        <w:rPr>
          <w:rFonts w:eastAsia="SymbolMT" w:cstheme="minorHAnsi"/>
          <w:i/>
          <w:lang w:eastAsia="nl-NL"/>
        </w:rPr>
        <w:t>α</w:t>
      </w:r>
      <w:r>
        <w:rPr>
          <w:rFonts w:cstheme="minorHAnsi"/>
          <w:i/>
          <w:vertAlign w:val="subscript"/>
        </w:rPr>
        <w:t xml:space="preserve">11 </w:t>
      </w:r>
      <w:r>
        <w:rPr>
          <w:i/>
        </w:rPr>
        <w:t>LIQ_CON</w:t>
      </w:r>
      <w:r>
        <w:rPr>
          <w:i/>
          <w:vertAlign w:val="subscript"/>
        </w:rPr>
        <w:t>it</w:t>
      </w:r>
      <w:r>
        <w:rPr>
          <w:rFonts w:cstheme="minorHAnsi"/>
          <w:i/>
        </w:rPr>
        <w:t xml:space="preserve"> + ∑ </w:t>
      </w:r>
      <w:r>
        <w:rPr>
          <w:i/>
        </w:rPr>
        <w:t>IND_DUMM</w:t>
      </w:r>
      <w:r>
        <w:rPr>
          <w:i/>
          <w:vertAlign w:val="subscript"/>
        </w:rPr>
        <w:t>it</w:t>
      </w:r>
      <w:r>
        <w:rPr>
          <w:i/>
        </w:rPr>
        <w:t xml:space="preserve"> + </w:t>
      </w:r>
      <w:r>
        <w:rPr>
          <w:rFonts w:hAnsi="Times New Roman" w:cs="Times New Roman"/>
          <w:i/>
        </w:rPr>
        <w:t>ɛ</w:t>
      </w:r>
      <w:r>
        <w:rPr>
          <w:i/>
          <w:vertAlign w:val="subscript"/>
        </w:rPr>
        <w:t>it</w:t>
      </w:r>
    </w:p>
    <w:p w:rsidR="00CE06C7" w:rsidRPr="000B3455" w:rsidRDefault="00665A0D" w:rsidP="00665A0D">
      <w:pPr>
        <w:pStyle w:val="Caption"/>
        <w:rPr>
          <w:rFonts w:cstheme="minorHAnsi"/>
          <w:b w:val="0"/>
        </w:rPr>
      </w:pPr>
      <w:bookmarkStart w:id="168" w:name="_Ref298859852"/>
      <w:r>
        <w:t xml:space="preserve">Table </w:t>
      </w:r>
      <w:fldSimple w:instr=" SEQ Table \* ARABIC ">
        <w:r w:rsidR="001D5F9A">
          <w:rPr>
            <w:noProof/>
          </w:rPr>
          <w:t>24</w:t>
        </w:r>
      </w:fldSimple>
      <w:bookmarkEnd w:id="168"/>
      <w:r>
        <w:t xml:space="preserve">: </w:t>
      </w:r>
      <w:r w:rsidRPr="00665A0D">
        <w:rPr>
          <w:color w:val="auto"/>
        </w:rPr>
        <w:t>Summary of SPSS model</w:t>
      </w:r>
    </w:p>
    <w:tbl>
      <w:tblPr>
        <w:tblW w:w="788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8"/>
        <w:gridCol w:w="1272"/>
        <w:gridCol w:w="1456"/>
        <w:gridCol w:w="1009"/>
        <w:gridCol w:w="1398"/>
        <w:gridCol w:w="1010"/>
        <w:gridCol w:w="1010"/>
      </w:tblGrid>
      <w:tr w:rsidR="00E63EF0" w:rsidRPr="000B3455" w:rsidTr="00665A0D">
        <w:trPr>
          <w:cantSplit/>
          <w:tblHeader/>
        </w:trPr>
        <w:tc>
          <w:tcPr>
            <w:tcW w:w="7883" w:type="dxa"/>
            <w:gridSpan w:val="7"/>
            <w:tcBorders>
              <w:top w:val="nil"/>
              <w:left w:val="nil"/>
              <w:bottom w:val="nil"/>
              <w:right w:val="nil"/>
            </w:tcBorders>
            <w:shd w:val="clear" w:color="auto" w:fill="FFFFFF"/>
            <w:vAlign w:val="center"/>
          </w:tcPr>
          <w:p w:rsidR="00E63EF0" w:rsidRPr="00665A0D" w:rsidRDefault="00E63EF0" w:rsidP="00576C14">
            <w:pPr>
              <w:autoSpaceDE w:val="0"/>
              <w:autoSpaceDN w:val="0"/>
              <w:adjustRightInd w:val="0"/>
              <w:spacing w:after="0" w:line="320" w:lineRule="atLeast"/>
              <w:ind w:left="60" w:right="60"/>
              <w:jc w:val="center"/>
              <w:rPr>
                <w:rFonts w:cs="Arial"/>
                <w:b/>
                <w:bCs/>
                <w:color w:val="000000"/>
              </w:rPr>
            </w:pPr>
          </w:p>
          <w:p w:rsidR="00E63EF0" w:rsidRPr="000B3455" w:rsidRDefault="00E63EF0" w:rsidP="00576C14">
            <w:pPr>
              <w:autoSpaceDE w:val="0"/>
              <w:autoSpaceDN w:val="0"/>
              <w:adjustRightInd w:val="0"/>
              <w:spacing w:after="0" w:line="320" w:lineRule="atLeast"/>
              <w:ind w:left="60" w:right="60"/>
              <w:jc w:val="center"/>
              <w:rPr>
                <w:rFonts w:cs="Arial"/>
                <w:color w:val="000000"/>
                <w:lang w:val="nl-NL"/>
              </w:rPr>
            </w:pPr>
            <w:r w:rsidRPr="000B3455">
              <w:rPr>
                <w:rFonts w:cs="Arial"/>
                <w:b/>
                <w:bCs/>
                <w:color w:val="000000"/>
                <w:lang w:val="nl-NL"/>
              </w:rPr>
              <w:t>ANOVA</w:t>
            </w:r>
          </w:p>
        </w:tc>
      </w:tr>
      <w:tr w:rsidR="00E63EF0" w:rsidRPr="000B3455" w:rsidTr="00665A0D">
        <w:trPr>
          <w:cantSplit/>
          <w:tblHeader/>
        </w:trPr>
        <w:tc>
          <w:tcPr>
            <w:tcW w:w="2000" w:type="dxa"/>
            <w:gridSpan w:val="2"/>
            <w:tcBorders>
              <w:top w:val="single" w:sz="16" w:space="0" w:color="000000"/>
              <w:left w:val="single" w:sz="16" w:space="0" w:color="000000"/>
              <w:bottom w:val="single" w:sz="16" w:space="0" w:color="000000"/>
              <w:right w:val="single" w:sz="16" w:space="0" w:color="000000"/>
            </w:tcBorders>
            <w:shd w:val="clear" w:color="auto" w:fill="FFFFFF"/>
          </w:tcPr>
          <w:p w:rsidR="00E63EF0" w:rsidRPr="000B3455" w:rsidRDefault="00E63EF0" w:rsidP="00576C14">
            <w:pPr>
              <w:autoSpaceDE w:val="0"/>
              <w:autoSpaceDN w:val="0"/>
              <w:adjustRightInd w:val="0"/>
              <w:spacing w:after="0" w:line="320" w:lineRule="atLeast"/>
              <w:ind w:left="60" w:right="60"/>
              <w:rPr>
                <w:rFonts w:cs="Arial"/>
                <w:color w:val="000000"/>
                <w:lang w:val="nl-NL"/>
              </w:rPr>
            </w:pPr>
            <w:r w:rsidRPr="000B3455">
              <w:rPr>
                <w:rFonts w:cs="Arial"/>
                <w:color w:val="000000"/>
                <w:lang w:val="nl-NL"/>
              </w:rPr>
              <w:t>Model</w:t>
            </w:r>
          </w:p>
        </w:tc>
        <w:tc>
          <w:tcPr>
            <w:tcW w:w="1456" w:type="dxa"/>
            <w:tcBorders>
              <w:top w:val="single" w:sz="16" w:space="0" w:color="000000"/>
              <w:left w:val="single" w:sz="16" w:space="0" w:color="000000"/>
              <w:bottom w:val="single" w:sz="16" w:space="0" w:color="000000"/>
            </w:tcBorders>
            <w:shd w:val="clear" w:color="auto" w:fill="FFFFFF"/>
            <w:vAlign w:val="bottom"/>
          </w:tcPr>
          <w:p w:rsidR="00E63EF0" w:rsidRPr="000B3455" w:rsidRDefault="00E63EF0" w:rsidP="00576C14">
            <w:pPr>
              <w:autoSpaceDE w:val="0"/>
              <w:autoSpaceDN w:val="0"/>
              <w:adjustRightInd w:val="0"/>
              <w:spacing w:after="0" w:line="320" w:lineRule="atLeast"/>
              <w:ind w:left="60" w:right="60"/>
              <w:jc w:val="center"/>
              <w:rPr>
                <w:rFonts w:cs="Arial"/>
                <w:color w:val="000000"/>
                <w:lang w:val="nl-NL"/>
              </w:rPr>
            </w:pPr>
            <w:r w:rsidRPr="000B3455">
              <w:rPr>
                <w:rFonts w:cs="Arial"/>
                <w:color w:val="000000"/>
                <w:lang w:val="nl-NL"/>
              </w:rPr>
              <w:t>Sum of Squares</w:t>
            </w:r>
          </w:p>
        </w:tc>
        <w:tc>
          <w:tcPr>
            <w:tcW w:w="1009" w:type="dxa"/>
            <w:tcBorders>
              <w:top w:val="single" w:sz="16" w:space="0" w:color="000000"/>
              <w:bottom w:val="single" w:sz="16" w:space="0" w:color="000000"/>
            </w:tcBorders>
            <w:shd w:val="clear" w:color="auto" w:fill="FFFFFF"/>
            <w:vAlign w:val="bottom"/>
          </w:tcPr>
          <w:p w:rsidR="00E63EF0" w:rsidRPr="000B3455" w:rsidRDefault="00E63EF0" w:rsidP="00576C14">
            <w:pPr>
              <w:autoSpaceDE w:val="0"/>
              <w:autoSpaceDN w:val="0"/>
              <w:adjustRightInd w:val="0"/>
              <w:spacing w:after="0" w:line="320" w:lineRule="atLeast"/>
              <w:ind w:left="60" w:right="60"/>
              <w:jc w:val="center"/>
              <w:rPr>
                <w:rFonts w:cs="Arial"/>
                <w:color w:val="000000"/>
                <w:lang w:val="nl-NL"/>
              </w:rPr>
            </w:pPr>
            <w:r w:rsidRPr="000B3455">
              <w:rPr>
                <w:rFonts w:cs="Arial"/>
                <w:color w:val="000000"/>
                <w:lang w:val="nl-NL"/>
              </w:rPr>
              <w:t>df</w:t>
            </w:r>
          </w:p>
        </w:tc>
        <w:tc>
          <w:tcPr>
            <w:tcW w:w="1398" w:type="dxa"/>
            <w:tcBorders>
              <w:top w:val="single" w:sz="16" w:space="0" w:color="000000"/>
              <w:bottom w:val="single" w:sz="16" w:space="0" w:color="000000"/>
            </w:tcBorders>
            <w:shd w:val="clear" w:color="auto" w:fill="FFFFFF"/>
            <w:vAlign w:val="bottom"/>
          </w:tcPr>
          <w:p w:rsidR="00E63EF0" w:rsidRPr="000B3455" w:rsidRDefault="00E63EF0" w:rsidP="00576C14">
            <w:pPr>
              <w:autoSpaceDE w:val="0"/>
              <w:autoSpaceDN w:val="0"/>
              <w:adjustRightInd w:val="0"/>
              <w:spacing w:after="0" w:line="320" w:lineRule="atLeast"/>
              <w:ind w:left="60" w:right="60"/>
              <w:jc w:val="center"/>
              <w:rPr>
                <w:rFonts w:cs="Arial"/>
                <w:color w:val="000000"/>
                <w:lang w:val="nl-NL"/>
              </w:rPr>
            </w:pPr>
            <w:r w:rsidRPr="000B3455">
              <w:rPr>
                <w:rFonts w:cs="Arial"/>
                <w:color w:val="000000"/>
                <w:lang w:val="nl-NL"/>
              </w:rPr>
              <w:t>Mean Square</w:t>
            </w:r>
          </w:p>
        </w:tc>
        <w:tc>
          <w:tcPr>
            <w:tcW w:w="1010" w:type="dxa"/>
            <w:tcBorders>
              <w:top w:val="single" w:sz="16" w:space="0" w:color="000000"/>
              <w:bottom w:val="single" w:sz="16" w:space="0" w:color="000000"/>
            </w:tcBorders>
            <w:shd w:val="clear" w:color="auto" w:fill="FFFFFF"/>
            <w:vAlign w:val="bottom"/>
          </w:tcPr>
          <w:p w:rsidR="00E63EF0" w:rsidRPr="000B3455" w:rsidRDefault="00E63EF0" w:rsidP="00576C14">
            <w:pPr>
              <w:autoSpaceDE w:val="0"/>
              <w:autoSpaceDN w:val="0"/>
              <w:adjustRightInd w:val="0"/>
              <w:spacing w:after="0" w:line="320" w:lineRule="atLeast"/>
              <w:ind w:left="60" w:right="60"/>
              <w:jc w:val="center"/>
              <w:rPr>
                <w:rFonts w:cs="Arial"/>
                <w:color w:val="000000"/>
                <w:lang w:val="nl-NL"/>
              </w:rPr>
            </w:pPr>
            <w:r w:rsidRPr="000B3455">
              <w:rPr>
                <w:rFonts w:cs="Arial"/>
                <w:color w:val="000000"/>
                <w:lang w:val="nl-NL"/>
              </w:rPr>
              <w:t>F</w:t>
            </w:r>
          </w:p>
        </w:tc>
        <w:tc>
          <w:tcPr>
            <w:tcW w:w="1010" w:type="dxa"/>
            <w:tcBorders>
              <w:top w:val="single" w:sz="16" w:space="0" w:color="000000"/>
              <w:bottom w:val="single" w:sz="16" w:space="0" w:color="000000"/>
              <w:right w:val="single" w:sz="16" w:space="0" w:color="000000"/>
            </w:tcBorders>
            <w:shd w:val="clear" w:color="auto" w:fill="FFFFFF"/>
            <w:vAlign w:val="bottom"/>
          </w:tcPr>
          <w:p w:rsidR="00E63EF0" w:rsidRPr="000B3455" w:rsidRDefault="00E63EF0" w:rsidP="00576C14">
            <w:pPr>
              <w:autoSpaceDE w:val="0"/>
              <w:autoSpaceDN w:val="0"/>
              <w:adjustRightInd w:val="0"/>
              <w:spacing w:after="0" w:line="320" w:lineRule="atLeast"/>
              <w:ind w:left="60" w:right="60"/>
              <w:jc w:val="center"/>
              <w:rPr>
                <w:rFonts w:cs="Arial"/>
                <w:color w:val="000000"/>
                <w:lang w:val="nl-NL"/>
              </w:rPr>
            </w:pPr>
            <w:r w:rsidRPr="000B3455">
              <w:rPr>
                <w:rFonts w:cs="Arial"/>
                <w:color w:val="000000"/>
                <w:lang w:val="nl-NL"/>
              </w:rPr>
              <w:t>Sig.</w:t>
            </w:r>
          </w:p>
        </w:tc>
      </w:tr>
      <w:tr w:rsidR="00E63EF0" w:rsidRPr="000B3455" w:rsidTr="00665A0D">
        <w:trPr>
          <w:cantSplit/>
          <w:tblHeader/>
        </w:trPr>
        <w:tc>
          <w:tcPr>
            <w:tcW w:w="728" w:type="dxa"/>
            <w:vMerge w:val="restart"/>
            <w:tcBorders>
              <w:top w:val="single" w:sz="16" w:space="0" w:color="000000"/>
              <w:left w:val="single" w:sz="16" w:space="0" w:color="000000"/>
              <w:bottom w:val="single" w:sz="16" w:space="0" w:color="000000"/>
              <w:right w:val="nil"/>
            </w:tcBorders>
            <w:shd w:val="clear" w:color="auto" w:fill="FFFFFF"/>
          </w:tcPr>
          <w:p w:rsidR="00E63EF0" w:rsidRPr="000B3455" w:rsidRDefault="00E63EF0" w:rsidP="00576C14">
            <w:pPr>
              <w:autoSpaceDE w:val="0"/>
              <w:autoSpaceDN w:val="0"/>
              <w:adjustRightInd w:val="0"/>
              <w:spacing w:after="0" w:line="320" w:lineRule="atLeast"/>
              <w:ind w:left="60" w:right="60"/>
              <w:rPr>
                <w:rFonts w:cs="Arial"/>
                <w:color w:val="000000"/>
                <w:lang w:val="nl-NL"/>
              </w:rPr>
            </w:pPr>
            <w:r w:rsidRPr="000B3455">
              <w:rPr>
                <w:rFonts w:cs="Arial"/>
                <w:color w:val="000000"/>
                <w:lang w:val="nl-NL"/>
              </w:rPr>
              <w:t>1</w:t>
            </w:r>
          </w:p>
        </w:tc>
        <w:tc>
          <w:tcPr>
            <w:tcW w:w="1272" w:type="dxa"/>
            <w:tcBorders>
              <w:top w:val="single" w:sz="16" w:space="0" w:color="000000"/>
              <w:left w:val="nil"/>
              <w:bottom w:val="nil"/>
              <w:right w:val="single" w:sz="16" w:space="0" w:color="000000"/>
            </w:tcBorders>
            <w:shd w:val="clear" w:color="auto" w:fill="FFFFFF"/>
          </w:tcPr>
          <w:p w:rsidR="00E63EF0" w:rsidRPr="000B3455" w:rsidRDefault="00E63EF0" w:rsidP="00576C14">
            <w:pPr>
              <w:autoSpaceDE w:val="0"/>
              <w:autoSpaceDN w:val="0"/>
              <w:adjustRightInd w:val="0"/>
              <w:spacing w:after="0" w:line="320" w:lineRule="atLeast"/>
              <w:ind w:left="60" w:right="60"/>
              <w:rPr>
                <w:rFonts w:cs="Arial"/>
                <w:color w:val="000000"/>
                <w:lang w:val="nl-NL"/>
              </w:rPr>
            </w:pPr>
            <w:r w:rsidRPr="000B3455">
              <w:rPr>
                <w:rFonts w:cs="Arial"/>
                <w:color w:val="000000"/>
                <w:lang w:val="nl-NL"/>
              </w:rPr>
              <w:t>Regression</w:t>
            </w:r>
          </w:p>
        </w:tc>
        <w:tc>
          <w:tcPr>
            <w:tcW w:w="1456" w:type="dxa"/>
            <w:tcBorders>
              <w:top w:val="single" w:sz="16" w:space="0" w:color="000000"/>
              <w:left w:val="single" w:sz="16" w:space="0" w:color="000000"/>
              <w:bottom w:val="nil"/>
            </w:tcBorders>
            <w:shd w:val="clear" w:color="auto" w:fill="FFFFFF"/>
          </w:tcPr>
          <w:p w:rsidR="00E63EF0" w:rsidRPr="000B3455" w:rsidRDefault="00E63EF0" w:rsidP="00576C14">
            <w:pPr>
              <w:autoSpaceDE w:val="0"/>
              <w:autoSpaceDN w:val="0"/>
              <w:adjustRightInd w:val="0"/>
              <w:spacing w:after="0" w:line="320" w:lineRule="atLeast"/>
              <w:ind w:left="60" w:right="60"/>
              <w:jc w:val="right"/>
              <w:rPr>
                <w:rFonts w:cs="Arial"/>
                <w:color w:val="000000"/>
                <w:lang w:val="nl-NL"/>
              </w:rPr>
            </w:pPr>
            <w:r w:rsidRPr="000B3455">
              <w:rPr>
                <w:rFonts w:cs="Arial"/>
                <w:color w:val="000000"/>
                <w:lang w:val="nl-NL"/>
              </w:rPr>
              <w:t>6398,705</w:t>
            </w:r>
          </w:p>
        </w:tc>
        <w:tc>
          <w:tcPr>
            <w:tcW w:w="1009" w:type="dxa"/>
            <w:tcBorders>
              <w:top w:val="single" w:sz="16" w:space="0" w:color="000000"/>
              <w:bottom w:val="nil"/>
            </w:tcBorders>
            <w:shd w:val="clear" w:color="auto" w:fill="FFFFFF"/>
          </w:tcPr>
          <w:p w:rsidR="00E63EF0" w:rsidRPr="000B3455" w:rsidRDefault="00E63EF0" w:rsidP="00576C14">
            <w:pPr>
              <w:autoSpaceDE w:val="0"/>
              <w:autoSpaceDN w:val="0"/>
              <w:adjustRightInd w:val="0"/>
              <w:spacing w:after="0" w:line="320" w:lineRule="atLeast"/>
              <w:ind w:left="60" w:right="60"/>
              <w:jc w:val="right"/>
              <w:rPr>
                <w:rFonts w:cs="Arial"/>
                <w:color w:val="000000"/>
                <w:lang w:val="nl-NL"/>
              </w:rPr>
            </w:pPr>
            <w:r w:rsidRPr="000B3455">
              <w:rPr>
                <w:rFonts w:cs="Arial"/>
                <w:color w:val="000000"/>
                <w:lang w:val="nl-NL"/>
              </w:rPr>
              <w:t>18</w:t>
            </w:r>
          </w:p>
        </w:tc>
        <w:tc>
          <w:tcPr>
            <w:tcW w:w="1398" w:type="dxa"/>
            <w:tcBorders>
              <w:top w:val="single" w:sz="16" w:space="0" w:color="000000"/>
              <w:bottom w:val="nil"/>
            </w:tcBorders>
            <w:shd w:val="clear" w:color="auto" w:fill="FFFFFF"/>
          </w:tcPr>
          <w:p w:rsidR="00E63EF0" w:rsidRPr="000B3455" w:rsidRDefault="00E63EF0" w:rsidP="00576C14">
            <w:pPr>
              <w:autoSpaceDE w:val="0"/>
              <w:autoSpaceDN w:val="0"/>
              <w:adjustRightInd w:val="0"/>
              <w:spacing w:after="0" w:line="320" w:lineRule="atLeast"/>
              <w:ind w:left="60" w:right="60"/>
              <w:jc w:val="right"/>
              <w:rPr>
                <w:rFonts w:cs="Arial"/>
                <w:color w:val="000000"/>
                <w:lang w:val="nl-NL"/>
              </w:rPr>
            </w:pPr>
            <w:r w:rsidRPr="000B3455">
              <w:rPr>
                <w:rFonts w:cs="Arial"/>
                <w:color w:val="000000"/>
                <w:lang w:val="nl-NL"/>
              </w:rPr>
              <w:t>355,484</w:t>
            </w:r>
          </w:p>
        </w:tc>
        <w:tc>
          <w:tcPr>
            <w:tcW w:w="1010" w:type="dxa"/>
            <w:tcBorders>
              <w:top w:val="single" w:sz="16" w:space="0" w:color="000000"/>
              <w:bottom w:val="nil"/>
            </w:tcBorders>
            <w:shd w:val="clear" w:color="auto" w:fill="FFFFFF"/>
          </w:tcPr>
          <w:p w:rsidR="00E63EF0" w:rsidRPr="000B3455" w:rsidRDefault="00E63EF0" w:rsidP="00576C14">
            <w:pPr>
              <w:autoSpaceDE w:val="0"/>
              <w:autoSpaceDN w:val="0"/>
              <w:adjustRightInd w:val="0"/>
              <w:spacing w:after="0" w:line="320" w:lineRule="atLeast"/>
              <w:ind w:left="60" w:right="60"/>
              <w:jc w:val="right"/>
              <w:rPr>
                <w:rFonts w:cs="Arial"/>
                <w:color w:val="000000"/>
                <w:lang w:val="nl-NL"/>
              </w:rPr>
            </w:pPr>
            <w:r w:rsidRPr="000B3455">
              <w:rPr>
                <w:rFonts w:cs="Arial"/>
                <w:color w:val="000000"/>
                <w:lang w:val="nl-NL"/>
              </w:rPr>
              <w:t>4,301</w:t>
            </w:r>
          </w:p>
        </w:tc>
        <w:tc>
          <w:tcPr>
            <w:tcW w:w="1010" w:type="dxa"/>
            <w:tcBorders>
              <w:top w:val="single" w:sz="16" w:space="0" w:color="000000"/>
              <w:bottom w:val="nil"/>
              <w:right w:val="single" w:sz="16" w:space="0" w:color="000000"/>
            </w:tcBorders>
            <w:shd w:val="clear" w:color="auto" w:fill="FFFFFF"/>
          </w:tcPr>
          <w:p w:rsidR="00E63EF0" w:rsidRPr="00B92B41" w:rsidRDefault="00E63EF0" w:rsidP="00576C14">
            <w:pPr>
              <w:autoSpaceDE w:val="0"/>
              <w:autoSpaceDN w:val="0"/>
              <w:adjustRightInd w:val="0"/>
              <w:spacing w:after="0" w:line="320" w:lineRule="atLeast"/>
              <w:ind w:left="60" w:right="60"/>
              <w:jc w:val="right"/>
              <w:rPr>
                <w:rFonts w:cs="Arial"/>
                <w:color w:val="000000"/>
                <w:lang w:val="nl-NL"/>
              </w:rPr>
            </w:pPr>
            <w:r w:rsidRPr="000B3455">
              <w:rPr>
                <w:rFonts w:cs="Arial"/>
                <w:color w:val="000000"/>
                <w:lang w:val="nl-NL"/>
              </w:rPr>
              <w:t>,000</w:t>
            </w:r>
            <w:r w:rsidR="00B92B41">
              <w:rPr>
                <w:rFonts w:cs="Arial"/>
                <w:color w:val="000000"/>
                <w:lang w:val="nl-NL"/>
              </w:rPr>
              <w:t>***</w:t>
            </w:r>
          </w:p>
        </w:tc>
      </w:tr>
      <w:tr w:rsidR="00E63EF0" w:rsidRPr="000B3455" w:rsidTr="00665A0D">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E63EF0" w:rsidRPr="000B3455" w:rsidRDefault="00E63EF0" w:rsidP="00576C14">
            <w:pPr>
              <w:autoSpaceDE w:val="0"/>
              <w:autoSpaceDN w:val="0"/>
              <w:adjustRightInd w:val="0"/>
              <w:spacing w:after="0" w:line="240" w:lineRule="auto"/>
              <w:rPr>
                <w:rFonts w:cs="Arial"/>
                <w:color w:val="000000"/>
                <w:lang w:val="nl-NL"/>
              </w:rPr>
            </w:pPr>
          </w:p>
        </w:tc>
        <w:tc>
          <w:tcPr>
            <w:tcW w:w="1272" w:type="dxa"/>
            <w:tcBorders>
              <w:top w:val="nil"/>
              <w:left w:val="nil"/>
              <w:bottom w:val="nil"/>
              <w:right w:val="single" w:sz="16" w:space="0" w:color="000000"/>
            </w:tcBorders>
            <w:shd w:val="clear" w:color="auto" w:fill="FFFFFF"/>
          </w:tcPr>
          <w:p w:rsidR="00E63EF0" w:rsidRPr="000B3455" w:rsidRDefault="00E63EF0" w:rsidP="00576C14">
            <w:pPr>
              <w:autoSpaceDE w:val="0"/>
              <w:autoSpaceDN w:val="0"/>
              <w:adjustRightInd w:val="0"/>
              <w:spacing w:after="0" w:line="320" w:lineRule="atLeast"/>
              <w:ind w:left="60" w:right="60"/>
              <w:rPr>
                <w:rFonts w:cs="Arial"/>
                <w:color w:val="000000"/>
                <w:lang w:val="nl-NL"/>
              </w:rPr>
            </w:pPr>
            <w:r w:rsidRPr="000B3455">
              <w:rPr>
                <w:rFonts w:cs="Arial"/>
                <w:color w:val="000000"/>
                <w:lang w:val="nl-NL"/>
              </w:rPr>
              <w:t>Residual</w:t>
            </w:r>
          </w:p>
        </w:tc>
        <w:tc>
          <w:tcPr>
            <w:tcW w:w="1456" w:type="dxa"/>
            <w:tcBorders>
              <w:top w:val="nil"/>
              <w:left w:val="single" w:sz="16" w:space="0" w:color="000000"/>
              <w:bottom w:val="nil"/>
            </w:tcBorders>
            <w:shd w:val="clear" w:color="auto" w:fill="FFFFFF"/>
          </w:tcPr>
          <w:p w:rsidR="00E63EF0" w:rsidRPr="000B3455" w:rsidRDefault="00E63EF0" w:rsidP="00576C14">
            <w:pPr>
              <w:autoSpaceDE w:val="0"/>
              <w:autoSpaceDN w:val="0"/>
              <w:adjustRightInd w:val="0"/>
              <w:spacing w:after="0" w:line="320" w:lineRule="atLeast"/>
              <w:ind w:left="60" w:right="60"/>
              <w:jc w:val="right"/>
              <w:rPr>
                <w:rFonts w:cs="Arial"/>
                <w:color w:val="000000"/>
                <w:lang w:val="nl-NL"/>
              </w:rPr>
            </w:pPr>
            <w:r w:rsidRPr="000B3455">
              <w:rPr>
                <w:rFonts w:cs="Arial"/>
                <w:color w:val="000000"/>
                <w:lang w:val="nl-NL"/>
              </w:rPr>
              <w:t>15043,481</w:t>
            </w:r>
          </w:p>
        </w:tc>
        <w:tc>
          <w:tcPr>
            <w:tcW w:w="1009" w:type="dxa"/>
            <w:tcBorders>
              <w:top w:val="nil"/>
              <w:bottom w:val="nil"/>
            </w:tcBorders>
            <w:shd w:val="clear" w:color="auto" w:fill="FFFFFF"/>
          </w:tcPr>
          <w:p w:rsidR="00E63EF0" w:rsidRPr="000B3455" w:rsidRDefault="00E63EF0" w:rsidP="00576C14">
            <w:pPr>
              <w:autoSpaceDE w:val="0"/>
              <w:autoSpaceDN w:val="0"/>
              <w:adjustRightInd w:val="0"/>
              <w:spacing w:after="0" w:line="320" w:lineRule="atLeast"/>
              <w:ind w:left="60" w:right="60"/>
              <w:jc w:val="right"/>
              <w:rPr>
                <w:rFonts w:cs="Arial"/>
                <w:color w:val="000000"/>
                <w:lang w:val="nl-NL"/>
              </w:rPr>
            </w:pPr>
            <w:r w:rsidRPr="000B3455">
              <w:rPr>
                <w:rFonts w:cs="Arial"/>
                <w:color w:val="000000"/>
                <w:lang w:val="nl-NL"/>
              </w:rPr>
              <w:t>182</w:t>
            </w:r>
          </w:p>
        </w:tc>
        <w:tc>
          <w:tcPr>
            <w:tcW w:w="1398" w:type="dxa"/>
            <w:tcBorders>
              <w:top w:val="nil"/>
              <w:bottom w:val="nil"/>
            </w:tcBorders>
            <w:shd w:val="clear" w:color="auto" w:fill="FFFFFF"/>
          </w:tcPr>
          <w:p w:rsidR="00E63EF0" w:rsidRPr="000B3455" w:rsidRDefault="00E63EF0" w:rsidP="00576C14">
            <w:pPr>
              <w:autoSpaceDE w:val="0"/>
              <w:autoSpaceDN w:val="0"/>
              <w:adjustRightInd w:val="0"/>
              <w:spacing w:after="0" w:line="320" w:lineRule="atLeast"/>
              <w:ind w:left="60" w:right="60"/>
              <w:jc w:val="right"/>
              <w:rPr>
                <w:rFonts w:cs="Arial"/>
                <w:color w:val="000000"/>
                <w:lang w:val="nl-NL"/>
              </w:rPr>
            </w:pPr>
            <w:r w:rsidRPr="000B3455">
              <w:rPr>
                <w:rFonts w:cs="Arial"/>
                <w:color w:val="000000"/>
                <w:lang w:val="nl-NL"/>
              </w:rPr>
              <w:t>82,656</w:t>
            </w:r>
          </w:p>
        </w:tc>
        <w:tc>
          <w:tcPr>
            <w:tcW w:w="1010" w:type="dxa"/>
            <w:tcBorders>
              <w:top w:val="nil"/>
              <w:bottom w:val="nil"/>
            </w:tcBorders>
            <w:shd w:val="clear" w:color="auto" w:fill="FFFFFF"/>
            <w:vAlign w:val="center"/>
          </w:tcPr>
          <w:p w:rsidR="00E63EF0" w:rsidRPr="000B3455" w:rsidRDefault="00E63EF0" w:rsidP="00576C14">
            <w:pPr>
              <w:autoSpaceDE w:val="0"/>
              <w:autoSpaceDN w:val="0"/>
              <w:adjustRightInd w:val="0"/>
              <w:spacing w:after="0" w:line="240" w:lineRule="auto"/>
              <w:jc w:val="center"/>
              <w:rPr>
                <w:rFonts w:cs="Times New Roman"/>
                <w:lang w:val="nl-NL"/>
              </w:rPr>
            </w:pPr>
          </w:p>
        </w:tc>
        <w:tc>
          <w:tcPr>
            <w:tcW w:w="1010" w:type="dxa"/>
            <w:tcBorders>
              <w:top w:val="nil"/>
              <w:bottom w:val="nil"/>
              <w:right w:val="single" w:sz="16" w:space="0" w:color="000000"/>
            </w:tcBorders>
            <w:shd w:val="clear" w:color="auto" w:fill="FFFFFF"/>
            <w:vAlign w:val="center"/>
          </w:tcPr>
          <w:p w:rsidR="00E63EF0" w:rsidRPr="000B3455" w:rsidRDefault="00E63EF0" w:rsidP="00576C14">
            <w:pPr>
              <w:autoSpaceDE w:val="0"/>
              <w:autoSpaceDN w:val="0"/>
              <w:adjustRightInd w:val="0"/>
              <w:spacing w:after="0" w:line="240" w:lineRule="auto"/>
              <w:jc w:val="center"/>
              <w:rPr>
                <w:rFonts w:cs="Times New Roman"/>
                <w:lang w:val="nl-NL"/>
              </w:rPr>
            </w:pPr>
          </w:p>
        </w:tc>
      </w:tr>
      <w:tr w:rsidR="00E63EF0" w:rsidRPr="000B3455" w:rsidTr="00665A0D">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E63EF0" w:rsidRPr="000B3455" w:rsidRDefault="00E63EF0" w:rsidP="00576C14">
            <w:pPr>
              <w:autoSpaceDE w:val="0"/>
              <w:autoSpaceDN w:val="0"/>
              <w:adjustRightInd w:val="0"/>
              <w:spacing w:after="0" w:line="240" w:lineRule="auto"/>
              <w:rPr>
                <w:rFonts w:cs="Times New Roman"/>
                <w:lang w:val="nl-NL"/>
              </w:rPr>
            </w:pPr>
          </w:p>
        </w:tc>
        <w:tc>
          <w:tcPr>
            <w:tcW w:w="1272" w:type="dxa"/>
            <w:tcBorders>
              <w:top w:val="nil"/>
              <w:left w:val="nil"/>
              <w:bottom w:val="single" w:sz="16" w:space="0" w:color="000000"/>
              <w:right w:val="single" w:sz="16" w:space="0" w:color="000000"/>
            </w:tcBorders>
            <w:shd w:val="clear" w:color="auto" w:fill="FFFFFF"/>
          </w:tcPr>
          <w:p w:rsidR="00E63EF0" w:rsidRPr="000B3455" w:rsidRDefault="00E63EF0" w:rsidP="00576C14">
            <w:pPr>
              <w:autoSpaceDE w:val="0"/>
              <w:autoSpaceDN w:val="0"/>
              <w:adjustRightInd w:val="0"/>
              <w:spacing w:after="0" w:line="320" w:lineRule="atLeast"/>
              <w:ind w:left="60" w:right="60"/>
              <w:rPr>
                <w:rFonts w:cs="Arial"/>
                <w:color w:val="000000"/>
                <w:lang w:val="nl-NL"/>
              </w:rPr>
            </w:pPr>
            <w:r w:rsidRPr="000B3455">
              <w:rPr>
                <w:rFonts w:cs="Arial"/>
                <w:color w:val="000000"/>
                <w:lang w:val="nl-NL"/>
              </w:rPr>
              <w:t>Total</w:t>
            </w:r>
          </w:p>
        </w:tc>
        <w:tc>
          <w:tcPr>
            <w:tcW w:w="1456" w:type="dxa"/>
            <w:tcBorders>
              <w:top w:val="nil"/>
              <w:left w:val="single" w:sz="16" w:space="0" w:color="000000"/>
              <w:bottom w:val="single" w:sz="16" w:space="0" w:color="000000"/>
            </w:tcBorders>
            <w:shd w:val="clear" w:color="auto" w:fill="FFFFFF"/>
          </w:tcPr>
          <w:p w:rsidR="00E63EF0" w:rsidRPr="000B3455" w:rsidRDefault="00E63EF0" w:rsidP="00576C14">
            <w:pPr>
              <w:autoSpaceDE w:val="0"/>
              <w:autoSpaceDN w:val="0"/>
              <w:adjustRightInd w:val="0"/>
              <w:spacing w:after="0" w:line="320" w:lineRule="atLeast"/>
              <w:ind w:left="60" w:right="60"/>
              <w:jc w:val="right"/>
              <w:rPr>
                <w:rFonts w:cs="Arial"/>
                <w:color w:val="000000"/>
                <w:lang w:val="nl-NL"/>
              </w:rPr>
            </w:pPr>
            <w:r w:rsidRPr="000B3455">
              <w:rPr>
                <w:rFonts w:cs="Arial"/>
                <w:color w:val="000000"/>
                <w:lang w:val="nl-NL"/>
              </w:rPr>
              <w:t>21442,186</w:t>
            </w:r>
          </w:p>
        </w:tc>
        <w:tc>
          <w:tcPr>
            <w:tcW w:w="1009" w:type="dxa"/>
            <w:tcBorders>
              <w:top w:val="nil"/>
              <w:bottom w:val="single" w:sz="16" w:space="0" w:color="000000"/>
            </w:tcBorders>
            <w:shd w:val="clear" w:color="auto" w:fill="FFFFFF"/>
          </w:tcPr>
          <w:p w:rsidR="00E63EF0" w:rsidRPr="000B3455" w:rsidRDefault="00E63EF0" w:rsidP="00576C14">
            <w:pPr>
              <w:autoSpaceDE w:val="0"/>
              <w:autoSpaceDN w:val="0"/>
              <w:adjustRightInd w:val="0"/>
              <w:spacing w:after="0" w:line="320" w:lineRule="atLeast"/>
              <w:ind w:left="60" w:right="60"/>
              <w:jc w:val="right"/>
              <w:rPr>
                <w:rFonts w:cs="Arial"/>
                <w:color w:val="000000"/>
                <w:lang w:val="nl-NL"/>
              </w:rPr>
            </w:pPr>
            <w:r w:rsidRPr="000B3455">
              <w:rPr>
                <w:rFonts w:cs="Arial"/>
                <w:color w:val="000000"/>
                <w:lang w:val="nl-NL"/>
              </w:rPr>
              <w:t>200</w:t>
            </w:r>
          </w:p>
        </w:tc>
        <w:tc>
          <w:tcPr>
            <w:tcW w:w="1398" w:type="dxa"/>
            <w:tcBorders>
              <w:top w:val="nil"/>
              <w:bottom w:val="single" w:sz="16" w:space="0" w:color="000000"/>
            </w:tcBorders>
            <w:shd w:val="clear" w:color="auto" w:fill="FFFFFF"/>
            <w:vAlign w:val="center"/>
          </w:tcPr>
          <w:p w:rsidR="00E63EF0" w:rsidRPr="000B3455" w:rsidRDefault="00E63EF0" w:rsidP="00576C14">
            <w:pPr>
              <w:autoSpaceDE w:val="0"/>
              <w:autoSpaceDN w:val="0"/>
              <w:adjustRightInd w:val="0"/>
              <w:spacing w:after="0" w:line="240" w:lineRule="auto"/>
              <w:jc w:val="center"/>
              <w:rPr>
                <w:rFonts w:cs="Times New Roman"/>
                <w:lang w:val="nl-NL"/>
              </w:rPr>
            </w:pPr>
          </w:p>
        </w:tc>
        <w:tc>
          <w:tcPr>
            <w:tcW w:w="1010" w:type="dxa"/>
            <w:tcBorders>
              <w:top w:val="nil"/>
              <w:bottom w:val="single" w:sz="16" w:space="0" w:color="000000"/>
            </w:tcBorders>
            <w:shd w:val="clear" w:color="auto" w:fill="FFFFFF"/>
            <w:vAlign w:val="center"/>
          </w:tcPr>
          <w:p w:rsidR="00E63EF0" w:rsidRPr="000B3455" w:rsidRDefault="00E63EF0" w:rsidP="00576C14">
            <w:pPr>
              <w:autoSpaceDE w:val="0"/>
              <w:autoSpaceDN w:val="0"/>
              <w:adjustRightInd w:val="0"/>
              <w:spacing w:after="0" w:line="240" w:lineRule="auto"/>
              <w:jc w:val="center"/>
              <w:rPr>
                <w:rFonts w:cs="Times New Roman"/>
                <w:lang w:val="nl-NL"/>
              </w:rPr>
            </w:pPr>
          </w:p>
        </w:tc>
        <w:tc>
          <w:tcPr>
            <w:tcW w:w="1010" w:type="dxa"/>
            <w:tcBorders>
              <w:top w:val="nil"/>
              <w:bottom w:val="single" w:sz="16" w:space="0" w:color="000000"/>
              <w:right w:val="single" w:sz="16" w:space="0" w:color="000000"/>
            </w:tcBorders>
            <w:shd w:val="clear" w:color="auto" w:fill="FFFFFF"/>
            <w:vAlign w:val="center"/>
          </w:tcPr>
          <w:p w:rsidR="00E63EF0" w:rsidRPr="000B3455" w:rsidRDefault="00E63EF0" w:rsidP="00576C14">
            <w:pPr>
              <w:autoSpaceDE w:val="0"/>
              <w:autoSpaceDN w:val="0"/>
              <w:adjustRightInd w:val="0"/>
              <w:spacing w:after="0" w:line="240" w:lineRule="auto"/>
              <w:jc w:val="center"/>
              <w:rPr>
                <w:rFonts w:cs="Times New Roman"/>
                <w:lang w:val="nl-NL"/>
              </w:rPr>
            </w:pPr>
          </w:p>
        </w:tc>
      </w:tr>
      <w:tr w:rsidR="00665A0D" w:rsidRPr="000B3455" w:rsidTr="00665A0D">
        <w:trPr>
          <w:cantSplit/>
          <w:tblHeader/>
        </w:trPr>
        <w:tc>
          <w:tcPr>
            <w:tcW w:w="7883" w:type="dxa"/>
            <w:gridSpan w:val="7"/>
            <w:tcBorders>
              <w:top w:val="nil"/>
              <w:left w:val="nil"/>
              <w:bottom w:val="nil"/>
              <w:right w:val="nil"/>
            </w:tcBorders>
            <w:shd w:val="clear" w:color="auto" w:fill="FFFFFF"/>
          </w:tcPr>
          <w:p w:rsidR="00665A0D" w:rsidRDefault="00B92B41" w:rsidP="00B92B41">
            <w:r w:rsidRPr="00F97730">
              <w:rPr>
                <w:i/>
              </w:rPr>
              <w:t>*,**,*** significant at</w:t>
            </w:r>
            <w:r>
              <w:rPr>
                <w:i/>
              </w:rPr>
              <w:t xml:space="preserve"> the 0.1, 0.05 and 0.01 levels</w:t>
            </w:r>
            <w:r w:rsidRPr="00F97730">
              <w:rPr>
                <w:i/>
              </w:rPr>
              <w:t>.</w:t>
            </w:r>
            <w:r>
              <w:rPr>
                <w:i/>
              </w:rPr>
              <w:br/>
            </w:r>
            <w:r w:rsidR="00665A0D" w:rsidRPr="00D06888">
              <w:rPr>
                <w:rFonts w:cstheme="minorHAnsi"/>
                <w:i/>
              </w:rPr>
              <w:t>Δ PR_CSH_BON</w:t>
            </w:r>
            <w:r w:rsidR="00665A0D" w:rsidRPr="00D06888">
              <w:rPr>
                <w:rFonts w:eastAsia="SymbolMT" w:cstheme="minorHAnsi"/>
                <w:i/>
                <w:vertAlign w:val="subscript"/>
                <w:lang w:eastAsia="nl-NL"/>
              </w:rPr>
              <w:t>it</w:t>
            </w:r>
            <w:r w:rsidR="00665A0D" w:rsidRPr="00D06888">
              <w:rPr>
                <w:rFonts w:eastAsia="SymbolMT" w:cstheme="minorHAnsi"/>
                <w:lang w:eastAsia="nl-NL"/>
              </w:rPr>
              <w:t xml:space="preserve"> </w:t>
            </w:r>
            <w:r w:rsidR="00665A0D" w:rsidRPr="00D06888">
              <w:rPr>
                <w:rFonts w:eastAsia="SymbolMT" w:cstheme="minorHAnsi"/>
                <w:i/>
                <w:lang w:eastAsia="nl-NL"/>
              </w:rPr>
              <w:t>= α</w:t>
            </w:r>
            <w:r w:rsidR="00665A0D" w:rsidRPr="00D06888">
              <w:rPr>
                <w:rFonts w:eastAsia="SymbolMT" w:cstheme="minorHAnsi"/>
                <w:i/>
                <w:vertAlign w:val="subscript"/>
                <w:lang w:eastAsia="nl-NL"/>
              </w:rPr>
              <w:t>0</w:t>
            </w:r>
            <w:r w:rsidR="00665A0D" w:rsidRPr="00D06888">
              <w:rPr>
                <w:rFonts w:eastAsia="SymbolMT" w:cstheme="minorHAnsi"/>
                <w:i/>
                <w:lang w:eastAsia="nl-NL"/>
              </w:rPr>
              <w:t xml:space="preserve"> + α</w:t>
            </w:r>
            <w:r w:rsidR="00665A0D" w:rsidRPr="00D06888">
              <w:rPr>
                <w:rFonts w:eastAsia="SymbolMT" w:cstheme="minorHAnsi"/>
                <w:i/>
                <w:vertAlign w:val="subscript"/>
                <w:lang w:eastAsia="nl-NL"/>
              </w:rPr>
              <w:t xml:space="preserve">1 </w:t>
            </w:r>
            <w:r w:rsidR="00665A0D" w:rsidRPr="00D06888">
              <w:rPr>
                <w:rFonts w:eastAsia="SymbolMT" w:cstheme="minorHAnsi"/>
                <w:i/>
                <w:lang w:eastAsia="nl-NL"/>
              </w:rPr>
              <w:t>Δ PR_FV_STO</w:t>
            </w:r>
            <w:r w:rsidR="00665A0D" w:rsidRPr="00D06888">
              <w:rPr>
                <w:rFonts w:eastAsia="SymbolMT" w:cstheme="minorHAnsi"/>
                <w:i/>
                <w:vertAlign w:val="subscript"/>
                <w:lang w:eastAsia="nl-NL"/>
              </w:rPr>
              <w:t>it</w:t>
            </w:r>
            <w:r w:rsidR="00665A0D" w:rsidRPr="00D06888">
              <w:rPr>
                <w:rFonts w:eastAsia="SymbolMT" w:cstheme="minorHAnsi"/>
                <w:i/>
                <w:lang w:eastAsia="nl-NL"/>
              </w:rPr>
              <w:t xml:space="preserve"> +  α</w:t>
            </w:r>
            <w:r w:rsidR="00665A0D" w:rsidRPr="00D06888">
              <w:rPr>
                <w:rFonts w:eastAsia="SymbolMT" w:cstheme="minorHAnsi"/>
                <w:i/>
                <w:vertAlign w:val="subscript"/>
                <w:lang w:eastAsia="nl-NL"/>
              </w:rPr>
              <w:t>2</w:t>
            </w:r>
            <w:r w:rsidR="00665A0D" w:rsidRPr="00D06888">
              <w:rPr>
                <w:rFonts w:eastAsia="SymbolMT" w:cstheme="minorHAnsi"/>
                <w:i/>
                <w:lang w:eastAsia="nl-NL"/>
              </w:rPr>
              <w:t xml:space="preserve"> 2004 + α</w:t>
            </w:r>
            <w:r w:rsidR="00665A0D" w:rsidRPr="00D06888">
              <w:rPr>
                <w:rFonts w:eastAsia="SymbolMT" w:cstheme="minorHAnsi"/>
                <w:i/>
                <w:vertAlign w:val="subscript"/>
                <w:lang w:eastAsia="nl-NL"/>
              </w:rPr>
              <w:t xml:space="preserve">3 </w:t>
            </w:r>
            <w:r w:rsidR="00665A0D" w:rsidRPr="00D06888">
              <w:rPr>
                <w:rFonts w:eastAsia="SymbolMT" w:cstheme="minorHAnsi"/>
                <w:i/>
                <w:lang w:eastAsia="nl-NL"/>
              </w:rPr>
              <w:t>2005 + α</w:t>
            </w:r>
            <w:r w:rsidR="00665A0D" w:rsidRPr="00D06888">
              <w:rPr>
                <w:rFonts w:eastAsia="SymbolMT" w:cstheme="minorHAnsi"/>
                <w:i/>
                <w:vertAlign w:val="subscript"/>
                <w:lang w:eastAsia="nl-NL"/>
              </w:rPr>
              <w:t>4</w:t>
            </w:r>
            <w:r w:rsidR="00665A0D" w:rsidRPr="00D06888">
              <w:rPr>
                <w:rFonts w:eastAsia="SymbolMT" w:cstheme="minorHAnsi"/>
                <w:i/>
                <w:lang w:eastAsia="nl-NL"/>
              </w:rPr>
              <w:t xml:space="preserve"> 2006 + α</w:t>
            </w:r>
            <w:r w:rsidR="00665A0D" w:rsidRPr="00D06888">
              <w:rPr>
                <w:rFonts w:eastAsia="SymbolMT" w:cstheme="minorHAnsi"/>
                <w:i/>
                <w:vertAlign w:val="subscript"/>
                <w:lang w:eastAsia="nl-NL"/>
              </w:rPr>
              <w:t xml:space="preserve">5 </w:t>
            </w:r>
            <w:r w:rsidR="00665A0D" w:rsidRPr="00D06888">
              <w:rPr>
                <w:rFonts w:cstheme="minorHAnsi"/>
                <w:i/>
              </w:rPr>
              <w:t xml:space="preserve">2007 + </w:t>
            </w:r>
            <w:r w:rsidR="00665A0D" w:rsidRPr="00D06888">
              <w:rPr>
                <w:rFonts w:eastAsia="SymbolMT" w:cstheme="minorHAnsi"/>
                <w:i/>
                <w:lang w:eastAsia="nl-NL"/>
              </w:rPr>
              <w:t>α</w:t>
            </w:r>
            <w:r w:rsidR="00665A0D" w:rsidRPr="00D06888">
              <w:rPr>
                <w:rFonts w:eastAsia="SymbolMT" w:cstheme="minorHAnsi"/>
                <w:i/>
                <w:vertAlign w:val="subscript"/>
                <w:lang w:eastAsia="nl-NL"/>
              </w:rPr>
              <w:t xml:space="preserve">6 </w:t>
            </w:r>
            <w:r w:rsidR="00665A0D" w:rsidRPr="00D06888">
              <w:rPr>
                <w:i/>
              </w:rPr>
              <w:t>LN_ASSETS</w:t>
            </w:r>
            <w:r w:rsidR="00665A0D" w:rsidRPr="00D06888">
              <w:rPr>
                <w:i/>
                <w:vertAlign w:val="subscript"/>
              </w:rPr>
              <w:t>it</w:t>
            </w:r>
            <w:r w:rsidR="00665A0D" w:rsidRPr="00D06888">
              <w:rPr>
                <w:i/>
              </w:rPr>
              <w:t xml:space="preserve"> + </w:t>
            </w:r>
            <w:r w:rsidR="00665A0D" w:rsidRPr="00D06888">
              <w:rPr>
                <w:rFonts w:eastAsia="SymbolMT" w:cstheme="minorHAnsi"/>
                <w:i/>
                <w:lang w:eastAsia="nl-NL"/>
              </w:rPr>
              <w:t>α</w:t>
            </w:r>
            <w:r w:rsidR="00665A0D" w:rsidRPr="00D06888">
              <w:rPr>
                <w:rFonts w:cstheme="minorHAnsi"/>
                <w:i/>
                <w:vertAlign w:val="subscript"/>
              </w:rPr>
              <w:t xml:space="preserve">7 </w:t>
            </w:r>
            <w:r w:rsidR="00665A0D" w:rsidRPr="00D06888">
              <w:rPr>
                <w:i/>
              </w:rPr>
              <w:t>MTB</w:t>
            </w:r>
            <w:r w:rsidR="00665A0D" w:rsidRPr="00D06888">
              <w:rPr>
                <w:i/>
                <w:vertAlign w:val="subscript"/>
              </w:rPr>
              <w:t>it</w:t>
            </w:r>
            <w:r w:rsidR="00665A0D" w:rsidRPr="00D06888">
              <w:rPr>
                <w:rFonts w:cstheme="minorHAnsi"/>
                <w:i/>
              </w:rPr>
              <w:t xml:space="preserve"> + </w:t>
            </w:r>
            <w:r w:rsidR="00665A0D" w:rsidRPr="00D06888">
              <w:rPr>
                <w:rFonts w:eastAsia="SymbolMT" w:cstheme="minorHAnsi"/>
                <w:i/>
                <w:lang w:eastAsia="nl-NL"/>
              </w:rPr>
              <w:t>α</w:t>
            </w:r>
            <w:r w:rsidR="00665A0D" w:rsidRPr="00D06888">
              <w:rPr>
                <w:rFonts w:cstheme="minorHAnsi"/>
                <w:i/>
                <w:vertAlign w:val="subscript"/>
              </w:rPr>
              <w:t xml:space="preserve">8 </w:t>
            </w:r>
            <w:r w:rsidR="00665A0D" w:rsidRPr="00D06888">
              <w:rPr>
                <w:i/>
              </w:rPr>
              <w:t>RET</w:t>
            </w:r>
            <w:r w:rsidR="00665A0D" w:rsidRPr="00D06888">
              <w:rPr>
                <w:i/>
                <w:vertAlign w:val="subscript"/>
              </w:rPr>
              <w:t>it</w:t>
            </w:r>
            <w:r w:rsidR="00665A0D" w:rsidRPr="00D06888">
              <w:rPr>
                <w:rFonts w:cstheme="minorHAnsi"/>
                <w:i/>
              </w:rPr>
              <w:t xml:space="preserve"> + </w:t>
            </w:r>
            <w:r w:rsidR="00665A0D" w:rsidRPr="00D06888">
              <w:rPr>
                <w:rFonts w:eastAsia="SymbolMT" w:cstheme="minorHAnsi"/>
                <w:i/>
                <w:lang w:eastAsia="nl-NL"/>
              </w:rPr>
              <w:t>α</w:t>
            </w:r>
            <w:r w:rsidR="00665A0D" w:rsidRPr="00D06888">
              <w:rPr>
                <w:rFonts w:cstheme="minorHAnsi"/>
                <w:i/>
                <w:vertAlign w:val="subscript"/>
              </w:rPr>
              <w:t xml:space="preserve">9 </w:t>
            </w:r>
            <w:r w:rsidR="00665A0D" w:rsidRPr="00D06888">
              <w:rPr>
                <w:i/>
              </w:rPr>
              <w:t>VOL</w:t>
            </w:r>
            <w:r w:rsidR="00665A0D" w:rsidRPr="00D06888">
              <w:rPr>
                <w:i/>
                <w:vertAlign w:val="subscript"/>
              </w:rPr>
              <w:t>it</w:t>
            </w:r>
            <w:r w:rsidR="00665A0D" w:rsidRPr="00D06888">
              <w:rPr>
                <w:rFonts w:cstheme="minorHAnsi"/>
                <w:i/>
              </w:rPr>
              <w:t xml:space="preserve"> + </w:t>
            </w:r>
            <w:r w:rsidR="00665A0D" w:rsidRPr="00D06888">
              <w:rPr>
                <w:rFonts w:eastAsia="SymbolMT" w:cstheme="minorHAnsi"/>
                <w:i/>
                <w:lang w:eastAsia="nl-NL"/>
              </w:rPr>
              <w:t>α</w:t>
            </w:r>
            <w:r w:rsidR="00665A0D" w:rsidRPr="00D06888">
              <w:rPr>
                <w:rFonts w:cstheme="minorHAnsi"/>
                <w:i/>
                <w:vertAlign w:val="subscript"/>
              </w:rPr>
              <w:t xml:space="preserve">10 </w:t>
            </w:r>
            <w:r w:rsidR="00665A0D" w:rsidRPr="00D06888">
              <w:rPr>
                <w:i/>
              </w:rPr>
              <w:t>BOA_SIZE</w:t>
            </w:r>
            <w:r w:rsidR="00665A0D" w:rsidRPr="00D06888">
              <w:rPr>
                <w:i/>
                <w:vertAlign w:val="subscript"/>
              </w:rPr>
              <w:t>it</w:t>
            </w:r>
            <w:r w:rsidR="00665A0D" w:rsidRPr="00D06888">
              <w:rPr>
                <w:rFonts w:cstheme="minorHAnsi"/>
                <w:i/>
              </w:rPr>
              <w:t xml:space="preserve"> + </w:t>
            </w:r>
            <w:r w:rsidR="00665A0D" w:rsidRPr="00D06888">
              <w:rPr>
                <w:rFonts w:eastAsia="SymbolMT" w:cstheme="minorHAnsi"/>
                <w:i/>
                <w:lang w:eastAsia="nl-NL"/>
              </w:rPr>
              <w:t>α</w:t>
            </w:r>
            <w:r w:rsidR="00665A0D" w:rsidRPr="00D06888">
              <w:rPr>
                <w:rFonts w:cstheme="minorHAnsi"/>
                <w:i/>
                <w:vertAlign w:val="subscript"/>
              </w:rPr>
              <w:t xml:space="preserve">11 </w:t>
            </w:r>
            <w:r w:rsidR="00665A0D" w:rsidRPr="00D06888">
              <w:rPr>
                <w:i/>
              </w:rPr>
              <w:t>LIQ_CON</w:t>
            </w:r>
            <w:r w:rsidR="00665A0D" w:rsidRPr="00D06888">
              <w:rPr>
                <w:i/>
                <w:vertAlign w:val="subscript"/>
              </w:rPr>
              <w:t>it</w:t>
            </w:r>
            <w:r w:rsidR="00665A0D" w:rsidRPr="00D06888">
              <w:rPr>
                <w:rFonts w:cstheme="minorHAnsi"/>
                <w:i/>
              </w:rPr>
              <w:t xml:space="preserve"> + ∑ </w:t>
            </w:r>
            <w:r w:rsidR="00665A0D" w:rsidRPr="00D06888">
              <w:rPr>
                <w:i/>
              </w:rPr>
              <w:t>IND_DUMM</w:t>
            </w:r>
            <w:r w:rsidR="00665A0D" w:rsidRPr="00D06888">
              <w:rPr>
                <w:i/>
                <w:vertAlign w:val="subscript"/>
              </w:rPr>
              <w:t>it</w:t>
            </w:r>
            <w:r w:rsidR="00665A0D" w:rsidRPr="00D06888">
              <w:rPr>
                <w:i/>
              </w:rPr>
              <w:t xml:space="preserve"> + </w:t>
            </w:r>
            <w:r w:rsidR="00665A0D" w:rsidRPr="00D06888">
              <w:rPr>
                <w:rFonts w:hAnsi="Times New Roman" w:cs="Times New Roman"/>
                <w:i/>
              </w:rPr>
              <w:t>ɛ</w:t>
            </w:r>
            <w:r w:rsidR="00665A0D" w:rsidRPr="00D06888">
              <w:rPr>
                <w:i/>
                <w:vertAlign w:val="subscript"/>
              </w:rPr>
              <w:t>it</w:t>
            </w:r>
          </w:p>
        </w:tc>
      </w:tr>
    </w:tbl>
    <w:p w:rsidR="00CE06C7" w:rsidRPr="000B3455" w:rsidRDefault="00665A0D" w:rsidP="00665A0D">
      <w:pPr>
        <w:pStyle w:val="Caption"/>
        <w:rPr>
          <w:rFonts w:cstheme="minorHAnsi"/>
        </w:rPr>
      </w:pPr>
      <w:bookmarkStart w:id="169" w:name="_Ref298859832"/>
      <w:r>
        <w:t xml:space="preserve">Table </w:t>
      </w:r>
      <w:fldSimple w:instr=" SEQ Table \* ARABIC ">
        <w:r w:rsidR="001D5F9A">
          <w:rPr>
            <w:noProof/>
          </w:rPr>
          <w:t>25</w:t>
        </w:r>
      </w:fldSimple>
      <w:bookmarkEnd w:id="169"/>
      <w:r>
        <w:t xml:space="preserve">: </w:t>
      </w:r>
      <w:r w:rsidRPr="00665A0D">
        <w:rPr>
          <w:color w:val="auto"/>
        </w:rPr>
        <w:t>SPSS analysis of variance</w:t>
      </w:r>
    </w:p>
    <w:p w:rsidR="00CE06C7" w:rsidRDefault="00B92B41" w:rsidP="00B92B41">
      <w:pPr>
        <w:rPr>
          <w:rFonts w:cstheme="minorHAnsi"/>
        </w:rPr>
      </w:pPr>
      <w:r>
        <w:rPr>
          <w:rFonts w:cstheme="minorHAnsi"/>
        </w:rPr>
        <w:br w:type="page"/>
      </w:r>
    </w:p>
    <w:p w:rsidR="00B92B41" w:rsidRPr="000B3455" w:rsidRDefault="00B92B41" w:rsidP="00B92B41">
      <w:pPr>
        <w:jc w:val="center"/>
        <w:rPr>
          <w:rFonts w:cstheme="minorHAnsi"/>
        </w:rPr>
      </w:pPr>
      <w:r w:rsidRPr="000B3455">
        <w:rPr>
          <w:rFonts w:cstheme="minorHAnsi"/>
          <w:b/>
          <w:bCs/>
          <w:color w:val="000000"/>
        </w:rPr>
        <w:lastRenderedPageBreak/>
        <w:t>Coefficients</w:t>
      </w:r>
      <w:r w:rsidRPr="000B3455">
        <w:rPr>
          <w:rFonts w:cstheme="minorHAnsi"/>
          <w:b/>
          <w:bCs/>
          <w:color w:val="000000"/>
          <w:vertAlign w:val="superscript"/>
        </w:rPr>
        <w:t>a</w:t>
      </w:r>
    </w:p>
    <w:tbl>
      <w:tblPr>
        <w:tblW w:w="10313"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8"/>
        <w:gridCol w:w="2426"/>
        <w:gridCol w:w="1325"/>
        <w:gridCol w:w="1323"/>
        <w:gridCol w:w="1456"/>
        <w:gridCol w:w="1010"/>
        <w:gridCol w:w="1010"/>
        <w:gridCol w:w="22"/>
        <w:gridCol w:w="988"/>
        <w:gridCol w:w="25"/>
      </w:tblGrid>
      <w:tr w:rsidR="001F067F" w:rsidRPr="000B3455" w:rsidTr="005C202A">
        <w:trPr>
          <w:gridAfter w:val="1"/>
          <w:wAfter w:w="25" w:type="dxa"/>
          <w:cantSplit/>
          <w:tblHeader/>
        </w:trPr>
        <w:tc>
          <w:tcPr>
            <w:tcW w:w="3154"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Pr>
          <w:p w:rsidR="001F067F" w:rsidRPr="000B3455" w:rsidRDefault="001F067F" w:rsidP="00576C14">
            <w:pPr>
              <w:autoSpaceDE w:val="0"/>
              <w:autoSpaceDN w:val="0"/>
              <w:adjustRightInd w:val="0"/>
              <w:spacing w:after="0" w:line="320" w:lineRule="atLeast"/>
              <w:ind w:left="60" w:right="60"/>
              <w:rPr>
                <w:rFonts w:cs="Arial"/>
                <w:color w:val="000000"/>
              </w:rPr>
            </w:pPr>
            <w:r w:rsidRPr="000B3455">
              <w:rPr>
                <w:rFonts w:cs="Arial"/>
                <w:color w:val="000000"/>
              </w:rPr>
              <w:t>Model</w:t>
            </w:r>
          </w:p>
        </w:tc>
        <w:tc>
          <w:tcPr>
            <w:tcW w:w="2648" w:type="dxa"/>
            <w:gridSpan w:val="2"/>
            <w:tcBorders>
              <w:top w:val="single" w:sz="16" w:space="0" w:color="000000"/>
              <w:left w:val="single" w:sz="16" w:space="0" w:color="000000"/>
            </w:tcBorders>
            <w:shd w:val="clear" w:color="auto" w:fill="FFFFFF"/>
            <w:vAlign w:val="bottom"/>
          </w:tcPr>
          <w:p w:rsidR="001F067F" w:rsidRPr="000B3455" w:rsidRDefault="001F067F" w:rsidP="00576C14">
            <w:pPr>
              <w:autoSpaceDE w:val="0"/>
              <w:autoSpaceDN w:val="0"/>
              <w:adjustRightInd w:val="0"/>
              <w:spacing w:after="0" w:line="320" w:lineRule="atLeast"/>
              <w:ind w:left="60" w:right="60"/>
              <w:jc w:val="center"/>
              <w:rPr>
                <w:rFonts w:cs="Arial"/>
                <w:color w:val="000000"/>
              </w:rPr>
            </w:pPr>
            <w:r w:rsidRPr="000B3455">
              <w:rPr>
                <w:rFonts w:cs="Arial"/>
                <w:color w:val="000000"/>
              </w:rPr>
              <w:t>Unstandardized Coefficients</w:t>
            </w:r>
          </w:p>
        </w:tc>
        <w:tc>
          <w:tcPr>
            <w:tcW w:w="1456" w:type="dxa"/>
            <w:tcBorders>
              <w:top w:val="single" w:sz="16" w:space="0" w:color="000000"/>
            </w:tcBorders>
            <w:shd w:val="clear" w:color="auto" w:fill="FFFFFF"/>
            <w:vAlign w:val="bottom"/>
          </w:tcPr>
          <w:p w:rsidR="001F067F" w:rsidRPr="000B3455" w:rsidRDefault="001F067F" w:rsidP="00576C14">
            <w:pPr>
              <w:autoSpaceDE w:val="0"/>
              <w:autoSpaceDN w:val="0"/>
              <w:adjustRightInd w:val="0"/>
              <w:spacing w:after="0" w:line="320" w:lineRule="atLeast"/>
              <w:ind w:left="60" w:right="60"/>
              <w:jc w:val="center"/>
              <w:rPr>
                <w:rFonts w:cs="Arial"/>
                <w:color w:val="000000"/>
              </w:rPr>
            </w:pPr>
            <w:r w:rsidRPr="000B3455">
              <w:rPr>
                <w:rFonts w:cs="Arial"/>
                <w:color w:val="000000"/>
              </w:rPr>
              <w:t>Standardized Coefficients</w:t>
            </w:r>
          </w:p>
        </w:tc>
        <w:tc>
          <w:tcPr>
            <w:tcW w:w="1010" w:type="dxa"/>
            <w:vMerge w:val="restart"/>
            <w:tcBorders>
              <w:top w:val="single" w:sz="16" w:space="0" w:color="000000"/>
              <w:bottom w:val="single" w:sz="16" w:space="0" w:color="000000"/>
            </w:tcBorders>
            <w:shd w:val="clear" w:color="auto" w:fill="FFFFFF"/>
            <w:vAlign w:val="bottom"/>
          </w:tcPr>
          <w:p w:rsidR="001F067F" w:rsidRPr="000B3455" w:rsidRDefault="001F067F" w:rsidP="00576C14">
            <w:pPr>
              <w:autoSpaceDE w:val="0"/>
              <w:autoSpaceDN w:val="0"/>
              <w:adjustRightInd w:val="0"/>
              <w:spacing w:after="0" w:line="320" w:lineRule="atLeast"/>
              <w:ind w:left="60" w:right="60"/>
              <w:jc w:val="center"/>
              <w:rPr>
                <w:rFonts w:cs="Arial"/>
                <w:color w:val="000000"/>
              </w:rPr>
            </w:pPr>
            <w:r w:rsidRPr="000B3455">
              <w:rPr>
                <w:rFonts w:cs="Arial"/>
                <w:color w:val="000000"/>
              </w:rPr>
              <w:t>t</w:t>
            </w:r>
          </w:p>
        </w:tc>
        <w:tc>
          <w:tcPr>
            <w:tcW w:w="1010" w:type="dxa"/>
            <w:vMerge w:val="restart"/>
            <w:tcBorders>
              <w:top w:val="single" w:sz="16" w:space="0" w:color="000000"/>
              <w:bottom w:val="single" w:sz="16" w:space="0" w:color="000000"/>
            </w:tcBorders>
            <w:shd w:val="clear" w:color="auto" w:fill="FFFFFF"/>
            <w:vAlign w:val="bottom"/>
          </w:tcPr>
          <w:p w:rsidR="001F067F" w:rsidRPr="000B3455" w:rsidRDefault="001F067F" w:rsidP="00576C14">
            <w:pPr>
              <w:autoSpaceDE w:val="0"/>
              <w:autoSpaceDN w:val="0"/>
              <w:adjustRightInd w:val="0"/>
              <w:spacing w:after="0" w:line="320" w:lineRule="atLeast"/>
              <w:ind w:left="60" w:right="60"/>
              <w:jc w:val="center"/>
              <w:rPr>
                <w:rFonts w:cs="Arial"/>
                <w:color w:val="000000"/>
              </w:rPr>
            </w:pPr>
            <w:r w:rsidRPr="000B3455">
              <w:rPr>
                <w:rFonts w:cs="Arial"/>
                <w:color w:val="000000"/>
              </w:rPr>
              <w:t>Sig.</w:t>
            </w:r>
          </w:p>
        </w:tc>
        <w:tc>
          <w:tcPr>
            <w:tcW w:w="1010" w:type="dxa"/>
            <w:gridSpan w:val="2"/>
            <w:vMerge w:val="restart"/>
            <w:tcBorders>
              <w:top w:val="single" w:sz="16" w:space="0" w:color="000000"/>
            </w:tcBorders>
            <w:shd w:val="clear" w:color="auto" w:fill="FFFFFF"/>
            <w:vAlign w:val="bottom"/>
          </w:tcPr>
          <w:p w:rsidR="001F067F" w:rsidRPr="000B3455" w:rsidRDefault="001F067F" w:rsidP="001F067F">
            <w:pPr>
              <w:autoSpaceDE w:val="0"/>
              <w:autoSpaceDN w:val="0"/>
              <w:adjustRightInd w:val="0"/>
              <w:spacing w:after="0" w:line="320" w:lineRule="atLeast"/>
              <w:ind w:left="60" w:right="60"/>
              <w:jc w:val="center"/>
              <w:rPr>
                <w:rFonts w:cs="Arial"/>
                <w:color w:val="000000"/>
              </w:rPr>
            </w:pPr>
            <w:r w:rsidRPr="000B3455">
              <w:rPr>
                <w:rFonts w:cs="Arial"/>
                <w:color w:val="000000"/>
              </w:rPr>
              <w:t>Sig. 1-tailed</w:t>
            </w:r>
          </w:p>
        </w:tc>
      </w:tr>
      <w:tr w:rsidR="001F067F" w:rsidRPr="000B3455" w:rsidTr="005C202A">
        <w:trPr>
          <w:gridAfter w:val="1"/>
          <w:wAfter w:w="25" w:type="dxa"/>
          <w:cantSplit/>
          <w:tblHeader/>
        </w:trPr>
        <w:tc>
          <w:tcPr>
            <w:tcW w:w="3154" w:type="dxa"/>
            <w:gridSpan w:val="2"/>
            <w:vMerge/>
            <w:tcBorders>
              <w:top w:val="single" w:sz="16" w:space="0" w:color="000000"/>
              <w:left w:val="single" w:sz="16" w:space="0" w:color="000000"/>
              <w:bottom w:val="single" w:sz="16" w:space="0" w:color="000000"/>
              <w:right w:val="single" w:sz="16" w:space="0" w:color="000000"/>
            </w:tcBorders>
            <w:shd w:val="clear" w:color="auto" w:fill="FFFFFF"/>
          </w:tcPr>
          <w:p w:rsidR="001F067F" w:rsidRPr="000B3455" w:rsidRDefault="001F067F" w:rsidP="00576C14">
            <w:pPr>
              <w:autoSpaceDE w:val="0"/>
              <w:autoSpaceDN w:val="0"/>
              <w:adjustRightInd w:val="0"/>
              <w:spacing w:after="0" w:line="240" w:lineRule="auto"/>
              <w:rPr>
                <w:rFonts w:cs="Arial"/>
                <w:color w:val="000000"/>
              </w:rPr>
            </w:pPr>
          </w:p>
        </w:tc>
        <w:tc>
          <w:tcPr>
            <w:tcW w:w="1325" w:type="dxa"/>
            <w:tcBorders>
              <w:left w:val="single" w:sz="16" w:space="0" w:color="000000"/>
              <w:bottom w:val="single" w:sz="16" w:space="0" w:color="000000"/>
            </w:tcBorders>
            <w:shd w:val="clear" w:color="auto" w:fill="FFFFFF"/>
            <w:vAlign w:val="bottom"/>
          </w:tcPr>
          <w:p w:rsidR="001F067F" w:rsidRPr="000B3455" w:rsidRDefault="001F067F" w:rsidP="00576C14">
            <w:pPr>
              <w:autoSpaceDE w:val="0"/>
              <w:autoSpaceDN w:val="0"/>
              <w:adjustRightInd w:val="0"/>
              <w:spacing w:after="0" w:line="320" w:lineRule="atLeast"/>
              <w:ind w:left="60" w:right="60"/>
              <w:jc w:val="center"/>
              <w:rPr>
                <w:rFonts w:cs="Arial"/>
                <w:color w:val="000000"/>
              </w:rPr>
            </w:pPr>
            <w:r w:rsidRPr="000B3455">
              <w:rPr>
                <w:rFonts w:cs="Arial"/>
                <w:color w:val="000000"/>
              </w:rPr>
              <w:t>B</w:t>
            </w:r>
          </w:p>
        </w:tc>
        <w:tc>
          <w:tcPr>
            <w:tcW w:w="1323" w:type="dxa"/>
            <w:tcBorders>
              <w:bottom w:val="single" w:sz="16" w:space="0" w:color="000000"/>
            </w:tcBorders>
            <w:shd w:val="clear" w:color="auto" w:fill="FFFFFF"/>
            <w:vAlign w:val="bottom"/>
          </w:tcPr>
          <w:p w:rsidR="001F067F" w:rsidRPr="000B3455" w:rsidRDefault="001F067F" w:rsidP="00576C14">
            <w:pPr>
              <w:autoSpaceDE w:val="0"/>
              <w:autoSpaceDN w:val="0"/>
              <w:adjustRightInd w:val="0"/>
              <w:spacing w:after="0" w:line="320" w:lineRule="atLeast"/>
              <w:ind w:left="60" w:right="60"/>
              <w:jc w:val="center"/>
              <w:rPr>
                <w:rFonts w:cs="Arial"/>
                <w:color w:val="000000"/>
              </w:rPr>
            </w:pPr>
            <w:r w:rsidRPr="000B3455">
              <w:rPr>
                <w:rFonts w:cs="Arial"/>
                <w:color w:val="000000"/>
              </w:rPr>
              <w:t>Std. Error</w:t>
            </w:r>
          </w:p>
        </w:tc>
        <w:tc>
          <w:tcPr>
            <w:tcW w:w="1456" w:type="dxa"/>
            <w:tcBorders>
              <w:bottom w:val="single" w:sz="16" w:space="0" w:color="000000"/>
            </w:tcBorders>
            <w:shd w:val="clear" w:color="auto" w:fill="FFFFFF"/>
            <w:vAlign w:val="bottom"/>
          </w:tcPr>
          <w:p w:rsidR="001F067F" w:rsidRPr="000B3455" w:rsidRDefault="001F067F" w:rsidP="00576C14">
            <w:pPr>
              <w:autoSpaceDE w:val="0"/>
              <w:autoSpaceDN w:val="0"/>
              <w:adjustRightInd w:val="0"/>
              <w:spacing w:after="0" w:line="320" w:lineRule="atLeast"/>
              <w:ind w:left="60" w:right="60"/>
              <w:jc w:val="center"/>
              <w:rPr>
                <w:rFonts w:cs="Arial"/>
                <w:color w:val="000000"/>
              </w:rPr>
            </w:pPr>
            <w:r w:rsidRPr="000B3455">
              <w:rPr>
                <w:rFonts w:cs="Arial"/>
                <w:color w:val="000000"/>
              </w:rPr>
              <w:t>Beta</w:t>
            </w:r>
          </w:p>
        </w:tc>
        <w:tc>
          <w:tcPr>
            <w:tcW w:w="1010" w:type="dxa"/>
            <w:vMerge/>
            <w:tcBorders>
              <w:top w:val="single" w:sz="16" w:space="0" w:color="000000"/>
              <w:bottom w:val="single" w:sz="16" w:space="0" w:color="000000"/>
            </w:tcBorders>
            <w:shd w:val="clear" w:color="auto" w:fill="FFFFFF"/>
            <w:vAlign w:val="bottom"/>
          </w:tcPr>
          <w:p w:rsidR="001F067F" w:rsidRPr="000B3455" w:rsidRDefault="001F067F" w:rsidP="00576C14">
            <w:pPr>
              <w:autoSpaceDE w:val="0"/>
              <w:autoSpaceDN w:val="0"/>
              <w:adjustRightInd w:val="0"/>
              <w:spacing w:after="0" w:line="240" w:lineRule="auto"/>
              <w:rPr>
                <w:rFonts w:cs="Arial"/>
                <w:color w:val="000000"/>
              </w:rPr>
            </w:pPr>
          </w:p>
        </w:tc>
        <w:tc>
          <w:tcPr>
            <w:tcW w:w="1010" w:type="dxa"/>
            <w:vMerge/>
            <w:tcBorders>
              <w:top w:val="single" w:sz="16" w:space="0" w:color="000000"/>
              <w:bottom w:val="single" w:sz="16" w:space="0" w:color="000000"/>
            </w:tcBorders>
            <w:shd w:val="clear" w:color="auto" w:fill="FFFFFF"/>
            <w:vAlign w:val="bottom"/>
          </w:tcPr>
          <w:p w:rsidR="001F067F" w:rsidRPr="000B3455" w:rsidRDefault="001F067F" w:rsidP="00576C14">
            <w:pPr>
              <w:autoSpaceDE w:val="0"/>
              <w:autoSpaceDN w:val="0"/>
              <w:adjustRightInd w:val="0"/>
              <w:spacing w:after="0" w:line="240" w:lineRule="auto"/>
              <w:rPr>
                <w:rFonts w:cs="Arial"/>
                <w:color w:val="000000"/>
              </w:rPr>
            </w:pPr>
          </w:p>
        </w:tc>
        <w:tc>
          <w:tcPr>
            <w:tcW w:w="1010" w:type="dxa"/>
            <w:gridSpan w:val="2"/>
            <w:vMerge/>
            <w:tcBorders>
              <w:bottom w:val="single" w:sz="16" w:space="0" w:color="000000"/>
            </w:tcBorders>
            <w:shd w:val="clear" w:color="auto" w:fill="FFFFFF"/>
          </w:tcPr>
          <w:p w:rsidR="001F067F" w:rsidRPr="000B3455" w:rsidRDefault="001F067F" w:rsidP="00576C14">
            <w:pPr>
              <w:autoSpaceDE w:val="0"/>
              <w:autoSpaceDN w:val="0"/>
              <w:adjustRightInd w:val="0"/>
              <w:spacing w:after="0" w:line="240" w:lineRule="auto"/>
              <w:rPr>
                <w:rFonts w:cs="Arial"/>
                <w:color w:val="000000"/>
              </w:rPr>
            </w:pPr>
          </w:p>
        </w:tc>
      </w:tr>
      <w:tr w:rsidR="001F067F" w:rsidRPr="000B3455" w:rsidTr="005C202A">
        <w:trPr>
          <w:gridAfter w:val="1"/>
          <w:wAfter w:w="25" w:type="dxa"/>
          <w:cantSplit/>
          <w:tblHeader/>
        </w:trPr>
        <w:tc>
          <w:tcPr>
            <w:tcW w:w="728" w:type="dxa"/>
            <w:vMerge w:val="restart"/>
            <w:tcBorders>
              <w:top w:val="single" w:sz="16" w:space="0" w:color="000000"/>
              <w:left w:val="single" w:sz="16" w:space="0" w:color="000000"/>
              <w:bottom w:val="single" w:sz="16" w:space="0" w:color="000000"/>
              <w:right w:val="nil"/>
            </w:tcBorders>
            <w:shd w:val="clear" w:color="auto" w:fill="FFFFFF"/>
          </w:tcPr>
          <w:p w:rsidR="001F067F" w:rsidRPr="000B3455" w:rsidRDefault="001F067F" w:rsidP="00576C14">
            <w:pPr>
              <w:autoSpaceDE w:val="0"/>
              <w:autoSpaceDN w:val="0"/>
              <w:adjustRightInd w:val="0"/>
              <w:spacing w:after="0" w:line="320" w:lineRule="atLeast"/>
              <w:ind w:left="60" w:right="60"/>
              <w:rPr>
                <w:rFonts w:cs="Arial"/>
                <w:color w:val="000000"/>
              </w:rPr>
            </w:pPr>
            <w:r w:rsidRPr="000B3455">
              <w:rPr>
                <w:rFonts w:cs="Arial"/>
                <w:color w:val="000000"/>
              </w:rPr>
              <w:t>1</w:t>
            </w:r>
          </w:p>
        </w:tc>
        <w:tc>
          <w:tcPr>
            <w:tcW w:w="2426" w:type="dxa"/>
            <w:tcBorders>
              <w:top w:val="single" w:sz="16" w:space="0" w:color="000000"/>
              <w:left w:val="nil"/>
              <w:bottom w:val="nil"/>
              <w:right w:val="single" w:sz="16" w:space="0" w:color="000000"/>
            </w:tcBorders>
            <w:shd w:val="clear" w:color="auto" w:fill="FFFFFF"/>
          </w:tcPr>
          <w:p w:rsidR="001F067F" w:rsidRPr="000B3455" w:rsidRDefault="001F067F" w:rsidP="00576C14">
            <w:pPr>
              <w:autoSpaceDE w:val="0"/>
              <w:autoSpaceDN w:val="0"/>
              <w:adjustRightInd w:val="0"/>
              <w:spacing w:after="0" w:line="320" w:lineRule="atLeast"/>
              <w:ind w:left="60" w:right="60"/>
              <w:rPr>
                <w:rFonts w:cs="Arial"/>
                <w:color w:val="000000"/>
              </w:rPr>
            </w:pPr>
            <w:r w:rsidRPr="000B3455">
              <w:rPr>
                <w:rFonts w:cs="Arial"/>
                <w:color w:val="000000"/>
              </w:rPr>
              <w:t>(Constant)</w:t>
            </w:r>
          </w:p>
        </w:tc>
        <w:tc>
          <w:tcPr>
            <w:tcW w:w="1325" w:type="dxa"/>
            <w:tcBorders>
              <w:top w:val="single" w:sz="16" w:space="0" w:color="000000"/>
              <w:left w:val="single" w:sz="16" w:space="0" w:color="000000"/>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-3,439</w:t>
            </w:r>
          </w:p>
        </w:tc>
        <w:tc>
          <w:tcPr>
            <w:tcW w:w="1323" w:type="dxa"/>
            <w:tcBorders>
              <w:top w:val="single" w:sz="16" w:space="0" w:color="000000"/>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7,691</w:t>
            </w:r>
          </w:p>
        </w:tc>
        <w:tc>
          <w:tcPr>
            <w:tcW w:w="1456" w:type="dxa"/>
            <w:tcBorders>
              <w:top w:val="single" w:sz="16" w:space="0" w:color="000000"/>
              <w:bottom w:val="nil"/>
            </w:tcBorders>
            <w:shd w:val="clear" w:color="auto" w:fill="FFFFFF"/>
            <w:vAlign w:val="center"/>
          </w:tcPr>
          <w:p w:rsidR="001F067F" w:rsidRPr="000B3455" w:rsidRDefault="001F067F" w:rsidP="00576C14">
            <w:pPr>
              <w:autoSpaceDE w:val="0"/>
              <w:autoSpaceDN w:val="0"/>
              <w:adjustRightInd w:val="0"/>
              <w:spacing w:after="0" w:line="240" w:lineRule="auto"/>
              <w:jc w:val="center"/>
              <w:rPr>
                <w:rFonts w:cs="Times New Roman"/>
              </w:rPr>
            </w:pPr>
          </w:p>
        </w:tc>
        <w:tc>
          <w:tcPr>
            <w:tcW w:w="1010" w:type="dxa"/>
            <w:tcBorders>
              <w:top w:val="single" w:sz="16" w:space="0" w:color="000000"/>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-,447</w:t>
            </w:r>
          </w:p>
        </w:tc>
        <w:tc>
          <w:tcPr>
            <w:tcW w:w="1010" w:type="dxa"/>
            <w:tcBorders>
              <w:top w:val="single" w:sz="16" w:space="0" w:color="000000"/>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,655</w:t>
            </w:r>
          </w:p>
        </w:tc>
        <w:tc>
          <w:tcPr>
            <w:tcW w:w="1010" w:type="dxa"/>
            <w:gridSpan w:val="2"/>
            <w:tcBorders>
              <w:top w:val="single" w:sz="16" w:space="0" w:color="000000"/>
              <w:bottom w:val="nil"/>
            </w:tcBorders>
            <w:shd w:val="clear" w:color="auto" w:fill="FFFFFF"/>
          </w:tcPr>
          <w:p w:rsidR="001F067F" w:rsidRPr="000B3455" w:rsidRDefault="001F067F" w:rsidP="005C202A">
            <w:pPr>
              <w:autoSpaceDE w:val="0"/>
              <w:autoSpaceDN w:val="0"/>
              <w:adjustRightInd w:val="0"/>
              <w:spacing w:after="0" w:line="320" w:lineRule="atLeast"/>
              <w:ind w:left="60" w:right="60"/>
              <w:rPr>
                <w:rFonts w:cs="Arial"/>
                <w:color w:val="000000"/>
              </w:rPr>
            </w:pPr>
            <w:r w:rsidRPr="000B3455">
              <w:rPr>
                <w:rFonts w:cs="Arial"/>
                <w:color w:val="000000"/>
              </w:rPr>
              <w:t>,328</w:t>
            </w:r>
          </w:p>
        </w:tc>
      </w:tr>
      <w:tr w:rsidR="001F067F" w:rsidRPr="000B3455" w:rsidTr="005C202A">
        <w:trPr>
          <w:gridAfter w:val="1"/>
          <w:wAfter w:w="25"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1F067F" w:rsidRPr="000B3455" w:rsidRDefault="001F067F" w:rsidP="00576C14">
            <w:pPr>
              <w:autoSpaceDE w:val="0"/>
              <w:autoSpaceDN w:val="0"/>
              <w:adjustRightInd w:val="0"/>
              <w:spacing w:after="0" w:line="240" w:lineRule="auto"/>
              <w:rPr>
                <w:rFonts w:cs="Times New Roman"/>
              </w:rPr>
            </w:pPr>
          </w:p>
        </w:tc>
        <w:tc>
          <w:tcPr>
            <w:tcW w:w="2426" w:type="dxa"/>
            <w:tcBorders>
              <w:top w:val="nil"/>
              <w:left w:val="nil"/>
              <w:bottom w:val="nil"/>
              <w:right w:val="single" w:sz="16" w:space="0" w:color="000000"/>
            </w:tcBorders>
            <w:shd w:val="clear" w:color="auto" w:fill="FFFFFF"/>
          </w:tcPr>
          <w:p w:rsidR="001F067F" w:rsidRPr="000B3455" w:rsidRDefault="001F067F" w:rsidP="00576C14">
            <w:pPr>
              <w:autoSpaceDE w:val="0"/>
              <w:autoSpaceDN w:val="0"/>
              <w:adjustRightInd w:val="0"/>
              <w:spacing w:after="0" w:line="320" w:lineRule="atLeast"/>
              <w:ind w:left="60" w:right="60"/>
              <w:rPr>
                <w:rFonts w:cs="Arial"/>
                <w:color w:val="000000"/>
              </w:rPr>
            </w:pPr>
            <w:r w:rsidRPr="000B3455">
              <w:rPr>
                <w:rFonts w:cs="Arial"/>
                <w:color w:val="000000"/>
              </w:rPr>
              <w:t>Delta_PR_FV_STO_EXCL_MCL</w:t>
            </w:r>
          </w:p>
        </w:tc>
        <w:tc>
          <w:tcPr>
            <w:tcW w:w="1325" w:type="dxa"/>
            <w:tcBorders>
              <w:top w:val="nil"/>
              <w:left w:val="single" w:sz="16" w:space="0" w:color="000000"/>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-,335</w:t>
            </w:r>
          </w:p>
        </w:tc>
        <w:tc>
          <w:tcPr>
            <w:tcW w:w="1323"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,048</w:t>
            </w:r>
          </w:p>
        </w:tc>
        <w:tc>
          <w:tcPr>
            <w:tcW w:w="1456"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-,465</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-7,032</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,000</w:t>
            </w:r>
          </w:p>
        </w:tc>
        <w:tc>
          <w:tcPr>
            <w:tcW w:w="1010" w:type="dxa"/>
            <w:gridSpan w:val="2"/>
            <w:tcBorders>
              <w:top w:val="nil"/>
              <w:bottom w:val="nil"/>
            </w:tcBorders>
            <w:shd w:val="clear" w:color="auto" w:fill="FFFFFF"/>
          </w:tcPr>
          <w:p w:rsidR="001F067F" w:rsidRPr="000B3455" w:rsidRDefault="001F067F" w:rsidP="005C202A">
            <w:pPr>
              <w:autoSpaceDE w:val="0"/>
              <w:autoSpaceDN w:val="0"/>
              <w:adjustRightInd w:val="0"/>
              <w:spacing w:after="0" w:line="320" w:lineRule="atLeast"/>
              <w:ind w:left="60" w:right="60"/>
              <w:rPr>
                <w:rFonts w:cs="Arial"/>
                <w:color w:val="000000"/>
              </w:rPr>
            </w:pPr>
            <w:r w:rsidRPr="000B3455">
              <w:rPr>
                <w:rFonts w:cs="Arial"/>
                <w:color w:val="000000"/>
              </w:rPr>
              <w:t>,000</w:t>
            </w:r>
            <w:r w:rsidR="005C202A">
              <w:rPr>
                <w:rFonts w:cs="Arial"/>
                <w:color w:val="000000"/>
              </w:rPr>
              <w:t>***</w:t>
            </w:r>
          </w:p>
        </w:tc>
      </w:tr>
      <w:tr w:rsidR="001F067F" w:rsidRPr="000B3455" w:rsidTr="005C202A">
        <w:trPr>
          <w:gridAfter w:val="1"/>
          <w:wAfter w:w="25"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1F067F" w:rsidRPr="000B3455" w:rsidRDefault="001F067F" w:rsidP="00576C14">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1F067F" w:rsidRPr="000B3455" w:rsidRDefault="001F067F" w:rsidP="00576C14">
            <w:pPr>
              <w:autoSpaceDE w:val="0"/>
              <w:autoSpaceDN w:val="0"/>
              <w:adjustRightInd w:val="0"/>
              <w:spacing w:after="0" w:line="320" w:lineRule="atLeast"/>
              <w:ind w:left="60" w:right="60"/>
              <w:rPr>
                <w:rFonts w:cs="Arial"/>
                <w:color w:val="000000"/>
              </w:rPr>
            </w:pPr>
            <w:r w:rsidRPr="000B3455">
              <w:rPr>
                <w:rFonts w:cs="Arial"/>
                <w:color w:val="000000"/>
              </w:rPr>
              <w:t>D_2004</w:t>
            </w:r>
          </w:p>
        </w:tc>
        <w:tc>
          <w:tcPr>
            <w:tcW w:w="1325" w:type="dxa"/>
            <w:tcBorders>
              <w:top w:val="nil"/>
              <w:left w:val="single" w:sz="16" w:space="0" w:color="000000"/>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1,678</w:t>
            </w:r>
          </w:p>
        </w:tc>
        <w:tc>
          <w:tcPr>
            <w:tcW w:w="1323"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2,042</w:t>
            </w:r>
          </w:p>
        </w:tc>
        <w:tc>
          <w:tcPr>
            <w:tcW w:w="1456"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,061</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,822</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,412</w:t>
            </w:r>
          </w:p>
        </w:tc>
        <w:tc>
          <w:tcPr>
            <w:tcW w:w="1010" w:type="dxa"/>
            <w:gridSpan w:val="2"/>
            <w:tcBorders>
              <w:top w:val="nil"/>
              <w:bottom w:val="nil"/>
            </w:tcBorders>
            <w:shd w:val="clear" w:color="auto" w:fill="FFFFFF"/>
          </w:tcPr>
          <w:p w:rsidR="001F067F" w:rsidRPr="000B3455" w:rsidRDefault="001F067F" w:rsidP="005C202A">
            <w:pPr>
              <w:autoSpaceDE w:val="0"/>
              <w:autoSpaceDN w:val="0"/>
              <w:adjustRightInd w:val="0"/>
              <w:spacing w:after="0" w:line="320" w:lineRule="atLeast"/>
              <w:ind w:left="60" w:right="60"/>
              <w:rPr>
                <w:rFonts w:cs="Arial"/>
                <w:color w:val="000000"/>
              </w:rPr>
            </w:pPr>
            <w:r w:rsidRPr="000B3455">
              <w:rPr>
                <w:rFonts w:cs="Arial"/>
                <w:color w:val="000000"/>
              </w:rPr>
              <w:t>,206</w:t>
            </w:r>
          </w:p>
        </w:tc>
      </w:tr>
      <w:tr w:rsidR="001F067F" w:rsidRPr="000B3455" w:rsidTr="005C202A">
        <w:trPr>
          <w:gridAfter w:val="1"/>
          <w:wAfter w:w="25"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1F067F" w:rsidRPr="000B3455" w:rsidRDefault="001F067F" w:rsidP="00576C14">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1F067F" w:rsidRPr="000B3455" w:rsidRDefault="001F067F" w:rsidP="00576C14">
            <w:pPr>
              <w:autoSpaceDE w:val="0"/>
              <w:autoSpaceDN w:val="0"/>
              <w:adjustRightInd w:val="0"/>
              <w:spacing w:after="0" w:line="320" w:lineRule="atLeast"/>
              <w:ind w:left="60" w:right="60"/>
              <w:rPr>
                <w:rFonts w:cs="Arial"/>
                <w:color w:val="000000"/>
              </w:rPr>
            </w:pPr>
            <w:r w:rsidRPr="000B3455">
              <w:rPr>
                <w:rFonts w:cs="Arial"/>
                <w:color w:val="000000"/>
              </w:rPr>
              <w:t>D_2005</w:t>
            </w:r>
          </w:p>
        </w:tc>
        <w:tc>
          <w:tcPr>
            <w:tcW w:w="1325" w:type="dxa"/>
            <w:tcBorders>
              <w:top w:val="nil"/>
              <w:left w:val="single" w:sz="16" w:space="0" w:color="000000"/>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,333</w:t>
            </w:r>
          </w:p>
        </w:tc>
        <w:tc>
          <w:tcPr>
            <w:tcW w:w="1323"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2,159</w:t>
            </w:r>
          </w:p>
        </w:tc>
        <w:tc>
          <w:tcPr>
            <w:tcW w:w="1456"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,012</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,154</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,878</w:t>
            </w:r>
          </w:p>
        </w:tc>
        <w:tc>
          <w:tcPr>
            <w:tcW w:w="1010" w:type="dxa"/>
            <w:gridSpan w:val="2"/>
            <w:tcBorders>
              <w:top w:val="nil"/>
              <w:bottom w:val="nil"/>
            </w:tcBorders>
            <w:shd w:val="clear" w:color="auto" w:fill="FFFFFF"/>
          </w:tcPr>
          <w:p w:rsidR="001F067F" w:rsidRPr="000B3455" w:rsidRDefault="001F067F" w:rsidP="005C202A">
            <w:pPr>
              <w:autoSpaceDE w:val="0"/>
              <w:autoSpaceDN w:val="0"/>
              <w:adjustRightInd w:val="0"/>
              <w:spacing w:after="0" w:line="320" w:lineRule="atLeast"/>
              <w:ind w:left="60" w:right="60"/>
              <w:rPr>
                <w:rFonts w:cs="Arial"/>
                <w:color w:val="000000"/>
              </w:rPr>
            </w:pPr>
            <w:r w:rsidRPr="000B3455">
              <w:rPr>
                <w:rFonts w:cs="Arial"/>
                <w:color w:val="000000"/>
              </w:rPr>
              <w:t>,439</w:t>
            </w:r>
          </w:p>
        </w:tc>
      </w:tr>
      <w:tr w:rsidR="001F067F" w:rsidRPr="000B3455" w:rsidTr="005C202A">
        <w:trPr>
          <w:gridAfter w:val="1"/>
          <w:wAfter w:w="25"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1F067F" w:rsidRPr="000B3455" w:rsidRDefault="001F067F" w:rsidP="00576C14">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1F067F" w:rsidRPr="000B3455" w:rsidRDefault="001F067F" w:rsidP="00576C14">
            <w:pPr>
              <w:autoSpaceDE w:val="0"/>
              <w:autoSpaceDN w:val="0"/>
              <w:adjustRightInd w:val="0"/>
              <w:spacing w:after="0" w:line="320" w:lineRule="atLeast"/>
              <w:ind w:left="60" w:right="60"/>
              <w:rPr>
                <w:rFonts w:cs="Arial"/>
                <w:color w:val="000000"/>
              </w:rPr>
            </w:pPr>
            <w:r w:rsidRPr="000B3455">
              <w:rPr>
                <w:rFonts w:cs="Arial"/>
                <w:color w:val="000000"/>
              </w:rPr>
              <w:t>D_2006</w:t>
            </w:r>
          </w:p>
        </w:tc>
        <w:tc>
          <w:tcPr>
            <w:tcW w:w="1325" w:type="dxa"/>
            <w:tcBorders>
              <w:top w:val="nil"/>
              <w:left w:val="single" w:sz="16" w:space="0" w:color="000000"/>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-1,623</w:t>
            </w:r>
          </w:p>
        </w:tc>
        <w:tc>
          <w:tcPr>
            <w:tcW w:w="1323"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2,090</w:t>
            </w:r>
          </w:p>
        </w:tc>
        <w:tc>
          <w:tcPr>
            <w:tcW w:w="1456"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-,059</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-,777</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,438</w:t>
            </w:r>
          </w:p>
        </w:tc>
        <w:tc>
          <w:tcPr>
            <w:tcW w:w="1010" w:type="dxa"/>
            <w:gridSpan w:val="2"/>
            <w:tcBorders>
              <w:top w:val="nil"/>
              <w:bottom w:val="nil"/>
            </w:tcBorders>
            <w:shd w:val="clear" w:color="auto" w:fill="FFFFFF"/>
          </w:tcPr>
          <w:p w:rsidR="001F067F" w:rsidRPr="000B3455" w:rsidRDefault="001F067F" w:rsidP="005C202A">
            <w:pPr>
              <w:autoSpaceDE w:val="0"/>
              <w:autoSpaceDN w:val="0"/>
              <w:adjustRightInd w:val="0"/>
              <w:spacing w:after="0" w:line="320" w:lineRule="atLeast"/>
              <w:ind w:left="60" w:right="60"/>
              <w:rPr>
                <w:rFonts w:cs="Arial"/>
                <w:color w:val="000000"/>
              </w:rPr>
            </w:pPr>
            <w:r w:rsidRPr="000B3455">
              <w:rPr>
                <w:rFonts w:cs="Arial"/>
                <w:color w:val="000000"/>
              </w:rPr>
              <w:t>,219</w:t>
            </w:r>
          </w:p>
        </w:tc>
      </w:tr>
      <w:tr w:rsidR="001F067F" w:rsidRPr="000B3455" w:rsidTr="005C202A">
        <w:trPr>
          <w:gridAfter w:val="1"/>
          <w:wAfter w:w="25"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1F067F" w:rsidRPr="000B3455" w:rsidRDefault="001F067F" w:rsidP="00576C14">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1F067F" w:rsidRPr="000B3455" w:rsidRDefault="001F067F" w:rsidP="00576C14">
            <w:pPr>
              <w:autoSpaceDE w:val="0"/>
              <w:autoSpaceDN w:val="0"/>
              <w:adjustRightInd w:val="0"/>
              <w:spacing w:after="0" w:line="320" w:lineRule="atLeast"/>
              <w:ind w:left="60" w:right="60"/>
              <w:rPr>
                <w:rFonts w:cs="Arial"/>
                <w:color w:val="000000"/>
              </w:rPr>
            </w:pPr>
            <w:r w:rsidRPr="000B3455">
              <w:rPr>
                <w:rFonts w:cs="Arial"/>
                <w:color w:val="000000"/>
              </w:rPr>
              <w:t>D_2007</w:t>
            </w:r>
          </w:p>
        </w:tc>
        <w:tc>
          <w:tcPr>
            <w:tcW w:w="1325" w:type="dxa"/>
            <w:tcBorders>
              <w:top w:val="nil"/>
              <w:left w:val="single" w:sz="16" w:space="0" w:color="000000"/>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2,269</w:t>
            </w:r>
          </w:p>
        </w:tc>
        <w:tc>
          <w:tcPr>
            <w:tcW w:w="1323"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2,010</w:t>
            </w:r>
          </w:p>
        </w:tc>
        <w:tc>
          <w:tcPr>
            <w:tcW w:w="1456"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,081</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1,128</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,261</w:t>
            </w:r>
          </w:p>
        </w:tc>
        <w:tc>
          <w:tcPr>
            <w:tcW w:w="1010" w:type="dxa"/>
            <w:gridSpan w:val="2"/>
            <w:tcBorders>
              <w:top w:val="nil"/>
              <w:bottom w:val="nil"/>
            </w:tcBorders>
            <w:shd w:val="clear" w:color="auto" w:fill="FFFFFF"/>
          </w:tcPr>
          <w:p w:rsidR="001F067F" w:rsidRPr="000B3455" w:rsidRDefault="001F067F" w:rsidP="005C202A">
            <w:pPr>
              <w:autoSpaceDE w:val="0"/>
              <w:autoSpaceDN w:val="0"/>
              <w:adjustRightInd w:val="0"/>
              <w:spacing w:after="0" w:line="320" w:lineRule="atLeast"/>
              <w:ind w:left="60" w:right="60"/>
              <w:rPr>
                <w:rFonts w:cs="Arial"/>
                <w:color w:val="000000"/>
              </w:rPr>
            </w:pPr>
            <w:r w:rsidRPr="000B3455">
              <w:rPr>
                <w:rFonts w:cs="Arial"/>
                <w:color w:val="000000"/>
              </w:rPr>
              <w:t>,131</w:t>
            </w:r>
          </w:p>
        </w:tc>
      </w:tr>
      <w:tr w:rsidR="001F067F" w:rsidRPr="000B3455" w:rsidTr="005C202A">
        <w:trPr>
          <w:gridAfter w:val="1"/>
          <w:wAfter w:w="25"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1F067F" w:rsidRPr="000B3455" w:rsidRDefault="001F067F" w:rsidP="00576C14">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1F067F" w:rsidRPr="000B3455" w:rsidRDefault="001F067F" w:rsidP="00576C14">
            <w:pPr>
              <w:autoSpaceDE w:val="0"/>
              <w:autoSpaceDN w:val="0"/>
              <w:adjustRightInd w:val="0"/>
              <w:spacing w:after="0" w:line="320" w:lineRule="atLeast"/>
              <w:ind w:left="60" w:right="60"/>
              <w:rPr>
                <w:rFonts w:cs="Arial"/>
                <w:color w:val="000000"/>
              </w:rPr>
            </w:pPr>
            <w:r w:rsidRPr="000B3455">
              <w:rPr>
                <w:rFonts w:cs="Arial"/>
                <w:color w:val="000000"/>
              </w:rPr>
              <w:t>LN_ASSETS</w:t>
            </w:r>
          </w:p>
        </w:tc>
        <w:tc>
          <w:tcPr>
            <w:tcW w:w="1325" w:type="dxa"/>
            <w:tcBorders>
              <w:top w:val="nil"/>
              <w:left w:val="single" w:sz="16" w:space="0" w:color="000000"/>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,278</w:t>
            </w:r>
          </w:p>
        </w:tc>
        <w:tc>
          <w:tcPr>
            <w:tcW w:w="1323"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,541</w:t>
            </w:r>
          </w:p>
        </w:tc>
        <w:tc>
          <w:tcPr>
            <w:tcW w:w="1456"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,056</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,513</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,608</w:t>
            </w:r>
          </w:p>
        </w:tc>
        <w:tc>
          <w:tcPr>
            <w:tcW w:w="1010" w:type="dxa"/>
            <w:gridSpan w:val="2"/>
            <w:tcBorders>
              <w:top w:val="nil"/>
              <w:bottom w:val="nil"/>
            </w:tcBorders>
            <w:shd w:val="clear" w:color="auto" w:fill="FFFFFF"/>
          </w:tcPr>
          <w:p w:rsidR="001F067F" w:rsidRPr="000B3455" w:rsidRDefault="001F067F" w:rsidP="005C202A">
            <w:pPr>
              <w:autoSpaceDE w:val="0"/>
              <w:autoSpaceDN w:val="0"/>
              <w:adjustRightInd w:val="0"/>
              <w:spacing w:after="0" w:line="320" w:lineRule="atLeast"/>
              <w:ind w:left="60" w:right="60"/>
              <w:rPr>
                <w:rFonts w:cs="Arial"/>
                <w:color w:val="000000"/>
              </w:rPr>
            </w:pPr>
            <w:r w:rsidRPr="000B3455">
              <w:rPr>
                <w:rFonts w:cs="Arial"/>
                <w:color w:val="000000"/>
              </w:rPr>
              <w:t>,304</w:t>
            </w:r>
          </w:p>
        </w:tc>
      </w:tr>
      <w:tr w:rsidR="001F067F" w:rsidRPr="000B3455" w:rsidTr="005C202A">
        <w:trPr>
          <w:gridAfter w:val="1"/>
          <w:wAfter w:w="25"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1F067F" w:rsidRPr="000B3455" w:rsidRDefault="001F067F" w:rsidP="00576C14">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1F067F" w:rsidRPr="000B3455" w:rsidRDefault="001F067F" w:rsidP="00576C14">
            <w:pPr>
              <w:autoSpaceDE w:val="0"/>
              <w:autoSpaceDN w:val="0"/>
              <w:adjustRightInd w:val="0"/>
              <w:spacing w:after="0" w:line="320" w:lineRule="atLeast"/>
              <w:ind w:left="60" w:right="60"/>
              <w:rPr>
                <w:rFonts w:cs="Arial"/>
                <w:color w:val="000000"/>
              </w:rPr>
            </w:pPr>
            <w:r w:rsidRPr="000B3455">
              <w:rPr>
                <w:rFonts w:cs="Arial"/>
                <w:color w:val="000000"/>
              </w:rPr>
              <w:t>MTB</w:t>
            </w:r>
          </w:p>
        </w:tc>
        <w:tc>
          <w:tcPr>
            <w:tcW w:w="1325" w:type="dxa"/>
            <w:tcBorders>
              <w:top w:val="nil"/>
              <w:left w:val="single" w:sz="16" w:space="0" w:color="000000"/>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,410</w:t>
            </w:r>
          </w:p>
        </w:tc>
        <w:tc>
          <w:tcPr>
            <w:tcW w:w="1323"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,410</w:t>
            </w:r>
          </w:p>
        </w:tc>
        <w:tc>
          <w:tcPr>
            <w:tcW w:w="1456"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,078</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1,000</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,319</w:t>
            </w:r>
          </w:p>
        </w:tc>
        <w:tc>
          <w:tcPr>
            <w:tcW w:w="1010" w:type="dxa"/>
            <w:gridSpan w:val="2"/>
            <w:tcBorders>
              <w:top w:val="nil"/>
              <w:bottom w:val="nil"/>
            </w:tcBorders>
            <w:shd w:val="clear" w:color="auto" w:fill="FFFFFF"/>
          </w:tcPr>
          <w:p w:rsidR="001F067F" w:rsidRPr="000B3455" w:rsidRDefault="001F067F" w:rsidP="005C202A">
            <w:pPr>
              <w:autoSpaceDE w:val="0"/>
              <w:autoSpaceDN w:val="0"/>
              <w:adjustRightInd w:val="0"/>
              <w:spacing w:after="0" w:line="320" w:lineRule="atLeast"/>
              <w:ind w:left="60" w:right="60"/>
              <w:rPr>
                <w:rFonts w:cs="Arial"/>
                <w:color w:val="000000"/>
              </w:rPr>
            </w:pPr>
            <w:r w:rsidRPr="000B3455">
              <w:rPr>
                <w:rFonts w:cs="Arial"/>
                <w:color w:val="000000"/>
              </w:rPr>
              <w:t>,160</w:t>
            </w:r>
          </w:p>
        </w:tc>
      </w:tr>
      <w:tr w:rsidR="001F067F" w:rsidRPr="000B3455" w:rsidTr="005C202A">
        <w:trPr>
          <w:gridAfter w:val="1"/>
          <w:wAfter w:w="25"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1F067F" w:rsidRPr="000B3455" w:rsidRDefault="001F067F" w:rsidP="00576C14">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1F067F" w:rsidRPr="000B3455" w:rsidRDefault="001F067F" w:rsidP="00576C14">
            <w:pPr>
              <w:autoSpaceDE w:val="0"/>
              <w:autoSpaceDN w:val="0"/>
              <w:adjustRightInd w:val="0"/>
              <w:spacing w:after="0" w:line="320" w:lineRule="atLeast"/>
              <w:ind w:left="60" w:right="60"/>
              <w:rPr>
                <w:rFonts w:cs="Arial"/>
                <w:color w:val="000000"/>
              </w:rPr>
            </w:pPr>
            <w:r w:rsidRPr="000B3455">
              <w:rPr>
                <w:rFonts w:cs="Arial"/>
                <w:color w:val="000000"/>
              </w:rPr>
              <w:t>RET</w:t>
            </w:r>
          </w:p>
        </w:tc>
        <w:tc>
          <w:tcPr>
            <w:tcW w:w="1325" w:type="dxa"/>
            <w:tcBorders>
              <w:top w:val="nil"/>
              <w:left w:val="single" w:sz="16" w:space="0" w:color="000000"/>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,029</w:t>
            </w:r>
          </w:p>
        </w:tc>
        <w:tc>
          <w:tcPr>
            <w:tcW w:w="1323"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,018</w:t>
            </w:r>
          </w:p>
        </w:tc>
        <w:tc>
          <w:tcPr>
            <w:tcW w:w="1456"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,124</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1,578</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,116</w:t>
            </w:r>
          </w:p>
        </w:tc>
        <w:tc>
          <w:tcPr>
            <w:tcW w:w="1010" w:type="dxa"/>
            <w:gridSpan w:val="2"/>
            <w:tcBorders>
              <w:top w:val="nil"/>
              <w:bottom w:val="nil"/>
            </w:tcBorders>
            <w:shd w:val="clear" w:color="auto" w:fill="FFFFFF"/>
          </w:tcPr>
          <w:p w:rsidR="001F067F" w:rsidRPr="000B3455" w:rsidRDefault="001F067F" w:rsidP="005C202A">
            <w:pPr>
              <w:autoSpaceDE w:val="0"/>
              <w:autoSpaceDN w:val="0"/>
              <w:adjustRightInd w:val="0"/>
              <w:spacing w:after="0" w:line="320" w:lineRule="atLeast"/>
              <w:ind w:left="60" w:right="60"/>
              <w:rPr>
                <w:rFonts w:cs="Arial"/>
                <w:color w:val="000000"/>
              </w:rPr>
            </w:pPr>
            <w:r w:rsidRPr="000B3455">
              <w:rPr>
                <w:rFonts w:cs="Arial"/>
                <w:color w:val="000000"/>
              </w:rPr>
              <w:t>,058</w:t>
            </w:r>
            <w:r w:rsidR="005C202A">
              <w:rPr>
                <w:rFonts w:cs="Arial"/>
                <w:color w:val="000000"/>
              </w:rPr>
              <w:t>*</w:t>
            </w:r>
          </w:p>
        </w:tc>
      </w:tr>
      <w:tr w:rsidR="001F067F" w:rsidRPr="000B3455" w:rsidTr="005C202A">
        <w:trPr>
          <w:gridAfter w:val="1"/>
          <w:wAfter w:w="25"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1F067F" w:rsidRPr="000B3455" w:rsidRDefault="001F067F" w:rsidP="00576C14">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1F067F" w:rsidRPr="000B3455" w:rsidRDefault="001F067F" w:rsidP="00576C14">
            <w:pPr>
              <w:autoSpaceDE w:val="0"/>
              <w:autoSpaceDN w:val="0"/>
              <w:adjustRightInd w:val="0"/>
              <w:spacing w:after="0" w:line="320" w:lineRule="atLeast"/>
              <w:ind w:left="60" w:right="60"/>
              <w:rPr>
                <w:rFonts w:cs="Arial"/>
                <w:color w:val="000000"/>
              </w:rPr>
            </w:pPr>
            <w:r w:rsidRPr="000B3455">
              <w:rPr>
                <w:rFonts w:cs="Arial"/>
                <w:color w:val="000000"/>
              </w:rPr>
              <w:t>VOL</w:t>
            </w:r>
          </w:p>
        </w:tc>
        <w:tc>
          <w:tcPr>
            <w:tcW w:w="1325" w:type="dxa"/>
            <w:tcBorders>
              <w:top w:val="nil"/>
              <w:left w:val="single" w:sz="16" w:space="0" w:color="000000"/>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,099</w:t>
            </w:r>
          </w:p>
        </w:tc>
        <w:tc>
          <w:tcPr>
            <w:tcW w:w="1323"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,080</w:t>
            </w:r>
          </w:p>
        </w:tc>
        <w:tc>
          <w:tcPr>
            <w:tcW w:w="1456"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,095</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1,227</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,221</w:t>
            </w:r>
          </w:p>
        </w:tc>
        <w:tc>
          <w:tcPr>
            <w:tcW w:w="1010" w:type="dxa"/>
            <w:gridSpan w:val="2"/>
            <w:tcBorders>
              <w:top w:val="nil"/>
              <w:bottom w:val="nil"/>
            </w:tcBorders>
            <w:shd w:val="clear" w:color="auto" w:fill="FFFFFF"/>
          </w:tcPr>
          <w:p w:rsidR="001F067F" w:rsidRPr="000B3455" w:rsidRDefault="001F067F" w:rsidP="005C202A">
            <w:pPr>
              <w:autoSpaceDE w:val="0"/>
              <w:autoSpaceDN w:val="0"/>
              <w:adjustRightInd w:val="0"/>
              <w:spacing w:after="0" w:line="320" w:lineRule="atLeast"/>
              <w:ind w:left="60" w:right="60"/>
              <w:rPr>
                <w:rFonts w:cs="Arial"/>
                <w:color w:val="000000"/>
              </w:rPr>
            </w:pPr>
            <w:r w:rsidRPr="000B3455">
              <w:rPr>
                <w:rFonts w:cs="Arial"/>
                <w:color w:val="000000"/>
              </w:rPr>
              <w:t>,111</w:t>
            </w:r>
          </w:p>
        </w:tc>
      </w:tr>
      <w:tr w:rsidR="001F067F" w:rsidRPr="000B3455" w:rsidTr="005C202A">
        <w:trPr>
          <w:gridAfter w:val="1"/>
          <w:wAfter w:w="25"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1F067F" w:rsidRPr="000B3455" w:rsidRDefault="001F067F" w:rsidP="00576C14">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1F067F" w:rsidRPr="000B3455" w:rsidRDefault="001F067F" w:rsidP="00576C14">
            <w:pPr>
              <w:autoSpaceDE w:val="0"/>
              <w:autoSpaceDN w:val="0"/>
              <w:adjustRightInd w:val="0"/>
              <w:spacing w:after="0" w:line="320" w:lineRule="atLeast"/>
              <w:ind w:left="60" w:right="60"/>
              <w:rPr>
                <w:rFonts w:cs="Arial"/>
                <w:color w:val="000000"/>
              </w:rPr>
            </w:pPr>
            <w:r w:rsidRPr="000B3455">
              <w:rPr>
                <w:rFonts w:cs="Arial"/>
                <w:color w:val="000000"/>
              </w:rPr>
              <w:t>BOA_SIZE</w:t>
            </w:r>
          </w:p>
        </w:tc>
        <w:tc>
          <w:tcPr>
            <w:tcW w:w="1325" w:type="dxa"/>
            <w:tcBorders>
              <w:top w:val="nil"/>
              <w:left w:val="single" w:sz="16" w:space="0" w:color="000000"/>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-1,428</w:t>
            </w:r>
          </w:p>
        </w:tc>
        <w:tc>
          <w:tcPr>
            <w:tcW w:w="1323"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,624</w:t>
            </w:r>
          </w:p>
        </w:tc>
        <w:tc>
          <w:tcPr>
            <w:tcW w:w="1456"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-,203</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-2,288</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,023</w:t>
            </w:r>
          </w:p>
        </w:tc>
        <w:tc>
          <w:tcPr>
            <w:tcW w:w="1010" w:type="dxa"/>
            <w:gridSpan w:val="2"/>
            <w:tcBorders>
              <w:top w:val="nil"/>
              <w:bottom w:val="nil"/>
            </w:tcBorders>
            <w:shd w:val="clear" w:color="auto" w:fill="FFFFFF"/>
          </w:tcPr>
          <w:p w:rsidR="001F067F" w:rsidRPr="000B3455" w:rsidRDefault="001F067F" w:rsidP="005C202A">
            <w:pPr>
              <w:autoSpaceDE w:val="0"/>
              <w:autoSpaceDN w:val="0"/>
              <w:adjustRightInd w:val="0"/>
              <w:spacing w:after="0" w:line="320" w:lineRule="atLeast"/>
              <w:ind w:left="60" w:right="60"/>
              <w:rPr>
                <w:rFonts w:cs="Arial"/>
                <w:color w:val="000000"/>
              </w:rPr>
            </w:pPr>
            <w:r w:rsidRPr="000B3455">
              <w:rPr>
                <w:rFonts w:cs="Arial"/>
                <w:color w:val="000000"/>
              </w:rPr>
              <w:t>,012</w:t>
            </w:r>
            <w:r w:rsidR="005C202A">
              <w:rPr>
                <w:rFonts w:cs="Arial"/>
                <w:color w:val="000000"/>
              </w:rPr>
              <w:t>**</w:t>
            </w:r>
          </w:p>
        </w:tc>
      </w:tr>
      <w:tr w:rsidR="001F067F" w:rsidRPr="000B3455" w:rsidTr="005C202A">
        <w:trPr>
          <w:gridAfter w:val="1"/>
          <w:wAfter w:w="25"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1F067F" w:rsidRPr="000B3455" w:rsidRDefault="001F067F" w:rsidP="00576C14">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1F067F" w:rsidRPr="000B3455" w:rsidRDefault="001F067F" w:rsidP="00576C14">
            <w:pPr>
              <w:autoSpaceDE w:val="0"/>
              <w:autoSpaceDN w:val="0"/>
              <w:adjustRightInd w:val="0"/>
              <w:spacing w:after="0" w:line="320" w:lineRule="atLeast"/>
              <w:ind w:left="60" w:right="60"/>
              <w:rPr>
                <w:rFonts w:cs="Arial"/>
                <w:color w:val="000000"/>
              </w:rPr>
            </w:pPr>
            <w:r w:rsidRPr="000B3455">
              <w:rPr>
                <w:rFonts w:cs="Arial"/>
                <w:color w:val="000000"/>
              </w:rPr>
              <w:t>LIQ_CON</w:t>
            </w:r>
          </w:p>
        </w:tc>
        <w:tc>
          <w:tcPr>
            <w:tcW w:w="1325" w:type="dxa"/>
            <w:tcBorders>
              <w:top w:val="nil"/>
              <w:left w:val="single" w:sz="16" w:space="0" w:color="000000"/>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-4,524</w:t>
            </w:r>
          </w:p>
        </w:tc>
        <w:tc>
          <w:tcPr>
            <w:tcW w:w="1323"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8,899</w:t>
            </w:r>
          </w:p>
        </w:tc>
        <w:tc>
          <w:tcPr>
            <w:tcW w:w="1456"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-,039</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-,508</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,612</w:t>
            </w:r>
          </w:p>
        </w:tc>
        <w:tc>
          <w:tcPr>
            <w:tcW w:w="1010" w:type="dxa"/>
            <w:gridSpan w:val="2"/>
            <w:tcBorders>
              <w:top w:val="nil"/>
              <w:bottom w:val="nil"/>
            </w:tcBorders>
            <w:shd w:val="clear" w:color="auto" w:fill="FFFFFF"/>
          </w:tcPr>
          <w:p w:rsidR="001F067F" w:rsidRPr="000B3455" w:rsidRDefault="001F067F" w:rsidP="005C202A">
            <w:pPr>
              <w:autoSpaceDE w:val="0"/>
              <w:autoSpaceDN w:val="0"/>
              <w:adjustRightInd w:val="0"/>
              <w:spacing w:after="0" w:line="320" w:lineRule="atLeast"/>
              <w:ind w:left="60" w:right="60"/>
              <w:rPr>
                <w:rFonts w:cs="Arial"/>
                <w:color w:val="000000"/>
              </w:rPr>
            </w:pPr>
            <w:r w:rsidRPr="000B3455">
              <w:rPr>
                <w:rFonts w:cs="Arial"/>
                <w:color w:val="000000"/>
              </w:rPr>
              <w:t>,306</w:t>
            </w:r>
          </w:p>
        </w:tc>
      </w:tr>
      <w:tr w:rsidR="001F067F" w:rsidRPr="000B3455" w:rsidTr="005C202A">
        <w:trPr>
          <w:gridAfter w:val="1"/>
          <w:wAfter w:w="25"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1F067F" w:rsidRPr="000B3455" w:rsidRDefault="001F067F" w:rsidP="00576C14">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1F067F" w:rsidRPr="000B3455" w:rsidRDefault="001F067F" w:rsidP="00576C14">
            <w:pPr>
              <w:autoSpaceDE w:val="0"/>
              <w:autoSpaceDN w:val="0"/>
              <w:adjustRightInd w:val="0"/>
              <w:spacing w:after="0" w:line="320" w:lineRule="atLeast"/>
              <w:ind w:left="60" w:right="60"/>
              <w:rPr>
                <w:rFonts w:cs="Arial"/>
                <w:color w:val="000000"/>
              </w:rPr>
            </w:pPr>
            <w:r w:rsidRPr="000B3455">
              <w:rPr>
                <w:rFonts w:cs="Arial"/>
                <w:color w:val="000000"/>
              </w:rPr>
              <w:t>IND_D_MINING</w:t>
            </w:r>
          </w:p>
        </w:tc>
        <w:tc>
          <w:tcPr>
            <w:tcW w:w="1325" w:type="dxa"/>
            <w:tcBorders>
              <w:top w:val="nil"/>
              <w:left w:val="single" w:sz="16" w:space="0" w:color="000000"/>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1,022</w:t>
            </w:r>
          </w:p>
        </w:tc>
        <w:tc>
          <w:tcPr>
            <w:tcW w:w="1323"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4,390</w:t>
            </w:r>
          </w:p>
        </w:tc>
        <w:tc>
          <w:tcPr>
            <w:tcW w:w="1456"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,017</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,233</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,816</w:t>
            </w:r>
          </w:p>
        </w:tc>
        <w:tc>
          <w:tcPr>
            <w:tcW w:w="1010" w:type="dxa"/>
            <w:gridSpan w:val="2"/>
            <w:tcBorders>
              <w:top w:val="nil"/>
              <w:bottom w:val="nil"/>
            </w:tcBorders>
            <w:shd w:val="clear" w:color="auto" w:fill="FFFFFF"/>
          </w:tcPr>
          <w:p w:rsidR="001F067F" w:rsidRPr="000B3455" w:rsidRDefault="001F067F" w:rsidP="005C202A">
            <w:pPr>
              <w:autoSpaceDE w:val="0"/>
              <w:autoSpaceDN w:val="0"/>
              <w:adjustRightInd w:val="0"/>
              <w:spacing w:after="0" w:line="320" w:lineRule="atLeast"/>
              <w:ind w:left="60" w:right="60"/>
              <w:rPr>
                <w:rFonts w:cs="Arial"/>
                <w:color w:val="000000"/>
              </w:rPr>
            </w:pPr>
            <w:r w:rsidRPr="000B3455">
              <w:rPr>
                <w:rFonts w:cs="Arial"/>
                <w:color w:val="000000"/>
              </w:rPr>
              <w:t>,408</w:t>
            </w:r>
          </w:p>
        </w:tc>
      </w:tr>
      <w:tr w:rsidR="001F067F" w:rsidRPr="000B3455" w:rsidTr="005C202A">
        <w:trPr>
          <w:gridAfter w:val="1"/>
          <w:wAfter w:w="25"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1F067F" w:rsidRPr="000B3455" w:rsidRDefault="001F067F" w:rsidP="00576C14">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1F067F" w:rsidRPr="000B3455" w:rsidRDefault="001F067F" w:rsidP="00576C14">
            <w:pPr>
              <w:autoSpaceDE w:val="0"/>
              <w:autoSpaceDN w:val="0"/>
              <w:adjustRightInd w:val="0"/>
              <w:spacing w:after="0" w:line="320" w:lineRule="atLeast"/>
              <w:ind w:left="60" w:right="60"/>
              <w:rPr>
                <w:rFonts w:cs="Arial"/>
                <w:color w:val="000000"/>
              </w:rPr>
            </w:pPr>
            <w:r w:rsidRPr="000B3455">
              <w:rPr>
                <w:rFonts w:cs="Arial"/>
                <w:color w:val="000000"/>
              </w:rPr>
              <w:t>IND_D_CONSTR</w:t>
            </w:r>
          </w:p>
        </w:tc>
        <w:tc>
          <w:tcPr>
            <w:tcW w:w="1325" w:type="dxa"/>
            <w:tcBorders>
              <w:top w:val="nil"/>
              <w:left w:val="single" w:sz="16" w:space="0" w:color="000000"/>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2,062</w:t>
            </w:r>
          </w:p>
        </w:tc>
        <w:tc>
          <w:tcPr>
            <w:tcW w:w="1323"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4,048</w:t>
            </w:r>
          </w:p>
        </w:tc>
        <w:tc>
          <w:tcPr>
            <w:tcW w:w="1456"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,034</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,509</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,611</w:t>
            </w:r>
          </w:p>
        </w:tc>
        <w:tc>
          <w:tcPr>
            <w:tcW w:w="1010" w:type="dxa"/>
            <w:gridSpan w:val="2"/>
            <w:tcBorders>
              <w:top w:val="nil"/>
              <w:bottom w:val="nil"/>
            </w:tcBorders>
            <w:shd w:val="clear" w:color="auto" w:fill="FFFFFF"/>
          </w:tcPr>
          <w:p w:rsidR="001F067F" w:rsidRPr="000B3455" w:rsidRDefault="001F067F" w:rsidP="005C202A">
            <w:pPr>
              <w:autoSpaceDE w:val="0"/>
              <w:autoSpaceDN w:val="0"/>
              <w:adjustRightInd w:val="0"/>
              <w:spacing w:after="0" w:line="320" w:lineRule="atLeast"/>
              <w:ind w:left="60" w:right="60"/>
              <w:rPr>
                <w:rFonts w:cs="Arial"/>
                <w:color w:val="000000"/>
              </w:rPr>
            </w:pPr>
            <w:r w:rsidRPr="000B3455">
              <w:rPr>
                <w:rFonts w:cs="Arial"/>
                <w:color w:val="000000"/>
              </w:rPr>
              <w:t>,306</w:t>
            </w:r>
          </w:p>
        </w:tc>
      </w:tr>
      <w:tr w:rsidR="001F067F" w:rsidRPr="000B3455" w:rsidTr="005C202A">
        <w:trPr>
          <w:gridAfter w:val="1"/>
          <w:wAfter w:w="25"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1F067F" w:rsidRPr="000B3455" w:rsidRDefault="001F067F" w:rsidP="00576C14">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1F067F" w:rsidRPr="000B3455" w:rsidRDefault="001F067F" w:rsidP="00576C14">
            <w:pPr>
              <w:autoSpaceDE w:val="0"/>
              <w:autoSpaceDN w:val="0"/>
              <w:adjustRightInd w:val="0"/>
              <w:spacing w:after="0" w:line="320" w:lineRule="atLeast"/>
              <w:ind w:left="60" w:right="60"/>
              <w:rPr>
                <w:rFonts w:cs="Arial"/>
                <w:color w:val="000000"/>
              </w:rPr>
            </w:pPr>
            <w:r w:rsidRPr="000B3455">
              <w:rPr>
                <w:rFonts w:cs="Arial"/>
                <w:color w:val="000000"/>
              </w:rPr>
              <w:t>IND_D_TRANS_COMM_ELE_GAS_SAN_SERV</w:t>
            </w:r>
          </w:p>
        </w:tc>
        <w:tc>
          <w:tcPr>
            <w:tcW w:w="1325" w:type="dxa"/>
            <w:tcBorders>
              <w:top w:val="nil"/>
              <w:left w:val="single" w:sz="16" w:space="0" w:color="000000"/>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-2,629</w:t>
            </w:r>
          </w:p>
        </w:tc>
        <w:tc>
          <w:tcPr>
            <w:tcW w:w="1323"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3,044</w:t>
            </w:r>
          </w:p>
        </w:tc>
        <w:tc>
          <w:tcPr>
            <w:tcW w:w="1456"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-,060</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-,864</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,389</w:t>
            </w:r>
          </w:p>
        </w:tc>
        <w:tc>
          <w:tcPr>
            <w:tcW w:w="1010" w:type="dxa"/>
            <w:gridSpan w:val="2"/>
            <w:tcBorders>
              <w:top w:val="nil"/>
              <w:bottom w:val="nil"/>
            </w:tcBorders>
            <w:shd w:val="clear" w:color="auto" w:fill="FFFFFF"/>
          </w:tcPr>
          <w:p w:rsidR="001F067F" w:rsidRPr="000B3455" w:rsidRDefault="001F067F" w:rsidP="005C202A">
            <w:pPr>
              <w:autoSpaceDE w:val="0"/>
              <w:autoSpaceDN w:val="0"/>
              <w:adjustRightInd w:val="0"/>
              <w:spacing w:after="0" w:line="320" w:lineRule="atLeast"/>
              <w:ind w:left="60" w:right="60"/>
              <w:rPr>
                <w:rFonts w:cs="Arial"/>
                <w:color w:val="000000"/>
              </w:rPr>
            </w:pPr>
            <w:r w:rsidRPr="000B3455">
              <w:rPr>
                <w:rFonts w:cs="Arial"/>
                <w:color w:val="000000"/>
              </w:rPr>
              <w:t>,195</w:t>
            </w:r>
          </w:p>
        </w:tc>
      </w:tr>
      <w:tr w:rsidR="001F067F" w:rsidRPr="000B3455" w:rsidTr="005C202A">
        <w:trPr>
          <w:gridAfter w:val="1"/>
          <w:wAfter w:w="25"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1F067F" w:rsidRPr="000B3455" w:rsidRDefault="001F067F" w:rsidP="00576C14">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1F067F" w:rsidRPr="000B3455" w:rsidRDefault="001F067F" w:rsidP="00576C14">
            <w:pPr>
              <w:autoSpaceDE w:val="0"/>
              <w:autoSpaceDN w:val="0"/>
              <w:adjustRightInd w:val="0"/>
              <w:spacing w:after="0" w:line="320" w:lineRule="atLeast"/>
              <w:ind w:left="60" w:right="60"/>
              <w:rPr>
                <w:rFonts w:cs="Arial"/>
                <w:color w:val="000000"/>
              </w:rPr>
            </w:pPr>
            <w:r w:rsidRPr="000B3455">
              <w:rPr>
                <w:rFonts w:cs="Arial"/>
                <w:color w:val="000000"/>
              </w:rPr>
              <w:t>IND_D_WHOLESALE</w:t>
            </w:r>
          </w:p>
        </w:tc>
        <w:tc>
          <w:tcPr>
            <w:tcW w:w="1325" w:type="dxa"/>
            <w:tcBorders>
              <w:top w:val="nil"/>
              <w:left w:val="single" w:sz="16" w:space="0" w:color="000000"/>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-,533</w:t>
            </w:r>
          </w:p>
        </w:tc>
        <w:tc>
          <w:tcPr>
            <w:tcW w:w="1323"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2,923</w:t>
            </w:r>
          </w:p>
        </w:tc>
        <w:tc>
          <w:tcPr>
            <w:tcW w:w="1456"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-,012</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-,182</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,855</w:t>
            </w:r>
          </w:p>
        </w:tc>
        <w:tc>
          <w:tcPr>
            <w:tcW w:w="1010" w:type="dxa"/>
            <w:gridSpan w:val="2"/>
            <w:tcBorders>
              <w:top w:val="nil"/>
              <w:bottom w:val="nil"/>
            </w:tcBorders>
            <w:shd w:val="clear" w:color="auto" w:fill="FFFFFF"/>
          </w:tcPr>
          <w:p w:rsidR="001F067F" w:rsidRPr="000B3455" w:rsidRDefault="001F067F" w:rsidP="005C202A">
            <w:pPr>
              <w:autoSpaceDE w:val="0"/>
              <w:autoSpaceDN w:val="0"/>
              <w:adjustRightInd w:val="0"/>
              <w:spacing w:after="0" w:line="320" w:lineRule="atLeast"/>
              <w:ind w:left="60" w:right="60"/>
              <w:rPr>
                <w:rFonts w:cs="Arial"/>
                <w:color w:val="000000"/>
              </w:rPr>
            </w:pPr>
            <w:r w:rsidRPr="000B3455">
              <w:rPr>
                <w:rFonts w:cs="Arial"/>
                <w:color w:val="000000"/>
              </w:rPr>
              <w:t>,428</w:t>
            </w:r>
          </w:p>
        </w:tc>
      </w:tr>
      <w:tr w:rsidR="001F067F" w:rsidRPr="000B3455" w:rsidTr="005C202A">
        <w:trPr>
          <w:gridAfter w:val="1"/>
          <w:wAfter w:w="25"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1F067F" w:rsidRPr="000B3455" w:rsidRDefault="001F067F" w:rsidP="00576C14">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1F067F" w:rsidRPr="000B3455" w:rsidRDefault="001F067F" w:rsidP="00576C14">
            <w:pPr>
              <w:autoSpaceDE w:val="0"/>
              <w:autoSpaceDN w:val="0"/>
              <w:adjustRightInd w:val="0"/>
              <w:spacing w:after="0" w:line="320" w:lineRule="atLeast"/>
              <w:ind w:left="60" w:right="60"/>
              <w:rPr>
                <w:rFonts w:cs="Arial"/>
                <w:color w:val="000000"/>
              </w:rPr>
            </w:pPr>
            <w:r w:rsidRPr="000B3455">
              <w:rPr>
                <w:rFonts w:cs="Arial"/>
                <w:color w:val="000000"/>
              </w:rPr>
              <w:t>IND_D_RETAIL</w:t>
            </w:r>
          </w:p>
        </w:tc>
        <w:tc>
          <w:tcPr>
            <w:tcW w:w="1325" w:type="dxa"/>
            <w:tcBorders>
              <w:top w:val="nil"/>
              <w:left w:val="single" w:sz="16" w:space="0" w:color="000000"/>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1,429</w:t>
            </w:r>
          </w:p>
        </w:tc>
        <w:tc>
          <w:tcPr>
            <w:tcW w:w="1323"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2,488</w:t>
            </w:r>
          </w:p>
        </w:tc>
        <w:tc>
          <w:tcPr>
            <w:tcW w:w="1456"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,040</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,574</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,566</w:t>
            </w:r>
          </w:p>
        </w:tc>
        <w:tc>
          <w:tcPr>
            <w:tcW w:w="1010" w:type="dxa"/>
            <w:gridSpan w:val="2"/>
            <w:tcBorders>
              <w:top w:val="nil"/>
              <w:bottom w:val="nil"/>
            </w:tcBorders>
            <w:shd w:val="clear" w:color="auto" w:fill="FFFFFF"/>
          </w:tcPr>
          <w:p w:rsidR="001F067F" w:rsidRPr="000B3455" w:rsidRDefault="001F067F" w:rsidP="005C202A">
            <w:pPr>
              <w:autoSpaceDE w:val="0"/>
              <w:autoSpaceDN w:val="0"/>
              <w:adjustRightInd w:val="0"/>
              <w:spacing w:after="0" w:line="320" w:lineRule="atLeast"/>
              <w:ind w:left="60" w:right="60"/>
              <w:rPr>
                <w:rFonts w:cs="Arial"/>
                <w:color w:val="000000"/>
              </w:rPr>
            </w:pPr>
            <w:r w:rsidRPr="000B3455">
              <w:rPr>
                <w:rFonts w:cs="Arial"/>
                <w:color w:val="000000"/>
              </w:rPr>
              <w:t>,283</w:t>
            </w:r>
          </w:p>
        </w:tc>
      </w:tr>
      <w:tr w:rsidR="001F067F" w:rsidRPr="000B3455" w:rsidTr="005C202A">
        <w:trPr>
          <w:gridAfter w:val="1"/>
          <w:wAfter w:w="25"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1F067F" w:rsidRPr="000B3455" w:rsidRDefault="001F067F" w:rsidP="00576C14">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1F067F" w:rsidRPr="000B3455" w:rsidRDefault="001F067F" w:rsidP="00576C14">
            <w:pPr>
              <w:autoSpaceDE w:val="0"/>
              <w:autoSpaceDN w:val="0"/>
              <w:adjustRightInd w:val="0"/>
              <w:spacing w:after="0" w:line="320" w:lineRule="atLeast"/>
              <w:ind w:left="60" w:right="60"/>
              <w:rPr>
                <w:rFonts w:cs="Arial"/>
                <w:color w:val="000000"/>
              </w:rPr>
            </w:pPr>
            <w:r w:rsidRPr="000B3455">
              <w:rPr>
                <w:rFonts w:cs="Arial"/>
                <w:color w:val="000000"/>
              </w:rPr>
              <w:t>IND_D_FIN_INS_REAL_EST</w:t>
            </w:r>
          </w:p>
        </w:tc>
        <w:tc>
          <w:tcPr>
            <w:tcW w:w="1325" w:type="dxa"/>
            <w:tcBorders>
              <w:top w:val="nil"/>
              <w:left w:val="single" w:sz="16" w:space="0" w:color="000000"/>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3,128</w:t>
            </w:r>
          </w:p>
        </w:tc>
        <w:tc>
          <w:tcPr>
            <w:tcW w:w="1323"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2,581</w:t>
            </w:r>
          </w:p>
        </w:tc>
        <w:tc>
          <w:tcPr>
            <w:tcW w:w="1456"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,093</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1,212</w:t>
            </w:r>
          </w:p>
        </w:tc>
        <w:tc>
          <w:tcPr>
            <w:tcW w:w="1010" w:type="dxa"/>
            <w:tcBorders>
              <w:top w:val="nil"/>
              <w:bottom w:val="nil"/>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,227</w:t>
            </w:r>
          </w:p>
        </w:tc>
        <w:tc>
          <w:tcPr>
            <w:tcW w:w="1010" w:type="dxa"/>
            <w:gridSpan w:val="2"/>
            <w:tcBorders>
              <w:top w:val="nil"/>
              <w:bottom w:val="nil"/>
            </w:tcBorders>
            <w:shd w:val="clear" w:color="auto" w:fill="FFFFFF"/>
          </w:tcPr>
          <w:p w:rsidR="001F067F" w:rsidRPr="000B3455" w:rsidRDefault="001F067F" w:rsidP="005C202A">
            <w:pPr>
              <w:autoSpaceDE w:val="0"/>
              <w:autoSpaceDN w:val="0"/>
              <w:adjustRightInd w:val="0"/>
              <w:spacing w:after="0" w:line="320" w:lineRule="atLeast"/>
              <w:ind w:left="60" w:right="60"/>
              <w:rPr>
                <w:rFonts w:cs="Arial"/>
                <w:color w:val="000000"/>
              </w:rPr>
            </w:pPr>
            <w:r w:rsidRPr="000B3455">
              <w:rPr>
                <w:rFonts w:cs="Arial"/>
                <w:color w:val="000000"/>
              </w:rPr>
              <w:t>,114</w:t>
            </w:r>
          </w:p>
        </w:tc>
      </w:tr>
      <w:tr w:rsidR="001F067F" w:rsidRPr="000B3455" w:rsidTr="005C202A">
        <w:trPr>
          <w:gridAfter w:val="1"/>
          <w:wAfter w:w="25" w:type="dxa"/>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1F067F" w:rsidRPr="000B3455" w:rsidRDefault="001F067F" w:rsidP="00576C14">
            <w:pPr>
              <w:autoSpaceDE w:val="0"/>
              <w:autoSpaceDN w:val="0"/>
              <w:adjustRightInd w:val="0"/>
              <w:spacing w:after="0" w:line="240" w:lineRule="auto"/>
              <w:rPr>
                <w:rFonts w:cs="Arial"/>
                <w:color w:val="000000"/>
              </w:rPr>
            </w:pPr>
          </w:p>
        </w:tc>
        <w:tc>
          <w:tcPr>
            <w:tcW w:w="2426" w:type="dxa"/>
            <w:tcBorders>
              <w:top w:val="nil"/>
              <w:left w:val="nil"/>
              <w:bottom w:val="single" w:sz="16" w:space="0" w:color="000000"/>
              <w:right w:val="single" w:sz="16" w:space="0" w:color="000000"/>
            </w:tcBorders>
            <w:shd w:val="clear" w:color="auto" w:fill="FFFFFF"/>
          </w:tcPr>
          <w:p w:rsidR="001F067F" w:rsidRPr="000B3455" w:rsidRDefault="001F067F" w:rsidP="00576C14">
            <w:pPr>
              <w:autoSpaceDE w:val="0"/>
              <w:autoSpaceDN w:val="0"/>
              <w:adjustRightInd w:val="0"/>
              <w:spacing w:after="0" w:line="320" w:lineRule="atLeast"/>
              <w:ind w:left="60" w:right="60"/>
              <w:rPr>
                <w:rFonts w:cs="Arial"/>
                <w:color w:val="000000"/>
              </w:rPr>
            </w:pPr>
            <w:r w:rsidRPr="000B3455">
              <w:rPr>
                <w:rFonts w:cs="Arial"/>
                <w:color w:val="000000"/>
              </w:rPr>
              <w:t>IND_D_SERVICES</w:t>
            </w:r>
          </w:p>
        </w:tc>
        <w:tc>
          <w:tcPr>
            <w:tcW w:w="1325" w:type="dxa"/>
            <w:tcBorders>
              <w:top w:val="nil"/>
              <w:left w:val="single" w:sz="16" w:space="0" w:color="000000"/>
              <w:bottom w:val="single" w:sz="16" w:space="0" w:color="000000"/>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-2,758</w:t>
            </w:r>
          </w:p>
        </w:tc>
        <w:tc>
          <w:tcPr>
            <w:tcW w:w="1323" w:type="dxa"/>
            <w:tcBorders>
              <w:top w:val="nil"/>
              <w:bottom w:val="single" w:sz="16" w:space="0" w:color="000000"/>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1,996</w:t>
            </w:r>
          </w:p>
        </w:tc>
        <w:tc>
          <w:tcPr>
            <w:tcW w:w="1456" w:type="dxa"/>
            <w:tcBorders>
              <w:top w:val="nil"/>
              <w:bottom w:val="single" w:sz="16" w:space="0" w:color="000000"/>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-,114</w:t>
            </w:r>
          </w:p>
        </w:tc>
        <w:tc>
          <w:tcPr>
            <w:tcW w:w="1010" w:type="dxa"/>
            <w:tcBorders>
              <w:top w:val="nil"/>
              <w:bottom w:val="single" w:sz="16" w:space="0" w:color="000000"/>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-1,382</w:t>
            </w:r>
          </w:p>
        </w:tc>
        <w:tc>
          <w:tcPr>
            <w:tcW w:w="1010" w:type="dxa"/>
            <w:tcBorders>
              <w:top w:val="nil"/>
              <w:bottom w:val="single" w:sz="16" w:space="0" w:color="000000"/>
            </w:tcBorders>
            <w:shd w:val="clear" w:color="auto" w:fill="FFFFFF"/>
          </w:tcPr>
          <w:p w:rsidR="001F067F" w:rsidRPr="000B3455" w:rsidRDefault="001F067F" w:rsidP="00576C14">
            <w:pPr>
              <w:autoSpaceDE w:val="0"/>
              <w:autoSpaceDN w:val="0"/>
              <w:adjustRightInd w:val="0"/>
              <w:spacing w:after="0" w:line="320" w:lineRule="atLeast"/>
              <w:ind w:left="60" w:right="60"/>
              <w:jc w:val="right"/>
              <w:rPr>
                <w:rFonts w:cs="Arial"/>
                <w:color w:val="000000"/>
              </w:rPr>
            </w:pPr>
            <w:r w:rsidRPr="000B3455">
              <w:rPr>
                <w:rFonts w:cs="Arial"/>
                <w:color w:val="000000"/>
              </w:rPr>
              <w:t>,169</w:t>
            </w:r>
          </w:p>
        </w:tc>
        <w:tc>
          <w:tcPr>
            <w:tcW w:w="1010" w:type="dxa"/>
            <w:gridSpan w:val="2"/>
            <w:tcBorders>
              <w:top w:val="nil"/>
              <w:bottom w:val="single" w:sz="16" w:space="0" w:color="000000"/>
            </w:tcBorders>
            <w:shd w:val="clear" w:color="auto" w:fill="FFFFFF"/>
          </w:tcPr>
          <w:p w:rsidR="001F067F" w:rsidRPr="000B3455" w:rsidRDefault="001F067F" w:rsidP="005C202A">
            <w:pPr>
              <w:autoSpaceDE w:val="0"/>
              <w:autoSpaceDN w:val="0"/>
              <w:adjustRightInd w:val="0"/>
              <w:spacing w:after="0" w:line="320" w:lineRule="atLeast"/>
              <w:ind w:left="60" w:right="60"/>
              <w:rPr>
                <w:rFonts w:cs="Arial"/>
                <w:color w:val="000000"/>
              </w:rPr>
            </w:pPr>
            <w:r w:rsidRPr="000B3455">
              <w:rPr>
                <w:rFonts w:cs="Arial"/>
                <w:color w:val="000000"/>
              </w:rPr>
              <w:t>,085</w:t>
            </w:r>
            <w:r w:rsidR="005C202A">
              <w:rPr>
                <w:rFonts w:cs="Arial"/>
                <w:color w:val="000000"/>
              </w:rPr>
              <w:t>*</w:t>
            </w:r>
          </w:p>
        </w:tc>
      </w:tr>
      <w:tr w:rsidR="005C202A" w:rsidRPr="000B3455" w:rsidTr="005C202A">
        <w:trPr>
          <w:cantSplit/>
        </w:trPr>
        <w:tc>
          <w:tcPr>
            <w:tcW w:w="9300" w:type="dxa"/>
            <w:gridSpan w:val="8"/>
            <w:tcBorders>
              <w:top w:val="nil"/>
              <w:left w:val="nil"/>
              <w:bottom w:val="nil"/>
              <w:right w:val="nil"/>
            </w:tcBorders>
            <w:shd w:val="clear" w:color="auto" w:fill="FFFFFF"/>
          </w:tcPr>
          <w:p w:rsidR="005C202A" w:rsidRDefault="005C202A" w:rsidP="00ED7148">
            <w:pPr>
              <w:autoSpaceDE w:val="0"/>
              <w:autoSpaceDN w:val="0"/>
              <w:adjustRightInd w:val="0"/>
              <w:spacing w:after="0" w:line="320" w:lineRule="atLeast"/>
              <w:ind w:left="60" w:right="60"/>
              <w:rPr>
                <w:rFonts w:cstheme="minorHAnsi"/>
                <w:color w:val="000000"/>
              </w:rPr>
            </w:pPr>
            <w:r w:rsidRPr="00F97730">
              <w:rPr>
                <w:i/>
              </w:rPr>
              <w:t>*,**,*** significant at the 0.1, 0.05 and 0.01 levels (</w:t>
            </w:r>
            <w:r>
              <w:rPr>
                <w:i/>
              </w:rPr>
              <w:t>one</w:t>
            </w:r>
            <w:r w:rsidRPr="00F97730">
              <w:rPr>
                <w:i/>
              </w:rPr>
              <w:t>-tailed).</w:t>
            </w:r>
          </w:p>
          <w:p w:rsidR="005C202A" w:rsidRPr="000B3455" w:rsidRDefault="005C202A" w:rsidP="00735F79">
            <w:pPr>
              <w:autoSpaceDE w:val="0"/>
              <w:autoSpaceDN w:val="0"/>
              <w:adjustRightInd w:val="0"/>
              <w:spacing w:after="0" w:line="320" w:lineRule="atLeast"/>
              <w:ind w:left="60" w:right="60"/>
              <w:rPr>
                <w:rFonts w:cstheme="minorHAnsi"/>
                <w:color w:val="000000"/>
              </w:rPr>
            </w:pPr>
            <w:r w:rsidRPr="000B3455">
              <w:rPr>
                <w:rFonts w:cstheme="minorHAnsi"/>
                <w:color w:val="000000"/>
              </w:rPr>
              <w:t>a. Dependent Variable: Delta_PR_</w:t>
            </w:r>
            <w:r>
              <w:rPr>
                <w:rFonts w:cstheme="minorHAnsi"/>
                <w:color w:val="000000"/>
              </w:rPr>
              <w:t>CSH_BON</w:t>
            </w:r>
            <w:r w:rsidRPr="000B3455">
              <w:rPr>
                <w:rFonts w:cstheme="minorHAnsi"/>
                <w:color w:val="000000"/>
              </w:rPr>
              <w:t>_EXCL_MCL</w:t>
            </w:r>
          </w:p>
        </w:tc>
        <w:tc>
          <w:tcPr>
            <w:tcW w:w="1013" w:type="dxa"/>
            <w:gridSpan w:val="2"/>
            <w:tcBorders>
              <w:top w:val="nil"/>
              <w:left w:val="nil"/>
              <w:bottom w:val="nil"/>
              <w:right w:val="nil"/>
            </w:tcBorders>
            <w:shd w:val="clear" w:color="auto" w:fill="FFFFFF"/>
          </w:tcPr>
          <w:p w:rsidR="005C202A" w:rsidRPr="000B3455" w:rsidRDefault="005C202A" w:rsidP="00ED7148">
            <w:pPr>
              <w:autoSpaceDE w:val="0"/>
              <w:autoSpaceDN w:val="0"/>
              <w:adjustRightInd w:val="0"/>
              <w:spacing w:after="0" w:line="320" w:lineRule="atLeast"/>
              <w:ind w:left="60" w:right="60"/>
              <w:rPr>
                <w:rFonts w:cstheme="minorHAnsi"/>
                <w:color w:val="000000"/>
              </w:rPr>
            </w:pPr>
          </w:p>
        </w:tc>
      </w:tr>
    </w:tbl>
    <w:p w:rsidR="003D5369" w:rsidRDefault="00665A0D" w:rsidP="00665A0D">
      <w:pPr>
        <w:pStyle w:val="Caption"/>
        <w:rPr>
          <w:color w:val="auto"/>
        </w:rPr>
      </w:pPr>
      <w:bookmarkStart w:id="170" w:name="_Ref298859859"/>
      <w:r>
        <w:t xml:space="preserve">Table </w:t>
      </w:r>
      <w:fldSimple w:instr=" SEQ Table \* ARABIC ">
        <w:r w:rsidR="001D5F9A">
          <w:rPr>
            <w:noProof/>
          </w:rPr>
          <w:t>26</w:t>
        </w:r>
      </w:fldSimple>
      <w:bookmarkEnd w:id="170"/>
      <w:r>
        <w:t xml:space="preserve">: </w:t>
      </w:r>
      <w:r w:rsidRPr="00665A0D">
        <w:rPr>
          <w:color w:val="auto"/>
        </w:rPr>
        <w:t>SPSS model parameters</w:t>
      </w:r>
    </w:p>
    <w:p w:rsidR="005C202A" w:rsidRPr="005C202A" w:rsidRDefault="00B92B41" w:rsidP="005C202A">
      <w:r>
        <w:br w:type="page"/>
      </w:r>
    </w:p>
    <w:tbl>
      <w:tblPr>
        <w:tblW w:w="52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8"/>
        <w:gridCol w:w="2426"/>
        <w:gridCol w:w="1124"/>
        <w:gridCol w:w="1013"/>
      </w:tblGrid>
      <w:tr w:rsidR="00A479C7" w:rsidRPr="000B3455" w:rsidTr="00A479C7">
        <w:trPr>
          <w:cantSplit/>
          <w:tblHeader/>
        </w:trPr>
        <w:tc>
          <w:tcPr>
            <w:tcW w:w="3154"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rPr>
                <w:rFonts w:cs="Arial"/>
                <w:color w:val="000000"/>
              </w:rPr>
            </w:pPr>
            <w:r w:rsidRPr="000B3455">
              <w:rPr>
                <w:rFonts w:cs="Arial"/>
                <w:color w:val="000000"/>
              </w:rPr>
              <w:lastRenderedPageBreak/>
              <w:t>Model</w:t>
            </w:r>
          </w:p>
        </w:tc>
        <w:tc>
          <w:tcPr>
            <w:tcW w:w="2137" w:type="dxa"/>
            <w:gridSpan w:val="2"/>
            <w:tcBorders>
              <w:top w:val="single" w:sz="16" w:space="0" w:color="000000"/>
              <w:right w:val="single" w:sz="16" w:space="0" w:color="000000"/>
            </w:tcBorders>
            <w:shd w:val="clear" w:color="auto" w:fill="FFFFFF"/>
            <w:vAlign w:val="bottom"/>
          </w:tcPr>
          <w:p w:rsidR="00A479C7" w:rsidRPr="000B3455" w:rsidRDefault="00A479C7" w:rsidP="00812CEE">
            <w:pPr>
              <w:autoSpaceDE w:val="0"/>
              <w:autoSpaceDN w:val="0"/>
              <w:adjustRightInd w:val="0"/>
              <w:spacing w:after="0" w:line="320" w:lineRule="atLeast"/>
              <w:ind w:left="60" w:right="60"/>
              <w:jc w:val="center"/>
              <w:rPr>
                <w:rFonts w:cs="Arial"/>
                <w:color w:val="000000"/>
              </w:rPr>
            </w:pPr>
            <w:r w:rsidRPr="000B3455">
              <w:rPr>
                <w:rFonts w:cs="Arial"/>
                <w:color w:val="000000"/>
              </w:rPr>
              <w:t>Collinearity Statistics</w:t>
            </w:r>
          </w:p>
        </w:tc>
      </w:tr>
      <w:tr w:rsidR="00A479C7" w:rsidRPr="000B3455" w:rsidTr="00A479C7">
        <w:trPr>
          <w:cantSplit/>
          <w:tblHeader/>
        </w:trPr>
        <w:tc>
          <w:tcPr>
            <w:tcW w:w="3154" w:type="dxa"/>
            <w:gridSpan w:val="2"/>
            <w:vMerge/>
            <w:tcBorders>
              <w:top w:val="single" w:sz="16" w:space="0" w:color="000000"/>
              <w:left w:val="single" w:sz="16" w:space="0" w:color="000000"/>
              <w:bottom w:val="single" w:sz="16" w:space="0" w:color="000000"/>
              <w:right w:val="single" w:sz="16" w:space="0" w:color="000000"/>
            </w:tcBorders>
            <w:shd w:val="clear" w:color="auto" w:fill="FFFFFF"/>
          </w:tcPr>
          <w:p w:rsidR="00A479C7" w:rsidRPr="000B3455" w:rsidRDefault="00A479C7" w:rsidP="00812CEE">
            <w:pPr>
              <w:autoSpaceDE w:val="0"/>
              <w:autoSpaceDN w:val="0"/>
              <w:adjustRightInd w:val="0"/>
              <w:spacing w:after="0" w:line="240" w:lineRule="auto"/>
              <w:rPr>
                <w:rFonts w:cs="Arial"/>
                <w:color w:val="000000"/>
              </w:rPr>
            </w:pPr>
          </w:p>
        </w:tc>
        <w:tc>
          <w:tcPr>
            <w:tcW w:w="1124" w:type="dxa"/>
            <w:tcBorders>
              <w:bottom w:val="single" w:sz="16" w:space="0" w:color="000000"/>
            </w:tcBorders>
            <w:shd w:val="clear" w:color="auto" w:fill="FFFFFF"/>
            <w:vAlign w:val="bottom"/>
          </w:tcPr>
          <w:p w:rsidR="00A479C7" w:rsidRPr="000B3455" w:rsidRDefault="00A479C7" w:rsidP="00812CEE">
            <w:pPr>
              <w:autoSpaceDE w:val="0"/>
              <w:autoSpaceDN w:val="0"/>
              <w:adjustRightInd w:val="0"/>
              <w:spacing w:after="0" w:line="320" w:lineRule="atLeast"/>
              <w:ind w:left="60" w:right="60"/>
              <w:jc w:val="center"/>
              <w:rPr>
                <w:rFonts w:cs="Arial"/>
                <w:color w:val="000000"/>
              </w:rPr>
            </w:pPr>
            <w:r w:rsidRPr="000B3455">
              <w:rPr>
                <w:rFonts w:cs="Arial"/>
                <w:color w:val="000000"/>
              </w:rPr>
              <w:t>Tolerance</w:t>
            </w:r>
          </w:p>
        </w:tc>
        <w:tc>
          <w:tcPr>
            <w:tcW w:w="1013" w:type="dxa"/>
            <w:tcBorders>
              <w:bottom w:val="single" w:sz="16" w:space="0" w:color="000000"/>
              <w:right w:val="single" w:sz="16" w:space="0" w:color="000000"/>
            </w:tcBorders>
            <w:shd w:val="clear" w:color="auto" w:fill="FFFFFF"/>
            <w:vAlign w:val="bottom"/>
          </w:tcPr>
          <w:p w:rsidR="00A479C7" w:rsidRPr="000B3455" w:rsidRDefault="00A479C7" w:rsidP="00812CEE">
            <w:pPr>
              <w:autoSpaceDE w:val="0"/>
              <w:autoSpaceDN w:val="0"/>
              <w:adjustRightInd w:val="0"/>
              <w:spacing w:after="0" w:line="320" w:lineRule="atLeast"/>
              <w:ind w:left="60" w:right="60"/>
              <w:jc w:val="center"/>
              <w:rPr>
                <w:rFonts w:cs="Arial"/>
                <w:color w:val="000000"/>
              </w:rPr>
            </w:pPr>
            <w:r w:rsidRPr="000B3455">
              <w:rPr>
                <w:rFonts w:cs="Arial"/>
                <w:color w:val="000000"/>
              </w:rPr>
              <w:t>VIF</w:t>
            </w:r>
          </w:p>
        </w:tc>
      </w:tr>
      <w:tr w:rsidR="00A479C7" w:rsidRPr="000B3455" w:rsidTr="00A479C7">
        <w:trPr>
          <w:cantSplit/>
          <w:tblHeader/>
        </w:trPr>
        <w:tc>
          <w:tcPr>
            <w:tcW w:w="728" w:type="dxa"/>
            <w:vMerge w:val="restart"/>
            <w:tcBorders>
              <w:top w:val="single" w:sz="16" w:space="0" w:color="000000"/>
              <w:left w:val="single" w:sz="16" w:space="0" w:color="000000"/>
              <w:bottom w:val="single" w:sz="16" w:space="0" w:color="000000"/>
              <w:right w:val="nil"/>
            </w:tcBorders>
            <w:shd w:val="clear" w:color="auto" w:fill="FFFFFF"/>
          </w:tcPr>
          <w:p w:rsidR="00A479C7" w:rsidRPr="000B3455" w:rsidRDefault="00A479C7" w:rsidP="00812CEE">
            <w:pPr>
              <w:autoSpaceDE w:val="0"/>
              <w:autoSpaceDN w:val="0"/>
              <w:adjustRightInd w:val="0"/>
              <w:spacing w:after="0" w:line="320" w:lineRule="atLeast"/>
              <w:ind w:left="60" w:right="60"/>
              <w:rPr>
                <w:rFonts w:cs="Arial"/>
                <w:color w:val="000000"/>
              </w:rPr>
            </w:pPr>
            <w:r w:rsidRPr="000B3455">
              <w:rPr>
                <w:rFonts w:cs="Arial"/>
                <w:color w:val="000000"/>
              </w:rPr>
              <w:t>1</w:t>
            </w:r>
          </w:p>
        </w:tc>
        <w:tc>
          <w:tcPr>
            <w:tcW w:w="2426" w:type="dxa"/>
            <w:tcBorders>
              <w:top w:val="single" w:sz="16" w:space="0" w:color="000000"/>
              <w:left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rPr>
                <w:rFonts w:cs="Arial"/>
                <w:color w:val="000000"/>
              </w:rPr>
            </w:pPr>
            <w:r w:rsidRPr="000B3455">
              <w:rPr>
                <w:rFonts w:cs="Arial"/>
                <w:color w:val="000000"/>
              </w:rPr>
              <w:t>(Constant)</w:t>
            </w:r>
          </w:p>
        </w:tc>
        <w:tc>
          <w:tcPr>
            <w:tcW w:w="1124" w:type="dxa"/>
            <w:tcBorders>
              <w:top w:val="single" w:sz="16" w:space="0" w:color="000000"/>
              <w:bottom w:val="nil"/>
            </w:tcBorders>
            <w:shd w:val="clear" w:color="auto" w:fill="FFFFFF"/>
            <w:vAlign w:val="center"/>
          </w:tcPr>
          <w:p w:rsidR="00A479C7" w:rsidRPr="000B3455" w:rsidRDefault="00A479C7" w:rsidP="00812CEE">
            <w:pPr>
              <w:autoSpaceDE w:val="0"/>
              <w:autoSpaceDN w:val="0"/>
              <w:adjustRightInd w:val="0"/>
              <w:spacing w:after="0" w:line="240" w:lineRule="auto"/>
              <w:jc w:val="center"/>
              <w:rPr>
                <w:rFonts w:cs="Times New Roman"/>
              </w:rPr>
            </w:pPr>
          </w:p>
        </w:tc>
        <w:tc>
          <w:tcPr>
            <w:tcW w:w="1013" w:type="dxa"/>
            <w:tcBorders>
              <w:top w:val="single" w:sz="16" w:space="0" w:color="000000"/>
              <w:bottom w:val="nil"/>
              <w:right w:val="single" w:sz="16" w:space="0" w:color="000000"/>
            </w:tcBorders>
            <w:shd w:val="clear" w:color="auto" w:fill="FFFFFF"/>
            <w:vAlign w:val="center"/>
          </w:tcPr>
          <w:p w:rsidR="00A479C7" w:rsidRPr="000B3455" w:rsidRDefault="00A479C7" w:rsidP="00812CEE">
            <w:pPr>
              <w:autoSpaceDE w:val="0"/>
              <w:autoSpaceDN w:val="0"/>
              <w:adjustRightInd w:val="0"/>
              <w:spacing w:after="0" w:line="240" w:lineRule="auto"/>
              <w:jc w:val="center"/>
              <w:rPr>
                <w:rFonts w:cs="Times New Roman"/>
              </w:rPr>
            </w:pPr>
          </w:p>
        </w:tc>
      </w:tr>
      <w:tr w:rsidR="00A479C7" w:rsidRPr="000B3455" w:rsidTr="00A479C7">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A479C7" w:rsidRPr="000B3455" w:rsidRDefault="00A479C7" w:rsidP="00812CEE">
            <w:pPr>
              <w:autoSpaceDE w:val="0"/>
              <w:autoSpaceDN w:val="0"/>
              <w:adjustRightInd w:val="0"/>
              <w:spacing w:after="0" w:line="240" w:lineRule="auto"/>
              <w:rPr>
                <w:rFonts w:cs="Times New Roman"/>
              </w:rPr>
            </w:pPr>
          </w:p>
        </w:tc>
        <w:tc>
          <w:tcPr>
            <w:tcW w:w="2426" w:type="dxa"/>
            <w:tcBorders>
              <w:top w:val="nil"/>
              <w:left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rPr>
                <w:rFonts w:cs="Arial"/>
                <w:color w:val="000000"/>
              </w:rPr>
            </w:pPr>
            <w:r w:rsidRPr="000B3455">
              <w:rPr>
                <w:rFonts w:cs="Arial"/>
                <w:color w:val="000000"/>
              </w:rPr>
              <w:t>Delta_PR_FV_STO_EXCL_MCL</w:t>
            </w:r>
          </w:p>
        </w:tc>
        <w:tc>
          <w:tcPr>
            <w:tcW w:w="1124" w:type="dxa"/>
            <w:tcBorders>
              <w:top w:val="nil"/>
              <w:bottom w:val="nil"/>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,882</w:t>
            </w:r>
          </w:p>
        </w:tc>
        <w:tc>
          <w:tcPr>
            <w:tcW w:w="1013" w:type="dxa"/>
            <w:tcBorders>
              <w:top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1,134</w:t>
            </w:r>
          </w:p>
        </w:tc>
      </w:tr>
      <w:tr w:rsidR="00A479C7" w:rsidRPr="000B3455" w:rsidTr="00A479C7">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A479C7" w:rsidRPr="000B3455" w:rsidRDefault="00A479C7"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rPr>
                <w:rFonts w:cs="Arial"/>
                <w:color w:val="000000"/>
              </w:rPr>
            </w:pPr>
            <w:r w:rsidRPr="000B3455">
              <w:rPr>
                <w:rFonts w:cs="Arial"/>
                <w:color w:val="000000"/>
              </w:rPr>
              <w:t>D_2004</w:t>
            </w:r>
          </w:p>
        </w:tc>
        <w:tc>
          <w:tcPr>
            <w:tcW w:w="1124" w:type="dxa"/>
            <w:tcBorders>
              <w:top w:val="nil"/>
              <w:bottom w:val="nil"/>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,702</w:t>
            </w:r>
          </w:p>
        </w:tc>
        <w:tc>
          <w:tcPr>
            <w:tcW w:w="1013" w:type="dxa"/>
            <w:tcBorders>
              <w:top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1,425</w:t>
            </w:r>
          </w:p>
        </w:tc>
      </w:tr>
      <w:tr w:rsidR="00A479C7" w:rsidRPr="000B3455" w:rsidTr="00A479C7">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A479C7" w:rsidRPr="000B3455" w:rsidRDefault="00A479C7"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rPr>
                <w:rFonts w:cs="Arial"/>
                <w:color w:val="000000"/>
              </w:rPr>
            </w:pPr>
            <w:r w:rsidRPr="000B3455">
              <w:rPr>
                <w:rFonts w:cs="Arial"/>
                <w:color w:val="000000"/>
              </w:rPr>
              <w:t>D_2005</w:t>
            </w:r>
          </w:p>
        </w:tc>
        <w:tc>
          <w:tcPr>
            <w:tcW w:w="1124" w:type="dxa"/>
            <w:tcBorders>
              <w:top w:val="nil"/>
              <w:bottom w:val="nil"/>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,628</w:t>
            </w:r>
          </w:p>
        </w:tc>
        <w:tc>
          <w:tcPr>
            <w:tcW w:w="1013" w:type="dxa"/>
            <w:tcBorders>
              <w:top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1,592</w:t>
            </w:r>
          </w:p>
        </w:tc>
      </w:tr>
      <w:tr w:rsidR="00A479C7" w:rsidRPr="000B3455" w:rsidTr="00A479C7">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A479C7" w:rsidRPr="000B3455" w:rsidRDefault="00A479C7"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rPr>
                <w:rFonts w:cs="Arial"/>
                <w:color w:val="000000"/>
              </w:rPr>
            </w:pPr>
            <w:r w:rsidRPr="000B3455">
              <w:rPr>
                <w:rFonts w:cs="Arial"/>
                <w:color w:val="000000"/>
              </w:rPr>
              <w:t>D_2006</w:t>
            </w:r>
          </w:p>
        </w:tc>
        <w:tc>
          <w:tcPr>
            <w:tcW w:w="1124" w:type="dxa"/>
            <w:tcBorders>
              <w:top w:val="nil"/>
              <w:bottom w:val="nil"/>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,670</w:t>
            </w:r>
          </w:p>
        </w:tc>
        <w:tc>
          <w:tcPr>
            <w:tcW w:w="1013" w:type="dxa"/>
            <w:tcBorders>
              <w:top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1,492</w:t>
            </w:r>
          </w:p>
        </w:tc>
      </w:tr>
      <w:tr w:rsidR="00A479C7" w:rsidRPr="000B3455" w:rsidTr="00A479C7">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A479C7" w:rsidRPr="000B3455" w:rsidRDefault="00A479C7"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rPr>
                <w:rFonts w:cs="Arial"/>
                <w:color w:val="000000"/>
              </w:rPr>
            </w:pPr>
            <w:r w:rsidRPr="000B3455">
              <w:rPr>
                <w:rFonts w:cs="Arial"/>
                <w:color w:val="000000"/>
              </w:rPr>
              <w:t>D_2007</w:t>
            </w:r>
          </w:p>
        </w:tc>
        <w:tc>
          <w:tcPr>
            <w:tcW w:w="1124" w:type="dxa"/>
            <w:tcBorders>
              <w:top w:val="nil"/>
              <w:bottom w:val="nil"/>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,741</w:t>
            </w:r>
          </w:p>
        </w:tc>
        <w:tc>
          <w:tcPr>
            <w:tcW w:w="1013" w:type="dxa"/>
            <w:tcBorders>
              <w:top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1,349</w:t>
            </w:r>
          </w:p>
        </w:tc>
      </w:tr>
      <w:tr w:rsidR="00A479C7" w:rsidRPr="000B3455" w:rsidTr="00A479C7">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A479C7" w:rsidRPr="000B3455" w:rsidRDefault="00A479C7"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rPr>
                <w:rFonts w:cs="Arial"/>
                <w:color w:val="000000"/>
              </w:rPr>
            </w:pPr>
            <w:r w:rsidRPr="000B3455">
              <w:rPr>
                <w:rFonts w:cs="Arial"/>
                <w:color w:val="000000"/>
              </w:rPr>
              <w:t>LN_ASSETS</w:t>
            </w:r>
          </w:p>
        </w:tc>
        <w:tc>
          <w:tcPr>
            <w:tcW w:w="1124" w:type="dxa"/>
            <w:tcBorders>
              <w:top w:val="nil"/>
              <w:bottom w:val="nil"/>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,324</w:t>
            </w:r>
          </w:p>
        </w:tc>
        <w:tc>
          <w:tcPr>
            <w:tcW w:w="1013" w:type="dxa"/>
            <w:tcBorders>
              <w:top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3,088</w:t>
            </w:r>
          </w:p>
        </w:tc>
      </w:tr>
      <w:tr w:rsidR="00A479C7" w:rsidRPr="000B3455" w:rsidTr="00A479C7">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A479C7" w:rsidRPr="000B3455" w:rsidRDefault="00A479C7"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rPr>
                <w:rFonts w:cs="Arial"/>
                <w:color w:val="000000"/>
              </w:rPr>
            </w:pPr>
            <w:r w:rsidRPr="000B3455">
              <w:rPr>
                <w:rFonts w:cs="Arial"/>
                <w:color w:val="000000"/>
              </w:rPr>
              <w:t>MTB</w:t>
            </w:r>
          </w:p>
        </w:tc>
        <w:tc>
          <w:tcPr>
            <w:tcW w:w="1124" w:type="dxa"/>
            <w:tcBorders>
              <w:top w:val="nil"/>
              <w:bottom w:val="nil"/>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,639</w:t>
            </w:r>
          </w:p>
        </w:tc>
        <w:tc>
          <w:tcPr>
            <w:tcW w:w="1013" w:type="dxa"/>
            <w:tcBorders>
              <w:top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1,565</w:t>
            </w:r>
          </w:p>
        </w:tc>
      </w:tr>
      <w:tr w:rsidR="00A479C7" w:rsidRPr="000B3455" w:rsidTr="00A479C7">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A479C7" w:rsidRPr="000B3455" w:rsidRDefault="00A479C7"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rPr>
                <w:rFonts w:cs="Arial"/>
                <w:color w:val="000000"/>
              </w:rPr>
            </w:pPr>
            <w:r w:rsidRPr="000B3455">
              <w:rPr>
                <w:rFonts w:cs="Arial"/>
                <w:color w:val="000000"/>
              </w:rPr>
              <w:t>RET</w:t>
            </w:r>
          </w:p>
        </w:tc>
        <w:tc>
          <w:tcPr>
            <w:tcW w:w="1124" w:type="dxa"/>
            <w:tcBorders>
              <w:top w:val="nil"/>
              <w:bottom w:val="nil"/>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,625</w:t>
            </w:r>
          </w:p>
        </w:tc>
        <w:tc>
          <w:tcPr>
            <w:tcW w:w="1013" w:type="dxa"/>
            <w:tcBorders>
              <w:top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1,600</w:t>
            </w:r>
          </w:p>
        </w:tc>
      </w:tr>
      <w:tr w:rsidR="00A479C7" w:rsidRPr="000B3455" w:rsidTr="00A479C7">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A479C7" w:rsidRPr="000B3455" w:rsidRDefault="00A479C7"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rPr>
                <w:rFonts w:cs="Arial"/>
                <w:color w:val="000000"/>
              </w:rPr>
            </w:pPr>
            <w:r w:rsidRPr="000B3455">
              <w:rPr>
                <w:rFonts w:cs="Arial"/>
                <w:color w:val="000000"/>
              </w:rPr>
              <w:t>VOL</w:t>
            </w:r>
          </w:p>
        </w:tc>
        <w:tc>
          <w:tcPr>
            <w:tcW w:w="1124" w:type="dxa"/>
            <w:tcBorders>
              <w:top w:val="nil"/>
              <w:bottom w:val="nil"/>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,643</w:t>
            </w:r>
          </w:p>
        </w:tc>
        <w:tc>
          <w:tcPr>
            <w:tcW w:w="1013" w:type="dxa"/>
            <w:tcBorders>
              <w:top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1,554</w:t>
            </w:r>
          </w:p>
        </w:tc>
      </w:tr>
      <w:tr w:rsidR="00A479C7" w:rsidRPr="000B3455" w:rsidTr="00A479C7">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A479C7" w:rsidRPr="000B3455" w:rsidRDefault="00A479C7"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rPr>
                <w:rFonts w:cs="Arial"/>
                <w:color w:val="000000"/>
              </w:rPr>
            </w:pPr>
            <w:r w:rsidRPr="000B3455">
              <w:rPr>
                <w:rFonts w:cs="Arial"/>
                <w:color w:val="000000"/>
              </w:rPr>
              <w:t>BOA_SIZE</w:t>
            </w:r>
          </w:p>
        </w:tc>
        <w:tc>
          <w:tcPr>
            <w:tcW w:w="1124" w:type="dxa"/>
            <w:tcBorders>
              <w:top w:val="nil"/>
              <w:bottom w:val="nil"/>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,490</w:t>
            </w:r>
          </w:p>
        </w:tc>
        <w:tc>
          <w:tcPr>
            <w:tcW w:w="1013" w:type="dxa"/>
            <w:tcBorders>
              <w:top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2,042</w:t>
            </w:r>
          </w:p>
        </w:tc>
      </w:tr>
      <w:tr w:rsidR="00A479C7" w:rsidRPr="000B3455" w:rsidTr="00A479C7">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A479C7" w:rsidRPr="000B3455" w:rsidRDefault="00A479C7"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rPr>
                <w:rFonts w:cs="Arial"/>
                <w:color w:val="000000"/>
              </w:rPr>
            </w:pPr>
            <w:r w:rsidRPr="000B3455">
              <w:rPr>
                <w:rFonts w:cs="Arial"/>
                <w:color w:val="000000"/>
              </w:rPr>
              <w:t>LIQ_CON</w:t>
            </w:r>
          </w:p>
        </w:tc>
        <w:tc>
          <w:tcPr>
            <w:tcW w:w="1124" w:type="dxa"/>
            <w:tcBorders>
              <w:top w:val="nil"/>
              <w:bottom w:val="nil"/>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,648</w:t>
            </w:r>
          </w:p>
        </w:tc>
        <w:tc>
          <w:tcPr>
            <w:tcW w:w="1013" w:type="dxa"/>
            <w:tcBorders>
              <w:top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1,543</w:t>
            </w:r>
          </w:p>
        </w:tc>
      </w:tr>
      <w:tr w:rsidR="00A479C7" w:rsidRPr="000B3455" w:rsidTr="00A479C7">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A479C7" w:rsidRPr="000B3455" w:rsidRDefault="00A479C7"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rPr>
                <w:rFonts w:cs="Arial"/>
                <w:color w:val="000000"/>
              </w:rPr>
            </w:pPr>
            <w:r w:rsidRPr="000B3455">
              <w:rPr>
                <w:rFonts w:cs="Arial"/>
                <w:color w:val="000000"/>
              </w:rPr>
              <w:t>IND_D_MINING</w:t>
            </w:r>
          </w:p>
        </w:tc>
        <w:tc>
          <w:tcPr>
            <w:tcW w:w="1124" w:type="dxa"/>
            <w:tcBorders>
              <w:top w:val="nil"/>
              <w:bottom w:val="nil"/>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,737</w:t>
            </w:r>
          </w:p>
        </w:tc>
        <w:tc>
          <w:tcPr>
            <w:tcW w:w="1013" w:type="dxa"/>
            <w:tcBorders>
              <w:top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1,357</w:t>
            </w:r>
          </w:p>
        </w:tc>
      </w:tr>
      <w:tr w:rsidR="00A479C7" w:rsidRPr="000B3455" w:rsidTr="00A479C7">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A479C7" w:rsidRPr="000B3455" w:rsidRDefault="00A479C7"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rPr>
                <w:rFonts w:cs="Arial"/>
                <w:color w:val="000000"/>
              </w:rPr>
            </w:pPr>
            <w:r w:rsidRPr="000B3455">
              <w:rPr>
                <w:rFonts w:cs="Arial"/>
                <w:color w:val="000000"/>
              </w:rPr>
              <w:t>IND_D_CONSTR</w:t>
            </w:r>
          </w:p>
        </w:tc>
        <w:tc>
          <w:tcPr>
            <w:tcW w:w="1124" w:type="dxa"/>
            <w:tcBorders>
              <w:top w:val="nil"/>
              <w:bottom w:val="nil"/>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,867</w:t>
            </w:r>
          </w:p>
        </w:tc>
        <w:tc>
          <w:tcPr>
            <w:tcW w:w="1013" w:type="dxa"/>
            <w:tcBorders>
              <w:top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1,154</w:t>
            </w:r>
          </w:p>
        </w:tc>
      </w:tr>
      <w:tr w:rsidR="00A479C7" w:rsidRPr="000B3455" w:rsidTr="00A479C7">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A479C7" w:rsidRPr="000B3455" w:rsidRDefault="00A479C7"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rPr>
                <w:rFonts w:cs="Arial"/>
                <w:color w:val="000000"/>
              </w:rPr>
            </w:pPr>
            <w:r w:rsidRPr="000B3455">
              <w:rPr>
                <w:rFonts w:cs="Arial"/>
                <w:color w:val="000000"/>
              </w:rPr>
              <w:t>IND_D_TRANS_COMM_ELE_GAS_SAN_SERV</w:t>
            </w:r>
          </w:p>
        </w:tc>
        <w:tc>
          <w:tcPr>
            <w:tcW w:w="1124" w:type="dxa"/>
            <w:tcBorders>
              <w:top w:val="nil"/>
              <w:bottom w:val="nil"/>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,790</w:t>
            </w:r>
          </w:p>
        </w:tc>
        <w:tc>
          <w:tcPr>
            <w:tcW w:w="1013" w:type="dxa"/>
            <w:tcBorders>
              <w:top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1,265</w:t>
            </w:r>
          </w:p>
        </w:tc>
      </w:tr>
      <w:tr w:rsidR="00A479C7" w:rsidRPr="000B3455" w:rsidTr="00A479C7">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A479C7" w:rsidRPr="000B3455" w:rsidRDefault="00A479C7"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rPr>
                <w:rFonts w:cs="Arial"/>
                <w:color w:val="000000"/>
              </w:rPr>
            </w:pPr>
            <w:r w:rsidRPr="000B3455">
              <w:rPr>
                <w:rFonts w:cs="Arial"/>
                <w:color w:val="000000"/>
              </w:rPr>
              <w:t>IND_D_WHOLESALE</w:t>
            </w:r>
          </w:p>
        </w:tc>
        <w:tc>
          <w:tcPr>
            <w:tcW w:w="1124" w:type="dxa"/>
            <w:tcBorders>
              <w:top w:val="nil"/>
              <w:bottom w:val="nil"/>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,857</w:t>
            </w:r>
          </w:p>
        </w:tc>
        <w:tc>
          <w:tcPr>
            <w:tcW w:w="1013" w:type="dxa"/>
            <w:tcBorders>
              <w:top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1,166</w:t>
            </w:r>
          </w:p>
        </w:tc>
      </w:tr>
      <w:tr w:rsidR="00A479C7" w:rsidRPr="000B3455" w:rsidTr="00A479C7">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A479C7" w:rsidRPr="000B3455" w:rsidRDefault="00A479C7"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rPr>
                <w:rFonts w:cs="Arial"/>
                <w:color w:val="000000"/>
              </w:rPr>
            </w:pPr>
            <w:r w:rsidRPr="000B3455">
              <w:rPr>
                <w:rFonts w:cs="Arial"/>
                <w:color w:val="000000"/>
              </w:rPr>
              <w:t>IND_D_RETAIL</w:t>
            </w:r>
          </w:p>
        </w:tc>
        <w:tc>
          <w:tcPr>
            <w:tcW w:w="1124" w:type="dxa"/>
            <w:tcBorders>
              <w:top w:val="nil"/>
              <w:bottom w:val="nil"/>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,815</w:t>
            </w:r>
          </w:p>
        </w:tc>
        <w:tc>
          <w:tcPr>
            <w:tcW w:w="1013" w:type="dxa"/>
            <w:tcBorders>
              <w:top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1,228</w:t>
            </w:r>
          </w:p>
        </w:tc>
      </w:tr>
      <w:tr w:rsidR="00A479C7" w:rsidRPr="000B3455" w:rsidTr="00A479C7">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A479C7" w:rsidRPr="000B3455" w:rsidRDefault="00A479C7" w:rsidP="00812CEE">
            <w:pPr>
              <w:autoSpaceDE w:val="0"/>
              <w:autoSpaceDN w:val="0"/>
              <w:adjustRightInd w:val="0"/>
              <w:spacing w:after="0" w:line="240" w:lineRule="auto"/>
              <w:rPr>
                <w:rFonts w:cs="Arial"/>
                <w:color w:val="000000"/>
              </w:rPr>
            </w:pPr>
          </w:p>
        </w:tc>
        <w:tc>
          <w:tcPr>
            <w:tcW w:w="2426" w:type="dxa"/>
            <w:tcBorders>
              <w:top w:val="nil"/>
              <w:left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rPr>
                <w:rFonts w:cs="Arial"/>
                <w:color w:val="000000"/>
              </w:rPr>
            </w:pPr>
            <w:r w:rsidRPr="000B3455">
              <w:rPr>
                <w:rFonts w:cs="Arial"/>
                <w:color w:val="000000"/>
              </w:rPr>
              <w:t>IND_D_FIN_INS_REAL_EST</w:t>
            </w:r>
          </w:p>
        </w:tc>
        <w:tc>
          <w:tcPr>
            <w:tcW w:w="1124" w:type="dxa"/>
            <w:tcBorders>
              <w:top w:val="nil"/>
              <w:bottom w:val="nil"/>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,660</w:t>
            </w:r>
          </w:p>
        </w:tc>
        <w:tc>
          <w:tcPr>
            <w:tcW w:w="1013" w:type="dxa"/>
            <w:tcBorders>
              <w:top w:val="nil"/>
              <w:bottom w:val="nil"/>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1,516</w:t>
            </w:r>
          </w:p>
        </w:tc>
      </w:tr>
      <w:tr w:rsidR="00A479C7" w:rsidRPr="000B3455" w:rsidTr="00A479C7">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A479C7" w:rsidRPr="000B3455" w:rsidRDefault="00A479C7" w:rsidP="00812CEE">
            <w:pPr>
              <w:autoSpaceDE w:val="0"/>
              <w:autoSpaceDN w:val="0"/>
              <w:adjustRightInd w:val="0"/>
              <w:spacing w:after="0" w:line="240" w:lineRule="auto"/>
              <w:rPr>
                <w:rFonts w:cs="Arial"/>
                <w:color w:val="000000"/>
              </w:rPr>
            </w:pPr>
          </w:p>
        </w:tc>
        <w:tc>
          <w:tcPr>
            <w:tcW w:w="2426" w:type="dxa"/>
            <w:tcBorders>
              <w:top w:val="nil"/>
              <w:left w:val="nil"/>
              <w:bottom w:val="single" w:sz="16" w:space="0" w:color="000000"/>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rPr>
                <w:rFonts w:cs="Arial"/>
                <w:color w:val="000000"/>
              </w:rPr>
            </w:pPr>
            <w:r w:rsidRPr="000B3455">
              <w:rPr>
                <w:rFonts w:cs="Arial"/>
                <w:color w:val="000000"/>
              </w:rPr>
              <w:t>IND_D_SERVICES</w:t>
            </w:r>
          </w:p>
        </w:tc>
        <w:tc>
          <w:tcPr>
            <w:tcW w:w="1124" w:type="dxa"/>
            <w:tcBorders>
              <w:top w:val="nil"/>
              <w:bottom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,568</w:t>
            </w:r>
          </w:p>
        </w:tc>
        <w:tc>
          <w:tcPr>
            <w:tcW w:w="1013" w:type="dxa"/>
            <w:tcBorders>
              <w:top w:val="nil"/>
              <w:bottom w:val="single" w:sz="16" w:space="0" w:color="000000"/>
              <w:right w:val="single" w:sz="16" w:space="0" w:color="000000"/>
            </w:tcBorders>
            <w:shd w:val="clear" w:color="auto" w:fill="FFFFFF"/>
          </w:tcPr>
          <w:p w:rsidR="00A479C7" w:rsidRPr="000B3455" w:rsidRDefault="00A479C7" w:rsidP="00812CEE">
            <w:pPr>
              <w:autoSpaceDE w:val="0"/>
              <w:autoSpaceDN w:val="0"/>
              <w:adjustRightInd w:val="0"/>
              <w:spacing w:after="0" w:line="320" w:lineRule="atLeast"/>
              <w:ind w:left="60" w:right="60"/>
              <w:jc w:val="right"/>
              <w:rPr>
                <w:rFonts w:cs="Arial"/>
                <w:color w:val="000000"/>
              </w:rPr>
            </w:pPr>
            <w:r w:rsidRPr="000B3455">
              <w:rPr>
                <w:rFonts w:cs="Arial"/>
                <w:color w:val="000000"/>
              </w:rPr>
              <w:t>1,761</w:t>
            </w:r>
          </w:p>
        </w:tc>
      </w:tr>
    </w:tbl>
    <w:p w:rsidR="00A479C7" w:rsidRPr="000B3455" w:rsidRDefault="00665A0D" w:rsidP="00665A0D">
      <w:pPr>
        <w:pStyle w:val="Caption"/>
        <w:rPr>
          <w:b w:val="0"/>
        </w:rPr>
      </w:pPr>
      <w:bookmarkStart w:id="171" w:name="_Ref298859888"/>
      <w:r>
        <w:t xml:space="preserve">Table </w:t>
      </w:r>
      <w:fldSimple w:instr=" SEQ Table \* ARABIC ">
        <w:r w:rsidR="001D5F9A">
          <w:rPr>
            <w:noProof/>
          </w:rPr>
          <w:t>27</w:t>
        </w:r>
      </w:fldSimple>
      <w:bookmarkEnd w:id="171"/>
      <w:r>
        <w:t xml:space="preserve">: </w:t>
      </w:r>
      <w:r w:rsidRPr="00665A0D">
        <w:rPr>
          <w:color w:val="auto"/>
        </w:rPr>
        <w:t>Collinearity diagnostics for hypothesis 4</w:t>
      </w:r>
    </w:p>
    <w:sectPr w:rsidR="00A479C7" w:rsidRPr="000B3455" w:rsidSect="00C71A75">
      <w:footerReference w:type="default" r:id="rId30"/>
      <w:pgSz w:w="12240" w:h="15840"/>
      <w:pgMar w:top="1440" w:right="1440" w:bottom="1276"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23F1" w:rsidRDefault="005A23F1" w:rsidP="00EF5BEE">
      <w:pPr>
        <w:spacing w:after="0" w:line="240" w:lineRule="auto"/>
      </w:pPr>
      <w:r>
        <w:separator/>
      </w:r>
    </w:p>
  </w:endnote>
  <w:endnote w:type="continuationSeparator" w:id="0">
    <w:p w:rsidR="005A23F1" w:rsidRDefault="005A23F1" w:rsidP="00EF5BE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Gill Sans MT">
    <w:panose1 w:val="020B0502020104020203"/>
    <w:charset w:val="00"/>
    <w:family w:val="swiss"/>
    <w:pitch w:val="variable"/>
    <w:sig w:usb0="00000007" w:usb1="00000000" w:usb2="00000000" w:usb3="00000000" w:csb0="00000003" w:csb1="00000000"/>
  </w:font>
  <w:font w:name="Lucida Sans">
    <w:panose1 w:val="020B0602030504020204"/>
    <w:charset w:val="00"/>
    <w:family w:val="swiss"/>
    <w:pitch w:val="variable"/>
    <w:sig w:usb0="00000003" w:usb1="00000000" w:usb2="00000000" w:usb3="00000000" w:csb0="00000001" w:csb1="00000000"/>
  </w:font>
  <w:font w:name="Eras Medium ITC">
    <w:panose1 w:val="020B0602030504020804"/>
    <w:charset w:val="00"/>
    <w:family w:val="swiss"/>
    <w:pitch w:val="variable"/>
    <w:sig w:usb0="00000003" w:usb1="00000000" w:usb2="00000000" w:usb3="00000000" w:csb0="00000001" w:csb1="00000000"/>
  </w:font>
  <w:font w:name="Narkisim">
    <w:charset w:val="B1"/>
    <w:family w:val="swiss"/>
    <w:pitch w:val="variable"/>
    <w:sig w:usb0="00000801" w:usb1="00000000" w:usb2="00000000" w:usb3="00000000" w:csb0="00000020" w:csb1="00000000"/>
  </w:font>
  <w:font w:name="Arial">
    <w:panose1 w:val="020B0604020202020204"/>
    <w:charset w:val="00"/>
    <w:family w:val="swiss"/>
    <w:pitch w:val="variable"/>
    <w:sig w:usb0="20002A87" w:usb1="80000000" w:usb2="00000008" w:usb3="00000000" w:csb0="000001FF" w:csb1="00000000"/>
  </w:font>
  <w:font w:name="SymbolMT">
    <w:altName w:val="MS Mincho"/>
    <w:panose1 w:val="00000000000000000000"/>
    <w:charset w:val="80"/>
    <w:family w:val="auto"/>
    <w:notTrueType/>
    <w:pitch w:val="default"/>
    <w:sig w:usb0="00000001" w:usb1="08070000" w:usb2="00000010" w:usb3="00000000" w:csb0="00020000" w:csb1="00000000"/>
  </w:font>
  <w:font w:name="Cambria Math">
    <w:panose1 w:val="02040503050406030204"/>
    <w:charset w:val="00"/>
    <w:family w:val="roman"/>
    <w:pitch w:val="variable"/>
    <w:sig w:usb0="A00002EF" w:usb1="420020E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691" w:type="pct"/>
      <w:tblInd w:w="-594" w:type="dxa"/>
      <w:tblCellMar>
        <w:top w:w="72" w:type="dxa"/>
        <w:left w:w="115" w:type="dxa"/>
        <w:bottom w:w="72" w:type="dxa"/>
        <w:right w:w="115" w:type="dxa"/>
      </w:tblCellMar>
      <w:tblLook w:val="04A0"/>
    </w:tblPr>
    <w:tblGrid>
      <w:gridCol w:w="10347"/>
      <w:gridCol w:w="568"/>
    </w:tblGrid>
    <w:tr w:rsidR="00E50388" w:rsidTr="001D5F9A">
      <w:trPr>
        <w:trHeight w:val="201"/>
      </w:trPr>
      <w:tc>
        <w:tcPr>
          <w:tcW w:w="4740" w:type="pct"/>
          <w:tcBorders>
            <w:top w:val="single" w:sz="4" w:space="0" w:color="365F91" w:themeColor="accent1" w:themeShade="BF"/>
            <w:left w:val="single" w:sz="4" w:space="0" w:color="365F91" w:themeColor="accent1" w:themeShade="BF"/>
          </w:tcBorders>
          <w:vAlign w:val="center"/>
        </w:tcPr>
        <w:p w:rsidR="00E50388" w:rsidRPr="001D5F9A" w:rsidRDefault="00E50388" w:rsidP="001E123E">
          <w:pPr>
            <w:pStyle w:val="Footer"/>
            <w:ind w:left="-284" w:firstLine="284"/>
            <w:jc w:val="center"/>
            <w:rPr>
              <w:color w:val="808080" w:themeColor="background1" w:themeShade="80"/>
              <w:sz w:val="16"/>
              <w:szCs w:val="16"/>
            </w:rPr>
          </w:pPr>
          <w:r w:rsidRPr="001D5F9A">
            <w:rPr>
              <w:color w:val="808080" w:themeColor="background1" w:themeShade="80"/>
              <w:sz w:val="16"/>
              <w:szCs w:val="16"/>
            </w:rPr>
            <w:t>Robbert Hooijmeijer | July, 2011</w:t>
          </w:r>
        </w:p>
      </w:tc>
      <w:tc>
        <w:tcPr>
          <w:tcW w:w="260" w:type="pct"/>
          <w:shd w:val="clear" w:color="auto" w:fill="365F91" w:themeFill="accent1" w:themeFillShade="BF"/>
          <w:vAlign w:val="center"/>
        </w:tcPr>
        <w:p w:rsidR="00E50388" w:rsidRPr="001D5F9A" w:rsidRDefault="003236CF" w:rsidP="001E123E">
          <w:pPr>
            <w:pStyle w:val="Header"/>
            <w:jc w:val="center"/>
            <w:rPr>
              <w:b/>
              <w:color w:val="FFFFFF" w:themeColor="background1"/>
              <w:sz w:val="20"/>
              <w:szCs w:val="20"/>
            </w:rPr>
          </w:pPr>
          <w:r w:rsidRPr="001D5F9A">
            <w:rPr>
              <w:b/>
              <w:sz w:val="20"/>
              <w:szCs w:val="20"/>
            </w:rPr>
            <w:fldChar w:fldCharType="begin"/>
          </w:r>
          <w:r w:rsidR="00E50388" w:rsidRPr="001D5F9A">
            <w:rPr>
              <w:b/>
              <w:sz w:val="20"/>
              <w:szCs w:val="20"/>
            </w:rPr>
            <w:instrText xml:space="preserve"> PAGE   \* MERGEFORMAT </w:instrText>
          </w:r>
          <w:r w:rsidRPr="001D5F9A">
            <w:rPr>
              <w:b/>
              <w:sz w:val="20"/>
              <w:szCs w:val="20"/>
            </w:rPr>
            <w:fldChar w:fldCharType="separate"/>
          </w:r>
          <w:r w:rsidR="00427334" w:rsidRPr="00427334">
            <w:rPr>
              <w:b/>
              <w:noProof/>
              <w:color w:val="FFFFFF" w:themeColor="background1"/>
              <w:sz w:val="20"/>
              <w:szCs w:val="20"/>
            </w:rPr>
            <w:t>5</w:t>
          </w:r>
          <w:r w:rsidRPr="001D5F9A">
            <w:rPr>
              <w:b/>
              <w:sz w:val="20"/>
              <w:szCs w:val="20"/>
            </w:rPr>
            <w:fldChar w:fldCharType="end"/>
          </w:r>
        </w:p>
      </w:tc>
    </w:tr>
  </w:tbl>
  <w:p w:rsidR="00E50388" w:rsidRDefault="00E5038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467" w:type="pct"/>
      <w:tblInd w:w="-594" w:type="dxa"/>
      <w:tblCellMar>
        <w:top w:w="72" w:type="dxa"/>
        <w:left w:w="115" w:type="dxa"/>
        <w:bottom w:w="72" w:type="dxa"/>
        <w:right w:w="115" w:type="dxa"/>
      </w:tblCellMar>
      <w:tblLook w:val="04A0"/>
    </w:tblPr>
    <w:tblGrid>
      <w:gridCol w:w="14034"/>
      <w:gridCol w:w="567"/>
    </w:tblGrid>
    <w:tr w:rsidR="00E50388" w:rsidRPr="001D5F9A" w:rsidTr="001D5F9A">
      <w:trPr>
        <w:trHeight w:val="207"/>
      </w:trPr>
      <w:tc>
        <w:tcPr>
          <w:tcW w:w="4806" w:type="pct"/>
          <w:tcBorders>
            <w:top w:val="single" w:sz="4" w:space="0" w:color="365F91" w:themeColor="accent1" w:themeShade="BF"/>
            <w:left w:val="single" w:sz="4" w:space="0" w:color="365F91" w:themeColor="accent1" w:themeShade="BF"/>
          </w:tcBorders>
          <w:vAlign w:val="center"/>
        </w:tcPr>
        <w:p w:rsidR="00E50388" w:rsidRPr="001D5F9A" w:rsidRDefault="00E50388" w:rsidP="001E123E">
          <w:pPr>
            <w:pStyle w:val="Footer"/>
            <w:ind w:left="-284" w:firstLine="284"/>
            <w:jc w:val="center"/>
            <w:rPr>
              <w:color w:val="808080" w:themeColor="background1" w:themeShade="80"/>
              <w:sz w:val="16"/>
              <w:szCs w:val="16"/>
            </w:rPr>
          </w:pPr>
          <w:r w:rsidRPr="001D5F9A">
            <w:rPr>
              <w:color w:val="808080" w:themeColor="background1" w:themeShade="80"/>
              <w:sz w:val="16"/>
              <w:szCs w:val="16"/>
            </w:rPr>
            <w:t>Robbert Hooijmeijer | July, 2011</w:t>
          </w:r>
        </w:p>
      </w:tc>
      <w:tc>
        <w:tcPr>
          <w:tcW w:w="194" w:type="pct"/>
          <w:shd w:val="clear" w:color="auto" w:fill="365F91" w:themeFill="accent1" w:themeFillShade="BF"/>
          <w:vAlign w:val="center"/>
        </w:tcPr>
        <w:p w:rsidR="00E50388" w:rsidRPr="001D5F9A" w:rsidRDefault="003236CF" w:rsidP="006D688B">
          <w:pPr>
            <w:pStyle w:val="Header"/>
            <w:ind w:left="-255" w:firstLine="255"/>
            <w:jc w:val="center"/>
            <w:rPr>
              <w:b/>
              <w:color w:val="FFFFFF" w:themeColor="background1"/>
              <w:sz w:val="18"/>
              <w:szCs w:val="18"/>
            </w:rPr>
          </w:pPr>
          <w:r w:rsidRPr="001D5F9A">
            <w:rPr>
              <w:b/>
              <w:sz w:val="18"/>
              <w:szCs w:val="18"/>
            </w:rPr>
            <w:fldChar w:fldCharType="begin"/>
          </w:r>
          <w:r w:rsidR="00E50388" w:rsidRPr="001D5F9A">
            <w:rPr>
              <w:b/>
              <w:sz w:val="18"/>
              <w:szCs w:val="18"/>
            </w:rPr>
            <w:instrText xml:space="preserve"> PAGE   \* MERGEFORMAT </w:instrText>
          </w:r>
          <w:r w:rsidRPr="001D5F9A">
            <w:rPr>
              <w:b/>
              <w:sz w:val="18"/>
              <w:szCs w:val="18"/>
            </w:rPr>
            <w:fldChar w:fldCharType="separate"/>
          </w:r>
          <w:r w:rsidR="00427334" w:rsidRPr="00427334">
            <w:rPr>
              <w:b/>
              <w:noProof/>
              <w:color w:val="FFFFFF" w:themeColor="background1"/>
              <w:sz w:val="18"/>
              <w:szCs w:val="18"/>
            </w:rPr>
            <w:t>93</w:t>
          </w:r>
          <w:r w:rsidRPr="001D5F9A">
            <w:rPr>
              <w:b/>
              <w:sz w:val="18"/>
              <w:szCs w:val="18"/>
            </w:rPr>
            <w:fldChar w:fldCharType="end"/>
          </w:r>
        </w:p>
      </w:tc>
    </w:tr>
  </w:tbl>
  <w:p w:rsidR="00E50388" w:rsidRDefault="00E50388">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691" w:type="pct"/>
      <w:tblInd w:w="-594" w:type="dxa"/>
      <w:tblCellMar>
        <w:top w:w="72" w:type="dxa"/>
        <w:left w:w="115" w:type="dxa"/>
        <w:bottom w:w="72" w:type="dxa"/>
        <w:right w:w="115" w:type="dxa"/>
      </w:tblCellMar>
      <w:tblLook w:val="04A0"/>
    </w:tblPr>
    <w:tblGrid>
      <w:gridCol w:w="10345"/>
      <w:gridCol w:w="570"/>
    </w:tblGrid>
    <w:tr w:rsidR="00E50388" w:rsidRPr="001D5F9A" w:rsidTr="001D5F9A">
      <w:trPr>
        <w:trHeight w:val="204"/>
      </w:trPr>
      <w:tc>
        <w:tcPr>
          <w:tcW w:w="4739" w:type="pct"/>
          <w:tcBorders>
            <w:top w:val="single" w:sz="4" w:space="0" w:color="365F91" w:themeColor="accent1" w:themeShade="BF"/>
            <w:left w:val="single" w:sz="4" w:space="0" w:color="365F91" w:themeColor="accent1" w:themeShade="BF"/>
          </w:tcBorders>
          <w:vAlign w:val="center"/>
        </w:tcPr>
        <w:p w:rsidR="00E50388" w:rsidRPr="001D5F9A" w:rsidRDefault="00E50388" w:rsidP="001E123E">
          <w:pPr>
            <w:pStyle w:val="Footer"/>
            <w:ind w:left="-284" w:firstLine="284"/>
            <w:jc w:val="center"/>
            <w:rPr>
              <w:color w:val="808080" w:themeColor="background1" w:themeShade="80"/>
              <w:sz w:val="16"/>
              <w:szCs w:val="16"/>
            </w:rPr>
          </w:pPr>
          <w:r w:rsidRPr="001D5F9A">
            <w:rPr>
              <w:color w:val="808080" w:themeColor="background1" w:themeShade="80"/>
              <w:sz w:val="16"/>
              <w:szCs w:val="16"/>
            </w:rPr>
            <w:t>Robbert Hooijmeijer | July, 2011</w:t>
          </w:r>
        </w:p>
      </w:tc>
      <w:tc>
        <w:tcPr>
          <w:tcW w:w="261" w:type="pct"/>
          <w:shd w:val="clear" w:color="auto" w:fill="365F91" w:themeFill="accent1" w:themeFillShade="BF"/>
          <w:vAlign w:val="center"/>
        </w:tcPr>
        <w:p w:rsidR="00E50388" w:rsidRPr="001D5F9A" w:rsidRDefault="003236CF" w:rsidP="006D688B">
          <w:pPr>
            <w:pStyle w:val="Header"/>
            <w:ind w:left="-255" w:firstLine="255"/>
            <w:jc w:val="center"/>
            <w:rPr>
              <w:b/>
              <w:color w:val="FFFFFF" w:themeColor="background1"/>
              <w:sz w:val="18"/>
              <w:szCs w:val="18"/>
            </w:rPr>
          </w:pPr>
          <w:r w:rsidRPr="001D5F9A">
            <w:rPr>
              <w:b/>
              <w:sz w:val="18"/>
              <w:szCs w:val="18"/>
            </w:rPr>
            <w:fldChar w:fldCharType="begin"/>
          </w:r>
          <w:r w:rsidR="00E50388" w:rsidRPr="001D5F9A">
            <w:rPr>
              <w:b/>
              <w:sz w:val="18"/>
              <w:szCs w:val="18"/>
            </w:rPr>
            <w:instrText xml:space="preserve"> PAGE   \* MERGEFORMAT </w:instrText>
          </w:r>
          <w:r w:rsidRPr="001D5F9A">
            <w:rPr>
              <w:b/>
              <w:sz w:val="18"/>
              <w:szCs w:val="18"/>
            </w:rPr>
            <w:fldChar w:fldCharType="separate"/>
          </w:r>
          <w:r w:rsidR="00427334" w:rsidRPr="00427334">
            <w:rPr>
              <w:b/>
              <w:noProof/>
              <w:color w:val="FFFFFF" w:themeColor="background1"/>
              <w:sz w:val="18"/>
              <w:szCs w:val="18"/>
            </w:rPr>
            <w:t>124</w:t>
          </w:r>
          <w:r w:rsidRPr="001D5F9A">
            <w:rPr>
              <w:b/>
              <w:sz w:val="18"/>
              <w:szCs w:val="18"/>
            </w:rPr>
            <w:fldChar w:fldCharType="end"/>
          </w:r>
        </w:p>
      </w:tc>
    </w:tr>
  </w:tbl>
  <w:p w:rsidR="00E50388" w:rsidRDefault="00E5038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23F1" w:rsidRDefault="005A23F1" w:rsidP="00EF5BEE">
      <w:pPr>
        <w:spacing w:after="0" w:line="240" w:lineRule="auto"/>
      </w:pPr>
      <w:r>
        <w:separator/>
      </w:r>
    </w:p>
  </w:footnote>
  <w:footnote w:type="continuationSeparator" w:id="0">
    <w:p w:rsidR="005A23F1" w:rsidRDefault="005A23F1" w:rsidP="00EF5BEE">
      <w:pPr>
        <w:spacing w:after="0" w:line="240" w:lineRule="auto"/>
      </w:pPr>
      <w:r>
        <w:continuationSeparator/>
      </w:r>
    </w:p>
  </w:footnote>
  <w:footnote w:id="1">
    <w:p w:rsidR="00E50388" w:rsidRDefault="00E50388">
      <w:pPr>
        <w:pStyle w:val="FootnoteText"/>
      </w:pPr>
      <w:r>
        <w:rPr>
          <w:rStyle w:val="FootnoteReference"/>
        </w:rPr>
        <w:footnoteRef/>
      </w:r>
      <w:r>
        <w:t xml:space="preserve"> The Guidelines (Richtlijnen) of the Dutch Accounting Standards Board (Raad voor de Jaarverslaggeving) are not mandatory, although, because of the way these guidelines are established, they can be considered as authorative (KPMG, 2007, pp. 43-47).</w:t>
      </w:r>
    </w:p>
  </w:footnote>
  <w:footnote w:id="2">
    <w:p w:rsidR="00E50388" w:rsidRPr="003C1C88" w:rsidRDefault="00E50388" w:rsidP="001D5F43">
      <w:pPr>
        <w:pStyle w:val="FootnoteText"/>
      </w:pPr>
      <w:r>
        <w:rPr>
          <w:rStyle w:val="FootnoteReference"/>
        </w:rPr>
        <w:footnoteRef/>
      </w:r>
      <w:r>
        <w:t xml:space="preserve"> </w:t>
      </w:r>
      <w:r w:rsidRPr="003C1C88">
        <w:t>According to Berk and DeMarzo (2007</w:t>
      </w:r>
      <w:r>
        <w:t>, p. 700</w:t>
      </w:r>
      <w:r w:rsidRPr="003C1C88">
        <w:t xml:space="preserve">) </w:t>
      </w:r>
      <w:r>
        <w:t xml:space="preserve">this calculation is applicable when the company pays out dividend proportional to the share price. Otherwise, the stock’s market price should be divided by the present value of any  dividends paid before the expiration date. Due to the availability of the dividend yield and its usefulness (Berk and DeMarzo 2007, p. 700) it is assumed that dividends are proportional to the share price, see also section 5.2. </w:t>
      </w:r>
    </w:p>
  </w:footnote>
  <w:footnote w:id="3">
    <w:p w:rsidR="00E50388" w:rsidRPr="007B5D1B" w:rsidRDefault="00E50388" w:rsidP="001D5F43">
      <w:pPr>
        <w:pStyle w:val="FootnoteText"/>
      </w:pPr>
      <w:r>
        <w:rPr>
          <w:rStyle w:val="FootnoteReference"/>
        </w:rPr>
        <w:footnoteRef/>
      </w:r>
      <w:r>
        <w:t xml:space="preserve"> </w:t>
      </w:r>
      <w:r w:rsidRPr="00001D53">
        <w:rPr>
          <w:i/>
          <w:iCs/>
        </w:rPr>
        <w:t>MEET_POS</w:t>
      </w:r>
      <w:r>
        <w:rPr>
          <w:iCs/>
        </w:rPr>
        <w:t xml:space="preserve"> equals the percentage of years that the company achieved positive earnings levels benchmarks, when not recognizing the fair value of stock options, while recognition of the fair value of granted stock options would lead to negative earnings levels benchmarks in the period before 2005.  </w:t>
      </w:r>
      <w:r w:rsidRPr="00001D53">
        <w:rPr>
          <w:i/>
          <w:iCs/>
        </w:rPr>
        <w:t>MEET_INC</w:t>
      </w:r>
      <w:r>
        <w:rPr>
          <w:iCs/>
        </w:rPr>
        <w:t xml:space="preserve"> is similar to </w:t>
      </w:r>
      <w:r>
        <w:rPr>
          <w:i/>
          <w:iCs/>
        </w:rPr>
        <w:t>MEET_POS</w:t>
      </w:r>
      <w:r>
        <w:rPr>
          <w:iCs/>
        </w:rPr>
        <w:t>, except that earnings levels benchmarks are replaced by earnings changes benchmarks.</w:t>
      </w:r>
    </w:p>
  </w:footnote>
  <w:footnote w:id="4">
    <w:p w:rsidR="00E50388" w:rsidRPr="00AF3CF1" w:rsidRDefault="00E50388" w:rsidP="001D5F43">
      <w:pPr>
        <w:pStyle w:val="FootnoteText"/>
      </w:pPr>
      <w:r>
        <w:rPr>
          <w:rStyle w:val="FootnoteReference"/>
        </w:rPr>
        <w:footnoteRef/>
      </w:r>
      <w:r>
        <w:t xml:space="preserve"> Brown and Lee (2007, pp. 13-15) have used the same 12 factors as Core et al. (1999) did. It is a mix of indicator variables and scale variables. All variables are ranked from most effective to least effective, where the most effective received the highest percentile. All percentiles are added up to obtain the summary variable </w:t>
      </w:r>
      <w:r w:rsidRPr="00AF3CF1">
        <w:rPr>
          <w:i/>
        </w:rPr>
        <w:t>RKGOV</w:t>
      </w:r>
      <w:r>
        <w:t xml:space="preserve">, represented by </w:t>
      </w:r>
      <w:r>
        <w:rPr>
          <w:i/>
          <w:iCs/>
        </w:rPr>
        <w:t>Governance Variables</w:t>
      </w:r>
      <w:r w:rsidRPr="00AF3CF1">
        <w:rPr>
          <w:iCs/>
        </w:rPr>
        <w:t>.</w:t>
      </w:r>
    </w:p>
  </w:footnote>
  <w:footnote w:id="5">
    <w:p w:rsidR="00E50388" w:rsidRPr="003E2B9C" w:rsidRDefault="00E50388" w:rsidP="001D5F43">
      <w:pPr>
        <w:pStyle w:val="FootnoteText"/>
      </w:pPr>
      <w:r>
        <w:rPr>
          <w:rStyle w:val="FootnoteReference"/>
        </w:rPr>
        <w:footnoteRef/>
      </w:r>
      <w:r>
        <w:t xml:space="preserve"> The variable </w:t>
      </w:r>
      <w:r w:rsidRPr="00C8793A">
        <w:rPr>
          <w:i/>
        </w:rPr>
        <w:t>FINRPT</w:t>
      </w:r>
      <w:r w:rsidRPr="00C8793A">
        <w:rPr>
          <w:i/>
          <w:lang w:eastAsia="nl-NL"/>
        </w:rPr>
        <w:t>_1</w:t>
      </w:r>
      <w:r w:rsidRPr="00C8793A">
        <w:rPr>
          <w:i/>
          <w:vertAlign w:val="subscript"/>
          <w:lang w:eastAsia="nl-NL"/>
        </w:rPr>
        <w:t>jt</w:t>
      </w:r>
      <w:r>
        <w:rPr>
          <w:i/>
          <w:lang w:eastAsia="nl-NL"/>
        </w:rPr>
        <w:t xml:space="preserve"> </w:t>
      </w:r>
      <w:r>
        <w:rPr>
          <w:lang w:eastAsia="nl-NL"/>
        </w:rPr>
        <w:t>is composed of the proportion of quarters that the firm’s earnings per share were higher or equal to previous years (</w:t>
      </w:r>
      <w:r w:rsidRPr="003E2B9C">
        <w:rPr>
          <w:i/>
          <w:lang w:eastAsia="nl-NL"/>
        </w:rPr>
        <w:t>EPS_INCR</w:t>
      </w:r>
      <w:r>
        <w:rPr>
          <w:lang w:eastAsia="nl-NL"/>
        </w:rPr>
        <w:t>), the proportion of quarters that the firm’s earnings per share were higher or equal to analysts’ forecasts (</w:t>
      </w:r>
      <w:r w:rsidRPr="003E2B9C">
        <w:rPr>
          <w:i/>
          <w:lang w:eastAsia="nl-NL"/>
        </w:rPr>
        <w:t>BEAT_FCST</w:t>
      </w:r>
      <w:r>
        <w:rPr>
          <w:lang w:eastAsia="nl-NL"/>
        </w:rPr>
        <w:t>), and the leverage of the firm (</w:t>
      </w:r>
      <w:r w:rsidRPr="003E2B9C">
        <w:rPr>
          <w:i/>
          <w:lang w:eastAsia="nl-NL"/>
        </w:rPr>
        <w:t>LEVERAGE</w:t>
      </w:r>
      <w:r>
        <w:rPr>
          <w:lang w:eastAsia="nl-NL"/>
        </w:rPr>
        <w:t>).</w:t>
      </w:r>
    </w:p>
  </w:footnote>
  <w:footnote w:id="6">
    <w:p w:rsidR="00E50388" w:rsidRPr="007E7DD4" w:rsidRDefault="00E50388" w:rsidP="001D5F43">
      <w:pPr>
        <w:pStyle w:val="FootnoteText"/>
      </w:pPr>
      <w:r>
        <w:rPr>
          <w:rStyle w:val="FootnoteReference"/>
        </w:rPr>
        <w:footnoteRef/>
      </w:r>
      <w:r>
        <w:t xml:space="preserve"> The variable </w:t>
      </w:r>
      <w:r w:rsidRPr="00001D53">
        <w:rPr>
          <w:i/>
          <w:lang w:eastAsia="nl-NL"/>
        </w:rPr>
        <w:t>FINRPT_2</w:t>
      </w:r>
      <w:r w:rsidRPr="00001D53">
        <w:rPr>
          <w:i/>
          <w:vertAlign w:val="subscript"/>
          <w:lang w:eastAsia="nl-NL"/>
        </w:rPr>
        <w:t>jt</w:t>
      </w:r>
      <w:r>
        <w:rPr>
          <w:i/>
          <w:lang w:eastAsia="nl-NL"/>
        </w:rPr>
        <w:t xml:space="preserve"> </w:t>
      </w:r>
      <w:r>
        <w:rPr>
          <w:lang w:eastAsia="nl-NL"/>
        </w:rPr>
        <w:t>is composed of the extent to which the firm is going to issue equity (</w:t>
      </w:r>
      <w:r w:rsidRPr="007E7DD4">
        <w:rPr>
          <w:i/>
          <w:lang w:eastAsia="nl-NL"/>
        </w:rPr>
        <w:t>ISSUE_EQ</w:t>
      </w:r>
      <w:r>
        <w:rPr>
          <w:lang w:eastAsia="nl-NL"/>
        </w:rPr>
        <w:t>), and is going to issue debt (</w:t>
      </w:r>
      <w:r w:rsidRPr="007E7DD4">
        <w:rPr>
          <w:i/>
          <w:lang w:eastAsia="nl-NL"/>
        </w:rPr>
        <w:t>ISSUE_DEBT</w:t>
      </w:r>
      <w:r>
        <w:rPr>
          <w:lang w:eastAsia="nl-NL"/>
        </w:rPr>
        <w:t>).</w:t>
      </w:r>
    </w:p>
  </w:footnote>
  <w:footnote w:id="7">
    <w:p w:rsidR="00E50388" w:rsidRPr="00A770D3" w:rsidRDefault="00E50388" w:rsidP="001D5F43">
      <w:pPr>
        <w:pStyle w:val="FootnoteText"/>
      </w:pPr>
      <w:r>
        <w:rPr>
          <w:rStyle w:val="FootnoteReference"/>
        </w:rPr>
        <w:footnoteRef/>
      </w:r>
      <w:r>
        <w:t xml:space="preserve"> When IFRS 2 was published the remuneration policy should have already been determined. For example, the remuneration with respect to the financial year 2004, should have been determined before the financial year has started. Since this study incorporates the period 2002-2004, and IFRS 2 is published in February 2004, the remuneration policy of the financial year 2004 have been determined already.</w:t>
      </w:r>
    </w:p>
  </w:footnote>
  <w:footnote w:id="8">
    <w:p w:rsidR="00E50388" w:rsidRPr="00B85705" w:rsidRDefault="00E50388" w:rsidP="001D5F43">
      <w:pPr>
        <w:pStyle w:val="FootnoteText"/>
      </w:pPr>
      <w:r>
        <w:rPr>
          <w:rStyle w:val="FootnoteReference"/>
        </w:rPr>
        <w:footnoteRef/>
      </w:r>
      <w:r>
        <w:t xml:space="preserve"> </w:t>
      </w:r>
      <w:r w:rsidRPr="00B85705">
        <w:t xml:space="preserve">The fair value method for both granted stock options and shares are considered to be less favorable, because it results in lower profits compared with the period </w:t>
      </w:r>
      <w:r>
        <w:t>before 2005. The applied accounting method for granted shares in the Netherlands before 2005 had no effect on the profit and loss account, nor on the debt to equity ratio. The intrinsic value method for stock options required the recognition of the difference between share price and exercise price, which equals to zero in most cases (</w:t>
      </w:r>
      <w:r w:rsidRPr="00BB26C2">
        <w:rPr>
          <w:rFonts w:cstheme="minorHAnsi"/>
        </w:rPr>
        <w:t>Hull and White</w:t>
      </w:r>
      <w:r>
        <w:rPr>
          <w:rFonts w:cstheme="minorHAnsi"/>
        </w:rPr>
        <w:t>,</w:t>
      </w:r>
      <w:r w:rsidRPr="00BB26C2">
        <w:rPr>
          <w:rFonts w:cstheme="minorHAnsi"/>
        </w:rPr>
        <w:t xml:space="preserve"> 2004)</w:t>
      </w:r>
      <w:r>
        <w:rPr>
          <w:rFonts w:cstheme="minorHAnsi"/>
        </w:rPr>
        <w:t>.</w:t>
      </w:r>
    </w:p>
  </w:footnote>
  <w:footnote w:id="9">
    <w:p w:rsidR="00E50388" w:rsidRPr="00F5182F" w:rsidRDefault="00E50388">
      <w:pPr>
        <w:pStyle w:val="FootnoteText"/>
      </w:pPr>
      <w:r>
        <w:rPr>
          <w:rStyle w:val="FootnoteReference"/>
        </w:rPr>
        <w:footnoteRef/>
      </w:r>
      <w:r>
        <w:t xml:space="preserve"> As the hypothesis is one-sided, the p-values should also be one-sided, which are stated in the most right column of the coefficients table labeled as Sig. 1-tailed</w:t>
      </w:r>
      <w:r w:rsidRPr="00F5182F">
        <w:t xml:space="preserve"> </w:t>
      </w:r>
      <w:r>
        <w:t>in the Appendix.</w:t>
      </w:r>
    </w:p>
  </w:footnote>
  <w:footnote w:id="10">
    <w:p w:rsidR="00E50388" w:rsidRPr="005B1ACB" w:rsidRDefault="00E50388" w:rsidP="0092075A">
      <w:pPr>
        <w:pStyle w:val="FootnoteText"/>
        <w:jc w:val="both"/>
      </w:pPr>
      <w:r>
        <w:rPr>
          <w:rStyle w:val="FootnoteReference"/>
        </w:rPr>
        <w:footnoteRef/>
      </w:r>
      <w:r>
        <w:t xml:space="preserve"> </w:t>
      </w:r>
      <w:r w:rsidRPr="005B1ACB">
        <w:t>The base year is 2002. The</w:t>
      </w:r>
      <w:r>
        <w:t xml:space="preserve"> betas of the year dummies indicate how much the proportion of stock options differs from the base year. The dummy for 2003 is insignificant, suggesting the proportion of stock options has not changed in 2003 compared with 2002.</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0388" w:rsidRPr="001D5F9A" w:rsidRDefault="00E50388" w:rsidP="00D60C23">
    <w:pPr>
      <w:pStyle w:val="Header"/>
      <w:jc w:val="center"/>
      <w:rPr>
        <w:color w:val="808080" w:themeColor="background1" w:themeShade="80"/>
        <w:sz w:val="16"/>
        <w:szCs w:val="16"/>
      </w:rPr>
    </w:pPr>
    <w:r w:rsidRPr="001D5F9A">
      <w:rPr>
        <w:color w:val="808080" w:themeColor="background1" w:themeShade="80"/>
        <w:sz w:val="16"/>
        <w:szCs w:val="16"/>
      </w:rPr>
      <w:t>Changing Remuneration Practices as an Economic Consequence</w:t>
    </w:r>
    <w:r w:rsidR="00EE2F43" w:rsidRPr="001D5F9A">
      <w:rPr>
        <w:color w:val="808080" w:themeColor="background1" w:themeShade="80"/>
        <w:sz w:val="16"/>
        <w:szCs w:val="16"/>
      </w:rPr>
      <w:t xml:space="preserve"> of IFRS 2</w:t>
    </w:r>
  </w:p>
  <w:p w:rsidR="00EE2F43" w:rsidRPr="00D60C23" w:rsidRDefault="00EE2F43" w:rsidP="00D60C23">
    <w:pPr>
      <w:pStyle w:val="Header"/>
      <w:jc w:val="center"/>
      <w:rPr>
        <w:color w:val="808080" w:themeColor="background1" w:themeShade="80"/>
        <w:szCs w:val="2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3E686F"/>
    <w:multiLevelType w:val="hybridMultilevel"/>
    <w:tmpl w:val="8BA83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8F040F"/>
    <w:multiLevelType w:val="hybridMultilevel"/>
    <w:tmpl w:val="D92607E0"/>
    <w:lvl w:ilvl="0" w:tplc="591A901A">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36F153C"/>
    <w:multiLevelType w:val="singleLevel"/>
    <w:tmpl w:val="5670570E"/>
    <w:lvl w:ilvl="0">
      <w:start w:val="1"/>
      <w:numFmt w:val="bullet"/>
      <w:lvlText w:val=""/>
      <w:lvlJc w:val="left"/>
      <w:pPr>
        <w:tabs>
          <w:tab w:val="num" w:pos="340"/>
        </w:tabs>
        <w:ind w:left="340" w:hanging="340"/>
      </w:pPr>
      <w:rPr>
        <w:rFonts w:ascii="Symbol" w:hAnsi="Symbol" w:hint="default"/>
        <w:color w:val="auto"/>
        <w:sz w:val="22"/>
      </w:rPr>
    </w:lvl>
  </w:abstractNum>
  <w:abstractNum w:abstractNumId="3">
    <w:nsid w:val="47FE25D9"/>
    <w:multiLevelType w:val="hybridMultilevel"/>
    <w:tmpl w:val="569E75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8D0107A"/>
    <w:multiLevelType w:val="singleLevel"/>
    <w:tmpl w:val="7F124DA2"/>
    <w:lvl w:ilvl="0">
      <w:start w:val="1"/>
      <w:numFmt w:val="bullet"/>
      <w:lvlText w:val=""/>
      <w:lvlJc w:val="left"/>
      <w:pPr>
        <w:tabs>
          <w:tab w:val="num" w:pos="340"/>
        </w:tabs>
        <w:ind w:left="340" w:hanging="340"/>
      </w:pPr>
      <w:rPr>
        <w:rFonts w:ascii="Symbol" w:hAnsi="Symbol" w:hint="default"/>
        <w:color w:val="auto"/>
        <w:sz w:val="22"/>
      </w:rPr>
    </w:lvl>
  </w:abstractNum>
  <w:abstractNum w:abstractNumId="5">
    <w:nsid w:val="5ADF74DE"/>
    <w:multiLevelType w:val="hybridMultilevel"/>
    <w:tmpl w:val="C996042E"/>
    <w:lvl w:ilvl="0" w:tplc="0DDE38EA">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3D16A9C"/>
    <w:multiLevelType w:val="singleLevel"/>
    <w:tmpl w:val="4606DD5E"/>
    <w:lvl w:ilvl="0">
      <w:start w:val="1"/>
      <w:numFmt w:val="bullet"/>
      <w:lvlText w:val=""/>
      <w:lvlJc w:val="left"/>
      <w:pPr>
        <w:tabs>
          <w:tab w:val="num" w:pos="340"/>
        </w:tabs>
        <w:ind w:left="340" w:hanging="340"/>
      </w:pPr>
      <w:rPr>
        <w:rFonts w:ascii="Symbol" w:hAnsi="Symbol" w:hint="default"/>
        <w:color w:val="auto"/>
        <w:sz w:val="22"/>
      </w:rPr>
    </w:lvl>
  </w:abstractNum>
  <w:abstractNum w:abstractNumId="7">
    <w:nsid w:val="7AB703D4"/>
    <w:multiLevelType w:val="hybridMultilevel"/>
    <w:tmpl w:val="2D522E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2"/>
  </w:num>
  <w:num w:numId="4">
    <w:abstractNumId w:val="7"/>
  </w:num>
  <w:num w:numId="5">
    <w:abstractNumId w:val="5"/>
  </w:num>
  <w:num w:numId="6">
    <w:abstractNumId w:val="3"/>
  </w:num>
  <w:num w:numId="7">
    <w:abstractNumId w:val="1"/>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70658">
      <o:colormenu v:ext="edit" fillcolor="none [3215]" strokecolor="none" shadowcolor="none [1612]"/>
    </o:shapedefaults>
  </w:hdrShapeDefaults>
  <w:footnotePr>
    <w:footnote w:id="-1"/>
    <w:footnote w:id="0"/>
  </w:footnotePr>
  <w:endnotePr>
    <w:endnote w:id="-1"/>
    <w:endnote w:id="0"/>
  </w:endnotePr>
  <w:compat>
    <w:useFELayout/>
  </w:compat>
  <w:rsids>
    <w:rsidRoot w:val="00356830"/>
    <w:rsid w:val="000006FF"/>
    <w:rsid w:val="0000127B"/>
    <w:rsid w:val="00007DCD"/>
    <w:rsid w:val="00012463"/>
    <w:rsid w:val="00024DA1"/>
    <w:rsid w:val="000264CB"/>
    <w:rsid w:val="000267E8"/>
    <w:rsid w:val="00035567"/>
    <w:rsid w:val="000376D6"/>
    <w:rsid w:val="0004457A"/>
    <w:rsid w:val="00044C24"/>
    <w:rsid w:val="000457BF"/>
    <w:rsid w:val="00045BB5"/>
    <w:rsid w:val="0005146E"/>
    <w:rsid w:val="0005274F"/>
    <w:rsid w:val="00056219"/>
    <w:rsid w:val="00056769"/>
    <w:rsid w:val="00056A77"/>
    <w:rsid w:val="00061AB5"/>
    <w:rsid w:val="00066062"/>
    <w:rsid w:val="000764D6"/>
    <w:rsid w:val="00077F8C"/>
    <w:rsid w:val="000864C0"/>
    <w:rsid w:val="00087A3A"/>
    <w:rsid w:val="00095D8B"/>
    <w:rsid w:val="00095FAD"/>
    <w:rsid w:val="000A2EF1"/>
    <w:rsid w:val="000B084D"/>
    <w:rsid w:val="000B0982"/>
    <w:rsid w:val="000B1B1A"/>
    <w:rsid w:val="000B1C70"/>
    <w:rsid w:val="000B23EF"/>
    <w:rsid w:val="000B3455"/>
    <w:rsid w:val="000B5B87"/>
    <w:rsid w:val="000B63BF"/>
    <w:rsid w:val="000C0003"/>
    <w:rsid w:val="000C16A3"/>
    <w:rsid w:val="000C2368"/>
    <w:rsid w:val="000D243E"/>
    <w:rsid w:val="000D47B5"/>
    <w:rsid w:val="000E155B"/>
    <w:rsid w:val="000E18CC"/>
    <w:rsid w:val="000E2286"/>
    <w:rsid w:val="000E56B7"/>
    <w:rsid w:val="000E6017"/>
    <w:rsid w:val="000E71A3"/>
    <w:rsid w:val="000E7BB7"/>
    <w:rsid w:val="000F0FE5"/>
    <w:rsid w:val="000F58AE"/>
    <w:rsid w:val="000F680C"/>
    <w:rsid w:val="000F753C"/>
    <w:rsid w:val="001047EE"/>
    <w:rsid w:val="00107319"/>
    <w:rsid w:val="0011177E"/>
    <w:rsid w:val="0011674A"/>
    <w:rsid w:val="00125A8E"/>
    <w:rsid w:val="00125B78"/>
    <w:rsid w:val="0013054F"/>
    <w:rsid w:val="00130794"/>
    <w:rsid w:val="00131DAE"/>
    <w:rsid w:val="00134299"/>
    <w:rsid w:val="0014046C"/>
    <w:rsid w:val="00143F64"/>
    <w:rsid w:val="001459D0"/>
    <w:rsid w:val="00146402"/>
    <w:rsid w:val="001479AA"/>
    <w:rsid w:val="00151F1F"/>
    <w:rsid w:val="00155C55"/>
    <w:rsid w:val="00156D4F"/>
    <w:rsid w:val="0016179E"/>
    <w:rsid w:val="001621DD"/>
    <w:rsid w:val="00163598"/>
    <w:rsid w:val="00174EA2"/>
    <w:rsid w:val="0017658D"/>
    <w:rsid w:val="001771A7"/>
    <w:rsid w:val="001776C9"/>
    <w:rsid w:val="001814E6"/>
    <w:rsid w:val="0018329F"/>
    <w:rsid w:val="0018342F"/>
    <w:rsid w:val="00185650"/>
    <w:rsid w:val="00194670"/>
    <w:rsid w:val="00196D6F"/>
    <w:rsid w:val="001A0B56"/>
    <w:rsid w:val="001A1B20"/>
    <w:rsid w:val="001A21A2"/>
    <w:rsid w:val="001A2CD5"/>
    <w:rsid w:val="001A3E6A"/>
    <w:rsid w:val="001A4340"/>
    <w:rsid w:val="001A4B55"/>
    <w:rsid w:val="001A4F0C"/>
    <w:rsid w:val="001A6F0F"/>
    <w:rsid w:val="001C29A3"/>
    <w:rsid w:val="001D18C9"/>
    <w:rsid w:val="001D4378"/>
    <w:rsid w:val="001D5F43"/>
    <w:rsid w:val="001D5F9A"/>
    <w:rsid w:val="001E123E"/>
    <w:rsid w:val="001E6F54"/>
    <w:rsid w:val="001F067F"/>
    <w:rsid w:val="002040A9"/>
    <w:rsid w:val="0020707D"/>
    <w:rsid w:val="00207799"/>
    <w:rsid w:val="002078A0"/>
    <w:rsid w:val="00212C73"/>
    <w:rsid w:val="00222D88"/>
    <w:rsid w:val="00223684"/>
    <w:rsid w:val="002300A3"/>
    <w:rsid w:val="002365F1"/>
    <w:rsid w:val="00243D1D"/>
    <w:rsid w:val="002516A9"/>
    <w:rsid w:val="00252033"/>
    <w:rsid w:val="002555C9"/>
    <w:rsid w:val="00261BE2"/>
    <w:rsid w:val="00263310"/>
    <w:rsid w:val="00263475"/>
    <w:rsid w:val="002637C5"/>
    <w:rsid w:val="002671FE"/>
    <w:rsid w:val="00275E6E"/>
    <w:rsid w:val="002861D5"/>
    <w:rsid w:val="00286B21"/>
    <w:rsid w:val="00297541"/>
    <w:rsid w:val="002A059A"/>
    <w:rsid w:val="002A512D"/>
    <w:rsid w:val="002A6DB5"/>
    <w:rsid w:val="002A7FF2"/>
    <w:rsid w:val="002B03C2"/>
    <w:rsid w:val="002B05D5"/>
    <w:rsid w:val="002B213F"/>
    <w:rsid w:val="002B3CBC"/>
    <w:rsid w:val="002B3D57"/>
    <w:rsid w:val="002B49EA"/>
    <w:rsid w:val="002B55BD"/>
    <w:rsid w:val="002B5D78"/>
    <w:rsid w:val="002B637B"/>
    <w:rsid w:val="002C019F"/>
    <w:rsid w:val="002D5617"/>
    <w:rsid w:val="002D6F99"/>
    <w:rsid w:val="002D7900"/>
    <w:rsid w:val="002E0437"/>
    <w:rsid w:val="002E1A54"/>
    <w:rsid w:val="002E5C61"/>
    <w:rsid w:val="002E6EE3"/>
    <w:rsid w:val="002E7B1E"/>
    <w:rsid w:val="002F0404"/>
    <w:rsid w:val="002F28BB"/>
    <w:rsid w:val="002F3F1A"/>
    <w:rsid w:val="002F4D51"/>
    <w:rsid w:val="00304A97"/>
    <w:rsid w:val="00305219"/>
    <w:rsid w:val="00307F89"/>
    <w:rsid w:val="00310B08"/>
    <w:rsid w:val="00310DCB"/>
    <w:rsid w:val="0031659B"/>
    <w:rsid w:val="003210AE"/>
    <w:rsid w:val="003236CF"/>
    <w:rsid w:val="0032420B"/>
    <w:rsid w:val="00324B00"/>
    <w:rsid w:val="00325181"/>
    <w:rsid w:val="00333076"/>
    <w:rsid w:val="00334A51"/>
    <w:rsid w:val="00336C7C"/>
    <w:rsid w:val="00336E38"/>
    <w:rsid w:val="00336EFF"/>
    <w:rsid w:val="00337A3D"/>
    <w:rsid w:val="00341026"/>
    <w:rsid w:val="00341F47"/>
    <w:rsid w:val="00347F2B"/>
    <w:rsid w:val="00353F26"/>
    <w:rsid w:val="00356830"/>
    <w:rsid w:val="00357473"/>
    <w:rsid w:val="00360577"/>
    <w:rsid w:val="00362689"/>
    <w:rsid w:val="003637C0"/>
    <w:rsid w:val="00365006"/>
    <w:rsid w:val="00372A0F"/>
    <w:rsid w:val="00376186"/>
    <w:rsid w:val="00376BEE"/>
    <w:rsid w:val="00376D6B"/>
    <w:rsid w:val="003830D2"/>
    <w:rsid w:val="00385915"/>
    <w:rsid w:val="0039315B"/>
    <w:rsid w:val="003963B5"/>
    <w:rsid w:val="00396C83"/>
    <w:rsid w:val="003A11D5"/>
    <w:rsid w:val="003A4F9A"/>
    <w:rsid w:val="003A78D7"/>
    <w:rsid w:val="003A7C47"/>
    <w:rsid w:val="003B191B"/>
    <w:rsid w:val="003B3B5F"/>
    <w:rsid w:val="003B5259"/>
    <w:rsid w:val="003B709C"/>
    <w:rsid w:val="003B7A5F"/>
    <w:rsid w:val="003C0F3E"/>
    <w:rsid w:val="003C0F81"/>
    <w:rsid w:val="003C5988"/>
    <w:rsid w:val="003C7153"/>
    <w:rsid w:val="003D1B5D"/>
    <w:rsid w:val="003D4C0F"/>
    <w:rsid w:val="003D5347"/>
    <w:rsid w:val="003D5369"/>
    <w:rsid w:val="003E0E1D"/>
    <w:rsid w:val="003E5AB5"/>
    <w:rsid w:val="003E625F"/>
    <w:rsid w:val="003F3B9E"/>
    <w:rsid w:val="0041166D"/>
    <w:rsid w:val="00412817"/>
    <w:rsid w:val="00417587"/>
    <w:rsid w:val="004239E1"/>
    <w:rsid w:val="00427334"/>
    <w:rsid w:val="004277AE"/>
    <w:rsid w:val="00430C54"/>
    <w:rsid w:val="004323DD"/>
    <w:rsid w:val="00435078"/>
    <w:rsid w:val="004402BA"/>
    <w:rsid w:val="004420B5"/>
    <w:rsid w:val="00457E1E"/>
    <w:rsid w:val="00464759"/>
    <w:rsid w:val="00464FC7"/>
    <w:rsid w:val="004712FF"/>
    <w:rsid w:val="004775FF"/>
    <w:rsid w:val="00484587"/>
    <w:rsid w:val="00484715"/>
    <w:rsid w:val="00484DAB"/>
    <w:rsid w:val="00486837"/>
    <w:rsid w:val="00486FD2"/>
    <w:rsid w:val="00490C7A"/>
    <w:rsid w:val="00490FE6"/>
    <w:rsid w:val="00494DF3"/>
    <w:rsid w:val="004A4396"/>
    <w:rsid w:val="004B4F28"/>
    <w:rsid w:val="004C1E2E"/>
    <w:rsid w:val="004C4036"/>
    <w:rsid w:val="004C6F03"/>
    <w:rsid w:val="004C7B68"/>
    <w:rsid w:val="004D087E"/>
    <w:rsid w:val="004D3590"/>
    <w:rsid w:val="004D60BF"/>
    <w:rsid w:val="004D78BA"/>
    <w:rsid w:val="004E05C1"/>
    <w:rsid w:val="004E0F9D"/>
    <w:rsid w:val="004E2731"/>
    <w:rsid w:val="004F0491"/>
    <w:rsid w:val="004F1F27"/>
    <w:rsid w:val="004F429E"/>
    <w:rsid w:val="004F5276"/>
    <w:rsid w:val="004F5D4B"/>
    <w:rsid w:val="004F693F"/>
    <w:rsid w:val="004F75F4"/>
    <w:rsid w:val="004F7CEC"/>
    <w:rsid w:val="004F7FC0"/>
    <w:rsid w:val="005006DF"/>
    <w:rsid w:val="005011EA"/>
    <w:rsid w:val="005024CF"/>
    <w:rsid w:val="00502BB0"/>
    <w:rsid w:val="00505AF5"/>
    <w:rsid w:val="0050649B"/>
    <w:rsid w:val="00511143"/>
    <w:rsid w:val="005116F6"/>
    <w:rsid w:val="0051675B"/>
    <w:rsid w:val="00522A2A"/>
    <w:rsid w:val="005241EF"/>
    <w:rsid w:val="00537F06"/>
    <w:rsid w:val="005436B9"/>
    <w:rsid w:val="00550EA0"/>
    <w:rsid w:val="00554D2F"/>
    <w:rsid w:val="00554FB1"/>
    <w:rsid w:val="00555FB1"/>
    <w:rsid w:val="00556413"/>
    <w:rsid w:val="00556696"/>
    <w:rsid w:val="0055693E"/>
    <w:rsid w:val="00557602"/>
    <w:rsid w:val="00564E19"/>
    <w:rsid w:val="00565E0E"/>
    <w:rsid w:val="005666D7"/>
    <w:rsid w:val="005709A9"/>
    <w:rsid w:val="00570F31"/>
    <w:rsid w:val="005741F6"/>
    <w:rsid w:val="005743A0"/>
    <w:rsid w:val="00574CB0"/>
    <w:rsid w:val="00576C14"/>
    <w:rsid w:val="0058053C"/>
    <w:rsid w:val="00583A0B"/>
    <w:rsid w:val="005912B4"/>
    <w:rsid w:val="00594C5D"/>
    <w:rsid w:val="00595921"/>
    <w:rsid w:val="00596D60"/>
    <w:rsid w:val="005A23F1"/>
    <w:rsid w:val="005A4178"/>
    <w:rsid w:val="005B046E"/>
    <w:rsid w:val="005B13D5"/>
    <w:rsid w:val="005B1ACB"/>
    <w:rsid w:val="005B497D"/>
    <w:rsid w:val="005B7EDE"/>
    <w:rsid w:val="005C202A"/>
    <w:rsid w:val="005C25CC"/>
    <w:rsid w:val="005C3F8D"/>
    <w:rsid w:val="005C5A75"/>
    <w:rsid w:val="005D5941"/>
    <w:rsid w:val="005E670A"/>
    <w:rsid w:val="005F2684"/>
    <w:rsid w:val="005F41A9"/>
    <w:rsid w:val="005F6810"/>
    <w:rsid w:val="00600787"/>
    <w:rsid w:val="00603444"/>
    <w:rsid w:val="00603787"/>
    <w:rsid w:val="00607126"/>
    <w:rsid w:val="00611C52"/>
    <w:rsid w:val="00627EB4"/>
    <w:rsid w:val="00631396"/>
    <w:rsid w:val="00631E61"/>
    <w:rsid w:val="00632B67"/>
    <w:rsid w:val="0063509C"/>
    <w:rsid w:val="00635C94"/>
    <w:rsid w:val="006374DD"/>
    <w:rsid w:val="00644052"/>
    <w:rsid w:val="00644093"/>
    <w:rsid w:val="006443AF"/>
    <w:rsid w:val="00645F0C"/>
    <w:rsid w:val="0064680F"/>
    <w:rsid w:val="00646AF1"/>
    <w:rsid w:val="00647611"/>
    <w:rsid w:val="00650EF9"/>
    <w:rsid w:val="006536F5"/>
    <w:rsid w:val="0065759F"/>
    <w:rsid w:val="00665A0D"/>
    <w:rsid w:val="006663CD"/>
    <w:rsid w:val="00670E37"/>
    <w:rsid w:val="00674F53"/>
    <w:rsid w:val="006753D1"/>
    <w:rsid w:val="006757A0"/>
    <w:rsid w:val="0067750C"/>
    <w:rsid w:val="00681954"/>
    <w:rsid w:val="006822B9"/>
    <w:rsid w:val="00685E9C"/>
    <w:rsid w:val="00690937"/>
    <w:rsid w:val="00691800"/>
    <w:rsid w:val="006936DD"/>
    <w:rsid w:val="006A185E"/>
    <w:rsid w:val="006A604A"/>
    <w:rsid w:val="006B02D7"/>
    <w:rsid w:val="006B0D31"/>
    <w:rsid w:val="006B40AE"/>
    <w:rsid w:val="006B7D7A"/>
    <w:rsid w:val="006C0A6B"/>
    <w:rsid w:val="006C42A3"/>
    <w:rsid w:val="006C764C"/>
    <w:rsid w:val="006D1D72"/>
    <w:rsid w:val="006D3A3B"/>
    <w:rsid w:val="006D566F"/>
    <w:rsid w:val="006D688B"/>
    <w:rsid w:val="006E34BD"/>
    <w:rsid w:val="006E3696"/>
    <w:rsid w:val="006E6D14"/>
    <w:rsid w:val="00700429"/>
    <w:rsid w:val="00702747"/>
    <w:rsid w:val="007046BD"/>
    <w:rsid w:val="00704C3A"/>
    <w:rsid w:val="0070602A"/>
    <w:rsid w:val="00710D54"/>
    <w:rsid w:val="00713383"/>
    <w:rsid w:val="0071538D"/>
    <w:rsid w:val="00715EAA"/>
    <w:rsid w:val="00716C98"/>
    <w:rsid w:val="00720136"/>
    <w:rsid w:val="00723FA8"/>
    <w:rsid w:val="0072533B"/>
    <w:rsid w:val="0072569B"/>
    <w:rsid w:val="00727516"/>
    <w:rsid w:val="00727708"/>
    <w:rsid w:val="00730BFC"/>
    <w:rsid w:val="00731F5A"/>
    <w:rsid w:val="007327B4"/>
    <w:rsid w:val="00735F79"/>
    <w:rsid w:val="00736174"/>
    <w:rsid w:val="00743D21"/>
    <w:rsid w:val="007527D0"/>
    <w:rsid w:val="00754A31"/>
    <w:rsid w:val="00754E7B"/>
    <w:rsid w:val="0076375D"/>
    <w:rsid w:val="00765F20"/>
    <w:rsid w:val="00766EB6"/>
    <w:rsid w:val="007703A4"/>
    <w:rsid w:val="007707BC"/>
    <w:rsid w:val="00771872"/>
    <w:rsid w:val="00774FC8"/>
    <w:rsid w:val="00775062"/>
    <w:rsid w:val="00775743"/>
    <w:rsid w:val="0078195D"/>
    <w:rsid w:val="00783DEC"/>
    <w:rsid w:val="00787446"/>
    <w:rsid w:val="00795E82"/>
    <w:rsid w:val="007A08F4"/>
    <w:rsid w:val="007A0CBE"/>
    <w:rsid w:val="007A19AC"/>
    <w:rsid w:val="007A1D36"/>
    <w:rsid w:val="007A6575"/>
    <w:rsid w:val="007A7E0D"/>
    <w:rsid w:val="007B47C7"/>
    <w:rsid w:val="007B4B98"/>
    <w:rsid w:val="007C052E"/>
    <w:rsid w:val="007C0703"/>
    <w:rsid w:val="007C6AC5"/>
    <w:rsid w:val="007D0F3A"/>
    <w:rsid w:val="007D1323"/>
    <w:rsid w:val="007D4FF4"/>
    <w:rsid w:val="007D77AB"/>
    <w:rsid w:val="007E21FC"/>
    <w:rsid w:val="007E5C77"/>
    <w:rsid w:val="007F1381"/>
    <w:rsid w:val="008013F6"/>
    <w:rsid w:val="00801F80"/>
    <w:rsid w:val="008029DA"/>
    <w:rsid w:val="008049E3"/>
    <w:rsid w:val="00810080"/>
    <w:rsid w:val="008105D0"/>
    <w:rsid w:val="00812CEE"/>
    <w:rsid w:val="00824618"/>
    <w:rsid w:val="0082488B"/>
    <w:rsid w:val="0082725E"/>
    <w:rsid w:val="00835CA4"/>
    <w:rsid w:val="00837B2E"/>
    <w:rsid w:val="008410E9"/>
    <w:rsid w:val="0084660D"/>
    <w:rsid w:val="00860B3C"/>
    <w:rsid w:val="008610DF"/>
    <w:rsid w:val="00862B30"/>
    <w:rsid w:val="00867EB2"/>
    <w:rsid w:val="00871F88"/>
    <w:rsid w:val="0087285A"/>
    <w:rsid w:val="00875734"/>
    <w:rsid w:val="00881FC3"/>
    <w:rsid w:val="00883988"/>
    <w:rsid w:val="0088553E"/>
    <w:rsid w:val="00885762"/>
    <w:rsid w:val="00890C33"/>
    <w:rsid w:val="00892712"/>
    <w:rsid w:val="00894781"/>
    <w:rsid w:val="008A7F9D"/>
    <w:rsid w:val="008B200D"/>
    <w:rsid w:val="008D170B"/>
    <w:rsid w:val="008D1A99"/>
    <w:rsid w:val="008D2248"/>
    <w:rsid w:val="008D61C9"/>
    <w:rsid w:val="008D6F12"/>
    <w:rsid w:val="008E1419"/>
    <w:rsid w:val="008E2CAA"/>
    <w:rsid w:val="008E6808"/>
    <w:rsid w:val="008E6955"/>
    <w:rsid w:val="008F2586"/>
    <w:rsid w:val="008F25A9"/>
    <w:rsid w:val="008F3D04"/>
    <w:rsid w:val="00903F7B"/>
    <w:rsid w:val="009059E3"/>
    <w:rsid w:val="0092075A"/>
    <w:rsid w:val="009211CD"/>
    <w:rsid w:val="00924983"/>
    <w:rsid w:val="009249DB"/>
    <w:rsid w:val="00924D84"/>
    <w:rsid w:val="00930624"/>
    <w:rsid w:val="009326A3"/>
    <w:rsid w:val="00936274"/>
    <w:rsid w:val="00936920"/>
    <w:rsid w:val="00943FF2"/>
    <w:rsid w:val="009453BB"/>
    <w:rsid w:val="00951370"/>
    <w:rsid w:val="00951380"/>
    <w:rsid w:val="00951B0D"/>
    <w:rsid w:val="00951B3D"/>
    <w:rsid w:val="00952E8B"/>
    <w:rsid w:val="00961462"/>
    <w:rsid w:val="00961F51"/>
    <w:rsid w:val="00961F92"/>
    <w:rsid w:val="0096417D"/>
    <w:rsid w:val="00964355"/>
    <w:rsid w:val="009664AF"/>
    <w:rsid w:val="0096665C"/>
    <w:rsid w:val="009673F2"/>
    <w:rsid w:val="00972E40"/>
    <w:rsid w:val="00974430"/>
    <w:rsid w:val="00975E27"/>
    <w:rsid w:val="00976E2B"/>
    <w:rsid w:val="00982F6B"/>
    <w:rsid w:val="0098306C"/>
    <w:rsid w:val="00987A0D"/>
    <w:rsid w:val="00992FF6"/>
    <w:rsid w:val="00996012"/>
    <w:rsid w:val="00996D75"/>
    <w:rsid w:val="009A06B4"/>
    <w:rsid w:val="009A2779"/>
    <w:rsid w:val="009A3DBB"/>
    <w:rsid w:val="009A4B5D"/>
    <w:rsid w:val="009A734A"/>
    <w:rsid w:val="009A747F"/>
    <w:rsid w:val="009B237B"/>
    <w:rsid w:val="009B34D2"/>
    <w:rsid w:val="009B67AB"/>
    <w:rsid w:val="009C06CE"/>
    <w:rsid w:val="009C197F"/>
    <w:rsid w:val="009C1B94"/>
    <w:rsid w:val="009C1BE9"/>
    <w:rsid w:val="009C21B9"/>
    <w:rsid w:val="009C6853"/>
    <w:rsid w:val="009C6939"/>
    <w:rsid w:val="009C6A6B"/>
    <w:rsid w:val="009C7373"/>
    <w:rsid w:val="009D2B0D"/>
    <w:rsid w:val="009D7757"/>
    <w:rsid w:val="009D7CA5"/>
    <w:rsid w:val="009E1F76"/>
    <w:rsid w:val="009E23F3"/>
    <w:rsid w:val="009E7A9A"/>
    <w:rsid w:val="009F210C"/>
    <w:rsid w:val="009F583F"/>
    <w:rsid w:val="009F5F9D"/>
    <w:rsid w:val="009F6E22"/>
    <w:rsid w:val="009F7BFF"/>
    <w:rsid w:val="00A00F8F"/>
    <w:rsid w:val="00A01B7D"/>
    <w:rsid w:val="00A05F7D"/>
    <w:rsid w:val="00A101B6"/>
    <w:rsid w:val="00A102E4"/>
    <w:rsid w:val="00A10F59"/>
    <w:rsid w:val="00A13CB2"/>
    <w:rsid w:val="00A16680"/>
    <w:rsid w:val="00A22A61"/>
    <w:rsid w:val="00A22E32"/>
    <w:rsid w:val="00A254E8"/>
    <w:rsid w:val="00A257E3"/>
    <w:rsid w:val="00A30740"/>
    <w:rsid w:val="00A32B52"/>
    <w:rsid w:val="00A32E14"/>
    <w:rsid w:val="00A34923"/>
    <w:rsid w:val="00A36BF8"/>
    <w:rsid w:val="00A3716D"/>
    <w:rsid w:val="00A40E2A"/>
    <w:rsid w:val="00A431C4"/>
    <w:rsid w:val="00A453BF"/>
    <w:rsid w:val="00A45ED9"/>
    <w:rsid w:val="00A479C7"/>
    <w:rsid w:val="00A52202"/>
    <w:rsid w:val="00A62513"/>
    <w:rsid w:val="00A62D2C"/>
    <w:rsid w:val="00A62D72"/>
    <w:rsid w:val="00A63FBF"/>
    <w:rsid w:val="00A651A7"/>
    <w:rsid w:val="00A7114C"/>
    <w:rsid w:val="00A74183"/>
    <w:rsid w:val="00A7551D"/>
    <w:rsid w:val="00A80E06"/>
    <w:rsid w:val="00A84102"/>
    <w:rsid w:val="00A84633"/>
    <w:rsid w:val="00A87046"/>
    <w:rsid w:val="00A90F42"/>
    <w:rsid w:val="00A954D3"/>
    <w:rsid w:val="00A96ABE"/>
    <w:rsid w:val="00AA0B33"/>
    <w:rsid w:val="00AA1C90"/>
    <w:rsid w:val="00AA5269"/>
    <w:rsid w:val="00AB00B0"/>
    <w:rsid w:val="00AB4FD8"/>
    <w:rsid w:val="00AC308C"/>
    <w:rsid w:val="00AD28E2"/>
    <w:rsid w:val="00AD3252"/>
    <w:rsid w:val="00AD5741"/>
    <w:rsid w:val="00AE184E"/>
    <w:rsid w:val="00AF0CD6"/>
    <w:rsid w:val="00AF0E67"/>
    <w:rsid w:val="00AF2001"/>
    <w:rsid w:val="00AF711A"/>
    <w:rsid w:val="00B0343B"/>
    <w:rsid w:val="00B036EA"/>
    <w:rsid w:val="00B15A69"/>
    <w:rsid w:val="00B2247A"/>
    <w:rsid w:val="00B2668D"/>
    <w:rsid w:val="00B27362"/>
    <w:rsid w:val="00B30B94"/>
    <w:rsid w:val="00B3120C"/>
    <w:rsid w:val="00B332CA"/>
    <w:rsid w:val="00B34816"/>
    <w:rsid w:val="00B34E9A"/>
    <w:rsid w:val="00B41221"/>
    <w:rsid w:val="00B45AE8"/>
    <w:rsid w:val="00B46593"/>
    <w:rsid w:val="00B47412"/>
    <w:rsid w:val="00B51057"/>
    <w:rsid w:val="00B560D5"/>
    <w:rsid w:val="00B64324"/>
    <w:rsid w:val="00B644E5"/>
    <w:rsid w:val="00B64A87"/>
    <w:rsid w:val="00B67713"/>
    <w:rsid w:val="00B710D1"/>
    <w:rsid w:val="00B7670E"/>
    <w:rsid w:val="00B76D9B"/>
    <w:rsid w:val="00B811B7"/>
    <w:rsid w:val="00B817EA"/>
    <w:rsid w:val="00B841DF"/>
    <w:rsid w:val="00B86440"/>
    <w:rsid w:val="00B91748"/>
    <w:rsid w:val="00B92B41"/>
    <w:rsid w:val="00B948AC"/>
    <w:rsid w:val="00BA19EB"/>
    <w:rsid w:val="00BA22B4"/>
    <w:rsid w:val="00BA4A49"/>
    <w:rsid w:val="00BA4EBD"/>
    <w:rsid w:val="00BA716C"/>
    <w:rsid w:val="00BA795A"/>
    <w:rsid w:val="00BB5B5C"/>
    <w:rsid w:val="00BB6B51"/>
    <w:rsid w:val="00BC71F2"/>
    <w:rsid w:val="00BD043A"/>
    <w:rsid w:val="00BD3EDD"/>
    <w:rsid w:val="00BD7203"/>
    <w:rsid w:val="00BE0048"/>
    <w:rsid w:val="00BE1D7D"/>
    <w:rsid w:val="00BE54D9"/>
    <w:rsid w:val="00BE7E55"/>
    <w:rsid w:val="00BF0190"/>
    <w:rsid w:val="00C01D2C"/>
    <w:rsid w:val="00C03C78"/>
    <w:rsid w:val="00C06084"/>
    <w:rsid w:val="00C1136E"/>
    <w:rsid w:val="00C1321A"/>
    <w:rsid w:val="00C17577"/>
    <w:rsid w:val="00C27BD3"/>
    <w:rsid w:val="00C305BD"/>
    <w:rsid w:val="00C3271A"/>
    <w:rsid w:val="00C40D08"/>
    <w:rsid w:val="00C424E9"/>
    <w:rsid w:val="00C43E8C"/>
    <w:rsid w:val="00C45A15"/>
    <w:rsid w:val="00C523A8"/>
    <w:rsid w:val="00C552E4"/>
    <w:rsid w:val="00C5740A"/>
    <w:rsid w:val="00C57ABD"/>
    <w:rsid w:val="00C6005E"/>
    <w:rsid w:val="00C62DDF"/>
    <w:rsid w:val="00C64A16"/>
    <w:rsid w:val="00C653AF"/>
    <w:rsid w:val="00C659A7"/>
    <w:rsid w:val="00C71251"/>
    <w:rsid w:val="00C71A75"/>
    <w:rsid w:val="00C77A86"/>
    <w:rsid w:val="00C82E29"/>
    <w:rsid w:val="00C82EE8"/>
    <w:rsid w:val="00C83CEF"/>
    <w:rsid w:val="00C864BA"/>
    <w:rsid w:val="00C87238"/>
    <w:rsid w:val="00C90303"/>
    <w:rsid w:val="00C90F5C"/>
    <w:rsid w:val="00C927DF"/>
    <w:rsid w:val="00C92B63"/>
    <w:rsid w:val="00C97617"/>
    <w:rsid w:val="00CA149E"/>
    <w:rsid w:val="00CA3B12"/>
    <w:rsid w:val="00CA5046"/>
    <w:rsid w:val="00CB221E"/>
    <w:rsid w:val="00CB3003"/>
    <w:rsid w:val="00CB7A05"/>
    <w:rsid w:val="00CC1F65"/>
    <w:rsid w:val="00CE06C7"/>
    <w:rsid w:val="00CE20F1"/>
    <w:rsid w:val="00CE2F99"/>
    <w:rsid w:val="00CE4ACD"/>
    <w:rsid w:val="00CF44B0"/>
    <w:rsid w:val="00D00EDB"/>
    <w:rsid w:val="00D042AF"/>
    <w:rsid w:val="00D04D9D"/>
    <w:rsid w:val="00D05DF6"/>
    <w:rsid w:val="00D134F7"/>
    <w:rsid w:val="00D20BFC"/>
    <w:rsid w:val="00D260AB"/>
    <w:rsid w:val="00D27B2E"/>
    <w:rsid w:val="00D30463"/>
    <w:rsid w:val="00D4028C"/>
    <w:rsid w:val="00D44CA4"/>
    <w:rsid w:val="00D51742"/>
    <w:rsid w:val="00D5548A"/>
    <w:rsid w:val="00D56956"/>
    <w:rsid w:val="00D60C23"/>
    <w:rsid w:val="00D647EA"/>
    <w:rsid w:val="00D64977"/>
    <w:rsid w:val="00D65A3B"/>
    <w:rsid w:val="00D718B4"/>
    <w:rsid w:val="00D72A2F"/>
    <w:rsid w:val="00D771CA"/>
    <w:rsid w:val="00D84D55"/>
    <w:rsid w:val="00D87452"/>
    <w:rsid w:val="00D87FFA"/>
    <w:rsid w:val="00D902F1"/>
    <w:rsid w:val="00D92336"/>
    <w:rsid w:val="00D96CD5"/>
    <w:rsid w:val="00DA0811"/>
    <w:rsid w:val="00DB2BA2"/>
    <w:rsid w:val="00DB46DF"/>
    <w:rsid w:val="00DB4E16"/>
    <w:rsid w:val="00DB5418"/>
    <w:rsid w:val="00DB69CF"/>
    <w:rsid w:val="00DB6DAB"/>
    <w:rsid w:val="00DC0F8C"/>
    <w:rsid w:val="00DC40C2"/>
    <w:rsid w:val="00DD26DF"/>
    <w:rsid w:val="00DD2E18"/>
    <w:rsid w:val="00DE021C"/>
    <w:rsid w:val="00DE0964"/>
    <w:rsid w:val="00DE0F28"/>
    <w:rsid w:val="00DE6541"/>
    <w:rsid w:val="00DE7DE8"/>
    <w:rsid w:val="00DF3BDA"/>
    <w:rsid w:val="00DF51A6"/>
    <w:rsid w:val="00DF52E0"/>
    <w:rsid w:val="00DF7574"/>
    <w:rsid w:val="00E007AA"/>
    <w:rsid w:val="00E03487"/>
    <w:rsid w:val="00E03DC2"/>
    <w:rsid w:val="00E04288"/>
    <w:rsid w:val="00E04F1B"/>
    <w:rsid w:val="00E0546A"/>
    <w:rsid w:val="00E217E8"/>
    <w:rsid w:val="00E21A75"/>
    <w:rsid w:val="00E2285A"/>
    <w:rsid w:val="00E25839"/>
    <w:rsid w:val="00E3025D"/>
    <w:rsid w:val="00E35458"/>
    <w:rsid w:val="00E4444A"/>
    <w:rsid w:val="00E50388"/>
    <w:rsid w:val="00E52E87"/>
    <w:rsid w:val="00E53B40"/>
    <w:rsid w:val="00E559BD"/>
    <w:rsid w:val="00E60ACB"/>
    <w:rsid w:val="00E629A1"/>
    <w:rsid w:val="00E62EA8"/>
    <w:rsid w:val="00E63170"/>
    <w:rsid w:val="00E63EF0"/>
    <w:rsid w:val="00E64A6D"/>
    <w:rsid w:val="00E72A73"/>
    <w:rsid w:val="00E72B97"/>
    <w:rsid w:val="00E73A60"/>
    <w:rsid w:val="00E75919"/>
    <w:rsid w:val="00E77028"/>
    <w:rsid w:val="00E85616"/>
    <w:rsid w:val="00E92EDD"/>
    <w:rsid w:val="00E93555"/>
    <w:rsid w:val="00E94FB2"/>
    <w:rsid w:val="00E96167"/>
    <w:rsid w:val="00EA4325"/>
    <w:rsid w:val="00EA4769"/>
    <w:rsid w:val="00EA5780"/>
    <w:rsid w:val="00EB0B7E"/>
    <w:rsid w:val="00EB2DDB"/>
    <w:rsid w:val="00EB350F"/>
    <w:rsid w:val="00EB6D1D"/>
    <w:rsid w:val="00EC08EC"/>
    <w:rsid w:val="00EC0F35"/>
    <w:rsid w:val="00EC1A49"/>
    <w:rsid w:val="00EC603C"/>
    <w:rsid w:val="00ED6D78"/>
    <w:rsid w:val="00ED7148"/>
    <w:rsid w:val="00EE235A"/>
    <w:rsid w:val="00EE2B26"/>
    <w:rsid w:val="00EE2F43"/>
    <w:rsid w:val="00EE72CA"/>
    <w:rsid w:val="00EE73D2"/>
    <w:rsid w:val="00EF0733"/>
    <w:rsid w:val="00EF0DFA"/>
    <w:rsid w:val="00EF390C"/>
    <w:rsid w:val="00EF4FF8"/>
    <w:rsid w:val="00EF5BEE"/>
    <w:rsid w:val="00EF68FB"/>
    <w:rsid w:val="00EF75C3"/>
    <w:rsid w:val="00EF7C55"/>
    <w:rsid w:val="00F0093F"/>
    <w:rsid w:val="00F03F33"/>
    <w:rsid w:val="00F04F74"/>
    <w:rsid w:val="00F067EF"/>
    <w:rsid w:val="00F15F96"/>
    <w:rsid w:val="00F248B4"/>
    <w:rsid w:val="00F24DD3"/>
    <w:rsid w:val="00F27A2B"/>
    <w:rsid w:val="00F30B6B"/>
    <w:rsid w:val="00F31EC4"/>
    <w:rsid w:val="00F33D23"/>
    <w:rsid w:val="00F37B74"/>
    <w:rsid w:val="00F428CC"/>
    <w:rsid w:val="00F42B5F"/>
    <w:rsid w:val="00F432DA"/>
    <w:rsid w:val="00F47D68"/>
    <w:rsid w:val="00F5182F"/>
    <w:rsid w:val="00F62A5B"/>
    <w:rsid w:val="00F63453"/>
    <w:rsid w:val="00F65467"/>
    <w:rsid w:val="00F75108"/>
    <w:rsid w:val="00F80378"/>
    <w:rsid w:val="00F81A1C"/>
    <w:rsid w:val="00F821AA"/>
    <w:rsid w:val="00F8334F"/>
    <w:rsid w:val="00F84843"/>
    <w:rsid w:val="00F875EB"/>
    <w:rsid w:val="00F91EAB"/>
    <w:rsid w:val="00F95C11"/>
    <w:rsid w:val="00F97730"/>
    <w:rsid w:val="00FA69B2"/>
    <w:rsid w:val="00FB129A"/>
    <w:rsid w:val="00FB1C14"/>
    <w:rsid w:val="00FB351B"/>
    <w:rsid w:val="00FB4CE2"/>
    <w:rsid w:val="00FC3997"/>
    <w:rsid w:val="00FC3D57"/>
    <w:rsid w:val="00FC4274"/>
    <w:rsid w:val="00FC4F81"/>
    <w:rsid w:val="00FD0569"/>
    <w:rsid w:val="00FD0668"/>
    <w:rsid w:val="00FD339F"/>
    <w:rsid w:val="00FD595A"/>
    <w:rsid w:val="00FD7F3B"/>
    <w:rsid w:val="00FE6F84"/>
    <w:rsid w:val="00FE7ECE"/>
    <w:rsid w:val="00FF26C0"/>
    <w:rsid w:val="00FF492A"/>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70658">
      <o:colormenu v:ext="edit" fillcolor="none [3215]" strokecolor="none" shadowcolor="none [16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2033"/>
  </w:style>
  <w:style w:type="paragraph" w:styleId="Heading1">
    <w:name w:val="heading 1"/>
    <w:basedOn w:val="Normal"/>
    <w:next w:val="Normal"/>
    <w:link w:val="Heading1Char"/>
    <w:uiPriority w:val="9"/>
    <w:qFormat/>
    <w:rsid w:val="000B345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autoRedefine/>
    <w:uiPriority w:val="9"/>
    <w:unhideWhenUsed/>
    <w:qFormat/>
    <w:rsid w:val="0088553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autoRedefine/>
    <w:uiPriority w:val="9"/>
    <w:unhideWhenUsed/>
    <w:qFormat/>
    <w:rsid w:val="000B3455"/>
    <w:pPr>
      <w:keepNext/>
      <w:keepLines/>
      <w:spacing w:before="200" w:after="0"/>
      <w:outlineLvl w:val="2"/>
    </w:pPr>
    <w:rPr>
      <w:rFonts w:asciiTheme="majorHAnsi" w:eastAsiaTheme="majorEastAsia" w:hAnsiTheme="majorHAnsi" w:cstheme="majorBidi"/>
      <w:b/>
      <w:bCs/>
      <w:i/>
      <w:color w:val="548DD4" w:themeColor="text2" w:themeTint="99"/>
    </w:rPr>
  </w:style>
  <w:style w:type="paragraph" w:styleId="Heading4">
    <w:name w:val="heading 4"/>
    <w:basedOn w:val="Normal"/>
    <w:next w:val="Normal"/>
    <w:link w:val="Heading4Char"/>
    <w:uiPriority w:val="9"/>
    <w:unhideWhenUsed/>
    <w:qFormat/>
    <w:rsid w:val="000B3455"/>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0B3455"/>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0B3455"/>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0B3455"/>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0B3455"/>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0B3455"/>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F5B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5BEE"/>
    <w:rPr>
      <w:rFonts w:ascii="Tahoma" w:hAnsi="Tahoma" w:cs="Tahoma"/>
      <w:sz w:val="16"/>
      <w:szCs w:val="16"/>
    </w:rPr>
  </w:style>
  <w:style w:type="paragraph" w:styleId="ListParagraph">
    <w:name w:val="List Paragraph"/>
    <w:basedOn w:val="Normal"/>
    <w:uiPriority w:val="34"/>
    <w:qFormat/>
    <w:rsid w:val="000B3455"/>
    <w:pPr>
      <w:ind w:left="720"/>
      <w:contextualSpacing/>
    </w:pPr>
  </w:style>
  <w:style w:type="paragraph" w:styleId="FootnoteText">
    <w:name w:val="footnote text"/>
    <w:basedOn w:val="Normal"/>
    <w:link w:val="FootnoteTextChar"/>
    <w:uiPriority w:val="99"/>
    <w:semiHidden/>
    <w:unhideWhenUsed/>
    <w:rsid w:val="00EF5BE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F5BEE"/>
    <w:rPr>
      <w:sz w:val="20"/>
      <w:szCs w:val="20"/>
    </w:rPr>
  </w:style>
  <w:style w:type="character" w:styleId="FootnoteReference">
    <w:name w:val="footnote reference"/>
    <w:basedOn w:val="DefaultParagraphFont"/>
    <w:uiPriority w:val="99"/>
    <w:semiHidden/>
    <w:unhideWhenUsed/>
    <w:rsid w:val="00EF5BEE"/>
    <w:rPr>
      <w:vertAlign w:val="superscript"/>
    </w:rPr>
  </w:style>
  <w:style w:type="table" w:styleId="TableGrid">
    <w:name w:val="Table Grid"/>
    <w:basedOn w:val="TableNormal"/>
    <w:uiPriority w:val="59"/>
    <w:rsid w:val="00EF5B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EF5B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5BEE"/>
  </w:style>
  <w:style w:type="paragraph" w:styleId="Footer">
    <w:name w:val="footer"/>
    <w:basedOn w:val="Normal"/>
    <w:link w:val="FooterChar"/>
    <w:uiPriority w:val="99"/>
    <w:unhideWhenUsed/>
    <w:rsid w:val="00EF5B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5BEE"/>
  </w:style>
  <w:style w:type="character" w:styleId="PlaceholderText">
    <w:name w:val="Placeholder Text"/>
    <w:basedOn w:val="DefaultParagraphFont"/>
    <w:uiPriority w:val="99"/>
    <w:semiHidden/>
    <w:rsid w:val="009C6A6B"/>
    <w:rPr>
      <w:color w:val="808080"/>
    </w:rPr>
  </w:style>
  <w:style w:type="character" w:styleId="Hyperlink">
    <w:name w:val="Hyperlink"/>
    <w:basedOn w:val="DefaultParagraphFont"/>
    <w:uiPriority w:val="99"/>
    <w:unhideWhenUsed/>
    <w:rsid w:val="003D5369"/>
    <w:rPr>
      <w:color w:val="0000FF" w:themeColor="hyperlink"/>
      <w:u w:val="single"/>
    </w:rPr>
  </w:style>
  <w:style w:type="table" w:customStyle="1" w:styleId="LightList-Accent11">
    <w:name w:val="Light List - Accent 11"/>
    <w:basedOn w:val="TableNormal"/>
    <w:uiPriority w:val="61"/>
    <w:rsid w:val="00C90F5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Revision">
    <w:name w:val="Revision"/>
    <w:hidden/>
    <w:uiPriority w:val="99"/>
    <w:semiHidden/>
    <w:rsid w:val="003F3B9E"/>
    <w:pPr>
      <w:spacing w:after="0" w:line="240" w:lineRule="auto"/>
    </w:pPr>
  </w:style>
  <w:style w:type="paragraph" w:styleId="Caption">
    <w:name w:val="caption"/>
    <w:basedOn w:val="Normal"/>
    <w:next w:val="Normal"/>
    <w:uiPriority w:val="35"/>
    <w:unhideWhenUsed/>
    <w:qFormat/>
    <w:rsid w:val="000B3455"/>
    <w:pPr>
      <w:spacing w:line="240" w:lineRule="auto"/>
    </w:pPr>
    <w:rPr>
      <w:b/>
      <w:bCs/>
      <w:color w:val="4F81BD" w:themeColor="accent1"/>
      <w:sz w:val="18"/>
      <w:szCs w:val="18"/>
    </w:rPr>
  </w:style>
  <w:style w:type="paragraph" w:styleId="NoSpacing">
    <w:name w:val="No Spacing"/>
    <w:link w:val="NoSpacingChar"/>
    <w:uiPriority w:val="1"/>
    <w:qFormat/>
    <w:rsid w:val="000B3455"/>
    <w:pPr>
      <w:spacing w:after="0" w:line="240" w:lineRule="auto"/>
    </w:pPr>
  </w:style>
  <w:style w:type="character" w:customStyle="1" w:styleId="Heading1Char">
    <w:name w:val="Heading 1 Char"/>
    <w:basedOn w:val="DefaultParagraphFont"/>
    <w:link w:val="Heading1"/>
    <w:uiPriority w:val="9"/>
    <w:rsid w:val="000B3455"/>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88553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0B3455"/>
    <w:rPr>
      <w:rFonts w:asciiTheme="majorHAnsi" w:eastAsiaTheme="majorEastAsia" w:hAnsiTheme="majorHAnsi" w:cstheme="majorBidi"/>
      <w:b/>
      <w:bCs/>
      <w:i/>
      <w:color w:val="548DD4" w:themeColor="text2" w:themeTint="99"/>
    </w:rPr>
  </w:style>
  <w:style w:type="character" w:styleId="FollowedHyperlink">
    <w:name w:val="FollowedHyperlink"/>
    <w:basedOn w:val="DefaultParagraphFont"/>
    <w:uiPriority w:val="99"/>
    <w:semiHidden/>
    <w:unhideWhenUsed/>
    <w:rsid w:val="00C305BD"/>
    <w:rPr>
      <w:color w:val="800080" w:themeColor="followedHyperlink"/>
      <w:u w:val="single"/>
    </w:rPr>
  </w:style>
  <w:style w:type="paragraph" w:styleId="Bibliography">
    <w:name w:val="Bibliography"/>
    <w:basedOn w:val="Normal"/>
    <w:next w:val="Normal"/>
    <w:uiPriority w:val="37"/>
    <w:unhideWhenUsed/>
    <w:rsid w:val="00E629A1"/>
  </w:style>
  <w:style w:type="character" w:customStyle="1" w:styleId="Heading4Char">
    <w:name w:val="Heading 4 Char"/>
    <w:basedOn w:val="DefaultParagraphFont"/>
    <w:link w:val="Heading4"/>
    <w:uiPriority w:val="9"/>
    <w:rsid w:val="000B3455"/>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0B3455"/>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sid w:val="000B3455"/>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rsid w:val="000B3455"/>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0B3455"/>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rsid w:val="000B3455"/>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0B345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B3455"/>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0B345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0B3455"/>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0B3455"/>
    <w:rPr>
      <w:b/>
      <w:bCs/>
    </w:rPr>
  </w:style>
  <w:style w:type="character" w:styleId="Emphasis">
    <w:name w:val="Emphasis"/>
    <w:basedOn w:val="DefaultParagraphFont"/>
    <w:uiPriority w:val="20"/>
    <w:qFormat/>
    <w:rsid w:val="000B3455"/>
    <w:rPr>
      <w:i/>
      <w:iCs/>
    </w:rPr>
  </w:style>
  <w:style w:type="character" w:customStyle="1" w:styleId="NoSpacingChar">
    <w:name w:val="No Spacing Char"/>
    <w:basedOn w:val="DefaultParagraphFont"/>
    <w:link w:val="NoSpacing"/>
    <w:uiPriority w:val="1"/>
    <w:rsid w:val="000B3455"/>
  </w:style>
  <w:style w:type="paragraph" w:styleId="Quote">
    <w:name w:val="Quote"/>
    <w:basedOn w:val="Normal"/>
    <w:next w:val="Normal"/>
    <w:link w:val="QuoteChar"/>
    <w:uiPriority w:val="29"/>
    <w:qFormat/>
    <w:rsid w:val="000B3455"/>
    <w:rPr>
      <w:i/>
      <w:iCs/>
      <w:color w:val="000000" w:themeColor="text1"/>
    </w:rPr>
  </w:style>
  <w:style w:type="character" w:customStyle="1" w:styleId="QuoteChar">
    <w:name w:val="Quote Char"/>
    <w:basedOn w:val="DefaultParagraphFont"/>
    <w:link w:val="Quote"/>
    <w:uiPriority w:val="29"/>
    <w:rsid w:val="000B3455"/>
    <w:rPr>
      <w:i/>
      <w:iCs/>
      <w:color w:val="000000" w:themeColor="text1"/>
    </w:rPr>
  </w:style>
  <w:style w:type="paragraph" w:styleId="IntenseQuote">
    <w:name w:val="Intense Quote"/>
    <w:basedOn w:val="Normal"/>
    <w:next w:val="Normal"/>
    <w:link w:val="IntenseQuoteChar"/>
    <w:uiPriority w:val="30"/>
    <w:qFormat/>
    <w:rsid w:val="000B345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0B3455"/>
    <w:rPr>
      <w:b/>
      <w:bCs/>
      <w:i/>
      <w:iCs/>
      <w:color w:val="4F81BD" w:themeColor="accent1"/>
    </w:rPr>
  </w:style>
  <w:style w:type="character" w:styleId="SubtleEmphasis">
    <w:name w:val="Subtle Emphasis"/>
    <w:basedOn w:val="DefaultParagraphFont"/>
    <w:uiPriority w:val="19"/>
    <w:qFormat/>
    <w:rsid w:val="000B3455"/>
    <w:rPr>
      <w:i/>
      <w:iCs/>
      <w:color w:val="808080" w:themeColor="text1" w:themeTint="7F"/>
    </w:rPr>
  </w:style>
  <w:style w:type="character" w:styleId="IntenseEmphasis">
    <w:name w:val="Intense Emphasis"/>
    <w:basedOn w:val="DefaultParagraphFont"/>
    <w:uiPriority w:val="21"/>
    <w:qFormat/>
    <w:rsid w:val="000B3455"/>
    <w:rPr>
      <w:b/>
      <w:bCs/>
      <w:i/>
      <w:iCs/>
      <w:color w:val="4F81BD" w:themeColor="accent1"/>
    </w:rPr>
  </w:style>
  <w:style w:type="character" w:styleId="SubtleReference">
    <w:name w:val="Subtle Reference"/>
    <w:basedOn w:val="DefaultParagraphFont"/>
    <w:uiPriority w:val="31"/>
    <w:qFormat/>
    <w:rsid w:val="000B3455"/>
    <w:rPr>
      <w:smallCaps/>
      <w:color w:val="C0504D" w:themeColor="accent2"/>
      <w:u w:val="single"/>
    </w:rPr>
  </w:style>
  <w:style w:type="character" w:styleId="IntenseReference">
    <w:name w:val="Intense Reference"/>
    <w:basedOn w:val="DefaultParagraphFont"/>
    <w:uiPriority w:val="32"/>
    <w:qFormat/>
    <w:rsid w:val="000B3455"/>
    <w:rPr>
      <w:b/>
      <w:bCs/>
      <w:smallCaps/>
      <w:color w:val="C0504D" w:themeColor="accent2"/>
      <w:spacing w:val="5"/>
      <w:u w:val="single"/>
    </w:rPr>
  </w:style>
  <w:style w:type="character" w:styleId="BookTitle">
    <w:name w:val="Book Title"/>
    <w:basedOn w:val="DefaultParagraphFont"/>
    <w:uiPriority w:val="33"/>
    <w:qFormat/>
    <w:rsid w:val="000B3455"/>
    <w:rPr>
      <w:b/>
      <w:bCs/>
      <w:smallCaps/>
      <w:spacing w:val="5"/>
    </w:rPr>
  </w:style>
  <w:style w:type="paragraph" w:styleId="TOCHeading">
    <w:name w:val="TOC Heading"/>
    <w:basedOn w:val="Heading1"/>
    <w:next w:val="Normal"/>
    <w:uiPriority w:val="39"/>
    <w:semiHidden/>
    <w:unhideWhenUsed/>
    <w:qFormat/>
    <w:rsid w:val="000B3455"/>
    <w:pPr>
      <w:outlineLvl w:val="9"/>
    </w:pPr>
  </w:style>
  <w:style w:type="paragraph" w:customStyle="1" w:styleId="Kop1Thesis">
    <w:name w:val="Kop 1 Thesis"/>
    <w:basedOn w:val="Heading1"/>
    <w:link w:val="Kop1ThesisChar"/>
    <w:autoRedefine/>
    <w:qFormat/>
    <w:rsid w:val="00ED7148"/>
    <w:pPr>
      <w:pBdr>
        <w:bottom w:val="single" w:sz="12" w:space="0" w:color="365F91" w:themeColor="accent1" w:themeShade="BF"/>
      </w:pBdr>
    </w:pPr>
    <w:rPr>
      <w:rFonts w:asciiTheme="minorHAnsi" w:hAnsiTheme="minorHAnsi"/>
      <w:szCs w:val="22"/>
    </w:rPr>
  </w:style>
  <w:style w:type="paragraph" w:customStyle="1" w:styleId="AppendicesThesis">
    <w:name w:val="Appendices Thesis"/>
    <w:basedOn w:val="Kop1Thesis"/>
    <w:link w:val="AppendicesThesisChar"/>
    <w:qFormat/>
    <w:rsid w:val="00FB129A"/>
  </w:style>
  <w:style w:type="character" w:customStyle="1" w:styleId="Kop1ThesisChar">
    <w:name w:val="Kop 1 Thesis Char"/>
    <w:basedOn w:val="Heading1Char"/>
    <w:link w:val="Kop1Thesis"/>
    <w:rsid w:val="00ED7148"/>
    <w:rPr>
      <w:b/>
      <w:bCs/>
    </w:rPr>
  </w:style>
  <w:style w:type="character" w:customStyle="1" w:styleId="AppendicesThesisChar">
    <w:name w:val="Appendices Thesis Char"/>
    <w:basedOn w:val="Kop1ThesisChar"/>
    <w:link w:val="AppendicesThesis"/>
    <w:rsid w:val="00FB129A"/>
  </w:style>
  <w:style w:type="paragraph" w:styleId="TOC1">
    <w:name w:val="toc 1"/>
    <w:basedOn w:val="Normal"/>
    <w:next w:val="Normal"/>
    <w:autoRedefine/>
    <w:uiPriority w:val="39"/>
    <w:unhideWhenUsed/>
    <w:rsid w:val="00ED7148"/>
    <w:pPr>
      <w:tabs>
        <w:tab w:val="right" w:leader="dot" w:pos="9350"/>
      </w:tabs>
      <w:spacing w:before="120" w:after="120"/>
    </w:pPr>
    <w:rPr>
      <w:b/>
      <w:bCs/>
      <w:caps/>
      <w:noProof/>
      <w:color w:val="1F497D" w:themeColor="text2"/>
      <w:sz w:val="20"/>
      <w:szCs w:val="20"/>
    </w:rPr>
  </w:style>
  <w:style w:type="paragraph" w:styleId="TOC2">
    <w:name w:val="toc 2"/>
    <w:basedOn w:val="Normal"/>
    <w:next w:val="Normal"/>
    <w:autoRedefine/>
    <w:uiPriority w:val="39"/>
    <w:unhideWhenUsed/>
    <w:rsid w:val="00ED7148"/>
    <w:pPr>
      <w:spacing w:after="0"/>
      <w:ind w:left="220"/>
    </w:pPr>
    <w:rPr>
      <w:smallCaps/>
      <w:sz w:val="20"/>
      <w:szCs w:val="20"/>
    </w:rPr>
  </w:style>
  <w:style w:type="paragraph" w:styleId="TOC3">
    <w:name w:val="toc 3"/>
    <w:basedOn w:val="Normal"/>
    <w:next w:val="Normal"/>
    <w:autoRedefine/>
    <w:uiPriority w:val="39"/>
    <w:unhideWhenUsed/>
    <w:rsid w:val="00ED7148"/>
    <w:pPr>
      <w:spacing w:after="0"/>
      <w:ind w:left="440"/>
    </w:pPr>
    <w:rPr>
      <w:i/>
      <w:iCs/>
      <w:sz w:val="20"/>
      <w:szCs w:val="20"/>
    </w:rPr>
  </w:style>
  <w:style w:type="paragraph" w:styleId="TOC4">
    <w:name w:val="toc 4"/>
    <w:basedOn w:val="Normal"/>
    <w:next w:val="Normal"/>
    <w:autoRedefine/>
    <w:uiPriority w:val="39"/>
    <w:unhideWhenUsed/>
    <w:rsid w:val="00ED7148"/>
    <w:pPr>
      <w:spacing w:after="0"/>
      <w:ind w:left="660"/>
    </w:pPr>
    <w:rPr>
      <w:sz w:val="18"/>
      <w:szCs w:val="18"/>
    </w:rPr>
  </w:style>
  <w:style w:type="paragraph" w:styleId="TOC5">
    <w:name w:val="toc 5"/>
    <w:basedOn w:val="Normal"/>
    <w:next w:val="Normal"/>
    <w:autoRedefine/>
    <w:uiPriority w:val="39"/>
    <w:unhideWhenUsed/>
    <w:rsid w:val="00ED7148"/>
    <w:pPr>
      <w:spacing w:after="0"/>
      <w:ind w:left="880"/>
    </w:pPr>
    <w:rPr>
      <w:sz w:val="18"/>
      <w:szCs w:val="18"/>
    </w:rPr>
  </w:style>
  <w:style w:type="paragraph" w:styleId="TOC6">
    <w:name w:val="toc 6"/>
    <w:basedOn w:val="Normal"/>
    <w:next w:val="Normal"/>
    <w:autoRedefine/>
    <w:uiPriority w:val="39"/>
    <w:unhideWhenUsed/>
    <w:rsid w:val="00ED7148"/>
    <w:pPr>
      <w:spacing w:after="0"/>
      <w:ind w:left="1100"/>
    </w:pPr>
    <w:rPr>
      <w:sz w:val="18"/>
      <w:szCs w:val="18"/>
    </w:rPr>
  </w:style>
  <w:style w:type="paragraph" w:styleId="TOC7">
    <w:name w:val="toc 7"/>
    <w:basedOn w:val="Normal"/>
    <w:next w:val="Normal"/>
    <w:autoRedefine/>
    <w:uiPriority w:val="39"/>
    <w:unhideWhenUsed/>
    <w:rsid w:val="00ED7148"/>
    <w:pPr>
      <w:spacing w:after="0"/>
      <w:ind w:left="1320"/>
    </w:pPr>
    <w:rPr>
      <w:sz w:val="18"/>
      <w:szCs w:val="18"/>
    </w:rPr>
  </w:style>
  <w:style w:type="paragraph" w:styleId="TOC8">
    <w:name w:val="toc 8"/>
    <w:basedOn w:val="Normal"/>
    <w:next w:val="Normal"/>
    <w:autoRedefine/>
    <w:uiPriority w:val="39"/>
    <w:unhideWhenUsed/>
    <w:rsid w:val="00ED7148"/>
    <w:pPr>
      <w:spacing w:after="0"/>
      <w:ind w:left="1540"/>
    </w:pPr>
    <w:rPr>
      <w:sz w:val="18"/>
      <w:szCs w:val="18"/>
    </w:rPr>
  </w:style>
  <w:style w:type="paragraph" w:styleId="TOC9">
    <w:name w:val="toc 9"/>
    <w:basedOn w:val="Normal"/>
    <w:next w:val="Normal"/>
    <w:autoRedefine/>
    <w:uiPriority w:val="39"/>
    <w:unhideWhenUsed/>
    <w:rsid w:val="00ED7148"/>
    <w:pPr>
      <w:spacing w:after="0"/>
      <w:ind w:left="1760"/>
    </w:pPr>
    <w:rPr>
      <w:sz w:val="18"/>
      <w:szCs w:val="18"/>
    </w:rPr>
  </w:style>
  <w:style w:type="table" w:customStyle="1" w:styleId="Gemiddeldelijst1-accent11">
    <w:name w:val="Gemiddelde lijst 1 - accent 11"/>
    <w:basedOn w:val="TableNormal"/>
    <w:uiPriority w:val="65"/>
    <w:rsid w:val="004B4F28"/>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customStyle="1" w:styleId="Gemiddeldearcering1-accent11">
    <w:name w:val="Gemiddelde arcering 1 - accent 11"/>
    <w:basedOn w:val="TableNormal"/>
    <w:uiPriority w:val="63"/>
    <w:rsid w:val="004F693F"/>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s>
</file>

<file path=word/webSettings.xml><?xml version="1.0" encoding="utf-8"?>
<w:webSettings xmlns:r="http://schemas.openxmlformats.org/officeDocument/2006/relationships" xmlns:w="http://schemas.openxmlformats.org/wordprocessingml/2006/main">
  <w:divs>
    <w:div w:id="648675707">
      <w:bodyDiv w:val="1"/>
      <w:marLeft w:val="0"/>
      <w:marRight w:val="0"/>
      <w:marTop w:val="0"/>
      <w:marBottom w:val="0"/>
      <w:divBdr>
        <w:top w:val="none" w:sz="0" w:space="0" w:color="auto"/>
        <w:left w:val="none" w:sz="0" w:space="0" w:color="auto"/>
        <w:bottom w:val="none" w:sz="0" w:space="0" w:color="auto"/>
        <w:right w:val="none" w:sz="0" w:space="0" w:color="auto"/>
      </w:divBdr>
    </w:div>
    <w:div w:id="855997041">
      <w:bodyDiv w:val="1"/>
      <w:marLeft w:val="0"/>
      <w:marRight w:val="0"/>
      <w:marTop w:val="0"/>
      <w:marBottom w:val="0"/>
      <w:divBdr>
        <w:top w:val="none" w:sz="0" w:space="0" w:color="auto"/>
        <w:left w:val="none" w:sz="0" w:space="0" w:color="auto"/>
        <w:bottom w:val="none" w:sz="0" w:space="0" w:color="auto"/>
        <w:right w:val="none" w:sz="0" w:space="0" w:color="auto"/>
      </w:divBdr>
    </w:div>
    <w:div w:id="966164452">
      <w:bodyDiv w:val="1"/>
      <w:marLeft w:val="0"/>
      <w:marRight w:val="0"/>
      <w:marTop w:val="0"/>
      <w:marBottom w:val="0"/>
      <w:divBdr>
        <w:top w:val="none" w:sz="0" w:space="0" w:color="auto"/>
        <w:left w:val="none" w:sz="0" w:space="0" w:color="auto"/>
        <w:bottom w:val="none" w:sz="0" w:space="0" w:color="auto"/>
        <w:right w:val="none" w:sz="0" w:space="0" w:color="auto"/>
      </w:divBdr>
    </w:div>
    <w:div w:id="1024943495">
      <w:bodyDiv w:val="1"/>
      <w:marLeft w:val="0"/>
      <w:marRight w:val="0"/>
      <w:marTop w:val="0"/>
      <w:marBottom w:val="0"/>
      <w:divBdr>
        <w:top w:val="none" w:sz="0" w:space="0" w:color="auto"/>
        <w:left w:val="none" w:sz="0" w:space="0" w:color="auto"/>
        <w:bottom w:val="none" w:sz="0" w:space="0" w:color="auto"/>
        <w:right w:val="none" w:sz="0" w:space="0" w:color="auto"/>
      </w:divBdr>
    </w:div>
    <w:div w:id="1297489998">
      <w:bodyDiv w:val="1"/>
      <w:marLeft w:val="0"/>
      <w:marRight w:val="0"/>
      <w:marTop w:val="0"/>
      <w:marBottom w:val="0"/>
      <w:divBdr>
        <w:top w:val="none" w:sz="0" w:space="0" w:color="auto"/>
        <w:left w:val="none" w:sz="0" w:space="0" w:color="auto"/>
        <w:bottom w:val="none" w:sz="0" w:space="0" w:color="auto"/>
        <w:right w:val="none" w:sz="0" w:space="0" w:color="auto"/>
      </w:divBdr>
    </w:div>
    <w:div w:id="1659457880">
      <w:bodyDiv w:val="1"/>
      <w:marLeft w:val="0"/>
      <w:marRight w:val="0"/>
      <w:marTop w:val="0"/>
      <w:marBottom w:val="0"/>
      <w:divBdr>
        <w:top w:val="none" w:sz="0" w:space="0" w:color="auto"/>
        <w:left w:val="none" w:sz="0" w:space="0" w:color="auto"/>
        <w:bottom w:val="none" w:sz="0" w:space="0" w:color="auto"/>
        <w:right w:val="none" w:sz="0" w:space="0" w:color="auto"/>
      </w:divBdr>
    </w:div>
    <w:div w:id="1678191077">
      <w:bodyDiv w:val="1"/>
      <w:marLeft w:val="0"/>
      <w:marRight w:val="0"/>
      <w:marTop w:val="0"/>
      <w:marBottom w:val="0"/>
      <w:divBdr>
        <w:top w:val="none" w:sz="0" w:space="0" w:color="auto"/>
        <w:left w:val="none" w:sz="0" w:space="0" w:color="auto"/>
        <w:bottom w:val="none" w:sz="0" w:space="0" w:color="auto"/>
        <w:right w:val="none" w:sz="0" w:space="0" w:color="auto"/>
      </w:divBdr>
    </w:div>
    <w:div w:id="1787966800">
      <w:bodyDiv w:val="1"/>
      <w:marLeft w:val="0"/>
      <w:marRight w:val="0"/>
      <w:marTop w:val="0"/>
      <w:marBottom w:val="0"/>
      <w:divBdr>
        <w:top w:val="none" w:sz="0" w:space="0" w:color="auto"/>
        <w:left w:val="none" w:sz="0" w:space="0" w:color="auto"/>
        <w:bottom w:val="none" w:sz="0" w:space="0" w:color="auto"/>
        <w:right w:val="none" w:sz="0" w:space="0" w:color="auto"/>
      </w:divBdr>
    </w:div>
    <w:div w:id="1950813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chart" Target="charts/chart4.xml"/><Relationship Id="rId26" Type="http://schemas.openxmlformats.org/officeDocument/2006/relationships/image" Target="media/image7.png"/><Relationship Id="rId3" Type="http://schemas.openxmlformats.org/officeDocument/2006/relationships/styles" Target="styles.xml"/><Relationship Id="rId21" Type="http://schemas.openxmlformats.org/officeDocument/2006/relationships/chart" Target="charts/chart6.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3.png"/><Relationship Id="rId25"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3.xml"/><Relationship Id="rId20" Type="http://schemas.openxmlformats.org/officeDocument/2006/relationships/chart" Target="charts/chart5.xml"/><Relationship Id="rId29" Type="http://schemas.openxmlformats.org/officeDocument/2006/relationships/chart" Target="charts/chart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chart" Target="charts/chart7.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6.png"/><Relationship Id="rId28" Type="http://schemas.openxmlformats.org/officeDocument/2006/relationships/chart" Target="charts/chart9.xml"/><Relationship Id="rId10" Type="http://schemas.openxmlformats.org/officeDocument/2006/relationships/chart" Target="charts/chart2.xml"/><Relationship Id="rId19" Type="http://schemas.openxmlformats.org/officeDocument/2006/relationships/image" Target="media/image4.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hyperlink" Target="http://www.gti.net/njchamber/index-sic.htm" TargetMode="External"/><Relationship Id="rId22" Type="http://schemas.openxmlformats.org/officeDocument/2006/relationships/image" Target="media/image5.png"/><Relationship Id="rId27" Type="http://schemas.openxmlformats.org/officeDocument/2006/relationships/image" Target="media/image8.png"/><Relationship Id="rId30" Type="http://schemas.openxmlformats.org/officeDocument/2006/relationships/footer" Target="footer3.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rhooijmeijer\Documents\Thesis\Data\Data%20remuneration.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rhooijmeijer\Documents\Thesis\Data\Data%20remuneration.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E:\Thesis\Data\Data%20remuneration.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rhooijmeijer\Documents\Thesis\Data\Data%20remuneration.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rhooijmeijer\Documents\Thesis\Data\Data%20remuneration.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rhooijmeijer\Documents\Thesis\Data\Data%20remuneration.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E:\Thesis\Data\Data%20remuneration.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E:\Thesis\Data\Data%20remuneration.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rhooijmeijer\Documents\Thesis\Data\Data%20remuneration.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rhooijmeijer\Documents\Thesis\Data\Data%20remuneration.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nl-NL"/>
  <c:style val="19"/>
  <c:chart>
    <c:title>
      <c:tx>
        <c:rich>
          <a:bodyPr/>
          <a:lstStyle/>
          <a:p>
            <a:pPr>
              <a:defRPr/>
            </a:pPr>
            <a:r>
              <a:rPr lang="en-US" sz="1100" b="1" i="0"/>
              <a:t>Proportion Stock Options</a:t>
            </a:r>
          </a:p>
        </c:rich>
      </c:tx>
    </c:title>
    <c:plotArea>
      <c:layout/>
      <c:barChart>
        <c:barDir val="col"/>
        <c:grouping val="clustered"/>
        <c:ser>
          <c:idx val="0"/>
          <c:order val="0"/>
          <c:tx>
            <c:strRef>
              <c:f>'Trend PR_FV_STO'!$H$61</c:f>
              <c:strCache>
                <c:ptCount val="1"/>
                <c:pt idx="0">
                  <c:v>Proportion Stock Options</c:v>
                </c:pt>
              </c:strCache>
            </c:strRef>
          </c:tx>
          <c:cat>
            <c:numRef>
              <c:f>'Trend PR_FV_STO'!$I$60:$N$60</c:f>
              <c:numCache>
                <c:formatCode>General</c:formatCode>
                <c:ptCount val="6"/>
                <c:pt idx="0">
                  <c:v>2002</c:v>
                </c:pt>
                <c:pt idx="1">
                  <c:v>2003</c:v>
                </c:pt>
                <c:pt idx="2">
                  <c:v>2004</c:v>
                </c:pt>
                <c:pt idx="3">
                  <c:v>2005</c:v>
                </c:pt>
                <c:pt idx="4">
                  <c:v>2006</c:v>
                </c:pt>
                <c:pt idx="5">
                  <c:v>2007</c:v>
                </c:pt>
              </c:numCache>
            </c:numRef>
          </c:cat>
          <c:val>
            <c:numRef>
              <c:f>'Trend PR_FV_STO'!$I$61:$N$61</c:f>
              <c:numCache>
                <c:formatCode>General</c:formatCode>
                <c:ptCount val="6"/>
                <c:pt idx="0">
                  <c:v>30</c:v>
                </c:pt>
                <c:pt idx="1">
                  <c:v>30</c:v>
                </c:pt>
                <c:pt idx="2">
                  <c:v>22.799999999999986</c:v>
                </c:pt>
                <c:pt idx="3">
                  <c:v>20.2</c:v>
                </c:pt>
                <c:pt idx="4">
                  <c:v>20.5</c:v>
                </c:pt>
                <c:pt idx="5">
                  <c:v>30</c:v>
                </c:pt>
              </c:numCache>
            </c:numRef>
          </c:val>
        </c:ser>
        <c:axId val="181490816"/>
        <c:axId val="181492352"/>
      </c:barChart>
      <c:catAx>
        <c:axId val="181490816"/>
        <c:scaling>
          <c:orientation val="minMax"/>
        </c:scaling>
        <c:axPos val="b"/>
        <c:numFmt formatCode="General" sourceLinked="1"/>
        <c:tickLblPos val="nextTo"/>
        <c:txPr>
          <a:bodyPr/>
          <a:lstStyle/>
          <a:p>
            <a:pPr>
              <a:defRPr sz="800"/>
            </a:pPr>
            <a:endParaRPr lang="nl-NL"/>
          </a:p>
        </c:txPr>
        <c:crossAx val="181492352"/>
        <c:crosses val="autoZero"/>
        <c:auto val="1"/>
        <c:lblAlgn val="ctr"/>
        <c:lblOffset val="100"/>
      </c:catAx>
      <c:valAx>
        <c:axId val="181492352"/>
        <c:scaling>
          <c:orientation val="minMax"/>
        </c:scaling>
        <c:axPos val="l"/>
        <c:numFmt formatCode="General" sourceLinked="1"/>
        <c:tickLblPos val="nextTo"/>
        <c:txPr>
          <a:bodyPr/>
          <a:lstStyle/>
          <a:p>
            <a:pPr>
              <a:defRPr sz="800"/>
            </a:pPr>
            <a:endParaRPr lang="nl-NL"/>
          </a:p>
        </c:txPr>
        <c:crossAx val="181490816"/>
        <c:crosses val="autoZero"/>
        <c:crossBetween val="between"/>
      </c:valAx>
    </c:plotArea>
    <c:plotVisOnly val="1"/>
  </c:chart>
  <c:spPr>
    <a:effectLst/>
  </c:sp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nl-NL"/>
  <c:style val="19"/>
  <c:chart>
    <c:title>
      <c:tx>
        <c:rich>
          <a:bodyPr/>
          <a:lstStyle/>
          <a:p>
            <a:pPr>
              <a:defRPr sz="1100"/>
            </a:pPr>
            <a:r>
              <a:rPr lang="en-US" sz="1100"/>
              <a:t>Proportion Granted Shares</a:t>
            </a:r>
          </a:p>
        </c:rich>
      </c:tx>
    </c:title>
    <c:plotArea>
      <c:layout/>
      <c:barChart>
        <c:barDir val="col"/>
        <c:grouping val="clustered"/>
        <c:ser>
          <c:idx val="0"/>
          <c:order val="0"/>
          <c:tx>
            <c:strRef>
              <c:f>'Trend PR_FV_SHA'!$H$29</c:f>
              <c:strCache>
                <c:ptCount val="1"/>
                <c:pt idx="0">
                  <c:v>Proportion Granted Shares</c:v>
                </c:pt>
              </c:strCache>
            </c:strRef>
          </c:tx>
          <c:cat>
            <c:numRef>
              <c:f>'Trend PR_FV_SHA'!$I$28:$N$28</c:f>
              <c:numCache>
                <c:formatCode>General</c:formatCode>
                <c:ptCount val="6"/>
                <c:pt idx="0">
                  <c:v>2002</c:v>
                </c:pt>
                <c:pt idx="1">
                  <c:v>2003</c:v>
                </c:pt>
                <c:pt idx="2">
                  <c:v>2004</c:v>
                </c:pt>
                <c:pt idx="3">
                  <c:v>2005</c:v>
                </c:pt>
                <c:pt idx="4">
                  <c:v>2006</c:v>
                </c:pt>
                <c:pt idx="5">
                  <c:v>2007</c:v>
                </c:pt>
              </c:numCache>
            </c:numRef>
          </c:cat>
          <c:val>
            <c:numRef>
              <c:f>'Trend PR_FV_SHA'!$I$29:$N$29</c:f>
              <c:numCache>
                <c:formatCode>General</c:formatCode>
                <c:ptCount val="6"/>
                <c:pt idx="0">
                  <c:v>30</c:v>
                </c:pt>
                <c:pt idx="1">
                  <c:v>30</c:v>
                </c:pt>
                <c:pt idx="2">
                  <c:v>39.300000000000004</c:v>
                </c:pt>
                <c:pt idx="3">
                  <c:v>39.4</c:v>
                </c:pt>
                <c:pt idx="4">
                  <c:v>47</c:v>
                </c:pt>
                <c:pt idx="5">
                  <c:v>48</c:v>
                </c:pt>
              </c:numCache>
            </c:numRef>
          </c:val>
        </c:ser>
        <c:axId val="181503872"/>
        <c:axId val="181505408"/>
      </c:barChart>
      <c:catAx>
        <c:axId val="181503872"/>
        <c:scaling>
          <c:orientation val="minMax"/>
        </c:scaling>
        <c:axPos val="b"/>
        <c:numFmt formatCode="General" sourceLinked="1"/>
        <c:tickLblPos val="nextTo"/>
        <c:txPr>
          <a:bodyPr/>
          <a:lstStyle/>
          <a:p>
            <a:pPr>
              <a:defRPr sz="900"/>
            </a:pPr>
            <a:endParaRPr lang="nl-NL"/>
          </a:p>
        </c:txPr>
        <c:crossAx val="181505408"/>
        <c:crosses val="autoZero"/>
        <c:auto val="1"/>
        <c:lblAlgn val="ctr"/>
        <c:lblOffset val="100"/>
      </c:catAx>
      <c:valAx>
        <c:axId val="181505408"/>
        <c:scaling>
          <c:orientation val="minMax"/>
        </c:scaling>
        <c:axPos val="l"/>
        <c:majorGridlines/>
        <c:numFmt formatCode="General" sourceLinked="1"/>
        <c:tickLblPos val="nextTo"/>
        <c:txPr>
          <a:bodyPr/>
          <a:lstStyle/>
          <a:p>
            <a:pPr>
              <a:defRPr sz="900"/>
            </a:pPr>
            <a:endParaRPr lang="nl-NL"/>
          </a:p>
        </c:txPr>
        <c:crossAx val="181503872"/>
        <c:crosses val="autoZero"/>
        <c:crossBetween val="between"/>
      </c:valAx>
    </c:plotArea>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nl-NL"/>
  <c:chart>
    <c:title>
      <c:tx>
        <c:rich>
          <a:bodyPr/>
          <a:lstStyle/>
          <a:p>
            <a:pPr>
              <a:defRPr/>
            </a:pPr>
            <a:r>
              <a:rPr lang="en-US" sz="1100"/>
              <a:t>Trend of proportion of granted</a:t>
            </a:r>
            <a:r>
              <a:rPr lang="en-US" sz="1100" baseline="0"/>
              <a:t> stock options to total compensation</a:t>
            </a:r>
            <a:endParaRPr lang="en-US" sz="1100"/>
          </a:p>
        </c:rich>
      </c:tx>
      <c:layout>
        <c:manualLayout>
          <c:xMode val="edge"/>
          <c:yMode val="edge"/>
          <c:x val="0.15872222222222496"/>
          <c:y val="9.2592592592594999E-3"/>
        </c:manualLayout>
      </c:layout>
    </c:title>
    <c:plotArea>
      <c:layout/>
      <c:lineChart>
        <c:grouping val="standard"/>
        <c:ser>
          <c:idx val="0"/>
          <c:order val="0"/>
          <c:tx>
            <c:v>PR_FV_STO</c:v>
          </c:tx>
          <c:cat>
            <c:numRef>
              <c:f>'Trend PR_FV_STO'!$E$1:$J$1</c:f>
              <c:numCache>
                <c:formatCode>General</c:formatCode>
                <c:ptCount val="6"/>
                <c:pt idx="0">
                  <c:v>2002</c:v>
                </c:pt>
                <c:pt idx="1">
                  <c:v>2003</c:v>
                </c:pt>
                <c:pt idx="2">
                  <c:v>2004</c:v>
                </c:pt>
                <c:pt idx="3">
                  <c:v>2005</c:v>
                </c:pt>
                <c:pt idx="4">
                  <c:v>2006</c:v>
                </c:pt>
                <c:pt idx="5">
                  <c:v>2007</c:v>
                </c:pt>
              </c:numCache>
            </c:numRef>
          </c:cat>
          <c:val>
            <c:numRef>
              <c:f>'Trend PR_FV_STO'!$E$2:$J$2</c:f>
              <c:numCache>
                <c:formatCode>General</c:formatCode>
                <c:ptCount val="6"/>
                <c:pt idx="0">
                  <c:v>0.17149724863820404</c:v>
                </c:pt>
                <c:pt idx="1">
                  <c:v>0.18844487608862748</c:v>
                </c:pt>
                <c:pt idx="2">
                  <c:v>0.1208380262378904</c:v>
                </c:pt>
                <c:pt idx="3">
                  <c:v>0.10498736193855358</c:v>
                </c:pt>
                <c:pt idx="4">
                  <c:v>0.10966995021765726</c:v>
                </c:pt>
                <c:pt idx="5">
                  <c:v>0.14026658535793224</c:v>
                </c:pt>
              </c:numCache>
            </c:numRef>
          </c:val>
        </c:ser>
        <c:marker val="1"/>
        <c:axId val="181528064"/>
        <c:axId val="181529600"/>
      </c:lineChart>
      <c:catAx>
        <c:axId val="181528064"/>
        <c:scaling>
          <c:orientation val="minMax"/>
        </c:scaling>
        <c:axPos val="b"/>
        <c:numFmt formatCode="General" sourceLinked="1"/>
        <c:tickLblPos val="nextTo"/>
        <c:crossAx val="181529600"/>
        <c:crosses val="autoZero"/>
        <c:auto val="1"/>
        <c:lblAlgn val="ctr"/>
        <c:lblOffset val="100"/>
      </c:catAx>
      <c:valAx>
        <c:axId val="181529600"/>
        <c:scaling>
          <c:orientation val="minMax"/>
        </c:scaling>
        <c:axPos val="l"/>
        <c:majorGridlines/>
        <c:numFmt formatCode="General" sourceLinked="1"/>
        <c:tickLblPos val="nextTo"/>
        <c:crossAx val="181528064"/>
        <c:crosses val="autoZero"/>
        <c:crossBetween val="between"/>
      </c:valAx>
    </c:plotArea>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nl-NL"/>
  <c:chart>
    <c:title>
      <c:tx>
        <c:rich>
          <a:bodyPr/>
          <a:lstStyle/>
          <a:p>
            <a:pPr>
              <a:defRPr/>
            </a:pPr>
            <a:r>
              <a:rPr lang="en-US" sz="1100"/>
              <a:t>Trend of proportion of granted shares to total compensation</a:t>
            </a:r>
          </a:p>
        </c:rich>
      </c:tx>
    </c:title>
    <c:plotArea>
      <c:layout/>
      <c:lineChart>
        <c:grouping val="standard"/>
        <c:ser>
          <c:idx val="0"/>
          <c:order val="0"/>
          <c:tx>
            <c:v>PR_FV_SHA</c:v>
          </c:tx>
          <c:cat>
            <c:numRef>
              <c:f>'Trend PR_FV_SHA'!$I$1:$N$1</c:f>
              <c:numCache>
                <c:formatCode>General</c:formatCode>
                <c:ptCount val="6"/>
                <c:pt idx="0">
                  <c:v>2002</c:v>
                </c:pt>
                <c:pt idx="1">
                  <c:v>2003</c:v>
                </c:pt>
                <c:pt idx="2">
                  <c:v>2004</c:v>
                </c:pt>
                <c:pt idx="3">
                  <c:v>2005</c:v>
                </c:pt>
                <c:pt idx="4">
                  <c:v>2006</c:v>
                </c:pt>
                <c:pt idx="5">
                  <c:v>2007</c:v>
                </c:pt>
              </c:numCache>
            </c:numRef>
          </c:cat>
          <c:val>
            <c:numRef>
              <c:f>'Trend PR_FV_SHA'!$I$2:$N$2</c:f>
              <c:numCache>
                <c:formatCode>General</c:formatCode>
                <c:ptCount val="6"/>
                <c:pt idx="0">
                  <c:v>6.1552409060817784E-2</c:v>
                </c:pt>
                <c:pt idx="1">
                  <c:v>7.742547418317898E-2</c:v>
                </c:pt>
                <c:pt idx="2">
                  <c:v>0.16039947659375814</c:v>
                </c:pt>
                <c:pt idx="3">
                  <c:v>0.17620843948021464</c:v>
                </c:pt>
                <c:pt idx="4">
                  <c:v>0.25317860449459134</c:v>
                </c:pt>
                <c:pt idx="5">
                  <c:v>0.24799825605184106</c:v>
                </c:pt>
              </c:numCache>
            </c:numRef>
          </c:val>
        </c:ser>
        <c:marker val="1"/>
        <c:axId val="180431104"/>
        <c:axId val="180436992"/>
      </c:lineChart>
      <c:catAx>
        <c:axId val="180431104"/>
        <c:scaling>
          <c:orientation val="minMax"/>
        </c:scaling>
        <c:axPos val="b"/>
        <c:numFmt formatCode="General" sourceLinked="1"/>
        <c:tickLblPos val="nextTo"/>
        <c:crossAx val="180436992"/>
        <c:crosses val="autoZero"/>
        <c:auto val="1"/>
        <c:lblAlgn val="ctr"/>
        <c:lblOffset val="100"/>
      </c:catAx>
      <c:valAx>
        <c:axId val="180436992"/>
        <c:scaling>
          <c:orientation val="minMax"/>
        </c:scaling>
        <c:axPos val="l"/>
        <c:majorGridlines/>
        <c:numFmt formatCode="General" sourceLinked="1"/>
        <c:tickLblPos val="nextTo"/>
        <c:crossAx val="180431104"/>
        <c:crosses val="autoZero"/>
        <c:crossBetween val="between"/>
      </c:valAx>
    </c:plotArea>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nl-NL"/>
  <c:chart>
    <c:plotArea>
      <c:layout/>
      <c:lineChart>
        <c:grouping val="standard"/>
        <c:ser>
          <c:idx val="0"/>
          <c:order val="0"/>
          <c:tx>
            <c:strRef>
              <c:f>'Trend Delta_PR_FV_SHA'!$J$27</c:f>
              <c:strCache>
                <c:ptCount val="1"/>
                <c:pt idx="0">
                  <c:v>PR_FV_SHA</c:v>
                </c:pt>
              </c:strCache>
            </c:strRef>
          </c:tx>
          <c:cat>
            <c:numRef>
              <c:f>'Trend Delta_PR_FV_SHA'!$K$26:$P$26</c:f>
              <c:numCache>
                <c:formatCode>General</c:formatCode>
                <c:ptCount val="6"/>
                <c:pt idx="0">
                  <c:v>2002</c:v>
                </c:pt>
                <c:pt idx="1">
                  <c:v>2003</c:v>
                </c:pt>
                <c:pt idx="2">
                  <c:v>2004</c:v>
                </c:pt>
                <c:pt idx="3">
                  <c:v>2005</c:v>
                </c:pt>
                <c:pt idx="4">
                  <c:v>2006</c:v>
                </c:pt>
                <c:pt idx="5">
                  <c:v>2007</c:v>
                </c:pt>
              </c:numCache>
            </c:numRef>
          </c:cat>
          <c:val>
            <c:numRef>
              <c:f>'Trend Delta_PR_FV_SHA'!$K$27:$P$27</c:f>
              <c:numCache>
                <c:formatCode>General</c:formatCode>
                <c:ptCount val="6"/>
                <c:pt idx="0">
                  <c:v>6.1552409060817784E-2</c:v>
                </c:pt>
                <c:pt idx="1">
                  <c:v>7.742547418317898E-2</c:v>
                </c:pt>
                <c:pt idx="2">
                  <c:v>0.16039947659375814</c:v>
                </c:pt>
                <c:pt idx="3">
                  <c:v>0.17620843948021453</c:v>
                </c:pt>
                <c:pt idx="4">
                  <c:v>0.25317860449459134</c:v>
                </c:pt>
                <c:pt idx="5">
                  <c:v>0.24799825605184095</c:v>
                </c:pt>
              </c:numCache>
            </c:numRef>
          </c:val>
        </c:ser>
        <c:ser>
          <c:idx val="1"/>
          <c:order val="1"/>
          <c:tx>
            <c:strRef>
              <c:f>'Trend Delta_PR_FV_SHA'!$J$28</c:f>
              <c:strCache>
                <c:ptCount val="1"/>
                <c:pt idx="0">
                  <c:v>PR_FV_STO_EXCL_MCL_COM</c:v>
                </c:pt>
              </c:strCache>
            </c:strRef>
          </c:tx>
          <c:cat>
            <c:numRef>
              <c:f>'Trend Delta_PR_FV_SHA'!$K$26:$P$26</c:f>
              <c:numCache>
                <c:formatCode>General</c:formatCode>
                <c:ptCount val="6"/>
                <c:pt idx="0">
                  <c:v>2002</c:v>
                </c:pt>
                <c:pt idx="1">
                  <c:v>2003</c:v>
                </c:pt>
                <c:pt idx="2">
                  <c:v>2004</c:v>
                </c:pt>
                <c:pt idx="3">
                  <c:v>2005</c:v>
                </c:pt>
                <c:pt idx="4">
                  <c:v>2006</c:v>
                </c:pt>
                <c:pt idx="5">
                  <c:v>2007</c:v>
                </c:pt>
              </c:numCache>
            </c:numRef>
          </c:cat>
          <c:val>
            <c:numRef>
              <c:f>'Trend Delta_PR_FV_SHA'!$K$28:$P$28</c:f>
              <c:numCache>
                <c:formatCode>General</c:formatCode>
                <c:ptCount val="6"/>
                <c:pt idx="0">
                  <c:v>0.16758292563855387</c:v>
                </c:pt>
                <c:pt idx="1">
                  <c:v>0.14792451628108719</c:v>
                </c:pt>
                <c:pt idx="2">
                  <c:v>9.3904953626684634E-2</c:v>
                </c:pt>
                <c:pt idx="3">
                  <c:v>6.3800076226784283E-2</c:v>
                </c:pt>
                <c:pt idx="4">
                  <c:v>4.8201638116842561E-2</c:v>
                </c:pt>
                <c:pt idx="5">
                  <c:v>5.5861758675681807E-2</c:v>
                </c:pt>
              </c:numCache>
            </c:numRef>
          </c:val>
        </c:ser>
        <c:marker val="1"/>
        <c:axId val="180457472"/>
        <c:axId val="180459008"/>
      </c:lineChart>
      <c:catAx>
        <c:axId val="180457472"/>
        <c:scaling>
          <c:orientation val="minMax"/>
        </c:scaling>
        <c:axPos val="b"/>
        <c:numFmt formatCode="General" sourceLinked="1"/>
        <c:tickLblPos val="nextTo"/>
        <c:crossAx val="180459008"/>
        <c:crosses val="autoZero"/>
        <c:auto val="1"/>
        <c:lblAlgn val="ctr"/>
        <c:lblOffset val="100"/>
      </c:catAx>
      <c:valAx>
        <c:axId val="180459008"/>
        <c:scaling>
          <c:orientation val="minMax"/>
        </c:scaling>
        <c:axPos val="l"/>
        <c:majorGridlines/>
        <c:numFmt formatCode="General" sourceLinked="1"/>
        <c:tickLblPos val="nextTo"/>
        <c:crossAx val="180457472"/>
        <c:crosses val="autoZero"/>
        <c:crossBetween val="between"/>
      </c:valAx>
    </c:plotArea>
    <c:legend>
      <c:legendPos val="b"/>
    </c:legend>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nl-NL"/>
  <c:chart>
    <c:plotArea>
      <c:layout/>
      <c:lineChart>
        <c:grouping val="standard"/>
        <c:ser>
          <c:idx val="0"/>
          <c:order val="0"/>
          <c:tx>
            <c:strRef>
              <c:f>'Trend Delta_PR_FV_SHA'!$J$2</c:f>
              <c:strCache>
                <c:ptCount val="1"/>
                <c:pt idx="0">
                  <c:v>Delta_PR_FV_SHA</c:v>
                </c:pt>
              </c:strCache>
            </c:strRef>
          </c:tx>
          <c:cat>
            <c:numRef>
              <c:f>'Trend Delta_PR_FV_SHA'!$L$1:$P$1</c:f>
              <c:numCache>
                <c:formatCode>General</c:formatCode>
                <c:ptCount val="5"/>
                <c:pt idx="0">
                  <c:v>2003</c:v>
                </c:pt>
                <c:pt idx="1">
                  <c:v>2004</c:v>
                </c:pt>
                <c:pt idx="2">
                  <c:v>2005</c:v>
                </c:pt>
                <c:pt idx="3">
                  <c:v>2006</c:v>
                </c:pt>
                <c:pt idx="4">
                  <c:v>2007</c:v>
                </c:pt>
              </c:numCache>
            </c:numRef>
          </c:cat>
          <c:val>
            <c:numRef>
              <c:f>'Trend Delta_PR_FV_SHA'!$L$2:$P$2</c:f>
              <c:numCache>
                <c:formatCode>General</c:formatCode>
                <c:ptCount val="5"/>
                <c:pt idx="0">
                  <c:v>1.5873065122361179</c:v>
                </c:pt>
                <c:pt idx="1">
                  <c:v>8.2974002410579164</c:v>
                </c:pt>
                <c:pt idx="2">
                  <c:v>1.5808962886452897</c:v>
                </c:pt>
                <c:pt idx="3">
                  <c:v>7.6970165014378917</c:v>
                </c:pt>
                <c:pt idx="4">
                  <c:v>-0.51803484427539881</c:v>
                </c:pt>
              </c:numCache>
            </c:numRef>
          </c:val>
        </c:ser>
        <c:ser>
          <c:idx val="1"/>
          <c:order val="1"/>
          <c:tx>
            <c:strRef>
              <c:f>'Trend Delta_PR_FV_SHA'!$J$3</c:f>
              <c:strCache>
                <c:ptCount val="1"/>
                <c:pt idx="0">
                  <c:v>Delta_PR_FV_STO</c:v>
                </c:pt>
              </c:strCache>
            </c:strRef>
          </c:tx>
          <c:cat>
            <c:numRef>
              <c:f>'Trend Delta_PR_FV_SHA'!$L$1:$P$1</c:f>
              <c:numCache>
                <c:formatCode>General</c:formatCode>
                <c:ptCount val="5"/>
                <c:pt idx="0">
                  <c:v>2003</c:v>
                </c:pt>
                <c:pt idx="1">
                  <c:v>2004</c:v>
                </c:pt>
                <c:pt idx="2">
                  <c:v>2005</c:v>
                </c:pt>
                <c:pt idx="3">
                  <c:v>2006</c:v>
                </c:pt>
                <c:pt idx="4">
                  <c:v>2007</c:v>
                </c:pt>
              </c:numCache>
            </c:numRef>
          </c:cat>
          <c:val>
            <c:numRef>
              <c:f>'Trend Delta_PR_FV_SHA'!$L$3:$P$3</c:f>
              <c:numCache>
                <c:formatCode>General</c:formatCode>
                <c:ptCount val="5"/>
                <c:pt idx="0">
                  <c:v>-1.96584093574695</c:v>
                </c:pt>
                <c:pt idx="1">
                  <c:v>-5.4019562654404352</c:v>
                </c:pt>
                <c:pt idx="2">
                  <c:v>-3.0104877399898577</c:v>
                </c:pt>
                <c:pt idx="3">
                  <c:v>-1.5598438109941541</c:v>
                </c:pt>
                <c:pt idx="4">
                  <c:v>0.76601205588392829</c:v>
                </c:pt>
              </c:numCache>
            </c:numRef>
          </c:val>
        </c:ser>
        <c:marker val="1"/>
        <c:axId val="180471296"/>
        <c:axId val="180472832"/>
      </c:lineChart>
      <c:catAx>
        <c:axId val="180471296"/>
        <c:scaling>
          <c:orientation val="minMax"/>
        </c:scaling>
        <c:axPos val="b"/>
        <c:numFmt formatCode="General" sourceLinked="1"/>
        <c:tickLblPos val="nextTo"/>
        <c:crossAx val="180472832"/>
        <c:crosses val="autoZero"/>
        <c:auto val="1"/>
        <c:lblAlgn val="ctr"/>
        <c:lblOffset val="100"/>
      </c:catAx>
      <c:valAx>
        <c:axId val="180472832"/>
        <c:scaling>
          <c:orientation val="minMax"/>
        </c:scaling>
        <c:axPos val="l"/>
        <c:majorGridlines/>
        <c:numFmt formatCode="General" sourceLinked="1"/>
        <c:tickLblPos val="nextTo"/>
        <c:crossAx val="180471296"/>
        <c:crosses val="autoZero"/>
        <c:crossBetween val="between"/>
      </c:valAx>
    </c:plotArea>
    <c:legend>
      <c:legendPos val="b"/>
    </c:legend>
    <c:plotVisOnly val="1"/>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nl-NL"/>
  <c:chart>
    <c:plotArea>
      <c:layout/>
      <c:lineChart>
        <c:grouping val="standard"/>
        <c:ser>
          <c:idx val="0"/>
          <c:order val="0"/>
          <c:tx>
            <c:strRef>
              <c:f>'Trend PR_FIX_SAL'!$K$2</c:f>
              <c:strCache>
                <c:ptCount val="1"/>
                <c:pt idx="0">
                  <c:v>PR_FIX_SAL_EXCL_MCL</c:v>
                </c:pt>
              </c:strCache>
            </c:strRef>
          </c:tx>
          <c:cat>
            <c:numRef>
              <c:f>'Trend PR_FIX_SAL'!$L$1:$Q$1</c:f>
              <c:numCache>
                <c:formatCode>General</c:formatCode>
                <c:ptCount val="6"/>
                <c:pt idx="0">
                  <c:v>2002</c:v>
                </c:pt>
                <c:pt idx="1">
                  <c:v>2003</c:v>
                </c:pt>
                <c:pt idx="2">
                  <c:v>2004</c:v>
                </c:pt>
                <c:pt idx="3">
                  <c:v>2005</c:v>
                </c:pt>
                <c:pt idx="4">
                  <c:v>2006</c:v>
                </c:pt>
                <c:pt idx="5">
                  <c:v>2007</c:v>
                </c:pt>
              </c:numCache>
            </c:numRef>
          </c:cat>
          <c:val>
            <c:numRef>
              <c:f>'Trend PR_FIX_SAL'!$L$2:$Q$2</c:f>
              <c:numCache>
                <c:formatCode>General</c:formatCode>
                <c:ptCount val="6"/>
                <c:pt idx="0">
                  <c:v>0.58894967727773662</c:v>
                </c:pt>
                <c:pt idx="1">
                  <c:v>0.56181214029193383</c:v>
                </c:pt>
                <c:pt idx="2">
                  <c:v>0.51790146377731749</c:v>
                </c:pt>
                <c:pt idx="3">
                  <c:v>0.49505965167885962</c:v>
                </c:pt>
                <c:pt idx="4">
                  <c:v>0.43905064983623238</c:v>
                </c:pt>
                <c:pt idx="5">
                  <c:v>0.40600203388677081</c:v>
                </c:pt>
              </c:numCache>
            </c:numRef>
          </c:val>
        </c:ser>
        <c:ser>
          <c:idx val="1"/>
          <c:order val="1"/>
          <c:tx>
            <c:strRef>
              <c:f>'Trend PR_FIX_SAL'!$K$3</c:f>
              <c:strCache>
                <c:ptCount val="1"/>
                <c:pt idx="0">
                  <c:v>PR_FV_STO_EXCL_MCL</c:v>
                </c:pt>
              </c:strCache>
            </c:strRef>
          </c:tx>
          <c:cat>
            <c:numRef>
              <c:f>'Trend PR_FIX_SAL'!$L$1:$Q$1</c:f>
              <c:numCache>
                <c:formatCode>General</c:formatCode>
                <c:ptCount val="6"/>
                <c:pt idx="0">
                  <c:v>2002</c:v>
                </c:pt>
                <c:pt idx="1">
                  <c:v>2003</c:v>
                </c:pt>
                <c:pt idx="2">
                  <c:v>2004</c:v>
                </c:pt>
                <c:pt idx="3">
                  <c:v>2005</c:v>
                </c:pt>
                <c:pt idx="4">
                  <c:v>2006</c:v>
                </c:pt>
                <c:pt idx="5">
                  <c:v>2007</c:v>
                </c:pt>
              </c:numCache>
            </c:numRef>
          </c:cat>
          <c:val>
            <c:numRef>
              <c:f>'Trend PR_FIX_SAL'!$L$3:$Q$3</c:f>
              <c:numCache>
                <c:formatCode>General</c:formatCode>
                <c:ptCount val="6"/>
                <c:pt idx="0">
                  <c:v>0.17149724863820401</c:v>
                </c:pt>
                <c:pt idx="1">
                  <c:v>0.18844487608862745</c:v>
                </c:pt>
                <c:pt idx="2">
                  <c:v>0.1208380262378904</c:v>
                </c:pt>
                <c:pt idx="3">
                  <c:v>0.10498736193855358</c:v>
                </c:pt>
                <c:pt idx="4">
                  <c:v>0.10966995021765724</c:v>
                </c:pt>
                <c:pt idx="5">
                  <c:v>0.14026658535793218</c:v>
                </c:pt>
              </c:numCache>
            </c:numRef>
          </c:val>
        </c:ser>
        <c:marker val="1"/>
        <c:axId val="181611520"/>
        <c:axId val="181617408"/>
      </c:lineChart>
      <c:catAx>
        <c:axId val="181611520"/>
        <c:scaling>
          <c:orientation val="minMax"/>
        </c:scaling>
        <c:axPos val="b"/>
        <c:numFmt formatCode="General" sourceLinked="1"/>
        <c:tickLblPos val="nextTo"/>
        <c:crossAx val="181617408"/>
        <c:crosses val="autoZero"/>
        <c:auto val="1"/>
        <c:lblAlgn val="ctr"/>
        <c:lblOffset val="100"/>
      </c:catAx>
      <c:valAx>
        <c:axId val="181617408"/>
        <c:scaling>
          <c:orientation val="minMax"/>
        </c:scaling>
        <c:axPos val="l"/>
        <c:majorGridlines/>
        <c:numFmt formatCode="General" sourceLinked="1"/>
        <c:tickLblPos val="nextTo"/>
        <c:crossAx val="181611520"/>
        <c:crosses val="autoZero"/>
        <c:crossBetween val="between"/>
      </c:valAx>
    </c:plotArea>
    <c:legend>
      <c:legendPos val="b"/>
    </c:legend>
    <c:plotVisOnly val="1"/>
  </c:chart>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nl-NL"/>
  <c:chart>
    <c:plotArea>
      <c:layout/>
      <c:lineChart>
        <c:grouping val="standard"/>
        <c:ser>
          <c:idx val="0"/>
          <c:order val="0"/>
          <c:tx>
            <c:strRef>
              <c:f>'Trend PR_FIX_SAL'!$K$34</c:f>
              <c:strCache>
                <c:ptCount val="1"/>
                <c:pt idx="0">
                  <c:v>DELTA_PR_FIX_SAL_EXCL_MCL</c:v>
                </c:pt>
              </c:strCache>
            </c:strRef>
          </c:tx>
          <c:cat>
            <c:numRef>
              <c:f>'Trend PR_FIX_SAL'!$M$33:$Q$33</c:f>
              <c:numCache>
                <c:formatCode>General</c:formatCode>
                <c:ptCount val="5"/>
                <c:pt idx="0">
                  <c:v>2003</c:v>
                </c:pt>
                <c:pt idx="1">
                  <c:v>2004</c:v>
                </c:pt>
                <c:pt idx="2">
                  <c:v>2005</c:v>
                </c:pt>
                <c:pt idx="3">
                  <c:v>2006</c:v>
                </c:pt>
                <c:pt idx="4">
                  <c:v>2007</c:v>
                </c:pt>
              </c:numCache>
            </c:numRef>
          </c:cat>
          <c:val>
            <c:numRef>
              <c:f>'Trend PR_FIX_SAL'!$M$34:$Q$34</c:f>
              <c:numCache>
                <c:formatCode>General</c:formatCode>
                <c:ptCount val="5"/>
                <c:pt idx="0">
                  <c:v>-2.7137536985790813</c:v>
                </c:pt>
                <c:pt idx="1">
                  <c:v>-4.3910676514627127</c:v>
                </c:pt>
                <c:pt idx="2">
                  <c:v>-2.2841812098463947</c:v>
                </c:pt>
                <c:pt idx="3">
                  <c:v>-5.6009001842622403</c:v>
                </c:pt>
                <c:pt idx="4">
                  <c:v>-3.3048615949461788</c:v>
                </c:pt>
              </c:numCache>
            </c:numRef>
          </c:val>
        </c:ser>
        <c:ser>
          <c:idx val="1"/>
          <c:order val="1"/>
          <c:tx>
            <c:strRef>
              <c:f>'Trend PR_FIX_SAL'!$K$35</c:f>
              <c:strCache>
                <c:ptCount val="1"/>
                <c:pt idx="0">
                  <c:v>DELTA_PR_FV_STO_EXCL_MCL</c:v>
                </c:pt>
              </c:strCache>
            </c:strRef>
          </c:tx>
          <c:cat>
            <c:numRef>
              <c:f>'Trend PR_FIX_SAL'!$M$33:$Q$33</c:f>
              <c:numCache>
                <c:formatCode>General</c:formatCode>
                <c:ptCount val="5"/>
                <c:pt idx="0">
                  <c:v>2003</c:v>
                </c:pt>
                <c:pt idx="1">
                  <c:v>2004</c:v>
                </c:pt>
                <c:pt idx="2">
                  <c:v>2005</c:v>
                </c:pt>
                <c:pt idx="3">
                  <c:v>2006</c:v>
                </c:pt>
                <c:pt idx="4">
                  <c:v>2007</c:v>
                </c:pt>
              </c:numCache>
            </c:numRef>
          </c:cat>
          <c:val>
            <c:numRef>
              <c:f>'Trend PR_FIX_SAL'!$M$35:$Q$35</c:f>
              <c:numCache>
                <c:formatCode>General</c:formatCode>
                <c:ptCount val="5"/>
                <c:pt idx="0">
                  <c:v>1.6947627450423548</c:v>
                </c:pt>
                <c:pt idx="1">
                  <c:v>-6.7606849850734774</c:v>
                </c:pt>
                <c:pt idx="2">
                  <c:v>-1.5850664299336827</c:v>
                </c:pt>
                <c:pt idx="3">
                  <c:v>0.46825882791023732</c:v>
                </c:pt>
                <c:pt idx="4">
                  <c:v>3.059663514027315</c:v>
                </c:pt>
              </c:numCache>
            </c:numRef>
          </c:val>
        </c:ser>
        <c:marker val="1"/>
        <c:axId val="181637888"/>
        <c:axId val="181639424"/>
      </c:lineChart>
      <c:catAx>
        <c:axId val="181637888"/>
        <c:scaling>
          <c:orientation val="minMax"/>
        </c:scaling>
        <c:axPos val="b"/>
        <c:numFmt formatCode="General" sourceLinked="1"/>
        <c:tickLblPos val="nextTo"/>
        <c:crossAx val="181639424"/>
        <c:crosses val="autoZero"/>
        <c:auto val="1"/>
        <c:lblAlgn val="ctr"/>
        <c:lblOffset val="100"/>
      </c:catAx>
      <c:valAx>
        <c:axId val="181639424"/>
        <c:scaling>
          <c:orientation val="minMax"/>
        </c:scaling>
        <c:axPos val="l"/>
        <c:majorGridlines/>
        <c:numFmt formatCode="General" sourceLinked="1"/>
        <c:tickLblPos val="nextTo"/>
        <c:crossAx val="181637888"/>
        <c:crosses val="autoZero"/>
        <c:crossBetween val="between"/>
      </c:valAx>
    </c:plotArea>
    <c:legend>
      <c:legendPos val="b"/>
    </c:legend>
    <c:plotVisOnly val="1"/>
  </c:chart>
  <c:externalData r:id="rId1"/>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nl-NL"/>
  <c:chart>
    <c:plotArea>
      <c:layout/>
      <c:lineChart>
        <c:grouping val="standard"/>
        <c:ser>
          <c:idx val="0"/>
          <c:order val="0"/>
          <c:tx>
            <c:strRef>
              <c:f>'Trend PR_CSH_BON'!$M$2</c:f>
              <c:strCache>
                <c:ptCount val="1"/>
                <c:pt idx="0">
                  <c:v>PR_CSH_BON_EXCL_MCL</c:v>
                </c:pt>
              </c:strCache>
            </c:strRef>
          </c:tx>
          <c:cat>
            <c:numRef>
              <c:f>'Trend PR_CSH_BON'!$N$1:$S$1</c:f>
              <c:numCache>
                <c:formatCode>General</c:formatCode>
                <c:ptCount val="6"/>
                <c:pt idx="0">
                  <c:v>2002</c:v>
                </c:pt>
                <c:pt idx="1">
                  <c:v>2003</c:v>
                </c:pt>
                <c:pt idx="2">
                  <c:v>2004</c:v>
                </c:pt>
                <c:pt idx="3">
                  <c:v>2005</c:v>
                </c:pt>
                <c:pt idx="4">
                  <c:v>2006</c:v>
                </c:pt>
                <c:pt idx="5">
                  <c:v>2007</c:v>
                </c:pt>
              </c:numCache>
            </c:numRef>
          </c:cat>
          <c:val>
            <c:numRef>
              <c:f>'Trend PR_CSH_BON'!$N$2:$S$2</c:f>
              <c:numCache>
                <c:formatCode>General</c:formatCode>
                <c:ptCount val="6"/>
                <c:pt idx="0">
                  <c:v>0.21284411764705891</c:v>
                </c:pt>
                <c:pt idx="1">
                  <c:v>0.19471176470588239</c:v>
                </c:pt>
                <c:pt idx="2">
                  <c:v>0.23837058823529411</c:v>
                </c:pt>
                <c:pt idx="3">
                  <c:v>0.26418235294117626</c:v>
                </c:pt>
                <c:pt idx="4">
                  <c:v>0.25660588235294551</c:v>
                </c:pt>
                <c:pt idx="5">
                  <c:v>0.26279411764705884</c:v>
                </c:pt>
              </c:numCache>
            </c:numRef>
          </c:val>
        </c:ser>
        <c:ser>
          <c:idx val="1"/>
          <c:order val="1"/>
          <c:tx>
            <c:strRef>
              <c:f>'Trend PR_CSH_BON'!$M$3</c:f>
              <c:strCache>
                <c:ptCount val="1"/>
                <c:pt idx="0">
                  <c:v>PR_FV_STO_EXCL_MCL</c:v>
                </c:pt>
              </c:strCache>
            </c:strRef>
          </c:tx>
          <c:cat>
            <c:numRef>
              <c:f>'Trend PR_CSH_BON'!$N$1:$S$1</c:f>
              <c:numCache>
                <c:formatCode>General</c:formatCode>
                <c:ptCount val="6"/>
                <c:pt idx="0">
                  <c:v>2002</c:v>
                </c:pt>
                <c:pt idx="1">
                  <c:v>2003</c:v>
                </c:pt>
                <c:pt idx="2">
                  <c:v>2004</c:v>
                </c:pt>
                <c:pt idx="3">
                  <c:v>2005</c:v>
                </c:pt>
                <c:pt idx="4">
                  <c:v>2006</c:v>
                </c:pt>
                <c:pt idx="5">
                  <c:v>2007</c:v>
                </c:pt>
              </c:numCache>
            </c:numRef>
          </c:cat>
          <c:val>
            <c:numRef>
              <c:f>'Trend PR_CSH_BON'!$N$3:$S$3</c:f>
              <c:numCache>
                <c:formatCode>General</c:formatCode>
                <c:ptCount val="6"/>
                <c:pt idx="0">
                  <c:v>0.17149705882353122</c:v>
                </c:pt>
                <c:pt idx="1">
                  <c:v>0.18845000000000206</c:v>
                </c:pt>
                <c:pt idx="2">
                  <c:v>0.12083529411764707</c:v>
                </c:pt>
                <c:pt idx="3">
                  <c:v>0.10498823529411765</c:v>
                </c:pt>
                <c:pt idx="4">
                  <c:v>0.10967058823529521</c:v>
                </c:pt>
                <c:pt idx="5">
                  <c:v>0.14026470588235532</c:v>
                </c:pt>
              </c:numCache>
            </c:numRef>
          </c:val>
        </c:ser>
        <c:marker val="1"/>
        <c:axId val="181655808"/>
        <c:axId val="167510016"/>
      </c:lineChart>
      <c:catAx>
        <c:axId val="181655808"/>
        <c:scaling>
          <c:orientation val="minMax"/>
        </c:scaling>
        <c:axPos val="b"/>
        <c:numFmt formatCode="General" sourceLinked="1"/>
        <c:tickLblPos val="nextTo"/>
        <c:crossAx val="167510016"/>
        <c:crosses val="autoZero"/>
        <c:auto val="1"/>
        <c:lblAlgn val="ctr"/>
        <c:lblOffset val="100"/>
      </c:catAx>
      <c:valAx>
        <c:axId val="167510016"/>
        <c:scaling>
          <c:orientation val="minMax"/>
        </c:scaling>
        <c:axPos val="l"/>
        <c:majorGridlines/>
        <c:numFmt formatCode="General" sourceLinked="1"/>
        <c:tickLblPos val="nextTo"/>
        <c:crossAx val="181655808"/>
        <c:crosses val="autoZero"/>
        <c:crossBetween val="between"/>
      </c:valAx>
    </c:plotArea>
    <c:legend>
      <c:legendPos val="b"/>
    </c:legend>
    <c:plotVisOnly val="1"/>
  </c:chart>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nl-NL"/>
  <c:chart>
    <c:plotArea>
      <c:layout/>
      <c:lineChart>
        <c:grouping val="standard"/>
        <c:ser>
          <c:idx val="0"/>
          <c:order val="0"/>
          <c:tx>
            <c:strRef>
              <c:f>'Trend PR_CSH_BON'!$M$33</c:f>
              <c:strCache>
                <c:ptCount val="1"/>
                <c:pt idx="0">
                  <c:v>DELTA_PR_CSH_BON_EXCL_MCL</c:v>
                </c:pt>
              </c:strCache>
            </c:strRef>
          </c:tx>
          <c:cat>
            <c:numRef>
              <c:f>'Trend PR_CSH_BON'!$O$32:$S$32</c:f>
              <c:numCache>
                <c:formatCode>General</c:formatCode>
                <c:ptCount val="5"/>
                <c:pt idx="0">
                  <c:v>2003</c:v>
                </c:pt>
                <c:pt idx="1">
                  <c:v>2004</c:v>
                </c:pt>
                <c:pt idx="2">
                  <c:v>2005</c:v>
                </c:pt>
                <c:pt idx="3">
                  <c:v>2006</c:v>
                </c:pt>
                <c:pt idx="4">
                  <c:v>2007</c:v>
                </c:pt>
              </c:numCache>
            </c:numRef>
          </c:cat>
          <c:val>
            <c:numRef>
              <c:f>'Trend PR_CSH_BON'!$O$33:$S$33</c:f>
              <c:numCache>
                <c:formatCode>General</c:formatCode>
                <c:ptCount val="5"/>
                <c:pt idx="0">
                  <c:v>-1.8129147058823518</c:v>
                </c:pt>
                <c:pt idx="1">
                  <c:v>4.3661529411763969</c:v>
                </c:pt>
                <c:pt idx="2">
                  <c:v>2.5807676470588232</c:v>
                </c:pt>
                <c:pt idx="3">
                  <c:v>-0.75703235294117865</c:v>
                </c:pt>
                <c:pt idx="4">
                  <c:v>0.61871470588235256</c:v>
                </c:pt>
              </c:numCache>
            </c:numRef>
          </c:val>
        </c:ser>
        <c:ser>
          <c:idx val="1"/>
          <c:order val="1"/>
          <c:tx>
            <c:strRef>
              <c:f>'Trend PR_CSH_BON'!$M$34</c:f>
              <c:strCache>
                <c:ptCount val="1"/>
                <c:pt idx="0">
                  <c:v>DELTA_PR_FV_STO_EXCL_MCL</c:v>
                </c:pt>
              </c:strCache>
            </c:strRef>
          </c:tx>
          <c:cat>
            <c:numRef>
              <c:f>'Trend PR_CSH_BON'!$O$32:$S$32</c:f>
              <c:numCache>
                <c:formatCode>General</c:formatCode>
                <c:ptCount val="5"/>
                <c:pt idx="0">
                  <c:v>2003</c:v>
                </c:pt>
                <c:pt idx="1">
                  <c:v>2004</c:v>
                </c:pt>
                <c:pt idx="2">
                  <c:v>2005</c:v>
                </c:pt>
                <c:pt idx="3">
                  <c:v>2006</c:v>
                </c:pt>
                <c:pt idx="4">
                  <c:v>2007</c:v>
                </c:pt>
              </c:numCache>
            </c:numRef>
          </c:cat>
          <c:val>
            <c:numRef>
              <c:f>'Trend PR_CSH_BON'!$O$34:$S$34</c:f>
              <c:numCache>
                <c:formatCode>General</c:formatCode>
                <c:ptCount val="5"/>
                <c:pt idx="0">
                  <c:v>1.6947529411764959</c:v>
                </c:pt>
                <c:pt idx="1">
                  <c:v>-6.7606882352941184</c:v>
                </c:pt>
                <c:pt idx="2">
                  <c:v>-1.585070588235294</c:v>
                </c:pt>
                <c:pt idx="3">
                  <c:v>0.46825588235294563</c:v>
                </c:pt>
                <c:pt idx="4">
                  <c:v>3.0596617647058824</c:v>
                </c:pt>
              </c:numCache>
            </c:numRef>
          </c:val>
        </c:ser>
        <c:marker val="1"/>
        <c:axId val="167538688"/>
        <c:axId val="167540224"/>
      </c:lineChart>
      <c:catAx>
        <c:axId val="167538688"/>
        <c:scaling>
          <c:orientation val="minMax"/>
        </c:scaling>
        <c:axPos val="b"/>
        <c:numFmt formatCode="General" sourceLinked="1"/>
        <c:tickLblPos val="nextTo"/>
        <c:crossAx val="167540224"/>
        <c:crosses val="autoZero"/>
        <c:auto val="1"/>
        <c:lblAlgn val="ctr"/>
        <c:lblOffset val="100"/>
      </c:catAx>
      <c:valAx>
        <c:axId val="167540224"/>
        <c:scaling>
          <c:orientation val="minMax"/>
        </c:scaling>
        <c:axPos val="l"/>
        <c:majorGridlines/>
        <c:numFmt formatCode="General" sourceLinked="1"/>
        <c:tickLblPos val="nextTo"/>
        <c:crossAx val="167538688"/>
        <c:crosses val="autoZero"/>
        <c:crossBetween val="between"/>
      </c:valAx>
    </c:plotArea>
    <c:legend>
      <c:legendPos val="b"/>
    </c:legend>
    <c:plotVisOnly val="1"/>
  </c:chart>
  <c:externalData r:id="rId1"/>
</c:chartSpace>
</file>

<file path=word/theme/theme1.xml><?xml version="1.0" encoding="utf-8"?>
<a:theme xmlns:a="http://schemas.openxmlformats.org/drawingml/2006/main" name="Office Theme">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Abo04</b:Tag>
    <b:SourceType>JournalArticle</b:SourceType>
    <b:Guid>{E08B76B4-06F5-4D2B-9768-0AF94EE5B904}</b:Guid>
    <b:LCID>0</b:LCID>
    <b:Author>
      <b:Author>
        <b:NameList>
          <b:Person>
            <b:Last>Aboody</b:Last>
            <b:First>David</b:First>
          </b:Person>
          <b:Person>
            <b:Last>Barth</b:Last>
            <b:First>Mary</b:First>
            <b:Middle>E.</b:Middle>
          </b:Person>
          <b:Person>
            <b:Last>Kasznik</b:Last>
            <b:First>Ron</b:First>
          </b:Person>
        </b:NameList>
      </b:Author>
    </b:Author>
    <b:Title>Firms' Voluntary Recognition of Stock-Based Compensation Expense</b:Title>
    <b:Year>2004</b:Year>
    <b:JournalName>Journal of Accounting Research</b:JournalName>
    <b:Pages>123-150</b:Pages>
    <b:RefOrder>1</b:RefOrder>
  </b:Source>
</b:Sources>
</file>

<file path=customXml/itemProps1.xml><?xml version="1.0" encoding="utf-8"?>
<ds:datastoreItem xmlns:ds="http://schemas.openxmlformats.org/officeDocument/2006/customXml" ds:itemID="{6AE4072B-0D65-499F-B2EF-C9EEA2DBE7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124</Pages>
  <Words>38018</Words>
  <Characters>209102</Characters>
  <Application>Microsoft Office Word</Application>
  <DocSecurity>0</DocSecurity>
  <Lines>1742</Lines>
  <Paragraphs>493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KPMG</Company>
  <LinksUpToDate>false</LinksUpToDate>
  <CharactersWithSpaces>246627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rhooijmeijer</dc:creator>
  <cp:lastModifiedBy>Chris Knoops</cp:lastModifiedBy>
  <cp:revision>2</cp:revision>
  <cp:lastPrinted>2011-07-08T13:00:00Z</cp:lastPrinted>
  <dcterms:created xsi:type="dcterms:W3CDTF">2011-08-01T19:20:00Z</dcterms:created>
  <dcterms:modified xsi:type="dcterms:W3CDTF">2011-08-01T19:20:00Z</dcterms:modified>
</cp:coreProperties>
</file>