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247" w:rsidRPr="009E5B5E" w:rsidRDefault="00DA2247" w:rsidP="00DA2247">
      <w:pPr>
        <w:tabs>
          <w:tab w:val="center" w:pos="4513"/>
          <w:tab w:val="left" w:pos="7250"/>
        </w:tabs>
        <w:spacing w:line="360" w:lineRule="auto"/>
        <w:jc w:val="center"/>
        <w:rPr>
          <w:rFonts w:cstheme="minorHAnsi"/>
          <w:b/>
          <w:bCs/>
          <w:sz w:val="40"/>
          <w:szCs w:val="40"/>
        </w:rPr>
      </w:pPr>
      <w:r w:rsidRPr="009E5B5E">
        <w:rPr>
          <w:rFonts w:cstheme="minorHAnsi"/>
          <w:b/>
          <w:bCs/>
          <w:noProof/>
          <w:sz w:val="40"/>
          <w:szCs w:val="40"/>
          <w:lang w:bidi="ar-SA"/>
        </w:rPr>
        <w:drawing>
          <wp:anchor distT="0" distB="0" distL="114300" distR="114300" simplePos="0" relativeHeight="251660288" behindDoc="1" locked="0" layoutInCell="1" allowOverlap="1">
            <wp:simplePos x="0" y="0"/>
            <wp:positionH relativeFrom="column">
              <wp:posOffset>1311094</wp:posOffset>
            </wp:positionH>
            <wp:positionV relativeFrom="paragraph">
              <wp:posOffset>275046</wp:posOffset>
            </wp:positionV>
            <wp:extent cx="3136175" cy="754742"/>
            <wp:effectExtent l="19050" t="0" r="7075" b="0"/>
            <wp:wrapNone/>
            <wp:docPr id="5" name="Picture 23" descr="logo_erasmus_universiteit_rotterdam_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erasmus_universiteit_rotterdam_zwart"/>
                    <pic:cNvPicPr>
                      <a:picLocks noChangeAspect="1" noChangeArrowheads="1"/>
                    </pic:cNvPicPr>
                  </pic:nvPicPr>
                  <pic:blipFill>
                    <a:blip r:embed="rId8" cstate="print"/>
                    <a:srcRect/>
                    <a:stretch>
                      <a:fillRect/>
                    </a:stretch>
                  </pic:blipFill>
                  <pic:spPr bwMode="auto">
                    <a:xfrm>
                      <a:off x="0" y="0"/>
                      <a:ext cx="3136175" cy="754742"/>
                    </a:xfrm>
                    <a:prstGeom prst="rect">
                      <a:avLst/>
                    </a:prstGeom>
                    <a:noFill/>
                    <a:ln w="9525">
                      <a:noFill/>
                      <a:miter lim="800000"/>
                      <a:headEnd/>
                      <a:tailEnd/>
                    </a:ln>
                  </pic:spPr>
                </pic:pic>
              </a:graphicData>
            </a:graphic>
          </wp:anchor>
        </w:drawing>
      </w:r>
      <w:r w:rsidRPr="009E5B5E">
        <w:rPr>
          <w:rFonts w:cstheme="minorHAnsi"/>
          <w:b/>
          <w:bCs/>
          <w:sz w:val="40"/>
          <w:szCs w:val="40"/>
        </w:rPr>
        <w:t xml:space="preserve"> </w:t>
      </w:r>
    </w:p>
    <w:p w:rsidR="00DA2247" w:rsidRPr="009E5B5E" w:rsidRDefault="00DA2247" w:rsidP="00DA2247">
      <w:pPr>
        <w:tabs>
          <w:tab w:val="center" w:pos="4513"/>
          <w:tab w:val="left" w:pos="7250"/>
        </w:tabs>
        <w:spacing w:line="360" w:lineRule="auto"/>
        <w:jc w:val="center"/>
        <w:rPr>
          <w:rFonts w:cstheme="minorHAnsi"/>
          <w:b/>
          <w:bCs/>
          <w:sz w:val="40"/>
          <w:szCs w:val="40"/>
        </w:rPr>
      </w:pPr>
    </w:p>
    <w:p w:rsidR="00DA2247" w:rsidRPr="009E5B5E" w:rsidRDefault="00DA2247" w:rsidP="00DA2247">
      <w:pPr>
        <w:tabs>
          <w:tab w:val="center" w:pos="4513"/>
          <w:tab w:val="left" w:pos="7250"/>
        </w:tabs>
        <w:spacing w:line="360" w:lineRule="auto"/>
        <w:jc w:val="center"/>
        <w:rPr>
          <w:rFonts w:cstheme="minorHAnsi"/>
          <w:b/>
          <w:bCs/>
          <w:sz w:val="18"/>
          <w:szCs w:val="18"/>
        </w:rPr>
      </w:pPr>
    </w:p>
    <w:p w:rsidR="00DA2247" w:rsidRPr="009E5B5E" w:rsidRDefault="00DA2247" w:rsidP="00DA2247">
      <w:pPr>
        <w:tabs>
          <w:tab w:val="center" w:pos="4513"/>
          <w:tab w:val="left" w:pos="7250"/>
        </w:tabs>
        <w:spacing w:line="360" w:lineRule="auto"/>
        <w:jc w:val="center"/>
        <w:rPr>
          <w:rFonts w:cstheme="minorHAnsi"/>
          <w:b/>
          <w:bCs/>
          <w:sz w:val="18"/>
          <w:szCs w:val="18"/>
        </w:rPr>
      </w:pPr>
    </w:p>
    <w:p w:rsidR="00DA2247" w:rsidRPr="009E5B5E" w:rsidRDefault="00DA2247" w:rsidP="00DA2247">
      <w:pPr>
        <w:tabs>
          <w:tab w:val="center" w:pos="4513"/>
          <w:tab w:val="left" w:pos="7250"/>
        </w:tabs>
        <w:spacing w:line="360" w:lineRule="auto"/>
        <w:jc w:val="center"/>
        <w:rPr>
          <w:rFonts w:cstheme="minorHAnsi"/>
          <w:b/>
          <w:bCs/>
          <w:sz w:val="40"/>
          <w:szCs w:val="40"/>
        </w:rPr>
      </w:pPr>
      <w:r w:rsidRPr="009E5B5E">
        <w:rPr>
          <w:rFonts w:cstheme="minorHAnsi"/>
          <w:b/>
          <w:bCs/>
          <w:sz w:val="40"/>
          <w:szCs w:val="40"/>
        </w:rPr>
        <w:t xml:space="preserve">The Influence of Friend(s) During Shopping Trip on Consumer Purchase Incidence and In- Store Marketing </w:t>
      </w:r>
    </w:p>
    <w:p w:rsidR="00DA2247" w:rsidRPr="009E5B5E" w:rsidRDefault="00DA2247" w:rsidP="00DA2247">
      <w:pPr>
        <w:suppressAutoHyphens/>
        <w:spacing w:after="0" w:line="360" w:lineRule="auto"/>
        <w:jc w:val="center"/>
        <w:rPr>
          <w:b/>
          <w:sz w:val="32"/>
          <w:szCs w:val="32"/>
        </w:rPr>
      </w:pPr>
    </w:p>
    <w:p w:rsidR="00DA2247" w:rsidRPr="009E5B5E" w:rsidRDefault="00DA2247" w:rsidP="00DA2247">
      <w:pPr>
        <w:suppressAutoHyphens/>
        <w:spacing w:after="0" w:line="360" w:lineRule="auto"/>
        <w:jc w:val="center"/>
        <w:rPr>
          <w:b/>
          <w:sz w:val="32"/>
          <w:szCs w:val="32"/>
        </w:rPr>
      </w:pPr>
    </w:p>
    <w:p w:rsidR="00DA2247" w:rsidRPr="009E5B5E" w:rsidRDefault="00DA2247" w:rsidP="00DA2247">
      <w:pPr>
        <w:suppressAutoHyphens/>
        <w:spacing w:after="0" w:line="360" w:lineRule="auto"/>
        <w:jc w:val="center"/>
        <w:rPr>
          <w:bCs/>
          <w:sz w:val="32"/>
          <w:szCs w:val="32"/>
        </w:rPr>
      </w:pPr>
      <w:r w:rsidRPr="009E5B5E">
        <w:rPr>
          <w:bCs/>
          <w:sz w:val="32"/>
          <w:szCs w:val="32"/>
        </w:rPr>
        <w:t>Tanasiri Ti-Amataya</w:t>
      </w:r>
    </w:p>
    <w:p w:rsidR="00DA2247" w:rsidRPr="009E5B5E" w:rsidRDefault="00DA2247" w:rsidP="00DA2247">
      <w:pPr>
        <w:suppressAutoHyphens/>
        <w:spacing w:after="0" w:line="360" w:lineRule="auto"/>
        <w:jc w:val="center"/>
        <w:rPr>
          <w:bCs/>
          <w:sz w:val="32"/>
          <w:szCs w:val="32"/>
        </w:rPr>
      </w:pPr>
      <w:r w:rsidRPr="009E5B5E">
        <w:rPr>
          <w:bCs/>
          <w:sz w:val="32"/>
          <w:szCs w:val="32"/>
        </w:rPr>
        <w:t>Student Number: 340276tt</w:t>
      </w:r>
    </w:p>
    <w:p w:rsidR="00DA2247" w:rsidRPr="009E5B5E" w:rsidRDefault="00DA2247" w:rsidP="00DA2247">
      <w:pPr>
        <w:suppressAutoHyphens/>
        <w:spacing w:after="0" w:line="360" w:lineRule="auto"/>
        <w:jc w:val="center"/>
        <w:rPr>
          <w:bCs/>
          <w:sz w:val="32"/>
          <w:szCs w:val="32"/>
        </w:rPr>
      </w:pPr>
    </w:p>
    <w:p w:rsidR="00DA2247" w:rsidRPr="009E5B5E" w:rsidRDefault="00DA2247" w:rsidP="00DA2247">
      <w:pPr>
        <w:suppressAutoHyphens/>
        <w:spacing w:after="0" w:line="360" w:lineRule="auto"/>
        <w:jc w:val="center"/>
        <w:rPr>
          <w:bCs/>
          <w:sz w:val="32"/>
          <w:szCs w:val="32"/>
        </w:rPr>
      </w:pPr>
    </w:p>
    <w:p w:rsidR="00DA2247" w:rsidRPr="009E5B5E" w:rsidRDefault="00DA2247" w:rsidP="00DA2247">
      <w:pPr>
        <w:suppressAutoHyphens/>
        <w:spacing w:after="0" w:line="360" w:lineRule="auto"/>
        <w:jc w:val="center"/>
        <w:rPr>
          <w:bCs/>
          <w:sz w:val="32"/>
          <w:szCs w:val="32"/>
        </w:rPr>
      </w:pPr>
      <w:r w:rsidRPr="009E5B5E">
        <w:rPr>
          <w:bCs/>
          <w:sz w:val="32"/>
          <w:szCs w:val="32"/>
        </w:rPr>
        <w:t>MASTER’S THESIS IN MARKETING</w:t>
      </w:r>
    </w:p>
    <w:p w:rsidR="00DA2247" w:rsidRPr="009E5B5E" w:rsidRDefault="00DA2247" w:rsidP="00DA2247">
      <w:pPr>
        <w:suppressAutoHyphens/>
        <w:spacing w:after="0" w:line="360" w:lineRule="auto"/>
        <w:jc w:val="center"/>
        <w:rPr>
          <w:bCs/>
          <w:sz w:val="32"/>
          <w:szCs w:val="32"/>
        </w:rPr>
      </w:pPr>
      <w:r w:rsidRPr="009E5B5E">
        <w:rPr>
          <w:bCs/>
          <w:sz w:val="32"/>
          <w:szCs w:val="32"/>
        </w:rPr>
        <w:t>ERASMUS SCHOOL OF ECONOMICS</w:t>
      </w:r>
    </w:p>
    <w:p w:rsidR="00DA2247" w:rsidRPr="00F96E97" w:rsidRDefault="00DA2247" w:rsidP="00DA2247">
      <w:pPr>
        <w:suppressAutoHyphens/>
        <w:spacing w:after="0" w:line="360" w:lineRule="auto"/>
        <w:jc w:val="center"/>
        <w:rPr>
          <w:bCs/>
          <w:sz w:val="32"/>
          <w:szCs w:val="32"/>
          <w:lang w:val="pt-PT"/>
        </w:rPr>
      </w:pPr>
      <w:r w:rsidRPr="00F96E97">
        <w:rPr>
          <w:bCs/>
          <w:sz w:val="32"/>
          <w:szCs w:val="32"/>
          <w:lang w:val="pt-PT"/>
        </w:rPr>
        <w:t>ERASMUS UNIVERSITY ROTTERDAM</w:t>
      </w:r>
    </w:p>
    <w:p w:rsidR="00DA2247" w:rsidRPr="00F96E97" w:rsidRDefault="00DA2247" w:rsidP="00DA2247">
      <w:pPr>
        <w:suppressAutoHyphens/>
        <w:spacing w:after="0" w:line="360" w:lineRule="auto"/>
        <w:jc w:val="center"/>
        <w:rPr>
          <w:bCs/>
          <w:sz w:val="32"/>
          <w:szCs w:val="32"/>
          <w:lang w:val="pt-PT"/>
        </w:rPr>
      </w:pPr>
    </w:p>
    <w:p w:rsidR="00DA2247" w:rsidRPr="00F96E97" w:rsidRDefault="00DA2247" w:rsidP="00DA2247">
      <w:pPr>
        <w:suppressAutoHyphens/>
        <w:spacing w:after="0" w:line="360" w:lineRule="auto"/>
        <w:jc w:val="center"/>
        <w:rPr>
          <w:bCs/>
          <w:sz w:val="32"/>
          <w:szCs w:val="32"/>
          <w:lang w:val="pt-PT"/>
        </w:rPr>
      </w:pPr>
    </w:p>
    <w:p w:rsidR="00DA2247" w:rsidRPr="00F96E97" w:rsidRDefault="00DA2247" w:rsidP="00DA2247">
      <w:pPr>
        <w:suppressAutoHyphens/>
        <w:spacing w:after="0" w:line="360" w:lineRule="auto"/>
        <w:jc w:val="center"/>
        <w:rPr>
          <w:bCs/>
          <w:sz w:val="32"/>
          <w:szCs w:val="32"/>
          <w:lang w:val="pt-PT"/>
        </w:rPr>
      </w:pPr>
      <w:r w:rsidRPr="00F96E97">
        <w:rPr>
          <w:bCs/>
          <w:sz w:val="32"/>
          <w:szCs w:val="32"/>
          <w:lang w:val="pt-PT"/>
        </w:rPr>
        <w:t>Supervisor</w:t>
      </w:r>
    </w:p>
    <w:p w:rsidR="00DA2247" w:rsidRPr="00F96E97" w:rsidRDefault="00DA2247" w:rsidP="00DA2247">
      <w:pPr>
        <w:suppressAutoHyphens/>
        <w:spacing w:after="0" w:line="360" w:lineRule="auto"/>
        <w:jc w:val="center"/>
        <w:rPr>
          <w:bCs/>
          <w:sz w:val="32"/>
          <w:szCs w:val="32"/>
          <w:lang w:val="pt-PT"/>
        </w:rPr>
      </w:pPr>
      <w:r w:rsidRPr="00F96E97">
        <w:rPr>
          <w:bCs/>
          <w:sz w:val="32"/>
          <w:szCs w:val="32"/>
          <w:lang w:val="pt-PT"/>
        </w:rPr>
        <w:t>Nuno M. Almeida Camacho</w:t>
      </w:r>
    </w:p>
    <w:p w:rsidR="00DA2247" w:rsidRPr="00F96E97" w:rsidRDefault="00DA2247" w:rsidP="00DA2247">
      <w:pPr>
        <w:spacing w:line="360" w:lineRule="auto"/>
        <w:rPr>
          <w:rFonts w:cstheme="minorHAnsi"/>
          <w:bCs/>
          <w:sz w:val="32"/>
          <w:szCs w:val="32"/>
          <w:lang w:val="pt-PT"/>
        </w:rPr>
      </w:pPr>
      <w:r w:rsidRPr="00F96E97">
        <w:rPr>
          <w:rFonts w:cstheme="minorHAnsi"/>
          <w:bCs/>
          <w:sz w:val="32"/>
          <w:szCs w:val="32"/>
          <w:lang w:val="pt-PT"/>
        </w:rPr>
        <w:br w:type="page"/>
      </w:r>
    </w:p>
    <w:p w:rsidR="00DA2247" w:rsidRPr="009E5B5E" w:rsidRDefault="00DA2247" w:rsidP="00DA2247">
      <w:pPr>
        <w:suppressAutoHyphens/>
        <w:spacing w:after="0" w:line="360" w:lineRule="auto"/>
        <w:jc w:val="center"/>
        <w:rPr>
          <w:b/>
          <w:sz w:val="40"/>
          <w:szCs w:val="40"/>
        </w:rPr>
      </w:pPr>
      <w:bookmarkStart w:id="0" w:name="_Toc271209346"/>
      <w:bookmarkStart w:id="1" w:name="_Toc271209870"/>
      <w:r w:rsidRPr="009E5B5E">
        <w:rPr>
          <w:b/>
          <w:sz w:val="40"/>
          <w:szCs w:val="40"/>
        </w:rPr>
        <w:lastRenderedPageBreak/>
        <w:t>EXECUTIVE SUMMARY</w:t>
      </w:r>
    </w:p>
    <w:p w:rsidR="00DA2247" w:rsidRPr="009E5B5E" w:rsidRDefault="00DA2247" w:rsidP="00DA2247">
      <w:pPr>
        <w:spacing w:line="360" w:lineRule="auto"/>
        <w:jc w:val="both"/>
        <w:rPr>
          <w:sz w:val="24"/>
          <w:szCs w:val="24"/>
        </w:rPr>
      </w:pPr>
      <w:r w:rsidRPr="009E5B5E">
        <w:rPr>
          <w:sz w:val="24"/>
          <w:szCs w:val="24"/>
        </w:rPr>
        <w:t xml:space="preserve">It is no surprise that countless numbers of purchasing decisions are made in group setting. </w:t>
      </w:r>
      <w:r w:rsidRPr="00F96E97">
        <w:rPr>
          <w:sz w:val="24"/>
          <w:szCs w:val="24"/>
        </w:rPr>
        <w:t>However, such decisions are likely to deviate from those consumers would make in privacy, since the accompanying ones may either provide some information regarding the product or raise social pressure among consumers (Urbany et al. 1989; Kurt et al. 2011). The main goal of this master thesis is to examine (1) the influence of the presence of friend(s) in the shopping place on their purchase likelihood, (2) the moderating effect of gender on friend’s influence and (3) whether such influence moderates the effect of in-store marketing (sale, in-store display renewal, and products relocation in particular) on consumers’ purchase likelihood. To</w:t>
      </w:r>
      <w:r w:rsidRPr="009E5B5E">
        <w:rPr>
          <w:sz w:val="24"/>
          <w:szCs w:val="24"/>
        </w:rPr>
        <w:t xml:space="preserve"> clarify, figure S1 displayed below presents my conceptual framework.. </w:t>
      </w:r>
    </w:p>
    <w:p w:rsidR="00DA2247" w:rsidRPr="009E5B5E" w:rsidRDefault="00DA2247" w:rsidP="00DA2247">
      <w:pPr>
        <w:spacing w:line="360" w:lineRule="auto"/>
        <w:jc w:val="both"/>
        <w:rPr>
          <w:sz w:val="24"/>
          <w:szCs w:val="24"/>
        </w:rPr>
      </w:pPr>
      <w:r w:rsidRPr="009E5B5E">
        <w:rPr>
          <w:sz w:val="24"/>
          <w:szCs w:val="24"/>
        </w:rPr>
        <w:t>Figure S1: Conceptual framework</w:t>
      </w:r>
    </w:p>
    <w:p w:rsidR="00DA2247" w:rsidRPr="009E5B5E" w:rsidRDefault="00AD7D97" w:rsidP="00DA2247">
      <w:pPr>
        <w:spacing w:line="360" w:lineRule="auto"/>
        <w:jc w:val="both"/>
        <w:rPr>
          <w:sz w:val="24"/>
          <w:szCs w:val="24"/>
        </w:rPr>
      </w:pPr>
      <w:r>
        <w:rPr>
          <w:noProof/>
          <w:sz w:val="24"/>
          <w:szCs w:val="24"/>
        </w:rPr>
        <w:pict>
          <v:shapetype id="_x0000_t32" coordsize="21600,21600" o:spt="32" o:oned="t" path="m,l21600,21600e" filled="f">
            <v:path arrowok="t" fillok="f" o:connecttype="none"/>
            <o:lock v:ext="edit" shapetype="t"/>
          </v:shapetype>
          <v:shape id="_x0000_s1049" type="#_x0000_t32" style="position:absolute;left:0;text-align:left;margin-left:33.1pt;margin-top:4.5pt;width:169.45pt;height:.05pt;z-index:251684864" o:connectortype="straight" strokecolor="gray [1629]" strokeweight="2pt"/>
        </w:pict>
      </w:r>
      <w:r>
        <w:rPr>
          <w:noProof/>
          <w:sz w:val="24"/>
          <w:szCs w:val="24"/>
        </w:rPr>
        <w:pict>
          <v:shape id="_x0000_s1050" type="#_x0000_t32" style="position:absolute;left:0;text-align:left;margin-left:33.1pt;margin-top:4.5pt;width:.1pt;height:57.35pt;flip:y;z-index:251685888" o:connectortype="straight" strokecolor="gray [1629]" strokeweight="2pt"/>
        </w:pict>
      </w:r>
      <w:r>
        <w:rPr>
          <w:noProof/>
          <w:sz w:val="24"/>
          <w:szCs w:val="24"/>
        </w:rPr>
        <w:pict>
          <v:shape id="_x0000_s1046" type="#_x0000_t32" style="position:absolute;left:0;text-align:left;margin-left:202.5pt;margin-top:2.8pt;width:.05pt;height:27.95pt;flip:y;z-index:251681792" o:connectortype="straight" strokecolor="gray [1629]" strokeweight="2pt">
            <v:stroke startarrow="open"/>
          </v:shape>
        </w:pict>
      </w:r>
    </w:p>
    <w:p w:rsidR="00DA2247" w:rsidRPr="009E5B5E" w:rsidRDefault="00AD7D97" w:rsidP="00DA2247">
      <w:pPr>
        <w:spacing w:line="360" w:lineRule="auto"/>
        <w:jc w:val="both"/>
        <w:rPr>
          <w:sz w:val="24"/>
          <w:szCs w:val="24"/>
        </w:rPr>
      </w:pPr>
      <w:r>
        <w:rPr>
          <w:noProof/>
          <w:sz w:val="24"/>
          <w:szCs w:val="24"/>
        </w:rPr>
        <w:pict>
          <v:roundrect id="_x0000_s1051" style="position:absolute;left:0;text-align:left;margin-left:2.05pt;margin-top:29.7pt;width:83.8pt;height:58.9pt;z-index:251686912;v-text-anchor:middle" arcsize="10923f" fillcolor="#95b3d7 [1940]" strokecolor="#95b3d7 [1940]" strokeweight="2.5pt">
            <v:shadow color="#868686"/>
            <v:textbox style="mso-next-textbox:#_x0000_s1051">
              <w:txbxContent>
                <w:p w:rsidR="005A408B" w:rsidRPr="00D64600" w:rsidRDefault="005A408B" w:rsidP="00DA2247">
                  <w:pPr>
                    <w:jc w:val="center"/>
                    <w:rPr>
                      <w:b/>
                      <w:bCs/>
                      <w:sz w:val="24"/>
                      <w:szCs w:val="24"/>
                    </w:rPr>
                  </w:pPr>
                  <w:r w:rsidRPr="00D64600">
                    <w:rPr>
                      <w:b/>
                      <w:bCs/>
                      <w:sz w:val="24"/>
                      <w:szCs w:val="24"/>
                    </w:rPr>
                    <w:t>Gender</w:t>
                  </w:r>
                </w:p>
              </w:txbxContent>
            </v:textbox>
          </v:roundrect>
        </w:pict>
      </w:r>
      <w:r>
        <w:rPr>
          <w:noProof/>
          <w:sz w:val="24"/>
          <w:szCs w:val="24"/>
        </w:rPr>
        <w:pict>
          <v:shape id="_x0000_s1055" type="#_x0000_t32" style="position:absolute;left:0;text-align:left;margin-left:132.75pt;margin-top:1.35pt;width:266.4pt;height:.05pt;z-index:251691008" o:connectortype="straight" strokecolor="gray [1629]" strokeweight="2pt"/>
        </w:pict>
      </w:r>
      <w:r>
        <w:rPr>
          <w:noProof/>
          <w:sz w:val="24"/>
          <w:szCs w:val="24"/>
        </w:rPr>
        <w:pict>
          <v:shape id="_x0000_s1053" type="#_x0000_t32" style="position:absolute;left:0;text-align:left;margin-left:132.75pt;margin-top:1.35pt;width:0;height:27.55pt;flip:y;z-index:251688960" o:connectortype="straight" strokecolor="gray [1629]" strokeweight="2pt"/>
        </w:pict>
      </w:r>
      <w:r>
        <w:rPr>
          <w:noProof/>
          <w:sz w:val="24"/>
          <w:szCs w:val="24"/>
        </w:rPr>
        <w:pict>
          <v:shape id="_x0000_s1054" type="#_x0000_t32" style="position:absolute;left:0;text-align:left;margin-left:399.15pt;margin-top:1.35pt;width:0;height:28.35pt;flip:y;z-index:251689984" o:connectortype="straight" strokecolor="gray [1629]" strokeweight="2pt">
            <v:stroke startarrow="open"/>
          </v:shape>
        </w:pict>
      </w:r>
    </w:p>
    <w:p w:rsidR="00DA2247" w:rsidRPr="009E5B5E" w:rsidRDefault="00AD7D97" w:rsidP="00DA2247">
      <w:pPr>
        <w:spacing w:line="360" w:lineRule="auto"/>
        <w:jc w:val="both"/>
        <w:rPr>
          <w:sz w:val="24"/>
          <w:szCs w:val="24"/>
        </w:rPr>
      </w:pPr>
      <w:r>
        <w:rPr>
          <w:noProof/>
          <w:sz w:val="24"/>
          <w:szCs w:val="24"/>
        </w:rPr>
        <w:pict>
          <v:shape id="_x0000_s1057" type="#_x0000_t32" style="position:absolute;left:0;text-align:left;margin-left:309.35pt;margin-top:23.75pt;width:.05pt;height:68.65pt;flip:y;z-index:251693056" o:connectortype="straight" strokecolor="gray [1629]" strokeweight="2pt">
            <v:stroke endarrow="open"/>
          </v:shape>
        </w:pict>
      </w:r>
      <w:r>
        <w:rPr>
          <w:noProof/>
          <w:sz w:val="24"/>
          <w:szCs w:val="24"/>
        </w:rPr>
        <w:pict>
          <v:roundrect id="_x0000_s1048" style="position:absolute;left:0;text-align:left;margin-left:330.75pt;margin-top:1.35pt;width:121.05pt;height:57.85pt;z-index:251683840;v-text-anchor:middle" arcsize="10923f" fillcolor="#95b3d7 [1940]" strokecolor="#95b3d7 [1940]" strokeweight="2.5pt">
            <v:shadow color="#868686"/>
            <v:textbox style="mso-next-textbox:#_x0000_s1048">
              <w:txbxContent>
                <w:p w:rsidR="005A408B" w:rsidRPr="00D64600" w:rsidRDefault="005A408B" w:rsidP="00DA2247">
                  <w:pPr>
                    <w:jc w:val="center"/>
                    <w:rPr>
                      <w:b/>
                      <w:bCs/>
                      <w:sz w:val="24"/>
                      <w:szCs w:val="24"/>
                    </w:rPr>
                  </w:pPr>
                  <w:r w:rsidRPr="00D64600">
                    <w:rPr>
                      <w:b/>
                      <w:bCs/>
                      <w:sz w:val="24"/>
                      <w:szCs w:val="24"/>
                    </w:rPr>
                    <w:t>Purchase Incidence</w:t>
                  </w:r>
                </w:p>
              </w:txbxContent>
            </v:textbox>
          </v:roundrect>
        </w:pict>
      </w:r>
      <w:r>
        <w:rPr>
          <w:noProof/>
          <w:sz w:val="24"/>
          <w:szCs w:val="24"/>
        </w:rPr>
        <w:pict>
          <v:shape id="_x0000_s1060" type="#_x0000_t32" style="position:absolute;left:0;text-align:left;margin-left:296.9pt;margin-top:23.75pt;width:33.85pt;height:0;z-index:251696128" o:connectortype="straight" strokecolor="gray [1629]" strokeweight="2pt">
            <v:stroke endarrow="open"/>
          </v:shape>
        </w:pict>
      </w:r>
      <w:r>
        <w:rPr>
          <w:noProof/>
          <w:sz w:val="24"/>
          <w:szCs w:val="24"/>
        </w:rPr>
        <w:pict>
          <v:roundrect id="_x0000_s1056" style="position:absolute;left:0;text-align:left;margin-left:202.5pt;margin-top:.7pt;width:90.15pt;height:58.5pt;z-index:251692032;v-text-anchor:middle" arcsize="10923f" fillcolor="#95b3d7 [1940]" strokecolor="#95b3d7 [1940]" strokeweight="2.5pt">
            <v:shadow color="#868686"/>
            <v:textbox style="mso-next-textbox:#_x0000_s1056">
              <w:txbxContent>
                <w:p w:rsidR="005A408B" w:rsidRPr="00D64600" w:rsidRDefault="005A408B" w:rsidP="00DA2247">
                  <w:pPr>
                    <w:jc w:val="center"/>
                    <w:rPr>
                      <w:b/>
                      <w:bCs/>
                      <w:sz w:val="24"/>
                      <w:szCs w:val="24"/>
                    </w:rPr>
                  </w:pPr>
                  <w:r w:rsidRPr="00D64600">
                    <w:rPr>
                      <w:b/>
                      <w:bCs/>
                      <w:sz w:val="24"/>
                      <w:szCs w:val="24"/>
                    </w:rPr>
                    <w:t>In-Store Marketing</w:t>
                  </w:r>
                </w:p>
                <w:p w:rsidR="005A408B" w:rsidRPr="00D64600" w:rsidRDefault="005A408B" w:rsidP="00DA2247">
                  <w:pPr>
                    <w:jc w:val="center"/>
                    <w:rPr>
                      <w:sz w:val="20"/>
                      <w:szCs w:val="20"/>
                    </w:rPr>
                  </w:pPr>
                </w:p>
              </w:txbxContent>
            </v:textbox>
          </v:roundrect>
        </w:pict>
      </w:r>
      <w:r>
        <w:rPr>
          <w:noProof/>
          <w:sz w:val="24"/>
          <w:szCs w:val="24"/>
        </w:rPr>
        <w:pict>
          <v:roundrect id="_x0000_s1047" style="position:absolute;left:0;text-align:left;margin-left:98.45pt;margin-top:-.35pt;width:78pt;height:59.55pt;z-index:251682816;v-text-anchor:middle" arcsize="10923f" fillcolor="#95b3d7 [1940]" strokecolor="#95b3d7 [1940]" strokeweight="2.5pt">
            <v:shadow color="#868686"/>
            <v:textbox style="mso-next-textbox:#_x0000_s1047">
              <w:txbxContent>
                <w:p w:rsidR="005A408B" w:rsidRPr="00D64600" w:rsidRDefault="005A408B" w:rsidP="00DA2247">
                  <w:pPr>
                    <w:jc w:val="center"/>
                    <w:rPr>
                      <w:b/>
                      <w:bCs/>
                      <w:sz w:val="24"/>
                      <w:szCs w:val="24"/>
                    </w:rPr>
                  </w:pPr>
                  <w:r w:rsidRPr="00D64600">
                    <w:rPr>
                      <w:b/>
                      <w:bCs/>
                      <w:sz w:val="24"/>
                      <w:szCs w:val="24"/>
                    </w:rPr>
                    <w:t>Friend(s)</w:t>
                  </w:r>
                </w:p>
              </w:txbxContent>
            </v:textbox>
          </v:roundrect>
        </w:pict>
      </w:r>
    </w:p>
    <w:p w:rsidR="00DA2247" w:rsidRPr="009E5B5E" w:rsidRDefault="00DA2247" w:rsidP="00DA2247">
      <w:pPr>
        <w:spacing w:line="360" w:lineRule="auto"/>
        <w:jc w:val="both"/>
        <w:rPr>
          <w:sz w:val="24"/>
          <w:szCs w:val="24"/>
        </w:rPr>
      </w:pPr>
    </w:p>
    <w:p w:rsidR="00DA2247" w:rsidRPr="009E5B5E" w:rsidRDefault="00AD7D97" w:rsidP="00DA2247">
      <w:pPr>
        <w:spacing w:line="360" w:lineRule="auto"/>
        <w:jc w:val="both"/>
        <w:rPr>
          <w:sz w:val="24"/>
          <w:szCs w:val="24"/>
        </w:rPr>
      </w:pPr>
      <w:r>
        <w:rPr>
          <w:noProof/>
          <w:sz w:val="24"/>
          <w:szCs w:val="24"/>
        </w:rPr>
        <w:pict>
          <v:shape id="_x0000_s1052" type="#_x0000_t32" style="position:absolute;left:0;text-align:left;margin-left:33.1pt;margin-top:1.85pt;width:99.65pt;height:21.9pt;flip:x y;z-index:251687936" o:connectortype="straight" strokecolor="gray [1629]" strokeweight="2pt">
            <v:stroke startarrow="open"/>
          </v:shape>
        </w:pict>
      </w:r>
      <w:r>
        <w:rPr>
          <w:noProof/>
          <w:sz w:val="24"/>
          <w:szCs w:val="24"/>
        </w:rPr>
        <w:pict>
          <v:shape id="_x0000_s1058" type="#_x0000_t32" style="position:absolute;left:0;text-align:left;margin-left:132.9pt;margin-top:30.2pt;width:176.5pt;height:0;z-index:251694080" o:connectortype="straight" strokecolor="gray [1629]" strokeweight="2pt"/>
        </w:pict>
      </w:r>
      <w:r>
        <w:rPr>
          <w:noProof/>
          <w:sz w:val="24"/>
          <w:szCs w:val="24"/>
        </w:rPr>
        <w:pict>
          <v:shape id="_x0000_s1059" type="#_x0000_t32" style="position:absolute;left:0;text-align:left;margin-left:132.75pt;margin-top:1.85pt;width:.15pt;height:28.05pt;flip:y;z-index:251695104" o:connectortype="straight" strokecolor="gray [1629]" strokeweight="2pt"/>
        </w:pict>
      </w:r>
    </w:p>
    <w:p w:rsidR="00DA2247" w:rsidRPr="009E5B5E" w:rsidRDefault="00DA2247" w:rsidP="00DA2247">
      <w:pPr>
        <w:spacing w:line="360" w:lineRule="auto"/>
        <w:jc w:val="both"/>
        <w:rPr>
          <w:b/>
          <w:bCs/>
          <w:sz w:val="24"/>
          <w:szCs w:val="24"/>
        </w:rPr>
      </w:pPr>
    </w:p>
    <w:p w:rsidR="00DA2247" w:rsidRPr="009E5B5E" w:rsidRDefault="00DA2247" w:rsidP="00DA2247">
      <w:pPr>
        <w:spacing w:line="360" w:lineRule="auto"/>
        <w:jc w:val="both"/>
        <w:rPr>
          <w:b/>
          <w:bCs/>
          <w:sz w:val="28"/>
          <w:szCs w:val="28"/>
        </w:rPr>
      </w:pPr>
      <w:r w:rsidRPr="009E5B5E">
        <w:rPr>
          <w:b/>
          <w:bCs/>
          <w:sz w:val="28"/>
          <w:szCs w:val="28"/>
        </w:rPr>
        <w:t>Theoretical Background</w:t>
      </w:r>
    </w:p>
    <w:p w:rsidR="00DA2247" w:rsidRPr="009E5B5E" w:rsidRDefault="00DA2247" w:rsidP="00DA2247">
      <w:pPr>
        <w:spacing w:line="360" w:lineRule="auto"/>
        <w:jc w:val="both"/>
        <w:rPr>
          <w:sz w:val="24"/>
          <w:szCs w:val="24"/>
        </w:rPr>
      </w:pPr>
      <w:r w:rsidRPr="009E5B5E">
        <w:rPr>
          <w:sz w:val="24"/>
          <w:szCs w:val="24"/>
        </w:rPr>
        <w:t>The basis of the conceptual framework in this master thesis is constructed upon four streams of literature: (1) consumer buying behavior model (Hawkins et al. 2001; Engel et al. 1995; Kotler et al. 2009), (2) influence of in-store marketing (Janakiraman et al. 2006; Wilkinson et al.1982, Inman et al. 1990), (3) influence of friends in shopping place regarding impression management concern (Kurt et al. 2011), and (4) masculinity vs. femininity and agency vs. communion orientations</w:t>
      </w:r>
      <w:r w:rsidRPr="009E5B5E">
        <w:rPr>
          <w:rFonts w:cstheme="minorHAnsi"/>
          <w:sz w:val="24"/>
          <w:szCs w:val="24"/>
        </w:rPr>
        <w:t xml:space="preserve"> (Bakan 1966; Guimond et al. 2006)</w:t>
      </w:r>
      <w:r w:rsidRPr="009E5B5E">
        <w:rPr>
          <w:sz w:val="24"/>
          <w:szCs w:val="24"/>
        </w:rPr>
        <w:t xml:space="preserve">. </w:t>
      </w:r>
    </w:p>
    <w:p w:rsidR="00DA2247" w:rsidRPr="009E5B5E" w:rsidRDefault="00DA2247" w:rsidP="00DA2247">
      <w:pPr>
        <w:spacing w:line="360" w:lineRule="auto"/>
        <w:jc w:val="both"/>
        <w:rPr>
          <w:i/>
          <w:iCs/>
          <w:sz w:val="24"/>
          <w:szCs w:val="24"/>
        </w:rPr>
      </w:pPr>
      <w:r w:rsidRPr="009E5B5E">
        <w:rPr>
          <w:i/>
          <w:iCs/>
          <w:sz w:val="24"/>
          <w:szCs w:val="24"/>
        </w:rPr>
        <w:t>Consumer Buying Behavior Model</w:t>
      </w:r>
    </w:p>
    <w:p w:rsidR="00DA2247" w:rsidRPr="009E5B5E" w:rsidRDefault="00DA2247" w:rsidP="00DA2247">
      <w:pPr>
        <w:spacing w:line="360" w:lineRule="auto"/>
        <w:jc w:val="both"/>
        <w:rPr>
          <w:sz w:val="24"/>
          <w:szCs w:val="24"/>
        </w:rPr>
      </w:pPr>
      <w:r w:rsidRPr="009E5B5E">
        <w:rPr>
          <w:sz w:val="24"/>
          <w:szCs w:val="24"/>
        </w:rPr>
        <w:t xml:space="preserve">The concept of consumer buying behavior model provides the underline theoretical framework that connects the main </w:t>
      </w:r>
      <w:r w:rsidRPr="009E5B5E">
        <w:rPr>
          <w:rFonts w:cstheme="minorHAnsi"/>
          <w:sz w:val="24"/>
          <w:szCs w:val="24"/>
        </w:rPr>
        <w:t xml:space="preserve">variables of this master thesis, namely consumers’ </w:t>
      </w:r>
      <w:r w:rsidRPr="009E5B5E">
        <w:rPr>
          <w:rFonts w:cstheme="minorHAnsi"/>
          <w:sz w:val="24"/>
          <w:szCs w:val="24"/>
        </w:rPr>
        <w:lastRenderedPageBreak/>
        <w:t>purchase incidence (dependent variable), in-store marketing, presence of friend(s), and gender</w:t>
      </w:r>
      <w:r w:rsidRPr="009E5B5E">
        <w:rPr>
          <w:sz w:val="24"/>
          <w:szCs w:val="24"/>
        </w:rPr>
        <w:t>.  More specifically, consumer buying behavior model suggests that</w:t>
      </w:r>
      <w:r w:rsidR="00CB18B5">
        <w:rPr>
          <w:sz w:val="24"/>
          <w:szCs w:val="24"/>
        </w:rPr>
        <w:t xml:space="preserve"> purchasing decision is generat</w:t>
      </w:r>
      <w:r w:rsidR="00FF129D">
        <w:rPr>
          <w:sz w:val="24"/>
          <w:szCs w:val="24"/>
        </w:rPr>
        <w:t>ed</w:t>
      </w:r>
      <w:r w:rsidRPr="009E5B5E">
        <w:rPr>
          <w:sz w:val="24"/>
          <w:szCs w:val="24"/>
        </w:rPr>
        <w:t xml:space="preserve"> by the fact that a consumer responds to external stimuli in her environment and that such response is sh</w:t>
      </w:r>
      <w:r w:rsidR="00FF129D">
        <w:rPr>
          <w:sz w:val="24"/>
          <w:szCs w:val="24"/>
        </w:rPr>
        <w:t>aped by her internal drivers, namely</w:t>
      </w:r>
      <w:r w:rsidRPr="009E5B5E">
        <w:rPr>
          <w:sz w:val="24"/>
          <w:szCs w:val="24"/>
        </w:rPr>
        <w:t xml:space="preserve"> personal psychological characteristics (Hawkins et al. 2001; Engel et al. 1995; Kotler et al. 2009). In this master thesis,</w:t>
      </w:r>
      <w:r w:rsidR="00FF129D">
        <w:rPr>
          <w:sz w:val="24"/>
          <w:szCs w:val="24"/>
        </w:rPr>
        <w:t xml:space="preserve"> I focus on</w:t>
      </w:r>
      <w:r w:rsidRPr="009E5B5E">
        <w:rPr>
          <w:sz w:val="24"/>
          <w:szCs w:val="24"/>
        </w:rPr>
        <w:t xml:space="preserve"> the presence of friend(s) and in-store marketing activities </w:t>
      </w:r>
      <w:r w:rsidR="00FF129D">
        <w:rPr>
          <w:sz w:val="24"/>
          <w:szCs w:val="24"/>
        </w:rPr>
        <w:t>as</w:t>
      </w:r>
      <w:r w:rsidRPr="009E5B5E">
        <w:rPr>
          <w:sz w:val="24"/>
          <w:szCs w:val="24"/>
        </w:rPr>
        <w:t xml:space="preserve"> the external stimuli, while consumer’s personal orientation operationalized by gender </w:t>
      </w:r>
      <w:r w:rsidR="00FF129D">
        <w:rPr>
          <w:sz w:val="24"/>
          <w:szCs w:val="24"/>
        </w:rPr>
        <w:t>as</w:t>
      </w:r>
      <w:r w:rsidRPr="009E5B5E">
        <w:rPr>
          <w:sz w:val="24"/>
          <w:szCs w:val="24"/>
        </w:rPr>
        <w:t xml:space="preserve"> the internal driver. </w:t>
      </w:r>
    </w:p>
    <w:p w:rsidR="00DA2247" w:rsidRPr="009E5B5E" w:rsidRDefault="00DA2247" w:rsidP="00DA2247">
      <w:pPr>
        <w:spacing w:line="360" w:lineRule="auto"/>
        <w:jc w:val="both"/>
        <w:rPr>
          <w:i/>
          <w:iCs/>
          <w:sz w:val="24"/>
          <w:szCs w:val="24"/>
        </w:rPr>
      </w:pPr>
      <w:r w:rsidRPr="009E5B5E">
        <w:rPr>
          <w:i/>
          <w:iCs/>
          <w:sz w:val="24"/>
          <w:szCs w:val="24"/>
        </w:rPr>
        <w:t>In-Store Marketing</w:t>
      </w:r>
    </w:p>
    <w:p w:rsidR="00DA2247" w:rsidRPr="009E5B5E" w:rsidRDefault="00DA2247" w:rsidP="00DA2247">
      <w:pPr>
        <w:spacing w:line="360" w:lineRule="auto"/>
        <w:jc w:val="both"/>
        <w:rPr>
          <w:sz w:val="24"/>
          <w:szCs w:val="24"/>
        </w:rPr>
      </w:pPr>
      <w:r w:rsidRPr="009E5B5E">
        <w:rPr>
          <w:sz w:val="24"/>
          <w:szCs w:val="24"/>
        </w:rPr>
        <w:t>The literature on influence of in-store marketing on consumer’s behavior lay</w:t>
      </w:r>
      <w:r w:rsidR="00FF129D">
        <w:rPr>
          <w:sz w:val="24"/>
          <w:szCs w:val="24"/>
        </w:rPr>
        <w:t>s</w:t>
      </w:r>
      <w:r w:rsidRPr="009E5B5E">
        <w:rPr>
          <w:sz w:val="24"/>
          <w:szCs w:val="24"/>
        </w:rPr>
        <w:t xml:space="preserve"> the ground </w:t>
      </w:r>
      <w:r w:rsidR="005F5A2E">
        <w:rPr>
          <w:sz w:val="24"/>
          <w:szCs w:val="24"/>
        </w:rPr>
        <w:t>up</w:t>
      </w:r>
      <w:r w:rsidRPr="009E5B5E">
        <w:rPr>
          <w:sz w:val="24"/>
          <w:szCs w:val="24"/>
        </w:rPr>
        <w:t>on which hypothesis 1 is developed. Sales promotion and in-store displays renewal are found to be the most influential strategies as they induce more significant increase in sales than other strategies (Wilkinson et al. 1982). The effect of sale or price discounts</w:t>
      </w:r>
      <w:r w:rsidRPr="009E5B5E">
        <w:rPr>
          <w:i/>
          <w:iCs/>
          <w:sz w:val="24"/>
          <w:szCs w:val="24"/>
        </w:rPr>
        <w:t xml:space="preserve"> </w:t>
      </w:r>
      <w:r w:rsidRPr="009E5B5E">
        <w:rPr>
          <w:sz w:val="24"/>
          <w:szCs w:val="24"/>
        </w:rPr>
        <w:t xml:space="preserve">on buying behavior is suggested to be related to consumer’s affective and psychological cognitions as they present an unexpected gain which is perceived as better </w:t>
      </w:r>
      <w:r w:rsidR="005F5A2E">
        <w:rPr>
          <w:sz w:val="24"/>
          <w:szCs w:val="24"/>
        </w:rPr>
        <w:t xml:space="preserve">value </w:t>
      </w:r>
      <w:r w:rsidRPr="009E5B5E">
        <w:rPr>
          <w:sz w:val="24"/>
          <w:szCs w:val="24"/>
        </w:rPr>
        <w:t xml:space="preserve">by a consumer (Janakiraman et al. 2006). Moreover, sale strategy may provide spillover effect which encourages the purchases of non-discounted products as well. </w:t>
      </w:r>
    </w:p>
    <w:p w:rsidR="00DA2247" w:rsidRPr="009E5B5E" w:rsidRDefault="00DA2247" w:rsidP="00DA2247">
      <w:pPr>
        <w:spacing w:line="360" w:lineRule="auto"/>
        <w:jc w:val="both"/>
        <w:rPr>
          <w:sz w:val="24"/>
          <w:szCs w:val="24"/>
        </w:rPr>
      </w:pPr>
      <w:r w:rsidRPr="009E5B5E">
        <w:rPr>
          <w:sz w:val="24"/>
          <w:szCs w:val="24"/>
        </w:rPr>
        <w:t xml:space="preserve">With respect to the effects of in-store displays renewal and product relocation, they are first claimed to be linked to “price-cut proxy effect”, which is that consumers </w:t>
      </w:r>
      <w:r w:rsidR="00471A56">
        <w:rPr>
          <w:sz w:val="24"/>
          <w:szCs w:val="24"/>
        </w:rPr>
        <w:t>with</w:t>
      </w:r>
      <w:r w:rsidRPr="009E5B5E">
        <w:rPr>
          <w:sz w:val="24"/>
          <w:szCs w:val="24"/>
        </w:rPr>
        <w:t xml:space="preserve"> low need for cognition believe that the presence of a promotion signal like in-store displays represent special offers for the particular items (Inman et al. 1990). Another explanation regarding the influence of displays renewal and products relocation within a store is referred to ‘the consideration set formation effect’ (Zhang, 2006). The attractive in-store displays and merchandise relocation create more </w:t>
      </w:r>
      <w:r w:rsidR="00471A56">
        <w:rPr>
          <w:sz w:val="24"/>
          <w:szCs w:val="24"/>
        </w:rPr>
        <w:t xml:space="preserve">prominent shopping environment, </w:t>
      </w:r>
      <w:r w:rsidRPr="009E5B5E">
        <w:rPr>
          <w:sz w:val="24"/>
          <w:szCs w:val="24"/>
        </w:rPr>
        <w:t xml:space="preserve">which helps consumers form their consideration sets and consequently increase probability of </w:t>
      </w:r>
      <w:r w:rsidR="00471A56">
        <w:rPr>
          <w:sz w:val="24"/>
          <w:szCs w:val="24"/>
        </w:rPr>
        <w:t xml:space="preserve">choosing particular items </w:t>
      </w:r>
      <w:r w:rsidRPr="009E5B5E">
        <w:rPr>
          <w:sz w:val="24"/>
          <w:szCs w:val="24"/>
        </w:rPr>
        <w:t>(e.g., Fader and McAlister 1990; Andrews and Srinivasan 1995; Mehta et al. 2003). Corresponding to such statements discussed above, I argue that in-store marketing (sale, in-store displays renewal, and products relocation in particular) is likely to increase the purchase probability of consumers.</w:t>
      </w:r>
    </w:p>
    <w:p w:rsidR="00DA2247" w:rsidRPr="009E5B5E" w:rsidRDefault="00DA2247" w:rsidP="00DA2247">
      <w:pPr>
        <w:spacing w:line="360" w:lineRule="auto"/>
        <w:jc w:val="both"/>
        <w:rPr>
          <w:sz w:val="24"/>
          <w:szCs w:val="24"/>
        </w:rPr>
      </w:pPr>
    </w:p>
    <w:p w:rsidR="00471A56" w:rsidRDefault="00471A56" w:rsidP="00DA2247">
      <w:pPr>
        <w:spacing w:line="360" w:lineRule="auto"/>
        <w:jc w:val="both"/>
        <w:rPr>
          <w:i/>
          <w:iCs/>
          <w:sz w:val="24"/>
          <w:szCs w:val="24"/>
        </w:rPr>
      </w:pPr>
    </w:p>
    <w:p w:rsidR="00DA2247" w:rsidRPr="009E5B5E" w:rsidRDefault="00DA2247" w:rsidP="00DA2247">
      <w:pPr>
        <w:spacing w:line="360" w:lineRule="auto"/>
        <w:jc w:val="both"/>
        <w:rPr>
          <w:sz w:val="24"/>
          <w:szCs w:val="24"/>
        </w:rPr>
      </w:pPr>
      <w:r w:rsidRPr="009E5B5E">
        <w:rPr>
          <w:i/>
          <w:iCs/>
          <w:sz w:val="24"/>
          <w:szCs w:val="24"/>
        </w:rPr>
        <w:lastRenderedPageBreak/>
        <w:t>Influence of Friends regarding Impression Management</w:t>
      </w:r>
      <w:r w:rsidRPr="009E5B5E">
        <w:rPr>
          <w:sz w:val="24"/>
          <w:szCs w:val="24"/>
        </w:rPr>
        <w:t xml:space="preserve"> </w:t>
      </w:r>
    </w:p>
    <w:p w:rsidR="00DA2247" w:rsidRPr="009E5B5E" w:rsidRDefault="00DA2247" w:rsidP="00DA2247">
      <w:pPr>
        <w:spacing w:line="360" w:lineRule="auto"/>
        <w:jc w:val="both"/>
        <w:rPr>
          <w:sz w:val="24"/>
          <w:szCs w:val="24"/>
        </w:rPr>
      </w:pPr>
      <w:r w:rsidRPr="00F96E97">
        <w:rPr>
          <w:sz w:val="24"/>
          <w:szCs w:val="24"/>
        </w:rPr>
        <w:t>According to Childers and Rao (1992), the presence of friends during a shopping trip is significantly influential on consumers’ purchase decisions since it evokes impression management concerns in consumer’s mind. They explain further that such effect is likely to occur as purchasing behavior may represent a visible indicator of socially desirable activities.</w:t>
      </w:r>
      <w:r w:rsidRPr="00F96E97">
        <w:rPr>
          <w:color w:val="943634" w:themeColor="accent2" w:themeShade="BF"/>
          <w:sz w:val="24"/>
          <w:szCs w:val="24"/>
        </w:rPr>
        <w:t xml:space="preserve"> </w:t>
      </w:r>
      <w:r w:rsidRPr="00F96E97">
        <w:rPr>
          <w:sz w:val="24"/>
          <w:szCs w:val="24"/>
        </w:rPr>
        <w:t>Shopping</w:t>
      </w:r>
      <w:r w:rsidRPr="009E5B5E">
        <w:rPr>
          <w:sz w:val="24"/>
          <w:szCs w:val="24"/>
        </w:rPr>
        <w:t xml:space="preserve"> with friends is proven to increase the urge to purchase in consumers since consumers may perceive that a purchase is considered as favorable by their friends who are likely to reward bonding behavior and enjoyment (Lou 2005). Accordingly, I first deduce that the presence of friend(s) is likely to increase consumers’ purchase probability, in general. Then, I propose that in-store marketing becomes more effective on consumers when their friends are around as they may reinforce the incentive created by in-store marketing strategies. </w:t>
      </w:r>
    </w:p>
    <w:p w:rsidR="00DA2247" w:rsidRPr="009E5B5E" w:rsidRDefault="00DA2247" w:rsidP="00DA2247">
      <w:pPr>
        <w:spacing w:line="360" w:lineRule="auto"/>
        <w:jc w:val="both"/>
        <w:rPr>
          <w:rFonts w:cstheme="minorHAnsi"/>
          <w:i/>
          <w:iCs/>
          <w:sz w:val="24"/>
          <w:szCs w:val="24"/>
        </w:rPr>
      </w:pPr>
      <w:r w:rsidRPr="009E5B5E">
        <w:rPr>
          <w:rFonts w:cstheme="minorHAnsi"/>
          <w:i/>
          <w:iCs/>
          <w:sz w:val="24"/>
          <w:szCs w:val="24"/>
        </w:rPr>
        <w:t xml:space="preserve">Masculinity-Femininity and Agency-Communion Orientation </w:t>
      </w:r>
    </w:p>
    <w:p w:rsidR="00DA2247" w:rsidRPr="009E5B5E" w:rsidRDefault="00F96E97" w:rsidP="00DA2247">
      <w:pPr>
        <w:spacing w:line="360" w:lineRule="auto"/>
        <w:jc w:val="both"/>
        <w:rPr>
          <w:sz w:val="24"/>
          <w:szCs w:val="24"/>
        </w:rPr>
      </w:pPr>
      <w:r w:rsidRPr="00F96E97">
        <w:rPr>
          <w:sz w:val="24"/>
          <w:szCs w:val="24"/>
        </w:rPr>
        <w:t>T</w:t>
      </w:r>
      <w:r w:rsidR="00DA2247" w:rsidRPr="00F96E97">
        <w:rPr>
          <w:sz w:val="24"/>
          <w:szCs w:val="24"/>
        </w:rPr>
        <w:t xml:space="preserve">he nature of friend’s influence depends on consumer’s personal </w:t>
      </w:r>
      <w:r w:rsidR="00471A56" w:rsidRPr="00F96E97">
        <w:rPr>
          <w:sz w:val="24"/>
          <w:szCs w:val="24"/>
        </w:rPr>
        <w:t xml:space="preserve">agency vs. communion </w:t>
      </w:r>
      <w:r w:rsidR="00DA2247" w:rsidRPr="00F96E97">
        <w:rPr>
          <w:sz w:val="24"/>
          <w:szCs w:val="24"/>
        </w:rPr>
        <w:t>orientation</w:t>
      </w:r>
      <w:r w:rsidR="00471A56" w:rsidRPr="00F96E97">
        <w:rPr>
          <w:sz w:val="24"/>
          <w:szCs w:val="24"/>
        </w:rPr>
        <w:t xml:space="preserve"> </w:t>
      </w:r>
      <w:r w:rsidR="00DA2247" w:rsidRPr="00F96E97">
        <w:rPr>
          <w:sz w:val="24"/>
          <w:szCs w:val="24"/>
        </w:rPr>
        <w:t>- the emphasis on the self</w:t>
      </w:r>
      <w:r w:rsidR="00471A56" w:rsidRPr="00F96E97">
        <w:rPr>
          <w:sz w:val="24"/>
          <w:szCs w:val="24"/>
        </w:rPr>
        <w:t xml:space="preserve"> or</w:t>
      </w:r>
      <w:r w:rsidR="00DA2247" w:rsidRPr="00F96E97">
        <w:rPr>
          <w:sz w:val="24"/>
          <w:szCs w:val="24"/>
        </w:rPr>
        <w:t xml:space="preserve"> others (Kurt et al. 2011).</w:t>
      </w:r>
      <w:r w:rsidR="00DA2247" w:rsidRPr="009E5B5E">
        <w:rPr>
          <w:sz w:val="24"/>
          <w:szCs w:val="24"/>
        </w:rPr>
        <w:t xml:space="preserve"> </w:t>
      </w:r>
      <w:r w:rsidR="00471A56">
        <w:rPr>
          <w:sz w:val="24"/>
          <w:szCs w:val="24"/>
        </w:rPr>
        <w:t>Moreover, a</w:t>
      </w:r>
      <w:r w:rsidR="00DA2247" w:rsidRPr="009E5B5E">
        <w:rPr>
          <w:sz w:val="24"/>
          <w:szCs w:val="24"/>
        </w:rPr>
        <w:t xml:space="preserve">gency-communion orientation is suggested to have strong link with gender. The socially stereotypic expectation for male (i.e., masculinity) is typically associated with agency orientation </w:t>
      </w:r>
      <w:r w:rsidR="00471A56">
        <w:rPr>
          <w:sz w:val="24"/>
          <w:szCs w:val="24"/>
        </w:rPr>
        <w:t>as it reflects self-promotion. In contrast,</w:t>
      </w:r>
      <w:r w:rsidR="00DA2247" w:rsidRPr="009E5B5E">
        <w:rPr>
          <w:sz w:val="24"/>
          <w:szCs w:val="24"/>
        </w:rPr>
        <w:t xml:space="preserve"> that of female (i.e., femininity) is associated with communion orientation </w:t>
      </w:r>
      <w:r w:rsidR="00471A56">
        <w:rPr>
          <w:sz w:val="24"/>
          <w:szCs w:val="24"/>
        </w:rPr>
        <w:t xml:space="preserve">which </w:t>
      </w:r>
      <w:r w:rsidR="00DA2247" w:rsidRPr="009E5B5E">
        <w:rPr>
          <w:sz w:val="24"/>
          <w:szCs w:val="24"/>
        </w:rPr>
        <w:t>reflect</w:t>
      </w:r>
      <w:r w:rsidR="00471A56">
        <w:rPr>
          <w:sz w:val="24"/>
          <w:szCs w:val="24"/>
        </w:rPr>
        <w:t>s</w:t>
      </w:r>
      <w:r w:rsidR="00DA2247" w:rsidRPr="009E5B5E">
        <w:rPr>
          <w:sz w:val="24"/>
          <w:szCs w:val="24"/>
        </w:rPr>
        <w:t xml:space="preserve"> modesty (Baken 1966; </w:t>
      </w:r>
      <w:r w:rsidR="00DA2247" w:rsidRPr="009E5B5E">
        <w:rPr>
          <w:rFonts w:cstheme="minorHAnsi"/>
          <w:sz w:val="24"/>
          <w:szCs w:val="24"/>
        </w:rPr>
        <w:t>Guimond et al. 2006</w:t>
      </w:r>
      <w:r w:rsidR="00DA2247" w:rsidRPr="009E5B5E">
        <w:rPr>
          <w:sz w:val="24"/>
          <w:szCs w:val="24"/>
        </w:rPr>
        <w:t xml:space="preserve">; Palan 2001; Gill et al. 1987).  To conform to </w:t>
      </w:r>
      <w:r w:rsidR="00471A56">
        <w:rPr>
          <w:sz w:val="24"/>
          <w:szCs w:val="24"/>
        </w:rPr>
        <w:t>such</w:t>
      </w:r>
      <w:r w:rsidR="00DA2247" w:rsidRPr="009E5B5E">
        <w:rPr>
          <w:sz w:val="24"/>
          <w:szCs w:val="24"/>
        </w:rPr>
        <w:t xml:space="preserve"> expectations </w:t>
      </w:r>
      <w:r w:rsidR="00471A56">
        <w:rPr>
          <w:sz w:val="24"/>
          <w:szCs w:val="24"/>
        </w:rPr>
        <w:t>held</w:t>
      </w:r>
      <w:r w:rsidR="00DA2247" w:rsidRPr="009E5B5E">
        <w:rPr>
          <w:sz w:val="24"/>
          <w:szCs w:val="24"/>
        </w:rPr>
        <w:t xml:space="preserve"> by the accompanying friend, I argue that male consumers (agency-oriented) are likely to engage in self-promotion through making more purchase while shopping with friends. Therefore, male consumers’ purchase likelihood becomes higher in the present of their friend(s). On the other hand, female consumers (communion-oriented) are likely to engage in modest shopping behavior in the presence the purchase likelihood However, the decline in purchase likelihood of female consumers is not expected when shopping with friend(s), since not all communion-oriented consumers (females) have a tendency to engage in “self-neglect” behavior (i.e., emphasis on others at self’s expense) which is decreased transaction in this case (Buss 1990; Fritz and Helgeson 1998). </w:t>
      </w:r>
    </w:p>
    <w:p w:rsidR="00DA2247" w:rsidRPr="009E5B5E" w:rsidRDefault="00DA2247" w:rsidP="00DA2247">
      <w:pPr>
        <w:spacing w:line="360" w:lineRule="auto"/>
        <w:jc w:val="both"/>
        <w:rPr>
          <w:sz w:val="24"/>
          <w:szCs w:val="24"/>
        </w:rPr>
      </w:pPr>
      <w:r w:rsidRPr="009E5B5E">
        <w:rPr>
          <w:sz w:val="24"/>
          <w:szCs w:val="24"/>
        </w:rPr>
        <w:t xml:space="preserve">Furthermore, I propose that the presence of friend(s) may moderate the impact of in-store marketing strategies on consumer’s purchasing decision. According to different orientation tendencies (self promotion vs. modesty) between male and female </w:t>
      </w:r>
      <w:r w:rsidRPr="009E5B5E">
        <w:rPr>
          <w:sz w:val="24"/>
          <w:szCs w:val="24"/>
        </w:rPr>
        <w:lastRenderedPageBreak/>
        <w:t xml:space="preserve">consumers discussed above, I expect that the </w:t>
      </w:r>
      <w:r w:rsidRPr="009E5B5E">
        <w:rPr>
          <w:rFonts w:cstheme="minorHAnsi"/>
          <w:sz w:val="24"/>
          <w:szCs w:val="24"/>
        </w:rPr>
        <w:t>stimuli triggering spending</w:t>
      </w:r>
      <w:r w:rsidRPr="009E5B5E">
        <w:rPr>
          <w:sz w:val="24"/>
          <w:szCs w:val="24"/>
        </w:rPr>
        <w:t xml:space="preserve"> namely in-store marketing will be more influential among male consumers accompanied by friend(s) during shopping trip as they are </w:t>
      </w:r>
      <w:r w:rsidRPr="009E5B5E">
        <w:rPr>
          <w:rFonts w:cstheme="minorHAnsi"/>
          <w:sz w:val="24"/>
          <w:szCs w:val="24"/>
        </w:rPr>
        <w:t xml:space="preserve">likely to spend more </w:t>
      </w:r>
      <w:r w:rsidRPr="009E5B5E">
        <w:rPr>
          <w:sz w:val="24"/>
          <w:szCs w:val="24"/>
        </w:rPr>
        <w:t>than when they are alone</w:t>
      </w:r>
      <w:r w:rsidRPr="009E5B5E">
        <w:rPr>
          <w:rFonts w:cstheme="minorHAnsi"/>
          <w:sz w:val="24"/>
          <w:szCs w:val="24"/>
        </w:rPr>
        <w:t xml:space="preserve">. With respect to female shoppers, </w:t>
      </w:r>
      <w:r w:rsidRPr="009E5B5E">
        <w:rPr>
          <w:sz w:val="24"/>
          <w:szCs w:val="24"/>
        </w:rPr>
        <w:t xml:space="preserve">I expect that in-store marketing will not be significantly less influential on their purchase likelihood in presence of friend(s) than when they are in the isolation, as previously discussed that not all communion-oriented consumers (females) have tendency to perform such self-neglect behavior. </w:t>
      </w:r>
    </w:p>
    <w:p w:rsidR="00DA2247" w:rsidRPr="009E5B5E" w:rsidRDefault="00DA2247" w:rsidP="00DA2247">
      <w:pPr>
        <w:spacing w:line="360" w:lineRule="auto"/>
        <w:jc w:val="both"/>
        <w:rPr>
          <w:sz w:val="24"/>
          <w:szCs w:val="24"/>
        </w:rPr>
      </w:pPr>
      <w:r w:rsidRPr="009E5B5E">
        <w:rPr>
          <w:sz w:val="24"/>
          <w:szCs w:val="24"/>
        </w:rPr>
        <w:t xml:space="preserve">In sum, based upon all the above literature the hypotheses in this master thesis are as follows: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1"/>
        <w:gridCol w:w="8221"/>
      </w:tblGrid>
      <w:tr w:rsidR="00DA2247" w:rsidRPr="009E5B5E" w:rsidTr="005A408B">
        <w:tc>
          <w:tcPr>
            <w:tcW w:w="851" w:type="dxa"/>
          </w:tcPr>
          <w:p w:rsidR="00DA2247" w:rsidRPr="009E5B5E" w:rsidRDefault="00DA2247" w:rsidP="005A408B">
            <w:pPr>
              <w:spacing w:line="360" w:lineRule="auto"/>
              <w:jc w:val="center"/>
              <w:rPr>
                <w:b/>
                <w:bCs/>
                <w:color w:val="000000" w:themeColor="text1"/>
                <w:sz w:val="24"/>
                <w:szCs w:val="24"/>
              </w:rPr>
            </w:pPr>
            <w:r w:rsidRPr="009E5B5E">
              <w:rPr>
                <w:b/>
                <w:bCs/>
                <w:sz w:val="24"/>
                <w:szCs w:val="24"/>
              </w:rPr>
              <w:t>H1</w:t>
            </w:r>
          </w:p>
        </w:tc>
        <w:tc>
          <w:tcPr>
            <w:tcW w:w="8221" w:type="dxa"/>
          </w:tcPr>
          <w:p w:rsidR="00DA2247" w:rsidRPr="009E5B5E" w:rsidRDefault="00DA2247" w:rsidP="005A408B">
            <w:pPr>
              <w:spacing w:line="360" w:lineRule="auto"/>
              <w:ind w:left="47"/>
              <w:jc w:val="both"/>
              <w:rPr>
                <w:sz w:val="24"/>
                <w:szCs w:val="24"/>
              </w:rPr>
            </w:pPr>
            <w:r w:rsidRPr="009E5B5E">
              <w:rPr>
                <w:sz w:val="24"/>
                <w:szCs w:val="24"/>
              </w:rPr>
              <w:t>In-store marketing (sales promotion, renewal of display, and product relocation) positively affects consumers’ purchase likelihood.</w:t>
            </w:r>
          </w:p>
        </w:tc>
      </w:tr>
      <w:tr w:rsidR="00DA2247" w:rsidRPr="009E5B5E" w:rsidTr="005A408B">
        <w:trPr>
          <w:trHeight w:val="496"/>
        </w:trPr>
        <w:tc>
          <w:tcPr>
            <w:tcW w:w="851" w:type="dxa"/>
          </w:tcPr>
          <w:p w:rsidR="00DA2247" w:rsidRPr="009E5B5E" w:rsidRDefault="00DA2247" w:rsidP="005A408B">
            <w:pPr>
              <w:spacing w:line="360" w:lineRule="auto"/>
              <w:jc w:val="center"/>
              <w:rPr>
                <w:b/>
                <w:bCs/>
                <w:sz w:val="24"/>
                <w:szCs w:val="24"/>
              </w:rPr>
            </w:pPr>
            <w:r w:rsidRPr="009E5B5E">
              <w:rPr>
                <w:b/>
                <w:bCs/>
                <w:sz w:val="24"/>
                <w:szCs w:val="24"/>
              </w:rPr>
              <w:t>H2</w:t>
            </w:r>
          </w:p>
        </w:tc>
        <w:tc>
          <w:tcPr>
            <w:tcW w:w="8221" w:type="dxa"/>
          </w:tcPr>
          <w:p w:rsidR="00DA2247" w:rsidRPr="009E5B5E" w:rsidRDefault="00DA2247" w:rsidP="005A408B">
            <w:pPr>
              <w:spacing w:line="360" w:lineRule="auto"/>
              <w:ind w:left="47"/>
              <w:rPr>
                <w:sz w:val="24"/>
                <w:szCs w:val="24"/>
              </w:rPr>
            </w:pPr>
            <w:r w:rsidRPr="009E5B5E">
              <w:rPr>
                <w:sz w:val="24"/>
                <w:szCs w:val="24"/>
              </w:rPr>
              <w:t>Consumers shopping together with friend(s) have higher purchase likelihood.</w:t>
            </w:r>
          </w:p>
        </w:tc>
      </w:tr>
      <w:tr w:rsidR="00DA2247" w:rsidRPr="009E5B5E" w:rsidTr="005A408B">
        <w:trPr>
          <w:trHeight w:val="828"/>
        </w:trPr>
        <w:tc>
          <w:tcPr>
            <w:tcW w:w="851" w:type="dxa"/>
          </w:tcPr>
          <w:p w:rsidR="00DA2247" w:rsidRPr="009E5B5E" w:rsidRDefault="00DA2247" w:rsidP="005A408B">
            <w:pPr>
              <w:spacing w:line="360" w:lineRule="auto"/>
              <w:jc w:val="center"/>
              <w:rPr>
                <w:b/>
                <w:bCs/>
                <w:sz w:val="24"/>
                <w:szCs w:val="24"/>
              </w:rPr>
            </w:pPr>
            <w:r w:rsidRPr="009E5B5E">
              <w:rPr>
                <w:b/>
                <w:bCs/>
                <w:sz w:val="24"/>
                <w:szCs w:val="24"/>
              </w:rPr>
              <w:t>H3</w:t>
            </w:r>
          </w:p>
        </w:tc>
        <w:tc>
          <w:tcPr>
            <w:tcW w:w="8221" w:type="dxa"/>
          </w:tcPr>
          <w:p w:rsidR="00DA2247" w:rsidRPr="009E5B5E" w:rsidRDefault="00DA2247" w:rsidP="005A408B">
            <w:pPr>
              <w:spacing w:line="360" w:lineRule="auto"/>
              <w:ind w:left="47"/>
              <w:jc w:val="both"/>
              <w:rPr>
                <w:sz w:val="24"/>
                <w:szCs w:val="24"/>
              </w:rPr>
            </w:pPr>
            <w:r w:rsidRPr="009E5B5E">
              <w:rPr>
                <w:sz w:val="24"/>
                <w:szCs w:val="24"/>
              </w:rPr>
              <w:t>The positive effect of in-store marketing on consumers’ purchase likelihood is stronger for consumers who are shopping with friends.</w:t>
            </w:r>
          </w:p>
        </w:tc>
      </w:tr>
      <w:tr w:rsidR="00DA2247" w:rsidRPr="009E5B5E" w:rsidTr="005A408B">
        <w:tc>
          <w:tcPr>
            <w:tcW w:w="851" w:type="dxa"/>
          </w:tcPr>
          <w:p w:rsidR="00DA2247" w:rsidRPr="009E5B5E" w:rsidRDefault="00DA2247" w:rsidP="005A408B">
            <w:pPr>
              <w:spacing w:line="360" w:lineRule="auto"/>
              <w:jc w:val="center"/>
              <w:rPr>
                <w:b/>
                <w:bCs/>
                <w:color w:val="000000" w:themeColor="text1"/>
                <w:sz w:val="24"/>
                <w:szCs w:val="24"/>
              </w:rPr>
            </w:pPr>
            <w:r w:rsidRPr="009E5B5E">
              <w:rPr>
                <w:b/>
                <w:bCs/>
                <w:sz w:val="24"/>
                <w:szCs w:val="24"/>
              </w:rPr>
              <w:t>H4a</w:t>
            </w:r>
          </w:p>
        </w:tc>
        <w:tc>
          <w:tcPr>
            <w:tcW w:w="8221" w:type="dxa"/>
          </w:tcPr>
          <w:p w:rsidR="00DA2247" w:rsidRPr="009E5B5E" w:rsidRDefault="00DA2247" w:rsidP="005A408B">
            <w:pPr>
              <w:spacing w:line="360" w:lineRule="auto"/>
              <w:ind w:left="47"/>
              <w:jc w:val="both"/>
              <w:rPr>
                <w:sz w:val="24"/>
                <w:szCs w:val="24"/>
              </w:rPr>
            </w:pPr>
            <w:r w:rsidRPr="009E5B5E">
              <w:rPr>
                <w:sz w:val="24"/>
                <w:szCs w:val="24"/>
              </w:rPr>
              <w:t>Shopping with friend(s) positively affects male (agency-oriented) consumers’ purchase likelihood.</w:t>
            </w:r>
          </w:p>
        </w:tc>
      </w:tr>
      <w:tr w:rsidR="00DA2247" w:rsidRPr="009E5B5E" w:rsidTr="005A408B">
        <w:tc>
          <w:tcPr>
            <w:tcW w:w="851" w:type="dxa"/>
          </w:tcPr>
          <w:p w:rsidR="00DA2247" w:rsidRPr="009E5B5E" w:rsidRDefault="00DA2247" w:rsidP="005A408B">
            <w:pPr>
              <w:spacing w:line="360" w:lineRule="auto"/>
              <w:jc w:val="center"/>
              <w:rPr>
                <w:b/>
                <w:bCs/>
                <w:color w:val="000000" w:themeColor="text1"/>
                <w:sz w:val="24"/>
                <w:szCs w:val="24"/>
              </w:rPr>
            </w:pPr>
            <w:r w:rsidRPr="009E5B5E">
              <w:rPr>
                <w:b/>
                <w:bCs/>
                <w:sz w:val="24"/>
                <w:szCs w:val="24"/>
              </w:rPr>
              <w:t>H4b</w:t>
            </w:r>
          </w:p>
        </w:tc>
        <w:tc>
          <w:tcPr>
            <w:tcW w:w="8221" w:type="dxa"/>
          </w:tcPr>
          <w:p w:rsidR="00DA2247" w:rsidRPr="009E5B5E" w:rsidRDefault="00DA2247" w:rsidP="005A408B">
            <w:pPr>
              <w:spacing w:line="360" w:lineRule="auto"/>
              <w:ind w:left="47"/>
              <w:jc w:val="both"/>
              <w:rPr>
                <w:sz w:val="24"/>
                <w:szCs w:val="24"/>
              </w:rPr>
            </w:pPr>
            <w:r w:rsidRPr="009E5B5E">
              <w:rPr>
                <w:sz w:val="24"/>
                <w:szCs w:val="24"/>
              </w:rPr>
              <w:t>Shopping with friend(s) has no effect on female (communion-oriented) consumers’ purchase likelihood.</w:t>
            </w:r>
          </w:p>
        </w:tc>
      </w:tr>
      <w:tr w:rsidR="00DA2247" w:rsidRPr="009E5B5E" w:rsidTr="005A408B">
        <w:tc>
          <w:tcPr>
            <w:tcW w:w="851" w:type="dxa"/>
          </w:tcPr>
          <w:p w:rsidR="00DA2247" w:rsidRPr="009E5B5E" w:rsidRDefault="00DA2247" w:rsidP="005A408B">
            <w:pPr>
              <w:spacing w:line="360" w:lineRule="auto"/>
              <w:jc w:val="center"/>
              <w:rPr>
                <w:b/>
                <w:bCs/>
                <w:color w:val="000000" w:themeColor="text1"/>
                <w:sz w:val="24"/>
                <w:szCs w:val="24"/>
              </w:rPr>
            </w:pPr>
            <w:r w:rsidRPr="009E5B5E">
              <w:rPr>
                <w:b/>
                <w:bCs/>
                <w:sz w:val="24"/>
                <w:szCs w:val="24"/>
              </w:rPr>
              <w:t>H5a</w:t>
            </w:r>
          </w:p>
        </w:tc>
        <w:tc>
          <w:tcPr>
            <w:tcW w:w="8221" w:type="dxa"/>
          </w:tcPr>
          <w:p w:rsidR="00DA2247" w:rsidRPr="009E5B5E" w:rsidRDefault="00DA2247" w:rsidP="005A408B">
            <w:pPr>
              <w:spacing w:line="360" w:lineRule="auto"/>
              <w:ind w:left="47"/>
              <w:jc w:val="both"/>
              <w:rPr>
                <w:sz w:val="24"/>
                <w:szCs w:val="24"/>
              </w:rPr>
            </w:pPr>
            <w:r w:rsidRPr="009E5B5E">
              <w:rPr>
                <w:sz w:val="24"/>
                <w:szCs w:val="24"/>
              </w:rPr>
              <w:t>Shopping with friend(s) enhances the effect of in-store marketing on male (agency-oriented) consumers’ purchase likelihood.</w:t>
            </w:r>
          </w:p>
        </w:tc>
      </w:tr>
      <w:tr w:rsidR="00DA2247" w:rsidRPr="009E5B5E" w:rsidTr="005A408B">
        <w:tc>
          <w:tcPr>
            <w:tcW w:w="851" w:type="dxa"/>
          </w:tcPr>
          <w:p w:rsidR="00DA2247" w:rsidRPr="009E5B5E" w:rsidRDefault="00DA2247" w:rsidP="005A408B">
            <w:pPr>
              <w:spacing w:line="360" w:lineRule="auto"/>
              <w:jc w:val="center"/>
              <w:rPr>
                <w:b/>
                <w:bCs/>
                <w:color w:val="000000" w:themeColor="text1"/>
                <w:sz w:val="24"/>
                <w:szCs w:val="24"/>
              </w:rPr>
            </w:pPr>
            <w:r w:rsidRPr="009E5B5E">
              <w:rPr>
                <w:b/>
                <w:bCs/>
                <w:sz w:val="24"/>
                <w:szCs w:val="24"/>
              </w:rPr>
              <w:t>H5b</w:t>
            </w:r>
          </w:p>
        </w:tc>
        <w:tc>
          <w:tcPr>
            <w:tcW w:w="8221" w:type="dxa"/>
          </w:tcPr>
          <w:p w:rsidR="00DA2247" w:rsidRPr="009E5B5E" w:rsidRDefault="00DA2247" w:rsidP="005A408B">
            <w:pPr>
              <w:spacing w:line="360" w:lineRule="auto"/>
              <w:ind w:left="47"/>
              <w:rPr>
                <w:color w:val="000000" w:themeColor="text1"/>
                <w:sz w:val="24"/>
                <w:szCs w:val="24"/>
              </w:rPr>
            </w:pPr>
            <w:r w:rsidRPr="009E5B5E">
              <w:rPr>
                <w:sz w:val="24"/>
                <w:szCs w:val="24"/>
              </w:rPr>
              <w:t>Shopping with friend(s) has no impact on the effect of in-store marketing on female (communion-oriented) consumers’ purchase likelihood.</w:t>
            </w:r>
          </w:p>
        </w:tc>
      </w:tr>
    </w:tbl>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b/>
          <w:bCs/>
          <w:sz w:val="28"/>
          <w:szCs w:val="28"/>
        </w:rPr>
      </w:pPr>
      <w:r w:rsidRPr="009E5B5E">
        <w:rPr>
          <w:b/>
          <w:bCs/>
          <w:sz w:val="28"/>
          <w:szCs w:val="28"/>
        </w:rPr>
        <w:t>Date and Methodology</w:t>
      </w:r>
    </w:p>
    <w:p w:rsidR="00DA2247" w:rsidRPr="009E5B5E" w:rsidRDefault="00DA2247" w:rsidP="00DA2247">
      <w:pPr>
        <w:spacing w:line="360" w:lineRule="auto"/>
        <w:jc w:val="both"/>
        <w:rPr>
          <w:sz w:val="24"/>
          <w:szCs w:val="24"/>
        </w:rPr>
      </w:pPr>
      <w:r w:rsidRPr="009E5B5E">
        <w:rPr>
          <w:sz w:val="24"/>
          <w:szCs w:val="24"/>
        </w:rPr>
        <w:t xml:space="preserve">In order to test the aforementioned effects, consumers’ actual behaviors in the denims store </w:t>
      </w:r>
      <w:r w:rsidRPr="009E5B5E">
        <w:rPr>
          <w:rFonts w:cs="Times New Roman"/>
          <w:color w:val="222222"/>
          <w:sz w:val="24"/>
          <w:szCs w:val="24"/>
          <w:shd w:val="clear" w:color="auto" w:fill="FFFFFF"/>
        </w:rPr>
        <w:t>located in Northern Portugal</w:t>
      </w:r>
      <w:r w:rsidRPr="009E5B5E">
        <w:rPr>
          <w:rStyle w:val="apple-converted-space"/>
          <w:rFonts w:cs="Times New Roman"/>
          <w:color w:val="222222"/>
          <w:sz w:val="24"/>
          <w:szCs w:val="24"/>
          <w:shd w:val="clear" w:color="auto" w:fill="FFFFFF"/>
        </w:rPr>
        <w:t> </w:t>
      </w:r>
      <w:r w:rsidRPr="009E5B5E">
        <w:rPr>
          <w:sz w:val="24"/>
          <w:szCs w:val="24"/>
        </w:rPr>
        <w:t xml:space="preserve">were unobtrusively observed using BIPS technology. The radio frequencies emitted by shoppers’ mobile phones when entered the store during the period of December 14 to December 20, 2011 and January 2 to January 16, 2012 were captured. BIPS technology was able to record which areas of the store shoppers visited, how long they stayed in particular areas, and whether they entered the store with others in real time. There were 12,115 observations in the initial dataset </w:t>
      </w:r>
      <w:r w:rsidRPr="009E5B5E">
        <w:rPr>
          <w:sz w:val="24"/>
          <w:szCs w:val="24"/>
        </w:rPr>
        <w:lastRenderedPageBreak/>
        <w:t>collected by AroundKnowledge (AK), the startup that owns the patent for the BIPS technology.</w:t>
      </w:r>
    </w:p>
    <w:p w:rsidR="00DA2247" w:rsidRPr="009E5B5E" w:rsidRDefault="00DA2247" w:rsidP="00DA2247">
      <w:pPr>
        <w:spacing w:line="360" w:lineRule="auto"/>
        <w:jc w:val="both"/>
        <w:rPr>
          <w:sz w:val="24"/>
          <w:szCs w:val="24"/>
        </w:rPr>
      </w:pPr>
      <w:r w:rsidRPr="009E5B5E">
        <w:rPr>
          <w:sz w:val="24"/>
          <w:szCs w:val="24"/>
        </w:rPr>
        <w:t>After data cleaning and outliers detecting, three datasets are derived for this study. I label the first dataset as ‘original dataset’ which includes 9,577 observations. Then, in order to run a robustness check of my model, I derive the second dataset.  I label this dataset as ‘reduce dataset’,  in which I exclude the observations of which time spent in store regions with recent articles and continuity products exceeds the total dwell time in the store, which is logically impossible. In the end, there are 9,179 observations in the reduced dataset.  The last dataset, which I label as ‘gender restricted dataset’, is derived with the purpose of testing the hypotheses concerning gender of the consumers. As gender cannot be collected directly, consumers who visit only the areas in which women products are located and visit a fitting room are assumed to be females. In contrast, consumers who visit only the areas in which men products are located and visit a fitting room are assumed to be males.  After data cleaning and outliers detecting, it is possible to identify gender in 2,653 observations in which 1424 are males and 1229 are females.</w:t>
      </w:r>
    </w:p>
    <w:p w:rsidR="00DA2247" w:rsidRPr="009E5B5E" w:rsidRDefault="00DA2247" w:rsidP="00DA2247">
      <w:pPr>
        <w:spacing w:line="360" w:lineRule="auto"/>
        <w:jc w:val="both"/>
        <w:rPr>
          <w:sz w:val="24"/>
          <w:szCs w:val="24"/>
        </w:rPr>
      </w:pPr>
      <w:r w:rsidRPr="009E5B5E">
        <w:rPr>
          <w:sz w:val="24"/>
          <w:szCs w:val="24"/>
        </w:rPr>
        <w:t>To test H1 and H2, I construct and label the first logistic regression model as ‘general model’ in which purchase incidence is the dependent variable (BUY</w:t>
      </w:r>
      <w:r w:rsidRPr="009E5B5E">
        <w:rPr>
          <w:sz w:val="24"/>
          <w:szCs w:val="24"/>
          <w:vertAlign w:val="subscript"/>
        </w:rPr>
        <w:t xml:space="preserve">i </w:t>
      </w:r>
      <w:r w:rsidRPr="009E5B5E">
        <w:rPr>
          <w:sz w:val="24"/>
          <w:szCs w:val="24"/>
        </w:rPr>
        <w:t>= 1 when consumer made purchase, otherwise BUY</w:t>
      </w:r>
      <w:r w:rsidRPr="009E5B5E">
        <w:rPr>
          <w:sz w:val="24"/>
          <w:szCs w:val="24"/>
          <w:vertAlign w:val="subscript"/>
        </w:rPr>
        <w:t>i</w:t>
      </w:r>
      <w:r w:rsidRPr="009E5B5E">
        <w:rPr>
          <w:sz w:val="24"/>
          <w:szCs w:val="24"/>
        </w:rPr>
        <w:t>=0). The independent variables include dummies for sale (SALE</w:t>
      </w:r>
      <w:r w:rsidRPr="009E5B5E">
        <w:rPr>
          <w:sz w:val="24"/>
          <w:szCs w:val="24"/>
          <w:vertAlign w:val="subscript"/>
        </w:rPr>
        <w:t>i</w:t>
      </w:r>
      <w:r w:rsidRPr="009E5B5E">
        <w:rPr>
          <w:sz w:val="24"/>
          <w:szCs w:val="24"/>
        </w:rPr>
        <w:t>), in-store display renewal (DISi), products relocation (RELOC</w:t>
      </w:r>
      <w:r w:rsidRPr="009E5B5E">
        <w:rPr>
          <w:sz w:val="24"/>
          <w:szCs w:val="24"/>
          <w:vertAlign w:val="subscript"/>
        </w:rPr>
        <w:t>i</w:t>
      </w:r>
      <w:r w:rsidRPr="009E5B5E">
        <w:rPr>
          <w:sz w:val="24"/>
          <w:szCs w:val="24"/>
        </w:rPr>
        <w:t>), and friend (FRIEND</w:t>
      </w:r>
      <w:r w:rsidRPr="009E5B5E">
        <w:rPr>
          <w:sz w:val="24"/>
          <w:szCs w:val="24"/>
          <w:vertAlign w:val="subscript"/>
        </w:rPr>
        <w:t>i</w:t>
      </w:r>
      <w:r w:rsidRPr="009E5B5E">
        <w:rPr>
          <w:sz w:val="24"/>
          <w:szCs w:val="24"/>
        </w:rPr>
        <w:t>). While, the control variables include dwell time (DT</w:t>
      </w:r>
      <w:r w:rsidRPr="009E5B5E">
        <w:rPr>
          <w:sz w:val="24"/>
          <w:szCs w:val="24"/>
          <w:vertAlign w:val="subscript"/>
        </w:rPr>
        <w:t>i</w:t>
      </w:r>
      <w:r w:rsidRPr="009E5B5E">
        <w:rPr>
          <w:sz w:val="24"/>
          <w:szCs w:val="24"/>
        </w:rPr>
        <w:t>), consumer’s innovativeness (INNOV</w:t>
      </w:r>
      <w:r w:rsidRPr="009E5B5E">
        <w:rPr>
          <w:sz w:val="24"/>
          <w:szCs w:val="24"/>
          <w:vertAlign w:val="subscript"/>
        </w:rPr>
        <w:t>i</w:t>
      </w:r>
      <w:r w:rsidRPr="009E5B5E">
        <w:rPr>
          <w:sz w:val="24"/>
          <w:szCs w:val="24"/>
        </w:rPr>
        <w:t>), product involvement (INVOL</w:t>
      </w:r>
      <w:r w:rsidRPr="009E5B5E">
        <w:rPr>
          <w:sz w:val="24"/>
          <w:szCs w:val="24"/>
          <w:vertAlign w:val="subscript"/>
        </w:rPr>
        <w:t>i</w:t>
      </w:r>
      <w:r w:rsidRPr="009E5B5E">
        <w:rPr>
          <w:sz w:val="24"/>
          <w:szCs w:val="24"/>
        </w:rPr>
        <w:t>), and dummies for employee contact (EC</w:t>
      </w:r>
      <w:r w:rsidRPr="009E5B5E">
        <w:rPr>
          <w:sz w:val="24"/>
          <w:szCs w:val="24"/>
          <w:vertAlign w:val="subscript"/>
        </w:rPr>
        <w:t>i</w:t>
      </w:r>
      <w:r w:rsidRPr="009E5B5E">
        <w:rPr>
          <w:sz w:val="24"/>
          <w:szCs w:val="24"/>
        </w:rPr>
        <w:t>), new arrivals (NA</w:t>
      </w:r>
      <w:r w:rsidRPr="009E5B5E">
        <w:rPr>
          <w:sz w:val="24"/>
          <w:szCs w:val="24"/>
          <w:vertAlign w:val="subscript"/>
        </w:rPr>
        <w:t>i</w:t>
      </w:r>
      <w:r w:rsidRPr="009E5B5E">
        <w:rPr>
          <w:sz w:val="24"/>
          <w:szCs w:val="24"/>
        </w:rPr>
        <w:t xml:space="preserve">), and regions visited by consumer </w:t>
      </w:r>
      <w:r w:rsidRPr="009E5B5E">
        <w:rPr>
          <w:rFonts w:cs="Calibri"/>
          <w:color w:val="000000"/>
          <w:sz w:val="24"/>
          <w:szCs w:val="24"/>
        </w:rPr>
        <w:t>(A</w:t>
      </w:r>
      <w:r w:rsidRPr="009E5B5E">
        <w:rPr>
          <w:rFonts w:cs="Calibri"/>
          <w:color w:val="000000"/>
          <w:sz w:val="24"/>
          <w:szCs w:val="24"/>
          <w:vertAlign w:val="subscript"/>
        </w:rPr>
        <w:t>i</w:t>
      </w:r>
      <w:r w:rsidRPr="009E5B5E">
        <w:rPr>
          <w:rFonts w:cs="Calibri"/>
          <w:color w:val="000000"/>
          <w:sz w:val="24"/>
          <w:szCs w:val="24"/>
        </w:rPr>
        <w:t>), (B</w:t>
      </w:r>
      <w:r w:rsidRPr="009E5B5E">
        <w:rPr>
          <w:rFonts w:cs="Calibri"/>
          <w:color w:val="000000"/>
          <w:sz w:val="24"/>
          <w:szCs w:val="24"/>
          <w:vertAlign w:val="subscript"/>
        </w:rPr>
        <w:t>i</w:t>
      </w:r>
      <w:r w:rsidRPr="009E5B5E">
        <w:rPr>
          <w:rFonts w:cs="Calibri"/>
          <w:color w:val="000000"/>
          <w:sz w:val="24"/>
          <w:szCs w:val="24"/>
        </w:rPr>
        <w:t>), (C</w:t>
      </w:r>
      <w:r w:rsidRPr="009E5B5E">
        <w:rPr>
          <w:rFonts w:cs="Calibri"/>
          <w:color w:val="000000"/>
          <w:sz w:val="24"/>
          <w:szCs w:val="24"/>
          <w:vertAlign w:val="subscript"/>
        </w:rPr>
        <w:t>i</w:t>
      </w:r>
      <w:r w:rsidRPr="009E5B5E">
        <w:rPr>
          <w:rFonts w:cs="Calibri"/>
          <w:color w:val="000000"/>
          <w:sz w:val="24"/>
          <w:szCs w:val="24"/>
        </w:rPr>
        <w:t>), and (D)</w:t>
      </w:r>
      <w:r w:rsidRPr="009E5B5E">
        <w:rPr>
          <w:rFonts w:cs="Calibri"/>
          <w:color w:val="000000"/>
          <w:sz w:val="24"/>
          <w:szCs w:val="24"/>
          <w:vertAlign w:val="subscript"/>
        </w:rPr>
        <w:t>i</w:t>
      </w:r>
      <w:r w:rsidRPr="009E5B5E">
        <w:rPr>
          <w:sz w:val="24"/>
          <w:szCs w:val="24"/>
        </w:rPr>
        <w:t>. This model is applied to the original and reduced dataset to check the robustness of the results. Such logistic regression model takes the following form.</w:t>
      </w:r>
    </w:p>
    <w:p w:rsidR="00DA2247" w:rsidRPr="009E5B5E" w:rsidRDefault="00DA2247" w:rsidP="00DA2247">
      <w:pPr>
        <w:spacing w:line="360" w:lineRule="auto"/>
        <w:jc w:val="both"/>
        <w:rPr>
          <w:sz w:val="24"/>
          <w:szCs w:val="24"/>
        </w:rPr>
      </w:pPr>
      <m:oMathPara>
        <m:oMath>
          <m:r>
            <m:rPr>
              <m:sty m:val="p"/>
            </m:rPr>
            <w:rPr>
              <w:rFonts w:ascii="Cambria Math" w:hAnsi="Cambria Math"/>
            </w:rPr>
            <m:t>Pr(</m:t>
          </m:r>
          <m:sSub>
            <m:sSubPr>
              <m:ctrlPr>
                <w:rPr>
                  <w:rFonts w:ascii="Cambria Math" w:hAnsi="Cambria Math"/>
                  <w:vertAlign w:val="subscript"/>
                </w:rPr>
              </m:ctrlPr>
            </m:sSubPr>
            <m:e>
              <m:r>
                <m:rPr>
                  <m:sty m:val="p"/>
                </m:rPr>
                <w:rPr>
                  <w:rFonts w:ascii="Cambria Math" w:hAnsi="Cambria Math"/>
                </w:rPr>
                <m:t>BUY</m:t>
              </m:r>
            </m:e>
            <m:sub>
              <m:r>
                <m:rPr>
                  <m:sty m:val="p"/>
                </m:rPr>
                <w:rPr>
                  <w:rFonts w:ascii="Cambria Math" w:hAnsi="Cambria Math"/>
                  <w:vertAlign w:val="subscript"/>
                </w:rPr>
                <m:t>i</m:t>
              </m:r>
            </m:sub>
          </m:sSub>
          <m:r>
            <m:rPr>
              <m:sty m:val="p"/>
            </m:rPr>
            <w:rPr>
              <w:rFonts w:ascii="Cambria Math" w:hAnsi="Cambria Math"/>
            </w:rPr>
            <m:t xml:space="preserve">=1)=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iCs/>
                    </w:rPr>
                  </m:ctrlPr>
                </m:sSupPr>
                <m:e>
                  <m:r>
                    <m:rPr>
                      <m:sty m:val="p"/>
                    </m:rPr>
                    <w:rPr>
                      <w:rFonts w:ascii="Cambria Math" w:hAnsi="Cambria Math"/>
                    </w:rPr>
                    <m:t>e</m:t>
                  </m:r>
                </m:e>
                <m:sup>
                  <m:eqArr>
                    <m:eqArrPr>
                      <m:ctrlPr>
                        <w:rPr>
                          <w:rFonts w:ascii="Cambria Math" w:hAnsi="Cambria Math"/>
                        </w:rPr>
                      </m:ctrlPr>
                    </m:eqArrPr>
                    <m:e>
                      <m:r>
                        <m:rPr>
                          <m:sty m:val="p"/>
                        </m:rPr>
                        <w:rPr>
                          <w:rFonts w:ascii="Cambria Math" w:hAnsi="Cambria Math"/>
                        </w:rPr>
                        <m:t>-(β0+β1*</m:t>
                      </m:r>
                      <m:sSub>
                        <m:sSubPr>
                          <m:ctrlPr>
                            <w:rPr>
                              <w:rFonts w:ascii="Cambria Math" w:hAnsi="Cambria Math"/>
                              <w:vertAlign w:val="subscript"/>
                            </w:rPr>
                          </m:ctrlPr>
                        </m:sSubPr>
                        <m:e>
                          <m:r>
                            <m:rPr>
                              <m:sty m:val="p"/>
                            </m:rPr>
                            <w:rPr>
                              <w:rFonts w:ascii="Cambria Math" w:hAnsi="Cambria Math"/>
                            </w:rPr>
                            <m:t>SALE</m:t>
                          </m:r>
                        </m:e>
                        <m:sub>
                          <m:r>
                            <m:rPr>
                              <m:sty m:val="p"/>
                            </m:rPr>
                            <w:rPr>
                              <w:rFonts w:ascii="Cambria Math" w:hAnsi="Cambria Math"/>
                              <w:vertAlign w:val="subscript"/>
                            </w:rPr>
                            <m:t>i</m:t>
                          </m:r>
                        </m:sub>
                      </m:sSub>
                      <m:r>
                        <m:rPr>
                          <m:sty m:val="p"/>
                        </m:rPr>
                        <w:rPr>
                          <w:rFonts w:ascii="Cambria Math" w:hAnsi="Cambria Math"/>
                        </w:rPr>
                        <m:t xml:space="preserve"> +β2*</m:t>
                      </m:r>
                      <m:sSub>
                        <m:sSubPr>
                          <m:ctrlPr>
                            <w:rPr>
                              <w:rFonts w:ascii="Cambria Math" w:hAnsi="Cambria Math"/>
                            </w:rPr>
                          </m:ctrlPr>
                        </m:sSubPr>
                        <m:e>
                          <m:r>
                            <m:rPr>
                              <m:sty m:val="p"/>
                            </m:rPr>
                            <w:rPr>
                              <w:rFonts w:ascii="Cambria Math" w:hAnsi="Cambria Math"/>
                            </w:rPr>
                            <m:t>DIS</m:t>
                          </m:r>
                        </m:e>
                        <m:sub>
                          <m:r>
                            <m:rPr>
                              <m:sty m:val="p"/>
                            </m:rPr>
                            <w:rPr>
                              <w:rFonts w:ascii="Cambria Math" w:hAnsi="Cambria Math"/>
                              <w:vertAlign w:val="subscript"/>
                            </w:rPr>
                            <m:t>i</m:t>
                          </m:r>
                        </m:sub>
                      </m:sSub>
                      <m:r>
                        <m:rPr>
                          <m:sty m:val="p"/>
                        </m:rPr>
                        <w:rPr>
                          <w:rFonts w:ascii="Cambria Math" w:hAnsi="Cambria Math"/>
                        </w:rPr>
                        <m:t>+β3*</m:t>
                      </m:r>
                      <m:r>
                        <m:rPr>
                          <m:sty m:val="p"/>
                        </m:rPr>
                        <w:rPr>
                          <w:rFonts w:ascii="Cambria Math" w:hAnsi="Cambria Math"/>
                          <w:vertAlign w:val="subscript"/>
                        </w:rPr>
                        <m:t>RELOCi</m:t>
                      </m:r>
                      <m:r>
                        <m:rPr>
                          <m:sty m:val="p"/>
                        </m:rPr>
                        <w:rPr>
                          <w:rFonts w:ascii="Cambria Math" w:hAnsi="Cambria Math"/>
                        </w:rPr>
                        <m:t>+ β4*</m:t>
                      </m:r>
                      <m:sSub>
                        <m:sSubPr>
                          <m:ctrlPr>
                            <w:rPr>
                              <w:rFonts w:ascii="Cambria Math" w:hAnsi="Cambria Math"/>
                              <w:vertAlign w:val="subscript"/>
                            </w:rPr>
                          </m:ctrlPr>
                        </m:sSubPr>
                        <m:e>
                          <m:r>
                            <m:rPr>
                              <m:sty m:val="p"/>
                            </m:rPr>
                            <w:rPr>
                              <w:rFonts w:ascii="Cambria Math" w:hAnsi="Cambria Math"/>
                            </w:rPr>
                            <m:t>FRIEND</m:t>
                          </m:r>
                        </m:e>
                        <m:sub>
                          <m:r>
                            <m:rPr>
                              <m:sty m:val="p"/>
                            </m:rPr>
                            <w:rPr>
                              <w:rFonts w:ascii="Cambria Math" w:hAnsi="Cambria Math"/>
                              <w:vertAlign w:val="subscript"/>
                            </w:rPr>
                            <m:t>i</m:t>
                          </m:r>
                        </m:sub>
                      </m:sSub>
                      <m:r>
                        <m:rPr>
                          <m:sty m:val="p"/>
                        </m:rPr>
                        <w:rPr>
                          <w:rFonts w:ascii="Cambria Math" w:hAnsi="Cambria Math"/>
                        </w:rPr>
                        <m:t>+β5*</m:t>
                      </m:r>
                      <m:sSub>
                        <m:sSubPr>
                          <m:ctrlPr>
                            <w:rPr>
                              <w:rFonts w:ascii="Cambria Math" w:hAnsi="Cambria Math"/>
                              <w:vertAlign w:val="subscript"/>
                            </w:rPr>
                          </m:ctrlPr>
                        </m:sSubPr>
                        <m:e>
                          <m:r>
                            <m:rPr>
                              <m:sty m:val="p"/>
                            </m:rPr>
                            <w:rPr>
                              <w:rFonts w:ascii="Cambria Math" w:hAnsi="Cambria Math"/>
                            </w:rPr>
                            <m:t>DT</m:t>
                          </m:r>
                        </m:e>
                        <m:sub>
                          <m:r>
                            <m:rPr>
                              <m:sty m:val="p"/>
                            </m:rPr>
                            <w:rPr>
                              <w:rFonts w:ascii="Cambria Math" w:hAnsi="Cambria Math"/>
                              <w:vertAlign w:val="subscript"/>
                            </w:rPr>
                            <m:t>i</m:t>
                          </m:r>
                        </m:sub>
                      </m:sSub>
                      <m:r>
                        <m:rPr>
                          <m:sty m:val="p"/>
                        </m:rPr>
                        <w:rPr>
                          <w:rFonts w:ascii="Cambria Math" w:hAnsi="Cambria Math"/>
                        </w:rPr>
                        <m:t>+β6*</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i</m:t>
                          </m:r>
                        </m:sub>
                      </m:sSub>
                      <m:r>
                        <m:rPr>
                          <m:sty m:val="p"/>
                        </m:rPr>
                        <w:rPr>
                          <w:rFonts w:ascii="Cambria Math" w:hAnsi="Cambria Math"/>
                        </w:rPr>
                        <m:t>+β7*</m:t>
                      </m:r>
                      <m:sSub>
                        <m:sSubPr>
                          <m:ctrlPr>
                            <w:rPr>
                              <w:rFonts w:ascii="Cambria Math" w:hAnsi="Cambria Math"/>
                            </w:rPr>
                          </m:ctrlPr>
                        </m:sSubPr>
                        <m:e>
                          <m:r>
                            <m:rPr>
                              <m:sty m:val="p"/>
                            </m:rPr>
                            <w:rPr>
                              <w:rFonts w:ascii="Cambria Math" w:hAnsi="Cambria Math"/>
                            </w:rPr>
                            <m:t>NA</m:t>
                          </m:r>
                        </m:e>
                        <m:sub>
                          <m:r>
                            <m:rPr>
                              <m:sty m:val="p"/>
                            </m:rPr>
                            <w:rPr>
                              <w:rFonts w:ascii="Cambria Math" w:hAnsi="Cambria Math"/>
                              <w:vertAlign w:val="subscript"/>
                            </w:rPr>
                            <m:t>i</m:t>
                          </m:r>
                        </m:sub>
                      </m:sSub>
                      <m:r>
                        <m:rPr>
                          <m:sty m:val="p"/>
                        </m:rPr>
                        <w:rPr>
                          <w:rFonts w:ascii="Cambria Math" w:hAnsi="Cambria Math"/>
                        </w:rPr>
                        <m:t>+β8*</m:t>
                      </m:r>
                      <m:sSub>
                        <m:sSubPr>
                          <m:ctrlPr>
                            <w:rPr>
                              <w:rFonts w:ascii="Cambria Math" w:hAnsi="Cambria Math"/>
                            </w:rPr>
                          </m:ctrlPr>
                        </m:sSubPr>
                        <m:e>
                          <m:r>
                            <m:rPr>
                              <m:sty m:val="p"/>
                            </m:rPr>
                            <w:rPr>
                              <w:rFonts w:ascii="Cambria Math" w:hAnsi="Cambria Math"/>
                            </w:rPr>
                            <m:t>INNOV</m:t>
                          </m:r>
                        </m:e>
                        <m:sub>
                          <m:r>
                            <m:rPr>
                              <m:sty m:val="p"/>
                            </m:rPr>
                            <w:rPr>
                              <w:rFonts w:ascii="Cambria Math" w:hAnsi="Cambria Math"/>
                            </w:rPr>
                            <m:t xml:space="preserve">i </m:t>
                          </m:r>
                        </m:sub>
                      </m:sSub>
                      <m:r>
                        <m:rPr>
                          <m:sty m:val="p"/>
                        </m:rPr>
                        <w:rPr>
                          <w:rFonts w:ascii="Cambria Math" w:hAnsi="Cambria Math"/>
                        </w:rPr>
                        <m:t>+ β9*</m:t>
                      </m:r>
                      <m:sSub>
                        <m:sSubPr>
                          <m:ctrlPr>
                            <w:rPr>
                              <w:rFonts w:ascii="Cambria Math" w:hAnsi="Cambria Math"/>
                            </w:rPr>
                          </m:ctrlPr>
                        </m:sSubPr>
                        <m:e>
                          <m:r>
                            <m:rPr>
                              <m:sty m:val="p"/>
                            </m:rPr>
                            <w:rPr>
                              <w:rFonts w:ascii="Cambria Math" w:hAnsi="Cambria Math"/>
                            </w:rPr>
                            <m:t>INVOL</m:t>
                          </m:r>
                        </m:e>
                        <m:sub>
                          <m:r>
                            <m:rPr>
                              <m:sty m:val="p"/>
                            </m:rPr>
                            <w:rPr>
                              <w:rFonts w:ascii="Cambria Math" w:hAnsi="Cambria Math"/>
                            </w:rPr>
                            <m:t>i</m:t>
                          </m:r>
                        </m:sub>
                      </m:sSub>
                      <m:r>
                        <m:rPr>
                          <m:sty m:val="p"/>
                        </m:rPr>
                        <w:rPr>
                          <w:rFonts w:ascii="Cambria Math" w:hAnsi="Cambria Math"/>
                        </w:rPr>
                        <m:t xml:space="preserve"> </m:t>
                      </m:r>
                    </m:e>
                    <m:e>
                      <m:r>
                        <m:rPr>
                          <m:sty m:val="p"/>
                        </m:rPr>
                        <w:rPr>
                          <w:rFonts w:ascii="Cambria Math" w:hAnsi="Cambria Math"/>
                        </w:rPr>
                        <m:t>+β10*</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m:rPr>
                          <m:sty m:val="p"/>
                        </m:rPr>
                        <w:rPr>
                          <w:rFonts w:ascii="Cambria Math" w:hAnsi="Cambria Math"/>
                        </w:rPr>
                        <m:t>+β11*</m:t>
                      </m:r>
                      <m:sSub>
                        <m:sSubPr>
                          <m:ctrlPr>
                            <w:rPr>
                              <w:rFonts w:ascii="Cambria Math" w:hAnsi="Cambria Math"/>
                            </w:rPr>
                          </m:ctrlPr>
                        </m:sSubPr>
                        <m:e>
                          <m:r>
                            <m:rPr>
                              <m:sty m:val="p"/>
                            </m:rPr>
                            <w:rPr>
                              <w:rFonts w:ascii="Cambria Math" w:hAnsi="Cambria Math"/>
                            </w:rPr>
                            <m:t>B</m:t>
                          </m:r>
                        </m:e>
                        <m:sub>
                          <m:r>
                            <m:rPr>
                              <m:sty m:val="p"/>
                            </m:rPr>
                            <w:rPr>
                              <w:rFonts w:ascii="Cambria Math" w:hAnsi="Cambria Math"/>
                              <w:vertAlign w:val="subscript"/>
                            </w:rPr>
                            <m:t>i</m:t>
                          </m:r>
                        </m:sub>
                      </m:sSub>
                      <m:r>
                        <m:rPr>
                          <m:sty m:val="p"/>
                        </m:rPr>
                        <w:rPr>
                          <w:rFonts w:ascii="Cambria Math" w:hAnsi="Cambria Math"/>
                        </w:rPr>
                        <m:t>+β12*</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i </m:t>
                          </m:r>
                        </m:sub>
                      </m:sSub>
                      <m:r>
                        <m:rPr>
                          <m:sty m:val="p"/>
                        </m:rPr>
                        <w:rPr>
                          <w:rFonts w:ascii="Cambria Math" w:hAnsi="Cambria Math"/>
                        </w:rPr>
                        <m:t>+ β13*</m:t>
                      </m:r>
                      <m:sSub>
                        <m:sSubPr>
                          <m:ctrlPr>
                            <w:rPr>
                              <w:rFonts w:ascii="Cambria Math" w:hAnsi="Cambria Math"/>
                            </w:rPr>
                          </m:ctrlPr>
                        </m:sSubPr>
                        <m:e>
                          <m:r>
                            <m:rPr>
                              <m:sty m:val="p"/>
                            </m:rPr>
                            <w:rPr>
                              <w:rFonts w:ascii="Cambria Math" w:hAnsi="Cambria Math"/>
                            </w:rPr>
                            <m:t xml:space="preserve">D </m:t>
                          </m:r>
                        </m:e>
                        <m:sub>
                          <m:r>
                            <m:rPr>
                              <m:sty m:val="p"/>
                            </m:rPr>
                            <w:rPr>
                              <w:rFonts w:ascii="Cambria Math" w:hAnsi="Cambria Math"/>
                            </w:rPr>
                            <m:t>i</m:t>
                          </m:r>
                        </m:sub>
                      </m:sSub>
                      <m:r>
                        <m:rPr>
                          <m:sty m:val="p"/>
                        </m:rPr>
                        <w:rPr>
                          <w:rFonts w:ascii="Cambria Math" w:hAnsi="Cambria Math"/>
                        </w:rPr>
                        <m:t>)</m:t>
                      </m:r>
                    </m:e>
                  </m:eqArr>
                </m:sup>
              </m:sSup>
            </m:den>
          </m:f>
        </m:oMath>
      </m:oMathPara>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sz w:val="24"/>
          <w:szCs w:val="24"/>
        </w:rPr>
      </w:pPr>
      <w:r w:rsidRPr="009E5B5E">
        <w:rPr>
          <w:sz w:val="24"/>
          <w:szCs w:val="24"/>
        </w:rPr>
        <w:t>To test H3, H4a and H4b, I construct the second logistic regression model and label as ‘gender specific model’. The independent variable in this model includes dummy for in-store marketing (InStMkt</w:t>
      </w:r>
      <w:r w:rsidRPr="009E5B5E">
        <w:rPr>
          <w:sz w:val="24"/>
          <w:szCs w:val="24"/>
          <w:vertAlign w:val="subscript"/>
        </w:rPr>
        <w:t>i</w:t>
      </w:r>
      <w:r w:rsidRPr="009E5B5E">
        <w:rPr>
          <w:sz w:val="24"/>
          <w:szCs w:val="24"/>
        </w:rPr>
        <w:t xml:space="preserve"> -which aggregates the three in-store marketing variables in </w:t>
      </w:r>
      <w:r w:rsidRPr="009E5B5E">
        <w:rPr>
          <w:sz w:val="24"/>
          <w:szCs w:val="24"/>
        </w:rPr>
        <w:lastRenderedPageBreak/>
        <w:t>the previous model to maintain my model parsimonious), dummy for friend (FRIEND</w:t>
      </w:r>
      <w:r w:rsidRPr="009E5B5E">
        <w:rPr>
          <w:sz w:val="24"/>
          <w:szCs w:val="24"/>
          <w:vertAlign w:val="subscript"/>
        </w:rPr>
        <w:t>i</w:t>
      </w:r>
      <w:r w:rsidRPr="009E5B5E">
        <w:rPr>
          <w:sz w:val="24"/>
          <w:szCs w:val="24"/>
        </w:rPr>
        <w:t>), interaction term between in-store marketing and friend (InStMkt</w:t>
      </w:r>
      <w:r w:rsidRPr="009E5B5E">
        <w:rPr>
          <w:sz w:val="24"/>
          <w:szCs w:val="24"/>
          <w:vertAlign w:val="subscript"/>
        </w:rPr>
        <w:t>i</w:t>
      </w:r>
      <w:r w:rsidRPr="009E5B5E">
        <w:rPr>
          <w:sz w:val="24"/>
          <w:szCs w:val="24"/>
        </w:rPr>
        <w:t>*FRIEND</w:t>
      </w:r>
      <w:r w:rsidRPr="009E5B5E">
        <w:rPr>
          <w:sz w:val="24"/>
          <w:szCs w:val="24"/>
          <w:vertAlign w:val="subscript"/>
        </w:rPr>
        <w:t>i</w:t>
      </w:r>
      <w:r w:rsidRPr="009E5B5E">
        <w:rPr>
          <w:sz w:val="24"/>
          <w:szCs w:val="24"/>
        </w:rPr>
        <w:t>), and between friend and gender (FRIEND</w:t>
      </w:r>
      <w:r w:rsidRPr="009E5B5E">
        <w:rPr>
          <w:sz w:val="24"/>
          <w:szCs w:val="24"/>
          <w:vertAlign w:val="subscript"/>
        </w:rPr>
        <w:t>i</w:t>
      </w:r>
      <w:r w:rsidRPr="009E5B5E">
        <w:rPr>
          <w:sz w:val="24"/>
          <w:szCs w:val="24"/>
        </w:rPr>
        <w:t>*GENDER</w:t>
      </w:r>
      <w:r w:rsidRPr="009E5B5E">
        <w:rPr>
          <w:sz w:val="24"/>
          <w:szCs w:val="24"/>
          <w:vertAlign w:val="subscript"/>
        </w:rPr>
        <w:t>i</w:t>
      </w:r>
      <w:r w:rsidRPr="009E5B5E">
        <w:rPr>
          <w:sz w:val="24"/>
          <w:szCs w:val="24"/>
        </w:rPr>
        <w:t>). The control variables include dwell time (DT</w:t>
      </w:r>
      <w:r w:rsidRPr="009E5B5E">
        <w:rPr>
          <w:sz w:val="24"/>
          <w:szCs w:val="24"/>
          <w:vertAlign w:val="subscript"/>
        </w:rPr>
        <w:t>i</w:t>
      </w:r>
      <w:r w:rsidRPr="009E5B5E">
        <w:rPr>
          <w:sz w:val="24"/>
          <w:szCs w:val="24"/>
        </w:rPr>
        <w:t>), consumer’s innovativeness (INNOV</w:t>
      </w:r>
      <w:r w:rsidRPr="009E5B5E">
        <w:rPr>
          <w:sz w:val="24"/>
          <w:szCs w:val="24"/>
          <w:vertAlign w:val="subscript"/>
        </w:rPr>
        <w:t>i</w:t>
      </w:r>
      <w:r w:rsidRPr="009E5B5E">
        <w:rPr>
          <w:sz w:val="24"/>
          <w:szCs w:val="24"/>
        </w:rPr>
        <w:t>), product involvement (INVOL</w:t>
      </w:r>
      <w:r w:rsidRPr="009E5B5E">
        <w:rPr>
          <w:sz w:val="24"/>
          <w:szCs w:val="24"/>
          <w:vertAlign w:val="subscript"/>
        </w:rPr>
        <w:t>i</w:t>
      </w:r>
      <w:r w:rsidRPr="009E5B5E">
        <w:rPr>
          <w:sz w:val="24"/>
          <w:szCs w:val="24"/>
        </w:rPr>
        <w:t>), and dummies for employee contact (EC</w:t>
      </w:r>
      <w:r w:rsidRPr="009E5B5E">
        <w:rPr>
          <w:sz w:val="24"/>
          <w:szCs w:val="24"/>
          <w:vertAlign w:val="subscript"/>
        </w:rPr>
        <w:t>i</w:t>
      </w:r>
      <w:r w:rsidRPr="009E5B5E">
        <w:rPr>
          <w:sz w:val="24"/>
          <w:szCs w:val="24"/>
        </w:rPr>
        <w:t>), and new arrivals (NA</w:t>
      </w:r>
      <w:r w:rsidRPr="009E5B5E">
        <w:rPr>
          <w:sz w:val="24"/>
          <w:szCs w:val="24"/>
          <w:vertAlign w:val="subscript"/>
        </w:rPr>
        <w:t>i</w:t>
      </w:r>
      <w:r w:rsidRPr="009E5B5E">
        <w:rPr>
          <w:sz w:val="24"/>
          <w:szCs w:val="24"/>
        </w:rPr>
        <w:t>). This model which takes the following form is applied to gender restricted dataset.</w:t>
      </w:r>
    </w:p>
    <w:p w:rsidR="00DA2247" w:rsidRPr="009E5B5E" w:rsidRDefault="00DA2247" w:rsidP="00DA2247">
      <w:pPr>
        <w:spacing w:line="360" w:lineRule="auto"/>
        <w:jc w:val="both"/>
        <w:rPr>
          <w:sz w:val="24"/>
          <w:szCs w:val="24"/>
        </w:rPr>
      </w:pPr>
      <m:oMathPara>
        <m:oMath>
          <m:r>
            <w:rPr>
              <w:rFonts w:ascii="Cambria Math" w:hAnsi="Cambria Math"/>
            </w:rPr>
            <m:t>Probability (</m:t>
          </m:r>
          <m:sSub>
            <m:sSubPr>
              <m:ctrlPr>
                <w:rPr>
                  <w:rFonts w:ascii="Cambria Math" w:hAnsi="Cambria Math"/>
                  <w:i/>
                </w:rPr>
              </m:ctrlPr>
            </m:sSubPr>
            <m:e>
              <m:r>
                <w:rPr>
                  <w:rFonts w:ascii="Cambria Math"/>
                </w:rPr>
                <m:t>BUY</m:t>
              </m:r>
            </m:e>
            <m:sub>
              <m:r>
                <w:rPr>
                  <w:rFonts w:ascii="Cambria Math"/>
                </w:rPr>
                <m:t>i</m:t>
              </m:r>
            </m:sub>
          </m:sSub>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eqArr>
                    <m:eqArrPr>
                      <m:ctrlPr>
                        <w:rPr>
                          <w:rFonts w:ascii="Cambria Math" w:hAnsi="Cambria Math"/>
                          <w:i/>
                        </w:rPr>
                      </m:ctrlPr>
                    </m:eqArrPr>
                    <m:e>
                      <m:r>
                        <w:rPr>
                          <w:rFonts w:ascii="Cambria Math" w:hAnsi="Cambria Math"/>
                        </w:rPr>
                        <m:t>-(β0+β1*</m:t>
                      </m:r>
                      <m:sSub>
                        <m:sSubPr>
                          <m:ctrlPr>
                            <w:rPr>
                              <w:rFonts w:ascii="Cambria Math" w:hAnsi="Cambria Math"/>
                              <w:i/>
                            </w:rPr>
                          </m:ctrlPr>
                        </m:sSubPr>
                        <m:e>
                          <m:r>
                            <w:rPr>
                              <w:rFonts w:ascii="Cambria Math" w:hAnsi="Cambria Math"/>
                            </w:rPr>
                            <m:t>InStMkt</m:t>
                          </m:r>
                        </m:e>
                        <m:sub>
                          <m:r>
                            <w:rPr>
                              <w:rFonts w:ascii="Cambria Math" w:hAnsi="Cambria Math"/>
                            </w:rPr>
                            <m:t>1</m:t>
                          </m:r>
                        </m:sub>
                      </m:sSub>
                      <m:r>
                        <w:rPr>
                          <w:rFonts w:ascii="Cambria Math" w:hAnsi="Cambria Math"/>
                        </w:rPr>
                        <m:t>+β2*</m:t>
                      </m:r>
                      <m:sSub>
                        <m:sSubPr>
                          <m:ctrlPr>
                            <w:rPr>
                              <w:rFonts w:ascii="Cambria Math" w:hAnsi="Cambria Math"/>
                              <w:i/>
                            </w:rPr>
                          </m:ctrlPr>
                        </m:sSubPr>
                        <m:e>
                          <m:r>
                            <w:rPr>
                              <w:rFonts w:ascii="Cambria Math" w:hAnsi="Cambria Math"/>
                            </w:rPr>
                            <m:t>FRIEND</m:t>
                          </m:r>
                        </m:e>
                        <m:sub>
                          <m:r>
                            <w:rPr>
                              <w:rFonts w:ascii="Cambria Math" w:hAnsi="Cambria Math"/>
                            </w:rPr>
                            <m:t>i</m:t>
                          </m:r>
                        </m:sub>
                      </m:sSub>
                      <m:r>
                        <w:rPr>
                          <w:rFonts w:ascii="Cambria Math" w:hAnsi="Cambria Math"/>
                        </w:rPr>
                        <m:t>+β3*</m:t>
                      </m:r>
                      <m:sSub>
                        <m:sSubPr>
                          <m:ctrlPr>
                            <w:rPr>
                              <w:rFonts w:ascii="Cambria Math" w:hAnsi="Cambria Math"/>
                              <w:i/>
                            </w:rPr>
                          </m:ctrlPr>
                        </m:sSubPr>
                        <m:e>
                          <m:r>
                            <w:rPr>
                              <w:rFonts w:ascii="Cambria Math" w:hAnsi="Cambria Math"/>
                            </w:rPr>
                            <m:t>InStMkt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+β4*</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m:t>
                      </m:r>
                      <m:sSub>
                        <m:sSubPr>
                          <m:ctrlPr>
                            <w:rPr>
                              <w:rFonts w:ascii="Cambria Math" w:hAnsi="Cambria Math"/>
                              <w:i/>
                            </w:rPr>
                          </m:ctrlPr>
                        </m:sSubPr>
                        <m:e>
                          <m:r>
                            <w:rPr>
                              <w:rFonts w:ascii="Cambria Math"/>
                            </w:rPr>
                            <m:t>GENDER</m:t>
                          </m:r>
                        </m:e>
                        <m:sub>
                          <m:r>
                            <w:rPr>
                              <w:rFonts w:ascii="Cambria Math"/>
                            </w:rPr>
                            <m:t>i</m:t>
                          </m:r>
                        </m:sub>
                      </m:sSub>
                      <m:r>
                        <w:rPr>
                          <w:rFonts w:ascii="Cambria Math" w:hAnsi="Cambria Math"/>
                        </w:rPr>
                        <m:t>+β5*</m:t>
                      </m:r>
                      <m:sSub>
                        <m:sSubPr>
                          <m:ctrlPr>
                            <w:rPr>
                              <w:rFonts w:ascii="Cambria Math" w:hAnsi="Cambria Math"/>
                              <w:i/>
                            </w:rPr>
                          </m:ctrlPr>
                        </m:sSubPr>
                        <m:e>
                          <m:r>
                            <w:rPr>
                              <w:rFonts w:ascii="Cambria Math" w:hAnsi="Cambria Math"/>
                            </w:rPr>
                            <m:t>DT</m:t>
                          </m:r>
                        </m:e>
                        <m:sub>
                          <m:r>
                            <w:rPr>
                              <w:rFonts w:ascii="Cambria Math" w:hAnsi="Cambria Math"/>
                            </w:rPr>
                            <m:t>i</m:t>
                          </m:r>
                        </m:sub>
                      </m:sSub>
                      <m:r>
                        <w:rPr>
                          <w:rFonts w:ascii="Cambria Math" w:hAnsi="Cambria Math"/>
                        </w:rPr>
                        <m:t>+β6*</m:t>
                      </m:r>
                      <m:sSub>
                        <m:sSubPr>
                          <m:ctrlPr>
                            <w:rPr>
                              <w:rFonts w:ascii="Cambria Math" w:hAnsi="Cambria Math"/>
                              <w:i/>
                            </w:rPr>
                          </m:ctrlPr>
                        </m:sSubPr>
                        <m:e>
                          <m:r>
                            <w:rPr>
                              <w:rFonts w:ascii="Cambria Math" w:hAnsi="Cambria Math"/>
                            </w:rPr>
                            <m:t>EC</m:t>
                          </m:r>
                        </m:e>
                        <m:sub>
                          <m:r>
                            <w:rPr>
                              <w:rFonts w:ascii="Cambria Math" w:hAnsi="Cambria Math"/>
                            </w:rPr>
                            <m:t>i</m:t>
                          </m:r>
                        </m:sub>
                      </m:sSub>
                    </m:e>
                    <m:e>
                      <m:r>
                        <w:rPr>
                          <w:rFonts w:ascii="Cambria Math" w:hAnsi="Cambria Math"/>
                        </w:rPr>
                        <m:t>+β7*</m:t>
                      </m:r>
                      <m:sSub>
                        <m:sSubPr>
                          <m:ctrlPr>
                            <w:rPr>
                              <w:rFonts w:ascii="Cambria Math" w:hAnsi="Cambria Math"/>
                              <w:i/>
                            </w:rPr>
                          </m:ctrlPr>
                        </m:sSubPr>
                        <m:e>
                          <m:r>
                            <w:rPr>
                              <w:rFonts w:ascii="Cambria Math" w:hAnsi="Cambria Math"/>
                            </w:rPr>
                            <m:t>NA</m:t>
                          </m:r>
                        </m:e>
                        <m:sub>
                          <m:r>
                            <w:rPr>
                              <w:rFonts w:ascii="Cambria Math" w:hAnsi="Cambria Math"/>
                            </w:rPr>
                            <m:t>i</m:t>
                          </m:r>
                        </m:sub>
                      </m:sSub>
                      <m:r>
                        <w:rPr>
                          <w:rFonts w:ascii="Cambria Math" w:hAnsi="Cambria Math"/>
                        </w:rPr>
                        <m:t>+</m:t>
                      </m:r>
                      <m:r>
                        <m:rPr>
                          <m:sty m:val="p"/>
                        </m:rPr>
                        <w:rPr>
                          <w:rFonts w:ascii="Cambria Math" w:hAnsi="Cambria Math"/>
                        </w:rPr>
                        <m:t>β8*</m:t>
                      </m:r>
                      <m:sSub>
                        <m:sSubPr>
                          <m:ctrlPr>
                            <w:rPr>
                              <w:rFonts w:ascii="Cambria Math" w:hAnsi="Cambria Math"/>
                            </w:rPr>
                          </m:ctrlPr>
                        </m:sSubPr>
                        <m:e>
                          <m:r>
                            <m:rPr>
                              <m:sty m:val="p"/>
                            </m:rPr>
                            <w:rPr>
                              <w:rFonts w:ascii="Cambria Math" w:hAnsi="Cambria Math"/>
                            </w:rPr>
                            <m:t>INNOV</m:t>
                          </m:r>
                        </m:e>
                        <m:sub>
                          <m:r>
                            <m:rPr>
                              <m:sty m:val="p"/>
                            </m:rPr>
                            <w:rPr>
                              <w:rFonts w:ascii="Cambria Math" w:hAnsi="Cambria Math"/>
                            </w:rPr>
                            <m:t xml:space="preserve">i </m:t>
                          </m:r>
                        </m:sub>
                      </m:sSub>
                      <m:r>
                        <m:rPr>
                          <m:sty m:val="p"/>
                        </m:rPr>
                        <w:rPr>
                          <w:rFonts w:ascii="Cambria Math" w:hAnsi="Cambria Math"/>
                        </w:rPr>
                        <m:t>+ β9*</m:t>
                      </m:r>
                      <m:sSub>
                        <m:sSubPr>
                          <m:ctrlPr>
                            <w:rPr>
                              <w:rFonts w:ascii="Cambria Math" w:hAnsi="Cambria Math"/>
                            </w:rPr>
                          </m:ctrlPr>
                        </m:sSubPr>
                        <m:e>
                          <m:r>
                            <m:rPr>
                              <m:sty m:val="p"/>
                            </m:rPr>
                            <w:rPr>
                              <w:rFonts w:ascii="Cambria Math" w:hAnsi="Cambria Math"/>
                            </w:rPr>
                            <m:t>INVOL</m:t>
                          </m:r>
                        </m:e>
                        <m:sub>
                          <m:r>
                            <m:rPr>
                              <m:sty m:val="p"/>
                            </m:rPr>
                            <w:rPr>
                              <w:rFonts w:ascii="Cambria Math" w:hAnsi="Cambria Math"/>
                            </w:rPr>
                            <m:t>i</m:t>
                          </m:r>
                        </m:sub>
                      </m:sSub>
                      <m:r>
                        <w:rPr>
                          <w:rFonts w:ascii="Cambria Math" w:hAnsi="Cambria Math"/>
                        </w:rPr>
                        <m:t>)</m:t>
                      </m:r>
                    </m:e>
                  </m:eqArr>
                </m:sup>
              </m:sSup>
            </m:den>
          </m:f>
        </m:oMath>
      </m:oMathPara>
    </w:p>
    <w:p w:rsidR="00DA2247" w:rsidRPr="009E5B5E" w:rsidRDefault="00DA2247" w:rsidP="00DA2247">
      <w:pPr>
        <w:spacing w:line="360" w:lineRule="auto"/>
        <w:jc w:val="both"/>
        <w:rPr>
          <w:sz w:val="24"/>
          <w:szCs w:val="24"/>
        </w:rPr>
      </w:pPr>
      <w:r w:rsidRPr="009E5B5E">
        <w:rPr>
          <w:sz w:val="24"/>
          <w:szCs w:val="24"/>
        </w:rPr>
        <w:t>The last logistic regression model which I label as ‘three-way interaction include model’ is construct to test H5a and H5b. This model include the additional component capturing the effect between in-store marketing, friend, and gender dummies (InStMkt</w:t>
      </w:r>
      <w:r w:rsidRPr="009E5B5E">
        <w:rPr>
          <w:sz w:val="24"/>
          <w:szCs w:val="24"/>
          <w:vertAlign w:val="subscript"/>
        </w:rPr>
        <w:t>i</w:t>
      </w:r>
      <w:r w:rsidRPr="009E5B5E">
        <w:rPr>
          <w:sz w:val="24"/>
          <w:szCs w:val="24"/>
        </w:rPr>
        <w:t xml:space="preserve"> *FRIEND</w:t>
      </w:r>
      <w:r w:rsidRPr="009E5B5E">
        <w:rPr>
          <w:sz w:val="24"/>
          <w:szCs w:val="24"/>
          <w:vertAlign w:val="subscript"/>
        </w:rPr>
        <w:t>i</w:t>
      </w:r>
      <w:r w:rsidRPr="009E5B5E">
        <w:rPr>
          <w:sz w:val="24"/>
          <w:szCs w:val="24"/>
        </w:rPr>
        <w:t>*GENDER</w:t>
      </w:r>
      <w:r w:rsidRPr="009E5B5E">
        <w:rPr>
          <w:sz w:val="24"/>
          <w:szCs w:val="24"/>
          <w:vertAlign w:val="subscript"/>
        </w:rPr>
        <w:t>i</w:t>
      </w:r>
      <w:r w:rsidRPr="009E5B5E">
        <w:rPr>
          <w:sz w:val="24"/>
          <w:szCs w:val="24"/>
        </w:rPr>
        <w:t>). The rest of the independent and control variables included in this model are the same as gender specific model. Therefore, it takes the following form and is applied to gender restricted dataset.</w:t>
      </w:r>
    </w:p>
    <w:p w:rsidR="00DA2247" w:rsidRPr="009E5B5E" w:rsidRDefault="00DA2247" w:rsidP="00DA2247">
      <w:pPr>
        <w:tabs>
          <w:tab w:val="left" w:pos="5666"/>
        </w:tabs>
        <w:spacing w:line="360" w:lineRule="auto"/>
        <w:jc w:val="both"/>
        <w:rPr>
          <w:b/>
          <w:bCs/>
          <w:sz w:val="28"/>
        </w:rPr>
      </w:pPr>
      <m:oMathPara>
        <m:oMath>
          <m:r>
            <w:rPr>
              <w:rFonts w:ascii="Cambria Math" w:hAnsi="Cambria Math"/>
            </w:rPr>
            <m:t xml:space="preserve">Probability </m:t>
          </m:r>
          <m:d>
            <m:dPr>
              <m:ctrlPr>
                <w:rPr>
                  <w:rFonts w:ascii="Cambria Math" w:hAnsi="Cambria Math"/>
                  <w:i/>
                </w:rPr>
              </m:ctrlPr>
            </m:dPr>
            <m:e>
              <m:sSub>
                <m:sSubPr>
                  <m:ctrlPr>
                    <w:rPr>
                      <w:rFonts w:ascii="Cambria Math" w:hAnsi="Cambria Math"/>
                      <w:i/>
                    </w:rPr>
                  </m:ctrlPr>
                </m:sSubPr>
                <m:e>
                  <m:r>
                    <w:rPr>
                      <w:rFonts w:ascii="Cambria Math" w:hAnsi="Cambria Math"/>
                    </w:rPr>
                    <m:t>BUY</m:t>
                  </m:r>
                </m:e>
                <m:sub>
                  <m:r>
                    <w:rPr>
                      <w:rFonts w:ascii="Cambria Math" w:hAnsi="Cambria Math"/>
                    </w:rPr>
                    <m:t>i</m:t>
                  </m:r>
                </m:sub>
              </m:sSub>
              <m:r>
                <w:rPr>
                  <w:rFonts w:ascii="Cambria Math" w:hAnsi="Cambria Math"/>
                </w:rPr>
                <m:t>=1</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eqArr>
                    <m:eqArrPr>
                      <m:ctrlPr>
                        <w:rPr>
                          <w:rFonts w:ascii="Cambria Math" w:hAnsi="Cambria Math"/>
                          <w:i/>
                        </w:rPr>
                      </m:ctrlPr>
                    </m:eqArrPr>
                    <m:e>
                      <m:r>
                        <w:rPr>
                          <w:rFonts w:ascii="Cambria Math" w:hAnsi="Cambria Math"/>
                        </w:rPr>
                        <m:t>-(β0+β1*</m:t>
                      </m:r>
                      <m:sSub>
                        <m:sSubPr>
                          <m:ctrlPr>
                            <w:rPr>
                              <w:rFonts w:ascii="Cambria Math" w:hAnsi="Cambria Math"/>
                              <w:i/>
                            </w:rPr>
                          </m:ctrlPr>
                        </m:sSubPr>
                        <m:e>
                          <m:r>
                            <w:rPr>
                              <w:rFonts w:ascii="Cambria Math" w:hAnsi="Cambria Math"/>
                            </w:rPr>
                            <m:t>InStMkt</m:t>
                          </m:r>
                        </m:e>
                        <m:sub>
                          <m:r>
                            <w:rPr>
                              <w:rFonts w:ascii="Cambria Math" w:hAnsi="Cambria Math"/>
                            </w:rPr>
                            <m:t>1</m:t>
                          </m:r>
                        </m:sub>
                      </m:sSub>
                      <m:r>
                        <w:rPr>
                          <w:rFonts w:ascii="Cambria Math" w:hAnsi="Cambria Math"/>
                        </w:rPr>
                        <m:t>+β2*</m:t>
                      </m:r>
                      <m:sSub>
                        <m:sSubPr>
                          <m:ctrlPr>
                            <w:rPr>
                              <w:rFonts w:ascii="Cambria Math" w:hAnsi="Cambria Math"/>
                              <w:i/>
                            </w:rPr>
                          </m:ctrlPr>
                        </m:sSubPr>
                        <m:e>
                          <m:r>
                            <w:rPr>
                              <w:rFonts w:ascii="Cambria Math" w:hAnsi="Cambria Math"/>
                            </w:rPr>
                            <m:t>FRIEND</m:t>
                          </m:r>
                        </m:e>
                        <m:sub>
                          <m:r>
                            <w:rPr>
                              <w:rFonts w:ascii="Cambria Math" w:hAnsi="Cambria Math"/>
                            </w:rPr>
                            <m:t>i</m:t>
                          </m:r>
                        </m:sub>
                      </m:sSub>
                      <m:r>
                        <w:rPr>
                          <w:rFonts w:ascii="Cambria Math" w:hAnsi="Cambria Math"/>
                        </w:rPr>
                        <m:t>+β3*</m:t>
                      </m:r>
                      <m:sSub>
                        <m:sSubPr>
                          <m:ctrlPr>
                            <w:rPr>
                              <w:rFonts w:ascii="Cambria Math" w:hAnsi="Cambria Math"/>
                              <w:i/>
                            </w:rPr>
                          </m:ctrlPr>
                        </m:sSubPr>
                        <m:e>
                          <m:r>
                            <w:rPr>
                              <w:rFonts w:ascii="Cambria Math" w:hAnsi="Cambria Math"/>
                            </w:rPr>
                            <m:t>InStMkt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+β4*</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m:t>
                      </m:r>
                      <m:sSub>
                        <m:sSubPr>
                          <m:ctrlPr>
                            <w:rPr>
                              <w:rFonts w:ascii="Cambria Math" w:hAnsi="Cambria Math"/>
                              <w:i/>
                            </w:rPr>
                          </m:ctrlPr>
                        </m:sSubPr>
                        <m:e>
                          <m:r>
                            <w:rPr>
                              <w:rFonts w:ascii="Cambria Math"/>
                            </w:rPr>
                            <m:t>GENDER</m:t>
                          </m:r>
                        </m:e>
                        <m:sub>
                          <m:r>
                            <w:rPr>
                              <w:rFonts w:ascii="Cambria Math"/>
                            </w:rPr>
                            <m:t>i</m:t>
                          </m:r>
                        </m:sub>
                      </m:sSub>
                    </m:e>
                    <m:e>
                      <m:r>
                        <w:rPr>
                          <w:rFonts w:ascii="Cambria Math" w:hAnsi="Cambria Math"/>
                        </w:rPr>
                        <m:t>+β5*</m:t>
                      </m:r>
                      <m:sSub>
                        <m:sSubPr>
                          <m:ctrlPr>
                            <w:rPr>
                              <w:rFonts w:ascii="Cambria Math" w:hAnsi="Cambria Math"/>
                              <w:i/>
                            </w:rPr>
                          </m:ctrlPr>
                        </m:sSubPr>
                        <m:e>
                          <m:r>
                            <w:rPr>
                              <w:rFonts w:ascii="Cambria Math" w:hAnsi="Cambria Math"/>
                            </w:rPr>
                            <m:t>InStMkt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m:t>
                      </m:r>
                      <m:sSub>
                        <m:sSubPr>
                          <m:ctrlPr>
                            <w:rPr>
                              <w:rFonts w:ascii="Cambria Math" w:hAnsi="Cambria Math"/>
                              <w:i/>
                            </w:rPr>
                          </m:ctrlPr>
                        </m:sSubPr>
                        <m:e>
                          <m:r>
                            <w:rPr>
                              <w:rFonts w:ascii="Cambria Math"/>
                            </w:rPr>
                            <m:t>GENDER</m:t>
                          </m:r>
                        </m:e>
                        <m:sub>
                          <m:r>
                            <w:rPr>
                              <w:rFonts w:ascii="Cambria Math"/>
                            </w:rPr>
                            <m:t>i</m:t>
                          </m:r>
                        </m:sub>
                      </m:sSub>
                      <m:r>
                        <w:rPr>
                          <w:rFonts w:ascii="Cambria Math" w:hAnsi="Cambria Math"/>
                        </w:rPr>
                        <m:t>+β6*</m:t>
                      </m:r>
                      <m:sSub>
                        <m:sSubPr>
                          <m:ctrlPr>
                            <w:rPr>
                              <w:rFonts w:ascii="Cambria Math" w:hAnsi="Cambria Math"/>
                              <w:i/>
                            </w:rPr>
                          </m:ctrlPr>
                        </m:sSubPr>
                        <m:e>
                          <m:r>
                            <w:rPr>
                              <w:rFonts w:ascii="Cambria Math" w:hAnsi="Cambria Math"/>
                            </w:rPr>
                            <m:t>DT</m:t>
                          </m:r>
                        </m:e>
                        <m:sub>
                          <m:r>
                            <w:rPr>
                              <w:rFonts w:ascii="Cambria Math" w:hAnsi="Cambria Math"/>
                            </w:rPr>
                            <m:t>i</m:t>
                          </m:r>
                        </m:sub>
                      </m:sSub>
                      <m:r>
                        <w:rPr>
                          <w:rFonts w:ascii="Cambria Math" w:hAnsi="Cambria Math"/>
                        </w:rPr>
                        <m:t>+β7*</m:t>
                      </m:r>
                      <m:sSub>
                        <m:sSubPr>
                          <m:ctrlPr>
                            <w:rPr>
                              <w:rFonts w:ascii="Cambria Math" w:hAnsi="Cambria Math"/>
                              <w:i/>
                            </w:rPr>
                          </m:ctrlPr>
                        </m:sSubPr>
                        <m:e>
                          <m:r>
                            <w:rPr>
                              <w:rFonts w:ascii="Cambria Math" w:hAnsi="Cambria Math"/>
                            </w:rPr>
                            <m:t>EC</m:t>
                          </m:r>
                        </m:e>
                        <m:sub>
                          <m:r>
                            <w:rPr>
                              <w:rFonts w:ascii="Cambria Math" w:hAnsi="Cambria Math"/>
                            </w:rPr>
                            <m:t>i</m:t>
                          </m:r>
                        </m:sub>
                      </m:sSub>
                      <m:r>
                        <w:rPr>
                          <w:rFonts w:ascii="Cambria Math" w:hAnsi="Cambria Math"/>
                        </w:rPr>
                        <m:t>+</m:t>
                      </m:r>
                      <m:r>
                        <m:rPr>
                          <m:sty m:val="p"/>
                        </m:rPr>
                        <w:rPr>
                          <w:rFonts w:ascii="Cambria Math" w:hAnsi="Cambria Math"/>
                        </w:rPr>
                        <m:t>β8*</m:t>
                      </m:r>
                      <m:sSub>
                        <m:sSubPr>
                          <m:ctrlPr>
                            <w:rPr>
                              <w:rFonts w:ascii="Cambria Math" w:hAnsi="Cambria Math"/>
                            </w:rPr>
                          </m:ctrlPr>
                        </m:sSubPr>
                        <m:e>
                          <m:r>
                            <m:rPr>
                              <m:sty m:val="p"/>
                            </m:rPr>
                            <w:rPr>
                              <w:rFonts w:ascii="Cambria Math" w:hAnsi="Cambria Math"/>
                            </w:rPr>
                            <m:t>NA</m:t>
                          </m:r>
                        </m:e>
                        <m:sub>
                          <m:r>
                            <m:rPr>
                              <m:sty m:val="p"/>
                            </m:rPr>
                            <w:rPr>
                              <w:rFonts w:ascii="Cambria Math" w:hAnsi="Cambria Math"/>
                              <w:vertAlign w:val="subscript"/>
                            </w:rPr>
                            <m:t>i</m:t>
                          </m:r>
                        </m:sub>
                      </m:sSub>
                      <m:r>
                        <m:rPr>
                          <m:sty m:val="p"/>
                        </m:rPr>
                        <w:rPr>
                          <w:rFonts w:ascii="Cambria Math" w:hAnsi="Cambria Math"/>
                        </w:rPr>
                        <m:t>+β9*</m:t>
                      </m:r>
                      <m:sSub>
                        <m:sSubPr>
                          <m:ctrlPr>
                            <w:rPr>
                              <w:rFonts w:ascii="Cambria Math" w:hAnsi="Cambria Math"/>
                            </w:rPr>
                          </m:ctrlPr>
                        </m:sSubPr>
                        <m:e>
                          <m:r>
                            <m:rPr>
                              <m:sty m:val="p"/>
                            </m:rPr>
                            <w:rPr>
                              <w:rFonts w:ascii="Cambria Math" w:hAnsi="Cambria Math"/>
                            </w:rPr>
                            <m:t>INNOV</m:t>
                          </m:r>
                        </m:e>
                        <m:sub>
                          <m:r>
                            <m:rPr>
                              <m:sty m:val="p"/>
                            </m:rPr>
                            <w:rPr>
                              <w:rFonts w:ascii="Cambria Math" w:hAnsi="Cambria Math"/>
                            </w:rPr>
                            <m:t xml:space="preserve">i </m:t>
                          </m:r>
                        </m:sub>
                      </m:sSub>
                      <m:r>
                        <m:rPr>
                          <m:sty m:val="p"/>
                        </m:rPr>
                        <w:rPr>
                          <w:rFonts w:ascii="Cambria Math" w:hAnsi="Cambria Math"/>
                        </w:rPr>
                        <m:t>+ β10*</m:t>
                      </m:r>
                      <m:sSub>
                        <m:sSubPr>
                          <m:ctrlPr>
                            <w:rPr>
                              <w:rFonts w:ascii="Cambria Math" w:hAnsi="Cambria Math"/>
                            </w:rPr>
                          </m:ctrlPr>
                        </m:sSubPr>
                        <m:e>
                          <m:r>
                            <m:rPr>
                              <m:sty m:val="p"/>
                            </m:rPr>
                            <w:rPr>
                              <w:rFonts w:ascii="Cambria Math" w:hAnsi="Cambria Math"/>
                            </w:rPr>
                            <m:t>INVOL</m:t>
                          </m:r>
                        </m:e>
                        <m:sub>
                          <m:r>
                            <m:rPr>
                              <m:sty m:val="p"/>
                            </m:rPr>
                            <w:rPr>
                              <w:rFonts w:ascii="Cambria Math" w:hAnsi="Cambria Math"/>
                            </w:rPr>
                            <m:t>i</m:t>
                          </m:r>
                        </m:sub>
                      </m:sSub>
                      <m:r>
                        <m:rPr>
                          <m:sty m:val="p"/>
                        </m:rPr>
                        <w:rPr>
                          <w:rFonts w:ascii="Cambria Math" w:hAnsi="Cambria Math"/>
                        </w:rPr>
                        <m:t>)</m:t>
                      </m:r>
                    </m:e>
                  </m:eqArr>
                </m:sup>
              </m:sSup>
            </m:den>
          </m:f>
        </m:oMath>
      </m:oMathPara>
      <w:r w:rsidRPr="009E5B5E">
        <w:br/>
      </w:r>
    </w:p>
    <w:p w:rsidR="00DA2247" w:rsidRPr="009E5B5E" w:rsidRDefault="00DA2247" w:rsidP="00DA2247">
      <w:pPr>
        <w:tabs>
          <w:tab w:val="left" w:pos="5666"/>
        </w:tabs>
        <w:spacing w:line="360" w:lineRule="auto"/>
        <w:jc w:val="both"/>
        <w:rPr>
          <w:sz w:val="24"/>
          <w:szCs w:val="24"/>
        </w:rPr>
      </w:pPr>
      <w:r w:rsidRPr="009E5B5E">
        <w:rPr>
          <w:b/>
          <w:bCs/>
          <w:sz w:val="28"/>
          <w:szCs w:val="28"/>
        </w:rPr>
        <w:t>Results</w:t>
      </w:r>
    </w:p>
    <w:p w:rsidR="00DA2247" w:rsidRPr="009E5B5E" w:rsidRDefault="00DA2247" w:rsidP="00DA2247">
      <w:pPr>
        <w:tabs>
          <w:tab w:val="left" w:pos="5666"/>
        </w:tabs>
        <w:spacing w:line="360" w:lineRule="auto"/>
        <w:jc w:val="both"/>
        <w:rPr>
          <w:sz w:val="24"/>
          <w:szCs w:val="24"/>
        </w:rPr>
      </w:pPr>
      <w:r w:rsidRPr="009E5B5E">
        <w:rPr>
          <w:sz w:val="24"/>
          <w:szCs w:val="24"/>
        </w:rPr>
        <w:t>From the above logistic regression analyses, the following results are found.</w:t>
      </w:r>
    </w:p>
    <w:p w:rsidR="00DA2247" w:rsidRPr="00F96E97" w:rsidRDefault="00DA2247" w:rsidP="00DA2247">
      <w:pPr>
        <w:tabs>
          <w:tab w:val="left" w:pos="5666"/>
        </w:tabs>
        <w:spacing w:line="360" w:lineRule="auto"/>
        <w:jc w:val="both"/>
        <w:rPr>
          <w:sz w:val="24"/>
          <w:szCs w:val="24"/>
        </w:rPr>
      </w:pPr>
      <w:r w:rsidRPr="009E5B5E">
        <w:rPr>
          <w:sz w:val="24"/>
          <w:szCs w:val="24"/>
        </w:rPr>
        <w:t xml:space="preserve">First, in-store marketing namely sale, in-store display renewal, and products relocation does not have significant effect on consumers’ purchase likelihood. When general model is applied to both original and reduced dataset, the effects of sale, in-store display renewal, and products relocation are found to be statistically insignificant on purchase </w:t>
      </w:r>
      <w:r w:rsidRPr="00F96E97">
        <w:rPr>
          <w:sz w:val="24"/>
          <w:szCs w:val="24"/>
        </w:rPr>
        <w:t xml:space="preserve">likelihood at the 5% level. </w:t>
      </w:r>
    </w:p>
    <w:p w:rsidR="00DA2247" w:rsidRPr="009E5B5E" w:rsidRDefault="00DA2247" w:rsidP="00DA2247">
      <w:pPr>
        <w:tabs>
          <w:tab w:val="left" w:pos="5666"/>
        </w:tabs>
        <w:spacing w:line="360" w:lineRule="auto"/>
        <w:jc w:val="both"/>
        <w:rPr>
          <w:sz w:val="24"/>
          <w:szCs w:val="24"/>
        </w:rPr>
      </w:pPr>
      <w:r w:rsidRPr="00F96E97">
        <w:rPr>
          <w:sz w:val="24"/>
          <w:szCs w:val="24"/>
        </w:rPr>
        <w:t xml:space="preserve">Second, in general, the presence of friend(s) has no impact on consumers’ purchase likelihood as this effect is found to be statistically insignificant at the 5% level in the general model. Even though this effect is found to be significant in gender specific model, the fact </w:t>
      </w:r>
      <w:r w:rsidR="007575BF" w:rsidRPr="00F96E97">
        <w:rPr>
          <w:sz w:val="24"/>
          <w:szCs w:val="24"/>
        </w:rPr>
        <w:t xml:space="preserve">the </w:t>
      </w:r>
      <w:r w:rsidR="007575BF" w:rsidRPr="00F96E97">
        <w:t xml:space="preserve">statistical evidence is inconclusive </w:t>
      </w:r>
      <w:r w:rsidR="007575BF" w:rsidRPr="00F96E97">
        <w:rPr>
          <w:sz w:val="24"/>
          <w:szCs w:val="24"/>
        </w:rPr>
        <w:t xml:space="preserve">results in the </w:t>
      </w:r>
      <w:r w:rsidRPr="00F96E97">
        <w:rPr>
          <w:sz w:val="24"/>
          <w:szCs w:val="24"/>
        </w:rPr>
        <w:t>reject</w:t>
      </w:r>
      <w:r w:rsidR="007575BF" w:rsidRPr="00F96E97">
        <w:rPr>
          <w:sz w:val="24"/>
          <w:szCs w:val="24"/>
        </w:rPr>
        <w:t>ion of</w:t>
      </w:r>
      <w:r w:rsidRPr="00F96E97">
        <w:rPr>
          <w:sz w:val="24"/>
          <w:szCs w:val="24"/>
        </w:rPr>
        <w:t xml:space="preserve"> H2.</w:t>
      </w:r>
      <w:r w:rsidRPr="009E5B5E">
        <w:rPr>
          <w:sz w:val="24"/>
          <w:szCs w:val="24"/>
        </w:rPr>
        <w:t xml:space="preserve">  </w:t>
      </w:r>
    </w:p>
    <w:p w:rsidR="00DA2247" w:rsidRPr="009E5B5E" w:rsidRDefault="00DA2247" w:rsidP="00DA2247">
      <w:pPr>
        <w:tabs>
          <w:tab w:val="left" w:pos="5666"/>
        </w:tabs>
        <w:spacing w:line="360" w:lineRule="auto"/>
        <w:jc w:val="both"/>
        <w:rPr>
          <w:sz w:val="24"/>
          <w:szCs w:val="24"/>
        </w:rPr>
      </w:pPr>
      <w:r w:rsidRPr="009E5B5E">
        <w:rPr>
          <w:sz w:val="24"/>
          <w:szCs w:val="24"/>
        </w:rPr>
        <w:lastRenderedPageBreak/>
        <w:t>Third, the present of friends does not intensify the effect of in-store marketing on consumers’ purchase likelihood as the interaction term between in-store marketing and friend is found to be statistically insignificant at the 5% level.</w:t>
      </w:r>
    </w:p>
    <w:p w:rsidR="00DA2247" w:rsidRPr="009E5B5E" w:rsidRDefault="00DA2247" w:rsidP="00DA2247">
      <w:pPr>
        <w:tabs>
          <w:tab w:val="left" w:pos="5666"/>
        </w:tabs>
        <w:spacing w:line="360" w:lineRule="auto"/>
        <w:jc w:val="both"/>
        <w:rPr>
          <w:sz w:val="24"/>
          <w:szCs w:val="24"/>
        </w:rPr>
      </w:pPr>
      <w:r w:rsidRPr="009E5B5E">
        <w:rPr>
          <w:sz w:val="24"/>
          <w:szCs w:val="24"/>
        </w:rPr>
        <w:t>Fourth, male consumers shopping with friends have higher purchase likelihood than male consumers who shopping alone. With respect to female consumers, their purchase likelihood is the same with or without friends during a shopping trip. Such results are found when the interaction term between friend and gender is statistically significant at the 5% level.</w:t>
      </w:r>
    </w:p>
    <w:p w:rsidR="00DA2247" w:rsidRPr="009E5B5E" w:rsidRDefault="00DA2247" w:rsidP="00DA2247">
      <w:pPr>
        <w:tabs>
          <w:tab w:val="left" w:pos="5666"/>
        </w:tabs>
        <w:spacing w:line="360" w:lineRule="auto"/>
        <w:jc w:val="both"/>
        <w:rPr>
          <w:sz w:val="24"/>
          <w:szCs w:val="24"/>
        </w:rPr>
      </w:pPr>
      <w:r w:rsidRPr="009E5B5E">
        <w:rPr>
          <w:sz w:val="24"/>
          <w:szCs w:val="24"/>
        </w:rPr>
        <w:t>Last, the presence of friends does not enhance the effect of in-store marketing on male consumers’ purchase likelihood as the three-way interaction effect between in-store marketing, friend, and gender is found to be statistically insignificant at the 5% level.</w:t>
      </w:r>
    </w:p>
    <w:p w:rsidR="00DA2247" w:rsidRPr="009E5B5E" w:rsidRDefault="00DA2247" w:rsidP="00DA2247">
      <w:pPr>
        <w:spacing w:line="360" w:lineRule="auto"/>
        <w:jc w:val="both"/>
        <w:rPr>
          <w:b/>
          <w:bCs/>
          <w:sz w:val="28"/>
          <w:szCs w:val="28"/>
        </w:rPr>
      </w:pPr>
      <w:r w:rsidRPr="009E5B5E">
        <w:rPr>
          <w:b/>
          <w:bCs/>
          <w:sz w:val="28"/>
          <w:szCs w:val="28"/>
        </w:rPr>
        <w:t>Conclusion and Implications</w:t>
      </w:r>
    </w:p>
    <w:p w:rsidR="00DA2247" w:rsidRPr="009E5B5E" w:rsidRDefault="00DA2247" w:rsidP="00DA2247">
      <w:pPr>
        <w:spacing w:line="360" w:lineRule="auto"/>
        <w:jc w:val="both"/>
        <w:rPr>
          <w:sz w:val="24"/>
          <w:szCs w:val="24"/>
        </w:rPr>
      </w:pPr>
      <w:r w:rsidRPr="009E5B5E">
        <w:rPr>
          <w:sz w:val="24"/>
          <w:szCs w:val="24"/>
        </w:rPr>
        <w:t xml:space="preserve">Overall, the purchase likelihood of male consumers whom were accompanied with friends to the store is found to be higher than those who were alone. On the other hand, female consumers’ purchase likelihood is found to be indifferent between those with or without the presence of friend(s) in the store. </w:t>
      </w:r>
    </w:p>
    <w:p w:rsidR="00DA2247" w:rsidRPr="009E5B5E" w:rsidRDefault="00DA2247" w:rsidP="00DA2247">
      <w:pPr>
        <w:spacing w:line="360" w:lineRule="auto"/>
        <w:jc w:val="both"/>
        <w:rPr>
          <w:sz w:val="24"/>
          <w:szCs w:val="24"/>
        </w:rPr>
      </w:pPr>
      <w:r w:rsidRPr="009E5B5E">
        <w:rPr>
          <w:sz w:val="24"/>
          <w:szCs w:val="24"/>
        </w:rPr>
        <w:t xml:space="preserve">Such results provide interesting implications to marketing science and store managers as follows. </w:t>
      </w:r>
      <w:r w:rsidRPr="009E5B5E">
        <w:rPr>
          <w:color w:val="000000" w:themeColor="text1"/>
          <w:sz w:val="24"/>
          <w:szCs w:val="24"/>
        </w:rPr>
        <w:t xml:space="preserve">First, </w:t>
      </w:r>
      <w:r w:rsidRPr="009E5B5E">
        <w:rPr>
          <w:sz w:val="24"/>
          <w:szCs w:val="24"/>
        </w:rPr>
        <w:t xml:space="preserve">this study contributes to marketing science by affirming the influence of friend’s presence during a shopping trip on consumer’s shopping behavior concerning the role of </w:t>
      </w:r>
      <w:r w:rsidRPr="009E5B5E">
        <w:rPr>
          <w:color w:val="000000" w:themeColor="text1"/>
          <w:sz w:val="24"/>
          <w:szCs w:val="24"/>
        </w:rPr>
        <w:t>agency and communion</w:t>
      </w:r>
      <w:r w:rsidRPr="009E5B5E">
        <w:rPr>
          <w:sz w:val="24"/>
          <w:szCs w:val="24"/>
        </w:rPr>
        <w:t xml:space="preserve"> as suggested by </w:t>
      </w:r>
      <w:r w:rsidRPr="009E5B5E">
        <w:rPr>
          <w:color w:val="000000" w:themeColor="text1"/>
          <w:sz w:val="24"/>
          <w:szCs w:val="24"/>
        </w:rPr>
        <w:t>Kurt et al., 2011.</w:t>
      </w:r>
      <w:r w:rsidRPr="009E5B5E">
        <w:rPr>
          <w:sz w:val="24"/>
          <w:szCs w:val="24"/>
        </w:rPr>
        <w:t xml:space="preserve"> </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Second, this study help extend the understanding of the link between gender and agency–communion orientation in consumer behavior context (Baken 1966, Palan 2001).  </w:t>
      </w:r>
    </w:p>
    <w:p w:rsidR="00DA2247" w:rsidRPr="009E5B5E" w:rsidRDefault="00DA2247" w:rsidP="00DA2247">
      <w:pPr>
        <w:spacing w:line="360" w:lineRule="auto"/>
        <w:jc w:val="both"/>
        <w:rPr>
          <w:sz w:val="24"/>
          <w:szCs w:val="24"/>
        </w:rPr>
      </w:pPr>
      <w:r w:rsidRPr="009E5B5E">
        <w:rPr>
          <w:color w:val="000000" w:themeColor="text1"/>
          <w:sz w:val="24"/>
          <w:szCs w:val="24"/>
        </w:rPr>
        <w:t>Last, the main finding suggests that the managers should offer the promotion that encourages male consumers to shop with their friends. It is computable that 30.03%</w:t>
      </w:r>
      <w:r w:rsidRPr="009E5B5E">
        <w:rPr>
          <w:rStyle w:val="FootnoteReference"/>
          <w:color w:val="000000" w:themeColor="text1"/>
          <w:sz w:val="24"/>
          <w:szCs w:val="24"/>
        </w:rPr>
        <w:footnoteReference w:id="1"/>
      </w:r>
      <w:r w:rsidRPr="009E5B5E">
        <w:rPr>
          <w:color w:val="000000" w:themeColor="text1"/>
          <w:sz w:val="24"/>
          <w:szCs w:val="24"/>
        </w:rPr>
        <w:t xml:space="preserve"> of purchases or roughly 1.87 million euro of revenue could be raised per year if the store where the data was collected would offer such promotion. </w:t>
      </w:r>
    </w:p>
    <w:p w:rsidR="00495CB9" w:rsidRDefault="00495CB9" w:rsidP="00DA2247">
      <w:pPr>
        <w:spacing w:line="360" w:lineRule="auto"/>
        <w:jc w:val="both"/>
        <w:rPr>
          <w:b/>
          <w:bCs/>
          <w:sz w:val="28"/>
          <w:szCs w:val="28"/>
        </w:rPr>
      </w:pPr>
    </w:p>
    <w:p w:rsidR="00DA2247" w:rsidRPr="009E5B5E" w:rsidRDefault="00DA2247" w:rsidP="00DA2247">
      <w:pPr>
        <w:spacing w:line="360" w:lineRule="auto"/>
        <w:jc w:val="both"/>
        <w:rPr>
          <w:sz w:val="28"/>
          <w:szCs w:val="28"/>
        </w:rPr>
      </w:pPr>
      <w:r w:rsidRPr="009E5B5E">
        <w:rPr>
          <w:b/>
          <w:bCs/>
          <w:sz w:val="28"/>
          <w:szCs w:val="28"/>
        </w:rPr>
        <w:lastRenderedPageBreak/>
        <w:t>Limitations and Future Research</w:t>
      </w:r>
    </w:p>
    <w:p w:rsidR="00D6284D" w:rsidRDefault="00495CB9" w:rsidP="00D6284D">
      <w:pPr>
        <w:spacing w:line="360" w:lineRule="auto"/>
        <w:jc w:val="both"/>
        <w:rPr>
          <w:b/>
          <w:bCs/>
          <w:sz w:val="24"/>
          <w:szCs w:val="24"/>
        </w:rPr>
      </w:pPr>
      <w:r w:rsidRPr="00F96E97">
        <w:rPr>
          <w:sz w:val="24"/>
          <w:szCs w:val="24"/>
        </w:rPr>
        <w:t>T</w:t>
      </w:r>
      <w:r w:rsidR="00DA2247" w:rsidRPr="00F96E97">
        <w:rPr>
          <w:sz w:val="24"/>
          <w:szCs w:val="24"/>
        </w:rPr>
        <w:t>wo important li</w:t>
      </w:r>
      <w:r w:rsidR="00D6284D" w:rsidRPr="00F96E97">
        <w:rPr>
          <w:sz w:val="24"/>
          <w:szCs w:val="24"/>
        </w:rPr>
        <w:t>mitations in this master thesis</w:t>
      </w:r>
      <w:r w:rsidRPr="00F96E97">
        <w:rPr>
          <w:sz w:val="24"/>
          <w:szCs w:val="24"/>
        </w:rPr>
        <w:t xml:space="preserve"> are the</w:t>
      </w:r>
      <w:r w:rsidR="00D6284D" w:rsidRPr="00F96E97">
        <w:rPr>
          <w:sz w:val="24"/>
          <w:szCs w:val="24"/>
        </w:rPr>
        <w:t xml:space="preserve"> uncertainties in</w:t>
      </w:r>
      <w:r w:rsidR="00DA2247" w:rsidRPr="00F96E97">
        <w:rPr>
          <w:sz w:val="24"/>
          <w:szCs w:val="24"/>
        </w:rPr>
        <w:t xml:space="preserve"> </w:t>
      </w:r>
      <w:r w:rsidR="00D6284D" w:rsidRPr="00F96E97">
        <w:rPr>
          <w:sz w:val="24"/>
          <w:szCs w:val="24"/>
        </w:rPr>
        <w:t xml:space="preserve">measurement of friend data and </w:t>
      </w:r>
      <w:r w:rsidR="00DA2247" w:rsidRPr="00F96E97">
        <w:rPr>
          <w:sz w:val="24"/>
          <w:szCs w:val="24"/>
        </w:rPr>
        <w:t xml:space="preserve">gender data. </w:t>
      </w:r>
      <w:r w:rsidR="00D6284D" w:rsidRPr="00F96E97">
        <w:rPr>
          <w:sz w:val="24"/>
          <w:szCs w:val="24"/>
        </w:rPr>
        <w:t>They are discussed in length in the body of the thesis.</w:t>
      </w:r>
      <w:r w:rsidR="00D6284D">
        <w:rPr>
          <w:b/>
          <w:bCs/>
          <w:sz w:val="24"/>
          <w:szCs w:val="24"/>
        </w:rPr>
        <w:t xml:space="preserve"> </w:t>
      </w:r>
    </w:p>
    <w:p w:rsidR="00DA2247" w:rsidRPr="00D6284D" w:rsidRDefault="00DA2247" w:rsidP="00D6284D">
      <w:pPr>
        <w:spacing w:line="360" w:lineRule="auto"/>
        <w:jc w:val="both"/>
        <w:rPr>
          <w:b/>
          <w:bCs/>
          <w:sz w:val="24"/>
          <w:szCs w:val="24"/>
        </w:rPr>
      </w:pPr>
      <w:r w:rsidRPr="009E5B5E">
        <w:rPr>
          <w:sz w:val="24"/>
          <w:szCs w:val="24"/>
        </w:rPr>
        <w:t xml:space="preserve">With respect to future research, it is interesting to further </w:t>
      </w:r>
      <w:r w:rsidRPr="009E5B5E">
        <w:rPr>
          <w:color w:val="000000" w:themeColor="text1"/>
          <w:sz w:val="24"/>
          <w:szCs w:val="24"/>
        </w:rPr>
        <w:t>exam the relationship between the presence of friends in the shopping place and consumers’ purchasing decision for different types of product. With such research, one may be able to explore</w:t>
      </w:r>
      <w:r w:rsidRPr="009E5B5E">
        <w:rPr>
          <w:color w:val="1F497D" w:themeColor="text2"/>
          <w:sz w:val="24"/>
          <w:szCs w:val="24"/>
        </w:rPr>
        <w:t xml:space="preserve"> </w:t>
      </w:r>
      <w:r w:rsidRPr="009E5B5E">
        <w:rPr>
          <w:sz w:val="24"/>
          <w:szCs w:val="24"/>
        </w:rPr>
        <w:t xml:space="preserve">whether there are conditions under which female (communion-oriented)/ male (agency-oriented) consumers will be likely to have higher/ unchanged purchase likelihood when they are accompanied by friends in comparison to when they are </w:t>
      </w:r>
      <w:r w:rsidRPr="009E5B5E">
        <w:rPr>
          <w:color w:val="000000" w:themeColor="text1"/>
          <w:sz w:val="24"/>
          <w:szCs w:val="24"/>
        </w:rPr>
        <w:t xml:space="preserve">alone. </w:t>
      </w:r>
    </w:p>
    <w:p w:rsidR="00DA2247" w:rsidRPr="009E5B5E" w:rsidRDefault="00DA2247" w:rsidP="00DA2247">
      <w:pPr>
        <w:spacing w:line="360" w:lineRule="auto"/>
        <w:jc w:val="both"/>
        <w:rPr>
          <w:b/>
          <w:bCs/>
          <w:sz w:val="24"/>
          <w:szCs w:val="24"/>
        </w:rPr>
        <w:sectPr w:rsidR="00DA2247" w:rsidRPr="009E5B5E" w:rsidSect="005A408B">
          <w:footerReference w:type="first" r:id="rId9"/>
          <w:pgSz w:w="11906" w:h="16838" w:code="9"/>
          <w:pgMar w:top="1304" w:right="1247" w:bottom="1304" w:left="1247" w:header="851" w:footer="720" w:gutter="284"/>
          <w:cols w:space="720"/>
          <w:titlePg/>
        </w:sectPr>
      </w:pPr>
      <w:r w:rsidRPr="009E5B5E">
        <w:rPr>
          <w:sz w:val="24"/>
          <w:szCs w:val="24"/>
        </w:rPr>
        <w:br w:type="page"/>
      </w:r>
    </w:p>
    <w:p w:rsidR="00DA2247" w:rsidRPr="009E5B5E" w:rsidRDefault="00DA2247" w:rsidP="00DA2247">
      <w:pPr>
        <w:suppressAutoHyphens/>
        <w:jc w:val="center"/>
        <w:rPr>
          <w:sz w:val="40"/>
          <w:szCs w:val="40"/>
        </w:rPr>
      </w:pPr>
      <w:r w:rsidRPr="009E5B5E">
        <w:rPr>
          <w:b/>
          <w:sz w:val="40"/>
          <w:szCs w:val="40"/>
        </w:rPr>
        <w:lastRenderedPageBreak/>
        <w:t>Table of contents</w:t>
      </w:r>
    </w:p>
    <w:p w:rsidR="00DA2247" w:rsidRPr="009E5B5E" w:rsidRDefault="00AD7D97" w:rsidP="00DA2247">
      <w:pPr>
        <w:tabs>
          <w:tab w:val="left" w:pos="480"/>
          <w:tab w:val="right" w:leader="underscore" w:pos="9118"/>
        </w:tabs>
        <w:autoSpaceDE w:val="0"/>
        <w:autoSpaceDN w:val="0"/>
        <w:spacing w:before="120" w:after="0" w:line="360" w:lineRule="auto"/>
        <w:rPr>
          <w:rFonts w:eastAsia="PMingLiU" w:cs="Times New Roman"/>
          <w:noProof/>
          <w:sz w:val="24"/>
          <w:szCs w:val="24"/>
          <w:lang w:val="de-DE" w:eastAsia="zh-TW" w:bidi="ar-SA"/>
        </w:rPr>
      </w:pPr>
      <w:r w:rsidRPr="00AD7D97">
        <w:rPr>
          <w:rFonts w:eastAsia="Times New Roman" w:cs="Times New Roman"/>
          <w:i/>
          <w:smallCaps/>
          <w:sz w:val="24"/>
          <w:szCs w:val="24"/>
          <w:lang w:eastAsia="de-DE" w:bidi="ar-SA"/>
        </w:rPr>
        <w:fldChar w:fldCharType="begin"/>
      </w:r>
      <w:r w:rsidR="00DA2247" w:rsidRPr="009E5B5E">
        <w:rPr>
          <w:rFonts w:eastAsia="Times New Roman" w:cs="Times New Roman"/>
          <w:i/>
          <w:smallCaps/>
          <w:sz w:val="24"/>
          <w:szCs w:val="24"/>
          <w:lang w:eastAsia="de-DE" w:bidi="ar-SA"/>
        </w:rPr>
        <w:instrText xml:space="preserve"> TOC \o "1-3" </w:instrText>
      </w:r>
      <w:r w:rsidRPr="00AD7D97">
        <w:rPr>
          <w:rFonts w:eastAsia="Times New Roman" w:cs="Times New Roman"/>
          <w:i/>
          <w:smallCaps/>
          <w:sz w:val="24"/>
          <w:szCs w:val="24"/>
          <w:lang w:eastAsia="de-DE" w:bidi="ar-SA"/>
        </w:rPr>
        <w:fldChar w:fldCharType="separate"/>
      </w:r>
      <w:r w:rsidR="00DA2247" w:rsidRPr="009E5B5E">
        <w:rPr>
          <w:rFonts w:eastAsia="Times New Roman" w:cs="Times New Roman"/>
          <w:b/>
          <w:i/>
          <w:noProof/>
          <w:sz w:val="24"/>
          <w:szCs w:val="24"/>
          <w:lang w:eastAsia="de-DE" w:bidi="ar-SA"/>
        </w:rPr>
        <w:t>1</w:t>
      </w:r>
      <w:r w:rsidR="00DA2247" w:rsidRPr="009E5B5E">
        <w:rPr>
          <w:rFonts w:eastAsia="PMingLiU" w:cs="Times New Roman"/>
          <w:noProof/>
          <w:sz w:val="24"/>
          <w:szCs w:val="24"/>
          <w:lang w:val="de-DE" w:eastAsia="zh-TW" w:bidi="ar-SA"/>
        </w:rPr>
        <w:tab/>
      </w:r>
      <w:r w:rsidR="00DA2247" w:rsidRPr="009E5B5E">
        <w:rPr>
          <w:rFonts w:eastAsia="Times New Roman" w:cs="Times New Roman"/>
          <w:b/>
          <w:i/>
          <w:noProof/>
          <w:sz w:val="24"/>
          <w:szCs w:val="24"/>
          <w:lang w:eastAsia="de-DE" w:bidi="ar-SA"/>
        </w:rPr>
        <w:t>Introduction</w:t>
      </w:r>
      <w:r w:rsidR="00DA2247" w:rsidRPr="009E5B5E">
        <w:rPr>
          <w:rFonts w:eastAsia="Times New Roman" w:cs="Times New Roman"/>
          <w:b/>
          <w:i/>
          <w:noProof/>
          <w:sz w:val="24"/>
          <w:szCs w:val="24"/>
          <w:lang w:val="de-DE" w:eastAsia="de-DE" w:bidi="ar-SA"/>
        </w:rPr>
        <w:tab/>
        <w:t>14</w:t>
      </w:r>
    </w:p>
    <w:p w:rsidR="00DA2247" w:rsidRPr="009E5B5E" w:rsidRDefault="00DA2247" w:rsidP="00DA2247">
      <w:pPr>
        <w:tabs>
          <w:tab w:val="left" w:pos="480"/>
          <w:tab w:val="right" w:leader="underscore" w:pos="9118"/>
        </w:tabs>
        <w:autoSpaceDE w:val="0"/>
        <w:autoSpaceDN w:val="0"/>
        <w:spacing w:before="120" w:after="0" w:line="360" w:lineRule="auto"/>
        <w:rPr>
          <w:rFonts w:eastAsia="PMingLiU" w:cs="Times New Roman"/>
          <w:noProof/>
          <w:sz w:val="24"/>
          <w:szCs w:val="24"/>
          <w:lang w:val="de-DE" w:eastAsia="zh-TW" w:bidi="ar-SA"/>
        </w:rPr>
      </w:pPr>
      <w:r w:rsidRPr="009E5B5E">
        <w:rPr>
          <w:rFonts w:eastAsia="Times New Roman" w:cs="Times New Roman"/>
          <w:b/>
          <w:i/>
          <w:noProof/>
          <w:sz w:val="24"/>
          <w:szCs w:val="24"/>
          <w:lang w:eastAsia="de-DE" w:bidi="ar-SA"/>
        </w:rPr>
        <w:t>2</w:t>
      </w:r>
      <w:r w:rsidRPr="009E5B5E">
        <w:rPr>
          <w:rFonts w:eastAsia="PMingLiU" w:cs="Times New Roman"/>
          <w:noProof/>
          <w:sz w:val="24"/>
          <w:szCs w:val="24"/>
          <w:lang w:val="de-DE" w:eastAsia="zh-TW" w:bidi="ar-SA"/>
        </w:rPr>
        <w:tab/>
      </w:r>
      <w:r w:rsidRPr="009E5B5E">
        <w:rPr>
          <w:rFonts w:eastAsia="Times New Roman" w:cs="Times New Roman"/>
          <w:b/>
          <w:i/>
          <w:noProof/>
          <w:sz w:val="24"/>
          <w:szCs w:val="24"/>
          <w:lang w:eastAsia="de-DE" w:bidi="ar-SA"/>
        </w:rPr>
        <w:t>Theoretical background</w:t>
      </w:r>
      <w:r w:rsidRPr="009E5B5E">
        <w:rPr>
          <w:rFonts w:eastAsia="Times New Roman" w:cs="Times New Roman"/>
          <w:b/>
          <w:i/>
          <w:noProof/>
          <w:sz w:val="24"/>
          <w:szCs w:val="24"/>
          <w:lang w:val="de-DE" w:eastAsia="de-DE" w:bidi="ar-SA"/>
        </w:rPr>
        <w:tab/>
        <w:t>17</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2.1</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The Overview of Consumer Buying Behavior Model</w:t>
      </w:r>
      <w:r w:rsidRPr="009E5B5E">
        <w:rPr>
          <w:rFonts w:eastAsia="Times New Roman" w:cs="Times New Roman"/>
          <w:b/>
          <w:noProof/>
          <w:sz w:val="24"/>
          <w:szCs w:val="24"/>
          <w:lang w:val="de-DE" w:eastAsia="de-DE" w:bidi="ar-SA"/>
        </w:rPr>
        <w:tab/>
        <w:t>17</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2.2</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Conceptual Framework</w:t>
      </w:r>
      <w:r w:rsidRPr="009E5B5E">
        <w:rPr>
          <w:rFonts w:eastAsia="Times New Roman" w:cs="Times New Roman"/>
          <w:b/>
          <w:noProof/>
          <w:sz w:val="24"/>
          <w:szCs w:val="24"/>
          <w:lang w:val="de-DE" w:eastAsia="de-DE" w:bidi="ar-SA"/>
        </w:rPr>
        <w:tab/>
        <w:t>20</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2.3</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Hypotheses Development</w:t>
      </w:r>
      <w:r w:rsidRPr="009E5B5E">
        <w:rPr>
          <w:rFonts w:eastAsia="Times New Roman" w:cs="Times New Roman"/>
          <w:b/>
          <w:noProof/>
          <w:sz w:val="24"/>
          <w:szCs w:val="24"/>
          <w:lang w:val="de-DE" w:eastAsia="de-DE" w:bidi="ar-SA"/>
        </w:rPr>
        <w:tab/>
        <w:t>21</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2.3.1</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In-store marketing and consumer purchase behavior</w:t>
      </w:r>
      <w:r w:rsidRPr="009E5B5E">
        <w:rPr>
          <w:rFonts w:eastAsia="Times New Roman" w:cs="Times New Roman"/>
          <w:noProof/>
          <w:sz w:val="24"/>
          <w:szCs w:val="24"/>
          <w:lang w:val="de-DE" w:eastAsia="de-DE" w:bidi="ar-SA"/>
        </w:rPr>
        <w:tab/>
        <w:t>21</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2.3.2</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The presence of friends on purchase decision</w:t>
      </w:r>
      <w:r w:rsidRPr="009E5B5E">
        <w:rPr>
          <w:rFonts w:eastAsia="Times New Roman" w:cs="Times New Roman"/>
          <w:noProof/>
          <w:sz w:val="24"/>
          <w:szCs w:val="24"/>
          <w:lang w:val="de-DE" w:eastAsia="de-DE" w:bidi="ar-SA"/>
        </w:rPr>
        <w:tab/>
        <w:t>24</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2.3.3</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The influence of friends' presence in gender specific view: Masculinity-    Femininity and Agency-Communion</w:t>
      </w:r>
      <w:r w:rsidRPr="009E5B5E">
        <w:rPr>
          <w:rFonts w:eastAsia="Times New Roman" w:cs="Times New Roman"/>
          <w:noProof/>
          <w:sz w:val="24"/>
          <w:szCs w:val="24"/>
          <w:lang w:val="de-DE" w:eastAsia="de-DE" w:bidi="ar-SA"/>
        </w:rPr>
        <w:tab/>
        <w:t>25</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2.3.4</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Overview of hypotheses</w:t>
      </w:r>
      <w:r w:rsidRPr="009E5B5E">
        <w:rPr>
          <w:rFonts w:eastAsia="Times New Roman" w:cs="Times New Roman"/>
          <w:noProof/>
          <w:sz w:val="24"/>
          <w:szCs w:val="24"/>
          <w:lang w:val="de-DE" w:eastAsia="de-DE" w:bidi="ar-SA"/>
        </w:rPr>
        <w:tab/>
        <w:t>31</w:t>
      </w:r>
    </w:p>
    <w:p w:rsidR="00DA2247" w:rsidRPr="009E5B5E" w:rsidRDefault="00DA2247" w:rsidP="00DA2247">
      <w:pPr>
        <w:tabs>
          <w:tab w:val="left" w:pos="480"/>
          <w:tab w:val="right" w:leader="underscore" w:pos="9118"/>
        </w:tabs>
        <w:autoSpaceDE w:val="0"/>
        <w:autoSpaceDN w:val="0"/>
        <w:spacing w:before="120" w:after="0" w:line="360" w:lineRule="auto"/>
        <w:rPr>
          <w:rFonts w:eastAsia="PMingLiU" w:cs="Times New Roman"/>
          <w:noProof/>
          <w:sz w:val="24"/>
          <w:szCs w:val="24"/>
          <w:lang w:val="de-DE" w:eastAsia="zh-TW" w:bidi="ar-SA"/>
        </w:rPr>
      </w:pPr>
      <w:r w:rsidRPr="009E5B5E">
        <w:rPr>
          <w:rFonts w:eastAsia="Times New Roman" w:cs="Times New Roman"/>
          <w:b/>
          <w:i/>
          <w:noProof/>
          <w:sz w:val="24"/>
          <w:szCs w:val="24"/>
          <w:lang w:eastAsia="de-DE" w:bidi="ar-SA"/>
        </w:rPr>
        <w:t>3</w:t>
      </w:r>
      <w:r w:rsidRPr="009E5B5E">
        <w:rPr>
          <w:rFonts w:eastAsia="PMingLiU" w:cs="Times New Roman"/>
          <w:noProof/>
          <w:sz w:val="24"/>
          <w:szCs w:val="24"/>
          <w:lang w:val="de-DE" w:eastAsia="zh-TW" w:bidi="ar-SA"/>
        </w:rPr>
        <w:tab/>
      </w:r>
      <w:r w:rsidRPr="009E5B5E">
        <w:rPr>
          <w:rFonts w:eastAsia="Times New Roman" w:cs="Times New Roman"/>
          <w:b/>
          <w:i/>
          <w:noProof/>
          <w:sz w:val="24"/>
          <w:szCs w:val="24"/>
          <w:lang w:eastAsia="de-DE" w:bidi="ar-SA"/>
        </w:rPr>
        <w:t>Data and methodology</w:t>
      </w:r>
      <w:r w:rsidRPr="009E5B5E">
        <w:rPr>
          <w:rFonts w:eastAsia="Times New Roman" w:cs="Times New Roman"/>
          <w:b/>
          <w:i/>
          <w:noProof/>
          <w:sz w:val="24"/>
          <w:szCs w:val="24"/>
          <w:lang w:val="de-DE" w:eastAsia="de-DE" w:bidi="ar-SA"/>
        </w:rPr>
        <w:tab/>
        <w:t>33</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3.1</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Data descripiton</w:t>
      </w:r>
      <w:r w:rsidRPr="009E5B5E">
        <w:rPr>
          <w:rFonts w:eastAsia="Times New Roman" w:cs="Times New Roman"/>
          <w:b/>
          <w:noProof/>
          <w:sz w:val="24"/>
          <w:szCs w:val="24"/>
          <w:lang w:val="de-DE" w:eastAsia="de-DE" w:bidi="ar-SA"/>
        </w:rPr>
        <w:tab/>
        <w:t>33</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3.2</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Data collection</w:t>
      </w:r>
      <w:r w:rsidRPr="009E5B5E">
        <w:rPr>
          <w:rFonts w:eastAsia="Times New Roman" w:cs="Times New Roman"/>
          <w:b/>
          <w:noProof/>
          <w:sz w:val="24"/>
          <w:szCs w:val="24"/>
          <w:lang w:val="de-DE" w:eastAsia="de-DE" w:bidi="ar-SA"/>
        </w:rPr>
        <w:tab/>
        <w:t>34</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3.3</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Measures</w:t>
      </w:r>
      <w:r w:rsidRPr="009E5B5E">
        <w:rPr>
          <w:rFonts w:eastAsia="Times New Roman" w:cs="Times New Roman"/>
          <w:b/>
          <w:noProof/>
          <w:sz w:val="24"/>
          <w:szCs w:val="24"/>
          <w:lang w:val="de-DE" w:eastAsia="de-DE" w:bidi="ar-SA"/>
        </w:rPr>
        <w:tab/>
        <w:t>36</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3.4</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Data cleaning</w:t>
      </w:r>
      <w:r w:rsidRPr="009E5B5E">
        <w:rPr>
          <w:rFonts w:eastAsia="Times New Roman" w:cs="Times New Roman"/>
          <w:b/>
          <w:noProof/>
          <w:sz w:val="24"/>
          <w:szCs w:val="24"/>
          <w:lang w:val="de-DE" w:eastAsia="de-DE" w:bidi="ar-SA"/>
        </w:rPr>
        <w:tab/>
        <w:t>40</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3.5</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Datasets</w:t>
      </w:r>
      <w:r w:rsidRPr="009E5B5E">
        <w:rPr>
          <w:rFonts w:eastAsia="Times New Roman" w:cs="Times New Roman"/>
          <w:b/>
          <w:noProof/>
          <w:sz w:val="24"/>
          <w:szCs w:val="24"/>
          <w:lang w:val="de-DE" w:eastAsia="de-DE" w:bidi="ar-SA"/>
        </w:rPr>
        <w:tab/>
        <w:t>41</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3.6</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Methodology</w:t>
      </w:r>
      <w:r w:rsidRPr="009E5B5E">
        <w:rPr>
          <w:rFonts w:eastAsia="Times New Roman" w:cs="Times New Roman"/>
          <w:b/>
          <w:noProof/>
          <w:sz w:val="24"/>
          <w:szCs w:val="24"/>
          <w:lang w:val="de-DE" w:eastAsia="de-DE" w:bidi="ar-SA"/>
        </w:rPr>
        <w:tab/>
        <w:t>42</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eastAsia="zh-TW" w:bidi="ar-SA"/>
        </w:rPr>
      </w:pPr>
      <w:r w:rsidRPr="009E5B5E">
        <w:rPr>
          <w:rFonts w:eastAsia="Times New Roman" w:cs="Times New Roman"/>
          <w:noProof/>
          <w:sz w:val="24"/>
          <w:szCs w:val="24"/>
          <w:lang w:val="de-DE" w:eastAsia="de-DE" w:bidi="ar-SA"/>
        </w:rPr>
        <w:t>3.4.1</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Binomail logistic regression models</w:t>
      </w:r>
      <w:r w:rsidRPr="009E5B5E">
        <w:rPr>
          <w:rFonts w:eastAsia="Times New Roman" w:cs="Times New Roman"/>
          <w:noProof/>
          <w:sz w:val="24"/>
          <w:szCs w:val="24"/>
          <w:lang w:val="de-DE" w:eastAsia="de-DE" w:bidi="ar-SA"/>
        </w:rPr>
        <w:tab/>
        <w:t>42</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3.4.2</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Assumptions in logistic regression model</w:t>
      </w:r>
      <w:r w:rsidRPr="009E5B5E">
        <w:rPr>
          <w:rFonts w:eastAsia="Times New Roman" w:cs="Times New Roman"/>
          <w:noProof/>
          <w:sz w:val="24"/>
          <w:szCs w:val="24"/>
          <w:lang w:val="de-DE" w:eastAsia="de-DE" w:bidi="ar-SA"/>
        </w:rPr>
        <w:tab/>
        <w:t>46</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3.4.3</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Possible problems in logisctic regression</w:t>
      </w:r>
      <w:r w:rsidRPr="009E5B5E">
        <w:rPr>
          <w:rFonts w:eastAsia="Times New Roman" w:cs="Times New Roman"/>
          <w:noProof/>
          <w:sz w:val="24"/>
          <w:szCs w:val="24"/>
          <w:lang w:val="de-DE" w:eastAsia="de-DE" w:bidi="ar-SA"/>
        </w:rPr>
        <w:tab/>
        <w:t>46</w:t>
      </w:r>
    </w:p>
    <w:p w:rsidR="00DA2247" w:rsidRPr="009E5B5E" w:rsidRDefault="00DA2247" w:rsidP="00DA2247">
      <w:pPr>
        <w:tabs>
          <w:tab w:val="left" w:pos="480"/>
          <w:tab w:val="right" w:leader="underscore" w:pos="9118"/>
        </w:tabs>
        <w:autoSpaceDE w:val="0"/>
        <w:autoSpaceDN w:val="0"/>
        <w:spacing w:before="120" w:after="0" w:line="360" w:lineRule="auto"/>
        <w:rPr>
          <w:rFonts w:eastAsia="PMingLiU" w:cs="Times New Roman"/>
          <w:noProof/>
          <w:sz w:val="24"/>
          <w:szCs w:val="24"/>
          <w:lang w:val="de-DE" w:eastAsia="zh-TW" w:bidi="ar-SA"/>
        </w:rPr>
      </w:pPr>
      <w:r w:rsidRPr="009E5B5E">
        <w:rPr>
          <w:rFonts w:eastAsia="Times New Roman" w:cs="Times New Roman"/>
          <w:b/>
          <w:i/>
          <w:noProof/>
          <w:sz w:val="24"/>
          <w:szCs w:val="24"/>
          <w:lang w:eastAsia="de-DE" w:bidi="ar-SA"/>
        </w:rPr>
        <w:t>4</w:t>
      </w:r>
      <w:r w:rsidRPr="009E5B5E">
        <w:rPr>
          <w:rFonts w:eastAsia="PMingLiU" w:cs="Times New Roman"/>
          <w:noProof/>
          <w:sz w:val="24"/>
          <w:szCs w:val="24"/>
          <w:lang w:val="de-DE" w:eastAsia="zh-TW" w:bidi="ar-SA"/>
        </w:rPr>
        <w:tab/>
      </w:r>
      <w:r w:rsidRPr="009E5B5E">
        <w:rPr>
          <w:rFonts w:eastAsia="Times New Roman" w:cs="Times New Roman"/>
          <w:b/>
          <w:i/>
          <w:noProof/>
          <w:sz w:val="24"/>
          <w:szCs w:val="24"/>
          <w:lang w:eastAsia="de-DE" w:bidi="ar-SA"/>
        </w:rPr>
        <w:t>Analysis and results</w:t>
      </w:r>
      <w:r w:rsidRPr="009E5B5E">
        <w:rPr>
          <w:rFonts w:eastAsia="Times New Roman" w:cs="Times New Roman"/>
          <w:b/>
          <w:i/>
          <w:noProof/>
          <w:sz w:val="24"/>
          <w:szCs w:val="24"/>
          <w:lang w:val="de-DE" w:eastAsia="de-DE" w:bidi="ar-SA"/>
        </w:rPr>
        <w:tab/>
        <w:t>48</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4.1</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Outliers</w:t>
      </w:r>
      <w:r w:rsidRPr="009E5B5E">
        <w:rPr>
          <w:rFonts w:eastAsia="Times New Roman" w:cs="Times New Roman"/>
          <w:b/>
          <w:noProof/>
          <w:sz w:val="24"/>
          <w:szCs w:val="24"/>
          <w:lang w:val="de-DE" w:eastAsia="de-DE" w:bidi="ar-SA"/>
        </w:rPr>
        <w:tab/>
        <w:t>48</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4.2</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Descriptive statistics</w:t>
      </w:r>
      <w:r w:rsidRPr="009E5B5E">
        <w:rPr>
          <w:rFonts w:eastAsia="Times New Roman" w:cs="Times New Roman"/>
          <w:b/>
          <w:noProof/>
          <w:sz w:val="24"/>
          <w:szCs w:val="24"/>
          <w:lang w:val="de-DE" w:eastAsia="de-DE" w:bidi="ar-SA"/>
        </w:rPr>
        <w:tab/>
        <w:t>48</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4.3</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Logistic regression analysis abd results</w:t>
      </w:r>
      <w:r w:rsidRPr="009E5B5E">
        <w:rPr>
          <w:rFonts w:eastAsia="Times New Roman" w:cs="Times New Roman"/>
          <w:b/>
          <w:noProof/>
          <w:sz w:val="24"/>
          <w:szCs w:val="24"/>
          <w:lang w:val="de-DE" w:eastAsia="de-DE" w:bidi="ar-SA"/>
        </w:rPr>
        <w:tab/>
        <w:t>53</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4.3.1</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General model</w:t>
      </w:r>
      <w:r w:rsidRPr="009E5B5E">
        <w:rPr>
          <w:rFonts w:eastAsia="Times New Roman" w:cs="Times New Roman"/>
          <w:noProof/>
          <w:sz w:val="24"/>
          <w:szCs w:val="24"/>
          <w:lang w:val="de-DE" w:eastAsia="de-DE" w:bidi="ar-SA"/>
        </w:rPr>
        <w:tab/>
        <w:t>53</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4.3.2</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Gender specific model</w:t>
      </w:r>
      <w:r w:rsidRPr="009E5B5E">
        <w:rPr>
          <w:rFonts w:eastAsia="Times New Roman" w:cs="Times New Roman"/>
          <w:noProof/>
          <w:sz w:val="24"/>
          <w:szCs w:val="24"/>
          <w:lang w:val="de-DE" w:eastAsia="de-DE" w:bidi="ar-SA"/>
        </w:rPr>
        <w:tab/>
        <w:t>55</w:t>
      </w:r>
    </w:p>
    <w:p w:rsidR="00DA2247" w:rsidRPr="009E5B5E" w:rsidRDefault="00DA2247" w:rsidP="00DA2247">
      <w:pPr>
        <w:tabs>
          <w:tab w:val="left" w:pos="1200"/>
          <w:tab w:val="right" w:leader="underscore" w:pos="9118"/>
        </w:tabs>
        <w:autoSpaceDE w:val="0"/>
        <w:autoSpaceDN w:val="0"/>
        <w:spacing w:after="0" w:line="360" w:lineRule="auto"/>
        <w:ind w:left="1276" w:hanging="796"/>
        <w:rPr>
          <w:rFonts w:eastAsia="PMingLiU" w:cs="Times New Roman"/>
          <w:noProof/>
          <w:sz w:val="24"/>
          <w:szCs w:val="24"/>
          <w:lang w:val="de-DE" w:eastAsia="zh-TW" w:bidi="ar-SA"/>
        </w:rPr>
      </w:pPr>
      <w:r w:rsidRPr="009E5B5E">
        <w:rPr>
          <w:rFonts w:eastAsia="Times New Roman" w:cs="Times New Roman"/>
          <w:noProof/>
          <w:sz w:val="24"/>
          <w:szCs w:val="24"/>
          <w:lang w:val="de-DE" w:eastAsia="de-DE" w:bidi="ar-SA"/>
        </w:rPr>
        <w:t>4.3.2</w:t>
      </w:r>
      <w:r w:rsidRPr="009E5B5E">
        <w:rPr>
          <w:rFonts w:eastAsia="PMingLiU" w:cs="Times New Roman"/>
          <w:noProof/>
          <w:sz w:val="24"/>
          <w:szCs w:val="24"/>
          <w:lang w:val="de-DE" w:eastAsia="zh-TW" w:bidi="ar-SA"/>
        </w:rPr>
        <w:tab/>
      </w:r>
      <w:r w:rsidRPr="009E5B5E">
        <w:rPr>
          <w:rFonts w:eastAsia="Times New Roman" w:cs="Times New Roman"/>
          <w:noProof/>
          <w:sz w:val="24"/>
          <w:szCs w:val="24"/>
          <w:lang w:val="de-DE" w:eastAsia="de-DE" w:bidi="ar-SA"/>
        </w:rPr>
        <w:t>Three-way interaction included model</w:t>
      </w:r>
      <w:r w:rsidRPr="009E5B5E">
        <w:rPr>
          <w:rFonts w:eastAsia="Times New Roman" w:cs="Times New Roman"/>
          <w:noProof/>
          <w:sz w:val="24"/>
          <w:szCs w:val="24"/>
          <w:lang w:val="de-DE" w:eastAsia="de-DE" w:bidi="ar-SA"/>
        </w:rPr>
        <w:tab/>
        <w:t>57</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lastRenderedPageBreak/>
        <w:t>4.4</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Overview of hypotheses and findings</w:t>
      </w:r>
      <w:r w:rsidRPr="009E5B5E">
        <w:rPr>
          <w:rFonts w:eastAsia="Times New Roman" w:cs="Times New Roman"/>
          <w:b/>
          <w:noProof/>
          <w:sz w:val="24"/>
          <w:szCs w:val="24"/>
          <w:lang w:val="de-DE" w:eastAsia="de-DE" w:bidi="ar-SA"/>
        </w:rPr>
        <w:tab/>
        <w:t>59</w:t>
      </w:r>
    </w:p>
    <w:p w:rsidR="00DA2247" w:rsidRPr="009E5B5E" w:rsidRDefault="00DA2247" w:rsidP="00DA2247">
      <w:pPr>
        <w:tabs>
          <w:tab w:val="left" w:pos="480"/>
          <w:tab w:val="right" w:leader="underscore" w:pos="9118"/>
        </w:tabs>
        <w:autoSpaceDE w:val="0"/>
        <w:autoSpaceDN w:val="0"/>
        <w:spacing w:before="120" w:after="0" w:line="360" w:lineRule="auto"/>
        <w:rPr>
          <w:rFonts w:eastAsia="PMingLiU" w:cs="Times New Roman"/>
          <w:noProof/>
          <w:sz w:val="24"/>
          <w:szCs w:val="24"/>
          <w:lang w:val="de-DE" w:eastAsia="zh-TW" w:bidi="ar-SA"/>
        </w:rPr>
      </w:pPr>
      <w:r w:rsidRPr="009E5B5E">
        <w:rPr>
          <w:rFonts w:eastAsia="Times New Roman" w:cs="Times New Roman"/>
          <w:b/>
          <w:i/>
          <w:noProof/>
          <w:sz w:val="24"/>
          <w:szCs w:val="24"/>
          <w:lang w:eastAsia="de-DE" w:bidi="ar-SA"/>
        </w:rPr>
        <w:t>5</w:t>
      </w:r>
      <w:r w:rsidRPr="009E5B5E">
        <w:rPr>
          <w:rFonts w:eastAsia="PMingLiU" w:cs="Times New Roman"/>
          <w:noProof/>
          <w:sz w:val="24"/>
          <w:szCs w:val="24"/>
          <w:lang w:val="de-DE" w:eastAsia="zh-TW" w:bidi="ar-SA"/>
        </w:rPr>
        <w:tab/>
      </w:r>
      <w:r w:rsidRPr="009E5B5E">
        <w:rPr>
          <w:rFonts w:eastAsia="Times New Roman" w:cs="Times New Roman"/>
          <w:b/>
          <w:i/>
          <w:noProof/>
          <w:sz w:val="24"/>
          <w:szCs w:val="24"/>
          <w:lang w:eastAsia="de-DE" w:bidi="ar-SA"/>
        </w:rPr>
        <w:t>Conclusion</w:t>
      </w:r>
      <w:r w:rsidRPr="009E5B5E">
        <w:rPr>
          <w:rFonts w:eastAsia="Times New Roman" w:cs="Times New Roman"/>
          <w:b/>
          <w:i/>
          <w:noProof/>
          <w:sz w:val="24"/>
          <w:szCs w:val="24"/>
          <w:lang w:val="de-DE" w:eastAsia="de-DE" w:bidi="ar-SA"/>
        </w:rPr>
        <w:tab/>
        <w:t>61</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5.1</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General discussion</w:t>
      </w:r>
      <w:r w:rsidRPr="009E5B5E">
        <w:rPr>
          <w:rFonts w:eastAsia="Times New Roman" w:cs="Times New Roman"/>
          <w:b/>
          <w:noProof/>
          <w:sz w:val="24"/>
          <w:szCs w:val="24"/>
          <w:lang w:val="de-DE" w:eastAsia="de-DE" w:bidi="ar-SA"/>
        </w:rPr>
        <w:tab/>
        <w:t>61</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5.2</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Implications</w:t>
      </w:r>
      <w:r w:rsidRPr="009E5B5E">
        <w:rPr>
          <w:rFonts w:eastAsia="Times New Roman" w:cs="Times New Roman"/>
          <w:b/>
          <w:noProof/>
          <w:sz w:val="24"/>
          <w:szCs w:val="24"/>
          <w:lang w:val="de-DE" w:eastAsia="de-DE" w:bidi="ar-SA"/>
        </w:rPr>
        <w:tab/>
        <w:t>62</w:t>
      </w:r>
    </w:p>
    <w:p w:rsidR="00DA2247" w:rsidRPr="009E5B5E" w:rsidRDefault="00DA2247" w:rsidP="00DA2247">
      <w:pPr>
        <w:tabs>
          <w:tab w:val="left" w:pos="960"/>
          <w:tab w:val="right" w:leader="underscore" w:pos="9118"/>
        </w:tabs>
        <w:autoSpaceDE w:val="0"/>
        <w:autoSpaceDN w:val="0"/>
        <w:spacing w:before="120" w:after="0" w:line="360" w:lineRule="auto"/>
        <w:ind w:left="240"/>
        <w:rPr>
          <w:rFonts w:eastAsia="PMingLiU" w:cs="Times New Roman"/>
          <w:noProof/>
          <w:sz w:val="24"/>
          <w:szCs w:val="24"/>
          <w:lang w:val="de-DE" w:eastAsia="zh-TW" w:bidi="ar-SA"/>
        </w:rPr>
      </w:pPr>
      <w:r w:rsidRPr="009E5B5E">
        <w:rPr>
          <w:rFonts w:eastAsia="Times New Roman" w:cs="Times New Roman"/>
          <w:b/>
          <w:noProof/>
          <w:sz w:val="24"/>
          <w:szCs w:val="24"/>
          <w:lang w:eastAsia="de-DE" w:bidi="ar-SA"/>
        </w:rPr>
        <w:t>5.3</w:t>
      </w:r>
      <w:r w:rsidRPr="009E5B5E">
        <w:rPr>
          <w:rFonts w:eastAsia="PMingLiU" w:cs="Times New Roman"/>
          <w:noProof/>
          <w:sz w:val="24"/>
          <w:szCs w:val="24"/>
          <w:lang w:val="de-DE" w:eastAsia="zh-TW" w:bidi="ar-SA"/>
        </w:rPr>
        <w:tab/>
      </w:r>
      <w:r w:rsidRPr="009E5B5E">
        <w:rPr>
          <w:rFonts w:eastAsia="Times New Roman" w:cs="Times New Roman"/>
          <w:b/>
          <w:noProof/>
          <w:sz w:val="24"/>
          <w:szCs w:val="24"/>
          <w:lang w:eastAsia="de-DE" w:bidi="ar-SA"/>
        </w:rPr>
        <w:t>Limitations and future research</w:t>
      </w:r>
      <w:r w:rsidRPr="009E5B5E">
        <w:rPr>
          <w:rFonts w:eastAsia="Times New Roman" w:cs="Times New Roman"/>
          <w:b/>
          <w:noProof/>
          <w:sz w:val="24"/>
          <w:szCs w:val="24"/>
          <w:lang w:val="de-DE" w:eastAsia="de-DE" w:bidi="ar-SA"/>
        </w:rPr>
        <w:tab/>
        <w:t>64</w:t>
      </w:r>
    </w:p>
    <w:p w:rsidR="00DA2247" w:rsidRPr="009E5B5E" w:rsidRDefault="00DA2247" w:rsidP="00DA2247">
      <w:pPr>
        <w:tabs>
          <w:tab w:val="right" w:leader="underscore" w:pos="9118"/>
        </w:tabs>
        <w:autoSpaceDE w:val="0"/>
        <w:autoSpaceDN w:val="0"/>
        <w:spacing w:before="120" w:after="0" w:line="360" w:lineRule="auto"/>
        <w:rPr>
          <w:rFonts w:eastAsia="PMingLiU" w:cs="Times New Roman"/>
          <w:noProof/>
          <w:sz w:val="24"/>
          <w:szCs w:val="24"/>
          <w:lang w:val="de-DE" w:eastAsia="zh-TW" w:bidi="ar-SA"/>
        </w:rPr>
      </w:pPr>
      <w:r w:rsidRPr="009E5B5E">
        <w:rPr>
          <w:rFonts w:eastAsia="Times New Roman" w:cs="Times New Roman"/>
          <w:b/>
          <w:i/>
          <w:noProof/>
          <w:sz w:val="24"/>
          <w:szCs w:val="24"/>
          <w:lang w:eastAsia="de-DE" w:bidi="ar-SA"/>
        </w:rPr>
        <w:t>References</w:t>
      </w:r>
      <w:r w:rsidRPr="009E5B5E">
        <w:rPr>
          <w:rFonts w:eastAsia="Times New Roman" w:cs="Times New Roman"/>
          <w:b/>
          <w:i/>
          <w:noProof/>
          <w:sz w:val="24"/>
          <w:szCs w:val="24"/>
          <w:lang w:val="de-DE" w:eastAsia="de-DE" w:bidi="ar-SA"/>
        </w:rPr>
        <w:tab/>
        <w:t>66</w:t>
      </w:r>
    </w:p>
    <w:p w:rsidR="00DA2247" w:rsidRPr="009E5B5E" w:rsidRDefault="00DA2247" w:rsidP="00DA2247">
      <w:pPr>
        <w:tabs>
          <w:tab w:val="right" w:leader="underscore" w:pos="9118"/>
        </w:tabs>
        <w:autoSpaceDE w:val="0"/>
        <w:autoSpaceDN w:val="0"/>
        <w:spacing w:before="120" w:after="0" w:line="360" w:lineRule="auto"/>
        <w:rPr>
          <w:rFonts w:eastAsia="PMingLiU" w:cs="Times New Roman"/>
          <w:noProof/>
          <w:sz w:val="24"/>
          <w:szCs w:val="24"/>
          <w:lang w:val="de-DE" w:eastAsia="zh-TW" w:bidi="ar-SA"/>
        </w:rPr>
      </w:pPr>
      <w:r w:rsidRPr="009E5B5E">
        <w:rPr>
          <w:rFonts w:eastAsia="Times New Roman" w:cs="Times New Roman"/>
          <w:b/>
          <w:i/>
          <w:noProof/>
          <w:sz w:val="24"/>
          <w:szCs w:val="24"/>
          <w:lang w:eastAsia="de-DE" w:bidi="ar-SA"/>
        </w:rPr>
        <w:t>Appendix</w:t>
      </w:r>
      <w:r w:rsidRPr="009E5B5E">
        <w:rPr>
          <w:rFonts w:eastAsia="Times New Roman" w:cs="Times New Roman"/>
          <w:b/>
          <w:i/>
          <w:noProof/>
          <w:sz w:val="24"/>
          <w:szCs w:val="24"/>
          <w:lang w:val="de-DE" w:eastAsia="de-DE" w:bidi="ar-SA"/>
        </w:rPr>
        <w:tab/>
        <w:t>74</w:t>
      </w:r>
    </w:p>
    <w:p w:rsidR="00DA2247" w:rsidRPr="009E5B5E" w:rsidRDefault="00AD7D97" w:rsidP="00DA2247">
      <w:pPr>
        <w:suppressAutoHyphens/>
        <w:jc w:val="center"/>
        <w:rPr>
          <w:b/>
          <w:sz w:val="24"/>
          <w:szCs w:val="24"/>
        </w:rPr>
      </w:pPr>
      <w:r w:rsidRPr="009E5B5E">
        <w:rPr>
          <w:b/>
          <w:smallCaps/>
          <w:sz w:val="24"/>
          <w:szCs w:val="24"/>
        </w:rPr>
        <w:fldChar w:fldCharType="end"/>
      </w:r>
    </w:p>
    <w:p w:rsidR="00DA2247" w:rsidRPr="009E5B5E" w:rsidRDefault="00DA2247" w:rsidP="00DA2247">
      <w:pPr>
        <w:rPr>
          <w:b/>
          <w:sz w:val="24"/>
          <w:szCs w:val="24"/>
        </w:rPr>
      </w:pPr>
      <w:r w:rsidRPr="009E5B5E">
        <w:rPr>
          <w:b/>
          <w:sz w:val="24"/>
          <w:szCs w:val="24"/>
        </w:rPr>
        <w:br w:type="page"/>
      </w:r>
    </w:p>
    <w:p w:rsidR="00DA2247" w:rsidRPr="009E5B5E" w:rsidRDefault="00DA2247" w:rsidP="00DA2247">
      <w:pPr>
        <w:jc w:val="center"/>
        <w:rPr>
          <w:b/>
          <w:sz w:val="36"/>
          <w:szCs w:val="36"/>
        </w:rPr>
      </w:pPr>
      <w:r w:rsidRPr="009E5B5E">
        <w:rPr>
          <w:b/>
          <w:sz w:val="36"/>
          <w:szCs w:val="36"/>
        </w:rPr>
        <w:lastRenderedPageBreak/>
        <w:t>List of abbreviations</w:t>
      </w:r>
    </w:p>
    <w:p w:rsidR="00DA2247" w:rsidRPr="009E5B5E" w:rsidRDefault="00DA2247" w:rsidP="00DA2247">
      <w:pPr>
        <w:suppressAutoHyphens/>
        <w:spacing w:line="360" w:lineRule="auto"/>
        <w:ind w:left="993" w:hanging="993"/>
        <w:rPr>
          <w:sz w:val="24"/>
          <w:szCs w:val="24"/>
        </w:rPr>
      </w:pPr>
      <w:r w:rsidRPr="009E5B5E">
        <w:rPr>
          <w:sz w:val="24"/>
          <w:szCs w:val="24"/>
        </w:rPr>
        <w:t>AK</w:t>
      </w:r>
      <w:r w:rsidRPr="009E5B5E">
        <w:rPr>
          <w:sz w:val="24"/>
          <w:szCs w:val="24"/>
        </w:rPr>
        <w:tab/>
        <w:t>Around Knowledge</w:t>
      </w:r>
    </w:p>
    <w:p w:rsidR="00DA2247" w:rsidRPr="009E5B5E" w:rsidRDefault="00DA2247" w:rsidP="00DA2247">
      <w:pPr>
        <w:suppressAutoHyphens/>
        <w:spacing w:line="360" w:lineRule="auto"/>
        <w:ind w:left="993" w:hanging="993"/>
        <w:rPr>
          <w:sz w:val="24"/>
          <w:szCs w:val="24"/>
        </w:rPr>
      </w:pPr>
      <w:r w:rsidRPr="009E5B5E">
        <w:rPr>
          <w:sz w:val="24"/>
          <w:szCs w:val="24"/>
        </w:rPr>
        <w:t>VIF</w:t>
      </w:r>
      <w:r w:rsidRPr="009E5B5E">
        <w:rPr>
          <w:sz w:val="24"/>
          <w:szCs w:val="24"/>
        </w:rPr>
        <w:tab/>
        <w:t xml:space="preserve"> Variance Inflation Factors </w:t>
      </w:r>
    </w:p>
    <w:p w:rsidR="00DA2247" w:rsidRPr="009E5B5E" w:rsidRDefault="00DA2247" w:rsidP="00DA2247">
      <w:pPr>
        <w:suppressAutoHyphens/>
        <w:spacing w:line="360" w:lineRule="auto"/>
        <w:ind w:left="993" w:hanging="993"/>
        <w:rPr>
          <w:sz w:val="24"/>
          <w:szCs w:val="24"/>
        </w:rPr>
      </w:pPr>
    </w:p>
    <w:p w:rsidR="00DA2247" w:rsidRPr="009E5B5E" w:rsidRDefault="00DA2247" w:rsidP="00DA2247">
      <w:pPr>
        <w:suppressAutoHyphens/>
        <w:spacing w:line="360" w:lineRule="auto"/>
        <w:ind w:left="993" w:hanging="993"/>
        <w:jc w:val="center"/>
        <w:rPr>
          <w:b/>
          <w:sz w:val="36"/>
          <w:szCs w:val="36"/>
        </w:rPr>
      </w:pPr>
      <w:r w:rsidRPr="009E5B5E">
        <w:rPr>
          <w:b/>
          <w:sz w:val="36"/>
          <w:szCs w:val="36"/>
        </w:rPr>
        <w:t>List of tables</w:t>
      </w:r>
    </w:p>
    <w:p w:rsidR="00DA2247" w:rsidRPr="009E5B5E" w:rsidRDefault="00DA2247" w:rsidP="00DA2247">
      <w:pPr>
        <w:tabs>
          <w:tab w:val="left" w:pos="709"/>
          <w:tab w:val="left" w:pos="993"/>
        </w:tabs>
        <w:suppressAutoHyphens/>
        <w:spacing w:line="360" w:lineRule="auto"/>
        <w:rPr>
          <w:sz w:val="24"/>
          <w:szCs w:val="24"/>
        </w:rPr>
      </w:pPr>
      <w:r w:rsidRPr="009E5B5E">
        <w:rPr>
          <w:sz w:val="24"/>
          <w:szCs w:val="24"/>
        </w:rPr>
        <w:t>Table 1</w:t>
      </w:r>
      <w:r w:rsidRPr="009E5B5E">
        <w:rPr>
          <w:sz w:val="24"/>
          <w:szCs w:val="24"/>
        </w:rPr>
        <w:tab/>
        <w:t xml:space="preserve">Overview of hypotheses </w:t>
      </w:r>
    </w:p>
    <w:p w:rsidR="00DA2247" w:rsidRPr="009E5B5E" w:rsidRDefault="00DA2247" w:rsidP="00DA2247">
      <w:pPr>
        <w:tabs>
          <w:tab w:val="left" w:pos="709"/>
          <w:tab w:val="left" w:pos="993"/>
        </w:tabs>
        <w:spacing w:line="360" w:lineRule="auto"/>
        <w:rPr>
          <w:color w:val="000000" w:themeColor="text1"/>
          <w:sz w:val="24"/>
          <w:szCs w:val="24"/>
        </w:rPr>
      </w:pPr>
      <w:r w:rsidRPr="009E5B5E">
        <w:rPr>
          <w:sz w:val="24"/>
          <w:szCs w:val="24"/>
        </w:rPr>
        <w:t xml:space="preserve">Table 2 </w:t>
      </w:r>
      <w:r w:rsidRPr="009E5B5E">
        <w:rPr>
          <w:sz w:val="24"/>
          <w:szCs w:val="24"/>
        </w:rPr>
        <w:tab/>
        <w:t>Description of variables</w:t>
      </w:r>
      <w:r w:rsidRPr="009E5B5E">
        <w:rPr>
          <w:color w:val="000000" w:themeColor="text1"/>
          <w:sz w:val="24"/>
          <w:szCs w:val="24"/>
        </w:rPr>
        <w:t xml:space="preserve"> </w:t>
      </w:r>
    </w:p>
    <w:p w:rsidR="00DA2247" w:rsidRPr="009E5B5E" w:rsidRDefault="00DA2247" w:rsidP="00DA2247">
      <w:pPr>
        <w:tabs>
          <w:tab w:val="left" w:pos="709"/>
          <w:tab w:val="left" w:pos="993"/>
        </w:tabs>
        <w:spacing w:line="360" w:lineRule="auto"/>
        <w:ind w:left="993" w:hanging="993"/>
        <w:rPr>
          <w:color w:val="000000" w:themeColor="text1"/>
          <w:sz w:val="24"/>
          <w:szCs w:val="24"/>
        </w:rPr>
      </w:pPr>
      <w:r w:rsidRPr="009E5B5E">
        <w:rPr>
          <w:color w:val="000000" w:themeColor="text1"/>
          <w:sz w:val="24"/>
          <w:szCs w:val="24"/>
        </w:rPr>
        <w:t>Table 3</w:t>
      </w:r>
      <w:r w:rsidRPr="009E5B5E">
        <w:rPr>
          <w:color w:val="000000" w:themeColor="text1"/>
          <w:sz w:val="24"/>
          <w:szCs w:val="24"/>
        </w:rPr>
        <w:tab/>
        <w:t>Percentage of purchases made by consumers who shopped with and without friends (original dataset)</w:t>
      </w:r>
    </w:p>
    <w:p w:rsidR="00DA2247" w:rsidRPr="009E5B5E" w:rsidRDefault="00DA2247" w:rsidP="00DA2247">
      <w:pPr>
        <w:tabs>
          <w:tab w:val="left" w:pos="709"/>
          <w:tab w:val="left" w:pos="993"/>
        </w:tabs>
        <w:spacing w:line="360" w:lineRule="auto"/>
        <w:ind w:left="993" w:hanging="993"/>
        <w:rPr>
          <w:color w:val="000000" w:themeColor="text1"/>
          <w:sz w:val="24"/>
          <w:szCs w:val="24"/>
        </w:rPr>
      </w:pPr>
      <w:r w:rsidRPr="009E5B5E">
        <w:rPr>
          <w:color w:val="000000" w:themeColor="text1"/>
          <w:sz w:val="24"/>
          <w:szCs w:val="24"/>
        </w:rPr>
        <w:t xml:space="preserve">Table 4 </w:t>
      </w:r>
      <w:r w:rsidRPr="009E5B5E">
        <w:rPr>
          <w:color w:val="000000" w:themeColor="text1"/>
          <w:sz w:val="24"/>
          <w:szCs w:val="24"/>
        </w:rPr>
        <w:tab/>
        <w:t>Descriptive statistics of dwell time, consumer innovativeness and product involvement (original dataset)</w:t>
      </w:r>
    </w:p>
    <w:p w:rsidR="00DA2247" w:rsidRPr="009E5B5E" w:rsidRDefault="00DA2247" w:rsidP="00DA2247">
      <w:pPr>
        <w:tabs>
          <w:tab w:val="left" w:pos="709"/>
          <w:tab w:val="left" w:pos="993"/>
        </w:tabs>
        <w:spacing w:line="360" w:lineRule="auto"/>
        <w:rPr>
          <w:color w:val="000000" w:themeColor="text1"/>
          <w:sz w:val="24"/>
          <w:szCs w:val="24"/>
        </w:rPr>
      </w:pPr>
      <w:r w:rsidRPr="009E5B5E">
        <w:rPr>
          <w:color w:val="000000" w:themeColor="text1"/>
          <w:sz w:val="24"/>
          <w:szCs w:val="24"/>
        </w:rPr>
        <w:t xml:space="preserve">Table 5 </w:t>
      </w:r>
      <w:r w:rsidRPr="009E5B5E">
        <w:rPr>
          <w:color w:val="000000" w:themeColor="text1"/>
          <w:sz w:val="24"/>
          <w:szCs w:val="24"/>
        </w:rPr>
        <w:tab/>
        <w:t>Percentage of consumers shopping with friends (gender restricted dataset)</w:t>
      </w:r>
    </w:p>
    <w:p w:rsidR="00DA2247" w:rsidRPr="009E5B5E" w:rsidRDefault="00DA2247" w:rsidP="00DA2247">
      <w:pPr>
        <w:tabs>
          <w:tab w:val="left" w:pos="709"/>
          <w:tab w:val="left" w:pos="993"/>
        </w:tabs>
        <w:spacing w:line="360" w:lineRule="auto"/>
        <w:ind w:left="993" w:hanging="993"/>
        <w:rPr>
          <w:color w:val="000000" w:themeColor="text1"/>
          <w:sz w:val="24"/>
          <w:szCs w:val="24"/>
        </w:rPr>
      </w:pPr>
      <w:r w:rsidRPr="009E5B5E">
        <w:rPr>
          <w:color w:val="000000" w:themeColor="text1"/>
          <w:sz w:val="24"/>
          <w:szCs w:val="24"/>
        </w:rPr>
        <w:t>Table 6</w:t>
      </w:r>
      <w:r w:rsidRPr="009E5B5E">
        <w:rPr>
          <w:color w:val="000000" w:themeColor="text1"/>
          <w:sz w:val="24"/>
          <w:szCs w:val="24"/>
        </w:rPr>
        <w:tab/>
        <w:t>Percentage of purchases made by male and female consumers (gender restricted data)</w:t>
      </w:r>
    </w:p>
    <w:p w:rsidR="00DA2247" w:rsidRPr="009E5B5E" w:rsidRDefault="00DA2247" w:rsidP="00DA2247">
      <w:pPr>
        <w:tabs>
          <w:tab w:val="left" w:pos="709"/>
          <w:tab w:val="left" w:pos="993"/>
        </w:tabs>
        <w:spacing w:line="360" w:lineRule="auto"/>
        <w:ind w:left="993" w:hanging="993"/>
        <w:rPr>
          <w:color w:val="000000" w:themeColor="text1"/>
          <w:sz w:val="24"/>
          <w:szCs w:val="24"/>
        </w:rPr>
      </w:pPr>
      <w:r w:rsidRPr="009E5B5E">
        <w:rPr>
          <w:color w:val="000000" w:themeColor="text1"/>
          <w:sz w:val="24"/>
          <w:szCs w:val="24"/>
        </w:rPr>
        <w:t>Table 7</w:t>
      </w:r>
      <w:r w:rsidRPr="009E5B5E">
        <w:rPr>
          <w:color w:val="000000" w:themeColor="text1"/>
          <w:sz w:val="24"/>
          <w:szCs w:val="24"/>
        </w:rPr>
        <w:tab/>
        <w:t>Descriptive statistics of dwell time, consumer innovativeness and product involvement (gender restricted data)</w:t>
      </w:r>
    </w:p>
    <w:p w:rsidR="00DA2247" w:rsidRPr="009E5B5E" w:rsidRDefault="00DA2247" w:rsidP="00DA2247">
      <w:pPr>
        <w:tabs>
          <w:tab w:val="left" w:pos="709"/>
          <w:tab w:val="left" w:pos="993"/>
        </w:tabs>
        <w:suppressAutoHyphens/>
        <w:spacing w:line="360" w:lineRule="auto"/>
        <w:rPr>
          <w:sz w:val="24"/>
          <w:szCs w:val="24"/>
        </w:rPr>
      </w:pPr>
      <w:r w:rsidRPr="009E5B5E">
        <w:rPr>
          <w:sz w:val="24"/>
          <w:szCs w:val="24"/>
        </w:rPr>
        <w:t xml:space="preserve">Table 8 </w:t>
      </w:r>
      <w:r w:rsidRPr="009E5B5E">
        <w:rPr>
          <w:sz w:val="24"/>
          <w:szCs w:val="24"/>
        </w:rPr>
        <w:tab/>
        <w:t>Logistic regression analysis of general model (original dataset)</w:t>
      </w:r>
    </w:p>
    <w:p w:rsidR="00DA2247" w:rsidRPr="009E5B5E" w:rsidRDefault="00DA2247" w:rsidP="00DA2247">
      <w:pPr>
        <w:tabs>
          <w:tab w:val="left" w:pos="709"/>
          <w:tab w:val="left" w:pos="993"/>
        </w:tabs>
        <w:suppressAutoHyphens/>
        <w:spacing w:line="360" w:lineRule="auto"/>
        <w:rPr>
          <w:sz w:val="24"/>
          <w:szCs w:val="24"/>
        </w:rPr>
      </w:pPr>
      <w:r w:rsidRPr="009E5B5E">
        <w:rPr>
          <w:sz w:val="24"/>
          <w:szCs w:val="24"/>
        </w:rPr>
        <w:t xml:space="preserve">Table 9 </w:t>
      </w:r>
      <w:r w:rsidRPr="009E5B5E">
        <w:rPr>
          <w:sz w:val="24"/>
          <w:szCs w:val="24"/>
        </w:rPr>
        <w:tab/>
        <w:t>Logistic regression analysis of general model (reduced dataset)</w:t>
      </w:r>
    </w:p>
    <w:p w:rsidR="00DA2247" w:rsidRPr="009E5B5E" w:rsidRDefault="00DA2247" w:rsidP="00DA2247">
      <w:pPr>
        <w:tabs>
          <w:tab w:val="left" w:pos="709"/>
          <w:tab w:val="left" w:pos="993"/>
        </w:tabs>
        <w:suppressAutoHyphens/>
        <w:spacing w:line="360" w:lineRule="auto"/>
        <w:rPr>
          <w:sz w:val="24"/>
          <w:szCs w:val="24"/>
        </w:rPr>
      </w:pPr>
      <w:r w:rsidRPr="009E5B5E">
        <w:rPr>
          <w:sz w:val="24"/>
          <w:szCs w:val="24"/>
        </w:rPr>
        <w:t xml:space="preserve">Table 10 </w:t>
      </w:r>
      <w:r w:rsidRPr="009E5B5E">
        <w:rPr>
          <w:sz w:val="24"/>
          <w:szCs w:val="24"/>
        </w:rPr>
        <w:tab/>
      </w:r>
      <w:r w:rsidRPr="009E5B5E">
        <w:rPr>
          <w:color w:val="000000" w:themeColor="text1"/>
          <w:sz w:val="24"/>
          <w:szCs w:val="24"/>
        </w:rPr>
        <w:t>Logistic regression analysis of gender specific model</w:t>
      </w:r>
    </w:p>
    <w:p w:rsidR="00DA2247" w:rsidRPr="009E5B5E" w:rsidRDefault="00DA2247" w:rsidP="00DA2247">
      <w:pPr>
        <w:tabs>
          <w:tab w:val="left" w:pos="709"/>
          <w:tab w:val="left" w:pos="993"/>
        </w:tabs>
        <w:suppressAutoHyphens/>
        <w:spacing w:line="360" w:lineRule="auto"/>
        <w:rPr>
          <w:sz w:val="24"/>
          <w:szCs w:val="24"/>
        </w:rPr>
      </w:pPr>
      <w:r w:rsidRPr="009E5B5E">
        <w:rPr>
          <w:sz w:val="24"/>
          <w:szCs w:val="24"/>
        </w:rPr>
        <w:t xml:space="preserve">Table 11 </w:t>
      </w:r>
      <w:r w:rsidRPr="009E5B5E">
        <w:rPr>
          <w:color w:val="000000" w:themeColor="text1"/>
          <w:sz w:val="24"/>
          <w:szCs w:val="24"/>
        </w:rPr>
        <w:tab/>
        <w:t>Logistic regression analysis of three-way interaction included model</w:t>
      </w:r>
    </w:p>
    <w:p w:rsidR="00DA2247" w:rsidRPr="009E5B5E" w:rsidRDefault="00DA2247" w:rsidP="00DA2247">
      <w:pPr>
        <w:tabs>
          <w:tab w:val="left" w:pos="709"/>
          <w:tab w:val="left" w:pos="993"/>
        </w:tabs>
        <w:suppressAutoHyphens/>
        <w:spacing w:line="360" w:lineRule="auto"/>
        <w:rPr>
          <w:sz w:val="24"/>
          <w:szCs w:val="24"/>
        </w:rPr>
      </w:pPr>
      <w:r w:rsidRPr="009E5B5E">
        <w:rPr>
          <w:sz w:val="24"/>
          <w:szCs w:val="24"/>
        </w:rPr>
        <w:t>Table 12</w:t>
      </w:r>
      <w:r w:rsidRPr="009E5B5E">
        <w:rPr>
          <w:sz w:val="24"/>
          <w:szCs w:val="24"/>
        </w:rPr>
        <w:tab/>
        <w:t xml:space="preserve"> Overview of hypotheses and findings</w:t>
      </w:r>
    </w:p>
    <w:p w:rsidR="00DA2247" w:rsidRPr="009E5B5E" w:rsidRDefault="00DA2247" w:rsidP="00DA2247">
      <w:pPr>
        <w:tabs>
          <w:tab w:val="left" w:pos="709"/>
          <w:tab w:val="left" w:pos="993"/>
        </w:tabs>
        <w:suppressAutoHyphens/>
        <w:spacing w:line="360" w:lineRule="auto"/>
        <w:rPr>
          <w:sz w:val="24"/>
          <w:szCs w:val="24"/>
        </w:rPr>
      </w:pPr>
      <w:r w:rsidRPr="009E5B5E">
        <w:rPr>
          <w:sz w:val="24"/>
          <w:szCs w:val="24"/>
        </w:rPr>
        <w:t xml:space="preserve">Table 13 </w:t>
      </w:r>
      <w:r w:rsidRPr="009E5B5E">
        <w:rPr>
          <w:sz w:val="24"/>
          <w:szCs w:val="24"/>
        </w:rPr>
        <w:tab/>
        <w:t>Calculation of potential purchases to be made by male consumers who shop alone</w:t>
      </w:r>
    </w:p>
    <w:p w:rsidR="00DA2247" w:rsidRPr="009E5B5E" w:rsidRDefault="00DA2247" w:rsidP="00DA2247">
      <w:pPr>
        <w:tabs>
          <w:tab w:val="left" w:pos="709"/>
          <w:tab w:val="left" w:pos="993"/>
        </w:tabs>
        <w:suppressAutoHyphens/>
        <w:spacing w:line="360" w:lineRule="auto"/>
        <w:jc w:val="center"/>
        <w:rPr>
          <w:b/>
          <w:sz w:val="36"/>
          <w:szCs w:val="36"/>
        </w:rPr>
      </w:pPr>
    </w:p>
    <w:p w:rsidR="00DA2247" w:rsidRPr="009E5B5E" w:rsidRDefault="00DA2247" w:rsidP="00DA2247">
      <w:pPr>
        <w:tabs>
          <w:tab w:val="left" w:pos="709"/>
          <w:tab w:val="left" w:pos="993"/>
        </w:tabs>
        <w:suppressAutoHyphens/>
        <w:spacing w:line="360" w:lineRule="auto"/>
        <w:jc w:val="center"/>
        <w:rPr>
          <w:b/>
          <w:sz w:val="36"/>
          <w:szCs w:val="36"/>
        </w:rPr>
      </w:pPr>
      <w:r w:rsidRPr="009E5B5E">
        <w:rPr>
          <w:b/>
          <w:sz w:val="36"/>
          <w:szCs w:val="36"/>
        </w:rPr>
        <w:lastRenderedPageBreak/>
        <w:t>List of figures</w:t>
      </w:r>
    </w:p>
    <w:p w:rsidR="00DA2247" w:rsidRPr="009E5B5E" w:rsidRDefault="00DA2247" w:rsidP="00DA2247">
      <w:pPr>
        <w:tabs>
          <w:tab w:val="left" w:pos="709"/>
          <w:tab w:val="left" w:pos="993"/>
        </w:tabs>
        <w:spacing w:line="360" w:lineRule="auto"/>
        <w:rPr>
          <w:sz w:val="24"/>
          <w:szCs w:val="24"/>
        </w:rPr>
      </w:pPr>
      <w:r w:rsidRPr="009E5B5E">
        <w:rPr>
          <w:sz w:val="24"/>
          <w:szCs w:val="24"/>
        </w:rPr>
        <w:t>Figure 1</w:t>
      </w:r>
      <w:r w:rsidRPr="009E5B5E">
        <w:rPr>
          <w:sz w:val="24"/>
          <w:szCs w:val="24"/>
        </w:rPr>
        <w:tab/>
        <w:t xml:space="preserve">Conceptual framework </w:t>
      </w:r>
    </w:p>
    <w:p w:rsidR="00DA2247" w:rsidRPr="009E5B5E" w:rsidRDefault="00DA2247" w:rsidP="00DA2247">
      <w:pPr>
        <w:tabs>
          <w:tab w:val="left" w:pos="709"/>
          <w:tab w:val="left" w:pos="993"/>
        </w:tabs>
        <w:spacing w:line="360" w:lineRule="auto"/>
        <w:rPr>
          <w:rFonts w:cstheme="minorHAnsi"/>
          <w:b/>
          <w:bCs/>
          <w:sz w:val="24"/>
          <w:szCs w:val="24"/>
        </w:rPr>
      </w:pPr>
      <w:r w:rsidRPr="009E5B5E">
        <w:rPr>
          <w:rFonts w:cstheme="minorHAnsi"/>
          <w:color w:val="000000" w:themeColor="text1"/>
          <w:sz w:val="24"/>
          <w:szCs w:val="24"/>
        </w:rPr>
        <w:t>Figure 2</w:t>
      </w:r>
      <w:r w:rsidRPr="009E5B5E">
        <w:rPr>
          <w:rFonts w:cstheme="minorHAnsi"/>
          <w:color w:val="000000" w:themeColor="text1"/>
          <w:sz w:val="24"/>
          <w:szCs w:val="24"/>
        </w:rPr>
        <w:tab/>
        <w:t>Store division</w:t>
      </w:r>
      <w:r w:rsidRPr="009E5B5E">
        <w:rPr>
          <w:rFonts w:cstheme="minorHAnsi"/>
          <w:b/>
          <w:bCs/>
          <w:color w:val="000000" w:themeColor="text1"/>
          <w:sz w:val="24"/>
          <w:szCs w:val="24"/>
        </w:rPr>
        <w:t xml:space="preserve"> </w:t>
      </w:r>
      <w:r w:rsidRPr="009E5B5E">
        <w:rPr>
          <w:rFonts w:cstheme="minorHAnsi"/>
          <w:color w:val="000000" w:themeColor="text1"/>
          <w:sz w:val="24"/>
          <w:szCs w:val="24"/>
        </w:rPr>
        <w:t>map</w:t>
      </w:r>
      <w:r w:rsidRPr="009E5B5E">
        <w:rPr>
          <w:rFonts w:cstheme="minorHAnsi"/>
          <w:b/>
          <w:bCs/>
          <w:sz w:val="24"/>
          <w:szCs w:val="24"/>
        </w:rPr>
        <w:t xml:space="preserve"> </w:t>
      </w:r>
    </w:p>
    <w:p w:rsidR="00DA2247" w:rsidRPr="009E5B5E" w:rsidRDefault="00DA2247" w:rsidP="00DA2247">
      <w:pPr>
        <w:tabs>
          <w:tab w:val="left" w:pos="709"/>
          <w:tab w:val="left" w:pos="993"/>
        </w:tabs>
        <w:spacing w:line="360" w:lineRule="auto"/>
        <w:rPr>
          <w:color w:val="000000" w:themeColor="text1"/>
          <w:sz w:val="24"/>
          <w:szCs w:val="24"/>
        </w:rPr>
      </w:pPr>
      <w:r w:rsidRPr="009E5B5E">
        <w:rPr>
          <w:color w:val="000000" w:themeColor="text1"/>
          <w:sz w:val="24"/>
          <w:szCs w:val="24"/>
        </w:rPr>
        <w:t>Figure 3</w:t>
      </w:r>
      <w:r w:rsidRPr="009E5B5E">
        <w:rPr>
          <w:color w:val="000000" w:themeColor="text1"/>
          <w:sz w:val="24"/>
          <w:szCs w:val="24"/>
        </w:rPr>
        <w:tab/>
        <w:t>Percentage of male and female consumers (original dataset)</w:t>
      </w:r>
    </w:p>
    <w:p w:rsidR="00DA2247" w:rsidRPr="009E5B5E" w:rsidRDefault="00DA2247" w:rsidP="00DA2247">
      <w:pPr>
        <w:tabs>
          <w:tab w:val="left" w:pos="709"/>
          <w:tab w:val="left" w:pos="993"/>
        </w:tabs>
        <w:spacing w:line="360" w:lineRule="auto"/>
        <w:rPr>
          <w:color w:val="000000" w:themeColor="text1"/>
          <w:sz w:val="24"/>
          <w:szCs w:val="24"/>
        </w:rPr>
      </w:pPr>
      <w:r w:rsidRPr="009E5B5E">
        <w:rPr>
          <w:color w:val="000000" w:themeColor="text1"/>
          <w:sz w:val="24"/>
          <w:szCs w:val="24"/>
        </w:rPr>
        <w:t>Figure 4</w:t>
      </w:r>
      <w:r w:rsidRPr="009E5B5E">
        <w:rPr>
          <w:color w:val="000000" w:themeColor="text1"/>
          <w:sz w:val="24"/>
          <w:szCs w:val="24"/>
        </w:rPr>
        <w:tab/>
        <w:t>Percentage of consumers visited the store on and off sale period (original dataset)</w:t>
      </w:r>
    </w:p>
    <w:p w:rsidR="00DA2247" w:rsidRPr="009E5B5E" w:rsidRDefault="00DA2247" w:rsidP="00DA2247">
      <w:pPr>
        <w:tabs>
          <w:tab w:val="left" w:pos="709"/>
          <w:tab w:val="left" w:pos="993"/>
        </w:tabs>
        <w:spacing w:line="360" w:lineRule="auto"/>
        <w:rPr>
          <w:color w:val="000000" w:themeColor="text1"/>
          <w:sz w:val="24"/>
          <w:szCs w:val="24"/>
        </w:rPr>
      </w:pPr>
      <w:r w:rsidRPr="009E5B5E">
        <w:rPr>
          <w:color w:val="000000" w:themeColor="text1"/>
          <w:sz w:val="24"/>
          <w:szCs w:val="24"/>
        </w:rPr>
        <w:t>Figure 5</w:t>
      </w:r>
      <w:r w:rsidRPr="009E5B5E">
        <w:rPr>
          <w:color w:val="000000" w:themeColor="text1"/>
          <w:sz w:val="24"/>
          <w:szCs w:val="24"/>
        </w:rPr>
        <w:tab/>
        <w:t>Percentage of consumers shopping with friends (original dataset)</w:t>
      </w:r>
    </w:p>
    <w:p w:rsidR="00DA2247" w:rsidRPr="009E5B5E" w:rsidRDefault="00DA2247" w:rsidP="00DA2247">
      <w:pPr>
        <w:tabs>
          <w:tab w:val="left" w:pos="709"/>
          <w:tab w:val="left" w:pos="993"/>
        </w:tabs>
        <w:spacing w:line="360" w:lineRule="auto"/>
        <w:rPr>
          <w:color w:val="000000" w:themeColor="text1"/>
          <w:sz w:val="24"/>
          <w:szCs w:val="24"/>
        </w:rPr>
      </w:pPr>
      <w:r w:rsidRPr="009E5B5E">
        <w:rPr>
          <w:color w:val="000000" w:themeColor="text1"/>
          <w:sz w:val="24"/>
          <w:szCs w:val="24"/>
        </w:rPr>
        <w:t>Figure 6</w:t>
      </w:r>
      <w:r w:rsidRPr="009E5B5E">
        <w:rPr>
          <w:color w:val="000000" w:themeColor="text1"/>
          <w:sz w:val="24"/>
          <w:szCs w:val="24"/>
        </w:rPr>
        <w:tab/>
        <w:t>Percentage of male and female consumers (gender restricted dataset)</w:t>
      </w:r>
    </w:p>
    <w:p w:rsidR="00DA2247" w:rsidRPr="009E5B5E" w:rsidRDefault="00DA2247" w:rsidP="00DA2247">
      <w:pPr>
        <w:tabs>
          <w:tab w:val="left" w:pos="709"/>
          <w:tab w:val="left" w:pos="993"/>
        </w:tabs>
        <w:spacing w:line="360" w:lineRule="auto"/>
        <w:ind w:left="993" w:hanging="993"/>
        <w:rPr>
          <w:color w:val="000000" w:themeColor="text1"/>
          <w:sz w:val="24"/>
          <w:szCs w:val="24"/>
        </w:rPr>
      </w:pPr>
      <w:r w:rsidRPr="009E5B5E">
        <w:rPr>
          <w:color w:val="000000" w:themeColor="text1"/>
          <w:sz w:val="24"/>
          <w:szCs w:val="24"/>
        </w:rPr>
        <w:t>Figure 7</w:t>
      </w:r>
      <w:r w:rsidRPr="009E5B5E">
        <w:rPr>
          <w:color w:val="000000" w:themeColor="text1"/>
          <w:sz w:val="24"/>
          <w:szCs w:val="24"/>
        </w:rPr>
        <w:tab/>
        <w:t>Percentage of consumers visited in the presence of in-store marketing strategies (gender restricted dataset)</w:t>
      </w:r>
    </w:p>
    <w:p w:rsidR="00DA2247" w:rsidRPr="009E5B5E" w:rsidRDefault="00DA2247" w:rsidP="00DA2247">
      <w:pPr>
        <w:jc w:val="center"/>
        <w:rPr>
          <w:b/>
          <w:sz w:val="36"/>
          <w:szCs w:val="36"/>
        </w:rPr>
      </w:pPr>
    </w:p>
    <w:p w:rsidR="00DA2247" w:rsidRPr="009E5B5E" w:rsidRDefault="00DA2247" w:rsidP="00DA2247">
      <w:pPr>
        <w:tabs>
          <w:tab w:val="left" w:pos="709"/>
          <w:tab w:val="left" w:pos="993"/>
        </w:tabs>
        <w:spacing w:line="360" w:lineRule="auto"/>
        <w:rPr>
          <w:rFonts w:cstheme="minorHAnsi"/>
          <w:b/>
          <w:bCs/>
          <w:sz w:val="36"/>
          <w:szCs w:val="36"/>
        </w:rPr>
      </w:pPr>
    </w:p>
    <w:p w:rsidR="00DA2247" w:rsidRPr="009E5B5E" w:rsidRDefault="00DA2247" w:rsidP="00DA2247">
      <w:pPr>
        <w:spacing w:line="360" w:lineRule="auto"/>
        <w:rPr>
          <w:rFonts w:cstheme="minorHAnsi"/>
          <w:b/>
          <w:bCs/>
          <w:sz w:val="36"/>
          <w:szCs w:val="36"/>
        </w:rPr>
      </w:pPr>
      <w:r w:rsidRPr="009E5B5E">
        <w:rPr>
          <w:rFonts w:cstheme="minorHAnsi"/>
          <w:b/>
          <w:bCs/>
          <w:sz w:val="36"/>
          <w:szCs w:val="36"/>
        </w:rPr>
        <w:br w:type="page"/>
      </w:r>
    </w:p>
    <w:p w:rsidR="00DA2247" w:rsidRPr="009E5B5E" w:rsidRDefault="00AD7D97" w:rsidP="00DA2247">
      <w:pPr>
        <w:spacing w:line="360" w:lineRule="auto"/>
        <w:rPr>
          <w:rFonts w:cstheme="minorHAnsi"/>
          <w:sz w:val="36"/>
          <w:szCs w:val="36"/>
        </w:rPr>
      </w:pPr>
      <w:r w:rsidRPr="00AD7D97">
        <w:rPr>
          <w:rFonts w:cstheme="minorHAnsi"/>
          <w:b/>
          <w:bCs/>
          <w:noProof/>
          <w:sz w:val="36"/>
          <w:szCs w:val="36"/>
          <w:lang w:bidi="th-TH"/>
        </w:rPr>
        <w:lastRenderedPageBreak/>
        <w:pict>
          <v:shape id="_x0000_s1061" type="#_x0000_t32" style="position:absolute;margin-left:-.15pt;margin-top:28.35pt;width:487.1pt;height:.05pt;z-index:251697152" o:connectortype="straight" strokecolor="black [3213]" strokeweight="1.75pt"/>
        </w:pict>
      </w:r>
      <w:r w:rsidR="00DA2247" w:rsidRPr="009E5B5E">
        <w:rPr>
          <w:rFonts w:cstheme="minorHAnsi"/>
          <w:b/>
          <w:bCs/>
          <w:sz w:val="36"/>
          <w:szCs w:val="36"/>
        </w:rPr>
        <w:t>1</w:t>
      </w:r>
      <w:r w:rsidR="00DA2247" w:rsidRPr="009E5B5E">
        <w:rPr>
          <w:rFonts w:cstheme="minorHAnsi"/>
          <w:b/>
          <w:bCs/>
          <w:sz w:val="36"/>
          <w:szCs w:val="36"/>
        </w:rPr>
        <w:tab/>
        <w:t>INTRODUCTION</w:t>
      </w:r>
    </w:p>
    <w:p w:rsidR="00DA2247" w:rsidRPr="009E5B5E" w:rsidRDefault="00DA2247" w:rsidP="00DA2247">
      <w:pPr>
        <w:spacing w:line="360" w:lineRule="auto"/>
        <w:jc w:val="both"/>
        <w:rPr>
          <w:sz w:val="24"/>
          <w:szCs w:val="24"/>
        </w:rPr>
      </w:pPr>
      <w:r w:rsidRPr="009E5B5E">
        <w:rPr>
          <w:rFonts w:cstheme="minorHAnsi"/>
          <w:sz w:val="36"/>
          <w:szCs w:val="36"/>
        </w:rPr>
        <w:tab/>
      </w:r>
      <w:r w:rsidRPr="009E5B5E">
        <w:rPr>
          <w:sz w:val="24"/>
          <w:szCs w:val="24"/>
        </w:rPr>
        <w:t xml:space="preserve">Social influence has been proven to be one of the primary factors of consumer’s purchasing behavior. Such social influence occurs from membership groups (groups to which a person belongs), reference groups (groups to which a person wishes to belong), family, or multiple types of group at the same time (Kotler et al. 2009). Decision making in group context has been studied extensively as it is frequent that consumer’s decision are made in group setting (Aribarg et al. 2002). In group setting, a person’s emotions, opinions, choices or behaviors is most likely to be affected by others and differ from those when he/she is alone (Ariely and Levav, 2000). Therefore, choices made in group setting usually differ from the choices individuals would make in isolation (Ariely and Levav 2000; Kurt et al. 2011). Indeed, Argo et al. (2005) find that the only physical presence of stranger in a store aisle can motivate consumers’ emotional and behavioral responses which are advantageous to the retailers. This can be explained by the fact that everyone has a need to conform to the expectations of others in order to achieve social approval.  </w:t>
      </w:r>
    </w:p>
    <w:p w:rsidR="00DA2247" w:rsidRPr="009E5B5E" w:rsidRDefault="00DA2247" w:rsidP="00DA2247">
      <w:pPr>
        <w:spacing w:line="360" w:lineRule="auto"/>
        <w:ind w:firstLine="720"/>
        <w:jc w:val="both"/>
        <w:rPr>
          <w:sz w:val="24"/>
          <w:szCs w:val="24"/>
        </w:rPr>
      </w:pPr>
      <w:r w:rsidRPr="009E5B5E">
        <w:rPr>
          <w:sz w:val="24"/>
          <w:szCs w:val="24"/>
        </w:rPr>
        <w:t>In this master thesis, I aim to push the envelope even further to investigate whether the presence of a friend can influence consumer’s purchasing decisions when in the marketplace. The term ‘friend’ is used to indicate relationships in which the two individuals enjoy each other and yearn for each other’s company to the degree of friendship (Price and Arnould 1999). One particular study which provides a solid foundation for this master thesis is a research on the influence of friends in the store on consumer’s spending conducted recently by Kurt et al. (2011). The authors rely on the concept of agency-communion orientation –two fundamental modalities in self-presentation reflecting the tendency to emphasis on the self or others- , and investigate the direct effect of the presence of a friend on shopper’s purchasing decision when in the shopping place together. Yet, to the best of my knowledge, there has not been a study that investigates the moderating role of accompanying friend(s) on the impact of in-store marketing on consumer’s purchase incidence. Therefore, I propose to examine (1) the interactive influence of the presence of friend(s) and shoppers’ gender on their likelihood of purchase, and (2) whether the presences of friend(s) moderates the effect of in-store marketing (in particular, the renewal of in-store display, products relocation, and sales promotion) on a shopper’s purchase likelihood.</w:t>
      </w:r>
    </w:p>
    <w:p w:rsidR="00DA2247" w:rsidRPr="009E5B5E" w:rsidRDefault="00DA2247" w:rsidP="00DA2247">
      <w:pPr>
        <w:spacing w:line="360" w:lineRule="auto"/>
        <w:ind w:firstLine="720"/>
        <w:jc w:val="both"/>
        <w:rPr>
          <w:color w:val="000000" w:themeColor="text1"/>
          <w:sz w:val="24"/>
          <w:szCs w:val="24"/>
        </w:rPr>
      </w:pPr>
      <w:r w:rsidRPr="009E5B5E">
        <w:rPr>
          <w:sz w:val="24"/>
          <w:szCs w:val="24"/>
        </w:rPr>
        <w:lastRenderedPageBreak/>
        <w:t xml:space="preserve">On the basis of my motivation for this master thesis, I wish to contribute to marketing science by extending the understanding of social influences in shoppers’ behavior, i.e. the impact of friends in consumers’ purchases. First and foremost, prior study on the influence of friend(s) has typically relied on shopper survey in which self-report biases may endanger the validity of the findings. This master thesis unobtrusively observe consumers’ behavior in actual shopping setting using BIPS technology (a system detecting and tracking radio frequency emitted from customers’ mobile phones) to record the paths made by the shoppers’ within the store in real time which </w:t>
      </w:r>
      <w:r w:rsidRPr="009E5B5E">
        <w:rPr>
          <w:rFonts w:cstheme="minorHAnsi"/>
          <w:sz w:val="24"/>
          <w:szCs w:val="24"/>
        </w:rPr>
        <w:t>provide the most accurate and non self-stated in-store behavior of each individual customer</w:t>
      </w:r>
      <w:r w:rsidRPr="009E5B5E">
        <w:rPr>
          <w:sz w:val="24"/>
          <w:szCs w:val="24"/>
        </w:rPr>
        <w:t xml:space="preserve">. Second, this study contributes to marketing research by showing that the effect of the social environment (i.e., presence vs. absence of a friend) on consumers’ purchase decision is qualified by individual differences in agency–communion orientations (which are different for female vs. male shoppers, see Kurt, Inman and Argo 2011), and that such influence might moderate the effect of in-store marketing efforts on consumer’s purchase.  </w:t>
      </w:r>
      <w:r w:rsidRPr="009E5B5E">
        <w:rPr>
          <w:color w:val="000000" w:themeColor="text1"/>
          <w:sz w:val="24"/>
          <w:szCs w:val="24"/>
        </w:rPr>
        <w:t>Finally, this master thesis provides store managers, especially those in apparel industry, with insights and managerial implications regarding purchase behaviors. Even though factors like consumer’s social characteristics cannot be controlled by the industry, it must be taken into account since consumers reaction to in-store marketing efforts may vary across different social settings. Once retailers understand how such uncontrollable factor works, then they will be able to make the best out of the controllable factors and, therefore, result in higher sales.</w:t>
      </w:r>
    </w:p>
    <w:p w:rsidR="00DA2247" w:rsidRPr="009E5B5E" w:rsidRDefault="00DA2247" w:rsidP="00DA2247">
      <w:pPr>
        <w:spacing w:line="360" w:lineRule="auto"/>
        <w:jc w:val="both"/>
        <w:rPr>
          <w:b/>
          <w:bCs/>
          <w:color w:val="C00000"/>
          <w:sz w:val="28"/>
          <w:szCs w:val="28"/>
        </w:rPr>
      </w:pPr>
      <w:r w:rsidRPr="009E5B5E">
        <w:rPr>
          <w:b/>
          <w:bCs/>
          <w:sz w:val="28"/>
          <w:szCs w:val="28"/>
        </w:rPr>
        <w:t>Research Questions</w:t>
      </w:r>
      <w:bookmarkEnd w:id="0"/>
      <w:bookmarkEnd w:id="1"/>
    </w:p>
    <w:p w:rsidR="00DA2247" w:rsidRPr="009E5B5E" w:rsidRDefault="00DA2247" w:rsidP="00DA2247">
      <w:pPr>
        <w:spacing w:line="360" w:lineRule="auto"/>
        <w:jc w:val="both"/>
        <w:rPr>
          <w:rFonts w:cs="Arial"/>
          <w:sz w:val="24"/>
          <w:szCs w:val="24"/>
        </w:rPr>
      </w:pPr>
      <w:r w:rsidRPr="009E5B5E">
        <w:rPr>
          <w:rFonts w:cs="Arial"/>
          <w:sz w:val="24"/>
          <w:szCs w:val="24"/>
        </w:rPr>
        <w:t xml:space="preserve">The previous discussion leads to the following research questions: </w:t>
      </w:r>
    </w:p>
    <w:p w:rsidR="00DA2247" w:rsidRPr="009E5B5E" w:rsidRDefault="00DA2247" w:rsidP="00DA2247">
      <w:pPr>
        <w:pStyle w:val="ListParagraph"/>
        <w:numPr>
          <w:ilvl w:val="0"/>
          <w:numId w:val="4"/>
        </w:numPr>
        <w:spacing w:line="360" w:lineRule="auto"/>
        <w:jc w:val="both"/>
        <w:rPr>
          <w:rFonts w:cstheme="minorHAnsi"/>
          <w:sz w:val="24"/>
          <w:szCs w:val="24"/>
        </w:rPr>
      </w:pPr>
      <w:r w:rsidRPr="009E5B5E">
        <w:rPr>
          <w:rFonts w:cstheme="minorHAnsi"/>
          <w:sz w:val="24"/>
          <w:szCs w:val="24"/>
        </w:rPr>
        <w:t>Does Shopping with friend influence consumer’s purchase decision?</w:t>
      </w:r>
    </w:p>
    <w:p w:rsidR="00DA2247" w:rsidRPr="009E5B5E" w:rsidRDefault="00DA2247" w:rsidP="00DA2247">
      <w:pPr>
        <w:pStyle w:val="ListParagraph"/>
        <w:numPr>
          <w:ilvl w:val="0"/>
          <w:numId w:val="4"/>
        </w:numPr>
        <w:spacing w:line="360" w:lineRule="auto"/>
        <w:jc w:val="both"/>
        <w:rPr>
          <w:rFonts w:cstheme="minorHAnsi"/>
          <w:b/>
          <w:bCs/>
          <w:sz w:val="24"/>
          <w:szCs w:val="24"/>
        </w:rPr>
      </w:pPr>
      <w:r w:rsidRPr="009E5B5E">
        <w:rPr>
          <w:rFonts w:cstheme="minorHAnsi"/>
          <w:sz w:val="24"/>
          <w:szCs w:val="24"/>
        </w:rPr>
        <w:t>Does presence of a friend in the shopping trip moderate the effect of in-store marketing on consumer’s purchase decision?</w:t>
      </w:r>
    </w:p>
    <w:p w:rsidR="00DA2247" w:rsidRPr="009E5B5E" w:rsidRDefault="00DA2247" w:rsidP="00DA2247">
      <w:pPr>
        <w:spacing w:line="360" w:lineRule="auto"/>
        <w:jc w:val="both"/>
        <w:rPr>
          <w:rFonts w:cs="Arial"/>
          <w:sz w:val="24"/>
          <w:szCs w:val="24"/>
        </w:rPr>
      </w:pPr>
      <w:r w:rsidRPr="009E5B5E">
        <w:rPr>
          <w:rFonts w:cs="Arial"/>
          <w:sz w:val="24"/>
          <w:szCs w:val="24"/>
        </w:rPr>
        <w:t>To answer the research questions, the following sub questions need to be answered during this research process:</w:t>
      </w:r>
    </w:p>
    <w:p w:rsidR="00DA2247" w:rsidRPr="009E5B5E" w:rsidRDefault="00DA2247" w:rsidP="00DA2247">
      <w:pPr>
        <w:pStyle w:val="ListParagraph"/>
        <w:numPr>
          <w:ilvl w:val="0"/>
          <w:numId w:val="3"/>
        </w:numPr>
        <w:spacing w:line="360" w:lineRule="auto"/>
        <w:jc w:val="both"/>
        <w:rPr>
          <w:rFonts w:cs="Arial"/>
          <w:sz w:val="24"/>
          <w:szCs w:val="24"/>
        </w:rPr>
      </w:pPr>
      <w:r w:rsidRPr="009E5B5E">
        <w:rPr>
          <w:rFonts w:cs="Arial"/>
          <w:sz w:val="24"/>
          <w:szCs w:val="24"/>
        </w:rPr>
        <w:t>What are in-store marketing actions? And how do they work?</w:t>
      </w:r>
    </w:p>
    <w:p w:rsidR="00DA2247" w:rsidRPr="009E5B5E" w:rsidRDefault="00DA2247" w:rsidP="00DA2247">
      <w:pPr>
        <w:pStyle w:val="ListParagraph"/>
        <w:numPr>
          <w:ilvl w:val="0"/>
          <w:numId w:val="3"/>
        </w:numPr>
        <w:spacing w:line="360" w:lineRule="auto"/>
        <w:jc w:val="both"/>
        <w:rPr>
          <w:rFonts w:cs="Arial"/>
          <w:sz w:val="24"/>
          <w:szCs w:val="24"/>
        </w:rPr>
      </w:pPr>
      <w:r w:rsidRPr="009E5B5E">
        <w:rPr>
          <w:rFonts w:cs="Arial"/>
          <w:sz w:val="24"/>
          <w:szCs w:val="24"/>
        </w:rPr>
        <w:t xml:space="preserve">How do in-store marketing efforts, </w:t>
      </w:r>
      <w:r w:rsidRPr="009E5B5E">
        <w:rPr>
          <w:sz w:val="24"/>
          <w:szCs w:val="24"/>
        </w:rPr>
        <w:t>in particular, the renewal of in-store display, products relocation, and sales promotion</w:t>
      </w:r>
      <w:r w:rsidRPr="009E5B5E">
        <w:rPr>
          <w:rFonts w:cs="Arial"/>
          <w:sz w:val="24"/>
          <w:szCs w:val="24"/>
        </w:rPr>
        <w:t>, induce purchasing decision?</w:t>
      </w:r>
    </w:p>
    <w:p w:rsidR="00DA2247" w:rsidRPr="009E5B5E" w:rsidRDefault="00DA2247" w:rsidP="00DA2247">
      <w:pPr>
        <w:pStyle w:val="ListParagraph"/>
        <w:numPr>
          <w:ilvl w:val="0"/>
          <w:numId w:val="3"/>
        </w:numPr>
        <w:spacing w:line="360" w:lineRule="auto"/>
        <w:jc w:val="both"/>
        <w:rPr>
          <w:rFonts w:cs="Arial"/>
          <w:sz w:val="24"/>
          <w:szCs w:val="24"/>
        </w:rPr>
      </w:pPr>
      <w:r w:rsidRPr="009E5B5E">
        <w:rPr>
          <w:rFonts w:cs="Arial"/>
          <w:sz w:val="24"/>
          <w:szCs w:val="24"/>
        </w:rPr>
        <w:lastRenderedPageBreak/>
        <w:t>Why and how does the presence of friend(s) in the marketplace influence consumer’s purchasing decision?</w:t>
      </w:r>
    </w:p>
    <w:p w:rsidR="00DA2247" w:rsidRPr="009E5B5E" w:rsidRDefault="00DA2247" w:rsidP="00DA2247">
      <w:pPr>
        <w:pStyle w:val="ListParagraph"/>
        <w:numPr>
          <w:ilvl w:val="0"/>
          <w:numId w:val="3"/>
        </w:numPr>
        <w:spacing w:line="360" w:lineRule="auto"/>
        <w:jc w:val="both"/>
        <w:rPr>
          <w:rFonts w:cs="Arial"/>
          <w:sz w:val="24"/>
          <w:szCs w:val="24"/>
        </w:rPr>
      </w:pPr>
      <w:r w:rsidRPr="009E5B5E">
        <w:rPr>
          <w:rFonts w:cs="Arial"/>
          <w:sz w:val="24"/>
          <w:szCs w:val="24"/>
        </w:rPr>
        <w:t>Does gender moderate the effect of friend’s presence on consumer’s purchase decision?</w:t>
      </w:r>
    </w:p>
    <w:p w:rsidR="00DA2247" w:rsidRPr="009E5B5E" w:rsidRDefault="00DA2247" w:rsidP="00DA2247">
      <w:pPr>
        <w:pStyle w:val="ListParagraph"/>
        <w:numPr>
          <w:ilvl w:val="0"/>
          <w:numId w:val="3"/>
        </w:numPr>
        <w:spacing w:line="360" w:lineRule="auto"/>
        <w:jc w:val="both"/>
        <w:rPr>
          <w:rFonts w:cs="Arial"/>
          <w:sz w:val="24"/>
          <w:szCs w:val="24"/>
        </w:rPr>
      </w:pPr>
      <w:r w:rsidRPr="009E5B5E">
        <w:rPr>
          <w:rFonts w:cs="Arial"/>
          <w:sz w:val="24"/>
          <w:szCs w:val="24"/>
        </w:rPr>
        <w:t xml:space="preserve">Does the presence of friend(s) in the marketplace moderate the effect of in-store marketing on consumer purchase behavior? If so, does gender moderate such effect? </w:t>
      </w:r>
    </w:p>
    <w:p w:rsidR="00DA2247" w:rsidRPr="009E5B5E" w:rsidRDefault="00DA2247" w:rsidP="00DA2247">
      <w:pPr>
        <w:rPr>
          <w:rFonts w:eastAsia="Times New Roman" w:cs="Arial"/>
          <w:b/>
          <w:bCs/>
          <w:sz w:val="28"/>
          <w:lang w:bidi="ar-SA"/>
        </w:rPr>
      </w:pPr>
      <w:r w:rsidRPr="009E5B5E">
        <w:rPr>
          <w:b/>
          <w:bCs/>
          <w:sz w:val="28"/>
        </w:rPr>
        <w:t>Thesis Structure</w:t>
      </w:r>
    </w:p>
    <w:p w:rsidR="00DA2247" w:rsidRPr="009E5B5E" w:rsidRDefault="00DA2247" w:rsidP="00DA2247">
      <w:pPr>
        <w:spacing w:line="360" w:lineRule="auto"/>
        <w:jc w:val="both"/>
        <w:rPr>
          <w:rFonts w:cs="Arial"/>
          <w:sz w:val="24"/>
          <w:szCs w:val="24"/>
        </w:rPr>
      </w:pPr>
      <w:r w:rsidRPr="009E5B5E">
        <w:rPr>
          <w:sz w:val="24"/>
          <w:szCs w:val="24"/>
        </w:rPr>
        <w:t>This master thesis consists of five parts: (1) introduction, (2) theoretical background and conceptual framework, (3) methodology, (4) analysis and results, and (5) general conclusion and managerial implications.</w:t>
      </w:r>
      <w:r w:rsidRPr="009E5B5E">
        <w:rPr>
          <w:rFonts w:cs="Arial"/>
          <w:sz w:val="24"/>
          <w:szCs w:val="24"/>
        </w:rPr>
        <w:t xml:space="preserve"> </w:t>
      </w:r>
    </w:p>
    <w:p w:rsidR="00DA2247" w:rsidRPr="009E5B5E" w:rsidRDefault="00DA2247" w:rsidP="00DA2247">
      <w:pPr>
        <w:spacing w:line="360" w:lineRule="auto"/>
        <w:jc w:val="both"/>
        <w:rPr>
          <w:rFonts w:cstheme="minorHAnsi"/>
          <w:b/>
          <w:bCs/>
          <w:sz w:val="36"/>
          <w:szCs w:val="36"/>
        </w:rPr>
      </w:pPr>
      <w:r w:rsidRPr="009E5B5E">
        <w:rPr>
          <w:rFonts w:cs="Arial"/>
          <w:sz w:val="24"/>
          <w:szCs w:val="24"/>
        </w:rPr>
        <w:t>Theoretical background and conceptual framework will be discussed in the following chapter. Literature review on impulse purchase behavior, in-store marketing, and influence of a friend on purchase decision are presented, followed by construction of conceptual model and hypotheses development. Second, data and measurement will be discussed in methodology part. The methods used in this study and presentation of data are described in detail. The analysis and results are discussed in the fourth section in order to answer the stated research questions. Lastly, the fifth chapter gives a general conclusion and managerial implications. In addition, limitations and recommendation for future research will also be provided in this fifth chapter.</w:t>
      </w:r>
      <w:r w:rsidRPr="009E5B5E">
        <w:rPr>
          <w:rFonts w:cstheme="minorHAnsi"/>
          <w:b/>
          <w:bCs/>
          <w:sz w:val="36"/>
          <w:szCs w:val="36"/>
        </w:rPr>
        <w:t xml:space="preserve"> </w:t>
      </w:r>
      <w:r w:rsidRPr="009E5B5E">
        <w:rPr>
          <w:rFonts w:cstheme="minorHAnsi"/>
          <w:b/>
          <w:bCs/>
          <w:sz w:val="36"/>
          <w:szCs w:val="36"/>
        </w:rPr>
        <w:br w:type="page"/>
      </w:r>
      <w:r w:rsidRPr="009E5B5E">
        <w:rPr>
          <w:rFonts w:cstheme="minorHAnsi"/>
          <w:b/>
          <w:bCs/>
          <w:sz w:val="40"/>
          <w:szCs w:val="40"/>
        </w:rPr>
        <w:lastRenderedPageBreak/>
        <w:t>2</w:t>
      </w:r>
      <w:r w:rsidRPr="009E5B5E">
        <w:rPr>
          <w:rFonts w:cstheme="minorHAnsi"/>
          <w:b/>
          <w:bCs/>
          <w:sz w:val="40"/>
          <w:szCs w:val="40"/>
        </w:rPr>
        <w:tab/>
      </w:r>
      <w:r w:rsidRPr="009E5B5E">
        <w:rPr>
          <w:rFonts w:cstheme="minorHAnsi"/>
          <w:b/>
          <w:bCs/>
          <w:sz w:val="36"/>
          <w:szCs w:val="36"/>
        </w:rPr>
        <w:t>THEORETICAL BACKGROUND</w:t>
      </w:r>
    </w:p>
    <w:p w:rsidR="00DA2247" w:rsidRPr="009E5B5E" w:rsidRDefault="00AD7D97" w:rsidP="00DA2247">
      <w:pPr>
        <w:spacing w:line="360" w:lineRule="auto"/>
        <w:jc w:val="both"/>
        <w:rPr>
          <w:b/>
          <w:bCs/>
          <w:sz w:val="32"/>
          <w:szCs w:val="32"/>
        </w:rPr>
      </w:pPr>
      <w:r w:rsidRPr="00AD7D97">
        <w:rPr>
          <w:rFonts w:cstheme="minorHAnsi"/>
          <w:b/>
          <w:bCs/>
          <w:noProof/>
          <w:sz w:val="36"/>
          <w:szCs w:val="36"/>
          <w:lang w:bidi="th-TH"/>
        </w:rPr>
        <w:pict>
          <v:shape id="_x0000_s1062" type="#_x0000_t32" style="position:absolute;left:0;text-align:left;margin-left:.5pt;margin-top:-16.75pt;width:487.1pt;height:.05pt;z-index:251698176" o:connectortype="straight" strokeweight="1.75pt"/>
        </w:pict>
      </w:r>
      <w:r w:rsidR="00DA2247" w:rsidRPr="009E5B5E">
        <w:rPr>
          <w:b/>
          <w:bCs/>
          <w:sz w:val="32"/>
          <w:szCs w:val="32"/>
        </w:rPr>
        <w:t xml:space="preserve">2.1 The </w:t>
      </w:r>
      <w:r w:rsidR="00DA2247" w:rsidRPr="009E5B5E">
        <w:rPr>
          <w:rFonts w:cstheme="minorHAnsi"/>
          <w:b/>
          <w:bCs/>
          <w:sz w:val="32"/>
          <w:szCs w:val="32"/>
        </w:rPr>
        <w:t>Overview of Consumer Buying Behavior Model</w:t>
      </w:r>
    </w:p>
    <w:p w:rsidR="00DA2247" w:rsidRPr="009E5B5E" w:rsidRDefault="00DA2247" w:rsidP="00DA2247">
      <w:pPr>
        <w:spacing w:line="360" w:lineRule="auto"/>
        <w:jc w:val="thaiDistribute"/>
        <w:rPr>
          <w:sz w:val="24"/>
          <w:szCs w:val="24"/>
        </w:rPr>
      </w:pPr>
      <w:r w:rsidRPr="009E5B5E">
        <w:rPr>
          <w:sz w:val="24"/>
          <w:szCs w:val="24"/>
        </w:rPr>
        <w:t xml:space="preserve">Consumer buying decisions are undoubtedly at the center of any economy. Accordingly, buying behavior has been extensively researched by numerous academic researchers and companies. As far as consumer behavior goes, it is not complicated to answer what, where and how much consumers purchase. However, understanding how and why they behave in such ways is far from simple since what happen in the consumer’s mind is unobservable. Therefore, there are numerous models of consumer buying behavior which generally draw together the external stimuli, internal influences, and the decision-making process leading to buying decisions in attempt to understand the hidden information in the mind of the consumer, often considered to be a 'black box' (Hawkins et al. 2001; Engel at al. 1995; Kotler et al. 2009). </w:t>
      </w:r>
    </w:p>
    <w:p w:rsidR="00DA2247" w:rsidRPr="009E5B5E" w:rsidRDefault="00DA2247" w:rsidP="00DA2247">
      <w:pPr>
        <w:spacing w:line="360" w:lineRule="auto"/>
        <w:jc w:val="thaiDistribute"/>
        <w:rPr>
          <w:sz w:val="24"/>
          <w:szCs w:val="24"/>
        </w:rPr>
      </w:pPr>
      <w:r w:rsidRPr="009E5B5E">
        <w:rPr>
          <w:sz w:val="24"/>
          <w:szCs w:val="24"/>
        </w:rPr>
        <w:t xml:space="preserve">Kotler et al. (2009) propose a very basic and intuitive model of consumer buying behavior (see also appendix 1). They demonstrate that observable factors external to the consumer (marketing and other stimuli: economic, technological, social, political, and cultural) will act as stimuli for behavior, once they are processed inside the buyer's ‘black box’. Moreover, consumer’s internal characteristics (cultural, social, personal, and psychological) and decision-making process will interact with these external stimuli and trigger certain purchase responses. </w:t>
      </w:r>
    </w:p>
    <w:p w:rsidR="00DA2247" w:rsidRPr="009E5B5E" w:rsidRDefault="00DA2247" w:rsidP="00DA2247">
      <w:pPr>
        <w:spacing w:line="360" w:lineRule="auto"/>
        <w:jc w:val="thaiDistribute"/>
        <w:rPr>
          <w:sz w:val="24"/>
          <w:szCs w:val="24"/>
        </w:rPr>
      </w:pPr>
      <w:r w:rsidRPr="009E5B5E">
        <w:rPr>
          <w:sz w:val="24"/>
          <w:szCs w:val="24"/>
        </w:rPr>
        <w:t xml:space="preserve">However, other consumer buying behavior models provide relatively different form and categorization (internal/personal influences in particular) as presented by Engel et al. (1995) and Hawkins et al. (2001). As marketing efforts and external influences (cultural, social class, personal influences, family, and situation) play a role as stimuli to search behavior and pre-purchase evaluation, Engel et al. (1995) suggest that ‘individual differences’ (including motivation and involvement, consumer resources, knowledge, attitudes, personality and </w:t>
      </w:r>
      <w:r w:rsidRPr="009E5B5E">
        <w:rPr>
          <w:color w:val="000000" w:themeColor="text1"/>
          <w:sz w:val="24"/>
          <w:szCs w:val="24"/>
        </w:rPr>
        <w:t>values, and life style) play an important role when it comes to the purchase decision (see also appendix 2). On the other hand, Hawkins et al. (2001) propose that external (culture, social stratification, demographics, geographic, reference groups, families and households, and marketing activities) and internal influences (perception, learning, memory, motives, personality, emotions, and attitudes) affect person’s self-concept and lifestyle which plays the central role in purchase behavior (see also appendix 3).</w:t>
      </w:r>
      <w:r w:rsidRPr="009E5B5E">
        <w:rPr>
          <w:sz w:val="24"/>
          <w:szCs w:val="24"/>
        </w:rPr>
        <w:t xml:space="preserve"> </w:t>
      </w:r>
    </w:p>
    <w:p w:rsidR="00DA2247" w:rsidRPr="009E5B5E" w:rsidRDefault="00DA2247" w:rsidP="00DA2247">
      <w:pPr>
        <w:spacing w:line="360" w:lineRule="auto"/>
        <w:jc w:val="thaiDistribute"/>
        <w:rPr>
          <w:sz w:val="24"/>
          <w:szCs w:val="24"/>
        </w:rPr>
      </w:pPr>
      <w:r w:rsidRPr="009E5B5E">
        <w:rPr>
          <w:sz w:val="24"/>
          <w:szCs w:val="24"/>
        </w:rPr>
        <w:lastRenderedPageBreak/>
        <w:t>Despite some differences, all models mentioned are consistent with one another in terms of their general principles. In fact, they all come down to the conclusion that consumers react to external stimuli in their environment and that such consumer responses are shaped by each consumer’s personal psychological characteristics (i.e. needs, self-concept, lifestyle, motives). In other words, these external and internal drivers determine a consumer’s decision-making process and generate particular behavioral responses, such as a purchase decision. Corresponding with the principle of consumer purchase behavior in general, I focus on three drivers of consumer purchase behavior in this master thesis: in-store marketing activities, social interaction during purchase (namely the presence of friend(s) during a shopping trip) and consumers’ personal orientation (operationalized by gender).</w:t>
      </w:r>
    </w:p>
    <w:p w:rsidR="00DA2247" w:rsidRPr="009E5B5E" w:rsidRDefault="00DA2247" w:rsidP="00DA2247">
      <w:pPr>
        <w:spacing w:line="360" w:lineRule="auto"/>
        <w:jc w:val="thaiDistribute"/>
        <w:rPr>
          <w:sz w:val="24"/>
          <w:szCs w:val="24"/>
        </w:rPr>
      </w:pPr>
      <w:r w:rsidRPr="009E5B5E">
        <w:rPr>
          <w:sz w:val="24"/>
          <w:szCs w:val="24"/>
        </w:rPr>
        <w:t>Firstly, I consider in-store marketing activities, in particular sales promotion, in-store display renewal, and products relocation, as marketing stimuli through which retailers provide incentives for consumers to buy. Today, in-store marketing tools are used by most retailers. Three significant factors have contributed to rapid growth of in-store marketing efforts (Kotler et al., 2009). First, in-store marketing is perceived as an effective short-run sales tool as companies internally confront the greater pressure to increase sales. Second, the external competition between companies is fiercer as products and brands are less differentiated. Third, advertising has become less efficient due to rising in costs, media clutter, and legal restraints. Therefore, retailers see in-store marketing as effective tool that help promote sales and differentiate their offers from the competitors.</w:t>
      </w:r>
    </w:p>
    <w:p w:rsidR="00DA2247" w:rsidRPr="009E5B5E" w:rsidRDefault="00DA2247" w:rsidP="00DA2247">
      <w:pPr>
        <w:spacing w:line="360" w:lineRule="auto"/>
        <w:jc w:val="thaiDistribute"/>
        <w:rPr>
          <w:sz w:val="24"/>
          <w:szCs w:val="24"/>
        </w:rPr>
      </w:pPr>
      <w:r w:rsidRPr="009E5B5E">
        <w:rPr>
          <w:sz w:val="24"/>
          <w:szCs w:val="24"/>
        </w:rPr>
        <w:t>Secondly, I consider the presence of friend(s) in shopping place as social factor reflecting an environmental/external driver capable of shaping a consumer’s attitudes, impulses and the decision-making process underlying purchase behavior. It is frequent that consumer’s decision are made when he/she is surrounded by significant others (Aribarg et al. 2002). In group setting, a person’s emotions, opinions, choices or behaviors is most likely to be derived from others (Ariely and Levav, 2000). Therefore, choices made in group setting usually differ from those that people would make individually (Ariely and Levav 2000; Kurt et al. 2011). This is because, even though, social influence is classified as external, it is linked to consumer’s personal psychological characteristics as well.</w:t>
      </w:r>
      <w:r w:rsidRPr="009E5B5E">
        <w:rPr>
          <w:i/>
          <w:iCs/>
          <w:sz w:val="24"/>
          <w:szCs w:val="24"/>
        </w:rPr>
        <w:t xml:space="preserve"> </w:t>
      </w:r>
      <w:r w:rsidRPr="009E5B5E">
        <w:rPr>
          <w:sz w:val="24"/>
          <w:szCs w:val="24"/>
        </w:rPr>
        <w:t xml:space="preserve">Deutsch and Gerard (1955) propose the different perspective on social influence by categorizing it into two types. First, the informational social influence is referred as the </w:t>
      </w:r>
      <w:r w:rsidRPr="009E5B5E">
        <w:rPr>
          <w:i/>
          <w:iCs/>
          <w:sz w:val="24"/>
          <w:szCs w:val="24"/>
        </w:rPr>
        <w:t>"influence to accept information obtained from another as evidence about reality"</w:t>
      </w:r>
      <w:r w:rsidRPr="009E5B5E">
        <w:rPr>
          <w:sz w:val="24"/>
          <w:szCs w:val="24"/>
        </w:rPr>
        <w:t xml:space="preserve"> (p. 629). Second, normative influence is referred to the </w:t>
      </w:r>
      <w:r w:rsidRPr="009E5B5E">
        <w:rPr>
          <w:sz w:val="24"/>
          <w:szCs w:val="24"/>
        </w:rPr>
        <w:lastRenderedPageBreak/>
        <w:t xml:space="preserve">influence to conform to the expectations held by others. The conformity perspective of social influence is also supported by one of the most renowned human motivation theories titled ‘Abraham Maslow’s hierarchy of needs’ (see also appendix 4). According to Maslow, social need is one of the psychological motives that direct the behavior of a person because human naturally strive for the acceptance by others in the society. Therefore, an individual may behave differently when she/he is surrounded by other people than when alone. Furthermore, Jahoda (1959) states that social influence is generally referred to the drive of an act of going along with a visible majority as social conformity. </w:t>
      </w:r>
    </w:p>
    <w:p w:rsidR="00DA2247" w:rsidRPr="009E5B5E" w:rsidRDefault="00DA2247" w:rsidP="00DA2247">
      <w:pPr>
        <w:spacing w:line="360" w:lineRule="auto"/>
        <w:jc w:val="thaiDistribute"/>
        <w:rPr>
          <w:sz w:val="24"/>
          <w:szCs w:val="24"/>
        </w:rPr>
      </w:pPr>
      <w:r w:rsidRPr="009E5B5E">
        <w:rPr>
          <w:sz w:val="24"/>
          <w:szCs w:val="24"/>
        </w:rPr>
        <w:t xml:space="preserve">Lastly, I consider personal orientation associated with gender serving as consumer’s psychological characteristics influencing consumer purchase behavior. According to Spence (1985), </w:t>
      </w:r>
      <w:r w:rsidRPr="009E5B5E">
        <w:rPr>
          <w:i/>
          <w:iCs/>
          <w:sz w:val="24"/>
          <w:szCs w:val="24"/>
        </w:rPr>
        <w:t>"gender is one of the earliest and most central components of the self-concept and serves as an organizing principle through which many experiences and perceptions of self and other are filtered"</w:t>
      </w:r>
      <w:r w:rsidRPr="009E5B5E">
        <w:rPr>
          <w:sz w:val="24"/>
          <w:szCs w:val="24"/>
        </w:rPr>
        <w:t xml:space="preserve"> (p. 64). At a very early age, people are aware of culturally-derived gender norms and begin to develop a belief system with respect to such norms at the same time that they realize of their biological sex. For example, children recognize positive and negative stereotypes of their own and other sex (Kuhn et al. 1978). In consumer behavior studies, gender is most frequently derived from the term ‘gender identity’, which is referred to as an individual’s psychological sex and defined as the </w:t>
      </w:r>
      <w:r w:rsidRPr="009E5B5E">
        <w:rPr>
          <w:i/>
          <w:iCs/>
          <w:sz w:val="24"/>
          <w:szCs w:val="24"/>
        </w:rPr>
        <w:t>"fundamental, existential sense of one’s maleness or femaleness"</w:t>
      </w:r>
      <w:r w:rsidRPr="009E5B5E">
        <w:rPr>
          <w:sz w:val="24"/>
          <w:szCs w:val="24"/>
        </w:rPr>
        <w:t xml:space="preserve"> (Spence 1984, p. 83). Consistent with cultural root of gender, gender identity is derived from cultural comprehension of masculine or feminine being (Firat 1991; Lerner 1986). Gender identity is believed to be connected with biological sex and constrained to masculine and feminine behaviors perceived as standard and appropriate by the society (Constantinople 1973). Therefore, masculine and feminine personality traits are considered to be a normative guide that is influential to a behavior of individual as it reflects self-concept and image perceived by others (e.g.,; Kagan 1964; Kohlberg 1966 Nisbett and Ross 1980).</w:t>
      </w:r>
    </w:p>
    <w:p w:rsidR="00DA2247" w:rsidRPr="009E5B5E" w:rsidRDefault="00DA2247" w:rsidP="00DA2247">
      <w:pPr>
        <w:spacing w:line="360" w:lineRule="auto"/>
        <w:jc w:val="thaiDistribute"/>
        <w:rPr>
          <w:sz w:val="24"/>
          <w:szCs w:val="24"/>
        </w:rPr>
      </w:pPr>
      <w:r w:rsidRPr="009E5B5E">
        <w:rPr>
          <w:sz w:val="24"/>
          <w:szCs w:val="24"/>
        </w:rPr>
        <w:t>Accordingly, in the following section, conceptual framework is discussed in order to clarify the concept of this master thesis; thereafter, hypotheses development is deliberate over these variables in more specific and greater detail.</w:t>
      </w:r>
      <w:r w:rsidRPr="009E5B5E">
        <w:rPr>
          <w:sz w:val="24"/>
          <w:szCs w:val="24"/>
        </w:rPr>
        <w:br w:type="page"/>
      </w:r>
    </w:p>
    <w:p w:rsidR="00DA2247" w:rsidRPr="009E5B5E" w:rsidRDefault="00DA2247" w:rsidP="00DA2247">
      <w:pPr>
        <w:tabs>
          <w:tab w:val="left" w:pos="7836"/>
        </w:tabs>
        <w:spacing w:line="360" w:lineRule="auto"/>
        <w:jc w:val="both"/>
        <w:rPr>
          <w:rFonts w:cstheme="minorHAnsi"/>
          <w:b/>
          <w:bCs/>
          <w:sz w:val="24"/>
          <w:szCs w:val="24"/>
        </w:rPr>
      </w:pPr>
      <w:r w:rsidRPr="009E5B5E">
        <w:rPr>
          <w:rFonts w:cstheme="minorHAnsi"/>
          <w:b/>
          <w:bCs/>
          <w:sz w:val="32"/>
          <w:szCs w:val="32"/>
        </w:rPr>
        <w:lastRenderedPageBreak/>
        <w:t xml:space="preserve">2.2 Conceptual Framework </w:t>
      </w:r>
    </w:p>
    <w:p w:rsidR="00DA2247" w:rsidRPr="009E5B5E" w:rsidRDefault="00DA2247" w:rsidP="00DA2247">
      <w:pPr>
        <w:tabs>
          <w:tab w:val="left" w:pos="7836"/>
        </w:tabs>
        <w:spacing w:line="360" w:lineRule="auto"/>
        <w:jc w:val="both"/>
        <w:rPr>
          <w:rFonts w:cstheme="minorHAnsi"/>
          <w:sz w:val="24"/>
          <w:szCs w:val="24"/>
        </w:rPr>
      </w:pPr>
      <w:r w:rsidRPr="009E5B5E">
        <w:rPr>
          <w:rFonts w:cstheme="minorHAnsi"/>
          <w:sz w:val="24"/>
          <w:szCs w:val="24"/>
        </w:rPr>
        <w:t>Figure 1 depicts a conceptual framework for this master research on both the direct and moderating effects of an accompanying friend during a shopping trip on consumers’ purchase incidence. I consider variables (1) consumers’ purchase incidence (my dependent variable), (2) in-store marketing, (3) presence of friend(s), and (4) gender, and propose that the influence of accompanying friend(s) on purchase incidences is moderated by different gender orientation between males and females. Furthermore, I expect that influence of in-store marketing, sales promotion, in-store display renewal, and products relocation in particular, on purchase incidence is moderated by the presence of friend(s). In following section, I provide in depth review of previous literature and derive the hypotheses accordingly.</w:t>
      </w:r>
    </w:p>
    <w:p w:rsidR="00DA2247" w:rsidRPr="009E5B5E" w:rsidRDefault="00DA2247" w:rsidP="00DA2247">
      <w:pPr>
        <w:tabs>
          <w:tab w:val="left" w:pos="7836"/>
        </w:tabs>
        <w:spacing w:line="360" w:lineRule="auto"/>
        <w:jc w:val="both"/>
        <w:rPr>
          <w:rFonts w:cstheme="minorHAnsi"/>
          <w:sz w:val="24"/>
          <w:szCs w:val="24"/>
        </w:rPr>
      </w:pPr>
    </w:p>
    <w:p w:rsidR="00DA2247" w:rsidRPr="009E5B5E" w:rsidRDefault="00DA2247" w:rsidP="00DA2247">
      <w:pPr>
        <w:tabs>
          <w:tab w:val="left" w:pos="7836"/>
        </w:tabs>
        <w:spacing w:line="360" w:lineRule="auto"/>
        <w:jc w:val="both"/>
        <w:rPr>
          <w:rFonts w:cstheme="minorHAnsi"/>
          <w:sz w:val="24"/>
          <w:szCs w:val="24"/>
        </w:rPr>
      </w:pPr>
      <w:r w:rsidRPr="009E5B5E">
        <w:rPr>
          <w:rFonts w:cstheme="minorHAnsi"/>
          <w:sz w:val="24"/>
          <w:szCs w:val="24"/>
        </w:rPr>
        <w:t>Figure 1:  Conceptual Model</w:t>
      </w:r>
      <w:r w:rsidR="00AD7D97">
        <w:rPr>
          <w:rFonts w:cstheme="minorHAnsi"/>
          <w:noProof/>
          <w:sz w:val="24"/>
          <w:szCs w:val="24"/>
        </w:rPr>
        <w:pict>
          <v:rect id="_x0000_s1026" style="position:absolute;left:0;text-align:left;margin-left:95.35pt;margin-top:28.15pt;width:105.35pt;height:65.25pt;z-index:251661312;mso-position-horizontal-relative:text;mso-position-vertical-relative:text" stroked="f">
            <v:textbox style="mso-next-textbox:#_x0000_s1026">
              <w:txbxContent>
                <w:p w:rsidR="005A408B" w:rsidRPr="00C71B8D" w:rsidRDefault="005A408B" w:rsidP="00DA2247">
                  <w:pPr>
                    <w:spacing w:line="360" w:lineRule="auto"/>
                    <w:rPr>
                      <w:sz w:val="24"/>
                      <w:szCs w:val="24"/>
                    </w:rPr>
                  </w:pPr>
                  <w:r>
                    <w:rPr>
                      <w:sz w:val="24"/>
                      <w:szCs w:val="24"/>
                    </w:rPr>
                    <w:t>H4</w:t>
                  </w:r>
                  <w:r w:rsidRPr="00C71B8D">
                    <w:rPr>
                      <w:sz w:val="24"/>
                      <w:szCs w:val="24"/>
                    </w:rPr>
                    <w:t>a (+)</w:t>
                  </w:r>
                </w:p>
                <w:p w:rsidR="005A408B" w:rsidRPr="00C71B8D" w:rsidRDefault="005A408B" w:rsidP="00DA2247">
                  <w:pPr>
                    <w:spacing w:line="360" w:lineRule="auto"/>
                    <w:rPr>
                      <w:sz w:val="24"/>
                      <w:szCs w:val="24"/>
                    </w:rPr>
                  </w:pPr>
                  <w:r>
                    <w:rPr>
                      <w:sz w:val="24"/>
                      <w:szCs w:val="24"/>
                    </w:rPr>
                    <w:t>H4b (0</w:t>
                  </w:r>
                  <w:r w:rsidRPr="00C71B8D">
                    <w:rPr>
                      <w:sz w:val="24"/>
                      <w:szCs w:val="24"/>
                    </w:rPr>
                    <w:t>)</w:t>
                  </w:r>
                </w:p>
                <w:p w:rsidR="005A408B" w:rsidRPr="00F35229" w:rsidRDefault="005A408B" w:rsidP="00DA2247">
                  <w:pPr>
                    <w:rPr>
                      <w:b/>
                      <w:bCs/>
                    </w:rPr>
                  </w:pPr>
                </w:p>
              </w:txbxContent>
            </v:textbox>
          </v:rect>
        </w:pict>
      </w:r>
    </w:p>
    <w:p w:rsidR="00DA2247" w:rsidRPr="009E5B5E" w:rsidRDefault="00AD7D97" w:rsidP="00DA2247">
      <w:pPr>
        <w:spacing w:line="360" w:lineRule="auto"/>
        <w:rPr>
          <w:rFonts w:cstheme="minorHAnsi"/>
          <w:sz w:val="24"/>
          <w:szCs w:val="24"/>
        </w:rPr>
      </w:pPr>
      <w:r>
        <w:rPr>
          <w:rFonts w:cstheme="minorHAnsi"/>
          <w:noProof/>
          <w:sz w:val="24"/>
          <w:szCs w:val="24"/>
        </w:rPr>
        <w:pict>
          <v:shape id="_x0000_s1027" type="#_x0000_t32" style="position:absolute;margin-left:18.8pt;margin-top:25.35pt;width:0;height:95.2pt;flip:y;z-index:251662336" o:connectortype="straight" strokecolor="gray [1629]" strokeweight="2pt"/>
        </w:pict>
      </w:r>
      <w:r>
        <w:rPr>
          <w:rFonts w:cstheme="minorHAnsi"/>
          <w:noProof/>
          <w:sz w:val="24"/>
          <w:szCs w:val="24"/>
        </w:rPr>
        <w:pict>
          <v:shape id="_x0000_s1028" type="#_x0000_t32" style="position:absolute;margin-left:221.35pt;margin-top:25.35pt;width:.05pt;height:67.65pt;flip:y;z-index:251663360" o:connectortype="straight" strokecolor="gray [1629]" strokeweight="2pt">
            <v:stroke startarrow="open"/>
          </v:shape>
        </w:pict>
      </w:r>
      <w:r>
        <w:rPr>
          <w:rFonts w:cstheme="minorHAnsi"/>
          <w:noProof/>
          <w:sz w:val="24"/>
          <w:szCs w:val="24"/>
        </w:rPr>
        <w:pict>
          <v:shape id="_x0000_s1029" type="#_x0000_t32" style="position:absolute;margin-left:18.75pt;margin-top:25.35pt;width:202.65pt;height:0;z-index:251664384" o:connectortype="straight" strokecolor="gray [1629]" strokeweight="2pt"/>
        </w:pict>
      </w:r>
    </w:p>
    <w:p w:rsidR="00DA2247" w:rsidRPr="009E5B5E" w:rsidRDefault="00DA2247" w:rsidP="00DA2247">
      <w:pPr>
        <w:rPr>
          <w:rFonts w:cstheme="minorHAnsi"/>
          <w:sz w:val="24"/>
          <w:szCs w:val="24"/>
        </w:rPr>
      </w:pPr>
    </w:p>
    <w:p w:rsidR="00DA2247" w:rsidRPr="009E5B5E" w:rsidRDefault="00AD7D97" w:rsidP="00DA2247">
      <w:pPr>
        <w:rPr>
          <w:rFonts w:cstheme="minorHAnsi"/>
          <w:sz w:val="24"/>
          <w:szCs w:val="24"/>
        </w:rPr>
      </w:pPr>
      <w:r>
        <w:rPr>
          <w:rFonts w:cstheme="minorHAnsi"/>
          <w:noProof/>
          <w:sz w:val="24"/>
          <w:szCs w:val="24"/>
        </w:rPr>
        <w:pict>
          <v:rect id="_x0000_s1030" style="position:absolute;margin-left:242.8pt;margin-top:11pt;width:57.9pt;height:33.8pt;z-index:251665408" stroked="f">
            <v:textbox style="mso-next-textbox:#_x0000_s1030">
              <w:txbxContent>
                <w:p w:rsidR="005A408B" w:rsidRPr="00C71B8D" w:rsidRDefault="005A408B" w:rsidP="00DA2247">
                  <w:pPr>
                    <w:jc w:val="center"/>
                    <w:rPr>
                      <w:sz w:val="24"/>
                      <w:szCs w:val="24"/>
                    </w:rPr>
                  </w:pPr>
                  <w:r>
                    <w:rPr>
                      <w:sz w:val="24"/>
                      <w:szCs w:val="24"/>
                    </w:rPr>
                    <w:t xml:space="preserve">H2 </w:t>
                  </w:r>
                  <w:r w:rsidRPr="00C71B8D">
                    <w:rPr>
                      <w:sz w:val="24"/>
                      <w:szCs w:val="24"/>
                    </w:rPr>
                    <w:t>(+)</w:t>
                  </w:r>
                </w:p>
              </w:txbxContent>
            </v:textbox>
          </v:rect>
        </w:pict>
      </w:r>
    </w:p>
    <w:p w:rsidR="00DA2247" w:rsidRPr="009E5B5E" w:rsidRDefault="00AD7D97" w:rsidP="00DA2247">
      <w:pPr>
        <w:rPr>
          <w:rFonts w:cstheme="minorHAnsi"/>
          <w:sz w:val="24"/>
          <w:szCs w:val="24"/>
        </w:rPr>
      </w:pPr>
      <w:r>
        <w:rPr>
          <w:rFonts w:cstheme="minorHAnsi"/>
          <w:noProof/>
          <w:sz w:val="24"/>
          <w:szCs w:val="24"/>
        </w:rPr>
        <w:pict>
          <v:shape id="_x0000_s1031" type="#_x0000_t32" style="position:absolute;margin-left:142.65pt;margin-top:9.55pt;width:284.8pt;height:0;z-index:251666432" o:connectortype="straight" strokecolor="gray [1629]" strokeweight="2pt"/>
        </w:pict>
      </w:r>
      <w:r>
        <w:rPr>
          <w:rFonts w:cstheme="minorHAnsi"/>
          <w:noProof/>
          <w:sz w:val="24"/>
          <w:szCs w:val="24"/>
        </w:rPr>
        <w:pict>
          <v:shape id="_x0000_s1032" type="#_x0000_t32" style="position:absolute;margin-left:427.45pt;margin-top:9.55pt;width:0;height:28.35pt;flip:y;z-index:251667456" o:connectortype="straight" strokecolor="gray [1629]" strokeweight="2pt">
            <v:stroke startarrow="open"/>
          </v:shape>
        </w:pict>
      </w:r>
      <w:r>
        <w:rPr>
          <w:rFonts w:cstheme="minorHAnsi"/>
          <w:noProof/>
          <w:sz w:val="24"/>
          <w:szCs w:val="24"/>
        </w:rPr>
        <w:pict>
          <v:shape id="_x0000_s1033" type="#_x0000_t32" style="position:absolute;margin-left:142.65pt;margin-top:9.55pt;width:0;height:27.55pt;flip:y;z-index:251668480" o:connectortype="straight" strokecolor="gray [1629]" strokeweight="2pt"/>
        </w:pict>
      </w:r>
    </w:p>
    <w:p w:rsidR="00DA2247" w:rsidRPr="009E5B5E" w:rsidRDefault="00AD7D97" w:rsidP="00DA2247">
      <w:pPr>
        <w:rPr>
          <w:rFonts w:cstheme="minorHAnsi"/>
          <w:sz w:val="24"/>
          <w:szCs w:val="24"/>
        </w:rPr>
      </w:pPr>
      <w:r w:rsidRPr="00AD7D97">
        <w:rPr>
          <w:rFonts w:cstheme="minorHAnsi"/>
          <w:b/>
          <w:bCs/>
          <w:noProof/>
          <w:sz w:val="24"/>
          <w:szCs w:val="24"/>
        </w:rPr>
        <w:pict>
          <v:roundrect id="_x0000_s1034" style="position:absolute;margin-left:-23.35pt;margin-top:11.7pt;width:97.45pt;height:59.55pt;z-index:251669504;v-text-anchor:middle" arcsize="10923f" fillcolor="#b8cce4 [1300]" strokecolor="#f2f2f2 [3041]" strokeweight="3pt">
            <v:shadow on="t" type="perspective" color="#205867 [1608]" opacity=".5" offset="1pt" offset2="-1pt"/>
            <v:textbox style="mso-next-textbox:#_x0000_s1034">
              <w:txbxContent>
                <w:p w:rsidR="005A408B" w:rsidRPr="00D64600" w:rsidRDefault="005A408B" w:rsidP="00DA2247">
                  <w:pPr>
                    <w:jc w:val="center"/>
                    <w:rPr>
                      <w:b/>
                      <w:bCs/>
                      <w:sz w:val="24"/>
                      <w:szCs w:val="24"/>
                    </w:rPr>
                  </w:pPr>
                  <w:r w:rsidRPr="00D64600">
                    <w:rPr>
                      <w:b/>
                      <w:bCs/>
                      <w:sz w:val="24"/>
                      <w:szCs w:val="24"/>
                    </w:rPr>
                    <w:t>Gender</w:t>
                  </w:r>
                </w:p>
              </w:txbxContent>
            </v:textbox>
          </v:roundrect>
        </w:pict>
      </w:r>
      <w:r>
        <w:rPr>
          <w:rFonts w:cstheme="minorHAnsi"/>
          <w:noProof/>
          <w:sz w:val="24"/>
          <w:szCs w:val="24"/>
        </w:rPr>
        <w:pict>
          <v:roundrect id="_x0000_s1035" style="position:absolute;margin-left:85.7pt;margin-top:11.7pt;width:97.45pt;height:59.55pt;z-index:251670528;v-text-anchor:middle" arcsize="10923f" fillcolor="#b8cce4 [1300]" strokecolor="#f2f2f2 [3041]" strokeweight="3pt">
            <v:shadow on="t" type="perspective" color="#205867 [1608]" opacity=".5" offset="1pt" offset2="-1pt"/>
            <v:textbox style="mso-next-textbox:#_x0000_s1035">
              <w:txbxContent>
                <w:p w:rsidR="005A408B" w:rsidRPr="00D64600" w:rsidRDefault="005A408B" w:rsidP="00DA2247">
                  <w:pPr>
                    <w:jc w:val="center"/>
                    <w:rPr>
                      <w:b/>
                      <w:bCs/>
                      <w:sz w:val="24"/>
                      <w:szCs w:val="24"/>
                    </w:rPr>
                  </w:pPr>
                  <w:r w:rsidRPr="00D64600">
                    <w:rPr>
                      <w:b/>
                      <w:bCs/>
                      <w:sz w:val="24"/>
                      <w:szCs w:val="24"/>
                    </w:rPr>
                    <w:t>Friend(s)</w:t>
                  </w:r>
                </w:p>
              </w:txbxContent>
            </v:textbox>
          </v:roundrect>
        </w:pict>
      </w:r>
      <w:r>
        <w:rPr>
          <w:rFonts w:cstheme="minorHAnsi"/>
          <w:noProof/>
          <w:sz w:val="24"/>
          <w:szCs w:val="24"/>
        </w:rPr>
        <w:pict>
          <v:roundrect id="_x0000_s1036" style="position:absolute;margin-left:207.95pt;margin-top:11.7pt;width:113.45pt;height:141.5pt;z-index:251671552;v-text-anchor:middle" arcsize="10923f" fillcolor="#b8cce4 [1300]" strokecolor="#f2f2f2 [3041]" strokeweight="3pt">
            <v:shadow on="t" type="perspective" color="#205867 [1608]" opacity=".5" offset="1pt" offset2="-1pt"/>
            <v:textbox style="mso-next-textbox:#_x0000_s1036">
              <w:txbxContent>
                <w:p w:rsidR="005A408B" w:rsidRPr="00D64600" w:rsidRDefault="005A408B" w:rsidP="00DA2247">
                  <w:pPr>
                    <w:jc w:val="center"/>
                    <w:rPr>
                      <w:b/>
                      <w:bCs/>
                      <w:sz w:val="24"/>
                      <w:szCs w:val="24"/>
                    </w:rPr>
                  </w:pPr>
                  <w:r w:rsidRPr="00D64600">
                    <w:rPr>
                      <w:b/>
                      <w:bCs/>
                      <w:sz w:val="24"/>
                      <w:szCs w:val="24"/>
                    </w:rPr>
                    <w:t>In-Store Marketing</w:t>
                  </w:r>
                </w:p>
                <w:p w:rsidR="005A408B" w:rsidRPr="00D64600" w:rsidRDefault="005A408B" w:rsidP="00DA2247">
                  <w:pPr>
                    <w:jc w:val="center"/>
                    <w:rPr>
                      <w:sz w:val="20"/>
                      <w:szCs w:val="20"/>
                    </w:rPr>
                  </w:pPr>
                  <w:r w:rsidRPr="00D64600">
                    <w:rPr>
                      <w:sz w:val="20"/>
                      <w:szCs w:val="20"/>
                    </w:rPr>
                    <w:t>(Renewal of in-store display, products relocation, and sales promotion)</w:t>
                  </w:r>
                </w:p>
              </w:txbxContent>
            </v:textbox>
          </v:roundrect>
        </w:pict>
      </w:r>
      <w:r>
        <w:rPr>
          <w:rFonts w:cstheme="minorHAnsi"/>
          <w:noProof/>
          <w:sz w:val="24"/>
          <w:szCs w:val="24"/>
        </w:rPr>
        <w:pict>
          <v:roundrect id="_x0000_s1037" style="position:absolute;margin-left:379.3pt;margin-top:10.9pt;width:129.6pt;height:58.5pt;z-index:251672576;v-text-anchor:middle" arcsize="10923f" fillcolor="#95b3d7 [1940]" strokecolor="#f2f2f2 [3041]" strokeweight="3pt">
            <v:shadow on="t" type="perspective" color="#205867 [1608]" opacity=".5" offset="1pt" offset2="-1pt"/>
            <v:textbox style="mso-next-textbox:#_x0000_s1037">
              <w:txbxContent>
                <w:p w:rsidR="005A408B" w:rsidRPr="00D64600" w:rsidRDefault="005A408B" w:rsidP="00DA2247">
                  <w:pPr>
                    <w:jc w:val="center"/>
                    <w:rPr>
                      <w:b/>
                      <w:bCs/>
                      <w:sz w:val="24"/>
                      <w:szCs w:val="24"/>
                    </w:rPr>
                  </w:pPr>
                  <w:r w:rsidRPr="00D64600">
                    <w:rPr>
                      <w:b/>
                      <w:bCs/>
                      <w:sz w:val="24"/>
                      <w:szCs w:val="24"/>
                    </w:rPr>
                    <w:t>Purchase Incidence</w:t>
                  </w:r>
                </w:p>
              </w:txbxContent>
            </v:textbox>
          </v:roundrect>
        </w:pict>
      </w:r>
    </w:p>
    <w:p w:rsidR="00DA2247" w:rsidRPr="009E5B5E" w:rsidRDefault="00AD7D97" w:rsidP="00DA2247">
      <w:pPr>
        <w:rPr>
          <w:rFonts w:cstheme="minorHAnsi"/>
          <w:sz w:val="24"/>
          <w:szCs w:val="24"/>
        </w:rPr>
      </w:pPr>
      <w:r>
        <w:rPr>
          <w:rFonts w:cstheme="minorHAnsi"/>
          <w:noProof/>
          <w:sz w:val="24"/>
          <w:szCs w:val="24"/>
        </w:rPr>
        <w:pict>
          <v:rect id="_x0000_s1040" style="position:absolute;margin-left:321.4pt;margin-top:3.4pt;width:57.9pt;height:33.8pt;z-index:251675648" filled="f" stroked="f">
            <v:textbox style="mso-next-textbox:#_x0000_s1040">
              <w:txbxContent>
                <w:p w:rsidR="005A408B" w:rsidRPr="00C71B8D" w:rsidRDefault="005A408B" w:rsidP="00DA2247">
                  <w:pPr>
                    <w:jc w:val="center"/>
                    <w:rPr>
                      <w:sz w:val="24"/>
                      <w:szCs w:val="24"/>
                    </w:rPr>
                  </w:pPr>
                  <w:r>
                    <w:rPr>
                      <w:sz w:val="24"/>
                      <w:szCs w:val="24"/>
                    </w:rPr>
                    <w:t xml:space="preserve">H1 </w:t>
                  </w:r>
                  <w:r w:rsidRPr="00C71B8D">
                    <w:rPr>
                      <w:sz w:val="24"/>
                      <w:szCs w:val="24"/>
                    </w:rPr>
                    <w:t>(+)</w:t>
                  </w:r>
                </w:p>
              </w:txbxContent>
            </v:textbox>
          </v:rect>
        </w:pict>
      </w:r>
      <w:r>
        <w:rPr>
          <w:rFonts w:cstheme="minorHAnsi"/>
          <w:noProof/>
          <w:sz w:val="24"/>
          <w:szCs w:val="24"/>
        </w:rPr>
        <w:pict>
          <v:shape id="_x0000_s1038" type="#_x0000_t32" style="position:absolute;margin-left:340.4pt;margin-top:25.15pt;width:.05pt;height:140.5pt;flip:y;z-index:251673600" o:connectortype="straight" strokecolor="gray [1629]" strokeweight="2pt">
            <v:stroke endarrow="open"/>
          </v:shape>
        </w:pict>
      </w:r>
      <w:r>
        <w:rPr>
          <w:rFonts w:cstheme="minorHAnsi"/>
          <w:noProof/>
          <w:sz w:val="24"/>
          <w:szCs w:val="24"/>
        </w:rPr>
        <w:pict>
          <v:shape id="_x0000_s1039" type="#_x0000_t32" style="position:absolute;margin-left:327.75pt;margin-top:25.15pt;width:51.55pt;height:0;z-index:251674624" o:connectortype="straight" strokecolor="gray [1629]" strokeweight="2pt">
            <v:stroke endarrow="open"/>
          </v:shape>
        </w:pict>
      </w:r>
    </w:p>
    <w:p w:rsidR="00DA2247" w:rsidRPr="009E5B5E" w:rsidRDefault="00AD7D97" w:rsidP="00DA2247">
      <w:pPr>
        <w:rPr>
          <w:rFonts w:cstheme="minorHAnsi"/>
          <w:sz w:val="24"/>
          <w:szCs w:val="24"/>
        </w:rPr>
      </w:pPr>
      <w:r>
        <w:rPr>
          <w:rFonts w:cstheme="minorHAnsi"/>
          <w:noProof/>
          <w:sz w:val="24"/>
          <w:szCs w:val="24"/>
        </w:rPr>
        <w:pict>
          <v:rect id="_x0000_s1041" style="position:absolute;margin-left:74.1pt;margin-top:23.65pt;width:105.4pt;height:65.25pt;z-index:251676672" stroked="f">
            <v:textbox style="mso-next-textbox:#_x0000_s1041">
              <w:txbxContent>
                <w:p w:rsidR="005A408B" w:rsidRPr="00C71B8D" w:rsidRDefault="005A408B" w:rsidP="00DA2247">
                  <w:pPr>
                    <w:spacing w:line="360" w:lineRule="auto"/>
                    <w:rPr>
                      <w:sz w:val="24"/>
                      <w:szCs w:val="24"/>
                    </w:rPr>
                  </w:pPr>
                  <w:r>
                    <w:rPr>
                      <w:sz w:val="24"/>
                      <w:szCs w:val="24"/>
                    </w:rPr>
                    <w:t>H5</w:t>
                  </w:r>
                  <w:r w:rsidRPr="00C71B8D">
                    <w:rPr>
                      <w:sz w:val="24"/>
                      <w:szCs w:val="24"/>
                    </w:rPr>
                    <w:t>a (+)</w:t>
                  </w:r>
                </w:p>
                <w:p w:rsidR="005A408B" w:rsidRPr="00C71B8D" w:rsidRDefault="005A408B" w:rsidP="00DA2247">
                  <w:pPr>
                    <w:spacing w:line="360" w:lineRule="auto"/>
                    <w:rPr>
                      <w:sz w:val="24"/>
                      <w:szCs w:val="24"/>
                    </w:rPr>
                  </w:pPr>
                  <w:r>
                    <w:rPr>
                      <w:sz w:val="24"/>
                      <w:szCs w:val="24"/>
                    </w:rPr>
                    <w:t>H5b (0</w:t>
                  </w:r>
                  <w:r w:rsidRPr="00C71B8D">
                    <w:rPr>
                      <w:sz w:val="24"/>
                      <w:szCs w:val="24"/>
                    </w:rPr>
                    <w:t>)</w:t>
                  </w:r>
                </w:p>
                <w:p w:rsidR="005A408B" w:rsidRPr="00F35229" w:rsidRDefault="005A408B" w:rsidP="00DA2247">
                  <w:pPr>
                    <w:rPr>
                      <w:b/>
                      <w:bCs/>
                    </w:rPr>
                  </w:pPr>
                </w:p>
              </w:txbxContent>
            </v:textbox>
          </v:rect>
        </w:pict>
      </w:r>
      <w:r>
        <w:rPr>
          <w:rFonts w:cstheme="minorHAnsi"/>
          <w:noProof/>
          <w:sz w:val="24"/>
          <w:szCs w:val="24"/>
        </w:rPr>
        <w:pict>
          <v:shape id="_x0000_s1042" type="#_x0000_t32" style="position:absolute;margin-left:24.75pt;margin-top:18.9pt;width:114.35pt;height:47.25pt;flip:x y;z-index:251677696" o:connectortype="straight" strokecolor="gray [1629]" strokeweight="2pt">
            <v:stroke startarrow="open"/>
          </v:shape>
        </w:pict>
      </w:r>
      <w:r>
        <w:rPr>
          <w:rFonts w:cstheme="minorHAnsi"/>
          <w:noProof/>
          <w:sz w:val="24"/>
          <w:szCs w:val="24"/>
        </w:rPr>
        <w:pict>
          <v:shape id="_x0000_s1043" type="#_x0000_t32" style="position:absolute;margin-left:142.7pt;margin-top:23.65pt;width:.05pt;height:115.85pt;flip:y;z-index:251678720" o:connectortype="straight" strokecolor="gray [1629]" strokeweight="2pt"/>
        </w:pict>
      </w:r>
    </w:p>
    <w:p w:rsidR="00DA2247" w:rsidRPr="009E5B5E" w:rsidRDefault="00DA2247" w:rsidP="00DA2247">
      <w:pPr>
        <w:rPr>
          <w:rFonts w:cstheme="minorHAnsi"/>
          <w:sz w:val="24"/>
          <w:szCs w:val="24"/>
        </w:rPr>
      </w:pPr>
    </w:p>
    <w:p w:rsidR="00DA2247" w:rsidRPr="009E5B5E" w:rsidRDefault="00DA2247" w:rsidP="00DA2247">
      <w:pPr>
        <w:rPr>
          <w:rFonts w:cstheme="minorHAnsi"/>
          <w:sz w:val="24"/>
          <w:szCs w:val="24"/>
        </w:rPr>
      </w:pPr>
    </w:p>
    <w:p w:rsidR="00DA2247" w:rsidRPr="009E5B5E" w:rsidRDefault="00DA2247" w:rsidP="00DA2247">
      <w:pPr>
        <w:rPr>
          <w:rFonts w:cstheme="minorHAnsi"/>
          <w:sz w:val="24"/>
          <w:szCs w:val="24"/>
        </w:rPr>
      </w:pPr>
    </w:p>
    <w:p w:rsidR="00DA2247" w:rsidRPr="009E5B5E" w:rsidRDefault="00AD7D97" w:rsidP="00DA2247">
      <w:pPr>
        <w:rPr>
          <w:rFonts w:cstheme="minorHAnsi"/>
          <w:sz w:val="24"/>
          <w:szCs w:val="24"/>
        </w:rPr>
      </w:pPr>
      <w:r>
        <w:rPr>
          <w:rFonts w:cstheme="minorHAnsi"/>
          <w:noProof/>
          <w:sz w:val="24"/>
          <w:szCs w:val="24"/>
        </w:rPr>
        <w:pict>
          <v:rect id="_x0000_s1044" style="position:absolute;margin-left:221.4pt;margin-top:7.9pt;width:57.9pt;height:33.8pt;z-index:251679744" filled="f" stroked="f">
            <v:textbox style="mso-next-textbox:#_x0000_s1044">
              <w:txbxContent>
                <w:p w:rsidR="005A408B" w:rsidRPr="00C71B8D" w:rsidRDefault="005A408B" w:rsidP="00DA2247">
                  <w:pPr>
                    <w:jc w:val="center"/>
                    <w:rPr>
                      <w:sz w:val="24"/>
                      <w:szCs w:val="24"/>
                    </w:rPr>
                  </w:pPr>
                  <w:r>
                    <w:rPr>
                      <w:sz w:val="24"/>
                      <w:szCs w:val="24"/>
                    </w:rPr>
                    <w:t xml:space="preserve">H3 </w:t>
                  </w:r>
                  <w:r w:rsidRPr="00C71B8D">
                    <w:rPr>
                      <w:sz w:val="24"/>
                      <w:szCs w:val="24"/>
                    </w:rPr>
                    <w:t>(+)</w:t>
                  </w:r>
                </w:p>
              </w:txbxContent>
            </v:textbox>
          </v:rect>
        </w:pict>
      </w:r>
    </w:p>
    <w:p w:rsidR="00DA2247" w:rsidRPr="009E5B5E" w:rsidRDefault="00AD7D97" w:rsidP="00DA2247">
      <w:pPr>
        <w:rPr>
          <w:rFonts w:cstheme="minorHAnsi"/>
          <w:sz w:val="24"/>
          <w:szCs w:val="24"/>
        </w:rPr>
      </w:pPr>
      <w:r>
        <w:rPr>
          <w:rFonts w:cstheme="minorHAnsi"/>
          <w:noProof/>
          <w:sz w:val="24"/>
          <w:szCs w:val="24"/>
        </w:rPr>
        <w:pict>
          <v:shape id="_x0000_s1045" type="#_x0000_t32" style="position:absolute;margin-left:142.75pt;margin-top:8.6pt;width:197.65pt;height:0;z-index:251680768" o:connectortype="straight" strokecolor="gray [1629]" strokeweight="2pt"/>
        </w:pict>
      </w:r>
    </w:p>
    <w:p w:rsidR="00DA2247" w:rsidRPr="009E5B5E" w:rsidRDefault="00DA2247" w:rsidP="00DA2247">
      <w:pPr>
        <w:rPr>
          <w:rFonts w:cstheme="minorHAnsi"/>
          <w:sz w:val="24"/>
          <w:szCs w:val="24"/>
        </w:rPr>
      </w:pPr>
    </w:p>
    <w:p w:rsidR="00DA2247" w:rsidRPr="009E5B5E" w:rsidRDefault="00DA2247" w:rsidP="00DA2247">
      <w:pPr>
        <w:rPr>
          <w:rFonts w:cstheme="minorHAnsi"/>
          <w:sz w:val="24"/>
          <w:szCs w:val="24"/>
        </w:rPr>
      </w:pPr>
    </w:p>
    <w:p w:rsidR="00DA2247" w:rsidRPr="009E5B5E" w:rsidRDefault="00DA2247" w:rsidP="00DA2247">
      <w:pPr>
        <w:rPr>
          <w:rFonts w:cstheme="minorHAnsi"/>
          <w:b/>
          <w:bCs/>
          <w:sz w:val="28"/>
        </w:rPr>
      </w:pPr>
      <w:r w:rsidRPr="009E5B5E">
        <w:rPr>
          <w:rFonts w:cstheme="minorHAnsi"/>
          <w:sz w:val="24"/>
          <w:szCs w:val="24"/>
        </w:rPr>
        <w:br w:type="page"/>
      </w:r>
      <w:r w:rsidRPr="009E5B5E">
        <w:rPr>
          <w:rFonts w:cstheme="minorHAnsi"/>
          <w:b/>
          <w:bCs/>
          <w:sz w:val="32"/>
          <w:szCs w:val="32"/>
        </w:rPr>
        <w:lastRenderedPageBreak/>
        <w:t>2.3 Hypotheses Development</w:t>
      </w:r>
    </w:p>
    <w:p w:rsidR="00DA2247" w:rsidRPr="009E5B5E" w:rsidRDefault="00DA2247" w:rsidP="00DA2247">
      <w:pPr>
        <w:rPr>
          <w:rFonts w:cstheme="minorHAnsi"/>
          <w:sz w:val="24"/>
          <w:szCs w:val="24"/>
        </w:rPr>
      </w:pPr>
      <w:r w:rsidRPr="009E5B5E">
        <w:rPr>
          <w:rFonts w:cstheme="minorHAnsi"/>
          <w:b/>
          <w:bCs/>
          <w:sz w:val="28"/>
        </w:rPr>
        <w:t>2.3.1 In-store marketing and consumer purchase behavior</w:t>
      </w:r>
    </w:p>
    <w:p w:rsidR="00DA2247" w:rsidRPr="009E5B5E" w:rsidRDefault="00DA2247" w:rsidP="00DA2247">
      <w:pPr>
        <w:spacing w:line="360" w:lineRule="auto"/>
        <w:jc w:val="both"/>
        <w:rPr>
          <w:rFonts w:cstheme="minorHAnsi"/>
          <w:sz w:val="24"/>
          <w:szCs w:val="24"/>
        </w:rPr>
      </w:pPr>
      <w:r w:rsidRPr="009E5B5E">
        <w:rPr>
          <w:rFonts w:cstheme="minorHAnsi"/>
          <w:sz w:val="24"/>
          <w:szCs w:val="24"/>
        </w:rPr>
        <w:t xml:space="preserve">In retailing business, marketing activities serving as incentives to buy typically range from the product itself (its package, size and guarantees), pricing strategy, the distribution, and media advertising and other promotional efforts (Schiffman and Kanuk 2007; Kotler et al. 2009). Promotional activities can be at macro level (as for mass media) and can be at micro level (as for in-store marketing/ in-store shopping environment). However, companies nowadays are shifting their promotional expenditures from traditional out-of store media advertising to in-store marketing as it is seen to be relatively cost effective, traceable, short run sales tool helping promote unique image of their products/brands. Therefore, a well planned in-store marketing strategy, namely in-store sales promotion, point of purchase display, products relocation, store personnel, and pleasant in-store shopping environment, can help retailers to increase sales. </w:t>
      </w:r>
    </w:p>
    <w:p w:rsidR="00DA2247" w:rsidRPr="009E5B5E" w:rsidRDefault="00DA2247" w:rsidP="00DA2247">
      <w:pPr>
        <w:spacing w:line="360" w:lineRule="auto"/>
        <w:jc w:val="both"/>
        <w:rPr>
          <w:i/>
          <w:iCs/>
          <w:sz w:val="24"/>
          <w:szCs w:val="24"/>
        </w:rPr>
      </w:pPr>
      <w:r w:rsidRPr="009E5B5E">
        <w:rPr>
          <w:i/>
          <w:iCs/>
          <w:sz w:val="24"/>
          <w:szCs w:val="24"/>
        </w:rPr>
        <w:t xml:space="preserve">Sale /price discounts </w:t>
      </w:r>
    </w:p>
    <w:p w:rsidR="00DA2247" w:rsidRPr="009E5B5E" w:rsidRDefault="00DA2247" w:rsidP="00DA2247">
      <w:pPr>
        <w:spacing w:line="360" w:lineRule="auto"/>
        <w:jc w:val="both"/>
        <w:rPr>
          <w:sz w:val="24"/>
          <w:szCs w:val="24"/>
        </w:rPr>
      </w:pPr>
      <w:r w:rsidRPr="009E5B5E">
        <w:rPr>
          <w:sz w:val="24"/>
          <w:szCs w:val="24"/>
        </w:rPr>
        <w:t xml:space="preserve">The effect of sale or price discount on buying behavior is very much closely linked to affective and psychological cognitions as they present an unanticipated gain to the consumer (Janakiraman et al. 2006). Unexpected price discount can cause generalized affective effect on consumers as price promotion is usually view as better value by consumers (Hsu and Liu 1998). Other than that, unexpected price changes may provide spillover effect which leads to purchases of non-discounted items as well. According to Janakiraman et al. (2006), mental accounting concept- changes in the perceived affordability of goods- can explain such spillover effect of unexpected price changes. When an item that consumers plan to purchase is on discounts, consumers perceive that as windfall gain (Heath and Soll 1996; Soman 1999). Since consumer spend unexpected gains more readily (Arkes et al. 1994), price discount on one item results in higher expressions of willingness to pay for others. </w:t>
      </w:r>
    </w:p>
    <w:p w:rsidR="00DA2247" w:rsidRPr="009E5B5E" w:rsidRDefault="00DA2247" w:rsidP="00DA2247">
      <w:pPr>
        <w:spacing w:line="360" w:lineRule="auto"/>
        <w:jc w:val="both"/>
        <w:rPr>
          <w:i/>
          <w:iCs/>
          <w:sz w:val="24"/>
          <w:szCs w:val="24"/>
        </w:rPr>
      </w:pPr>
      <w:r w:rsidRPr="009E5B5E">
        <w:rPr>
          <w:i/>
          <w:iCs/>
          <w:sz w:val="24"/>
          <w:szCs w:val="24"/>
        </w:rPr>
        <w:t>In-store displays and product relocation</w:t>
      </w:r>
    </w:p>
    <w:p w:rsidR="00DA2247" w:rsidRPr="009E5B5E" w:rsidRDefault="00DA2247" w:rsidP="00DA2247">
      <w:pPr>
        <w:spacing w:line="360" w:lineRule="auto"/>
        <w:jc w:val="both"/>
        <w:rPr>
          <w:sz w:val="24"/>
          <w:szCs w:val="24"/>
        </w:rPr>
      </w:pPr>
      <w:r w:rsidRPr="009E5B5E">
        <w:rPr>
          <w:sz w:val="24"/>
          <w:szCs w:val="24"/>
        </w:rPr>
        <w:t xml:space="preserve">Many studies have documented that in-store displays can lead to significant increase in brand choice (e.g., Gupta 1988; Grover and Srinivasan 1992; Chintagunta 1992; Papatla 1996). Yet it is not obvious why it is so. Nonetheless, two prominent behavioral explanations on are proposed in the marketing literature. One explanation is referred to ‘price-cut proxy effect’, </w:t>
      </w:r>
      <w:r w:rsidRPr="009E5B5E">
        <w:rPr>
          <w:sz w:val="24"/>
          <w:szCs w:val="24"/>
        </w:rPr>
        <w:lastRenderedPageBreak/>
        <w:t>proposed by Inman et al. (1990). Based on the elaboration likelihood model of persuasion, Zhang (2006) suggests that “</w:t>
      </w:r>
      <w:r w:rsidRPr="009E5B5E">
        <w:rPr>
          <w:i/>
          <w:iCs/>
          <w:sz w:val="24"/>
          <w:szCs w:val="24"/>
        </w:rPr>
        <w:t>consumers on the peripheral route to persuasion do not engage in detailed information processing and simply interpret in-store display as  promotion marker for a price cut”</w:t>
      </w:r>
      <w:r w:rsidRPr="009E5B5E">
        <w:rPr>
          <w:sz w:val="24"/>
          <w:szCs w:val="24"/>
        </w:rPr>
        <w:t xml:space="preserve"> (p. 279). That is, when there consumers merely see the presence of a promotion signal, they believe that a price cut is offered for the particular brand/product. Moreover, Inman et al. (1990) found that to the ‘price-cut proxy effect’ of promotion display was only relevant to consumers who exhibited low need for cognition, while such effect did not increase the choice probability for consumers with a high need for cognition. </w:t>
      </w:r>
    </w:p>
    <w:p w:rsidR="00DA2247" w:rsidRPr="009E5B5E" w:rsidRDefault="00DA2247" w:rsidP="00DA2247">
      <w:pPr>
        <w:spacing w:line="360" w:lineRule="auto"/>
        <w:jc w:val="both"/>
        <w:rPr>
          <w:sz w:val="24"/>
          <w:szCs w:val="24"/>
        </w:rPr>
      </w:pPr>
      <w:r w:rsidRPr="009E5B5E">
        <w:rPr>
          <w:sz w:val="24"/>
          <w:szCs w:val="24"/>
        </w:rPr>
        <w:t>Another explanation, which is also applied for the effect of relocation of products within a store, is derived from the literature on consideration sets. Behavioral research has observed that, for low-involvement product categories- “</w:t>
      </w:r>
      <w:r w:rsidRPr="009E5B5E">
        <w:rPr>
          <w:i/>
          <w:iCs/>
          <w:sz w:val="24"/>
          <w:szCs w:val="24"/>
        </w:rPr>
        <w:t>products which are bought frequently and with a minimum of thought and effort because they are not of vital concern nor have any great impact on the consumer's lifestyle”</w:t>
      </w:r>
      <w:r w:rsidRPr="009E5B5E">
        <w:rPr>
          <w:sz w:val="24"/>
          <w:szCs w:val="24"/>
        </w:rPr>
        <w:t xml:space="preserve"> (Zhang 2006, p. 279), consumers often count on certain peripheral cues to form a consideration set prior to engaging in evaluation of the choices in the consideration set (e.g., Lussier and Olshavsky 1979; Hauser and Wernerfelt 1990). Such mechanism is referred to ‘the consideration set formation effect’. Consistently, results from many studies in the same area of research have supported this view by showing that attractive in-store displays and merchandise relocation can be utilized to form consideration sets (e.g., Fader and McAlister 1990; Andrews and Srinivasan 1995; Bronnenberg and Vanhonacker Mehta et al. 2003). In other words, retailers use attractive in-store displays and merchandise relocation to create more prominent atmosphere which help increase probability of products/brands being chosen by consumers. </w:t>
      </w:r>
    </w:p>
    <w:p w:rsidR="00DA2247" w:rsidRPr="009E5B5E" w:rsidRDefault="00DA2247" w:rsidP="00DA2247">
      <w:pPr>
        <w:spacing w:line="360" w:lineRule="auto"/>
        <w:jc w:val="both"/>
        <w:rPr>
          <w:i/>
          <w:iCs/>
          <w:sz w:val="24"/>
          <w:szCs w:val="24"/>
        </w:rPr>
      </w:pPr>
      <w:r w:rsidRPr="009E5B5E">
        <w:rPr>
          <w:i/>
          <w:iCs/>
          <w:sz w:val="24"/>
          <w:szCs w:val="24"/>
        </w:rPr>
        <w:t>Salespeople Contact</w:t>
      </w:r>
    </w:p>
    <w:p w:rsidR="00DA2247" w:rsidRPr="009E5B5E" w:rsidRDefault="00DA2247" w:rsidP="00DA2247">
      <w:pPr>
        <w:spacing w:line="360" w:lineRule="auto"/>
        <w:jc w:val="both"/>
        <w:rPr>
          <w:sz w:val="24"/>
          <w:szCs w:val="24"/>
        </w:rPr>
      </w:pPr>
      <w:r w:rsidRPr="009E5B5E">
        <w:rPr>
          <w:sz w:val="24"/>
          <w:szCs w:val="24"/>
        </w:rPr>
        <w:t>Supportive and friendly shop assistants are perceived as positive and pleasant by consumers as they can help provide better information about the products, extra service, and assist the consumers throughout a shopping process. However, consumers can be irritated by the presence of an overbearing salesperson, although they do appreciate when a salesperson is nearby and helpful (Jones, 1999).</w:t>
      </w:r>
    </w:p>
    <w:p w:rsidR="00DA2247" w:rsidRPr="009E5B5E" w:rsidRDefault="00DA2247" w:rsidP="00DA2247">
      <w:pPr>
        <w:spacing w:line="360" w:lineRule="auto"/>
        <w:jc w:val="both"/>
        <w:rPr>
          <w:i/>
          <w:iCs/>
          <w:sz w:val="24"/>
          <w:szCs w:val="24"/>
        </w:rPr>
      </w:pPr>
    </w:p>
    <w:p w:rsidR="00DA2247" w:rsidRPr="009E5B5E" w:rsidRDefault="00DA2247" w:rsidP="00DA2247">
      <w:pPr>
        <w:spacing w:line="360" w:lineRule="auto"/>
        <w:jc w:val="both"/>
        <w:rPr>
          <w:i/>
          <w:iCs/>
          <w:sz w:val="24"/>
          <w:szCs w:val="24"/>
        </w:rPr>
      </w:pPr>
    </w:p>
    <w:p w:rsidR="00DA2247" w:rsidRPr="009E5B5E" w:rsidRDefault="00DA2247" w:rsidP="00DA2247">
      <w:pPr>
        <w:spacing w:line="360" w:lineRule="auto"/>
        <w:jc w:val="both"/>
        <w:rPr>
          <w:i/>
          <w:iCs/>
          <w:sz w:val="24"/>
          <w:szCs w:val="24"/>
        </w:rPr>
      </w:pPr>
      <w:r w:rsidRPr="009E5B5E">
        <w:rPr>
          <w:i/>
          <w:iCs/>
          <w:sz w:val="24"/>
          <w:szCs w:val="24"/>
        </w:rPr>
        <w:lastRenderedPageBreak/>
        <w:t>Shop congestion/crowding/shop density</w:t>
      </w:r>
    </w:p>
    <w:p w:rsidR="00DA2247" w:rsidRPr="009E5B5E" w:rsidRDefault="00DA2247" w:rsidP="00DA2247">
      <w:pPr>
        <w:spacing w:line="360" w:lineRule="auto"/>
        <w:jc w:val="both"/>
        <w:rPr>
          <w:sz w:val="24"/>
          <w:szCs w:val="24"/>
        </w:rPr>
      </w:pPr>
      <w:r w:rsidRPr="009E5B5E">
        <w:rPr>
          <w:sz w:val="24"/>
          <w:szCs w:val="24"/>
        </w:rPr>
        <w:t>The congestion of customers in the store is generally perceived as an unpleasant experience in shopping situations (Bateson and Hui, 1987). According to Michon et al. (2005), consumers are likely to deal with higher level of in-store crowing by behaviors which negatively affect purchase decision, such as shifting their shopping plan, decrease shopping time, buying less items to enter express checkout lanes, and postponing purchases.</w:t>
      </w:r>
    </w:p>
    <w:p w:rsidR="00DA2247" w:rsidRPr="009E5B5E" w:rsidRDefault="00DA2247" w:rsidP="00DA2247">
      <w:pPr>
        <w:spacing w:line="360" w:lineRule="auto"/>
        <w:jc w:val="both"/>
        <w:rPr>
          <w:i/>
          <w:iCs/>
          <w:sz w:val="24"/>
          <w:szCs w:val="24"/>
        </w:rPr>
      </w:pPr>
      <w:r w:rsidRPr="009E5B5E">
        <w:rPr>
          <w:i/>
          <w:iCs/>
          <w:sz w:val="24"/>
          <w:szCs w:val="24"/>
        </w:rPr>
        <w:t>Atmospherics</w:t>
      </w:r>
    </w:p>
    <w:p w:rsidR="00DA2247" w:rsidRPr="009E5B5E" w:rsidRDefault="00DA2247" w:rsidP="00DA2247">
      <w:pPr>
        <w:spacing w:line="360" w:lineRule="auto"/>
        <w:jc w:val="both"/>
        <w:rPr>
          <w:sz w:val="24"/>
          <w:szCs w:val="24"/>
        </w:rPr>
      </w:pPr>
      <w:r w:rsidRPr="009E5B5E">
        <w:rPr>
          <w:rFonts w:cstheme="minorHAnsi"/>
          <w:sz w:val="24"/>
          <w:szCs w:val="24"/>
        </w:rPr>
        <w:t xml:space="preserve">Kotler (1973) has developed the concept of retail store environment as a marketing tool, proposing the term ‘atmospherics’ and describing it as the </w:t>
      </w:r>
      <w:r w:rsidRPr="009E5B5E">
        <w:rPr>
          <w:rFonts w:cstheme="minorHAnsi"/>
          <w:i/>
          <w:iCs/>
          <w:sz w:val="24"/>
          <w:szCs w:val="24"/>
        </w:rPr>
        <w:t>“conscious design of in-store space to create certain effects in purchaser”</w:t>
      </w:r>
      <w:r w:rsidRPr="009E5B5E">
        <w:rPr>
          <w:rFonts w:cstheme="minorHAnsi"/>
          <w:sz w:val="24"/>
          <w:szCs w:val="24"/>
        </w:rPr>
        <w:t xml:space="preserve"> (p. 50). He addressed that such </w:t>
      </w:r>
      <w:r w:rsidRPr="009E5B5E">
        <w:rPr>
          <w:sz w:val="24"/>
          <w:szCs w:val="24"/>
        </w:rPr>
        <w:t>atmospherics effort apprehended</w:t>
      </w:r>
      <w:r w:rsidRPr="009E5B5E">
        <w:rPr>
          <w:rFonts w:cstheme="minorHAnsi"/>
          <w:sz w:val="24"/>
          <w:szCs w:val="24"/>
        </w:rPr>
        <w:t xml:space="preserve"> through sensory channels like </w:t>
      </w:r>
      <w:r w:rsidRPr="009E5B5E">
        <w:rPr>
          <w:sz w:val="24"/>
          <w:szCs w:val="24"/>
        </w:rPr>
        <w:t xml:space="preserve">sight, sound, scent, and touch, </w:t>
      </w:r>
      <w:r w:rsidRPr="009E5B5E">
        <w:rPr>
          <w:rFonts w:cstheme="minorHAnsi"/>
          <w:sz w:val="24"/>
          <w:szCs w:val="24"/>
        </w:rPr>
        <w:t xml:space="preserve">creates specific emotional effects in the shopper that enhance his/her purchase probability. Subsequently, many researchers have documented the effect of store environment on consumer’s in-store and purchase behavior. To illustrate, Milliman (1986) found that consumers spend more time and money in restaurant with slow music background, while environmental color, store space, lighting, and social interaction in term of retail salespeople were also proven to influence purchase likelihood of consumers (Baker et al. 1992). </w:t>
      </w:r>
    </w:p>
    <w:p w:rsidR="00DA2247" w:rsidRPr="009E5B5E" w:rsidRDefault="00DA2247" w:rsidP="00DA2247">
      <w:pPr>
        <w:spacing w:line="360" w:lineRule="auto"/>
        <w:jc w:val="both"/>
        <w:rPr>
          <w:sz w:val="24"/>
          <w:szCs w:val="24"/>
        </w:rPr>
      </w:pPr>
      <w:r w:rsidRPr="009E5B5E">
        <w:rPr>
          <w:sz w:val="24"/>
          <w:szCs w:val="24"/>
        </w:rPr>
        <w:t>Based on the review of literature on in-store marketing discussed, price discounts and changes in-store displays are proven to be the most powerful in-store marketing strategy as they offer more significant increase in sales than other strategies (Wilkinson et al. 1982). Correspondingly, I propose that retailer’s in-store marketing efforts, in particular sales promotion, display renewal, and in-store merchandise relocation have positive impact on consumers’ purchase likelihood. Therefore</w:t>
      </w:r>
      <w:r w:rsidRPr="009E5B5E">
        <w:rPr>
          <w:rFonts w:cstheme="minorHAnsi"/>
          <w:sz w:val="24"/>
          <w:szCs w:val="24"/>
        </w:rPr>
        <w:t>, the first hypothesis is developed as follow.</w:t>
      </w:r>
    </w:p>
    <w:p w:rsidR="00DA2247" w:rsidRPr="009E5B5E" w:rsidRDefault="00DA2247" w:rsidP="00DA2247">
      <w:pPr>
        <w:spacing w:line="360" w:lineRule="auto"/>
        <w:jc w:val="both"/>
        <w:rPr>
          <w:sz w:val="24"/>
          <w:szCs w:val="24"/>
        </w:rPr>
      </w:pPr>
    </w:p>
    <w:p w:rsidR="00DA2247" w:rsidRPr="009E5B5E" w:rsidRDefault="00DA2247" w:rsidP="00DA2247">
      <w:pPr>
        <w:spacing w:line="360" w:lineRule="auto"/>
        <w:ind w:left="709"/>
        <w:jc w:val="both"/>
        <w:rPr>
          <w:b/>
          <w:bCs/>
          <w:i/>
          <w:iCs/>
          <w:sz w:val="24"/>
          <w:szCs w:val="24"/>
        </w:rPr>
      </w:pPr>
      <w:r w:rsidRPr="009E5B5E">
        <w:rPr>
          <w:b/>
          <w:bCs/>
          <w:i/>
          <w:iCs/>
          <w:sz w:val="24"/>
          <w:szCs w:val="24"/>
        </w:rPr>
        <w:t>H1: In-store marketing (sales promotion, renewal of display, and product relocation) positively affects consumers’ purchase likelihood.</w:t>
      </w:r>
    </w:p>
    <w:p w:rsidR="00DA2247" w:rsidRPr="009E5B5E" w:rsidRDefault="00DA2247" w:rsidP="00DA2247">
      <w:pPr>
        <w:spacing w:line="360" w:lineRule="auto"/>
        <w:jc w:val="both"/>
        <w:rPr>
          <w:b/>
          <w:bCs/>
          <w:i/>
          <w:iCs/>
          <w:sz w:val="24"/>
          <w:szCs w:val="24"/>
        </w:rPr>
      </w:pPr>
    </w:p>
    <w:p w:rsidR="00DA2247" w:rsidRPr="009E5B5E" w:rsidRDefault="00DA2247" w:rsidP="00DA2247">
      <w:pPr>
        <w:rPr>
          <w:b/>
          <w:bCs/>
          <w:i/>
          <w:iCs/>
          <w:sz w:val="24"/>
          <w:szCs w:val="24"/>
        </w:rPr>
      </w:pPr>
      <w:r w:rsidRPr="009E5B5E">
        <w:rPr>
          <w:b/>
          <w:bCs/>
          <w:i/>
          <w:iCs/>
          <w:sz w:val="24"/>
          <w:szCs w:val="24"/>
        </w:rPr>
        <w:br w:type="page"/>
      </w:r>
      <w:r w:rsidRPr="009E5B5E">
        <w:rPr>
          <w:rFonts w:cstheme="minorHAnsi"/>
          <w:b/>
          <w:bCs/>
          <w:sz w:val="28"/>
        </w:rPr>
        <w:lastRenderedPageBreak/>
        <w:t>2.3.2 The Presence of Friends on Purchase Decision</w:t>
      </w:r>
    </w:p>
    <w:p w:rsidR="00DA2247" w:rsidRPr="009E5B5E" w:rsidRDefault="00DA2247" w:rsidP="00DA2247">
      <w:pPr>
        <w:spacing w:line="360" w:lineRule="auto"/>
        <w:jc w:val="both"/>
        <w:rPr>
          <w:sz w:val="24"/>
          <w:szCs w:val="24"/>
        </w:rPr>
      </w:pPr>
      <w:r w:rsidRPr="009E5B5E">
        <w:rPr>
          <w:rFonts w:cstheme="minorHAnsi"/>
          <w:sz w:val="24"/>
          <w:szCs w:val="24"/>
        </w:rPr>
        <w:t xml:space="preserve">Social influence has been denoted as one of the fundamental factors that influence consumers’ decisions, as previous researches regarding social influence has found that the social environment can shape and distort consumers’ preferences and choice behaviors as they yearn for social acceptance.. </w:t>
      </w:r>
      <w:r w:rsidRPr="009E5B5E">
        <w:rPr>
          <w:sz w:val="24"/>
          <w:szCs w:val="24"/>
        </w:rPr>
        <w:t xml:space="preserve">It is frequent that choices made by consumers occur in group setting (Aribarg et al. 2002). Such choices in group context are proven to deviate from ones that a person made alone (Ariely and Levav 2000; Kurt et al. 2011). </w:t>
      </w:r>
    </w:p>
    <w:p w:rsidR="00DA2247" w:rsidRPr="009E5B5E" w:rsidRDefault="00DA2247" w:rsidP="00DA2247">
      <w:pPr>
        <w:spacing w:line="360" w:lineRule="auto"/>
        <w:jc w:val="both"/>
        <w:rPr>
          <w:color w:val="943634" w:themeColor="accent2" w:themeShade="BF"/>
          <w:sz w:val="24"/>
          <w:szCs w:val="24"/>
        </w:rPr>
      </w:pPr>
      <w:r w:rsidRPr="009E5B5E">
        <w:rPr>
          <w:sz w:val="24"/>
          <w:szCs w:val="24"/>
        </w:rPr>
        <w:t>The presence of friends during a shopping trip (compared with when the shopper is alone) can significantly affect consumers’ purchase incidences. In some instances, the accompanying ones may provide credible information or opinion regarding the product (Urbany et al. 1989).  In other instances, Zajonc (1965) suggested that the presence of others is likely to intensify whatever behavioral disposition exists a priori in order to reflect self-concept. Finally, peers presence can raise impression management concerns in consumer’s mind as they may perceive others' and their purchase behavior as visible indicators of socially desirable activities (Childers and Rao 1992).</w:t>
      </w:r>
      <w:r w:rsidRPr="009E5B5E">
        <w:rPr>
          <w:color w:val="943634" w:themeColor="accent2" w:themeShade="BF"/>
          <w:sz w:val="24"/>
          <w:szCs w:val="24"/>
        </w:rPr>
        <w:t xml:space="preserve"> </w:t>
      </w:r>
    </w:p>
    <w:p w:rsidR="00DA2247" w:rsidRPr="009E5B5E" w:rsidRDefault="00DA2247" w:rsidP="00DA2247">
      <w:pPr>
        <w:spacing w:line="360" w:lineRule="auto"/>
        <w:jc w:val="both"/>
        <w:rPr>
          <w:sz w:val="24"/>
          <w:szCs w:val="24"/>
        </w:rPr>
      </w:pPr>
      <w:r w:rsidRPr="009E5B5E">
        <w:rPr>
          <w:sz w:val="24"/>
          <w:szCs w:val="24"/>
        </w:rPr>
        <w:t xml:space="preserve">The theory of reasoned action proposed by Fishbein and Ajzen (1975) helps explain why a rational consumer would be susceptible to the last type of influence. This theory suggests that </w:t>
      </w:r>
      <w:r w:rsidRPr="009E5B5E">
        <w:rPr>
          <w:i/>
          <w:iCs/>
          <w:sz w:val="24"/>
          <w:szCs w:val="24"/>
        </w:rPr>
        <w:t>“behavior is a multiplicative function of expectations for what others consider to be socially desirable and the motivation to comply with these expectations”</w:t>
      </w:r>
      <w:r w:rsidRPr="009E5B5E">
        <w:rPr>
          <w:sz w:val="24"/>
          <w:szCs w:val="24"/>
        </w:rPr>
        <w:t xml:space="preserve"> (Lou 2005, p. 288). In this context, consumers may perceive that their accompanying friend(s), who are likely to reward bonding behavior and enjoyment, consider a purchase to be desirable when shopping together. Lou (2005) supports this view with the finding that the friend(s) presence in shopping place increases the urge to purchase in consumers</w:t>
      </w:r>
    </w:p>
    <w:p w:rsidR="00DA2247" w:rsidRPr="009E5B5E" w:rsidRDefault="00DA2247" w:rsidP="00DA2247">
      <w:pPr>
        <w:spacing w:line="360" w:lineRule="auto"/>
        <w:jc w:val="both"/>
        <w:rPr>
          <w:sz w:val="24"/>
          <w:szCs w:val="24"/>
        </w:rPr>
      </w:pPr>
      <w:r w:rsidRPr="009E5B5E">
        <w:rPr>
          <w:sz w:val="24"/>
          <w:szCs w:val="24"/>
        </w:rPr>
        <w:t>Based on this view, I first argue that the presence of friend(s) is likely to increase consumers’ purchase probability, in general. Since the purchase may be perceived as a visible indicator of desirable behavior done together during shopping trip, consumers are motivated to engage in such act in order to receive a social reward of more intimate friendship bond. My prediction is formally summarized as follow</w:t>
      </w:r>
    </w:p>
    <w:p w:rsidR="00DA2247" w:rsidRPr="009E5B5E" w:rsidRDefault="00DA2247" w:rsidP="00DA2247">
      <w:pPr>
        <w:spacing w:line="360" w:lineRule="auto"/>
        <w:jc w:val="both"/>
        <w:rPr>
          <w:b/>
          <w:bCs/>
          <w:i/>
          <w:iCs/>
          <w:sz w:val="24"/>
          <w:szCs w:val="24"/>
        </w:rPr>
      </w:pPr>
    </w:p>
    <w:p w:rsidR="00DA2247" w:rsidRPr="009E5B5E" w:rsidRDefault="00DA2247" w:rsidP="00DA2247">
      <w:pPr>
        <w:spacing w:line="360" w:lineRule="auto"/>
        <w:ind w:left="709"/>
        <w:jc w:val="both"/>
        <w:rPr>
          <w:color w:val="0070C0"/>
          <w:sz w:val="24"/>
          <w:szCs w:val="24"/>
        </w:rPr>
      </w:pPr>
      <w:r w:rsidRPr="009E5B5E">
        <w:rPr>
          <w:b/>
          <w:bCs/>
          <w:i/>
          <w:iCs/>
          <w:sz w:val="24"/>
          <w:szCs w:val="24"/>
        </w:rPr>
        <w:t>H2: Consumers shopping together with friend(s) have a higher purchase likelihood.</w:t>
      </w:r>
      <w:r w:rsidRPr="009E5B5E">
        <w:rPr>
          <w:color w:val="0070C0"/>
          <w:sz w:val="24"/>
          <w:szCs w:val="24"/>
        </w:rPr>
        <w:t xml:space="preserve"> </w:t>
      </w:r>
    </w:p>
    <w:p w:rsidR="00DA2247" w:rsidRPr="009E5B5E" w:rsidRDefault="00DA2247" w:rsidP="00DA2247">
      <w:pPr>
        <w:spacing w:line="360" w:lineRule="auto"/>
        <w:jc w:val="both"/>
        <w:rPr>
          <w:sz w:val="24"/>
          <w:szCs w:val="24"/>
        </w:rPr>
      </w:pPr>
      <w:r w:rsidRPr="009E5B5E">
        <w:rPr>
          <w:sz w:val="24"/>
          <w:szCs w:val="24"/>
        </w:rPr>
        <w:lastRenderedPageBreak/>
        <w:t xml:space="preserve">Moreover, I propose that in general, in-store marketing effort tends to become more effective on consumers when they shop with their friends. It is said that that promotion and advertising strategies have different effect on shopping groups (West 1951; Kollat and Willett 1969). Lou (2005) found that price discounts is more effective on customers shopping with a peer group.  As stated earlier that friends are likely to see a purchase as desirable behavior during shopping trip. While in-store marketing serving as incentive to buy; therefore, the consumers with accompanying friend(s) are more motivated to make purchase. In other words, the mere presence of a friend may reinforce the stimulus created by in-store marketing techniques, therefore intensifying their effectiveness. Thus, I hypothesize the following: </w:t>
      </w:r>
    </w:p>
    <w:p w:rsidR="00DA2247" w:rsidRPr="009E5B5E" w:rsidRDefault="00DA2247" w:rsidP="00DA2247">
      <w:pPr>
        <w:spacing w:line="360" w:lineRule="auto"/>
        <w:jc w:val="both"/>
        <w:rPr>
          <w:sz w:val="24"/>
          <w:szCs w:val="24"/>
        </w:rPr>
      </w:pPr>
    </w:p>
    <w:p w:rsidR="00DA2247" w:rsidRPr="009E5B5E" w:rsidRDefault="00DA2247" w:rsidP="00DA2247">
      <w:pPr>
        <w:spacing w:line="360" w:lineRule="auto"/>
        <w:ind w:left="709"/>
        <w:jc w:val="both"/>
        <w:rPr>
          <w:b/>
          <w:bCs/>
          <w:i/>
          <w:iCs/>
          <w:sz w:val="24"/>
          <w:szCs w:val="24"/>
        </w:rPr>
      </w:pPr>
      <w:r w:rsidRPr="009E5B5E">
        <w:rPr>
          <w:b/>
          <w:bCs/>
          <w:i/>
          <w:iCs/>
          <w:sz w:val="24"/>
          <w:szCs w:val="24"/>
        </w:rPr>
        <w:t>H3: The positive effect of in-store marketing on consumers’ purchase likelihood is stronger for consumers who are shopping with friends.</w:t>
      </w:r>
    </w:p>
    <w:p w:rsidR="00DA2247" w:rsidRPr="009E5B5E" w:rsidRDefault="00DA2247" w:rsidP="00DA2247">
      <w:pPr>
        <w:spacing w:line="360" w:lineRule="auto"/>
        <w:jc w:val="both"/>
        <w:rPr>
          <w:b/>
          <w:bCs/>
          <w:i/>
          <w:iCs/>
          <w:sz w:val="24"/>
          <w:szCs w:val="24"/>
        </w:rPr>
      </w:pPr>
      <w:r w:rsidRPr="009E5B5E">
        <w:rPr>
          <w:b/>
          <w:bCs/>
          <w:i/>
          <w:iCs/>
          <w:color w:val="0070C0"/>
          <w:sz w:val="24"/>
          <w:szCs w:val="24"/>
        </w:rPr>
        <w:t xml:space="preserve"> </w:t>
      </w:r>
    </w:p>
    <w:p w:rsidR="00DA2247" w:rsidRPr="009E5B5E" w:rsidRDefault="00DA2247" w:rsidP="00DA2247">
      <w:pPr>
        <w:spacing w:line="360" w:lineRule="auto"/>
        <w:jc w:val="both"/>
        <w:rPr>
          <w:b/>
          <w:bCs/>
          <w:i/>
          <w:iCs/>
          <w:sz w:val="24"/>
          <w:szCs w:val="24"/>
        </w:rPr>
      </w:pPr>
      <w:r w:rsidRPr="009E5B5E">
        <w:rPr>
          <w:rFonts w:cstheme="minorHAnsi"/>
          <w:b/>
          <w:bCs/>
          <w:sz w:val="28"/>
        </w:rPr>
        <w:t xml:space="preserve">2.3.3 The Influence of Friends’ Presence in Gender Specific View: Masculinity-Femininity and Agency-Communion </w:t>
      </w:r>
    </w:p>
    <w:p w:rsidR="00DA2247" w:rsidRPr="009E5B5E" w:rsidRDefault="00DA2247" w:rsidP="00DA2247">
      <w:pPr>
        <w:spacing w:line="360" w:lineRule="auto"/>
        <w:jc w:val="both"/>
        <w:rPr>
          <w:rFonts w:cstheme="minorHAnsi"/>
          <w:sz w:val="24"/>
          <w:szCs w:val="24"/>
        </w:rPr>
      </w:pPr>
      <w:r w:rsidRPr="009E5B5E">
        <w:rPr>
          <w:rFonts w:cstheme="minorHAnsi"/>
          <w:sz w:val="24"/>
          <w:szCs w:val="24"/>
        </w:rPr>
        <w:t>Kurt et al. (2011) have recently conducted a research on the influence of friends on consumers’ shopping behavior and spending decisions. In order to explain consumers’ shopping behavior in group setting</w:t>
      </w:r>
      <w:r w:rsidRPr="009E5B5E">
        <w:rPr>
          <w:rFonts w:cstheme="minorHAnsi"/>
          <w:color w:val="C0504D" w:themeColor="accent2"/>
          <w:sz w:val="24"/>
          <w:szCs w:val="24"/>
        </w:rPr>
        <w:t>,</w:t>
      </w:r>
      <w:r w:rsidRPr="009E5B5E">
        <w:rPr>
          <w:rFonts w:cstheme="minorHAnsi"/>
          <w:sz w:val="24"/>
          <w:szCs w:val="24"/>
        </w:rPr>
        <w:t xml:space="preserve"> the authors have adopted the concept of agency-communion orientation, initially proposed by Baken (1966). They demonstrated that as a result of impression management concerns among consumers, the influence of an accompanying friend on consumers’ shopping behavior and spending is moderated by their agency-communion orientation (Bakan 1966; Eagly 1987)</w:t>
      </w:r>
      <w:r w:rsidRPr="009E5B5E">
        <w:rPr>
          <w:rFonts w:cstheme="minorHAnsi"/>
          <w:color w:val="000000" w:themeColor="text1"/>
          <w:sz w:val="24"/>
          <w:szCs w:val="24"/>
        </w:rPr>
        <w:t xml:space="preserve">. </w:t>
      </w:r>
      <w:r w:rsidRPr="009E5B5E">
        <w:rPr>
          <w:rFonts w:cstheme="minorHAnsi"/>
          <w:sz w:val="24"/>
          <w:szCs w:val="24"/>
        </w:rPr>
        <w:t xml:space="preserve">Since agency and communion oriented people are socialized differently regarding to tendency to focus on self- and other-oriented goals, they tend to have different impression management concerns in the presence of their friends. Accordingly, gender is used as a proxy for agency–communion orientation in the prior research, as prior scholars have demonstrated that agency orientation is more characteristic of males, whereas communion orientation tends to pertain to females (Bakan 1966; Guimond et al. 2006). </w:t>
      </w:r>
    </w:p>
    <w:p w:rsidR="00DA2247" w:rsidRPr="009E5B5E" w:rsidRDefault="00DA2247" w:rsidP="00DA2247">
      <w:pPr>
        <w:spacing w:line="360" w:lineRule="auto"/>
        <w:jc w:val="both"/>
        <w:rPr>
          <w:rFonts w:cstheme="minorHAnsi"/>
          <w:i/>
          <w:iCs/>
          <w:sz w:val="24"/>
          <w:szCs w:val="24"/>
        </w:rPr>
      </w:pPr>
    </w:p>
    <w:p w:rsidR="00DA2247" w:rsidRPr="009E5B5E" w:rsidRDefault="00DA2247" w:rsidP="00DA2247">
      <w:pPr>
        <w:spacing w:line="360" w:lineRule="auto"/>
        <w:jc w:val="both"/>
        <w:rPr>
          <w:rFonts w:cstheme="minorHAnsi"/>
          <w:i/>
          <w:iCs/>
          <w:sz w:val="24"/>
          <w:szCs w:val="24"/>
        </w:rPr>
      </w:pPr>
      <w:r w:rsidRPr="009E5B5E">
        <w:rPr>
          <w:rFonts w:cstheme="minorHAnsi"/>
          <w:i/>
          <w:iCs/>
          <w:sz w:val="24"/>
          <w:szCs w:val="24"/>
        </w:rPr>
        <w:lastRenderedPageBreak/>
        <w:t xml:space="preserve">Masculinity-Femininity and Agency-Communion Orientation </w:t>
      </w:r>
    </w:p>
    <w:p w:rsidR="00DA2247" w:rsidRPr="009E5B5E" w:rsidRDefault="00DA2247" w:rsidP="00DA2247">
      <w:pPr>
        <w:spacing w:line="360" w:lineRule="auto"/>
        <w:jc w:val="both"/>
        <w:rPr>
          <w:rFonts w:cstheme="minorHAnsi"/>
          <w:sz w:val="24"/>
          <w:szCs w:val="24"/>
        </w:rPr>
      </w:pPr>
      <w:r w:rsidRPr="009E5B5E">
        <w:rPr>
          <w:sz w:val="24"/>
          <w:szCs w:val="24"/>
        </w:rPr>
        <w:t xml:space="preserve">According to Leary et al. (1990), impression management (also called self-presentation) refers to </w:t>
      </w:r>
      <w:r w:rsidRPr="009E5B5E">
        <w:rPr>
          <w:i/>
          <w:sz w:val="24"/>
          <w:szCs w:val="24"/>
        </w:rPr>
        <w:t>“the process by which individuals attempt to control the impressions others form of them”</w:t>
      </w:r>
      <w:r w:rsidRPr="009E5B5E">
        <w:rPr>
          <w:sz w:val="24"/>
          <w:szCs w:val="24"/>
        </w:rPr>
        <w:t xml:space="preserve"> (p. 34). Thus, people engage in impression management in a deliberate attempt to be regarded and treated better by others. That is, </w:t>
      </w:r>
      <w:r w:rsidRPr="009E5B5E">
        <w:rPr>
          <w:i/>
          <w:sz w:val="24"/>
          <w:szCs w:val="24"/>
        </w:rPr>
        <w:t xml:space="preserve">”because the impressions people make on others have implications for how others perceive, evaluate, and treat them, as well as for their own views of themselves, people sometimes behave in ways that will create certain impressions in others' eyes” </w:t>
      </w:r>
      <w:r w:rsidRPr="009E5B5E">
        <w:rPr>
          <w:sz w:val="24"/>
          <w:szCs w:val="24"/>
        </w:rPr>
        <w:t>(Leary et al. 1990, p. 34).</w:t>
      </w:r>
      <w:r w:rsidRPr="009E5B5E">
        <w:rPr>
          <w:rFonts w:cstheme="minorHAnsi"/>
          <w:sz w:val="24"/>
          <w:szCs w:val="24"/>
        </w:rPr>
        <w:t xml:space="preserve"> </w:t>
      </w:r>
    </w:p>
    <w:p w:rsidR="00DA2247" w:rsidRPr="009E5B5E" w:rsidRDefault="00DA2247" w:rsidP="00DA2247">
      <w:pPr>
        <w:spacing w:line="360" w:lineRule="auto"/>
        <w:jc w:val="both"/>
        <w:rPr>
          <w:sz w:val="24"/>
          <w:szCs w:val="24"/>
        </w:rPr>
      </w:pPr>
      <w:r w:rsidRPr="009E5B5E">
        <w:rPr>
          <w:rFonts w:cstheme="minorHAnsi"/>
          <w:sz w:val="24"/>
          <w:szCs w:val="24"/>
        </w:rPr>
        <w:t xml:space="preserve">More recently, Ariely and Levav (2000) find the link between decision-making in group setting and individual’s impression management.  They demonstrate that decisions made in group contexts differ from those made in individual contexts due to an opportunity for consumers to engage in impression management efforts with choices made in group setting. </w:t>
      </w:r>
    </w:p>
    <w:p w:rsidR="00DA2247" w:rsidRPr="009E5B5E" w:rsidRDefault="00DA2247" w:rsidP="00DA2247">
      <w:pPr>
        <w:spacing w:line="360" w:lineRule="auto"/>
        <w:jc w:val="both"/>
        <w:rPr>
          <w:sz w:val="24"/>
          <w:szCs w:val="24"/>
        </w:rPr>
      </w:pPr>
      <w:r w:rsidRPr="009E5B5E">
        <w:rPr>
          <w:sz w:val="24"/>
          <w:szCs w:val="24"/>
        </w:rPr>
        <w:t>Originally proposed by Baken (1966), the term ‘</w:t>
      </w:r>
      <w:r w:rsidRPr="009E5B5E">
        <w:rPr>
          <w:rFonts w:cstheme="minorHAnsi"/>
          <w:sz w:val="24"/>
          <w:szCs w:val="24"/>
        </w:rPr>
        <w:t xml:space="preserve">agency’ and ‘communion’ capture two fundamental behavioral tendencies people engage in interacting with others as a result of impression management concerns. </w:t>
      </w:r>
      <w:r w:rsidRPr="009E5B5E">
        <w:rPr>
          <w:rFonts w:cstheme="minorHAnsi"/>
          <w:color w:val="000000" w:themeColor="text1"/>
          <w:sz w:val="24"/>
          <w:szCs w:val="24"/>
        </w:rPr>
        <w:t>The concept of agency and communion orientation has been pervasively documented in many studies (see appendix 5).</w:t>
      </w:r>
      <w:r w:rsidRPr="009E5B5E">
        <w:rPr>
          <w:sz w:val="24"/>
          <w:szCs w:val="24"/>
        </w:rPr>
        <w:t xml:space="preserve"> Agency orientation denotes the tendency to project one’s individuality/uniqueness and </w:t>
      </w:r>
      <w:r w:rsidRPr="009E5B5E">
        <w:rPr>
          <w:rFonts w:cstheme="minorHAnsi"/>
          <w:color w:val="000000" w:themeColor="text1"/>
          <w:sz w:val="24"/>
          <w:szCs w:val="24"/>
        </w:rPr>
        <w:t>place a focus on the self as an autonomous agent</w:t>
      </w:r>
      <w:r w:rsidRPr="009E5B5E">
        <w:rPr>
          <w:sz w:val="24"/>
          <w:szCs w:val="24"/>
        </w:rPr>
        <w:t xml:space="preserve">, whereas communion orientation denotes a tendency to merge oneself into a larger organism for social relationships and connect with others, as a result of the desire for a sense of belonging (Helgeson, 1994). </w:t>
      </w:r>
    </w:p>
    <w:p w:rsidR="00DA2247" w:rsidRPr="009E5B5E" w:rsidRDefault="00DA2247" w:rsidP="00DA2247">
      <w:pPr>
        <w:spacing w:line="360" w:lineRule="auto"/>
        <w:jc w:val="both"/>
        <w:rPr>
          <w:sz w:val="24"/>
          <w:szCs w:val="24"/>
        </w:rPr>
      </w:pPr>
      <w:r w:rsidRPr="009E5B5E">
        <w:rPr>
          <w:sz w:val="24"/>
          <w:szCs w:val="24"/>
        </w:rPr>
        <w:t>Wiggins (1991)</w:t>
      </w:r>
      <w:r w:rsidRPr="009E5B5E">
        <w:rPr>
          <w:color w:val="C0504D" w:themeColor="accent2"/>
          <w:sz w:val="24"/>
          <w:szCs w:val="24"/>
        </w:rPr>
        <w:t xml:space="preserve"> </w:t>
      </w:r>
      <w:r w:rsidRPr="009E5B5E">
        <w:rPr>
          <w:sz w:val="24"/>
          <w:szCs w:val="24"/>
        </w:rPr>
        <w:t xml:space="preserve">defines agency-oriented person as one who strives toward power, and status that portray the separation from others, whereas communion orientated person is one who seeks cooperation and harmony that preserve the unity with a social entity. Moreover, prior studies have demonstrated that agency orientation is related to some characteristics such as self-confidence, instrumentality, and competence, while communion orientation involves such characteristics as cooperativeness, concern for others, and kindness (e.g., Eagly 1987). Moreover, Bakan (1966) shows that agency-oriented people are fond of being the center of attention by promoting their uniqueness in order to claim power and status, whereas </w:t>
      </w:r>
      <w:r w:rsidRPr="009E5B5E">
        <w:rPr>
          <w:sz w:val="24"/>
          <w:szCs w:val="24"/>
        </w:rPr>
        <w:lastRenderedPageBreak/>
        <w:t>communion- oriented people hold back from doing so, due to differences in socialization mechanism.</w:t>
      </w:r>
      <w:r w:rsidRPr="009E5B5E">
        <w:rPr>
          <w:rStyle w:val="FootnoteReference"/>
          <w:sz w:val="24"/>
          <w:szCs w:val="24"/>
        </w:rPr>
        <w:footnoteReference w:id="2"/>
      </w:r>
    </w:p>
    <w:p w:rsidR="00DA2247" w:rsidRPr="009E5B5E" w:rsidRDefault="00DA2247" w:rsidP="00DA2247">
      <w:pPr>
        <w:spacing w:line="360" w:lineRule="auto"/>
        <w:jc w:val="both"/>
        <w:rPr>
          <w:bCs/>
          <w:color w:val="0070C0"/>
          <w:sz w:val="24"/>
          <w:szCs w:val="24"/>
        </w:rPr>
      </w:pPr>
      <w:r w:rsidRPr="009E5B5E">
        <w:rPr>
          <w:rFonts w:cstheme="minorHAnsi"/>
          <w:color w:val="000000" w:themeColor="text1"/>
          <w:sz w:val="24"/>
          <w:szCs w:val="24"/>
        </w:rPr>
        <w:t xml:space="preserve">Several authors have linked agency (vs. communion) orientation to gender. For example, Bakan (1966) links the typical male orientation, masculinity, to the concept of agency and the typical female orientation, femininity, to communion. </w:t>
      </w:r>
      <w:r w:rsidRPr="009E5B5E">
        <w:rPr>
          <w:bCs/>
          <w:sz w:val="24"/>
          <w:szCs w:val="24"/>
        </w:rPr>
        <w:t>Social scientists have long discovered the strong conceptual alignment between male versus female gender identity and agency versus communal orientation.  This parallel leads a significant contribution to the psychological measurement literature, when independent measures of masculinity and femininity were developed based on agency-communion traits by Bem (1974).</w:t>
      </w:r>
      <w:r w:rsidRPr="009E5B5E">
        <w:rPr>
          <w:bCs/>
          <w:color w:val="0070C0"/>
          <w:sz w:val="24"/>
          <w:szCs w:val="24"/>
        </w:rPr>
        <w:t xml:space="preserve"> </w:t>
      </w:r>
    </w:p>
    <w:p w:rsidR="00DA2247" w:rsidRPr="009E5B5E" w:rsidRDefault="00DA2247" w:rsidP="00DA2247">
      <w:pPr>
        <w:spacing w:line="360" w:lineRule="auto"/>
        <w:jc w:val="both"/>
        <w:rPr>
          <w:rFonts w:cstheme="minorHAnsi"/>
          <w:color w:val="000000"/>
          <w:sz w:val="24"/>
          <w:szCs w:val="24"/>
        </w:rPr>
      </w:pPr>
      <w:r w:rsidRPr="009E5B5E">
        <w:rPr>
          <w:rFonts w:cstheme="minorHAnsi"/>
          <w:color w:val="000000" w:themeColor="text1"/>
          <w:sz w:val="24"/>
          <w:szCs w:val="24"/>
        </w:rPr>
        <w:t xml:space="preserve">Drawing from the study of </w:t>
      </w:r>
      <w:r w:rsidRPr="009E5B5E">
        <w:rPr>
          <w:rFonts w:cstheme="minorHAnsi"/>
          <w:color w:val="000000"/>
          <w:sz w:val="24"/>
          <w:szCs w:val="24"/>
        </w:rPr>
        <w:t>gender psychology, masculine and feminine personality traits, upon which “gender identity”</w:t>
      </w:r>
      <w:r w:rsidRPr="009E5B5E">
        <w:rPr>
          <w:rStyle w:val="FootnoteReference"/>
          <w:rFonts w:cstheme="minorHAnsi"/>
          <w:color w:val="000000"/>
          <w:sz w:val="24"/>
          <w:szCs w:val="24"/>
        </w:rPr>
        <w:footnoteReference w:id="3"/>
      </w:r>
      <w:r w:rsidRPr="009E5B5E">
        <w:rPr>
          <w:rFonts w:cstheme="minorHAnsi"/>
          <w:color w:val="000000"/>
          <w:sz w:val="24"/>
          <w:szCs w:val="24"/>
        </w:rPr>
        <w:t xml:space="preserve"> is based, are connected with “agentic/instrumental” and “communal/expressive” tendencies, respectively (Parsons and Shils 1952). Agentic/instrumental personality is explained as </w:t>
      </w:r>
      <w:r w:rsidRPr="009E5B5E">
        <w:rPr>
          <w:rFonts w:cstheme="minorHAnsi"/>
          <w:i/>
          <w:iCs/>
          <w:color w:val="000000"/>
          <w:sz w:val="24"/>
          <w:szCs w:val="24"/>
        </w:rPr>
        <w:t>"concern with the attainment of goals external to the interaction process"</w:t>
      </w:r>
      <w:r w:rsidRPr="009E5B5E">
        <w:rPr>
          <w:rFonts w:cstheme="minorHAnsi"/>
          <w:color w:val="000000"/>
          <w:sz w:val="24"/>
          <w:szCs w:val="24"/>
        </w:rPr>
        <w:t xml:space="preserve"> (Gill et al. 1987, p. 379). The qualities of </w:t>
      </w:r>
      <w:r w:rsidRPr="009E5B5E">
        <w:rPr>
          <w:rFonts w:cstheme="minorHAnsi"/>
          <w:i/>
          <w:iCs/>
          <w:color w:val="000000"/>
          <w:sz w:val="24"/>
          <w:szCs w:val="24"/>
        </w:rPr>
        <w:t>“independence, assertiveness, reason, rationality, competitiveness, and focus on individual goals”</w:t>
      </w:r>
      <w:r w:rsidRPr="009E5B5E">
        <w:rPr>
          <w:rFonts w:cstheme="minorHAnsi"/>
          <w:color w:val="000000"/>
          <w:sz w:val="24"/>
          <w:szCs w:val="24"/>
        </w:rPr>
        <w:t xml:space="preserve"> (Palan 2001, p. 3) are the signature characteristics associated with masculinity (Keller 1983; Easlea 1986; Meyers-Levy 1988; Cross and Markus 1993). Whereas, communal/expressive personality is explained as </w:t>
      </w:r>
      <w:r w:rsidRPr="009E5B5E">
        <w:rPr>
          <w:rFonts w:cstheme="minorHAnsi"/>
          <w:i/>
          <w:iCs/>
          <w:color w:val="000000"/>
          <w:sz w:val="24"/>
          <w:szCs w:val="24"/>
        </w:rPr>
        <w:t>"gives primacy to facilitating the interaction process itself"</w:t>
      </w:r>
      <w:r w:rsidRPr="009E5B5E">
        <w:rPr>
          <w:rFonts w:cstheme="minorHAnsi"/>
          <w:color w:val="000000"/>
          <w:sz w:val="24"/>
          <w:szCs w:val="24"/>
        </w:rPr>
        <w:t xml:space="preserve"> (Gill et al. 1987, p. 380). Expressiveness is referred to emotional engagement with self and others, however, not "being emotional"; instead, it is associated with personality traits of being actively interdependent and relational. </w:t>
      </w:r>
      <w:r w:rsidRPr="009E5B5E">
        <w:rPr>
          <w:rFonts w:cstheme="minorHAnsi"/>
          <w:i/>
          <w:iCs/>
          <w:color w:val="000000"/>
          <w:sz w:val="24"/>
          <w:szCs w:val="24"/>
        </w:rPr>
        <w:t>“Understanding, caring, nurturance, responsibility, considerateness, sensitivity, intuition, passion, and focus on communal goals”</w:t>
      </w:r>
      <w:r w:rsidRPr="009E5B5E">
        <w:rPr>
          <w:rFonts w:cstheme="minorHAnsi"/>
          <w:color w:val="000000"/>
          <w:sz w:val="24"/>
          <w:szCs w:val="24"/>
        </w:rPr>
        <w:t xml:space="preserve"> (Palan 2001, p. 3) are the hallmarks of femininity. </w:t>
      </w:r>
    </w:p>
    <w:p w:rsidR="00DA2247" w:rsidRPr="009E5B5E" w:rsidRDefault="00DA2247" w:rsidP="00DA2247">
      <w:pPr>
        <w:spacing w:line="360" w:lineRule="auto"/>
        <w:jc w:val="both"/>
        <w:rPr>
          <w:rFonts w:cstheme="minorHAnsi"/>
          <w:color w:val="000000"/>
          <w:sz w:val="24"/>
          <w:szCs w:val="24"/>
        </w:rPr>
      </w:pPr>
      <w:r w:rsidRPr="009E5B5E">
        <w:rPr>
          <w:rFonts w:cstheme="minorHAnsi"/>
          <w:color w:val="000000"/>
          <w:sz w:val="24"/>
          <w:szCs w:val="24"/>
        </w:rPr>
        <w:lastRenderedPageBreak/>
        <w:t xml:space="preserve">Such masculine and feminine personality traits described in gender identity study are in line with characteristics found in agency and communion oriented individual respectively </w:t>
      </w:r>
      <w:r w:rsidRPr="009E5B5E">
        <w:rPr>
          <w:rFonts w:cstheme="minorHAnsi"/>
          <w:sz w:val="24"/>
          <w:szCs w:val="24"/>
        </w:rPr>
        <w:t>(Bakan 1966; Guimond et al. 2006)</w:t>
      </w:r>
      <w:r w:rsidRPr="009E5B5E">
        <w:rPr>
          <w:rFonts w:cstheme="minorHAnsi"/>
          <w:color w:val="000000"/>
          <w:sz w:val="24"/>
          <w:szCs w:val="24"/>
        </w:rPr>
        <w:t>. Kurt et al. (2011) found the support on this view by proving that gender is appropriate proxy for agency-communion orientation as the result from their study when using gender as proxy is consistent with one from the study when agency-and communion orientation is actual measured.</w:t>
      </w:r>
    </w:p>
    <w:p w:rsidR="00DA2247" w:rsidRPr="009E5B5E" w:rsidRDefault="00DA2247" w:rsidP="00DA2247">
      <w:pPr>
        <w:spacing w:line="360" w:lineRule="auto"/>
        <w:jc w:val="both"/>
        <w:rPr>
          <w:rFonts w:cstheme="minorHAnsi"/>
          <w:sz w:val="24"/>
          <w:szCs w:val="24"/>
        </w:rPr>
      </w:pPr>
      <w:r w:rsidRPr="009E5B5E">
        <w:rPr>
          <w:rFonts w:cstheme="minorHAnsi"/>
          <w:i/>
          <w:iCs/>
          <w:color w:val="000000" w:themeColor="text1"/>
          <w:sz w:val="28"/>
        </w:rPr>
        <w:t xml:space="preserve">Impression Management and Social Conformity </w:t>
      </w:r>
    </w:p>
    <w:p w:rsidR="00DA2247" w:rsidRPr="009E5B5E" w:rsidRDefault="00DA2247" w:rsidP="00DA2247">
      <w:pPr>
        <w:spacing w:line="360" w:lineRule="auto"/>
        <w:jc w:val="both"/>
        <w:rPr>
          <w:rFonts w:cstheme="minorHAnsi"/>
          <w:color w:val="000000"/>
          <w:sz w:val="24"/>
          <w:szCs w:val="24"/>
        </w:rPr>
      </w:pPr>
      <w:r w:rsidRPr="009E5B5E">
        <w:rPr>
          <w:sz w:val="24"/>
          <w:szCs w:val="24"/>
        </w:rPr>
        <w:t>To better argue why consumers’ purchase incidences in the presence of their friends should be influenced by their gender (which I use – in line with prior research – as a proxy for agency-communion orientation), a research into stereotype literature is crucial.  Rosenthal and Rubin (1978) have found that due to the fact that people strive for rewards of social approval, they have a tendency to behave in the way conform to the ideas/expectations held as standard by others in the society.</w:t>
      </w:r>
      <w:r w:rsidRPr="009E5B5E">
        <w:rPr>
          <w:color w:val="C0504D" w:themeColor="accent2"/>
          <w:sz w:val="24"/>
          <w:szCs w:val="24"/>
        </w:rPr>
        <w:t xml:space="preserve"> </w:t>
      </w:r>
    </w:p>
    <w:p w:rsidR="00DA2247" w:rsidRPr="009E5B5E" w:rsidRDefault="00DA2247" w:rsidP="00DA2247">
      <w:pPr>
        <w:spacing w:line="360" w:lineRule="auto"/>
        <w:jc w:val="both"/>
        <w:rPr>
          <w:bCs/>
          <w:color w:val="4F81BD" w:themeColor="accent1"/>
          <w:sz w:val="24"/>
          <w:szCs w:val="24"/>
        </w:rPr>
      </w:pPr>
      <w:r w:rsidRPr="009E5B5E">
        <w:rPr>
          <w:rFonts w:cs="PANKAK+TimesNewRoman"/>
          <w:color w:val="000000"/>
          <w:sz w:val="24"/>
          <w:szCs w:val="24"/>
        </w:rPr>
        <w:t xml:space="preserve">Gender is an important determinant of one’s orientation and reaction to others, such as friends, because, as clearly stated by Lerner (1986), </w:t>
      </w:r>
      <w:r w:rsidRPr="009E5B5E">
        <w:rPr>
          <w:rFonts w:cs="PANKAK+TimesNewRoman"/>
          <w:i/>
          <w:iCs/>
          <w:color w:val="000000"/>
          <w:sz w:val="24"/>
          <w:szCs w:val="24"/>
        </w:rPr>
        <w:t>“Gender is a set of cultural roles"</w:t>
      </w:r>
      <w:r w:rsidRPr="009E5B5E">
        <w:rPr>
          <w:rFonts w:cs="PANKAK+TimesNewRoman"/>
          <w:color w:val="000000"/>
          <w:sz w:val="24"/>
          <w:szCs w:val="24"/>
        </w:rPr>
        <w:t xml:space="preserve"> (p. 19).</w:t>
      </w:r>
      <w:r w:rsidRPr="009E5B5E">
        <w:rPr>
          <w:rFonts w:cs="PANKAK+TimesNewRoman"/>
          <w:color w:val="000000"/>
        </w:rPr>
        <w:t xml:space="preserve"> </w:t>
      </w:r>
      <w:r w:rsidRPr="009E5B5E">
        <w:rPr>
          <w:rFonts w:cstheme="minorHAnsi"/>
          <w:color w:val="000000"/>
          <w:sz w:val="24"/>
          <w:szCs w:val="24"/>
        </w:rPr>
        <w:t xml:space="preserve">As people begin to culturally socialize at the early age, cognitive networks of associations to biological sex are developed in their belief system. People have learnt about social gender norm which is culturally defined personality traits linked to being male (masculine traits) or female (feminine traits) since their childhood (Palan 2001). </w:t>
      </w:r>
      <w:r w:rsidRPr="009E5B5E">
        <w:rPr>
          <w:bCs/>
          <w:sz w:val="24"/>
          <w:szCs w:val="24"/>
        </w:rPr>
        <w:t>Most societies seemingly distinguish between desirable traits for male and female</w:t>
      </w:r>
      <w:r w:rsidRPr="009E5B5E">
        <w:rPr>
          <w:bCs/>
          <w:szCs w:val="52"/>
        </w:rPr>
        <w:t xml:space="preserve">. </w:t>
      </w:r>
      <w:r w:rsidRPr="009E5B5E">
        <w:rPr>
          <w:bCs/>
          <w:sz w:val="24"/>
          <w:szCs w:val="24"/>
        </w:rPr>
        <w:t xml:space="preserve">For example, in moral development study, males are to be evaluated </w:t>
      </w:r>
    </w:p>
    <w:p w:rsidR="00DA2247" w:rsidRPr="009E5B5E" w:rsidRDefault="00DA2247" w:rsidP="00DA2247">
      <w:pPr>
        <w:spacing w:line="360" w:lineRule="auto"/>
        <w:jc w:val="both"/>
        <w:rPr>
          <w:sz w:val="24"/>
          <w:szCs w:val="24"/>
        </w:rPr>
      </w:pPr>
      <w:r w:rsidRPr="009E5B5E">
        <w:rPr>
          <w:rFonts w:cstheme="minorHAnsi"/>
          <w:color w:val="000000"/>
          <w:sz w:val="24"/>
          <w:szCs w:val="24"/>
        </w:rPr>
        <w:t>Such</w:t>
      </w:r>
      <w:r w:rsidRPr="009E5B5E">
        <w:rPr>
          <w:color w:val="000000" w:themeColor="text1"/>
          <w:sz w:val="24"/>
          <w:szCs w:val="24"/>
        </w:rPr>
        <w:t xml:space="preserve"> stereotypic expectation in gender domain</w:t>
      </w:r>
      <w:r w:rsidRPr="009E5B5E">
        <w:rPr>
          <w:rFonts w:cstheme="minorHAnsi"/>
          <w:color w:val="000000"/>
          <w:sz w:val="24"/>
          <w:szCs w:val="24"/>
        </w:rPr>
        <w:t xml:space="preserve"> would lead to an individual’s tendency to engage in behavior perceived </w:t>
      </w:r>
      <w:r w:rsidRPr="009E5B5E">
        <w:rPr>
          <w:color w:val="000000" w:themeColor="text1"/>
          <w:sz w:val="24"/>
          <w:szCs w:val="24"/>
        </w:rPr>
        <w:t>by the society</w:t>
      </w:r>
      <w:r w:rsidRPr="009E5B5E">
        <w:rPr>
          <w:rFonts w:cstheme="minorHAnsi"/>
          <w:color w:val="000000"/>
          <w:sz w:val="24"/>
          <w:szCs w:val="24"/>
        </w:rPr>
        <w:t xml:space="preserve"> as favorable </w:t>
      </w:r>
      <w:r w:rsidRPr="009E5B5E">
        <w:rPr>
          <w:color w:val="000000" w:themeColor="text1"/>
          <w:sz w:val="24"/>
          <w:szCs w:val="24"/>
        </w:rPr>
        <w:t>regarding gender identity, in order to gain social rewards and avoid social sanctions. Rudman (1998) found support to this view by showing that women who violate stereotypic expectations by behaving in the masculine way (e.g., self-promotion) are perceived significantly lower in terms of their social attractiveness</w:t>
      </w:r>
      <w:r w:rsidRPr="009E5B5E">
        <w:rPr>
          <w:color w:val="C0504D" w:themeColor="accent2"/>
          <w:sz w:val="24"/>
          <w:szCs w:val="24"/>
        </w:rPr>
        <w:t xml:space="preserve">. </w:t>
      </w:r>
      <w:r w:rsidRPr="009E5B5E">
        <w:rPr>
          <w:color w:val="000000" w:themeColor="text1"/>
          <w:sz w:val="24"/>
          <w:szCs w:val="24"/>
        </w:rPr>
        <w:t>Connectedly, research on the “feminine modesty effect” (Gould and Slone 1982) has demonstrated that normative pressures drive women to be modest in public scenery. On the other hand, society perceives self-promotion behavior among males as normative and acceptable (Miller et al. 1992).</w:t>
      </w:r>
    </w:p>
    <w:p w:rsidR="00DA2247" w:rsidRPr="009E5B5E" w:rsidRDefault="00DA2247" w:rsidP="00DA2247">
      <w:pPr>
        <w:spacing w:line="360" w:lineRule="auto"/>
        <w:jc w:val="both"/>
        <w:rPr>
          <w:rFonts w:cstheme="minorHAnsi"/>
          <w:sz w:val="24"/>
          <w:szCs w:val="24"/>
        </w:rPr>
      </w:pPr>
      <w:r w:rsidRPr="009E5B5E">
        <w:rPr>
          <w:sz w:val="24"/>
          <w:szCs w:val="24"/>
        </w:rPr>
        <w:lastRenderedPageBreak/>
        <w:t xml:space="preserve">Stereotypic expectation in gender domain (masculine and feminine stereotypes), begin to develop in childhood and carry on through aging, would also lead to differences in socialization objectives and subsequently the differences in self-presentation strategies. In this context, self-presentation strategies can be categorized into two types (Arkin 1981): (1) acquisitive - </w:t>
      </w:r>
      <w:r w:rsidRPr="009E5B5E">
        <w:rPr>
          <w:i/>
          <w:iCs/>
          <w:sz w:val="24"/>
          <w:szCs w:val="24"/>
        </w:rPr>
        <w:t>“strategy used to gain valued outcomes and involves exerting effort to gain admiration, respect, and attention of peers by presenting the self in the most favorable light”</w:t>
      </w:r>
      <w:r w:rsidRPr="009E5B5E">
        <w:rPr>
          <w:sz w:val="24"/>
          <w:szCs w:val="24"/>
        </w:rPr>
        <w:t>, (2) protective -“</w:t>
      </w:r>
      <w:r w:rsidRPr="009E5B5E">
        <w:rPr>
          <w:i/>
          <w:iCs/>
          <w:sz w:val="24"/>
          <w:szCs w:val="24"/>
        </w:rPr>
        <w:t>strategy avoid negative outcomes and is associated with self-presentations that are cautious, modest, and designed to avoid attention”</w:t>
      </w:r>
      <w:r w:rsidRPr="009E5B5E">
        <w:rPr>
          <w:sz w:val="24"/>
          <w:szCs w:val="24"/>
        </w:rPr>
        <w:t xml:space="preserve"> (Kurt et al. 2011, p. 743). </w:t>
      </w:r>
      <w:r w:rsidRPr="009E5B5E">
        <w:rPr>
          <w:rFonts w:cstheme="minorHAnsi"/>
          <w:sz w:val="24"/>
          <w:szCs w:val="24"/>
        </w:rPr>
        <w:t xml:space="preserve">According to socioanalytic theory, people who seek power, control, and status, tend to adopt acquisitive self-presentation aiming at ‘getting ahead’ of others since  On the other hand, people who seek acceptance and, tend to adopt protective self presentation aiming at ‘getting along’ with others (Hogan et al. 1985; Wolfe et al.1986). </w:t>
      </w:r>
    </w:p>
    <w:p w:rsidR="00DA2247" w:rsidRPr="009E5B5E" w:rsidRDefault="00DA2247" w:rsidP="00DA2247">
      <w:pPr>
        <w:spacing w:line="360" w:lineRule="auto"/>
        <w:jc w:val="both"/>
        <w:rPr>
          <w:rFonts w:cstheme="minorHAnsi"/>
          <w:sz w:val="24"/>
          <w:szCs w:val="24"/>
        </w:rPr>
      </w:pPr>
      <w:r w:rsidRPr="009E5B5E">
        <w:rPr>
          <w:rFonts w:cstheme="minorHAnsi"/>
          <w:i/>
          <w:iCs/>
          <w:color w:val="000000" w:themeColor="text1"/>
          <w:sz w:val="28"/>
        </w:rPr>
        <w:t>Impression Management by Male versus Female Consumers</w:t>
      </w:r>
    </w:p>
    <w:p w:rsidR="00DA2247" w:rsidRPr="009E5B5E" w:rsidRDefault="00DA2247" w:rsidP="00DA2247">
      <w:pPr>
        <w:spacing w:line="360" w:lineRule="auto"/>
        <w:jc w:val="both"/>
        <w:rPr>
          <w:sz w:val="24"/>
          <w:szCs w:val="24"/>
        </w:rPr>
      </w:pPr>
      <w:r w:rsidRPr="009E5B5E">
        <w:rPr>
          <w:rFonts w:cstheme="minorHAnsi"/>
          <w:sz w:val="24"/>
          <w:szCs w:val="24"/>
        </w:rPr>
        <w:t xml:space="preserve">Based on the </w:t>
      </w:r>
      <w:r w:rsidRPr="009E5B5E">
        <w:rPr>
          <w:sz w:val="24"/>
          <w:szCs w:val="24"/>
        </w:rPr>
        <w:t>theoretical framework</w:t>
      </w:r>
      <w:r w:rsidRPr="009E5B5E">
        <w:rPr>
          <w:rFonts w:cstheme="minorHAnsi"/>
          <w:sz w:val="24"/>
          <w:szCs w:val="24"/>
        </w:rPr>
        <w:t xml:space="preserve"> previously discussed in this section,</w:t>
      </w:r>
      <w:r w:rsidRPr="009E5B5E">
        <w:rPr>
          <w:sz w:val="24"/>
          <w:szCs w:val="24"/>
        </w:rPr>
        <w:t xml:space="preserve"> I propose that the influence of accompanying friend(s) on </w:t>
      </w:r>
      <w:r w:rsidRPr="009E5B5E">
        <w:rPr>
          <w:rFonts w:cstheme="minorHAnsi"/>
          <w:sz w:val="24"/>
          <w:szCs w:val="24"/>
        </w:rPr>
        <w:t xml:space="preserve">consumers’ purchase incidences is moderated by different orientation between male and female shoppers. </w:t>
      </w:r>
      <w:r w:rsidRPr="009E5B5E">
        <w:rPr>
          <w:sz w:val="24"/>
          <w:szCs w:val="24"/>
        </w:rPr>
        <w:t xml:space="preserve">Drawing from the link between gender identity and agency-communion concept documented in prior literature, I deduce that agency-oriented tendency reflects prototypically masculine orientation, while communion reflects prototypically feminine orientation as females. Thus, to conform to the expectations regarding gender held by the society, males and females are likely to engage in agency and communion orientation respectively. Such behavioral engagements is then expected to result in differences in </w:t>
      </w:r>
      <w:r w:rsidRPr="009E5B5E">
        <w:rPr>
          <w:rFonts w:cstheme="minorHAnsi"/>
          <w:sz w:val="24"/>
          <w:szCs w:val="24"/>
        </w:rPr>
        <w:t>impression management concerns</w:t>
      </w:r>
      <w:r w:rsidRPr="009E5B5E">
        <w:rPr>
          <w:sz w:val="24"/>
          <w:szCs w:val="24"/>
        </w:rPr>
        <w:t xml:space="preserve"> and socialization objectives between genders, as society perceives different characteristics in male (self-promotion) and female (modesty) as normative and acceptable </w:t>
      </w:r>
      <w:r w:rsidRPr="009E5B5E">
        <w:rPr>
          <w:color w:val="000000" w:themeColor="text1"/>
          <w:sz w:val="24"/>
          <w:szCs w:val="24"/>
        </w:rPr>
        <w:t>(Rudman, 1998</w:t>
      </w:r>
      <w:r w:rsidRPr="009E5B5E">
        <w:rPr>
          <w:sz w:val="24"/>
          <w:szCs w:val="24"/>
        </w:rPr>
        <w:t xml:space="preserve">; </w:t>
      </w:r>
      <w:r w:rsidRPr="009E5B5E">
        <w:rPr>
          <w:color w:val="000000" w:themeColor="text1"/>
          <w:sz w:val="24"/>
          <w:szCs w:val="24"/>
        </w:rPr>
        <w:t>Miller et al., 1992)</w:t>
      </w:r>
      <w:r w:rsidRPr="009E5B5E">
        <w:rPr>
          <w:sz w:val="24"/>
          <w:szCs w:val="24"/>
        </w:rPr>
        <w:t>.  Accordingly, I argue that male consumers (agency-oriented) will adopt the acquisitive self-presentation strategy while shopping with friends and engage in self-promotion through purchase made unintentionally. On the other hand, such behavior is not consistent with the modest nature of female consumers (communion-oriented). They are expected to adopt the protective self-presentation strategy in the presence of a friend and will control their spending. However, I do not hypothesize that the purchase likelihood will decline when female consumers shop with friend(s). This is because</w:t>
      </w:r>
      <w:r w:rsidRPr="009E5B5E">
        <w:rPr>
          <w:color w:val="000000" w:themeColor="text1"/>
          <w:sz w:val="24"/>
          <w:szCs w:val="24"/>
        </w:rPr>
        <w:t xml:space="preserve"> a</w:t>
      </w:r>
      <w:r w:rsidRPr="009E5B5E">
        <w:rPr>
          <w:sz w:val="24"/>
          <w:szCs w:val="24"/>
        </w:rPr>
        <w:t xml:space="preserve"> reduction in spending reflects self-neglect which is the emphasis on others at own expense, and it cannot be assumed that all communion-oriented individuals </w:t>
      </w:r>
      <w:r w:rsidRPr="009E5B5E">
        <w:rPr>
          <w:sz w:val="24"/>
          <w:szCs w:val="24"/>
        </w:rPr>
        <w:lastRenderedPageBreak/>
        <w:t>(females) have such tendency (Buss 1990; Fritz and Helgeson 1998). In sum, the following hypotheses are anticipated:</w:t>
      </w:r>
    </w:p>
    <w:p w:rsidR="00DA2247" w:rsidRPr="009E5B5E" w:rsidRDefault="00DA2247" w:rsidP="00DA2247">
      <w:pPr>
        <w:spacing w:line="360" w:lineRule="auto"/>
        <w:jc w:val="both"/>
        <w:rPr>
          <w:sz w:val="24"/>
          <w:szCs w:val="24"/>
        </w:rPr>
      </w:pPr>
    </w:p>
    <w:p w:rsidR="00DA2247" w:rsidRPr="009E5B5E" w:rsidRDefault="00DA2247" w:rsidP="00DA2247">
      <w:pPr>
        <w:spacing w:line="360" w:lineRule="auto"/>
        <w:ind w:left="709"/>
        <w:jc w:val="both"/>
        <w:rPr>
          <w:b/>
          <w:bCs/>
          <w:i/>
          <w:iCs/>
          <w:sz w:val="24"/>
          <w:szCs w:val="24"/>
        </w:rPr>
      </w:pPr>
      <w:r w:rsidRPr="009E5B5E">
        <w:rPr>
          <w:b/>
          <w:bCs/>
          <w:i/>
          <w:iCs/>
          <w:sz w:val="24"/>
          <w:szCs w:val="24"/>
        </w:rPr>
        <w:t>H4a: Shopping with friend(s) positively affects male (agency-oriented) consumers’ purchase likelihood.</w:t>
      </w:r>
    </w:p>
    <w:p w:rsidR="00DA2247" w:rsidRPr="009E5B5E" w:rsidRDefault="00DA2247" w:rsidP="00DA2247">
      <w:pPr>
        <w:spacing w:line="360" w:lineRule="auto"/>
        <w:ind w:left="709"/>
        <w:jc w:val="both"/>
        <w:rPr>
          <w:b/>
          <w:bCs/>
          <w:i/>
          <w:iCs/>
          <w:sz w:val="24"/>
          <w:szCs w:val="24"/>
        </w:rPr>
      </w:pPr>
      <w:r w:rsidRPr="009E5B5E">
        <w:rPr>
          <w:b/>
          <w:bCs/>
          <w:i/>
          <w:iCs/>
          <w:sz w:val="24"/>
          <w:szCs w:val="24"/>
        </w:rPr>
        <w:t>H4b: Shopping with friend(s) has no effect on female (communion-oriented) consumers’ purchase likelihood.</w:t>
      </w:r>
    </w:p>
    <w:p w:rsidR="00DA2247" w:rsidRPr="009E5B5E" w:rsidRDefault="00DA2247" w:rsidP="00DA2247">
      <w:pPr>
        <w:spacing w:line="360" w:lineRule="auto"/>
        <w:jc w:val="both"/>
        <w:rPr>
          <w:b/>
          <w:bCs/>
          <w:i/>
          <w:iCs/>
          <w:sz w:val="24"/>
          <w:szCs w:val="24"/>
        </w:rPr>
      </w:pPr>
    </w:p>
    <w:p w:rsidR="00DA2247" w:rsidRPr="009E5B5E" w:rsidRDefault="00DA2247" w:rsidP="00DA2247">
      <w:pPr>
        <w:spacing w:line="360" w:lineRule="auto"/>
        <w:jc w:val="both"/>
        <w:rPr>
          <w:sz w:val="24"/>
          <w:szCs w:val="24"/>
        </w:rPr>
      </w:pPr>
      <w:r w:rsidRPr="009E5B5E">
        <w:rPr>
          <w:rFonts w:cstheme="minorHAnsi"/>
          <w:sz w:val="24"/>
          <w:szCs w:val="24"/>
        </w:rPr>
        <w:t xml:space="preserve">Furthermore, based on literature review discussed above, I argue that the moderating effect of the presence of a friend on the positive effect of in-store marketing (sales promotion, display renewal, and products relocation in particular) on consumers’ purchase likelihood (which I hypothesized in H3) will, in itself, be moderated by gender (so a double moderation effect). In fact, as males (agency-orientation) typically strive for power and status when they socialize, they have tendency to project their individuality and uniqueness through their ‘getting ahead’ behavior, whereas females (communion orientation) have tendency to reflect modesty, </w:t>
      </w:r>
      <w:r w:rsidRPr="009E5B5E">
        <w:rPr>
          <w:sz w:val="24"/>
          <w:szCs w:val="24"/>
        </w:rPr>
        <w:t>social cooperativeness and concern for others</w:t>
      </w:r>
      <w:r w:rsidRPr="009E5B5E">
        <w:rPr>
          <w:rFonts w:cstheme="minorHAnsi"/>
          <w:sz w:val="24"/>
          <w:szCs w:val="24"/>
        </w:rPr>
        <w:t xml:space="preserve"> through their ‘getting along’ behavior as they naturally strive for sense of belonging and harmony (Baken, 1966). Accordingly, during a shopping trip in which friend(s) is (are) present, a male shopper is more likely than a female shopper to spend more (and thus to be influenced by stimuli triggering spending) compared to a situation when he is alone. In other words, increased spending (possibly as a reaction to marketing stimuli) represents an opportunity for ‘getting ahead’ and for self-promotion, goals particularly valued by males (Kurt et al. 2011). Consequently,</w:t>
      </w:r>
      <w:r w:rsidRPr="009E5B5E">
        <w:rPr>
          <w:sz w:val="24"/>
          <w:szCs w:val="24"/>
        </w:rPr>
        <w:t xml:space="preserve"> I expect that in-store marketing will be more influential on purchase incidence among male shoppers accompanied by friend(s) during shopping trip as they are more likely to engage in unintentional spending behavior than when they are alone. </w:t>
      </w:r>
      <w:r w:rsidRPr="009E5B5E">
        <w:rPr>
          <w:rFonts w:cstheme="minorHAnsi"/>
          <w:sz w:val="24"/>
          <w:szCs w:val="24"/>
        </w:rPr>
        <w:t xml:space="preserve">In contrast, females are more likely to control their spending in the presence of a friend as being modest is social expectation held for them. However, </w:t>
      </w:r>
      <w:r w:rsidRPr="009E5B5E">
        <w:rPr>
          <w:sz w:val="24"/>
          <w:szCs w:val="24"/>
        </w:rPr>
        <w:t xml:space="preserve">I expect that in-store marketing will not be significantly less influential on female shoppers’ purchase likelihood in presence of friend(s) than when they are by themselves, as previously discussed that not all females (communion-orientation) have tendency to perform self-neglect behavior which is reduced spending in this case (Buss 1990; Fritz and Helgeson 1998). Therefore, the impact of </w:t>
      </w:r>
      <w:r w:rsidRPr="009E5B5E">
        <w:rPr>
          <w:sz w:val="24"/>
          <w:szCs w:val="24"/>
        </w:rPr>
        <w:lastRenderedPageBreak/>
        <w:t>in-store marketing will most likely be indifferent on female shoppers’ purchase incidences with or without the presence of friend (s). Formally, the following hypotheses are anticipated:</w:t>
      </w:r>
    </w:p>
    <w:p w:rsidR="00DA2247" w:rsidRPr="009E5B5E" w:rsidRDefault="00DA2247" w:rsidP="00DA2247">
      <w:pPr>
        <w:spacing w:line="360" w:lineRule="auto"/>
        <w:ind w:left="567"/>
        <w:jc w:val="both"/>
        <w:rPr>
          <w:b/>
          <w:bCs/>
          <w:i/>
          <w:iCs/>
          <w:sz w:val="24"/>
          <w:szCs w:val="24"/>
        </w:rPr>
      </w:pPr>
    </w:p>
    <w:p w:rsidR="00DA2247" w:rsidRPr="009E5B5E" w:rsidRDefault="00DA2247" w:rsidP="00DA2247">
      <w:pPr>
        <w:spacing w:line="360" w:lineRule="auto"/>
        <w:ind w:left="567"/>
        <w:jc w:val="both"/>
        <w:rPr>
          <w:b/>
          <w:bCs/>
          <w:i/>
          <w:iCs/>
          <w:sz w:val="24"/>
          <w:szCs w:val="24"/>
        </w:rPr>
      </w:pPr>
      <w:r w:rsidRPr="009E5B5E">
        <w:rPr>
          <w:b/>
          <w:bCs/>
          <w:i/>
          <w:iCs/>
          <w:sz w:val="24"/>
          <w:szCs w:val="24"/>
        </w:rPr>
        <w:t>H5a: Shopping with friend(s) enhances the effect of in-store marketing on male (agency-oriented) consumers’ purchase likelihood.</w:t>
      </w:r>
    </w:p>
    <w:p w:rsidR="00DA2247" w:rsidRPr="009E5B5E" w:rsidRDefault="00DA2247" w:rsidP="00DA2247">
      <w:pPr>
        <w:spacing w:line="360" w:lineRule="auto"/>
        <w:ind w:left="567"/>
        <w:jc w:val="both"/>
        <w:rPr>
          <w:b/>
          <w:bCs/>
          <w:i/>
          <w:iCs/>
          <w:sz w:val="24"/>
          <w:szCs w:val="24"/>
        </w:rPr>
      </w:pPr>
      <w:r w:rsidRPr="009E5B5E">
        <w:rPr>
          <w:b/>
          <w:bCs/>
          <w:i/>
          <w:iCs/>
          <w:sz w:val="24"/>
          <w:szCs w:val="24"/>
        </w:rPr>
        <w:t>H5b:  Shopping with friend(s) has no impact on the effect of in-store marketing on female (communion-oriented) consumers’ purchase likelihood.</w:t>
      </w:r>
      <w:bookmarkStart w:id="2" w:name="_Toc268176440"/>
    </w:p>
    <w:p w:rsidR="00DA2247" w:rsidRPr="009E5B5E" w:rsidRDefault="00DA2247" w:rsidP="00DA2247">
      <w:pPr>
        <w:spacing w:line="360" w:lineRule="auto"/>
        <w:ind w:left="567"/>
        <w:jc w:val="both"/>
        <w:rPr>
          <w:b/>
          <w:bCs/>
          <w:i/>
          <w:iCs/>
          <w:sz w:val="24"/>
          <w:szCs w:val="24"/>
        </w:rPr>
      </w:pPr>
    </w:p>
    <w:p w:rsidR="00DA2247" w:rsidRPr="009E5B5E" w:rsidRDefault="00DA2247" w:rsidP="00DA2247">
      <w:pPr>
        <w:spacing w:line="360" w:lineRule="auto"/>
        <w:jc w:val="both"/>
        <w:rPr>
          <w:color w:val="000000" w:themeColor="text1"/>
          <w:sz w:val="24"/>
          <w:szCs w:val="24"/>
        </w:rPr>
      </w:pPr>
      <w:r w:rsidRPr="009E5B5E">
        <w:rPr>
          <w:sz w:val="24"/>
          <w:szCs w:val="24"/>
        </w:rPr>
        <w:t xml:space="preserve">In addition to the effects proposed in hypotheses, I also control for additional factors that may influence consumers’ purchase decisions. These control factors are </w:t>
      </w:r>
      <w:r w:rsidRPr="009E5B5E">
        <w:rPr>
          <w:i/>
          <w:iCs/>
          <w:sz w:val="24"/>
          <w:szCs w:val="24"/>
        </w:rPr>
        <w:t>dwell time, employee contact, new arrivals, consumer innovativeness, and product involvement</w:t>
      </w:r>
      <w:r w:rsidRPr="009E5B5E">
        <w:rPr>
          <w:sz w:val="24"/>
          <w:szCs w:val="24"/>
        </w:rPr>
        <w:t>.</w:t>
      </w:r>
      <w:r w:rsidRPr="009E5B5E">
        <w:rPr>
          <w:color w:val="000000" w:themeColor="text1"/>
          <w:sz w:val="24"/>
          <w:szCs w:val="24"/>
        </w:rPr>
        <w:t xml:space="preserve"> The very brief literature for each of these factors is discussed in the section of variable measurement in the following chapter.</w:t>
      </w:r>
    </w:p>
    <w:p w:rsidR="00DA2247" w:rsidRPr="009E5B5E" w:rsidRDefault="00DA2247" w:rsidP="00DA2247">
      <w:pPr>
        <w:spacing w:line="360" w:lineRule="auto"/>
        <w:jc w:val="both"/>
        <w:rPr>
          <w:sz w:val="24"/>
          <w:szCs w:val="24"/>
        </w:rPr>
      </w:pPr>
      <w:r w:rsidRPr="009E5B5E">
        <w:rPr>
          <w:b/>
          <w:bCs/>
          <w:color w:val="000000" w:themeColor="text1"/>
          <w:sz w:val="28"/>
        </w:rPr>
        <w:t>2.3.4 Overview of Hypotheses</w:t>
      </w:r>
      <w:bookmarkEnd w:id="2"/>
    </w:p>
    <w:p w:rsidR="00DA2247" w:rsidRPr="009E5B5E" w:rsidRDefault="00DA2247" w:rsidP="00DA2247">
      <w:pPr>
        <w:jc w:val="both"/>
        <w:rPr>
          <w:sz w:val="24"/>
          <w:szCs w:val="24"/>
        </w:rPr>
      </w:pPr>
      <w:r w:rsidRPr="009E5B5E">
        <w:rPr>
          <w:sz w:val="24"/>
          <w:szCs w:val="24"/>
        </w:rPr>
        <w:t>In sum, this master thesis examines the following hypotheses.</w:t>
      </w:r>
    </w:p>
    <w:p w:rsidR="00DA2247" w:rsidRPr="009E5B5E" w:rsidRDefault="00DA2247" w:rsidP="00DA2247">
      <w:pPr>
        <w:suppressAutoHyphens/>
        <w:rPr>
          <w:b/>
          <w:color w:val="000000" w:themeColor="text1"/>
          <w:sz w:val="24"/>
          <w:szCs w:val="24"/>
        </w:rPr>
      </w:pPr>
      <w:r w:rsidRPr="009E5B5E">
        <w:rPr>
          <w:color w:val="000000" w:themeColor="text1"/>
          <w:sz w:val="24"/>
          <w:szCs w:val="24"/>
        </w:rPr>
        <w:t>Table 1: Overview of hypotheses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8"/>
        <w:gridCol w:w="8567"/>
      </w:tblGrid>
      <w:tr w:rsidR="00DA2247" w:rsidRPr="009E5B5E" w:rsidTr="005A408B">
        <w:tc>
          <w:tcPr>
            <w:tcW w:w="9875" w:type="dxa"/>
            <w:gridSpan w:val="2"/>
            <w:tcBorders>
              <w:bottom w:val="single" w:sz="6" w:space="0" w:color="548DD4" w:themeColor="text2" w:themeTint="99"/>
            </w:tcBorders>
          </w:tcPr>
          <w:p w:rsidR="00DA2247" w:rsidRPr="009E5B5E" w:rsidRDefault="00DA2247" w:rsidP="005A408B">
            <w:pPr>
              <w:spacing w:line="360" w:lineRule="auto"/>
              <w:rPr>
                <w:b/>
                <w:bCs/>
                <w:sz w:val="24"/>
                <w:szCs w:val="24"/>
              </w:rPr>
            </w:pPr>
            <w:r w:rsidRPr="009E5B5E">
              <w:rPr>
                <w:b/>
                <w:bCs/>
                <w:sz w:val="24"/>
                <w:szCs w:val="24"/>
              </w:rPr>
              <w:t>In-Store Marketing and Purchase Incidence</w:t>
            </w:r>
          </w:p>
        </w:tc>
      </w:tr>
      <w:tr w:rsidR="00DA2247" w:rsidRPr="009E5B5E" w:rsidTr="005A408B">
        <w:tc>
          <w:tcPr>
            <w:tcW w:w="1308" w:type="dxa"/>
            <w:tcBorders>
              <w:top w:val="single" w:sz="6" w:space="0" w:color="548DD4" w:themeColor="text2" w:themeTint="99"/>
            </w:tcBorders>
          </w:tcPr>
          <w:p w:rsidR="00DA2247" w:rsidRPr="009E5B5E" w:rsidRDefault="00DA2247" w:rsidP="005A408B">
            <w:pPr>
              <w:spacing w:line="360" w:lineRule="auto"/>
              <w:rPr>
                <w:sz w:val="24"/>
                <w:szCs w:val="24"/>
              </w:rPr>
            </w:pPr>
          </w:p>
          <w:p w:rsidR="00DA2247" w:rsidRPr="009E5B5E" w:rsidRDefault="00DA2247" w:rsidP="005A408B">
            <w:pPr>
              <w:spacing w:line="360" w:lineRule="auto"/>
              <w:rPr>
                <w:b/>
                <w:bCs/>
                <w:color w:val="000000" w:themeColor="text1"/>
                <w:sz w:val="24"/>
                <w:szCs w:val="24"/>
              </w:rPr>
            </w:pPr>
            <w:r w:rsidRPr="009E5B5E">
              <w:rPr>
                <w:b/>
                <w:bCs/>
                <w:sz w:val="24"/>
                <w:szCs w:val="24"/>
              </w:rPr>
              <w:t>H1</w:t>
            </w:r>
          </w:p>
        </w:tc>
        <w:tc>
          <w:tcPr>
            <w:tcW w:w="8567" w:type="dxa"/>
            <w:tcBorders>
              <w:top w:val="single" w:sz="6" w:space="0" w:color="548DD4" w:themeColor="text2" w:themeTint="99"/>
            </w:tcBorders>
          </w:tcPr>
          <w:p w:rsidR="00DA2247" w:rsidRPr="009E5B5E" w:rsidRDefault="00DA2247" w:rsidP="005A408B">
            <w:pPr>
              <w:spacing w:line="360" w:lineRule="auto"/>
              <w:ind w:left="47"/>
              <w:jc w:val="both"/>
              <w:rPr>
                <w:sz w:val="24"/>
                <w:szCs w:val="24"/>
              </w:rPr>
            </w:pPr>
          </w:p>
          <w:p w:rsidR="00DA2247" w:rsidRPr="009E5B5E" w:rsidRDefault="00DA2247" w:rsidP="005A408B">
            <w:pPr>
              <w:spacing w:line="360" w:lineRule="auto"/>
              <w:ind w:left="47"/>
              <w:jc w:val="both"/>
              <w:rPr>
                <w:sz w:val="24"/>
                <w:szCs w:val="24"/>
              </w:rPr>
            </w:pPr>
            <w:r w:rsidRPr="009E5B5E">
              <w:rPr>
                <w:sz w:val="24"/>
                <w:szCs w:val="24"/>
              </w:rPr>
              <w:t>In-store marketing (sales promotion, renewal of display, and product relocation) positively affects consumers’ purchase likelihood.</w:t>
            </w:r>
          </w:p>
          <w:p w:rsidR="00DA2247" w:rsidRPr="009E5B5E" w:rsidRDefault="00DA2247" w:rsidP="005A408B">
            <w:pPr>
              <w:spacing w:line="360" w:lineRule="auto"/>
              <w:ind w:left="47"/>
              <w:rPr>
                <w:color w:val="000000" w:themeColor="text1"/>
                <w:sz w:val="24"/>
                <w:szCs w:val="24"/>
              </w:rPr>
            </w:pPr>
          </w:p>
        </w:tc>
      </w:tr>
      <w:tr w:rsidR="00DA2247" w:rsidRPr="009E5B5E" w:rsidTr="005A408B">
        <w:tc>
          <w:tcPr>
            <w:tcW w:w="9875" w:type="dxa"/>
            <w:gridSpan w:val="2"/>
            <w:tcBorders>
              <w:bottom w:val="single" w:sz="6" w:space="0" w:color="548DD4" w:themeColor="text2" w:themeTint="99"/>
            </w:tcBorders>
          </w:tcPr>
          <w:p w:rsidR="00DA2247" w:rsidRPr="009E5B5E" w:rsidRDefault="00DA2247" w:rsidP="005A408B">
            <w:pPr>
              <w:spacing w:line="360" w:lineRule="auto"/>
              <w:ind w:left="47"/>
              <w:jc w:val="both"/>
              <w:rPr>
                <w:b/>
                <w:bCs/>
                <w:sz w:val="24"/>
                <w:szCs w:val="24"/>
              </w:rPr>
            </w:pPr>
            <w:r w:rsidRPr="009E5B5E">
              <w:rPr>
                <w:rFonts w:cstheme="minorHAnsi"/>
                <w:b/>
                <w:bCs/>
                <w:sz w:val="24"/>
                <w:szCs w:val="24"/>
              </w:rPr>
              <w:t>Effects of ‘Shopping with Friends’ on Purchase Decision</w:t>
            </w:r>
          </w:p>
        </w:tc>
      </w:tr>
      <w:tr w:rsidR="00DA2247" w:rsidRPr="009E5B5E" w:rsidTr="005A408B">
        <w:tc>
          <w:tcPr>
            <w:tcW w:w="1308" w:type="dxa"/>
            <w:tcBorders>
              <w:top w:val="single" w:sz="6" w:space="0" w:color="548DD4" w:themeColor="text2" w:themeTint="99"/>
            </w:tcBorders>
          </w:tcPr>
          <w:p w:rsidR="00DA2247" w:rsidRPr="009E5B5E" w:rsidRDefault="00DA2247" w:rsidP="005A408B">
            <w:pPr>
              <w:spacing w:line="360" w:lineRule="auto"/>
              <w:rPr>
                <w:b/>
                <w:bCs/>
                <w:sz w:val="24"/>
                <w:szCs w:val="24"/>
              </w:rPr>
            </w:pPr>
          </w:p>
          <w:p w:rsidR="00DA2247" w:rsidRPr="009E5B5E" w:rsidRDefault="00DA2247" w:rsidP="005A408B">
            <w:pPr>
              <w:spacing w:line="360" w:lineRule="auto"/>
              <w:rPr>
                <w:b/>
                <w:bCs/>
                <w:sz w:val="24"/>
                <w:szCs w:val="24"/>
              </w:rPr>
            </w:pPr>
            <w:r w:rsidRPr="009E5B5E">
              <w:rPr>
                <w:b/>
                <w:bCs/>
                <w:sz w:val="24"/>
                <w:szCs w:val="24"/>
              </w:rPr>
              <w:t>H2</w:t>
            </w:r>
          </w:p>
        </w:tc>
        <w:tc>
          <w:tcPr>
            <w:tcW w:w="8567" w:type="dxa"/>
            <w:tcBorders>
              <w:top w:val="single" w:sz="6" w:space="0" w:color="548DD4" w:themeColor="text2" w:themeTint="99"/>
            </w:tcBorders>
          </w:tcPr>
          <w:p w:rsidR="00DA2247" w:rsidRPr="009E5B5E" w:rsidRDefault="00DA2247" w:rsidP="005A408B">
            <w:pPr>
              <w:spacing w:line="360" w:lineRule="auto"/>
              <w:ind w:left="47"/>
              <w:rPr>
                <w:sz w:val="24"/>
                <w:szCs w:val="24"/>
              </w:rPr>
            </w:pPr>
          </w:p>
          <w:p w:rsidR="00DA2247" w:rsidRPr="009E5B5E" w:rsidRDefault="00DA2247" w:rsidP="005A408B">
            <w:pPr>
              <w:spacing w:line="360" w:lineRule="auto"/>
              <w:ind w:left="47"/>
              <w:rPr>
                <w:sz w:val="24"/>
                <w:szCs w:val="24"/>
              </w:rPr>
            </w:pPr>
            <w:r w:rsidRPr="009E5B5E">
              <w:rPr>
                <w:sz w:val="24"/>
                <w:szCs w:val="24"/>
              </w:rPr>
              <w:t>Consumers shopping together with friend(s) have a higher purchase likelihood.</w:t>
            </w:r>
          </w:p>
          <w:p w:rsidR="00DA2247" w:rsidRPr="009E5B5E" w:rsidRDefault="00DA2247" w:rsidP="005A408B">
            <w:pPr>
              <w:spacing w:line="360" w:lineRule="auto"/>
              <w:ind w:left="47"/>
              <w:rPr>
                <w:sz w:val="24"/>
                <w:szCs w:val="24"/>
              </w:rPr>
            </w:pPr>
          </w:p>
        </w:tc>
      </w:tr>
      <w:tr w:rsidR="00DA2247" w:rsidRPr="009E5B5E" w:rsidTr="005A408B">
        <w:trPr>
          <w:trHeight w:val="828"/>
        </w:trPr>
        <w:tc>
          <w:tcPr>
            <w:tcW w:w="1308" w:type="dxa"/>
          </w:tcPr>
          <w:p w:rsidR="00DA2247" w:rsidRPr="009E5B5E" w:rsidRDefault="00DA2247" w:rsidP="005A408B">
            <w:pPr>
              <w:spacing w:line="360" w:lineRule="auto"/>
              <w:rPr>
                <w:b/>
                <w:bCs/>
                <w:sz w:val="24"/>
                <w:szCs w:val="24"/>
              </w:rPr>
            </w:pPr>
            <w:r w:rsidRPr="009E5B5E">
              <w:rPr>
                <w:b/>
                <w:bCs/>
                <w:sz w:val="24"/>
                <w:szCs w:val="24"/>
              </w:rPr>
              <w:t>H3</w:t>
            </w:r>
          </w:p>
        </w:tc>
        <w:tc>
          <w:tcPr>
            <w:tcW w:w="8567" w:type="dxa"/>
          </w:tcPr>
          <w:p w:rsidR="00DA2247" w:rsidRPr="009E5B5E" w:rsidRDefault="00DA2247" w:rsidP="005A408B">
            <w:pPr>
              <w:spacing w:line="360" w:lineRule="auto"/>
              <w:ind w:left="47"/>
              <w:jc w:val="both"/>
              <w:rPr>
                <w:sz w:val="24"/>
                <w:szCs w:val="24"/>
              </w:rPr>
            </w:pPr>
            <w:r w:rsidRPr="009E5B5E">
              <w:rPr>
                <w:sz w:val="24"/>
                <w:szCs w:val="24"/>
              </w:rPr>
              <w:t>The positive effect of in-store marketing on consumers’ purchase likelihood is stronger for consumers who are shopping with friends.</w:t>
            </w:r>
          </w:p>
        </w:tc>
      </w:tr>
      <w:tr w:rsidR="00DA2247" w:rsidRPr="009E5B5E" w:rsidTr="005A408B">
        <w:trPr>
          <w:trHeight w:val="460"/>
        </w:trPr>
        <w:tc>
          <w:tcPr>
            <w:tcW w:w="9875" w:type="dxa"/>
            <w:gridSpan w:val="2"/>
            <w:tcBorders>
              <w:bottom w:val="single" w:sz="6" w:space="0" w:color="548DD4" w:themeColor="text2" w:themeTint="99"/>
            </w:tcBorders>
          </w:tcPr>
          <w:p w:rsidR="00DA2247" w:rsidRPr="009E5B5E" w:rsidRDefault="00DA2247" w:rsidP="005A408B">
            <w:pPr>
              <w:spacing w:line="360" w:lineRule="auto"/>
              <w:ind w:left="47"/>
              <w:jc w:val="both"/>
              <w:rPr>
                <w:sz w:val="24"/>
                <w:szCs w:val="24"/>
              </w:rPr>
            </w:pPr>
            <w:r w:rsidRPr="009E5B5E">
              <w:rPr>
                <w:rFonts w:cstheme="minorHAnsi"/>
                <w:b/>
                <w:bCs/>
                <w:sz w:val="24"/>
                <w:szCs w:val="24"/>
              </w:rPr>
              <w:t>Effects of ‘Shopping with Friends’ regarding Gender on Purchase Decision</w:t>
            </w:r>
          </w:p>
        </w:tc>
      </w:tr>
      <w:tr w:rsidR="00DA2247" w:rsidRPr="009E5B5E" w:rsidTr="005A408B">
        <w:tc>
          <w:tcPr>
            <w:tcW w:w="1308" w:type="dxa"/>
            <w:tcBorders>
              <w:top w:val="single" w:sz="6" w:space="0" w:color="548DD4" w:themeColor="text2" w:themeTint="99"/>
            </w:tcBorders>
          </w:tcPr>
          <w:p w:rsidR="00DA2247" w:rsidRPr="009E5B5E" w:rsidRDefault="00DA2247" w:rsidP="005A408B">
            <w:pPr>
              <w:spacing w:line="360" w:lineRule="auto"/>
              <w:rPr>
                <w:b/>
                <w:bCs/>
                <w:sz w:val="24"/>
                <w:szCs w:val="24"/>
              </w:rPr>
            </w:pPr>
          </w:p>
          <w:p w:rsidR="00DA2247" w:rsidRPr="009E5B5E" w:rsidRDefault="00DA2247" w:rsidP="005A408B">
            <w:pPr>
              <w:spacing w:line="360" w:lineRule="auto"/>
              <w:rPr>
                <w:b/>
                <w:bCs/>
                <w:color w:val="000000" w:themeColor="text1"/>
                <w:sz w:val="24"/>
                <w:szCs w:val="24"/>
              </w:rPr>
            </w:pPr>
            <w:r w:rsidRPr="009E5B5E">
              <w:rPr>
                <w:b/>
                <w:bCs/>
                <w:sz w:val="24"/>
                <w:szCs w:val="24"/>
              </w:rPr>
              <w:t>H4a</w:t>
            </w:r>
          </w:p>
        </w:tc>
        <w:tc>
          <w:tcPr>
            <w:tcW w:w="8567" w:type="dxa"/>
            <w:tcBorders>
              <w:top w:val="single" w:sz="6" w:space="0" w:color="548DD4" w:themeColor="text2" w:themeTint="99"/>
            </w:tcBorders>
          </w:tcPr>
          <w:p w:rsidR="00DA2247" w:rsidRPr="009E5B5E" w:rsidRDefault="00DA2247" w:rsidP="005A408B">
            <w:pPr>
              <w:spacing w:line="360" w:lineRule="auto"/>
              <w:ind w:left="47"/>
              <w:jc w:val="both"/>
              <w:rPr>
                <w:sz w:val="24"/>
                <w:szCs w:val="24"/>
              </w:rPr>
            </w:pPr>
          </w:p>
          <w:p w:rsidR="00DA2247" w:rsidRPr="009E5B5E" w:rsidRDefault="00DA2247" w:rsidP="005A408B">
            <w:pPr>
              <w:spacing w:line="360" w:lineRule="auto"/>
              <w:ind w:left="47"/>
              <w:jc w:val="both"/>
              <w:rPr>
                <w:sz w:val="24"/>
                <w:szCs w:val="24"/>
              </w:rPr>
            </w:pPr>
            <w:r w:rsidRPr="009E5B5E">
              <w:rPr>
                <w:sz w:val="24"/>
                <w:szCs w:val="24"/>
              </w:rPr>
              <w:t>Shopping with friend(s) positively affects male (agency-oriented) consumers’ purchase likelihood.</w:t>
            </w:r>
          </w:p>
          <w:p w:rsidR="00DA2247" w:rsidRPr="009E5B5E" w:rsidRDefault="00DA2247" w:rsidP="005A408B">
            <w:pPr>
              <w:spacing w:line="360" w:lineRule="auto"/>
              <w:ind w:left="47"/>
              <w:jc w:val="both"/>
              <w:rPr>
                <w:color w:val="000000" w:themeColor="text1"/>
                <w:sz w:val="16"/>
                <w:szCs w:val="16"/>
              </w:rPr>
            </w:pPr>
          </w:p>
        </w:tc>
      </w:tr>
      <w:tr w:rsidR="00DA2247" w:rsidRPr="009E5B5E" w:rsidTr="005A408B">
        <w:tc>
          <w:tcPr>
            <w:tcW w:w="1308" w:type="dxa"/>
          </w:tcPr>
          <w:p w:rsidR="00DA2247" w:rsidRPr="009E5B5E" w:rsidRDefault="00DA2247" w:rsidP="005A408B">
            <w:pPr>
              <w:spacing w:line="360" w:lineRule="auto"/>
              <w:rPr>
                <w:b/>
                <w:bCs/>
                <w:color w:val="000000" w:themeColor="text1"/>
                <w:sz w:val="24"/>
                <w:szCs w:val="24"/>
              </w:rPr>
            </w:pPr>
            <w:r w:rsidRPr="009E5B5E">
              <w:rPr>
                <w:b/>
                <w:bCs/>
                <w:sz w:val="24"/>
                <w:szCs w:val="24"/>
              </w:rPr>
              <w:t>H4b</w:t>
            </w:r>
          </w:p>
        </w:tc>
        <w:tc>
          <w:tcPr>
            <w:tcW w:w="8567" w:type="dxa"/>
          </w:tcPr>
          <w:p w:rsidR="00DA2247" w:rsidRPr="009E5B5E" w:rsidRDefault="00DA2247" w:rsidP="005A408B">
            <w:pPr>
              <w:spacing w:line="360" w:lineRule="auto"/>
              <w:ind w:left="47"/>
              <w:jc w:val="both"/>
              <w:rPr>
                <w:sz w:val="24"/>
                <w:szCs w:val="24"/>
              </w:rPr>
            </w:pPr>
            <w:r w:rsidRPr="009E5B5E">
              <w:rPr>
                <w:sz w:val="24"/>
                <w:szCs w:val="24"/>
              </w:rPr>
              <w:t>Shopping with friend(s) has no effect on female (communion-oriented) consumers’ purchase likelihood.</w:t>
            </w:r>
          </w:p>
          <w:p w:rsidR="00DA2247" w:rsidRPr="009E5B5E" w:rsidRDefault="00DA2247" w:rsidP="005A408B">
            <w:pPr>
              <w:spacing w:line="360" w:lineRule="auto"/>
              <w:ind w:left="47"/>
              <w:rPr>
                <w:color w:val="000000" w:themeColor="text1"/>
                <w:sz w:val="16"/>
                <w:szCs w:val="16"/>
              </w:rPr>
            </w:pPr>
          </w:p>
        </w:tc>
      </w:tr>
      <w:tr w:rsidR="00DA2247" w:rsidRPr="009E5B5E" w:rsidTr="005A408B">
        <w:tc>
          <w:tcPr>
            <w:tcW w:w="1308" w:type="dxa"/>
          </w:tcPr>
          <w:p w:rsidR="00DA2247" w:rsidRPr="009E5B5E" w:rsidRDefault="00DA2247" w:rsidP="005A408B">
            <w:pPr>
              <w:spacing w:line="360" w:lineRule="auto"/>
              <w:rPr>
                <w:b/>
                <w:bCs/>
                <w:sz w:val="16"/>
                <w:szCs w:val="16"/>
              </w:rPr>
            </w:pPr>
          </w:p>
          <w:p w:rsidR="00DA2247" w:rsidRPr="009E5B5E" w:rsidRDefault="00DA2247" w:rsidP="005A408B">
            <w:pPr>
              <w:spacing w:line="360" w:lineRule="auto"/>
              <w:rPr>
                <w:b/>
                <w:bCs/>
                <w:color w:val="000000" w:themeColor="text1"/>
                <w:sz w:val="24"/>
                <w:szCs w:val="24"/>
              </w:rPr>
            </w:pPr>
            <w:r w:rsidRPr="009E5B5E">
              <w:rPr>
                <w:b/>
                <w:bCs/>
                <w:sz w:val="24"/>
                <w:szCs w:val="24"/>
              </w:rPr>
              <w:t>H5a</w:t>
            </w:r>
          </w:p>
        </w:tc>
        <w:tc>
          <w:tcPr>
            <w:tcW w:w="8567" w:type="dxa"/>
          </w:tcPr>
          <w:p w:rsidR="00DA2247" w:rsidRPr="009E5B5E" w:rsidRDefault="00DA2247" w:rsidP="005A408B">
            <w:pPr>
              <w:spacing w:line="360" w:lineRule="auto"/>
              <w:ind w:left="47"/>
              <w:jc w:val="both"/>
              <w:rPr>
                <w:sz w:val="24"/>
                <w:szCs w:val="24"/>
              </w:rPr>
            </w:pPr>
            <w:r w:rsidRPr="009E5B5E">
              <w:rPr>
                <w:sz w:val="24"/>
                <w:szCs w:val="24"/>
              </w:rPr>
              <w:t>Shopping with friend(s) enhances the effect of in-store marketing on male (agency-oriented) consumers’ purchase likelihood.</w:t>
            </w:r>
          </w:p>
          <w:p w:rsidR="00DA2247" w:rsidRPr="009E5B5E" w:rsidRDefault="00DA2247" w:rsidP="005A408B">
            <w:pPr>
              <w:spacing w:line="360" w:lineRule="auto"/>
              <w:ind w:left="47"/>
              <w:jc w:val="both"/>
              <w:rPr>
                <w:color w:val="000000" w:themeColor="text1"/>
                <w:sz w:val="16"/>
                <w:szCs w:val="16"/>
              </w:rPr>
            </w:pPr>
          </w:p>
        </w:tc>
      </w:tr>
      <w:tr w:rsidR="00DA2247" w:rsidRPr="009E5B5E" w:rsidTr="005A408B">
        <w:tc>
          <w:tcPr>
            <w:tcW w:w="1308" w:type="dxa"/>
          </w:tcPr>
          <w:p w:rsidR="00DA2247" w:rsidRPr="009E5B5E" w:rsidRDefault="00DA2247" w:rsidP="005A408B">
            <w:pPr>
              <w:spacing w:line="360" w:lineRule="auto"/>
              <w:rPr>
                <w:b/>
                <w:bCs/>
                <w:sz w:val="16"/>
                <w:szCs w:val="16"/>
              </w:rPr>
            </w:pPr>
          </w:p>
          <w:p w:rsidR="00DA2247" w:rsidRPr="009E5B5E" w:rsidRDefault="00DA2247" w:rsidP="005A408B">
            <w:pPr>
              <w:spacing w:line="360" w:lineRule="auto"/>
              <w:rPr>
                <w:b/>
                <w:bCs/>
                <w:color w:val="000000" w:themeColor="text1"/>
                <w:sz w:val="24"/>
                <w:szCs w:val="24"/>
              </w:rPr>
            </w:pPr>
            <w:r w:rsidRPr="009E5B5E">
              <w:rPr>
                <w:b/>
                <w:bCs/>
                <w:sz w:val="24"/>
                <w:szCs w:val="24"/>
              </w:rPr>
              <w:t>H5b</w:t>
            </w:r>
          </w:p>
        </w:tc>
        <w:tc>
          <w:tcPr>
            <w:tcW w:w="8567" w:type="dxa"/>
          </w:tcPr>
          <w:p w:rsidR="00DA2247" w:rsidRPr="009E5B5E" w:rsidRDefault="00DA2247" w:rsidP="005A408B">
            <w:pPr>
              <w:spacing w:line="360" w:lineRule="auto"/>
              <w:ind w:left="47"/>
              <w:rPr>
                <w:sz w:val="16"/>
                <w:szCs w:val="16"/>
              </w:rPr>
            </w:pPr>
          </w:p>
          <w:p w:rsidR="00DA2247" w:rsidRPr="009E5B5E" w:rsidRDefault="00DA2247" w:rsidP="005A408B">
            <w:pPr>
              <w:spacing w:line="360" w:lineRule="auto"/>
              <w:ind w:left="47"/>
              <w:rPr>
                <w:color w:val="000000" w:themeColor="text1"/>
                <w:sz w:val="24"/>
                <w:szCs w:val="24"/>
              </w:rPr>
            </w:pPr>
            <w:r w:rsidRPr="009E5B5E">
              <w:rPr>
                <w:sz w:val="24"/>
                <w:szCs w:val="24"/>
              </w:rPr>
              <w:t>Shopping with friend(s) has no impact on the effect of in-store marketing on female (communion-oriented) consumers’ purchase likelihood.</w:t>
            </w:r>
          </w:p>
        </w:tc>
      </w:tr>
    </w:tbl>
    <w:p w:rsidR="00DA2247" w:rsidRPr="009E5B5E" w:rsidRDefault="00DA2247" w:rsidP="00DA2247">
      <w:pPr>
        <w:suppressAutoHyphens/>
        <w:rPr>
          <w:color w:val="000000" w:themeColor="text1"/>
          <w:sz w:val="24"/>
          <w:szCs w:val="24"/>
        </w:rPr>
      </w:pPr>
    </w:p>
    <w:p w:rsidR="00DA2247" w:rsidRPr="009E5B5E" w:rsidRDefault="00DA2247" w:rsidP="00DA2247">
      <w:pPr>
        <w:spacing w:line="360" w:lineRule="auto"/>
        <w:rPr>
          <w:color w:val="000000" w:themeColor="text1"/>
          <w:sz w:val="36"/>
          <w:szCs w:val="36"/>
        </w:rPr>
      </w:pPr>
      <w:r w:rsidRPr="009E5B5E">
        <w:rPr>
          <w:color w:val="000000" w:themeColor="text1"/>
          <w:sz w:val="24"/>
          <w:szCs w:val="24"/>
        </w:rPr>
        <w:br w:type="page"/>
      </w:r>
      <w:r w:rsidRPr="009E5B5E">
        <w:rPr>
          <w:b/>
          <w:bCs/>
          <w:sz w:val="36"/>
          <w:szCs w:val="36"/>
        </w:rPr>
        <w:lastRenderedPageBreak/>
        <w:t>3</w:t>
      </w:r>
      <w:r w:rsidRPr="009E5B5E">
        <w:rPr>
          <w:b/>
          <w:bCs/>
          <w:sz w:val="36"/>
          <w:szCs w:val="36"/>
        </w:rPr>
        <w:tab/>
        <w:t>DATA AND METHODOLOGY</w:t>
      </w:r>
    </w:p>
    <w:p w:rsidR="00DA2247" w:rsidRPr="009E5B5E" w:rsidRDefault="00AD7D97" w:rsidP="00DA2247">
      <w:pPr>
        <w:spacing w:line="360" w:lineRule="auto"/>
        <w:jc w:val="both"/>
        <w:rPr>
          <w:b/>
          <w:bCs/>
          <w:sz w:val="32"/>
          <w:szCs w:val="32"/>
        </w:rPr>
      </w:pPr>
      <w:r>
        <w:rPr>
          <w:b/>
          <w:bCs/>
          <w:noProof/>
          <w:sz w:val="32"/>
          <w:szCs w:val="32"/>
          <w:lang w:bidi="th-TH"/>
        </w:rPr>
        <w:pict>
          <v:shape id="_x0000_s1063" type="#_x0000_t32" style="position:absolute;left:0;text-align:left;margin-left:.65pt;margin-top:-15.6pt;width:487.1pt;height:.05pt;z-index:251699200" o:connectortype="straight" strokeweight="1.75pt"/>
        </w:pict>
      </w:r>
      <w:r w:rsidR="00DA2247" w:rsidRPr="009E5B5E">
        <w:rPr>
          <w:b/>
          <w:bCs/>
          <w:sz w:val="32"/>
          <w:szCs w:val="32"/>
        </w:rPr>
        <w:t>3.1 Data Description</w:t>
      </w:r>
    </w:p>
    <w:p w:rsidR="00DA2247" w:rsidRPr="009E5B5E" w:rsidRDefault="00DA2247" w:rsidP="00DA2247">
      <w:pPr>
        <w:spacing w:line="360" w:lineRule="auto"/>
        <w:jc w:val="both"/>
        <w:rPr>
          <w:sz w:val="24"/>
          <w:szCs w:val="24"/>
        </w:rPr>
      </w:pPr>
      <w:r w:rsidRPr="009E5B5E">
        <w:rPr>
          <w:sz w:val="24"/>
          <w:szCs w:val="24"/>
        </w:rPr>
        <w:t xml:space="preserve">Actual in-store behavioral data has been recently introduced to consumer behavior study as it enables researchers to </w:t>
      </w:r>
      <w:r w:rsidRPr="009E5B5E">
        <w:rPr>
          <w:rFonts w:cstheme="minorHAnsi"/>
          <w:sz w:val="24"/>
          <w:szCs w:val="24"/>
        </w:rPr>
        <w:t>track actual shopper travel behavior and not self-stated such behavior (Grewal and Levy, 2007).</w:t>
      </w:r>
      <w:r w:rsidRPr="009E5B5E">
        <w:rPr>
          <w:sz w:val="24"/>
          <w:szCs w:val="24"/>
        </w:rPr>
        <w:t xml:space="preserve"> This master thesis is one of the very first researches that study social influence on purchase behavior by making use of shopping paths data extracted from consumers’ real time in-store behaviors. </w:t>
      </w:r>
    </w:p>
    <w:p w:rsidR="00DA2247" w:rsidRPr="009E5B5E" w:rsidRDefault="00DA2247" w:rsidP="00DA2247">
      <w:pPr>
        <w:spacing w:line="360" w:lineRule="auto"/>
        <w:jc w:val="both"/>
        <w:rPr>
          <w:rFonts w:cstheme="minorHAnsi"/>
          <w:sz w:val="24"/>
          <w:szCs w:val="24"/>
        </w:rPr>
      </w:pPr>
      <w:r w:rsidRPr="009E5B5E">
        <w:rPr>
          <w:rFonts w:cstheme="minorHAnsi"/>
          <w:sz w:val="24"/>
          <w:szCs w:val="24"/>
        </w:rPr>
        <w:t xml:space="preserve">In this study, actual shopper in-store behavioral data is collected using BIPS technology developed by </w:t>
      </w:r>
      <w:r w:rsidRPr="009E5B5E">
        <w:rPr>
          <w:sz w:val="24"/>
          <w:szCs w:val="24"/>
        </w:rPr>
        <w:t>Around Knowledge (AK); an award-winning</w:t>
      </w:r>
      <w:r w:rsidRPr="009E5B5E">
        <w:rPr>
          <w:rStyle w:val="FootnoteReference"/>
          <w:sz w:val="24"/>
          <w:szCs w:val="24"/>
        </w:rPr>
        <w:footnoteReference w:id="4"/>
      </w:r>
      <w:r w:rsidRPr="009E5B5E">
        <w:rPr>
          <w:sz w:val="24"/>
          <w:szCs w:val="24"/>
        </w:rPr>
        <w:t xml:space="preserve"> company </w:t>
      </w:r>
      <w:r w:rsidRPr="009E5B5E">
        <w:rPr>
          <w:rFonts w:cstheme="minorHAnsi"/>
          <w:sz w:val="24"/>
          <w:szCs w:val="24"/>
        </w:rPr>
        <w:t>specialized in business analytics using mobile application and wireless technology to track shoppers’ routes in real time. This Portuguese start-up company was founded by three university researchers with a goal to combine the Academic world with the Industry.</w:t>
      </w:r>
      <w:r w:rsidRPr="009E5B5E">
        <w:rPr>
          <w:sz w:val="24"/>
          <w:szCs w:val="24"/>
        </w:rPr>
        <w:t xml:space="preserve"> AK developed a (now patented) technology entitled BIPS</w:t>
      </w:r>
      <w:r w:rsidRPr="009E5B5E">
        <w:rPr>
          <w:rFonts w:cs="Arial"/>
          <w:color w:val="000000"/>
          <w:sz w:val="24"/>
          <w:szCs w:val="24"/>
          <w:shd w:val="clear" w:color="auto" w:fill="FFFFFF"/>
        </w:rPr>
        <w:t>, a project that has received wide financial support from investors in Portugal and in the U.S. In 2010 BIPS was the winning project at the ISCTE-IUL MIT Portugal Venture Competition</w:t>
      </w:r>
      <w:r w:rsidRPr="009E5B5E">
        <w:rPr>
          <w:sz w:val="24"/>
          <w:szCs w:val="24"/>
        </w:rPr>
        <w:t xml:space="preserve">, due to its innovative technology capable of </w:t>
      </w:r>
      <w:r w:rsidRPr="009E5B5E">
        <w:rPr>
          <w:rFonts w:cs="Arial"/>
          <w:color w:val="000000"/>
          <w:sz w:val="24"/>
          <w:szCs w:val="24"/>
          <w:shd w:val="clear" w:color="auto" w:fill="FFFFFF"/>
        </w:rPr>
        <w:t xml:space="preserve">recording the in-store shoppers’ paths and behavior in real time. The technology relies on a passive indoor positioning system which captures </w:t>
      </w:r>
      <w:r w:rsidRPr="009E5B5E">
        <w:rPr>
          <w:rFonts w:cstheme="minorHAnsi"/>
          <w:sz w:val="24"/>
          <w:szCs w:val="24"/>
        </w:rPr>
        <w:t>radio frequencies</w:t>
      </w:r>
      <w:r w:rsidRPr="009E5B5E">
        <w:rPr>
          <w:rFonts w:cs="Arial"/>
          <w:color w:val="000000"/>
          <w:sz w:val="24"/>
          <w:szCs w:val="24"/>
          <w:shd w:val="clear" w:color="auto" w:fill="FFFFFF"/>
        </w:rPr>
        <w:t xml:space="preserve"> emitted by shoppers’ mobile phones, namely </w:t>
      </w:r>
      <w:r w:rsidRPr="009E5B5E">
        <w:rPr>
          <w:rFonts w:cstheme="minorHAnsi"/>
          <w:sz w:val="24"/>
          <w:szCs w:val="24"/>
        </w:rPr>
        <w:t>GSM, Bluetooth, Wi-Fi, and CDMA,</w:t>
      </w:r>
      <w:r w:rsidRPr="009E5B5E">
        <w:rPr>
          <w:rFonts w:cs="Arial"/>
          <w:color w:val="000000"/>
          <w:sz w:val="24"/>
          <w:szCs w:val="24"/>
          <w:shd w:val="clear" w:color="auto" w:fill="FFFFFF"/>
        </w:rPr>
        <w:t xml:space="preserve"> allowing it to very accurately store the shopper’s location, inside the store, at 4 second intervals while preserving shopper privacy. </w:t>
      </w:r>
      <w:r w:rsidRPr="009E5B5E">
        <w:rPr>
          <w:sz w:val="24"/>
          <w:szCs w:val="24"/>
        </w:rPr>
        <w:t>In particular, the BIPS technology allows</w:t>
      </w:r>
      <w:r w:rsidRPr="009E5B5E">
        <w:rPr>
          <w:rFonts w:cstheme="minorHAnsi"/>
          <w:sz w:val="24"/>
          <w:szCs w:val="24"/>
        </w:rPr>
        <w:t xml:space="preserve"> storage of in-store behavioral metrics, such as</w:t>
      </w:r>
      <w:r w:rsidRPr="009E5B5E">
        <w:rPr>
          <w:sz w:val="24"/>
          <w:szCs w:val="24"/>
        </w:rPr>
        <w:t xml:space="preserve"> visit frequency, number of visitors, dwell time and visit duration. Given that these metrics are collected in real time with </w:t>
      </w:r>
      <w:r w:rsidRPr="009E5B5E">
        <w:rPr>
          <w:rFonts w:cstheme="minorHAnsi"/>
          <w:sz w:val="24"/>
          <w:szCs w:val="24"/>
        </w:rPr>
        <w:t xml:space="preserve">a high precision, they can be used to provide useful in-store business analytic, for instance, density maps, shoppers’ routes, and most visited spaces. </w:t>
      </w:r>
    </w:p>
    <w:p w:rsidR="00DA2247" w:rsidRPr="009E5B5E" w:rsidRDefault="00DA2247" w:rsidP="00DA2247">
      <w:pPr>
        <w:spacing w:line="360" w:lineRule="auto"/>
        <w:jc w:val="both"/>
        <w:rPr>
          <w:rFonts w:cstheme="minorHAnsi"/>
          <w:b/>
          <w:bCs/>
          <w:sz w:val="28"/>
        </w:rPr>
      </w:pPr>
      <w:r w:rsidRPr="009E5B5E">
        <w:rPr>
          <w:rFonts w:cstheme="minorHAnsi"/>
          <w:sz w:val="24"/>
          <w:szCs w:val="24"/>
        </w:rPr>
        <w:t xml:space="preserve">The main advantage of BIPS over one of the most renowned actual in-store behavior tracking systems, namely RFID- a wireless system that tracks radio-frequency emitted from a tag attached to an object like shopping cart or basket in order to record consumers’ in-store behaviors, is that unlike a shopping cart which can be shared by a group of shoppers, radio frequency tracked by BIPS technology was sent out by an personal item like mobile phone of </w:t>
      </w:r>
      <w:r w:rsidRPr="009E5B5E">
        <w:rPr>
          <w:rFonts w:cstheme="minorHAnsi"/>
          <w:sz w:val="24"/>
          <w:szCs w:val="24"/>
        </w:rPr>
        <w:lastRenderedPageBreak/>
        <w:t>each individual shopper. Therefore, the data recorded using BIPS provide the most accurate in-store behavior of each individual customer. Furthermore, this technology enables us to track shopper behavior in retail stores where shopping carts and baskets are not available.</w:t>
      </w:r>
    </w:p>
    <w:p w:rsidR="00DA2247" w:rsidRPr="009E5B5E" w:rsidRDefault="00DA2247" w:rsidP="00DA2247">
      <w:pPr>
        <w:spacing w:line="360" w:lineRule="auto"/>
        <w:jc w:val="both"/>
        <w:rPr>
          <w:rFonts w:cstheme="minorHAnsi"/>
          <w:b/>
          <w:bCs/>
          <w:sz w:val="32"/>
          <w:szCs w:val="32"/>
        </w:rPr>
      </w:pPr>
      <w:r w:rsidRPr="009E5B5E">
        <w:rPr>
          <w:rFonts w:cstheme="minorHAnsi"/>
          <w:b/>
          <w:bCs/>
          <w:sz w:val="32"/>
          <w:szCs w:val="32"/>
        </w:rPr>
        <w:t>3.2 Data Collection</w:t>
      </w:r>
    </w:p>
    <w:p w:rsidR="00DA2247" w:rsidRPr="009E5B5E" w:rsidRDefault="00DA2247" w:rsidP="00DA2247">
      <w:pPr>
        <w:spacing w:after="0" w:line="360" w:lineRule="auto"/>
        <w:jc w:val="both"/>
        <w:rPr>
          <w:rFonts w:cstheme="minorHAnsi"/>
          <w:color w:val="000000" w:themeColor="text1"/>
          <w:sz w:val="24"/>
          <w:szCs w:val="24"/>
        </w:rPr>
      </w:pPr>
      <w:r w:rsidRPr="009E5B5E">
        <w:rPr>
          <w:rFonts w:cstheme="minorHAnsi"/>
          <w:sz w:val="24"/>
          <w:szCs w:val="24"/>
        </w:rPr>
        <w:t xml:space="preserve">The set of data for this study was collected in a clothing store located in Braga, North Portugal during </w:t>
      </w:r>
      <w:r w:rsidRPr="009E5B5E">
        <w:rPr>
          <w:sz w:val="24"/>
          <w:szCs w:val="24"/>
        </w:rPr>
        <w:t>December 14 to December 20, 2011 and January 2 to January 16, 2012</w:t>
      </w:r>
      <w:r w:rsidRPr="009E5B5E">
        <w:rPr>
          <w:rFonts w:cstheme="minorHAnsi"/>
          <w:sz w:val="24"/>
          <w:szCs w:val="24"/>
        </w:rPr>
        <w:t xml:space="preserve">. For three weeks, a BIPS passive indoor position system with smart sensors was installed within the store to track radio frequency emitted from each individual customer’s mobile phone and record the shopping pattern of each customer in real time throughout his or her visit. For the analysis purpose, the store is divided into 8 regions as illustrate in </w:t>
      </w:r>
      <w:r w:rsidRPr="009E5B5E">
        <w:rPr>
          <w:rFonts w:cstheme="minorHAnsi"/>
          <w:b/>
          <w:color w:val="000000" w:themeColor="text1"/>
          <w:sz w:val="24"/>
          <w:szCs w:val="24"/>
        </w:rPr>
        <w:t>figure 2.</w:t>
      </w:r>
      <w:r w:rsidRPr="009E5B5E">
        <w:rPr>
          <w:rFonts w:cstheme="minorHAnsi"/>
          <w:color w:val="000000" w:themeColor="text1"/>
          <w:sz w:val="24"/>
          <w:szCs w:val="24"/>
        </w:rPr>
        <w:t xml:space="preserve"> </w:t>
      </w:r>
    </w:p>
    <w:p w:rsidR="00DA2247" w:rsidRPr="009E5B5E" w:rsidRDefault="00DA2247" w:rsidP="00DA2247">
      <w:pPr>
        <w:spacing w:after="0" w:line="360" w:lineRule="auto"/>
        <w:jc w:val="both"/>
        <w:rPr>
          <w:rFonts w:cstheme="minorHAnsi"/>
          <w:color w:val="000000" w:themeColor="text1"/>
          <w:sz w:val="24"/>
          <w:szCs w:val="24"/>
        </w:rPr>
      </w:pPr>
    </w:p>
    <w:p w:rsidR="00DA2247" w:rsidRPr="009E5B5E" w:rsidRDefault="00DA2247" w:rsidP="00DA2247">
      <w:pPr>
        <w:spacing w:after="0" w:line="360" w:lineRule="auto"/>
        <w:jc w:val="both"/>
        <w:rPr>
          <w:rFonts w:cstheme="minorHAnsi"/>
          <w:b/>
          <w:color w:val="000000" w:themeColor="text1"/>
          <w:sz w:val="24"/>
          <w:szCs w:val="24"/>
        </w:rPr>
      </w:pPr>
      <w:r w:rsidRPr="009E5B5E">
        <w:rPr>
          <w:rFonts w:cstheme="minorHAnsi"/>
          <w:color w:val="000000" w:themeColor="text1"/>
          <w:sz w:val="24"/>
          <w:szCs w:val="24"/>
        </w:rPr>
        <w:t>Figure 2: Store division</w:t>
      </w:r>
      <w:r w:rsidRPr="009E5B5E">
        <w:rPr>
          <w:rFonts w:cstheme="minorHAnsi"/>
          <w:b/>
          <w:bCs/>
          <w:color w:val="000000" w:themeColor="text1"/>
          <w:sz w:val="24"/>
          <w:szCs w:val="24"/>
        </w:rPr>
        <w:t xml:space="preserve"> </w:t>
      </w:r>
      <w:r w:rsidRPr="009E5B5E">
        <w:rPr>
          <w:rFonts w:cstheme="minorHAnsi"/>
          <w:color w:val="000000" w:themeColor="text1"/>
          <w:sz w:val="24"/>
          <w:szCs w:val="24"/>
        </w:rPr>
        <w:t>map</w:t>
      </w:r>
    </w:p>
    <w:p w:rsidR="00DA2247" w:rsidRPr="009E5B5E" w:rsidRDefault="00DA2247" w:rsidP="00DA2247">
      <w:pPr>
        <w:keepNext/>
        <w:spacing w:after="0" w:line="360" w:lineRule="auto"/>
        <w:jc w:val="both"/>
        <w:rPr>
          <w:rFonts w:cstheme="minorHAnsi"/>
          <w:color w:val="000000" w:themeColor="text1"/>
          <w:sz w:val="24"/>
          <w:szCs w:val="24"/>
        </w:rPr>
      </w:pPr>
      <w:r w:rsidRPr="009E5B5E">
        <w:rPr>
          <w:rFonts w:cstheme="minorHAnsi"/>
          <w:noProof/>
          <w:color w:val="000000" w:themeColor="text1"/>
          <w:sz w:val="24"/>
          <w:szCs w:val="24"/>
          <w:lang w:bidi="ar-SA"/>
        </w:rPr>
        <w:drawing>
          <wp:inline distT="0" distB="0" distL="0" distR="0">
            <wp:extent cx="6083556" cy="4698124"/>
            <wp:effectExtent l="19050" t="0" r="0" b="0"/>
            <wp:docPr id="7" name="Afbeelding 1" descr="Salsa store div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sa store divisions.jpg"/>
                    <pic:cNvPicPr/>
                  </pic:nvPicPr>
                  <pic:blipFill>
                    <a:blip r:embed="rId10" cstate="print"/>
                    <a:stretch>
                      <a:fillRect/>
                    </a:stretch>
                  </pic:blipFill>
                  <pic:spPr>
                    <a:xfrm>
                      <a:off x="0" y="0"/>
                      <a:ext cx="6095290" cy="4707185"/>
                    </a:xfrm>
                    <a:prstGeom prst="rect">
                      <a:avLst/>
                    </a:prstGeom>
                  </pic:spPr>
                </pic:pic>
              </a:graphicData>
            </a:graphic>
          </wp:inline>
        </w:drawing>
      </w:r>
    </w:p>
    <w:p w:rsidR="00DA2247" w:rsidRPr="009E5B5E" w:rsidRDefault="00DA2247" w:rsidP="00DA2247">
      <w:pPr>
        <w:spacing w:after="0" w:line="360" w:lineRule="auto"/>
        <w:jc w:val="both"/>
        <w:rPr>
          <w:rFonts w:cstheme="minorHAnsi"/>
          <w:sz w:val="24"/>
          <w:szCs w:val="24"/>
        </w:rPr>
      </w:pPr>
    </w:p>
    <w:p w:rsidR="00DA2247" w:rsidRPr="009E5B5E" w:rsidRDefault="00DA2247" w:rsidP="00DA2247">
      <w:pPr>
        <w:spacing w:after="0" w:line="360" w:lineRule="auto"/>
        <w:jc w:val="both"/>
        <w:rPr>
          <w:rFonts w:cstheme="minorHAnsi"/>
          <w:sz w:val="24"/>
          <w:szCs w:val="24"/>
        </w:rPr>
      </w:pPr>
      <w:r w:rsidRPr="009E5B5E">
        <w:rPr>
          <w:rFonts w:cstheme="minorHAnsi"/>
          <w:sz w:val="24"/>
          <w:szCs w:val="24"/>
        </w:rPr>
        <w:lastRenderedPageBreak/>
        <w:t xml:space="preserve">With BIPS technology, the data from 12,115 customers were collected. Consequently, the raw data was aggregated, and 23 variables were derived for each customer as depicted in table 2. </w:t>
      </w:r>
    </w:p>
    <w:p w:rsidR="00DA2247" w:rsidRPr="009E5B5E" w:rsidRDefault="00DA2247" w:rsidP="00DA2247">
      <w:pPr>
        <w:jc w:val="both"/>
        <w:rPr>
          <w:sz w:val="24"/>
          <w:szCs w:val="24"/>
        </w:rPr>
      </w:pPr>
    </w:p>
    <w:p w:rsidR="00DA2247" w:rsidRPr="009E5B5E" w:rsidRDefault="00DA2247" w:rsidP="00DA2247">
      <w:pPr>
        <w:jc w:val="both"/>
        <w:rPr>
          <w:rFonts w:cstheme="minorBidi"/>
          <w:sz w:val="24"/>
          <w:szCs w:val="24"/>
        </w:rPr>
      </w:pPr>
      <w:r w:rsidRPr="009E5B5E">
        <w:rPr>
          <w:sz w:val="24"/>
          <w:szCs w:val="24"/>
        </w:rPr>
        <w:t xml:space="preserve">Table 2 </w:t>
      </w:r>
      <w:r w:rsidRPr="009E5B5E">
        <w:t xml:space="preserve"> </w:t>
      </w:r>
      <w:r w:rsidRPr="009E5B5E">
        <w:rPr>
          <w:sz w:val="24"/>
          <w:szCs w:val="24"/>
        </w:rPr>
        <w:t xml:space="preserve"> Description of variables</w:t>
      </w:r>
    </w:p>
    <w:tbl>
      <w:tblPr>
        <w:tblStyle w:val="MediumGrid3-Accent1"/>
        <w:tblW w:w="9356" w:type="dxa"/>
        <w:tblLook w:val="04A0"/>
      </w:tblPr>
      <w:tblGrid>
        <w:gridCol w:w="1430"/>
        <w:gridCol w:w="7926"/>
      </w:tblGrid>
      <w:tr w:rsidR="00DA2247" w:rsidRPr="009E5B5E" w:rsidTr="005A408B">
        <w:trPr>
          <w:cnfStyle w:val="100000000000"/>
        </w:trPr>
        <w:tc>
          <w:tcPr>
            <w:cnfStyle w:val="001000000000"/>
            <w:tcW w:w="1430" w:type="dxa"/>
          </w:tcPr>
          <w:p w:rsidR="00DA2247" w:rsidRPr="009E5B5E" w:rsidRDefault="00DA2247" w:rsidP="005A408B">
            <w:pPr>
              <w:spacing w:line="360" w:lineRule="auto"/>
              <w:jc w:val="both"/>
              <w:rPr>
                <w:rFonts w:cstheme="minorHAnsi"/>
                <w:b w:val="0"/>
                <w:bCs w:val="0"/>
                <w:sz w:val="24"/>
                <w:szCs w:val="24"/>
              </w:rPr>
            </w:pPr>
            <w:r w:rsidRPr="009E5B5E">
              <w:rPr>
                <w:rFonts w:cstheme="minorHAnsi"/>
                <w:b w:val="0"/>
                <w:bCs w:val="0"/>
                <w:sz w:val="24"/>
                <w:szCs w:val="24"/>
              </w:rPr>
              <w:t>Variable</w:t>
            </w:r>
          </w:p>
        </w:tc>
        <w:tc>
          <w:tcPr>
            <w:tcW w:w="7926" w:type="dxa"/>
          </w:tcPr>
          <w:p w:rsidR="00DA2247" w:rsidRPr="009E5B5E" w:rsidRDefault="00DA2247" w:rsidP="005A408B">
            <w:pPr>
              <w:spacing w:line="360" w:lineRule="auto"/>
              <w:jc w:val="both"/>
              <w:cnfStyle w:val="100000000000"/>
              <w:rPr>
                <w:rFonts w:cstheme="minorHAnsi"/>
                <w:b w:val="0"/>
                <w:bCs w:val="0"/>
                <w:sz w:val="24"/>
                <w:szCs w:val="24"/>
              </w:rPr>
            </w:pPr>
            <w:r w:rsidRPr="009E5B5E">
              <w:rPr>
                <w:rFonts w:cstheme="minorHAnsi"/>
                <w:b w:val="0"/>
                <w:bCs w:val="0"/>
                <w:sz w:val="24"/>
                <w:szCs w:val="24"/>
              </w:rPr>
              <w:t>Description and Measure</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ID</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Customer unique id</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Date</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Date of customer visit to the store</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Week Day</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Day of the week of the customer visit to the store</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Time</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Time of entry in the store</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Display Renewal</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Change of display in the store (Yes =1, No =0)</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Sales Promotion</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Sales promotion available in the store (Yes =1, No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Products Relocation</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Change of items presented on table/ product shelf (Yes =1, No =0)</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New Arrivals</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New items available in the store (Yes =1, No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Dwell Time</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Time customer spent in store from entering the store until leaving the store (in seconds)</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Buy</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Purchase incidence, measured by time spent at checkout counter. The duration longer than 30 seconds is coded as a purchase (Buy=1, Otherwise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Employee Contact</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 Whether customer is approached by employee or not (Yes =1, otherwise 0)</w:t>
            </w:r>
          </w:p>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 Time of approach is measured by time spent in store before being approached by an employee (in second)</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Friend</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 xml:space="preserve">Customer visits the store individually or in group. This variable is derived by identifying customers who enter and leave the store at the same time, if a customer enters the store with someone else, she is coded as shopping </w:t>
            </w:r>
            <w:r w:rsidRPr="009E5B5E">
              <w:rPr>
                <w:rFonts w:cstheme="minorHAnsi"/>
                <w:i/>
                <w:sz w:val="24"/>
                <w:szCs w:val="24"/>
              </w:rPr>
              <w:t xml:space="preserve">together with friend(s) </w:t>
            </w:r>
            <w:r w:rsidRPr="009E5B5E">
              <w:rPr>
                <w:rFonts w:cstheme="minorHAnsi"/>
                <w:sz w:val="24"/>
                <w:szCs w:val="24"/>
              </w:rPr>
              <w:t xml:space="preserve">(Group = 1), otherwise as shopping </w:t>
            </w:r>
            <w:r w:rsidRPr="009E5B5E">
              <w:rPr>
                <w:rFonts w:cstheme="minorHAnsi"/>
                <w:i/>
                <w:sz w:val="24"/>
                <w:szCs w:val="24"/>
              </w:rPr>
              <w:t xml:space="preserve">alone </w:t>
            </w:r>
            <w:r w:rsidRPr="009E5B5E">
              <w:rPr>
                <w:rFonts w:cstheme="minorHAnsi"/>
                <w:sz w:val="24"/>
                <w:szCs w:val="24"/>
              </w:rPr>
              <w:t>(Group =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lastRenderedPageBreak/>
              <w:t>A</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Customer visits section A indicating men department (Yes =1, No =0)</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B</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Customer visits section B indicating women department (Yes =1, No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C</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Customer visits section C indicating men department (Yes =1, No =0),</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D</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Customer visits section D indicating women department (Yes =1, No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E</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Customer visits section E indicating new arrival items table for both men and women (Yes =1, No =0)</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F</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Customer visits section F indicating jeans/denim wall (Yes =1, No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G</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Customer visits section G indicating clothes fitting activity (Yes =1, No =0)</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H</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Customer visits section H indicating  window display area (Yes =1, No =0),</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RA - Time</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Time spent in sections with recent articles (in second)</w:t>
            </w:r>
          </w:p>
        </w:tc>
      </w:tr>
      <w:tr w:rsidR="00DA2247" w:rsidRPr="009E5B5E" w:rsidTr="005A408B">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CP - Time</w:t>
            </w:r>
          </w:p>
        </w:tc>
        <w:tc>
          <w:tcPr>
            <w:tcW w:w="7926" w:type="dxa"/>
          </w:tcPr>
          <w:p w:rsidR="00DA2247" w:rsidRPr="009E5B5E" w:rsidRDefault="00DA2247" w:rsidP="005A408B">
            <w:pPr>
              <w:spacing w:line="360" w:lineRule="auto"/>
              <w:jc w:val="both"/>
              <w:cnfStyle w:val="000000000000"/>
              <w:rPr>
                <w:rFonts w:cstheme="minorHAnsi"/>
                <w:sz w:val="24"/>
                <w:szCs w:val="24"/>
              </w:rPr>
            </w:pPr>
            <w:r w:rsidRPr="009E5B5E">
              <w:rPr>
                <w:rFonts w:cstheme="minorHAnsi"/>
                <w:sz w:val="24"/>
                <w:szCs w:val="24"/>
              </w:rPr>
              <w:t>Time spent in sections with continuity products (in second)</w:t>
            </w:r>
          </w:p>
        </w:tc>
      </w:tr>
      <w:tr w:rsidR="00DA2247" w:rsidRPr="009E5B5E" w:rsidTr="005A408B">
        <w:trPr>
          <w:cnfStyle w:val="000000100000"/>
        </w:trPr>
        <w:tc>
          <w:tcPr>
            <w:cnfStyle w:val="001000000000"/>
            <w:tcW w:w="1430" w:type="dxa"/>
          </w:tcPr>
          <w:p w:rsidR="00DA2247" w:rsidRPr="009E5B5E" w:rsidRDefault="00DA2247" w:rsidP="005A408B">
            <w:pPr>
              <w:spacing w:line="360" w:lineRule="auto"/>
              <w:jc w:val="both"/>
              <w:rPr>
                <w:rFonts w:cstheme="minorHAnsi"/>
                <w:sz w:val="24"/>
                <w:szCs w:val="24"/>
              </w:rPr>
            </w:pPr>
            <w:r w:rsidRPr="009E5B5E">
              <w:rPr>
                <w:rFonts w:cstheme="minorHAnsi"/>
                <w:sz w:val="24"/>
                <w:szCs w:val="24"/>
              </w:rPr>
              <w:t>FIT - Time</w:t>
            </w:r>
          </w:p>
        </w:tc>
        <w:tc>
          <w:tcPr>
            <w:tcW w:w="7926" w:type="dxa"/>
          </w:tcPr>
          <w:p w:rsidR="00DA2247" w:rsidRPr="009E5B5E" w:rsidRDefault="00DA2247" w:rsidP="005A408B">
            <w:pPr>
              <w:spacing w:line="360" w:lineRule="auto"/>
              <w:jc w:val="both"/>
              <w:cnfStyle w:val="000000100000"/>
              <w:rPr>
                <w:rFonts w:cstheme="minorHAnsi"/>
                <w:sz w:val="24"/>
                <w:szCs w:val="24"/>
              </w:rPr>
            </w:pPr>
            <w:r w:rsidRPr="009E5B5E">
              <w:rPr>
                <w:rFonts w:cstheme="minorHAnsi"/>
                <w:sz w:val="24"/>
                <w:szCs w:val="24"/>
              </w:rPr>
              <w:t>Time spent in fitting room (in second)</w:t>
            </w:r>
          </w:p>
        </w:tc>
      </w:tr>
    </w:tbl>
    <w:p w:rsidR="00DA2247" w:rsidRPr="009E5B5E" w:rsidRDefault="00DA2247" w:rsidP="00DA2247">
      <w:pPr>
        <w:jc w:val="both"/>
        <w:rPr>
          <w:sz w:val="16"/>
          <w:szCs w:val="16"/>
        </w:rPr>
      </w:pPr>
    </w:p>
    <w:p w:rsidR="00DA2247" w:rsidRPr="009E5B5E" w:rsidRDefault="00DA2247" w:rsidP="00DA2247">
      <w:pPr>
        <w:spacing w:line="360" w:lineRule="auto"/>
        <w:jc w:val="both"/>
        <w:rPr>
          <w:b/>
          <w:bCs/>
          <w:sz w:val="28"/>
        </w:rPr>
      </w:pPr>
      <w:r w:rsidRPr="009E5B5E">
        <w:rPr>
          <w:sz w:val="24"/>
          <w:szCs w:val="24"/>
        </w:rPr>
        <w:t xml:space="preserve">However, not all variables above are relevant to this particular study; moreover, variable indicating gender has to be derived as I aim to investigate if influence of friends present during shopping trip on purchase incidence is moderated by difference self-presenting orientation between male and female customers as well. In the following section, the measures for dependent and independent variables in my conceptual framework will be deliberated. </w:t>
      </w:r>
    </w:p>
    <w:p w:rsidR="00DA2247" w:rsidRPr="009E5B5E" w:rsidRDefault="00DA2247" w:rsidP="00DA2247">
      <w:pPr>
        <w:spacing w:line="360" w:lineRule="auto"/>
        <w:jc w:val="both"/>
        <w:rPr>
          <w:b/>
          <w:bCs/>
        </w:rPr>
      </w:pPr>
    </w:p>
    <w:p w:rsidR="00DA2247" w:rsidRPr="009E5B5E" w:rsidRDefault="00DA2247" w:rsidP="00DA2247">
      <w:pPr>
        <w:spacing w:line="360" w:lineRule="auto"/>
        <w:jc w:val="both"/>
        <w:rPr>
          <w:sz w:val="32"/>
          <w:szCs w:val="32"/>
        </w:rPr>
      </w:pPr>
      <w:r w:rsidRPr="009E5B5E">
        <w:rPr>
          <w:b/>
          <w:bCs/>
          <w:sz w:val="32"/>
          <w:szCs w:val="32"/>
        </w:rPr>
        <w:t>3.3 Measures</w:t>
      </w:r>
    </w:p>
    <w:p w:rsidR="00DA2247" w:rsidRPr="009E5B5E" w:rsidRDefault="00DA2247" w:rsidP="00DA2247">
      <w:pPr>
        <w:spacing w:line="360" w:lineRule="auto"/>
        <w:jc w:val="both"/>
        <w:rPr>
          <w:i/>
          <w:iCs/>
          <w:sz w:val="24"/>
          <w:szCs w:val="24"/>
        </w:rPr>
      </w:pPr>
      <w:r w:rsidRPr="009E5B5E">
        <w:rPr>
          <w:b/>
          <w:bCs/>
          <w:sz w:val="24"/>
          <w:szCs w:val="24"/>
        </w:rPr>
        <w:t>Dependent Variable</w:t>
      </w:r>
      <w:r w:rsidRPr="009E5B5E">
        <w:rPr>
          <w:sz w:val="24"/>
          <w:szCs w:val="24"/>
        </w:rPr>
        <w:t xml:space="preserve"> </w:t>
      </w:r>
    </w:p>
    <w:p w:rsidR="00DA2247" w:rsidRPr="009E5B5E" w:rsidRDefault="00DA2247" w:rsidP="00DA2247">
      <w:pPr>
        <w:spacing w:line="360" w:lineRule="auto"/>
        <w:jc w:val="both"/>
        <w:rPr>
          <w:sz w:val="24"/>
          <w:szCs w:val="24"/>
        </w:rPr>
      </w:pPr>
      <w:r w:rsidRPr="009E5B5E">
        <w:rPr>
          <w:i/>
          <w:iCs/>
          <w:sz w:val="24"/>
          <w:szCs w:val="24"/>
        </w:rPr>
        <w:t>Purchase Incidence</w:t>
      </w:r>
      <w:r w:rsidRPr="009E5B5E">
        <w:rPr>
          <w:sz w:val="24"/>
          <w:szCs w:val="24"/>
        </w:rPr>
        <w:t xml:space="preserve"> (BUY</w:t>
      </w:r>
      <w:r w:rsidRPr="009E5B5E">
        <w:rPr>
          <w:sz w:val="24"/>
          <w:szCs w:val="24"/>
          <w:vertAlign w:val="subscript"/>
        </w:rPr>
        <w:t>i</w:t>
      </w:r>
      <w:r w:rsidRPr="009E5B5E">
        <w:rPr>
          <w:sz w:val="24"/>
          <w:szCs w:val="24"/>
        </w:rPr>
        <w:t>)</w:t>
      </w:r>
    </w:p>
    <w:p w:rsidR="00DA2247" w:rsidRPr="009E5B5E" w:rsidRDefault="00DA2247" w:rsidP="00DA2247">
      <w:pPr>
        <w:spacing w:line="360" w:lineRule="auto"/>
        <w:jc w:val="both"/>
        <w:rPr>
          <w:sz w:val="24"/>
          <w:szCs w:val="24"/>
        </w:rPr>
      </w:pPr>
      <w:r w:rsidRPr="009E5B5E">
        <w:rPr>
          <w:sz w:val="24"/>
          <w:szCs w:val="24"/>
        </w:rPr>
        <w:t xml:space="preserve">Even though BIPS technology cannot directly track if a customer makes a purchase or not, one can simply deduce that customer makes a purchase if he/she spends more than 30 seconds at the checkout counter. Therefore, in this case, purchase incidence is captured by recording time each customer spends in the checkout area. In other words, if consumer </w:t>
      </w:r>
      <w:r w:rsidRPr="009E5B5E">
        <w:rPr>
          <w:i/>
          <w:sz w:val="24"/>
          <w:szCs w:val="24"/>
        </w:rPr>
        <w:t xml:space="preserve">i </w:t>
      </w:r>
      <w:r w:rsidRPr="009E5B5E">
        <w:rPr>
          <w:sz w:val="24"/>
          <w:szCs w:val="24"/>
        </w:rPr>
        <w:t>spends more than 30 seconds in the checkout counter, she is classified as someone making a ‘purchase’ (BUY</w:t>
      </w:r>
      <w:r w:rsidRPr="009E5B5E">
        <w:rPr>
          <w:sz w:val="24"/>
          <w:szCs w:val="24"/>
          <w:vertAlign w:val="subscript"/>
        </w:rPr>
        <w:t>i</w:t>
      </w:r>
      <w:r w:rsidRPr="009E5B5E">
        <w:rPr>
          <w:sz w:val="24"/>
          <w:szCs w:val="24"/>
        </w:rPr>
        <w:t xml:space="preserve"> = 1), otherwise someone who made ‘no purchase’ (BUY</w:t>
      </w:r>
      <w:r w:rsidRPr="009E5B5E">
        <w:rPr>
          <w:sz w:val="24"/>
          <w:szCs w:val="24"/>
          <w:vertAlign w:val="subscript"/>
        </w:rPr>
        <w:t>i</w:t>
      </w:r>
      <w:r w:rsidRPr="009E5B5E">
        <w:rPr>
          <w:sz w:val="24"/>
          <w:szCs w:val="24"/>
        </w:rPr>
        <w:t xml:space="preserve"> = 0). </w:t>
      </w:r>
    </w:p>
    <w:p w:rsidR="00DA2247" w:rsidRPr="009E5B5E" w:rsidRDefault="00DA2247" w:rsidP="00DA2247">
      <w:pPr>
        <w:spacing w:line="360" w:lineRule="auto"/>
        <w:jc w:val="both"/>
        <w:rPr>
          <w:b/>
          <w:bCs/>
          <w:sz w:val="24"/>
          <w:szCs w:val="24"/>
        </w:rPr>
      </w:pPr>
    </w:p>
    <w:p w:rsidR="00DA2247" w:rsidRPr="009E5B5E" w:rsidRDefault="00DA2247" w:rsidP="00DA2247">
      <w:pPr>
        <w:spacing w:line="360" w:lineRule="auto"/>
        <w:jc w:val="both"/>
        <w:rPr>
          <w:b/>
          <w:bCs/>
          <w:sz w:val="24"/>
          <w:szCs w:val="24"/>
        </w:rPr>
      </w:pPr>
      <w:r w:rsidRPr="009E5B5E">
        <w:rPr>
          <w:b/>
          <w:bCs/>
          <w:sz w:val="24"/>
          <w:szCs w:val="24"/>
        </w:rPr>
        <w:lastRenderedPageBreak/>
        <w:t>Independent Variables</w:t>
      </w:r>
    </w:p>
    <w:p w:rsidR="00DA2247" w:rsidRPr="009E5B5E" w:rsidRDefault="00DA2247" w:rsidP="00DA2247">
      <w:pPr>
        <w:spacing w:line="360" w:lineRule="auto"/>
        <w:jc w:val="both"/>
        <w:rPr>
          <w:i/>
          <w:iCs/>
          <w:sz w:val="24"/>
          <w:szCs w:val="24"/>
        </w:rPr>
      </w:pPr>
      <w:r w:rsidRPr="009E5B5E">
        <w:rPr>
          <w:i/>
          <w:iCs/>
          <w:sz w:val="24"/>
          <w:szCs w:val="24"/>
        </w:rPr>
        <w:t>Sales Promotion (SALE</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sz w:val="24"/>
          <w:szCs w:val="24"/>
        </w:rPr>
      </w:pPr>
      <w:r w:rsidRPr="009E5B5E">
        <w:rPr>
          <w:sz w:val="24"/>
          <w:szCs w:val="24"/>
        </w:rPr>
        <w:t xml:space="preserve">Fortunately, Sales promotion was available in the store during January 2 to January 16, 2012 which indeed covered the post-Christmas sales which were intended to decrease the inventory of winter clothes to make space for the new spring/summer collections. Therefore, sales promotion variable is captured when there is discount promotion available in the store on any particular date. If the store has a special, store-wide, promotion under ‘sales period’ I define </w:t>
      </w:r>
      <w:r w:rsidRPr="009E5B5E">
        <w:rPr>
          <w:i/>
          <w:iCs/>
          <w:sz w:val="24"/>
          <w:szCs w:val="24"/>
        </w:rPr>
        <w:t>SALE</w:t>
      </w:r>
      <w:r w:rsidRPr="009E5B5E">
        <w:rPr>
          <w:i/>
          <w:iCs/>
          <w:sz w:val="24"/>
          <w:szCs w:val="24"/>
          <w:vertAlign w:val="subscript"/>
        </w:rPr>
        <w:t>i</w:t>
      </w:r>
      <w:r w:rsidRPr="009E5B5E">
        <w:rPr>
          <w:sz w:val="24"/>
          <w:szCs w:val="24"/>
        </w:rPr>
        <w:t xml:space="preserve"> = 1, otherwise </w:t>
      </w:r>
      <w:r w:rsidRPr="009E5B5E">
        <w:rPr>
          <w:i/>
          <w:iCs/>
          <w:sz w:val="24"/>
          <w:szCs w:val="24"/>
        </w:rPr>
        <w:t>SALE</w:t>
      </w:r>
      <w:r w:rsidRPr="009E5B5E">
        <w:rPr>
          <w:i/>
          <w:iCs/>
          <w:sz w:val="24"/>
          <w:szCs w:val="24"/>
          <w:vertAlign w:val="subscript"/>
        </w:rPr>
        <w:t>i</w:t>
      </w:r>
      <w:r w:rsidRPr="009E5B5E">
        <w:rPr>
          <w:sz w:val="24"/>
          <w:szCs w:val="24"/>
        </w:rPr>
        <w:t xml:space="preserve"> = 0. </w:t>
      </w:r>
    </w:p>
    <w:p w:rsidR="00DA2247" w:rsidRPr="009E5B5E" w:rsidRDefault="00DA2247" w:rsidP="00DA2247">
      <w:pPr>
        <w:spacing w:line="360" w:lineRule="auto"/>
        <w:jc w:val="both"/>
        <w:rPr>
          <w:i/>
          <w:iCs/>
          <w:sz w:val="24"/>
          <w:szCs w:val="24"/>
        </w:rPr>
      </w:pPr>
      <w:r w:rsidRPr="009E5B5E">
        <w:rPr>
          <w:i/>
          <w:iCs/>
          <w:sz w:val="24"/>
          <w:szCs w:val="24"/>
        </w:rPr>
        <w:t>Display Renewal (DIS</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i/>
          <w:iCs/>
          <w:sz w:val="24"/>
          <w:szCs w:val="24"/>
        </w:rPr>
      </w:pPr>
      <w:r w:rsidRPr="009E5B5E">
        <w:rPr>
          <w:sz w:val="24"/>
          <w:szCs w:val="24"/>
        </w:rPr>
        <w:t xml:space="preserve">New display variable is measured by the change of display within the store on any particular date. If the display is changed in the day consumer </w:t>
      </w:r>
      <w:r w:rsidRPr="009E5B5E">
        <w:rPr>
          <w:i/>
          <w:sz w:val="24"/>
          <w:szCs w:val="24"/>
        </w:rPr>
        <w:t xml:space="preserve">i </w:t>
      </w:r>
      <w:r w:rsidRPr="009E5B5E">
        <w:rPr>
          <w:sz w:val="24"/>
          <w:szCs w:val="24"/>
        </w:rPr>
        <w:t>visited the store, DIS</w:t>
      </w:r>
      <w:r w:rsidRPr="009E5B5E">
        <w:rPr>
          <w:sz w:val="24"/>
          <w:szCs w:val="24"/>
          <w:vertAlign w:val="subscript"/>
        </w:rPr>
        <w:t>i</w:t>
      </w:r>
      <w:r w:rsidRPr="009E5B5E">
        <w:rPr>
          <w:sz w:val="24"/>
          <w:szCs w:val="24"/>
        </w:rPr>
        <w:t xml:space="preserve"> takes the value 1, and otherwise DIS</w:t>
      </w:r>
      <w:r w:rsidRPr="009E5B5E">
        <w:rPr>
          <w:sz w:val="24"/>
          <w:szCs w:val="24"/>
          <w:vertAlign w:val="subscript"/>
        </w:rPr>
        <w:t xml:space="preserve">i </w:t>
      </w:r>
      <w:r w:rsidRPr="009E5B5E">
        <w:rPr>
          <w:sz w:val="24"/>
          <w:szCs w:val="24"/>
        </w:rPr>
        <w:t xml:space="preserve">takes the value 0 (meaning no new display in that day). Please note that theoretically consumers could visit the store multiple times, which would allow us to model dynamics in their reaction to in-store marketing. In the time period of my data that did not happen to any consumer (in other words, my analysis is purely cross-sectional).Therefore, display renewal is treated as a consumer-level dummy variable.  </w:t>
      </w:r>
    </w:p>
    <w:p w:rsidR="00DA2247" w:rsidRPr="009E5B5E" w:rsidRDefault="00DA2247" w:rsidP="00DA2247">
      <w:pPr>
        <w:spacing w:line="360" w:lineRule="auto"/>
        <w:jc w:val="both"/>
        <w:rPr>
          <w:i/>
          <w:iCs/>
          <w:sz w:val="24"/>
          <w:szCs w:val="24"/>
        </w:rPr>
      </w:pPr>
      <w:r w:rsidRPr="009E5B5E">
        <w:rPr>
          <w:i/>
          <w:iCs/>
          <w:sz w:val="24"/>
          <w:szCs w:val="24"/>
        </w:rPr>
        <w:t>Products Relocation (RELOC</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sz w:val="24"/>
          <w:szCs w:val="24"/>
        </w:rPr>
      </w:pPr>
      <w:r w:rsidRPr="009E5B5E">
        <w:rPr>
          <w:sz w:val="24"/>
          <w:szCs w:val="24"/>
        </w:rPr>
        <w:t xml:space="preserve">Products relocation variable indicates the change of selling items on table within the store on any particular date. Products relocation occurring in the store is measured as </w:t>
      </w:r>
      <w:r w:rsidRPr="009E5B5E">
        <w:rPr>
          <w:i/>
          <w:iCs/>
          <w:sz w:val="24"/>
          <w:szCs w:val="24"/>
        </w:rPr>
        <w:t>TAB</w:t>
      </w:r>
      <w:r w:rsidRPr="009E5B5E">
        <w:rPr>
          <w:i/>
          <w:iCs/>
          <w:sz w:val="24"/>
          <w:szCs w:val="24"/>
          <w:vertAlign w:val="subscript"/>
        </w:rPr>
        <w:t>i</w:t>
      </w:r>
      <w:r w:rsidRPr="009E5B5E">
        <w:rPr>
          <w:sz w:val="24"/>
          <w:szCs w:val="24"/>
        </w:rPr>
        <w:t xml:space="preserve"> =1 if occurred, otherwise </w:t>
      </w:r>
      <w:r w:rsidRPr="009E5B5E">
        <w:rPr>
          <w:i/>
          <w:iCs/>
          <w:sz w:val="24"/>
          <w:szCs w:val="24"/>
        </w:rPr>
        <w:t>TAB</w:t>
      </w:r>
      <w:r w:rsidRPr="009E5B5E">
        <w:rPr>
          <w:i/>
          <w:iCs/>
          <w:sz w:val="24"/>
          <w:szCs w:val="24"/>
          <w:vertAlign w:val="subscript"/>
        </w:rPr>
        <w:t>i</w:t>
      </w:r>
      <w:r w:rsidRPr="009E5B5E">
        <w:rPr>
          <w:sz w:val="24"/>
          <w:szCs w:val="24"/>
        </w:rPr>
        <w:t xml:space="preserve"> =0; therefore, is treated as dummy variable as well.</w:t>
      </w:r>
    </w:p>
    <w:p w:rsidR="00DA2247" w:rsidRPr="009E5B5E" w:rsidRDefault="00DA2247" w:rsidP="00DA2247">
      <w:pPr>
        <w:spacing w:line="360" w:lineRule="auto"/>
        <w:jc w:val="both"/>
        <w:rPr>
          <w:i/>
          <w:iCs/>
          <w:sz w:val="24"/>
          <w:szCs w:val="24"/>
        </w:rPr>
      </w:pPr>
      <w:r w:rsidRPr="009E5B5E">
        <w:rPr>
          <w:i/>
          <w:iCs/>
          <w:sz w:val="24"/>
          <w:szCs w:val="24"/>
        </w:rPr>
        <w:t>Friend (FRIEND</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sz w:val="24"/>
          <w:szCs w:val="24"/>
        </w:rPr>
      </w:pPr>
      <w:r w:rsidRPr="009E5B5E">
        <w:rPr>
          <w:sz w:val="24"/>
          <w:szCs w:val="24"/>
        </w:rPr>
        <w:t xml:space="preserve">Friend variable captures if customer comes to the store with friend(s) or alone. It is measured by tracking when two or more customers enter and leave the store at the same time. With BIPS technology, such measurement can be done in real time; thus, it is possible to accurately determine if customer comes with friend(s) or not, if so, how many accompanying friends there are (maximum amount found in dataset is 4). However, the number of friends is redundant to this particular study as customer self-presenting orientation toward friend depends on gender of customer-self. Therefore, I derive a dummy for group variable which is </w:t>
      </w:r>
      <w:r w:rsidRPr="009E5B5E">
        <w:rPr>
          <w:sz w:val="24"/>
          <w:szCs w:val="24"/>
        </w:rPr>
        <w:lastRenderedPageBreak/>
        <w:t>classified as someone comes to the shop ‘with friend(s)’ (</w:t>
      </w:r>
      <w:r w:rsidRPr="009E5B5E">
        <w:rPr>
          <w:i/>
          <w:iCs/>
          <w:sz w:val="24"/>
          <w:szCs w:val="24"/>
        </w:rPr>
        <w:t>FRIEND</w:t>
      </w:r>
      <w:r w:rsidRPr="009E5B5E">
        <w:rPr>
          <w:i/>
          <w:iCs/>
          <w:sz w:val="24"/>
          <w:szCs w:val="24"/>
          <w:vertAlign w:val="subscript"/>
        </w:rPr>
        <w:t>i</w:t>
      </w:r>
      <w:r w:rsidRPr="009E5B5E">
        <w:rPr>
          <w:sz w:val="24"/>
          <w:szCs w:val="24"/>
        </w:rPr>
        <w:t>=1), otherwise someone is ‘alone’ during her shopping trip (</w:t>
      </w:r>
      <w:r w:rsidRPr="009E5B5E">
        <w:rPr>
          <w:i/>
          <w:iCs/>
          <w:sz w:val="24"/>
          <w:szCs w:val="24"/>
        </w:rPr>
        <w:t>FRIEND</w:t>
      </w:r>
      <w:r w:rsidRPr="009E5B5E">
        <w:rPr>
          <w:i/>
          <w:iCs/>
          <w:sz w:val="24"/>
          <w:szCs w:val="24"/>
          <w:vertAlign w:val="subscript"/>
        </w:rPr>
        <w:t>i</w:t>
      </w:r>
      <w:r w:rsidRPr="009E5B5E">
        <w:rPr>
          <w:sz w:val="24"/>
          <w:szCs w:val="24"/>
        </w:rPr>
        <w:t>=1).</w:t>
      </w:r>
    </w:p>
    <w:p w:rsidR="00DA2247" w:rsidRPr="009E5B5E" w:rsidRDefault="00DA2247" w:rsidP="00DA2247">
      <w:pPr>
        <w:spacing w:line="360" w:lineRule="auto"/>
        <w:jc w:val="both"/>
        <w:rPr>
          <w:i/>
          <w:iCs/>
          <w:sz w:val="24"/>
          <w:szCs w:val="24"/>
        </w:rPr>
      </w:pPr>
      <w:r w:rsidRPr="009E5B5E">
        <w:rPr>
          <w:i/>
          <w:iCs/>
          <w:sz w:val="24"/>
          <w:szCs w:val="24"/>
        </w:rPr>
        <w:t>Gender (GENDER</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sz w:val="24"/>
          <w:szCs w:val="24"/>
        </w:rPr>
      </w:pPr>
      <w:r w:rsidRPr="009E5B5E">
        <w:rPr>
          <w:sz w:val="24"/>
          <w:szCs w:val="24"/>
        </w:rPr>
        <w:t xml:space="preserve">As this study aims to test if the influence of friend during shopping trip on purchase behavior is moderated by difference in self-presenting orientation (Agency-Communion) between gender (hypothesis 2a, 2b, 3a, and 3b), I have to derive a variable indicating gender. Since gender could not be tracked directly by BIPS technology due to shoppers’ privacy concerns, it is then measured by recording combination of store sections customer visits throughout the trip. Customers who visit only the sections in which women items are located (regions B and D) and visit a fitting room (region G), are assumed to be female customers. In contrast, customers who visit only the sections where men items are located (regions A and C) and visit a fitting room (region G) are assumed to be male customers. Dummy variable for gender is then derived and coded GENDERi = 1 when a customer is male, otherwise GENDERi = 0. However, if a customer visits both men and women department and thereafter visits fitting area, it is impossible to simply say if that person is male or female. Such cases are deleted from dataset to avoid wrong measurement and bias result.  As a result, gender data is able to be identified for 2,740 customers </w:t>
      </w:r>
    </w:p>
    <w:p w:rsidR="00DA2247" w:rsidRPr="009E5B5E" w:rsidRDefault="00DA2247" w:rsidP="00DA2247">
      <w:pPr>
        <w:rPr>
          <w:sz w:val="24"/>
          <w:szCs w:val="24"/>
        </w:rPr>
      </w:pPr>
      <w:r w:rsidRPr="009E5B5E">
        <w:rPr>
          <w:b/>
          <w:bCs/>
          <w:sz w:val="24"/>
          <w:szCs w:val="24"/>
        </w:rPr>
        <w:t>Control Variables</w:t>
      </w:r>
    </w:p>
    <w:p w:rsidR="00DA2247" w:rsidRPr="009E5B5E" w:rsidRDefault="00DA2247" w:rsidP="00DA2247">
      <w:pPr>
        <w:spacing w:line="360" w:lineRule="auto"/>
        <w:jc w:val="both"/>
        <w:rPr>
          <w:i/>
          <w:iCs/>
          <w:sz w:val="24"/>
          <w:szCs w:val="24"/>
        </w:rPr>
      </w:pPr>
      <w:r w:rsidRPr="009E5B5E">
        <w:rPr>
          <w:i/>
          <w:iCs/>
          <w:sz w:val="24"/>
          <w:szCs w:val="24"/>
        </w:rPr>
        <w:t>Dwell time (DT</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sz w:val="24"/>
          <w:szCs w:val="24"/>
        </w:rPr>
      </w:pPr>
      <w:r w:rsidRPr="009E5B5E">
        <w:rPr>
          <w:sz w:val="24"/>
          <w:szCs w:val="24"/>
        </w:rPr>
        <w:t xml:space="preserve">Time duration shoppers spent in the store can influence their purchase decisions, as dwell time in store of may imply a person’s shopping strategies, either goal directed or exploratory behavior, which in turn affect his or her purchase decision (Moe, 2003). While, Hui et al. (2009) found that as consumers spend more time in the store, they tend to spend less time on browsing, and are more likely to shop and buy. In this particular study, dwell time is measured straightforwardly by recording time duration in second which a customer spends in the store from entering until leaving the store. </w:t>
      </w:r>
    </w:p>
    <w:p w:rsidR="00DA2247" w:rsidRPr="009E5B5E" w:rsidRDefault="00DA2247" w:rsidP="00DA2247">
      <w:pPr>
        <w:spacing w:line="360" w:lineRule="auto"/>
        <w:jc w:val="both"/>
        <w:rPr>
          <w:i/>
          <w:iCs/>
          <w:sz w:val="24"/>
          <w:szCs w:val="24"/>
        </w:rPr>
      </w:pPr>
      <w:r w:rsidRPr="009E5B5E">
        <w:rPr>
          <w:i/>
          <w:iCs/>
          <w:sz w:val="24"/>
          <w:szCs w:val="24"/>
        </w:rPr>
        <w:t>Employee contact (EC</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rFonts w:cstheme="minorHAnsi"/>
          <w:sz w:val="24"/>
          <w:szCs w:val="24"/>
        </w:rPr>
      </w:pPr>
      <w:r w:rsidRPr="009E5B5E">
        <w:rPr>
          <w:sz w:val="24"/>
          <w:szCs w:val="24"/>
        </w:rPr>
        <w:t xml:space="preserve">The approach from salespeople in the store is considered to be influential on customers’ purchase incidences as salespeople can help customers find their ideal product and assist customers throughout the shopping process; therefore, may increase sales. However, the </w:t>
      </w:r>
      <w:r w:rsidRPr="009E5B5E">
        <w:rPr>
          <w:sz w:val="24"/>
          <w:szCs w:val="24"/>
        </w:rPr>
        <w:lastRenderedPageBreak/>
        <w:t>approach from salespeople in the store can negatively affect shoppers’ purchase decisions as well. Since the contact in the wrong moment can serve as the interruption for customers, and thus irritation and annoyance is arisen among them. Accordingly, contacts between employees and customers within the store is recorded</w:t>
      </w:r>
      <w:r w:rsidRPr="009E5B5E">
        <w:rPr>
          <w:rFonts w:cstheme="minorHAnsi"/>
          <w:sz w:val="24"/>
          <w:szCs w:val="24"/>
        </w:rPr>
        <w:t xml:space="preserve"> whether customer is approached by employee or not (if approached = time of approach, otherwise NONE), and time of approach is measured by time a customer spends in store before being approached by an employee. </w:t>
      </w:r>
    </w:p>
    <w:p w:rsidR="00DA2247" w:rsidRPr="009E5B5E" w:rsidRDefault="00DA2247" w:rsidP="00DA2247">
      <w:pPr>
        <w:spacing w:line="360" w:lineRule="auto"/>
        <w:jc w:val="both"/>
        <w:rPr>
          <w:i/>
          <w:iCs/>
          <w:sz w:val="24"/>
          <w:szCs w:val="24"/>
        </w:rPr>
      </w:pPr>
      <w:r w:rsidRPr="009E5B5E">
        <w:rPr>
          <w:i/>
          <w:iCs/>
          <w:sz w:val="24"/>
          <w:szCs w:val="24"/>
        </w:rPr>
        <w:t>New Arrivals (NA</w:t>
      </w:r>
      <w:r w:rsidRPr="009E5B5E">
        <w:rPr>
          <w:i/>
          <w:iCs/>
          <w:sz w:val="24"/>
          <w:szCs w:val="24"/>
          <w:vertAlign w:val="subscript"/>
        </w:rPr>
        <w:t>i</w:t>
      </w:r>
      <w:r w:rsidRPr="009E5B5E">
        <w:rPr>
          <w:i/>
          <w:iCs/>
          <w:sz w:val="24"/>
          <w:szCs w:val="24"/>
        </w:rPr>
        <w:t>)</w:t>
      </w:r>
    </w:p>
    <w:p w:rsidR="00DA2247" w:rsidRPr="009E5B5E" w:rsidRDefault="00DA2247" w:rsidP="00DA2247">
      <w:pPr>
        <w:spacing w:line="360" w:lineRule="auto"/>
        <w:jc w:val="both"/>
        <w:rPr>
          <w:sz w:val="24"/>
          <w:szCs w:val="24"/>
        </w:rPr>
      </w:pPr>
      <w:r w:rsidRPr="009E5B5E">
        <w:rPr>
          <w:sz w:val="24"/>
          <w:szCs w:val="24"/>
        </w:rPr>
        <w:t xml:space="preserve">New arrival products available in the store can become incentive to buy, especially for early adopters or trendsetters (Rogers 1995). Data regarding new arrivals is, therefore, collected and measured by the availability of new products in the store. In this case, new arrivals are available in the store every Tuesday. Availability is quoted as 1, otherwise 0. </w:t>
      </w:r>
    </w:p>
    <w:p w:rsidR="00DA2247" w:rsidRPr="009E5B5E" w:rsidRDefault="00DA2247" w:rsidP="00DA2247">
      <w:pPr>
        <w:spacing w:line="360" w:lineRule="auto"/>
        <w:jc w:val="both"/>
        <w:rPr>
          <w:i/>
          <w:iCs/>
          <w:sz w:val="24"/>
          <w:szCs w:val="24"/>
        </w:rPr>
      </w:pPr>
      <w:r w:rsidRPr="009E5B5E">
        <w:rPr>
          <w:i/>
          <w:iCs/>
          <w:sz w:val="24"/>
          <w:szCs w:val="24"/>
        </w:rPr>
        <w:t>Consumer Innovativeness (INNOV</w:t>
      </w:r>
      <w:r w:rsidRPr="009E5B5E">
        <w:rPr>
          <w:i/>
          <w:iCs/>
          <w:sz w:val="24"/>
          <w:szCs w:val="24"/>
          <w:vertAlign w:val="subscript"/>
        </w:rPr>
        <w:t>i</w:t>
      </w:r>
      <w:r w:rsidRPr="009E5B5E">
        <w:rPr>
          <w:i/>
          <w:iCs/>
          <w:sz w:val="24"/>
          <w:szCs w:val="24"/>
        </w:rPr>
        <w:t>): RA time/dwell time</w:t>
      </w:r>
    </w:p>
    <w:p w:rsidR="00DA2247" w:rsidRPr="009E5B5E" w:rsidRDefault="00DA2247" w:rsidP="00DA2247">
      <w:pPr>
        <w:spacing w:line="360" w:lineRule="auto"/>
        <w:jc w:val="both"/>
        <w:rPr>
          <w:sz w:val="24"/>
          <w:szCs w:val="24"/>
        </w:rPr>
      </w:pPr>
      <w:r w:rsidRPr="009E5B5E">
        <w:rPr>
          <w:sz w:val="24"/>
          <w:szCs w:val="24"/>
        </w:rPr>
        <w:t xml:space="preserve">Consumer innovativeness can affect shoppers’ decisions to buy as they have tendency </w:t>
      </w:r>
      <w:r w:rsidRPr="009E5B5E">
        <w:rPr>
          <w:i/>
          <w:iCs/>
          <w:sz w:val="24"/>
          <w:szCs w:val="24"/>
        </w:rPr>
        <w:t>to “buy new and different products and brands rather than remain with previous choices and consumer patters”</w:t>
      </w:r>
      <w:r w:rsidRPr="009E5B5E">
        <w:rPr>
          <w:sz w:val="24"/>
          <w:szCs w:val="24"/>
        </w:rPr>
        <w:t xml:space="preserve"> (Steenkamp et al., 1999, p. 56). Such statement is applicable for fashion-oriented store. From the dataset, Consumer innovativeness is therefore derived from dividing time a customer spends in recent articles area by total time he/she spends in the store. Such ratio helps indicate how innovative consumer’s behavior was. </w:t>
      </w:r>
    </w:p>
    <w:p w:rsidR="00DA2247" w:rsidRPr="009E5B5E" w:rsidRDefault="00DA2247" w:rsidP="00DA2247">
      <w:pPr>
        <w:spacing w:line="360" w:lineRule="auto"/>
        <w:jc w:val="both"/>
        <w:rPr>
          <w:i/>
          <w:iCs/>
          <w:sz w:val="24"/>
          <w:szCs w:val="24"/>
        </w:rPr>
      </w:pPr>
      <w:r w:rsidRPr="009E5B5E">
        <w:rPr>
          <w:i/>
          <w:iCs/>
          <w:sz w:val="24"/>
          <w:szCs w:val="24"/>
        </w:rPr>
        <w:t>Product Involvement (INVOL</w:t>
      </w:r>
      <w:r w:rsidRPr="009E5B5E">
        <w:rPr>
          <w:i/>
          <w:iCs/>
          <w:sz w:val="24"/>
          <w:szCs w:val="24"/>
          <w:vertAlign w:val="subscript"/>
        </w:rPr>
        <w:t>i</w:t>
      </w:r>
      <w:r w:rsidRPr="009E5B5E">
        <w:rPr>
          <w:i/>
          <w:iCs/>
          <w:sz w:val="24"/>
          <w:szCs w:val="24"/>
        </w:rPr>
        <w:t>): FIT/DWELL</w:t>
      </w:r>
    </w:p>
    <w:p w:rsidR="00DA2247" w:rsidRPr="009E5B5E" w:rsidRDefault="00DA2247" w:rsidP="00DA2247">
      <w:pPr>
        <w:spacing w:line="360" w:lineRule="auto"/>
        <w:jc w:val="both"/>
        <w:rPr>
          <w:sz w:val="24"/>
          <w:szCs w:val="24"/>
        </w:rPr>
      </w:pPr>
      <w:r w:rsidRPr="009E5B5E">
        <w:rPr>
          <w:sz w:val="24"/>
          <w:szCs w:val="24"/>
        </w:rPr>
        <w:t>Product involvement is considered to be influential on consumers’ purchasing decisions as well.</w:t>
      </w:r>
      <w:r w:rsidRPr="009E5B5E">
        <w:rPr>
          <w:color w:val="1F497D" w:themeColor="text2"/>
          <w:sz w:val="24"/>
          <w:szCs w:val="24"/>
        </w:rPr>
        <w:t xml:space="preserve"> </w:t>
      </w:r>
      <w:r w:rsidRPr="009E5B5E">
        <w:rPr>
          <w:sz w:val="24"/>
          <w:szCs w:val="24"/>
        </w:rPr>
        <w:t xml:space="preserve">The concept of involvement, which referred to the level of consumers’ interest and commitment in purchasing a particular product, has been extensively used as a predictor in consumer behavior (Dholakia 1998; Fill 1999; Chakravarti and Janiszewski 2003). In this current context, the time consumers spend in fitting the clothes indicates how interested and committed they are in purchasing the products. There, product involvement of a consumer is therefore derived from dividing time a consumer spends in fitting room by the total dwell time in the store. </w:t>
      </w:r>
    </w:p>
    <w:p w:rsidR="00DA2247" w:rsidRPr="009E5B5E" w:rsidRDefault="00DA2247" w:rsidP="00DA2247">
      <w:pPr>
        <w:spacing w:line="360" w:lineRule="auto"/>
        <w:jc w:val="both"/>
        <w:rPr>
          <w:rFonts w:cs="Calibri"/>
          <w:i/>
          <w:iCs/>
          <w:color w:val="000000"/>
          <w:sz w:val="24"/>
          <w:szCs w:val="24"/>
        </w:rPr>
      </w:pPr>
    </w:p>
    <w:p w:rsidR="00DA2247" w:rsidRPr="009E5B5E" w:rsidRDefault="00DA2247" w:rsidP="00DA2247">
      <w:pPr>
        <w:spacing w:line="360" w:lineRule="auto"/>
        <w:jc w:val="both"/>
        <w:rPr>
          <w:rFonts w:cs="Calibri"/>
          <w:i/>
          <w:iCs/>
          <w:color w:val="000000"/>
          <w:sz w:val="24"/>
          <w:szCs w:val="24"/>
        </w:rPr>
      </w:pPr>
    </w:p>
    <w:p w:rsidR="00DA2247" w:rsidRPr="009E5B5E" w:rsidRDefault="00DA2247" w:rsidP="00DA2247">
      <w:pPr>
        <w:spacing w:line="360" w:lineRule="auto"/>
        <w:jc w:val="both"/>
        <w:rPr>
          <w:sz w:val="24"/>
          <w:szCs w:val="24"/>
        </w:rPr>
      </w:pPr>
      <w:r w:rsidRPr="009E5B5E">
        <w:rPr>
          <w:rFonts w:cs="Calibri"/>
          <w:i/>
          <w:iCs/>
          <w:color w:val="000000"/>
          <w:sz w:val="24"/>
          <w:szCs w:val="24"/>
        </w:rPr>
        <w:lastRenderedPageBreak/>
        <w:t>Region Variables (A</w:t>
      </w:r>
      <w:r w:rsidRPr="009E5B5E">
        <w:rPr>
          <w:rFonts w:cs="Calibri"/>
          <w:i/>
          <w:iCs/>
          <w:color w:val="000000"/>
          <w:sz w:val="24"/>
          <w:szCs w:val="24"/>
          <w:vertAlign w:val="subscript"/>
        </w:rPr>
        <w:t>i</w:t>
      </w:r>
      <w:r w:rsidRPr="009E5B5E">
        <w:rPr>
          <w:rFonts w:cs="Calibri"/>
          <w:i/>
          <w:iCs/>
          <w:color w:val="000000"/>
          <w:sz w:val="24"/>
          <w:szCs w:val="24"/>
        </w:rPr>
        <w:t>), (B</w:t>
      </w:r>
      <w:r w:rsidRPr="009E5B5E">
        <w:rPr>
          <w:rFonts w:cs="Calibri"/>
          <w:i/>
          <w:iCs/>
          <w:color w:val="000000"/>
          <w:sz w:val="24"/>
          <w:szCs w:val="24"/>
          <w:vertAlign w:val="subscript"/>
        </w:rPr>
        <w:t>i</w:t>
      </w:r>
      <w:r w:rsidRPr="009E5B5E">
        <w:rPr>
          <w:rFonts w:cs="Calibri"/>
          <w:i/>
          <w:iCs/>
          <w:color w:val="000000"/>
          <w:sz w:val="24"/>
          <w:szCs w:val="24"/>
        </w:rPr>
        <w:t>), (C</w:t>
      </w:r>
      <w:r w:rsidRPr="009E5B5E">
        <w:rPr>
          <w:rFonts w:cs="Calibri"/>
          <w:i/>
          <w:iCs/>
          <w:color w:val="000000"/>
          <w:sz w:val="24"/>
          <w:szCs w:val="24"/>
          <w:vertAlign w:val="subscript"/>
        </w:rPr>
        <w:t>i</w:t>
      </w:r>
      <w:r w:rsidRPr="009E5B5E">
        <w:rPr>
          <w:rFonts w:cs="Calibri"/>
          <w:i/>
          <w:iCs/>
          <w:color w:val="000000"/>
          <w:sz w:val="24"/>
          <w:szCs w:val="24"/>
        </w:rPr>
        <w:t>), and (D)</w:t>
      </w:r>
      <w:r w:rsidRPr="009E5B5E">
        <w:rPr>
          <w:rFonts w:cs="Calibri"/>
          <w:i/>
          <w:iCs/>
          <w:color w:val="000000"/>
          <w:sz w:val="24"/>
          <w:szCs w:val="24"/>
          <w:vertAlign w:val="subscript"/>
        </w:rPr>
        <w:t>i</w:t>
      </w:r>
    </w:p>
    <w:p w:rsidR="00DA2247" w:rsidRPr="009E5B5E" w:rsidRDefault="00DA2247" w:rsidP="00DA2247">
      <w:pPr>
        <w:spacing w:line="360" w:lineRule="auto"/>
        <w:jc w:val="both"/>
        <w:rPr>
          <w:rFonts w:cs="Calibri"/>
          <w:color w:val="000000"/>
          <w:sz w:val="24"/>
          <w:szCs w:val="24"/>
        </w:rPr>
      </w:pPr>
      <w:r w:rsidRPr="009E5B5E">
        <w:rPr>
          <w:rFonts w:cs="Calibri"/>
          <w:color w:val="000000"/>
          <w:sz w:val="24"/>
          <w:szCs w:val="24"/>
        </w:rPr>
        <w:t xml:space="preserve">To complete the construct of model 1 (i.e., General Model) which is discussed in following section 3.6.1, region variables are also considered to be influential on consumer’s purchasing decisions. Even though the store is divided into 8 regions - A, B, C, D, E, F,G, and H- for the sake of the data collecting and analysis (see figure 2), only 4 regions - A, B, C, and D- are included as control variables in the model to </w:t>
      </w:r>
      <w:r w:rsidRPr="009E5B5E">
        <w:rPr>
          <w:rFonts w:cs="Times New Roman"/>
          <w:color w:val="222222"/>
          <w:sz w:val="24"/>
          <w:szCs w:val="24"/>
          <w:shd w:val="clear" w:color="auto" w:fill="FFFFFF"/>
        </w:rPr>
        <w:t>avoid the multicollinearity</w:t>
      </w:r>
      <w:r w:rsidRPr="009E5B5E">
        <w:rPr>
          <w:rFonts w:cs="Calibri"/>
          <w:color w:val="000000"/>
          <w:sz w:val="24"/>
          <w:szCs w:val="24"/>
        </w:rPr>
        <w:t xml:space="preserve"> issue. In the other words, the dummies for regions</w:t>
      </w:r>
      <w:r w:rsidRPr="009E5B5E">
        <w:rPr>
          <w:rFonts w:cs="Times New Roman"/>
          <w:color w:val="222222"/>
          <w:sz w:val="24"/>
          <w:szCs w:val="24"/>
          <w:shd w:val="clear" w:color="auto" w:fill="FFFFFF"/>
        </w:rPr>
        <w:t xml:space="preserve"> included in the model are not related with the measures of new arrivals (NA</w:t>
      </w:r>
      <w:r w:rsidRPr="009E5B5E">
        <w:rPr>
          <w:rFonts w:cs="Times New Roman"/>
          <w:color w:val="222222"/>
          <w:sz w:val="24"/>
          <w:szCs w:val="24"/>
          <w:shd w:val="clear" w:color="auto" w:fill="FFFFFF"/>
          <w:vertAlign w:val="subscript"/>
        </w:rPr>
        <w:t>i</w:t>
      </w:r>
      <w:r w:rsidRPr="009E5B5E">
        <w:rPr>
          <w:rFonts w:cs="Times New Roman"/>
          <w:color w:val="222222"/>
          <w:sz w:val="24"/>
          <w:szCs w:val="24"/>
          <w:shd w:val="clear" w:color="auto" w:fill="FFFFFF"/>
        </w:rPr>
        <w:t>), innovativeness (INNOV</w:t>
      </w:r>
      <w:r w:rsidRPr="009E5B5E">
        <w:rPr>
          <w:rFonts w:cs="Times New Roman"/>
          <w:color w:val="222222"/>
          <w:sz w:val="24"/>
          <w:szCs w:val="24"/>
          <w:shd w:val="clear" w:color="auto" w:fill="FFFFFF"/>
          <w:vertAlign w:val="subscript"/>
        </w:rPr>
        <w:t>i</w:t>
      </w:r>
      <w:r w:rsidRPr="009E5B5E">
        <w:rPr>
          <w:rFonts w:cs="Times New Roman"/>
          <w:color w:val="222222"/>
          <w:sz w:val="24"/>
          <w:szCs w:val="24"/>
          <w:shd w:val="clear" w:color="auto" w:fill="FFFFFF"/>
        </w:rPr>
        <w:t>), and product involvement (INVOL</w:t>
      </w:r>
      <w:r w:rsidRPr="009E5B5E">
        <w:rPr>
          <w:rFonts w:cs="Times New Roman"/>
          <w:color w:val="222222"/>
          <w:sz w:val="24"/>
          <w:szCs w:val="24"/>
          <w:shd w:val="clear" w:color="auto" w:fill="FFFFFF"/>
          <w:vertAlign w:val="subscript"/>
        </w:rPr>
        <w:t>i</w:t>
      </w:r>
      <w:r w:rsidRPr="009E5B5E">
        <w:rPr>
          <w:rFonts w:cs="Times New Roman"/>
          <w:color w:val="222222"/>
          <w:sz w:val="24"/>
          <w:szCs w:val="24"/>
          <w:shd w:val="clear" w:color="auto" w:fill="FFFFFF"/>
        </w:rPr>
        <w:t>) variables</w:t>
      </w:r>
      <w:r w:rsidRPr="009E5B5E">
        <w:rPr>
          <w:rStyle w:val="FootnoteReference"/>
          <w:rFonts w:cs="Times New Roman"/>
          <w:color w:val="222222"/>
          <w:sz w:val="24"/>
          <w:szCs w:val="24"/>
          <w:shd w:val="clear" w:color="auto" w:fill="FFFFFF"/>
        </w:rPr>
        <w:footnoteReference w:id="5"/>
      </w:r>
      <w:r w:rsidRPr="009E5B5E">
        <w:rPr>
          <w:rFonts w:cs="Times New Roman"/>
          <w:color w:val="222222"/>
          <w:sz w:val="24"/>
          <w:szCs w:val="24"/>
          <w:shd w:val="clear" w:color="auto" w:fill="FFFFFF"/>
        </w:rPr>
        <w:t>.</w:t>
      </w:r>
      <w:r w:rsidRPr="009E5B5E">
        <w:rPr>
          <w:rFonts w:cs="Calibri"/>
          <w:color w:val="000000"/>
          <w:sz w:val="24"/>
          <w:szCs w:val="24"/>
        </w:rPr>
        <w:t xml:space="preserve"> These variables are treated as dummies and measured if a consumer visits that particular region or not. They are coded as </w:t>
      </w:r>
      <w:r w:rsidRPr="009E5B5E">
        <w:rPr>
          <w:rFonts w:cs="Calibri"/>
          <w:sz w:val="24"/>
          <w:szCs w:val="24"/>
        </w:rPr>
        <w:t xml:space="preserve">1 if a consumer spends more than 12 seconds in that particular region, otherwise they are coded as 0 if </w:t>
      </w:r>
      <w:r w:rsidRPr="009E5B5E">
        <w:rPr>
          <w:rFonts w:cs="Calibri"/>
          <w:color w:val="000000"/>
          <w:sz w:val="24"/>
          <w:szCs w:val="24"/>
        </w:rPr>
        <w:t>that particular region was not visited or only used to pass through</w:t>
      </w:r>
      <w:r w:rsidRPr="009E5B5E">
        <w:rPr>
          <w:rFonts w:cs="Calibri"/>
          <w:sz w:val="24"/>
          <w:szCs w:val="24"/>
        </w:rPr>
        <w:t xml:space="preserve">). </w:t>
      </w:r>
      <w:r w:rsidRPr="009E5B5E">
        <w:rPr>
          <w:rFonts w:cs="Calibri"/>
          <w:color w:val="000000"/>
          <w:sz w:val="24"/>
          <w:szCs w:val="24"/>
        </w:rPr>
        <w:t xml:space="preserve">Lastly, it is important to note that these 4 region dummies are not included in model 2 (i.e, Gender Specific Model) and model 3 (i.e., Three-Way Interaction Included Model) as contructed in following section 6.3.1. This is due to the fact that gender variable, which is one of the independent variable in both model, is derived from dummies for regions A, B, C and D. Therefore, to avoid the multicollinearity issue, these region variables are excluded in both models. </w:t>
      </w:r>
    </w:p>
    <w:p w:rsidR="00DA2247" w:rsidRPr="009E5B5E" w:rsidRDefault="00DA2247" w:rsidP="00DA2247">
      <w:pPr>
        <w:spacing w:line="360" w:lineRule="auto"/>
        <w:jc w:val="both"/>
        <w:rPr>
          <w:rFonts w:cs="Calibri"/>
          <w:color w:val="000000"/>
          <w:sz w:val="32"/>
          <w:szCs w:val="32"/>
        </w:rPr>
      </w:pPr>
      <w:r w:rsidRPr="009E5B5E">
        <w:rPr>
          <w:b/>
          <w:bCs/>
          <w:sz w:val="32"/>
          <w:szCs w:val="32"/>
        </w:rPr>
        <w:t>3.4 Data Cleaning</w:t>
      </w:r>
    </w:p>
    <w:p w:rsidR="00DA2247" w:rsidRPr="009E5B5E" w:rsidRDefault="00DA2247" w:rsidP="00DA2247">
      <w:pPr>
        <w:spacing w:line="360" w:lineRule="auto"/>
        <w:jc w:val="both"/>
        <w:rPr>
          <w:sz w:val="24"/>
          <w:szCs w:val="24"/>
        </w:rPr>
      </w:pPr>
      <w:r w:rsidRPr="009E5B5E">
        <w:rPr>
          <w:sz w:val="24"/>
          <w:szCs w:val="24"/>
        </w:rPr>
        <w:t>When visually inspecting the initial dataset with 12,115 observations, there are some following issues that have to be addressed and eliminated for the sake of the analysis.</w:t>
      </w:r>
    </w:p>
    <w:p w:rsidR="00DA2247" w:rsidRPr="009E5B5E" w:rsidRDefault="00DA2247" w:rsidP="00DA2247">
      <w:pPr>
        <w:spacing w:line="360" w:lineRule="auto"/>
        <w:jc w:val="both"/>
        <w:rPr>
          <w:sz w:val="24"/>
          <w:szCs w:val="24"/>
        </w:rPr>
      </w:pPr>
      <w:r w:rsidRPr="009E5B5E">
        <w:rPr>
          <w:sz w:val="24"/>
          <w:szCs w:val="24"/>
        </w:rPr>
        <w:t>First, with respect to the purchase incidence data, there are 18 observations coded as purchase but spend less than 30 seconds in the store. These observations are inconsistent with the measure of purchase incidence variable mentioned previously; therefore, deleted from the dataset.</w:t>
      </w:r>
    </w:p>
    <w:p w:rsidR="00DA2247" w:rsidRPr="009E5B5E" w:rsidRDefault="00DA2247" w:rsidP="00DA2247">
      <w:pPr>
        <w:spacing w:line="360" w:lineRule="auto"/>
        <w:jc w:val="both"/>
        <w:rPr>
          <w:sz w:val="24"/>
          <w:szCs w:val="24"/>
        </w:rPr>
      </w:pPr>
      <w:r w:rsidRPr="009E5B5E">
        <w:rPr>
          <w:sz w:val="24"/>
          <w:szCs w:val="24"/>
        </w:rPr>
        <w:t xml:space="preserve">Second, there are 5 observations with zero second of dwell time, and 2,035 observations that visit only window display area (i.e., region H as displayed in </w:t>
      </w:r>
      <w:r w:rsidRPr="009E5B5E">
        <w:rPr>
          <w:rFonts w:cstheme="minorHAnsi"/>
          <w:color w:val="000000" w:themeColor="text1"/>
          <w:sz w:val="24"/>
          <w:szCs w:val="24"/>
        </w:rPr>
        <w:t>store division</w:t>
      </w:r>
      <w:r w:rsidRPr="009E5B5E">
        <w:rPr>
          <w:rFonts w:cstheme="minorHAnsi"/>
          <w:b/>
          <w:bCs/>
          <w:color w:val="000000" w:themeColor="text1"/>
          <w:sz w:val="24"/>
          <w:szCs w:val="24"/>
        </w:rPr>
        <w:t xml:space="preserve"> </w:t>
      </w:r>
      <w:r w:rsidRPr="009E5B5E">
        <w:rPr>
          <w:rFonts w:cstheme="minorHAnsi"/>
          <w:color w:val="000000" w:themeColor="text1"/>
          <w:sz w:val="24"/>
          <w:szCs w:val="24"/>
        </w:rPr>
        <w:t>map</w:t>
      </w:r>
      <w:r w:rsidRPr="009E5B5E">
        <w:rPr>
          <w:sz w:val="24"/>
          <w:szCs w:val="24"/>
        </w:rPr>
        <w:t xml:space="preserve">). All these </w:t>
      </w:r>
      <w:r w:rsidRPr="009E5B5E">
        <w:rPr>
          <w:sz w:val="24"/>
          <w:szCs w:val="24"/>
        </w:rPr>
        <w:lastRenderedPageBreak/>
        <w:t xml:space="preserve">observations indicate that 2,040 customers do not enter the store at all; therefore, are excluded from the dataset. </w:t>
      </w:r>
    </w:p>
    <w:p w:rsidR="00DA2247" w:rsidRPr="009E5B5E" w:rsidRDefault="00DA2247" w:rsidP="00DA2247">
      <w:pPr>
        <w:spacing w:line="360" w:lineRule="auto"/>
        <w:jc w:val="both"/>
        <w:rPr>
          <w:sz w:val="24"/>
          <w:szCs w:val="24"/>
        </w:rPr>
      </w:pPr>
      <w:r w:rsidRPr="009E5B5E">
        <w:rPr>
          <w:rFonts w:cstheme="minorHAnsi"/>
          <w:sz w:val="24"/>
          <w:szCs w:val="24"/>
        </w:rPr>
        <w:t>Third, regarding the employee contact data, there are 112 observations which employee contact are wrongly coded; therefore, cannot be identified whether the employee approaches these customers. Thus, these observations are deleted.</w:t>
      </w:r>
    </w:p>
    <w:p w:rsidR="00DA2247" w:rsidRPr="009E5B5E" w:rsidRDefault="00DA2247" w:rsidP="00DA2247">
      <w:pPr>
        <w:spacing w:line="360" w:lineRule="auto"/>
        <w:jc w:val="both"/>
        <w:rPr>
          <w:sz w:val="24"/>
          <w:szCs w:val="24"/>
        </w:rPr>
      </w:pPr>
      <w:r w:rsidRPr="009E5B5E">
        <w:rPr>
          <w:sz w:val="24"/>
          <w:szCs w:val="24"/>
        </w:rPr>
        <w:t>Last, as for innovativeness data, there are 83 observations which innovativeness ratio is larger than value 1, meaning that time customer spends in recent articles area is larger than the total time in the shop which is impossible. Therefore, these observations are deleted from the dataset.</w:t>
      </w:r>
    </w:p>
    <w:p w:rsidR="00DA2247" w:rsidRPr="009E5B5E" w:rsidRDefault="00DA2247" w:rsidP="00DA2247">
      <w:pPr>
        <w:spacing w:line="360" w:lineRule="auto"/>
        <w:jc w:val="both"/>
        <w:rPr>
          <w:sz w:val="24"/>
          <w:szCs w:val="24"/>
        </w:rPr>
      </w:pPr>
      <w:r w:rsidRPr="009E5B5E">
        <w:rPr>
          <w:sz w:val="24"/>
          <w:szCs w:val="24"/>
        </w:rPr>
        <w:t xml:space="preserve">In sum, 2,253 observations are deleted from the initial dataset, leaving 9,862 observations in the dataset which I label as ‘original dataset’. </w:t>
      </w:r>
    </w:p>
    <w:p w:rsidR="00DA2247" w:rsidRPr="009E5B5E" w:rsidRDefault="00DA2247" w:rsidP="00DA2247">
      <w:pPr>
        <w:spacing w:line="360" w:lineRule="auto"/>
        <w:rPr>
          <w:b/>
          <w:bCs/>
          <w:sz w:val="32"/>
          <w:szCs w:val="32"/>
        </w:rPr>
      </w:pPr>
      <w:r w:rsidRPr="009E5B5E">
        <w:rPr>
          <w:b/>
          <w:bCs/>
          <w:sz w:val="32"/>
          <w:szCs w:val="32"/>
        </w:rPr>
        <w:t>3.5 Datasets</w:t>
      </w:r>
    </w:p>
    <w:p w:rsidR="00DA2247" w:rsidRPr="009E5B5E" w:rsidRDefault="00DA2247" w:rsidP="00DA2247">
      <w:pPr>
        <w:spacing w:line="360" w:lineRule="auto"/>
        <w:jc w:val="both"/>
        <w:rPr>
          <w:sz w:val="24"/>
          <w:szCs w:val="24"/>
        </w:rPr>
      </w:pPr>
      <w:r w:rsidRPr="009E5B5E">
        <w:rPr>
          <w:sz w:val="24"/>
          <w:szCs w:val="24"/>
        </w:rPr>
        <w:t xml:space="preserve">For the purpose of the analyses in this master thesis which is discussed in the methodology section, three datasets were derived as follows. </w:t>
      </w:r>
    </w:p>
    <w:p w:rsidR="00DA2247" w:rsidRPr="009E5B5E" w:rsidRDefault="00DA2247" w:rsidP="00DA2247">
      <w:pPr>
        <w:spacing w:line="360" w:lineRule="auto"/>
        <w:jc w:val="both"/>
        <w:rPr>
          <w:sz w:val="24"/>
          <w:szCs w:val="24"/>
        </w:rPr>
      </w:pPr>
      <w:r w:rsidRPr="009E5B5E">
        <w:rPr>
          <w:sz w:val="24"/>
          <w:szCs w:val="24"/>
        </w:rPr>
        <w:t xml:space="preserve">I label my first dataset as </w:t>
      </w:r>
      <w:r w:rsidRPr="009E5B5E">
        <w:rPr>
          <w:i/>
          <w:iCs/>
          <w:sz w:val="24"/>
          <w:szCs w:val="24"/>
        </w:rPr>
        <w:t>original dataset</w:t>
      </w:r>
      <w:r w:rsidRPr="009E5B5E">
        <w:rPr>
          <w:sz w:val="24"/>
          <w:szCs w:val="24"/>
        </w:rPr>
        <w:t>. As mentioned previously in data cleaning section, this is the dataset which I exclude 2,253 observations. Thus, there are 9,862 observations in this dataset</w:t>
      </w:r>
    </w:p>
    <w:p w:rsidR="00DA2247" w:rsidRPr="009E5B5E" w:rsidRDefault="00DA2247" w:rsidP="00DA2247">
      <w:pPr>
        <w:spacing w:line="360" w:lineRule="auto"/>
        <w:jc w:val="both"/>
        <w:rPr>
          <w:sz w:val="24"/>
          <w:szCs w:val="24"/>
        </w:rPr>
      </w:pPr>
      <w:r w:rsidRPr="009E5B5E">
        <w:rPr>
          <w:sz w:val="24"/>
          <w:szCs w:val="24"/>
        </w:rPr>
        <w:t xml:space="preserve">I label the second dataset as </w:t>
      </w:r>
      <w:r w:rsidRPr="009E5B5E">
        <w:rPr>
          <w:i/>
          <w:iCs/>
          <w:sz w:val="24"/>
          <w:szCs w:val="24"/>
        </w:rPr>
        <w:t>reduced dataset</w:t>
      </w:r>
      <w:r w:rsidRPr="009E5B5E">
        <w:rPr>
          <w:sz w:val="24"/>
          <w:szCs w:val="24"/>
        </w:rPr>
        <w:t>. Despite an early pilot test period by AK, some issues still persisted with the data. One of the issues is that there are 423 observations of which time spent in store regions with recent articles and continuity products exceeds the total dwell time in the store, which is logically impossible</w:t>
      </w:r>
      <w:r w:rsidRPr="009E5B5E">
        <w:rPr>
          <w:rStyle w:val="FootnoteReference"/>
          <w:sz w:val="24"/>
          <w:szCs w:val="24"/>
        </w:rPr>
        <w:footnoteReference w:id="6"/>
      </w:r>
      <w:r w:rsidRPr="009E5B5E">
        <w:rPr>
          <w:sz w:val="24"/>
          <w:szCs w:val="24"/>
        </w:rPr>
        <w:t>. Therefore, my reduced dataset is derived by excluding these 423 observations from the original observations, in order to examine the robustness of the results obtained when applying logistic regression to the original dataset. Accordingly, there are 9,439 observations in this dataset.</w:t>
      </w:r>
    </w:p>
    <w:p w:rsidR="00DA2247" w:rsidRPr="009E5B5E" w:rsidRDefault="00DA2247" w:rsidP="00DA2247">
      <w:pPr>
        <w:spacing w:line="360" w:lineRule="auto"/>
        <w:jc w:val="both"/>
        <w:rPr>
          <w:sz w:val="24"/>
          <w:szCs w:val="24"/>
        </w:rPr>
      </w:pPr>
      <w:r w:rsidRPr="009E5B5E">
        <w:rPr>
          <w:sz w:val="24"/>
          <w:szCs w:val="24"/>
        </w:rPr>
        <w:t xml:space="preserve">I label my last dataset as </w:t>
      </w:r>
      <w:r w:rsidRPr="009E5B5E">
        <w:rPr>
          <w:i/>
          <w:iCs/>
          <w:sz w:val="24"/>
          <w:szCs w:val="24"/>
        </w:rPr>
        <w:t>gender-restricted dataset</w:t>
      </w:r>
      <w:r w:rsidRPr="009E5B5E">
        <w:rPr>
          <w:sz w:val="24"/>
          <w:szCs w:val="24"/>
        </w:rPr>
        <w:t xml:space="preserve">. Due to the hypotheses concerning gender of the consumers, dataset in which gender included is necessary. As mentioned previous in the measure of gender variable, it is possible to identify 1,467 observations in the reduced dataset </w:t>
      </w:r>
      <w:r w:rsidRPr="009E5B5E">
        <w:rPr>
          <w:sz w:val="24"/>
          <w:szCs w:val="24"/>
        </w:rPr>
        <w:lastRenderedPageBreak/>
        <w:t>as male consumers and 1,273 as female consumers. Therefore, there are in total 2,740 observations in this dataset.</w:t>
      </w:r>
    </w:p>
    <w:p w:rsidR="00DA2247" w:rsidRPr="009E5B5E" w:rsidRDefault="00DA2247" w:rsidP="00DA2247">
      <w:pPr>
        <w:spacing w:line="360" w:lineRule="auto"/>
        <w:rPr>
          <w:b/>
          <w:bCs/>
          <w:sz w:val="32"/>
          <w:szCs w:val="32"/>
        </w:rPr>
      </w:pPr>
      <w:r w:rsidRPr="009E5B5E">
        <w:rPr>
          <w:b/>
          <w:bCs/>
          <w:sz w:val="32"/>
          <w:szCs w:val="32"/>
        </w:rPr>
        <w:t>3.6 Methodology</w:t>
      </w:r>
    </w:p>
    <w:p w:rsidR="00DA2247" w:rsidRPr="009E5B5E" w:rsidRDefault="00DA2247" w:rsidP="00DA2247">
      <w:pPr>
        <w:spacing w:line="360" w:lineRule="auto"/>
        <w:jc w:val="both"/>
        <w:rPr>
          <w:b/>
          <w:bCs/>
          <w:sz w:val="28"/>
          <w:szCs w:val="28"/>
        </w:rPr>
      </w:pPr>
      <w:r w:rsidRPr="009E5B5E">
        <w:rPr>
          <w:b/>
          <w:bCs/>
          <w:sz w:val="28"/>
          <w:szCs w:val="28"/>
        </w:rPr>
        <w:t>3.6.1 Binomial logistic regression models</w:t>
      </w:r>
    </w:p>
    <w:p w:rsidR="00DA2247" w:rsidRPr="009E5B5E" w:rsidRDefault="00DA2247" w:rsidP="00DA2247">
      <w:pPr>
        <w:spacing w:line="360" w:lineRule="auto"/>
        <w:jc w:val="both"/>
        <w:rPr>
          <w:sz w:val="24"/>
          <w:szCs w:val="24"/>
        </w:rPr>
      </w:pPr>
      <w:r w:rsidRPr="009E5B5E">
        <w:rPr>
          <w:sz w:val="24"/>
          <w:szCs w:val="24"/>
        </w:rPr>
        <w:t xml:space="preserve">As outcome variable in this study is consumer purchase incidence which is either buy or not, this simply means that purchase incidence is a binary variable. Therefore, logistic regression is appropriate to test the hypotheses, as this type of multiple regression is used to model the probability of the binary dependent variable occurring, given known values of the predictor variables which are continuous or categorical. As </w:t>
      </w:r>
      <w:r w:rsidRPr="009E5B5E">
        <w:rPr>
          <w:i/>
          <w:iCs/>
          <w:sz w:val="24"/>
          <w:szCs w:val="24"/>
        </w:rPr>
        <w:t>“the formula for the choice probabilities takes a closed form and is readily interpretable”</w:t>
      </w:r>
      <w:r w:rsidRPr="009E5B5E">
        <w:rPr>
          <w:sz w:val="24"/>
          <w:szCs w:val="24"/>
        </w:rPr>
        <w:t xml:space="preserve"> (Train 2009, p.14), binary logit model is the most pervasively used discrete choice model.</w:t>
      </w:r>
    </w:p>
    <w:p w:rsidR="00DA2247" w:rsidRPr="009E5B5E" w:rsidRDefault="00DA2247" w:rsidP="00DA2247">
      <w:pPr>
        <w:spacing w:line="360" w:lineRule="auto"/>
        <w:jc w:val="both"/>
        <w:rPr>
          <w:sz w:val="24"/>
          <w:szCs w:val="24"/>
        </w:rPr>
      </w:pPr>
      <w:r w:rsidRPr="009E5B5E">
        <w:rPr>
          <w:sz w:val="24"/>
          <w:szCs w:val="24"/>
        </w:rPr>
        <w:t xml:space="preserve">Discrete choice models are usually derived by assuming that a decision maker performs utility-maximizing behavior. In the context of my thesis, the logit model specified below is derived as follow. A consumer (i.e., choice maker), labeled </w:t>
      </w:r>
      <w:r w:rsidRPr="009E5B5E">
        <w:rPr>
          <w:i/>
          <w:sz w:val="24"/>
          <w:szCs w:val="24"/>
        </w:rPr>
        <w:t>i</w:t>
      </w:r>
      <w:r w:rsidRPr="009E5B5E">
        <w:rPr>
          <w:sz w:val="24"/>
          <w:szCs w:val="24"/>
        </w:rPr>
        <w:t>, faces a decision among 2 alternative courses of action while inside the store: either she decides to purchase a product during her shopping trip (BUY</w:t>
      </w:r>
      <w:r w:rsidRPr="009E5B5E">
        <w:rPr>
          <w:sz w:val="24"/>
          <w:szCs w:val="24"/>
          <w:vertAlign w:val="subscript"/>
        </w:rPr>
        <w:t>i</w:t>
      </w:r>
      <w:r w:rsidRPr="009E5B5E">
        <w:rPr>
          <w:sz w:val="24"/>
          <w:szCs w:val="24"/>
        </w:rPr>
        <w:t>=1) or leaves the store without purchasing anything (BUY</w:t>
      </w:r>
      <w:r w:rsidRPr="009E5B5E">
        <w:rPr>
          <w:sz w:val="24"/>
          <w:szCs w:val="24"/>
          <w:vertAlign w:val="subscript"/>
        </w:rPr>
        <w:t>i</w:t>
      </w:r>
      <w:r w:rsidRPr="009E5B5E">
        <w:rPr>
          <w:sz w:val="24"/>
          <w:szCs w:val="24"/>
        </w:rPr>
        <w:t xml:space="preserve">=0). I assume that the consumer makes the choice that maximizes her level of utility, which will depend on the set of predictors introduced above. Even though consumer’s utility is unobservable (thus, labeled as latent utility), function of factors affecting the utility can be specified. Since alternative with highest latent utility is chosen by consumer </w:t>
      </w:r>
      <w:r w:rsidRPr="009E5B5E">
        <w:rPr>
          <w:i/>
          <w:sz w:val="24"/>
          <w:szCs w:val="24"/>
        </w:rPr>
        <w:t>i</w:t>
      </w:r>
      <w:r w:rsidRPr="009E5B5E">
        <w:rPr>
          <w:sz w:val="24"/>
          <w:szCs w:val="24"/>
        </w:rPr>
        <w:t>, the alternative 1 (Buy</w:t>
      </w:r>
      <w:r w:rsidRPr="009E5B5E">
        <w:rPr>
          <w:sz w:val="24"/>
          <w:szCs w:val="24"/>
          <w:vertAlign w:val="subscript"/>
        </w:rPr>
        <w:t>i</w:t>
      </w:r>
      <w:r w:rsidRPr="009E5B5E">
        <w:rPr>
          <w:sz w:val="24"/>
          <w:szCs w:val="24"/>
        </w:rPr>
        <w:t>=1) will be chosen whenever</w:t>
      </w:r>
      <w:r w:rsidRPr="009E5B5E">
        <w:rPr>
          <w:rFonts w:cs="Calibri"/>
          <w:sz w:val="24"/>
          <w:szCs w:val="24"/>
        </w:rPr>
        <w:t xml:space="preserve"> U</w:t>
      </w:r>
      <w:r w:rsidRPr="009E5B5E">
        <w:rPr>
          <w:rFonts w:cs="Calibri"/>
          <w:sz w:val="24"/>
          <w:szCs w:val="24"/>
          <w:vertAlign w:val="subscript"/>
        </w:rPr>
        <w:t>i[BUY=1]</w:t>
      </w:r>
      <w:r w:rsidRPr="009E5B5E">
        <w:rPr>
          <w:rFonts w:cs="Calibri"/>
          <w:sz w:val="24"/>
          <w:szCs w:val="24"/>
        </w:rPr>
        <w:t>-U</w:t>
      </w:r>
      <w:r w:rsidRPr="009E5B5E">
        <w:rPr>
          <w:rFonts w:cs="Calibri"/>
          <w:sz w:val="24"/>
          <w:szCs w:val="24"/>
          <w:vertAlign w:val="subscript"/>
        </w:rPr>
        <w:t>i[BUY=0]</w:t>
      </w:r>
      <w:r w:rsidRPr="009E5B5E">
        <w:rPr>
          <w:rFonts w:cs="Calibri"/>
          <w:sz w:val="24"/>
          <w:szCs w:val="24"/>
        </w:rPr>
        <w:t xml:space="preserve">&gt;0 (in other words, when the utility of </w:t>
      </w:r>
      <w:r w:rsidRPr="009E5B5E">
        <w:rPr>
          <w:rFonts w:cs="Calibri"/>
          <w:i/>
          <w:sz w:val="24"/>
          <w:szCs w:val="24"/>
        </w:rPr>
        <w:t xml:space="preserve">buying </w:t>
      </w:r>
      <w:r w:rsidRPr="009E5B5E">
        <w:rPr>
          <w:rFonts w:cs="Calibri"/>
          <w:sz w:val="24"/>
          <w:szCs w:val="24"/>
        </w:rPr>
        <w:t xml:space="preserve">is greater than the utility of </w:t>
      </w:r>
      <w:r w:rsidRPr="009E5B5E">
        <w:rPr>
          <w:rFonts w:cs="Calibri"/>
          <w:i/>
          <w:sz w:val="24"/>
          <w:szCs w:val="24"/>
        </w:rPr>
        <w:t>not buying</w:t>
      </w:r>
      <w:r w:rsidRPr="009E5B5E">
        <w:rPr>
          <w:rFonts w:cs="Calibri"/>
          <w:sz w:val="24"/>
          <w:szCs w:val="24"/>
        </w:rPr>
        <w:t xml:space="preserve">), </w:t>
      </w:r>
      <w:r w:rsidRPr="009E5B5E">
        <w:rPr>
          <w:sz w:val="24"/>
          <w:szCs w:val="24"/>
        </w:rPr>
        <w:t xml:space="preserve">otherwise </w:t>
      </w:r>
      <w:r w:rsidRPr="009E5B5E">
        <w:rPr>
          <w:vanish/>
          <w:sz w:val="24"/>
          <w:szCs w:val="24"/>
        </w:rPr>
        <w:t>ffects significantly improves teh ird mo</w:t>
      </w:r>
      <w:r w:rsidRPr="009E5B5E">
        <w:rPr>
          <w:sz w:val="24"/>
          <w:szCs w:val="24"/>
        </w:rPr>
        <w:t>BUY</w:t>
      </w:r>
      <w:r w:rsidRPr="009E5B5E">
        <w:rPr>
          <w:sz w:val="24"/>
          <w:szCs w:val="24"/>
          <w:vertAlign w:val="subscript"/>
        </w:rPr>
        <w:t>i</w:t>
      </w:r>
      <w:r w:rsidRPr="009E5B5E">
        <w:rPr>
          <w:sz w:val="24"/>
          <w:szCs w:val="24"/>
        </w:rPr>
        <w:t xml:space="preserve"> = 0. </w:t>
      </w:r>
    </w:p>
    <w:p w:rsidR="00DA2247" w:rsidRPr="009E5B5E" w:rsidRDefault="00DA2247" w:rsidP="00DA2247">
      <w:pPr>
        <w:spacing w:line="360" w:lineRule="auto"/>
        <w:jc w:val="both"/>
        <w:rPr>
          <w:sz w:val="24"/>
          <w:szCs w:val="24"/>
        </w:rPr>
      </w:pPr>
      <w:r w:rsidRPr="009E5B5E">
        <w:rPr>
          <w:sz w:val="24"/>
          <w:szCs w:val="24"/>
        </w:rPr>
        <w:t xml:space="preserve">The latent utility that the consumer </w:t>
      </w:r>
      <w:r w:rsidRPr="009E5B5E">
        <w:rPr>
          <w:i/>
          <w:sz w:val="24"/>
          <w:szCs w:val="24"/>
        </w:rPr>
        <w:t xml:space="preserve">i </w:t>
      </w:r>
      <w:r w:rsidRPr="009E5B5E">
        <w:rPr>
          <w:sz w:val="24"/>
          <w:szCs w:val="24"/>
        </w:rPr>
        <w:t xml:space="preserve">obtains from alternative </w:t>
      </w:r>
      <w:r w:rsidRPr="009E5B5E">
        <w:rPr>
          <w:i/>
          <w:sz w:val="24"/>
          <w:szCs w:val="24"/>
        </w:rPr>
        <w:t>j</w:t>
      </w:r>
      <w:r w:rsidRPr="009E5B5E">
        <w:rPr>
          <w:sz w:val="24"/>
          <w:szCs w:val="24"/>
        </w:rPr>
        <w:t xml:space="preserve"> (alternatives being </w:t>
      </w:r>
      <w:r w:rsidRPr="009E5B5E">
        <w:rPr>
          <w:i/>
          <w:sz w:val="24"/>
          <w:szCs w:val="24"/>
        </w:rPr>
        <w:t xml:space="preserve">j = BUY </w:t>
      </w:r>
      <w:r w:rsidRPr="009E5B5E">
        <w:rPr>
          <w:sz w:val="24"/>
          <w:szCs w:val="24"/>
        </w:rPr>
        <w:t xml:space="preserve">and </w:t>
      </w:r>
      <w:r w:rsidRPr="009E5B5E">
        <w:rPr>
          <w:i/>
          <w:sz w:val="24"/>
          <w:szCs w:val="24"/>
        </w:rPr>
        <w:t xml:space="preserve">j </w:t>
      </w:r>
      <w:r w:rsidRPr="009E5B5E">
        <w:rPr>
          <w:sz w:val="24"/>
          <w:szCs w:val="24"/>
        </w:rPr>
        <w:t xml:space="preserve">= </w:t>
      </w:r>
      <w:r w:rsidRPr="009E5B5E">
        <w:rPr>
          <w:i/>
          <w:sz w:val="24"/>
          <w:szCs w:val="24"/>
        </w:rPr>
        <w:t>NO-PURCHASE</w:t>
      </w:r>
      <w:r w:rsidRPr="009E5B5E">
        <w:rPr>
          <w:sz w:val="24"/>
          <w:szCs w:val="24"/>
        </w:rPr>
        <w:t>) is sum of the attributes contributing to it, which decomposed into (1) a known part labeled as V</w:t>
      </w:r>
      <w:r w:rsidRPr="009E5B5E">
        <w:rPr>
          <w:sz w:val="24"/>
          <w:szCs w:val="24"/>
          <w:vertAlign w:val="subscript"/>
        </w:rPr>
        <w:t>ij</w:t>
      </w:r>
      <w:r w:rsidRPr="009E5B5E">
        <w:rPr>
          <w:sz w:val="24"/>
          <w:szCs w:val="24"/>
        </w:rPr>
        <w:t>, comprised of observed parameters affecting the utility, which is mathematically denoted as V</w:t>
      </w:r>
      <w:r w:rsidRPr="009E5B5E">
        <w:rPr>
          <w:sz w:val="24"/>
          <w:szCs w:val="24"/>
          <w:vertAlign w:val="subscript"/>
        </w:rPr>
        <w:t>ij</w:t>
      </w:r>
      <w:r w:rsidRPr="009E5B5E">
        <w:rPr>
          <w:sz w:val="24"/>
          <w:szCs w:val="24"/>
        </w:rPr>
        <w:t>= β0 + β1*X</w:t>
      </w:r>
      <w:r w:rsidRPr="009E5B5E">
        <w:rPr>
          <w:sz w:val="24"/>
          <w:szCs w:val="24"/>
          <w:vertAlign w:val="subscript"/>
        </w:rPr>
        <w:t>1i</w:t>
      </w:r>
      <w:r w:rsidRPr="009E5B5E">
        <w:rPr>
          <w:sz w:val="24"/>
          <w:szCs w:val="24"/>
        </w:rPr>
        <w:t xml:space="preserve"> + … + βn*X</w:t>
      </w:r>
      <w:r w:rsidRPr="009E5B5E">
        <w:rPr>
          <w:sz w:val="24"/>
          <w:szCs w:val="24"/>
          <w:vertAlign w:val="subscript"/>
        </w:rPr>
        <w:t>ni</w:t>
      </w:r>
      <w:r w:rsidRPr="009E5B5E">
        <w:rPr>
          <w:sz w:val="24"/>
          <w:szCs w:val="24"/>
        </w:rPr>
        <w:t>, and (2) an unknown part ε</w:t>
      </w:r>
      <w:r w:rsidRPr="009E5B5E">
        <w:rPr>
          <w:sz w:val="24"/>
          <w:szCs w:val="24"/>
          <w:vertAlign w:val="subscript"/>
        </w:rPr>
        <w:t>ij</w:t>
      </w:r>
      <w:r w:rsidRPr="009E5B5E">
        <w:rPr>
          <w:sz w:val="24"/>
          <w:szCs w:val="24"/>
        </w:rPr>
        <w:t xml:space="preserve"> which is treated as random term. The utility function is denoted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782"/>
      </w:tblGrid>
      <w:tr w:rsidR="00DA2247" w:rsidRPr="009E5B5E" w:rsidTr="005A408B">
        <w:tc>
          <w:tcPr>
            <w:tcW w:w="9180" w:type="dxa"/>
          </w:tcPr>
          <w:p w:rsidR="00DA2247" w:rsidRPr="009E5B5E" w:rsidRDefault="00DA2247" w:rsidP="005A408B">
            <w:pPr>
              <w:spacing w:line="360" w:lineRule="auto"/>
              <w:jc w:val="center"/>
              <w:rPr>
                <w:sz w:val="24"/>
                <w:szCs w:val="24"/>
              </w:rPr>
            </w:pPr>
            <w:r w:rsidRPr="009E5B5E">
              <w:rPr>
                <w:sz w:val="24"/>
                <w:szCs w:val="24"/>
              </w:rPr>
              <w:t>U</w:t>
            </w:r>
            <w:r w:rsidRPr="009E5B5E">
              <w:rPr>
                <w:sz w:val="24"/>
                <w:szCs w:val="24"/>
                <w:vertAlign w:val="subscript"/>
              </w:rPr>
              <w:t xml:space="preserve">ij </w:t>
            </w:r>
            <w:r w:rsidRPr="009E5B5E">
              <w:rPr>
                <w:sz w:val="24"/>
                <w:szCs w:val="24"/>
              </w:rPr>
              <w:t>= β0 + β1*X</w:t>
            </w:r>
            <w:r w:rsidRPr="009E5B5E">
              <w:rPr>
                <w:sz w:val="24"/>
                <w:szCs w:val="24"/>
                <w:vertAlign w:val="subscript"/>
              </w:rPr>
              <w:t>1i</w:t>
            </w:r>
            <w:r w:rsidRPr="009E5B5E">
              <w:rPr>
                <w:sz w:val="24"/>
                <w:szCs w:val="24"/>
              </w:rPr>
              <w:t xml:space="preserve"> + … + βn*X</w:t>
            </w:r>
            <w:r w:rsidRPr="009E5B5E">
              <w:rPr>
                <w:sz w:val="24"/>
                <w:szCs w:val="24"/>
                <w:vertAlign w:val="subscript"/>
              </w:rPr>
              <w:t>ni</w:t>
            </w:r>
            <w:r w:rsidRPr="009E5B5E">
              <w:rPr>
                <w:sz w:val="24"/>
                <w:szCs w:val="24"/>
              </w:rPr>
              <w:t xml:space="preserve"> + ε</w:t>
            </w:r>
            <w:r w:rsidRPr="009E5B5E">
              <w:rPr>
                <w:sz w:val="24"/>
                <w:szCs w:val="24"/>
                <w:vertAlign w:val="subscript"/>
              </w:rPr>
              <w:t>ij</w:t>
            </w:r>
            <w:r w:rsidRPr="009E5B5E">
              <w:rPr>
                <w:sz w:val="24"/>
                <w:szCs w:val="24"/>
              </w:rPr>
              <w:t xml:space="preserve"> </w:t>
            </w:r>
            <w:r w:rsidRPr="009E5B5E">
              <w:rPr>
                <w:rFonts w:cs="Cambria Math"/>
                <w:sz w:val="24"/>
                <w:szCs w:val="24"/>
              </w:rPr>
              <w:t>∀</w:t>
            </w:r>
            <w:r w:rsidRPr="009E5B5E">
              <w:rPr>
                <w:rFonts w:cs="Calibri"/>
                <w:sz w:val="24"/>
                <w:szCs w:val="24"/>
              </w:rPr>
              <w:t xml:space="preserve"> j </w:t>
            </w:r>
          </w:p>
        </w:tc>
        <w:tc>
          <w:tcPr>
            <w:tcW w:w="782" w:type="dxa"/>
          </w:tcPr>
          <w:p w:rsidR="00DA2247" w:rsidRPr="009E5B5E" w:rsidRDefault="00DA2247" w:rsidP="00DA2247">
            <w:pPr>
              <w:pStyle w:val="ListParagraph"/>
              <w:numPr>
                <w:ilvl w:val="0"/>
                <w:numId w:val="10"/>
              </w:numPr>
              <w:spacing w:line="360" w:lineRule="auto"/>
              <w:jc w:val="right"/>
              <w:rPr>
                <w:sz w:val="24"/>
                <w:szCs w:val="24"/>
              </w:rPr>
            </w:pPr>
          </w:p>
        </w:tc>
      </w:tr>
    </w:tbl>
    <w:p w:rsidR="00DA2247" w:rsidRPr="009E5B5E" w:rsidRDefault="00DA2247" w:rsidP="00DA2247">
      <w:pPr>
        <w:spacing w:line="360" w:lineRule="auto"/>
        <w:jc w:val="both"/>
        <w:rPr>
          <w:sz w:val="24"/>
          <w:szCs w:val="24"/>
        </w:rPr>
      </w:pPr>
      <w:r w:rsidRPr="009E5B5E">
        <w:rPr>
          <w:sz w:val="24"/>
          <w:szCs w:val="24"/>
        </w:rPr>
        <w:t xml:space="preserve">With the joint density of the random vector </w:t>
      </w:r>
      <w:r w:rsidRPr="009E5B5E">
        <w:rPr>
          <w:rFonts w:cs="Times-Roman"/>
          <w:sz w:val="24"/>
          <w:szCs w:val="24"/>
        </w:rPr>
        <w:t xml:space="preserve">denoted as </w:t>
      </w:r>
      <w:r w:rsidRPr="009E5B5E">
        <w:rPr>
          <w:rFonts w:cs="Times-Italic"/>
          <w:i/>
          <w:iCs/>
          <w:sz w:val="24"/>
          <w:szCs w:val="24"/>
        </w:rPr>
        <w:t>f</w:t>
      </w:r>
      <w:r w:rsidRPr="009E5B5E">
        <w:rPr>
          <w:rFonts w:cs="Times-Roman"/>
          <w:i/>
          <w:iCs/>
          <w:sz w:val="24"/>
          <w:szCs w:val="24"/>
        </w:rPr>
        <w:t>(</w:t>
      </w:r>
      <w:r w:rsidRPr="009E5B5E">
        <w:rPr>
          <w:rFonts w:cs="RMTMI"/>
          <w:sz w:val="24"/>
          <w:szCs w:val="24"/>
        </w:rPr>
        <w:t>ε</w:t>
      </w:r>
      <w:r w:rsidRPr="009E5B5E">
        <w:rPr>
          <w:rFonts w:cs="Times-Italic"/>
          <w:sz w:val="24"/>
          <w:szCs w:val="24"/>
          <w:vertAlign w:val="subscript"/>
        </w:rPr>
        <w:t>i</w:t>
      </w:r>
      <w:r w:rsidRPr="009E5B5E">
        <w:rPr>
          <w:rFonts w:cs="Times-Roman"/>
          <w:i/>
          <w:iCs/>
          <w:sz w:val="24"/>
          <w:szCs w:val="24"/>
        </w:rPr>
        <w:t xml:space="preserve">), </w:t>
      </w:r>
      <w:r w:rsidRPr="009E5B5E">
        <w:rPr>
          <w:rFonts w:cs="Times-Roman"/>
          <w:sz w:val="24"/>
          <w:szCs w:val="24"/>
        </w:rPr>
        <w:t>probabilistic st</w:t>
      </w:r>
      <w:r w:rsidRPr="009E5B5E">
        <w:rPr>
          <w:rFonts w:cs="Calibri"/>
          <w:sz w:val="24"/>
          <w:szCs w:val="24"/>
        </w:rPr>
        <w:t xml:space="preserve">atements about consumer </w:t>
      </w:r>
      <w:r w:rsidRPr="009E5B5E">
        <w:rPr>
          <w:rFonts w:cs="Calibri"/>
          <w:i/>
          <w:sz w:val="24"/>
          <w:szCs w:val="24"/>
        </w:rPr>
        <w:t>i</w:t>
      </w:r>
      <w:r w:rsidRPr="009E5B5E">
        <w:rPr>
          <w:rFonts w:cs="Calibri"/>
          <w:sz w:val="24"/>
          <w:szCs w:val="24"/>
        </w:rPr>
        <w:t xml:space="preserve">’s decision to purchase or not during her visit to the store can be created. Denoting </w:t>
      </w:r>
      <w:r w:rsidRPr="009E5B5E">
        <w:rPr>
          <w:rFonts w:cs="Calibri"/>
          <w:sz w:val="24"/>
          <w:szCs w:val="24"/>
        </w:rPr>
        <w:lastRenderedPageBreak/>
        <w:t xml:space="preserve">the probability that consumer </w:t>
      </w:r>
      <w:r w:rsidRPr="009E5B5E">
        <w:rPr>
          <w:rFonts w:cs="Calibri"/>
          <w:i/>
          <w:sz w:val="24"/>
          <w:szCs w:val="24"/>
        </w:rPr>
        <w:t>i</w:t>
      </w:r>
      <w:r w:rsidRPr="009E5B5E">
        <w:rPr>
          <w:rFonts w:cs="Calibri"/>
          <w:sz w:val="24"/>
          <w:szCs w:val="24"/>
        </w:rPr>
        <w:t xml:space="preserve"> chooses to make a purchase by </w:t>
      </w:r>
      <w:r w:rsidRPr="009E5B5E">
        <w:rPr>
          <w:sz w:val="24"/>
          <w:szCs w:val="24"/>
        </w:rPr>
        <w:t>P</w:t>
      </w:r>
      <w:r w:rsidRPr="009E5B5E">
        <w:rPr>
          <w:sz w:val="24"/>
          <w:szCs w:val="24"/>
          <w:vertAlign w:val="subscript"/>
        </w:rPr>
        <w:t>i1</w:t>
      </w:r>
      <w:r w:rsidRPr="009E5B5E">
        <w:rPr>
          <w:rFonts w:cs="Calibri"/>
          <w:sz w:val="24"/>
          <w:szCs w:val="24"/>
        </w:rPr>
        <w:t xml:space="preserve"> (and U</w:t>
      </w:r>
      <w:r w:rsidRPr="009E5B5E">
        <w:rPr>
          <w:rFonts w:cs="Calibri"/>
          <w:sz w:val="24"/>
          <w:szCs w:val="24"/>
          <w:vertAlign w:val="subscript"/>
        </w:rPr>
        <w:t>i[BUY=1]</w:t>
      </w:r>
      <w:r w:rsidRPr="009E5B5E">
        <w:rPr>
          <w:rFonts w:cs="Calibri"/>
          <w:sz w:val="24"/>
          <w:szCs w:val="24"/>
        </w:rPr>
        <w:t xml:space="preserve">= </w:t>
      </w:r>
      <w:r w:rsidRPr="009E5B5E">
        <w:rPr>
          <w:sz w:val="24"/>
          <w:szCs w:val="24"/>
        </w:rPr>
        <w:t>U</w:t>
      </w:r>
      <w:r w:rsidRPr="009E5B5E">
        <w:rPr>
          <w:sz w:val="24"/>
          <w:szCs w:val="24"/>
          <w:vertAlign w:val="subscript"/>
        </w:rPr>
        <w:t>i1</w:t>
      </w:r>
      <w:r w:rsidRPr="009E5B5E">
        <w:rPr>
          <w:rFonts w:cs="Calibri"/>
          <w:sz w:val="24"/>
          <w:szCs w:val="24"/>
        </w:rPr>
        <w:t xml:space="preserve">; and conversely the probability of no purchase being made by </w:t>
      </w:r>
      <w:r w:rsidRPr="009E5B5E">
        <w:rPr>
          <w:sz w:val="24"/>
          <w:szCs w:val="24"/>
        </w:rPr>
        <w:t>P</w:t>
      </w:r>
      <w:r w:rsidRPr="009E5B5E">
        <w:rPr>
          <w:sz w:val="24"/>
          <w:szCs w:val="24"/>
          <w:vertAlign w:val="subscript"/>
        </w:rPr>
        <w:t>i0</w:t>
      </w:r>
      <w:r w:rsidRPr="009E5B5E">
        <w:rPr>
          <w:rFonts w:cs="Calibri"/>
          <w:sz w:val="24"/>
          <w:szCs w:val="24"/>
        </w:rPr>
        <w:t xml:space="preserve"> and U</w:t>
      </w:r>
      <w:r w:rsidRPr="009E5B5E">
        <w:rPr>
          <w:rFonts w:cs="Calibri"/>
          <w:sz w:val="24"/>
          <w:szCs w:val="24"/>
          <w:vertAlign w:val="subscript"/>
        </w:rPr>
        <w:t>i[BUY=0]</w:t>
      </w:r>
      <w:r w:rsidRPr="009E5B5E">
        <w:rPr>
          <w:rFonts w:cs="Calibri"/>
          <w:sz w:val="24"/>
          <w:szCs w:val="24"/>
        </w:rPr>
        <w:t xml:space="preserve">= </w:t>
      </w:r>
      <w:r w:rsidRPr="009E5B5E">
        <w:rPr>
          <w:sz w:val="24"/>
          <w:szCs w:val="24"/>
        </w:rPr>
        <w:t>U</w:t>
      </w:r>
      <w:r w:rsidRPr="009E5B5E">
        <w:rPr>
          <w:sz w:val="24"/>
          <w:szCs w:val="24"/>
          <w:vertAlign w:val="subscript"/>
        </w:rPr>
        <w:t>i0</w:t>
      </w:r>
      <w:r w:rsidRPr="009E5B5E">
        <w:rPr>
          <w:rFonts w:cs="Calibri"/>
          <w:sz w:val="24"/>
          <w:szCs w:val="24"/>
        </w:rPr>
        <w:t>), we can then derive the purchase probability as:</w:t>
      </w:r>
      <w:r w:rsidRPr="009E5B5E">
        <w:rPr>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782"/>
      </w:tblGrid>
      <w:tr w:rsidR="00DA2247" w:rsidRPr="00F96E97" w:rsidTr="005A408B">
        <w:trPr>
          <w:trHeight w:val="1203"/>
        </w:trPr>
        <w:tc>
          <w:tcPr>
            <w:tcW w:w="9180" w:type="dxa"/>
          </w:tcPr>
          <w:p w:rsidR="00DA2247" w:rsidRPr="009E5B5E" w:rsidRDefault="00DA2247" w:rsidP="005A408B">
            <w:pPr>
              <w:spacing w:after="200" w:line="360" w:lineRule="auto"/>
              <w:jc w:val="center"/>
              <w:rPr>
                <w:rFonts w:cs="Calibri"/>
                <w:sz w:val="24"/>
                <w:szCs w:val="24"/>
                <w:lang w:val="pt-PT"/>
              </w:rPr>
            </w:pPr>
            <w:r w:rsidRPr="009E5B5E">
              <w:rPr>
                <w:sz w:val="24"/>
                <w:szCs w:val="24"/>
                <w:lang w:val="pt-PT"/>
              </w:rPr>
              <w:t>P</w:t>
            </w:r>
            <w:r w:rsidRPr="009E5B5E">
              <w:rPr>
                <w:sz w:val="24"/>
                <w:szCs w:val="24"/>
                <w:vertAlign w:val="subscript"/>
                <w:lang w:val="pt-PT"/>
              </w:rPr>
              <w:t>i1</w:t>
            </w:r>
            <w:r w:rsidRPr="009E5B5E">
              <w:rPr>
                <w:sz w:val="24"/>
                <w:szCs w:val="24"/>
                <w:lang w:val="pt-PT"/>
              </w:rPr>
              <w:t xml:space="preserve"> = Prob(U</w:t>
            </w:r>
            <w:r w:rsidRPr="009E5B5E">
              <w:rPr>
                <w:sz w:val="24"/>
                <w:szCs w:val="24"/>
                <w:vertAlign w:val="subscript"/>
                <w:lang w:val="pt-PT"/>
              </w:rPr>
              <w:t>i1</w:t>
            </w:r>
            <w:r w:rsidRPr="009E5B5E">
              <w:rPr>
                <w:sz w:val="24"/>
                <w:szCs w:val="24"/>
                <w:lang w:val="pt-PT"/>
              </w:rPr>
              <w:t xml:space="preserve"> &gt; U</w:t>
            </w:r>
            <w:r w:rsidRPr="009E5B5E">
              <w:rPr>
                <w:sz w:val="24"/>
                <w:szCs w:val="24"/>
                <w:vertAlign w:val="subscript"/>
                <w:lang w:val="pt-PT"/>
              </w:rPr>
              <w:t>i0</w:t>
            </w:r>
            <w:r w:rsidRPr="009E5B5E">
              <w:rPr>
                <w:rFonts w:cs="Calibri"/>
                <w:sz w:val="24"/>
                <w:szCs w:val="24"/>
                <w:lang w:val="pt-PT"/>
              </w:rPr>
              <w:t>)</w:t>
            </w:r>
          </w:p>
          <w:p w:rsidR="00DA2247" w:rsidRPr="009E5B5E" w:rsidRDefault="00DA2247" w:rsidP="005A408B">
            <w:pPr>
              <w:spacing w:after="200" w:line="360" w:lineRule="auto"/>
              <w:jc w:val="both"/>
              <w:rPr>
                <w:rFonts w:cs="Calibri"/>
                <w:sz w:val="24"/>
                <w:szCs w:val="24"/>
                <w:lang w:val="pt-PT"/>
              </w:rPr>
            </w:pPr>
            <w:r w:rsidRPr="009E5B5E">
              <w:rPr>
                <w:rFonts w:cs="Calibri"/>
                <w:sz w:val="24"/>
                <w:szCs w:val="24"/>
                <w:lang w:val="pt-PT"/>
              </w:rPr>
              <w:t xml:space="preserve">     </w:t>
            </w:r>
            <w:r w:rsidRPr="009E5B5E">
              <w:rPr>
                <w:rFonts w:cs="Calibri"/>
                <w:sz w:val="24"/>
                <w:szCs w:val="24"/>
                <w:lang w:val="pt-PT"/>
              </w:rPr>
              <w:tab/>
            </w:r>
            <w:r w:rsidRPr="009E5B5E">
              <w:rPr>
                <w:rFonts w:cs="Calibri"/>
                <w:sz w:val="24"/>
                <w:szCs w:val="24"/>
                <w:lang w:val="pt-PT"/>
              </w:rPr>
              <w:tab/>
            </w:r>
            <w:r w:rsidRPr="009E5B5E">
              <w:rPr>
                <w:rFonts w:cs="Calibri"/>
                <w:sz w:val="24"/>
                <w:szCs w:val="24"/>
                <w:lang w:val="pt-PT"/>
              </w:rPr>
              <w:tab/>
            </w:r>
            <w:r w:rsidRPr="009E5B5E">
              <w:rPr>
                <w:rFonts w:cs="Calibri"/>
                <w:sz w:val="24"/>
                <w:szCs w:val="24"/>
                <w:lang w:val="pt-PT"/>
              </w:rPr>
              <w:tab/>
            </w:r>
            <w:r w:rsidRPr="009E5B5E">
              <w:rPr>
                <w:rFonts w:cs="Calibri"/>
                <w:sz w:val="24"/>
                <w:szCs w:val="24"/>
                <w:lang w:val="pt-PT"/>
              </w:rPr>
              <w:tab/>
              <w:t xml:space="preserve">    </w:t>
            </w:r>
            <w:r w:rsidRPr="009E5B5E">
              <w:rPr>
                <w:sz w:val="24"/>
                <w:szCs w:val="24"/>
                <w:lang w:val="pt-PT"/>
              </w:rPr>
              <w:t>= Prob(V</w:t>
            </w:r>
            <w:r w:rsidRPr="009E5B5E">
              <w:rPr>
                <w:sz w:val="24"/>
                <w:szCs w:val="24"/>
                <w:vertAlign w:val="subscript"/>
                <w:lang w:val="pt-PT"/>
              </w:rPr>
              <w:t>i1</w:t>
            </w:r>
            <w:r w:rsidRPr="009E5B5E">
              <w:rPr>
                <w:sz w:val="24"/>
                <w:szCs w:val="24"/>
                <w:lang w:val="pt-PT"/>
              </w:rPr>
              <w:t xml:space="preserve">+ </w:t>
            </w:r>
            <w:r w:rsidRPr="009E5B5E">
              <w:rPr>
                <w:sz w:val="24"/>
                <w:szCs w:val="24"/>
              </w:rPr>
              <w:t>ε</w:t>
            </w:r>
            <w:r w:rsidRPr="009E5B5E">
              <w:rPr>
                <w:sz w:val="24"/>
                <w:szCs w:val="24"/>
                <w:vertAlign w:val="subscript"/>
                <w:lang w:val="pt-PT"/>
              </w:rPr>
              <w:t>i1</w:t>
            </w:r>
            <w:r w:rsidRPr="009E5B5E">
              <w:rPr>
                <w:sz w:val="24"/>
                <w:szCs w:val="24"/>
                <w:lang w:val="pt-PT"/>
              </w:rPr>
              <w:t xml:space="preserve"> &gt; V</w:t>
            </w:r>
            <w:r w:rsidRPr="009E5B5E">
              <w:rPr>
                <w:sz w:val="24"/>
                <w:szCs w:val="24"/>
                <w:vertAlign w:val="subscript"/>
                <w:lang w:val="pt-PT"/>
              </w:rPr>
              <w:t>i0</w:t>
            </w:r>
            <w:r w:rsidRPr="009E5B5E">
              <w:rPr>
                <w:sz w:val="24"/>
                <w:szCs w:val="24"/>
                <w:lang w:val="pt-PT"/>
              </w:rPr>
              <w:t xml:space="preserve">+ </w:t>
            </w:r>
            <w:r w:rsidRPr="009E5B5E">
              <w:rPr>
                <w:sz w:val="24"/>
                <w:szCs w:val="24"/>
              </w:rPr>
              <w:t>ε</w:t>
            </w:r>
            <w:r w:rsidRPr="009E5B5E">
              <w:rPr>
                <w:sz w:val="24"/>
                <w:szCs w:val="24"/>
                <w:vertAlign w:val="subscript"/>
                <w:lang w:val="pt-PT"/>
              </w:rPr>
              <w:t>i0</w:t>
            </w:r>
            <w:r w:rsidRPr="009E5B5E">
              <w:rPr>
                <w:rFonts w:cs="Calibri"/>
                <w:sz w:val="24"/>
                <w:szCs w:val="24"/>
                <w:lang w:val="pt-PT"/>
              </w:rPr>
              <w:t>)</w:t>
            </w:r>
          </w:p>
          <w:p w:rsidR="00DA2247" w:rsidRPr="009E5B5E" w:rsidRDefault="00DA2247" w:rsidP="005A408B">
            <w:pPr>
              <w:spacing w:after="200" w:line="360" w:lineRule="auto"/>
              <w:jc w:val="both"/>
              <w:rPr>
                <w:sz w:val="24"/>
                <w:szCs w:val="24"/>
                <w:lang w:val="pt-PT"/>
              </w:rPr>
            </w:pPr>
            <w:r w:rsidRPr="009E5B5E">
              <w:rPr>
                <w:rFonts w:cs="Calibri"/>
                <w:sz w:val="24"/>
                <w:szCs w:val="24"/>
                <w:lang w:val="pt-PT"/>
              </w:rPr>
              <w:t xml:space="preserve">  </w:t>
            </w:r>
            <w:r w:rsidRPr="009E5B5E">
              <w:rPr>
                <w:rFonts w:cs="Calibri"/>
                <w:sz w:val="24"/>
                <w:szCs w:val="24"/>
                <w:lang w:val="pt-PT"/>
              </w:rPr>
              <w:tab/>
            </w:r>
            <w:r w:rsidRPr="009E5B5E">
              <w:rPr>
                <w:rFonts w:cs="Calibri"/>
                <w:sz w:val="24"/>
                <w:szCs w:val="24"/>
                <w:lang w:val="pt-PT"/>
              </w:rPr>
              <w:tab/>
            </w:r>
            <w:r w:rsidRPr="009E5B5E">
              <w:rPr>
                <w:rFonts w:cs="Calibri"/>
                <w:sz w:val="24"/>
                <w:szCs w:val="24"/>
                <w:lang w:val="pt-PT"/>
              </w:rPr>
              <w:tab/>
            </w:r>
            <w:r w:rsidRPr="009E5B5E">
              <w:rPr>
                <w:rFonts w:cs="Calibri"/>
                <w:sz w:val="24"/>
                <w:szCs w:val="24"/>
                <w:lang w:val="pt-PT"/>
              </w:rPr>
              <w:tab/>
            </w:r>
            <w:r w:rsidRPr="009E5B5E">
              <w:rPr>
                <w:rFonts w:cs="Calibri"/>
                <w:sz w:val="24"/>
                <w:szCs w:val="24"/>
                <w:lang w:val="pt-PT"/>
              </w:rPr>
              <w:tab/>
              <w:t xml:space="preserve">    = </w:t>
            </w:r>
            <w:r w:rsidRPr="009E5B5E">
              <w:rPr>
                <w:sz w:val="24"/>
                <w:szCs w:val="24"/>
                <w:lang w:val="pt-PT"/>
              </w:rPr>
              <w:t>Prob(</w:t>
            </w:r>
            <w:r w:rsidRPr="009E5B5E">
              <w:rPr>
                <w:sz w:val="24"/>
                <w:szCs w:val="24"/>
              </w:rPr>
              <w:t>ε</w:t>
            </w:r>
            <w:r w:rsidRPr="009E5B5E">
              <w:rPr>
                <w:sz w:val="24"/>
                <w:szCs w:val="24"/>
                <w:vertAlign w:val="subscript"/>
                <w:lang w:val="pt-PT"/>
              </w:rPr>
              <w:t>i0</w:t>
            </w:r>
            <w:r w:rsidRPr="009E5B5E">
              <w:rPr>
                <w:sz w:val="24"/>
                <w:szCs w:val="24"/>
                <w:lang w:val="pt-PT"/>
              </w:rPr>
              <w:t>-</w:t>
            </w:r>
            <w:r w:rsidRPr="009E5B5E">
              <w:rPr>
                <w:sz w:val="24"/>
                <w:szCs w:val="24"/>
              </w:rPr>
              <w:t>ε</w:t>
            </w:r>
            <w:r w:rsidRPr="009E5B5E">
              <w:rPr>
                <w:sz w:val="24"/>
                <w:szCs w:val="24"/>
                <w:vertAlign w:val="subscript"/>
                <w:lang w:val="pt-PT"/>
              </w:rPr>
              <w:t>i1</w:t>
            </w:r>
            <w:r w:rsidRPr="009E5B5E">
              <w:rPr>
                <w:sz w:val="24"/>
                <w:szCs w:val="24"/>
                <w:lang w:val="pt-PT"/>
              </w:rPr>
              <w:t xml:space="preserve"> </w:t>
            </w:r>
            <w:r w:rsidRPr="009E5B5E">
              <w:rPr>
                <w:rFonts w:cs="RMTMI"/>
                <w:i/>
                <w:iCs/>
                <w:lang w:val="pt-PT"/>
              </w:rPr>
              <w:t>&lt;</w:t>
            </w:r>
            <w:r w:rsidRPr="009E5B5E">
              <w:rPr>
                <w:sz w:val="24"/>
                <w:szCs w:val="24"/>
                <w:lang w:val="pt-PT"/>
              </w:rPr>
              <w:t xml:space="preserve"> V</w:t>
            </w:r>
            <w:r w:rsidRPr="009E5B5E">
              <w:rPr>
                <w:sz w:val="24"/>
                <w:szCs w:val="24"/>
                <w:vertAlign w:val="subscript"/>
                <w:lang w:val="pt-PT"/>
              </w:rPr>
              <w:t>i1</w:t>
            </w:r>
            <w:r w:rsidRPr="009E5B5E">
              <w:rPr>
                <w:sz w:val="24"/>
                <w:szCs w:val="24"/>
                <w:lang w:val="pt-PT"/>
              </w:rPr>
              <w:t>- V</w:t>
            </w:r>
            <w:r w:rsidRPr="009E5B5E">
              <w:rPr>
                <w:sz w:val="24"/>
                <w:szCs w:val="24"/>
                <w:vertAlign w:val="subscript"/>
                <w:lang w:val="pt-PT"/>
              </w:rPr>
              <w:t>i0</w:t>
            </w:r>
            <w:r w:rsidRPr="009E5B5E">
              <w:rPr>
                <w:rFonts w:cs="Calibri"/>
                <w:sz w:val="24"/>
                <w:szCs w:val="24"/>
                <w:lang w:val="pt-PT"/>
              </w:rPr>
              <w:t>)</w:t>
            </w:r>
          </w:p>
        </w:tc>
        <w:tc>
          <w:tcPr>
            <w:tcW w:w="782" w:type="dxa"/>
          </w:tcPr>
          <w:p w:rsidR="00DA2247" w:rsidRPr="009E5B5E" w:rsidRDefault="00DA2247" w:rsidP="00DA2247">
            <w:pPr>
              <w:pStyle w:val="ListParagraph"/>
              <w:numPr>
                <w:ilvl w:val="0"/>
                <w:numId w:val="10"/>
              </w:numPr>
              <w:spacing w:line="360" w:lineRule="auto"/>
              <w:jc w:val="right"/>
              <w:rPr>
                <w:sz w:val="24"/>
                <w:szCs w:val="24"/>
                <w:lang w:val="pt-PT"/>
              </w:rPr>
            </w:pPr>
          </w:p>
        </w:tc>
      </w:tr>
    </w:tbl>
    <w:p w:rsidR="00DA2247" w:rsidRPr="009E5B5E" w:rsidRDefault="00DA2247" w:rsidP="00DA2247">
      <w:pPr>
        <w:spacing w:line="360" w:lineRule="auto"/>
        <w:jc w:val="both"/>
        <w:rPr>
          <w:rFonts w:cs="Calibri"/>
          <w:sz w:val="24"/>
          <w:szCs w:val="24"/>
          <w:lang w:val="pt-PT"/>
        </w:rPr>
      </w:pPr>
      <w:r w:rsidRPr="009E5B5E">
        <w:rPr>
          <w:rFonts w:cs="Calibri"/>
          <w:sz w:val="24"/>
          <w:szCs w:val="24"/>
          <w:lang w:val="pt-PT"/>
        </w:rPr>
        <w:t xml:space="preserve"> </w:t>
      </w:r>
    </w:p>
    <w:p w:rsidR="00DA2247" w:rsidRPr="009E5B5E" w:rsidRDefault="00DA2247" w:rsidP="00DA2247">
      <w:pPr>
        <w:spacing w:line="360" w:lineRule="auto"/>
        <w:jc w:val="both"/>
        <w:rPr>
          <w:sz w:val="24"/>
          <w:szCs w:val="24"/>
        </w:rPr>
      </w:pPr>
      <w:r w:rsidRPr="009E5B5E">
        <w:rPr>
          <w:sz w:val="24"/>
          <w:szCs w:val="24"/>
        </w:rPr>
        <w:t xml:space="preserve">Using the density </w:t>
      </w:r>
      <w:r w:rsidRPr="009E5B5E">
        <w:rPr>
          <w:rFonts w:cs="Times-Italic"/>
          <w:i/>
          <w:iCs/>
          <w:sz w:val="24"/>
          <w:szCs w:val="24"/>
        </w:rPr>
        <w:t>f</w:t>
      </w:r>
      <w:r w:rsidRPr="009E5B5E">
        <w:rPr>
          <w:rFonts w:cs="Times-Roman"/>
          <w:i/>
          <w:iCs/>
          <w:sz w:val="24"/>
          <w:szCs w:val="24"/>
        </w:rPr>
        <w:t>(</w:t>
      </w:r>
      <w:r w:rsidRPr="009E5B5E">
        <w:rPr>
          <w:rFonts w:cs="RMTMI"/>
          <w:sz w:val="24"/>
          <w:szCs w:val="24"/>
        </w:rPr>
        <w:t>ε</w:t>
      </w:r>
      <w:r w:rsidRPr="009E5B5E">
        <w:rPr>
          <w:rFonts w:cs="Times-Italic"/>
          <w:sz w:val="24"/>
          <w:szCs w:val="24"/>
          <w:vertAlign w:val="subscript"/>
        </w:rPr>
        <w:t>i</w:t>
      </w:r>
      <w:r w:rsidRPr="009E5B5E">
        <w:rPr>
          <w:rFonts w:cs="Times-Roman"/>
          <w:i/>
          <w:iCs/>
          <w:sz w:val="24"/>
          <w:szCs w:val="24"/>
        </w:rPr>
        <w:t>),</w:t>
      </w:r>
      <w:r w:rsidRPr="009E5B5E">
        <w:rPr>
          <w:sz w:val="24"/>
          <w:szCs w:val="24"/>
        </w:rPr>
        <w:t xml:space="preserve"> this cumulative probability can be rewritten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782"/>
      </w:tblGrid>
      <w:tr w:rsidR="00DA2247" w:rsidRPr="009E5B5E" w:rsidTr="005A408B">
        <w:trPr>
          <w:trHeight w:val="500"/>
        </w:trPr>
        <w:tc>
          <w:tcPr>
            <w:tcW w:w="9180" w:type="dxa"/>
          </w:tcPr>
          <w:p w:rsidR="00DA2247" w:rsidRPr="009E5B5E" w:rsidRDefault="00DA2247" w:rsidP="005A408B">
            <w:pPr>
              <w:spacing w:after="200" w:line="360" w:lineRule="auto"/>
              <w:jc w:val="center"/>
              <w:rPr>
                <w:sz w:val="24"/>
                <w:szCs w:val="24"/>
              </w:rPr>
            </w:pPr>
            <w:r w:rsidRPr="009E5B5E">
              <w:rPr>
                <w:sz w:val="24"/>
                <w:szCs w:val="24"/>
              </w:rPr>
              <w:t>P</w:t>
            </w:r>
            <w:r w:rsidRPr="009E5B5E">
              <w:rPr>
                <w:sz w:val="24"/>
                <w:szCs w:val="24"/>
                <w:vertAlign w:val="subscript"/>
              </w:rPr>
              <w:t>i1</w:t>
            </w:r>
            <w:r w:rsidRPr="009E5B5E">
              <w:rPr>
                <w:sz w:val="24"/>
                <w:szCs w:val="24"/>
              </w:rPr>
              <w:t>= ⨜</w:t>
            </w:r>
            <w:r w:rsidRPr="009E5B5E">
              <w:rPr>
                <w:sz w:val="24"/>
                <w:szCs w:val="24"/>
                <w:vertAlign w:val="subscript"/>
              </w:rPr>
              <w:t xml:space="preserve">ε </w:t>
            </w:r>
            <w:r w:rsidRPr="009E5B5E">
              <w:rPr>
                <w:sz w:val="24"/>
                <w:szCs w:val="24"/>
              </w:rPr>
              <w:t>I(ε</w:t>
            </w:r>
            <w:r w:rsidRPr="009E5B5E">
              <w:rPr>
                <w:sz w:val="24"/>
                <w:szCs w:val="24"/>
                <w:vertAlign w:val="subscript"/>
              </w:rPr>
              <w:t>i0</w:t>
            </w:r>
            <w:r w:rsidRPr="009E5B5E">
              <w:rPr>
                <w:sz w:val="24"/>
                <w:szCs w:val="24"/>
              </w:rPr>
              <w:t xml:space="preserve"> − ε</w:t>
            </w:r>
            <w:r w:rsidRPr="009E5B5E">
              <w:rPr>
                <w:sz w:val="24"/>
                <w:szCs w:val="24"/>
                <w:vertAlign w:val="subscript"/>
              </w:rPr>
              <w:t>i1</w:t>
            </w:r>
            <w:r w:rsidRPr="009E5B5E">
              <w:rPr>
                <w:sz w:val="24"/>
                <w:szCs w:val="24"/>
              </w:rPr>
              <w:t xml:space="preserve"> &lt; V</w:t>
            </w:r>
            <w:r w:rsidRPr="009E5B5E">
              <w:rPr>
                <w:sz w:val="24"/>
                <w:szCs w:val="24"/>
                <w:vertAlign w:val="subscript"/>
              </w:rPr>
              <w:t>i1</w:t>
            </w:r>
            <w:r w:rsidRPr="009E5B5E">
              <w:rPr>
                <w:sz w:val="24"/>
                <w:szCs w:val="24"/>
              </w:rPr>
              <w:t xml:space="preserve"> − V</w:t>
            </w:r>
            <w:r w:rsidRPr="009E5B5E">
              <w:rPr>
                <w:sz w:val="24"/>
                <w:szCs w:val="24"/>
                <w:vertAlign w:val="subscript"/>
              </w:rPr>
              <w:t>i0</w:t>
            </w:r>
            <w:r w:rsidRPr="009E5B5E">
              <w:rPr>
                <w:rFonts w:cs="Calibri"/>
                <w:sz w:val="24"/>
                <w:szCs w:val="24"/>
              </w:rPr>
              <w:t xml:space="preserve">) </w:t>
            </w:r>
            <w:r w:rsidRPr="009E5B5E">
              <w:rPr>
                <w:rFonts w:cs="Calibri"/>
                <w:i/>
                <w:sz w:val="24"/>
                <w:szCs w:val="24"/>
              </w:rPr>
              <w:t>f</w:t>
            </w:r>
            <w:r w:rsidRPr="009E5B5E">
              <w:rPr>
                <w:rFonts w:cs="Calibri"/>
                <w:sz w:val="24"/>
                <w:szCs w:val="24"/>
              </w:rPr>
              <w:t>(ε</w:t>
            </w:r>
            <w:r w:rsidRPr="009E5B5E">
              <w:rPr>
                <w:rFonts w:cs="Calibri"/>
                <w:sz w:val="24"/>
                <w:szCs w:val="24"/>
                <w:vertAlign w:val="subscript"/>
              </w:rPr>
              <w:t>n</w:t>
            </w:r>
            <w:r w:rsidRPr="009E5B5E">
              <w:rPr>
                <w:rFonts w:cs="Calibri"/>
                <w:sz w:val="24"/>
                <w:szCs w:val="24"/>
              </w:rPr>
              <w:t>)dε</w:t>
            </w:r>
          </w:p>
        </w:tc>
        <w:tc>
          <w:tcPr>
            <w:tcW w:w="782" w:type="dxa"/>
          </w:tcPr>
          <w:p w:rsidR="00DA2247" w:rsidRPr="009E5B5E" w:rsidRDefault="00DA2247" w:rsidP="00DA2247">
            <w:pPr>
              <w:pStyle w:val="ListParagraph"/>
              <w:numPr>
                <w:ilvl w:val="0"/>
                <w:numId w:val="10"/>
              </w:numPr>
              <w:spacing w:line="360" w:lineRule="auto"/>
              <w:jc w:val="right"/>
              <w:rPr>
                <w:sz w:val="24"/>
                <w:szCs w:val="24"/>
              </w:rPr>
            </w:pPr>
          </w:p>
        </w:tc>
      </w:tr>
    </w:tbl>
    <w:p w:rsidR="00DA2247" w:rsidRPr="009E5B5E" w:rsidRDefault="00DA2247" w:rsidP="00DA2247">
      <w:pPr>
        <w:spacing w:line="360" w:lineRule="auto"/>
        <w:jc w:val="both"/>
        <w:rPr>
          <w:sz w:val="24"/>
          <w:szCs w:val="24"/>
        </w:rPr>
      </w:pPr>
      <w:r w:rsidRPr="009E5B5E">
        <w:rPr>
          <w:sz w:val="24"/>
          <w:szCs w:val="24"/>
        </w:rPr>
        <w:t>where I (∙) is the indicator function, giving value 1 when the expression in parentheses is true,  otherwise 0. Logit has closed-form expressions for this integral. It is derived by assuming that each unobserved component of utility (ε</w:t>
      </w:r>
      <w:r w:rsidRPr="009E5B5E">
        <w:rPr>
          <w:sz w:val="24"/>
          <w:szCs w:val="24"/>
          <w:vertAlign w:val="subscript"/>
        </w:rPr>
        <w:t>ij</w:t>
      </w:r>
      <w:r w:rsidRPr="009E5B5E">
        <w:rPr>
          <w:sz w:val="24"/>
          <w:szCs w:val="24"/>
        </w:rPr>
        <w:t xml:space="preserve">, for </w:t>
      </w:r>
      <w:r w:rsidRPr="009E5B5E">
        <w:rPr>
          <w:i/>
          <w:sz w:val="24"/>
          <w:szCs w:val="24"/>
        </w:rPr>
        <w:t>j=0,1</w:t>
      </w:r>
      <w:r w:rsidRPr="009E5B5E">
        <w:rPr>
          <w:sz w:val="24"/>
          <w:szCs w:val="24"/>
        </w:rPr>
        <w:t xml:space="preserve">) is independently, identically distributed extreme value as following type I extreme value distribution. Finally, in this binary choice, the equation of the choice probability with several predictors is expressed as follow (Field 2009):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782"/>
      </w:tblGrid>
      <w:tr w:rsidR="00DA2247" w:rsidRPr="009E5B5E" w:rsidTr="005A408B">
        <w:trPr>
          <w:trHeight w:val="500"/>
        </w:trPr>
        <w:tc>
          <w:tcPr>
            <w:tcW w:w="9180" w:type="dxa"/>
          </w:tcPr>
          <w:p w:rsidR="00DA2247" w:rsidRPr="009E5B5E" w:rsidRDefault="00AD7D97" w:rsidP="005A408B">
            <w:pPr>
              <w:spacing w:after="200" w:line="360" w:lineRule="auto"/>
              <w:jc w:val="center"/>
              <w:rPr>
                <w:sz w:val="24"/>
                <w:szCs w:val="24"/>
              </w:rPr>
            </w:pPr>
            <m:oMathPara>
              <m:oMath>
                <m:sSub>
                  <m:sSubPr>
                    <m:ctrlPr>
                      <w:rPr>
                        <w:rFonts w:ascii="Cambria Math" w:hAnsi="Cambria Math"/>
                        <w:sz w:val="24"/>
                        <w:szCs w:val="24"/>
                        <w:lang w:val="pt-PT"/>
                      </w:rPr>
                    </m:ctrlPr>
                  </m:sSubPr>
                  <m:e>
                    <m:r>
                      <m:rPr>
                        <m:sty m:val="p"/>
                      </m:rPr>
                      <w:rPr>
                        <w:rFonts w:ascii="Cambria Math" w:hAnsi="Cambria Math"/>
                        <w:sz w:val="24"/>
                        <w:szCs w:val="24"/>
                        <w:lang w:val="pt-PT"/>
                      </w:rPr>
                      <m:t>P</m:t>
                    </m:r>
                  </m:e>
                  <m:sub>
                    <m:r>
                      <m:rPr>
                        <m:sty m:val="p"/>
                      </m:rPr>
                      <w:rPr>
                        <w:rFonts w:ascii="Cambria Math" w:hAnsi="Cambria Math"/>
                        <w:sz w:val="24"/>
                        <w:szCs w:val="24"/>
                        <w:lang w:val="pt-PT"/>
                      </w:rPr>
                      <m:t>i1</m:t>
                    </m:r>
                  </m:sub>
                </m:sSub>
                <m:r>
                  <m:rPr>
                    <m:sty m:val="p"/>
                  </m:rPr>
                  <w:rPr>
                    <w:rFonts w:ascii="Cambria Math" w:hAnsi="Cambria Math"/>
                    <w:sz w:val="24"/>
                    <w:szCs w:val="24"/>
                    <w:vertAlign w:val="subscript"/>
                    <w:lang w:val="pt-PT"/>
                  </w:rPr>
                  <m:t>=</m:t>
                </m:r>
                <m:r>
                  <w:rPr>
                    <w:rFonts w:ascii="Cambria Math" w:hAnsi="Cambria Math"/>
                    <w:sz w:val="24"/>
                    <w:szCs w:val="24"/>
                  </w:rPr>
                  <m:t>Pr</m:t>
                </m:r>
                <m:d>
                  <m:dPr>
                    <m:ctrlPr>
                      <w:rPr>
                        <w:rFonts w:ascii="Cambria Math" w:hAnsi="Cambria Math"/>
                        <w:i/>
                        <w:sz w:val="24"/>
                        <w:szCs w:val="24"/>
                      </w:rPr>
                    </m:ctrlPr>
                  </m:dPr>
                  <m:e>
                    <m:r>
                      <w:rPr>
                        <w:rFonts w:ascii="Cambria Math" w:hAnsi="Cambria Math"/>
                        <w:sz w:val="24"/>
                        <w:szCs w:val="24"/>
                      </w:rPr>
                      <m:t>BUYi=1</m:t>
                    </m:r>
                  </m:e>
                </m:d>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-(β0+β1X1</m:t>
                        </m:r>
                        <m:r>
                          <w:rPr>
                            <w:rFonts w:ascii="Cambria Math"/>
                            <w:sz w:val="24"/>
                            <w:szCs w:val="24"/>
                          </w:rPr>
                          <m:t>i</m:t>
                        </m:r>
                        <m:r>
                          <w:rPr>
                            <w:rFonts w:ascii="Cambria Math" w:hAnsi="Cambria Math"/>
                            <w:sz w:val="24"/>
                            <w:szCs w:val="24"/>
                          </w:rPr>
                          <m:t>+β2X2</m:t>
                        </m:r>
                        <m:r>
                          <w:rPr>
                            <w:rFonts w:ascii="Cambria Math"/>
                            <w:sz w:val="24"/>
                            <w:szCs w:val="24"/>
                          </w:rPr>
                          <m:t>i</m:t>
                        </m:r>
                        <m:r>
                          <w:rPr>
                            <w:rFonts w:ascii="Cambria Math" w:hAnsi="Cambria Math"/>
                            <w:sz w:val="24"/>
                            <w:szCs w:val="24"/>
                          </w:rPr>
                          <m:t>+…+βnXni+ε)</m:t>
                        </m:r>
                      </m:sup>
                    </m:sSup>
                  </m:den>
                </m:f>
              </m:oMath>
            </m:oMathPara>
          </w:p>
        </w:tc>
        <w:tc>
          <w:tcPr>
            <w:tcW w:w="782" w:type="dxa"/>
          </w:tcPr>
          <w:p w:rsidR="00DA2247" w:rsidRPr="009E5B5E" w:rsidRDefault="00DA2247" w:rsidP="00DA2247">
            <w:pPr>
              <w:pStyle w:val="ListParagraph"/>
              <w:numPr>
                <w:ilvl w:val="0"/>
                <w:numId w:val="10"/>
              </w:numPr>
              <w:spacing w:line="360" w:lineRule="auto"/>
              <w:jc w:val="right"/>
              <w:rPr>
                <w:sz w:val="24"/>
                <w:szCs w:val="24"/>
              </w:rPr>
            </w:pPr>
          </w:p>
        </w:tc>
      </w:tr>
    </w:tbl>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sz w:val="24"/>
          <w:szCs w:val="24"/>
        </w:rPr>
      </w:pPr>
      <w:r w:rsidRPr="009E5B5E">
        <w:rPr>
          <w:sz w:val="24"/>
          <w:szCs w:val="24"/>
        </w:rPr>
        <w:t>In which P(BUY</w:t>
      </w:r>
      <w:r w:rsidRPr="009E5B5E">
        <w:rPr>
          <w:sz w:val="24"/>
          <w:szCs w:val="24"/>
          <w:vertAlign w:val="subscript"/>
        </w:rPr>
        <w:t>i</w:t>
      </w:r>
      <w:r w:rsidRPr="009E5B5E">
        <w:rPr>
          <w:sz w:val="24"/>
          <w:szCs w:val="24"/>
        </w:rPr>
        <w:t>=1) is the probability of ‘purchase’ occurring which varies between zero and one. A value close to zero indicate that the probability of purchase occurring is very small, whereas a value close one means that purchase is very likely to occur. As can be seen, the logistic regression expresses the multiple regression equation in logarithmic terms in order to solve the problem of violating the assumption of linearity. Most importantly, maximum-likelihood estimation is used to estimate the values of the parameters for the predictor variables, the betas, in order to select coefficients that make the observed values most likely to have occurred.</w:t>
      </w:r>
    </w:p>
    <w:p w:rsidR="00DA2247" w:rsidRPr="009E5B5E" w:rsidRDefault="00DA2247" w:rsidP="00DA2247">
      <w:pPr>
        <w:tabs>
          <w:tab w:val="left" w:pos="5666"/>
        </w:tabs>
        <w:spacing w:line="360" w:lineRule="auto"/>
        <w:jc w:val="both"/>
        <w:rPr>
          <w:sz w:val="24"/>
          <w:szCs w:val="24"/>
        </w:rPr>
      </w:pPr>
      <w:r w:rsidRPr="009E5B5E">
        <w:rPr>
          <w:sz w:val="24"/>
          <w:szCs w:val="24"/>
        </w:rPr>
        <w:t xml:space="preserve">In this study, forced entry method of regression in which all variables are included in the logistic regression model at once is most appropriate. This is because forced entry method is usually used when theory-based hypotheses are formulated based on previous research. Since </w:t>
      </w:r>
      <w:r w:rsidRPr="009E5B5E">
        <w:rPr>
          <w:sz w:val="24"/>
          <w:szCs w:val="24"/>
        </w:rPr>
        <w:lastRenderedPageBreak/>
        <w:t>predictor variables in this study are based on previous research, the forced entry method of regression is therefore used.</w:t>
      </w:r>
    </w:p>
    <w:p w:rsidR="00DA2247" w:rsidRPr="009E5B5E" w:rsidRDefault="00DA2247" w:rsidP="00DA2247">
      <w:pPr>
        <w:spacing w:line="360" w:lineRule="auto"/>
        <w:jc w:val="both"/>
        <w:rPr>
          <w:b/>
          <w:bCs/>
          <w:sz w:val="24"/>
          <w:szCs w:val="24"/>
        </w:rPr>
      </w:pPr>
      <w:r w:rsidRPr="009E5B5E">
        <w:rPr>
          <w:b/>
          <w:bCs/>
          <w:sz w:val="24"/>
          <w:szCs w:val="24"/>
        </w:rPr>
        <w:t>Model 1: General model</w:t>
      </w:r>
    </w:p>
    <w:p w:rsidR="00DA2247" w:rsidRPr="009E5B5E" w:rsidRDefault="00DA2247" w:rsidP="00DA2247">
      <w:pPr>
        <w:spacing w:line="360" w:lineRule="auto"/>
        <w:jc w:val="both"/>
        <w:rPr>
          <w:sz w:val="24"/>
          <w:szCs w:val="24"/>
        </w:rPr>
      </w:pPr>
      <w:r w:rsidRPr="009E5B5E">
        <w:rPr>
          <w:sz w:val="24"/>
          <w:szCs w:val="24"/>
        </w:rPr>
        <w:t xml:space="preserve">On the basis of my conceptual framework, model 1, which I label as </w:t>
      </w:r>
      <w:r w:rsidRPr="009E5B5E">
        <w:rPr>
          <w:i/>
          <w:sz w:val="24"/>
          <w:szCs w:val="24"/>
        </w:rPr>
        <w:t>general model</w:t>
      </w:r>
      <w:r w:rsidRPr="009E5B5E">
        <w:rPr>
          <w:sz w:val="24"/>
          <w:szCs w:val="24"/>
        </w:rPr>
        <w:t>, is constructed in order to (1) test the influence of in-store marketing, namely in-store display renewal (DIS</w:t>
      </w:r>
      <w:r w:rsidRPr="009E5B5E">
        <w:rPr>
          <w:sz w:val="24"/>
          <w:szCs w:val="24"/>
          <w:vertAlign w:val="subscript"/>
        </w:rPr>
        <w:t>i</w:t>
      </w:r>
      <w:r w:rsidRPr="009E5B5E">
        <w:rPr>
          <w:sz w:val="24"/>
          <w:szCs w:val="24"/>
        </w:rPr>
        <w:t>), products relocation (RELOC</w:t>
      </w:r>
      <w:r w:rsidRPr="009E5B5E">
        <w:rPr>
          <w:sz w:val="24"/>
          <w:szCs w:val="24"/>
          <w:vertAlign w:val="subscript"/>
        </w:rPr>
        <w:t>i</w:t>
      </w:r>
      <w:r w:rsidRPr="009E5B5E">
        <w:rPr>
          <w:sz w:val="24"/>
          <w:szCs w:val="24"/>
        </w:rPr>
        <w:t>), and sales promotion (SALE</w:t>
      </w:r>
      <w:r w:rsidRPr="009E5B5E">
        <w:rPr>
          <w:sz w:val="24"/>
          <w:szCs w:val="24"/>
          <w:vertAlign w:val="subscript"/>
        </w:rPr>
        <w:t>i</w:t>
      </w:r>
      <w:r w:rsidRPr="009E5B5E">
        <w:rPr>
          <w:sz w:val="24"/>
          <w:szCs w:val="24"/>
        </w:rPr>
        <w:t>), on shopper’s purchase incidence (BUY</w:t>
      </w:r>
      <w:r w:rsidRPr="009E5B5E">
        <w:rPr>
          <w:sz w:val="24"/>
          <w:szCs w:val="24"/>
          <w:vertAlign w:val="subscript"/>
        </w:rPr>
        <w:t>i</w:t>
      </w:r>
      <w:r w:rsidRPr="009E5B5E">
        <w:rPr>
          <w:sz w:val="24"/>
          <w:szCs w:val="24"/>
        </w:rPr>
        <w:t>=1) as stated in hypothesis 1, and (2) test the influence of friend(s) presence (FRIEND</w:t>
      </w:r>
      <w:r w:rsidRPr="009E5B5E">
        <w:rPr>
          <w:sz w:val="24"/>
          <w:szCs w:val="24"/>
          <w:vertAlign w:val="subscript"/>
        </w:rPr>
        <w:t>i</w:t>
      </w:r>
      <w:r w:rsidRPr="009E5B5E">
        <w:rPr>
          <w:sz w:val="24"/>
          <w:szCs w:val="24"/>
        </w:rPr>
        <w:t>=1) on purchase incidence as stated in hypothesis 2. Accordingly, the independent variables representing main effects (</w:t>
      </w:r>
      <w:r w:rsidRPr="009E5B5E">
        <w:rPr>
          <w:i/>
          <w:iCs/>
          <w:sz w:val="24"/>
          <w:szCs w:val="24"/>
        </w:rPr>
        <w:t>New display, Table Change, Sales, Friend</w:t>
      </w:r>
      <w:r w:rsidRPr="009E5B5E">
        <w:rPr>
          <w:sz w:val="24"/>
          <w:szCs w:val="24"/>
        </w:rPr>
        <w:t>) and control variables (</w:t>
      </w:r>
      <w:r w:rsidRPr="009E5B5E">
        <w:rPr>
          <w:i/>
          <w:iCs/>
          <w:sz w:val="24"/>
          <w:szCs w:val="24"/>
        </w:rPr>
        <w:t>Dwell Time (DT</w:t>
      </w:r>
      <w:r w:rsidRPr="009E5B5E">
        <w:rPr>
          <w:i/>
          <w:iCs/>
          <w:sz w:val="24"/>
          <w:szCs w:val="24"/>
          <w:vertAlign w:val="subscript"/>
        </w:rPr>
        <w:t>i</w:t>
      </w:r>
      <w:r w:rsidRPr="009E5B5E">
        <w:rPr>
          <w:i/>
          <w:iCs/>
          <w:sz w:val="24"/>
          <w:szCs w:val="24"/>
        </w:rPr>
        <w:t>), Innovativeness (INNOV</w:t>
      </w:r>
      <w:r w:rsidRPr="009E5B5E">
        <w:rPr>
          <w:i/>
          <w:iCs/>
          <w:sz w:val="24"/>
          <w:szCs w:val="24"/>
          <w:vertAlign w:val="subscript"/>
        </w:rPr>
        <w:t>i</w:t>
      </w:r>
      <w:r w:rsidRPr="009E5B5E">
        <w:rPr>
          <w:i/>
          <w:iCs/>
          <w:sz w:val="24"/>
          <w:szCs w:val="24"/>
        </w:rPr>
        <w:t>), New Arrival (NA</w:t>
      </w:r>
      <w:r w:rsidRPr="009E5B5E">
        <w:rPr>
          <w:i/>
          <w:iCs/>
          <w:sz w:val="24"/>
          <w:szCs w:val="24"/>
          <w:vertAlign w:val="subscript"/>
        </w:rPr>
        <w:t>i</w:t>
      </w:r>
      <w:r w:rsidRPr="009E5B5E">
        <w:rPr>
          <w:i/>
          <w:iCs/>
          <w:sz w:val="24"/>
          <w:szCs w:val="24"/>
        </w:rPr>
        <w:t>), Employee contact (EC</w:t>
      </w:r>
      <w:r w:rsidRPr="009E5B5E">
        <w:rPr>
          <w:i/>
          <w:iCs/>
          <w:sz w:val="24"/>
          <w:szCs w:val="24"/>
          <w:vertAlign w:val="subscript"/>
        </w:rPr>
        <w:t>i</w:t>
      </w:r>
      <w:r w:rsidRPr="009E5B5E">
        <w:rPr>
          <w:i/>
          <w:iCs/>
          <w:sz w:val="24"/>
          <w:szCs w:val="24"/>
        </w:rPr>
        <w:t>), Region A (A</w:t>
      </w:r>
      <w:r w:rsidRPr="009E5B5E">
        <w:rPr>
          <w:i/>
          <w:iCs/>
          <w:sz w:val="24"/>
          <w:szCs w:val="24"/>
          <w:vertAlign w:val="subscript"/>
        </w:rPr>
        <w:t>i</w:t>
      </w:r>
      <w:r w:rsidRPr="009E5B5E">
        <w:rPr>
          <w:i/>
          <w:iCs/>
          <w:sz w:val="24"/>
          <w:szCs w:val="24"/>
        </w:rPr>
        <w:t>), Region B (B</w:t>
      </w:r>
      <w:r w:rsidRPr="009E5B5E">
        <w:rPr>
          <w:i/>
          <w:iCs/>
          <w:sz w:val="24"/>
          <w:szCs w:val="24"/>
          <w:vertAlign w:val="subscript"/>
        </w:rPr>
        <w:t>i</w:t>
      </w:r>
      <w:r w:rsidRPr="009E5B5E">
        <w:rPr>
          <w:i/>
          <w:iCs/>
          <w:sz w:val="24"/>
          <w:szCs w:val="24"/>
        </w:rPr>
        <w:t>), Region C (C</w:t>
      </w:r>
      <w:r w:rsidRPr="009E5B5E">
        <w:rPr>
          <w:i/>
          <w:iCs/>
          <w:sz w:val="24"/>
          <w:szCs w:val="24"/>
          <w:vertAlign w:val="subscript"/>
        </w:rPr>
        <w:t>i</w:t>
      </w:r>
      <w:r w:rsidRPr="009E5B5E">
        <w:rPr>
          <w:i/>
          <w:iCs/>
          <w:sz w:val="24"/>
          <w:szCs w:val="24"/>
        </w:rPr>
        <w:t>), and Region D(D</w:t>
      </w:r>
      <w:r w:rsidRPr="009E5B5E">
        <w:rPr>
          <w:i/>
          <w:iCs/>
          <w:sz w:val="24"/>
          <w:szCs w:val="24"/>
          <w:vertAlign w:val="subscript"/>
        </w:rPr>
        <w:t>i</w:t>
      </w:r>
      <w:r w:rsidRPr="009E5B5E">
        <w:rPr>
          <w:i/>
          <w:iCs/>
          <w:sz w:val="24"/>
          <w:szCs w:val="24"/>
        </w:rPr>
        <w:t xml:space="preserve">) </w:t>
      </w:r>
      <w:r w:rsidRPr="009E5B5E">
        <w:rPr>
          <w:sz w:val="24"/>
          <w:szCs w:val="24"/>
        </w:rPr>
        <w:t>) are included in this logistic regression model. Gender effect is not taken to account in model 1 as I am only interested in the influence of in-store marketing on general population. Therefore, in this case, dataset with 9,862 customers (regardless of gender identification and 2,253 outliers) will be analyzed using model 1.  Such logistic regression model takes the following form.</w:t>
      </w:r>
    </w:p>
    <w:p w:rsidR="00DA2247" w:rsidRPr="009E5B5E" w:rsidRDefault="00DA2247" w:rsidP="00DA2247">
      <w:pPr>
        <w:spacing w:line="360" w:lineRule="auto"/>
        <w:jc w:val="both"/>
        <w:rPr>
          <w:iCs/>
        </w:rPr>
      </w:pPr>
      <m:oMathPara>
        <m:oMath>
          <m:r>
            <m:rPr>
              <m:sty m:val="p"/>
            </m:rPr>
            <w:rPr>
              <w:rFonts w:ascii="Cambria Math" w:hAnsi="Cambria Math"/>
            </w:rPr>
            <m:t>Pr(</m:t>
          </m:r>
          <m:sSub>
            <m:sSubPr>
              <m:ctrlPr>
                <w:rPr>
                  <w:rFonts w:ascii="Cambria Math" w:hAnsi="Cambria Math"/>
                  <w:vertAlign w:val="subscript"/>
                </w:rPr>
              </m:ctrlPr>
            </m:sSubPr>
            <m:e>
              <m:r>
                <m:rPr>
                  <m:sty m:val="p"/>
                </m:rPr>
                <w:rPr>
                  <w:rFonts w:ascii="Cambria Math" w:hAnsi="Cambria Math"/>
                </w:rPr>
                <m:t>BUY</m:t>
              </m:r>
            </m:e>
            <m:sub>
              <m:r>
                <m:rPr>
                  <m:sty m:val="p"/>
                </m:rPr>
                <w:rPr>
                  <w:rFonts w:ascii="Cambria Math" w:hAnsi="Cambria Math"/>
                  <w:vertAlign w:val="subscript"/>
                </w:rPr>
                <m:t>i</m:t>
              </m:r>
            </m:sub>
          </m:sSub>
          <m:r>
            <m:rPr>
              <m:sty m:val="p"/>
            </m:rPr>
            <w:rPr>
              <w:rFonts w:ascii="Cambria Math" w:hAnsi="Cambria Math"/>
            </w:rPr>
            <m:t xml:space="preserve">=1)= </m:t>
          </m:r>
          <m:f>
            <m:fPr>
              <m:ctrlPr>
                <w:rPr>
                  <w:rFonts w:ascii="Cambria Math" w:hAnsi="Cambria Math"/>
                  <w:iCs/>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iCs/>
                    </w:rPr>
                  </m:ctrlPr>
                </m:sSupPr>
                <m:e>
                  <m:r>
                    <m:rPr>
                      <m:sty m:val="p"/>
                    </m:rPr>
                    <w:rPr>
                      <w:rFonts w:ascii="Cambria Math" w:hAnsi="Cambria Math"/>
                    </w:rPr>
                    <m:t>e</m:t>
                  </m:r>
                </m:e>
                <m:sup>
                  <m:eqArr>
                    <m:eqArrPr>
                      <m:ctrlPr>
                        <w:rPr>
                          <w:rFonts w:ascii="Cambria Math" w:hAnsi="Cambria Math"/>
                        </w:rPr>
                      </m:ctrlPr>
                    </m:eqArrPr>
                    <m:e>
                      <m:r>
                        <m:rPr>
                          <m:sty m:val="p"/>
                        </m:rPr>
                        <w:rPr>
                          <w:rFonts w:ascii="Cambria Math" w:hAnsi="Cambria Math"/>
                        </w:rPr>
                        <m:t>-(β0+β1*</m:t>
                      </m:r>
                      <m:sSub>
                        <m:sSubPr>
                          <m:ctrlPr>
                            <w:rPr>
                              <w:rFonts w:ascii="Cambria Math" w:hAnsi="Cambria Math"/>
                              <w:vertAlign w:val="subscript"/>
                            </w:rPr>
                          </m:ctrlPr>
                        </m:sSubPr>
                        <m:e>
                          <m:r>
                            <m:rPr>
                              <m:sty m:val="p"/>
                            </m:rPr>
                            <w:rPr>
                              <w:rFonts w:ascii="Cambria Math" w:hAnsi="Cambria Math"/>
                            </w:rPr>
                            <m:t>SALE</m:t>
                          </m:r>
                        </m:e>
                        <m:sub>
                          <m:r>
                            <m:rPr>
                              <m:sty m:val="p"/>
                            </m:rPr>
                            <w:rPr>
                              <w:rFonts w:ascii="Cambria Math" w:hAnsi="Cambria Math"/>
                              <w:vertAlign w:val="subscript"/>
                            </w:rPr>
                            <m:t>i</m:t>
                          </m:r>
                        </m:sub>
                      </m:sSub>
                      <m:r>
                        <m:rPr>
                          <m:sty m:val="p"/>
                        </m:rPr>
                        <w:rPr>
                          <w:rFonts w:ascii="Cambria Math" w:hAnsi="Cambria Math"/>
                        </w:rPr>
                        <m:t xml:space="preserve"> +β2*</m:t>
                      </m:r>
                      <m:sSub>
                        <m:sSubPr>
                          <m:ctrlPr>
                            <w:rPr>
                              <w:rFonts w:ascii="Cambria Math" w:hAnsi="Cambria Math"/>
                            </w:rPr>
                          </m:ctrlPr>
                        </m:sSubPr>
                        <m:e>
                          <m:r>
                            <m:rPr>
                              <m:sty m:val="p"/>
                            </m:rPr>
                            <w:rPr>
                              <w:rFonts w:ascii="Cambria Math" w:hAnsi="Cambria Math"/>
                            </w:rPr>
                            <m:t>DIS</m:t>
                          </m:r>
                        </m:e>
                        <m:sub>
                          <m:r>
                            <m:rPr>
                              <m:sty m:val="p"/>
                            </m:rPr>
                            <w:rPr>
                              <w:rFonts w:ascii="Cambria Math" w:hAnsi="Cambria Math"/>
                              <w:vertAlign w:val="subscript"/>
                            </w:rPr>
                            <m:t>i</m:t>
                          </m:r>
                        </m:sub>
                      </m:sSub>
                      <m:r>
                        <m:rPr>
                          <m:sty m:val="p"/>
                        </m:rPr>
                        <w:rPr>
                          <w:rFonts w:ascii="Cambria Math" w:hAnsi="Cambria Math"/>
                        </w:rPr>
                        <m:t>+β3*</m:t>
                      </m:r>
                      <m:r>
                        <m:rPr>
                          <m:sty m:val="p"/>
                        </m:rPr>
                        <w:rPr>
                          <w:rFonts w:ascii="Cambria Math" w:hAnsi="Cambria Math"/>
                          <w:vertAlign w:val="subscript"/>
                        </w:rPr>
                        <m:t>RELOCi</m:t>
                      </m:r>
                      <m:r>
                        <m:rPr>
                          <m:sty m:val="p"/>
                        </m:rPr>
                        <w:rPr>
                          <w:rFonts w:ascii="Cambria Math" w:hAnsi="Cambria Math"/>
                        </w:rPr>
                        <m:t>+ β4*</m:t>
                      </m:r>
                      <m:sSub>
                        <m:sSubPr>
                          <m:ctrlPr>
                            <w:rPr>
                              <w:rFonts w:ascii="Cambria Math" w:hAnsi="Cambria Math"/>
                              <w:vertAlign w:val="subscript"/>
                            </w:rPr>
                          </m:ctrlPr>
                        </m:sSubPr>
                        <m:e>
                          <m:r>
                            <m:rPr>
                              <m:sty m:val="p"/>
                            </m:rPr>
                            <w:rPr>
                              <w:rFonts w:ascii="Cambria Math" w:hAnsi="Cambria Math"/>
                            </w:rPr>
                            <m:t>FRIEND</m:t>
                          </m:r>
                        </m:e>
                        <m:sub>
                          <m:r>
                            <m:rPr>
                              <m:sty m:val="p"/>
                            </m:rPr>
                            <w:rPr>
                              <w:rFonts w:ascii="Cambria Math" w:hAnsi="Cambria Math"/>
                              <w:vertAlign w:val="subscript"/>
                            </w:rPr>
                            <m:t>i</m:t>
                          </m:r>
                        </m:sub>
                      </m:sSub>
                      <m:r>
                        <m:rPr>
                          <m:sty m:val="p"/>
                        </m:rPr>
                        <w:rPr>
                          <w:rFonts w:ascii="Cambria Math" w:hAnsi="Cambria Math"/>
                        </w:rPr>
                        <m:t>+β5*</m:t>
                      </m:r>
                      <m:sSub>
                        <m:sSubPr>
                          <m:ctrlPr>
                            <w:rPr>
                              <w:rFonts w:ascii="Cambria Math" w:hAnsi="Cambria Math"/>
                              <w:vertAlign w:val="subscript"/>
                            </w:rPr>
                          </m:ctrlPr>
                        </m:sSubPr>
                        <m:e>
                          <m:r>
                            <m:rPr>
                              <m:sty m:val="p"/>
                            </m:rPr>
                            <w:rPr>
                              <w:rFonts w:ascii="Cambria Math" w:hAnsi="Cambria Math"/>
                            </w:rPr>
                            <m:t>DT</m:t>
                          </m:r>
                        </m:e>
                        <m:sub>
                          <m:r>
                            <m:rPr>
                              <m:sty m:val="p"/>
                            </m:rPr>
                            <w:rPr>
                              <w:rFonts w:ascii="Cambria Math" w:hAnsi="Cambria Math"/>
                              <w:vertAlign w:val="subscript"/>
                            </w:rPr>
                            <m:t>i</m:t>
                          </m:r>
                        </m:sub>
                      </m:sSub>
                      <m:r>
                        <m:rPr>
                          <m:sty m:val="p"/>
                        </m:rPr>
                        <w:rPr>
                          <w:rFonts w:ascii="Cambria Math" w:hAnsi="Cambria Math"/>
                        </w:rPr>
                        <m:t>+β6*</m:t>
                      </m:r>
                      <m:sSub>
                        <m:sSubPr>
                          <m:ctrlPr>
                            <w:rPr>
                              <w:rFonts w:ascii="Cambria Math" w:hAnsi="Cambria Math"/>
                            </w:rPr>
                          </m:ctrlPr>
                        </m:sSubPr>
                        <m:e>
                          <m:r>
                            <m:rPr>
                              <m:sty m:val="p"/>
                            </m:rPr>
                            <w:rPr>
                              <w:rFonts w:ascii="Cambria Math" w:hAnsi="Cambria Math"/>
                            </w:rPr>
                            <m:t>EC</m:t>
                          </m:r>
                        </m:e>
                        <m:sub>
                          <m:r>
                            <m:rPr>
                              <m:sty m:val="p"/>
                            </m:rPr>
                            <w:rPr>
                              <w:rFonts w:ascii="Cambria Math" w:hAnsi="Cambria Math"/>
                            </w:rPr>
                            <m:t>i</m:t>
                          </m:r>
                        </m:sub>
                      </m:sSub>
                      <m:r>
                        <m:rPr>
                          <m:sty m:val="p"/>
                        </m:rPr>
                        <w:rPr>
                          <w:rFonts w:ascii="Cambria Math" w:hAnsi="Cambria Math"/>
                        </w:rPr>
                        <m:t>+β7*</m:t>
                      </m:r>
                      <m:sSub>
                        <m:sSubPr>
                          <m:ctrlPr>
                            <w:rPr>
                              <w:rFonts w:ascii="Cambria Math" w:hAnsi="Cambria Math"/>
                            </w:rPr>
                          </m:ctrlPr>
                        </m:sSubPr>
                        <m:e>
                          <m:r>
                            <m:rPr>
                              <m:sty m:val="p"/>
                            </m:rPr>
                            <w:rPr>
                              <w:rFonts w:ascii="Cambria Math" w:hAnsi="Cambria Math"/>
                            </w:rPr>
                            <m:t>NA</m:t>
                          </m:r>
                        </m:e>
                        <m:sub>
                          <m:r>
                            <m:rPr>
                              <m:sty m:val="p"/>
                            </m:rPr>
                            <w:rPr>
                              <w:rFonts w:ascii="Cambria Math" w:hAnsi="Cambria Math"/>
                              <w:vertAlign w:val="subscript"/>
                            </w:rPr>
                            <m:t>i</m:t>
                          </m:r>
                        </m:sub>
                      </m:sSub>
                      <m:r>
                        <m:rPr>
                          <m:sty m:val="p"/>
                        </m:rPr>
                        <w:rPr>
                          <w:rFonts w:ascii="Cambria Math" w:hAnsi="Cambria Math"/>
                        </w:rPr>
                        <m:t>+β8*</m:t>
                      </m:r>
                      <m:sSub>
                        <m:sSubPr>
                          <m:ctrlPr>
                            <w:rPr>
                              <w:rFonts w:ascii="Cambria Math" w:hAnsi="Cambria Math"/>
                            </w:rPr>
                          </m:ctrlPr>
                        </m:sSubPr>
                        <m:e>
                          <m:r>
                            <m:rPr>
                              <m:sty m:val="p"/>
                            </m:rPr>
                            <w:rPr>
                              <w:rFonts w:ascii="Cambria Math" w:hAnsi="Cambria Math"/>
                            </w:rPr>
                            <m:t>INNOV</m:t>
                          </m:r>
                        </m:e>
                        <m:sub>
                          <m:r>
                            <m:rPr>
                              <m:sty m:val="p"/>
                            </m:rPr>
                            <w:rPr>
                              <w:rFonts w:ascii="Cambria Math" w:hAnsi="Cambria Math"/>
                            </w:rPr>
                            <m:t xml:space="preserve">i </m:t>
                          </m:r>
                        </m:sub>
                      </m:sSub>
                      <m:r>
                        <m:rPr>
                          <m:sty m:val="p"/>
                        </m:rPr>
                        <w:rPr>
                          <w:rFonts w:ascii="Cambria Math" w:hAnsi="Cambria Math"/>
                        </w:rPr>
                        <m:t>+ β9*</m:t>
                      </m:r>
                      <m:sSub>
                        <m:sSubPr>
                          <m:ctrlPr>
                            <w:rPr>
                              <w:rFonts w:ascii="Cambria Math" w:hAnsi="Cambria Math"/>
                            </w:rPr>
                          </m:ctrlPr>
                        </m:sSubPr>
                        <m:e>
                          <m:r>
                            <m:rPr>
                              <m:sty m:val="p"/>
                            </m:rPr>
                            <w:rPr>
                              <w:rFonts w:ascii="Cambria Math" w:hAnsi="Cambria Math"/>
                            </w:rPr>
                            <m:t xml:space="preserve">INVOL </m:t>
                          </m:r>
                        </m:e>
                        <m:sub>
                          <m:r>
                            <m:rPr>
                              <m:sty m:val="p"/>
                            </m:rPr>
                            <w:rPr>
                              <w:rFonts w:ascii="Cambria Math" w:hAnsi="Cambria Math"/>
                            </w:rPr>
                            <m:t>i</m:t>
                          </m:r>
                        </m:sub>
                      </m:sSub>
                      <m:r>
                        <m:rPr>
                          <m:sty m:val="p"/>
                        </m:rPr>
                        <w:rPr>
                          <w:rFonts w:ascii="Cambria Math" w:hAnsi="Cambria Math"/>
                        </w:rPr>
                        <m:t xml:space="preserve"> </m:t>
                      </m:r>
                    </m:e>
                    <m:e>
                      <m:r>
                        <m:rPr>
                          <m:sty m:val="p"/>
                        </m:rPr>
                        <w:rPr>
                          <w:rFonts w:ascii="Cambria Math" w:hAnsi="Cambria Math"/>
                        </w:rPr>
                        <m:t>+β10*</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r>
                        <m:rPr>
                          <m:sty m:val="p"/>
                        </m:rPr>
                        <w:rPr>
                          <w:rFonts w:ascii="Cambria Math" w:hAnsi="Cambria Math"/>
                        </w:rPr>
                        <m:t>+β11*</m:t>
                      </m:r>
                      <m:sSub>
                        <m:sSubPr>
                          <m:ctrlPr>
                            <w:rPr>
                              <w:rFonts w:ascii="Cambria Math" w:hAnsi="Cambria Math"/>
                            </w:rPr>
                          </m:ctrlPr>
                        </m:sSubPr>
                        <m:e>
                          <m:r>
                            <m:rPr>
                              <m:sty m:val="p"/>
                            </m:rPr>
                            <w:rPr>
                              <w:rFonts w:ascii="Cambria Math" w:hAnsi="Cambria Math"/>
                            </w:rPr>
                            <m:t>B</m:t>
                          </m:r>
                        </m:e>
                        <m:sub>
                          <m:r>
                            <m:rPr>
                              <m:sty m:val="p"/>
                            </m:rPr>
                            <w:rPr>
                              <w:rFonts w:ascii="Cambria Math" w:hAnsi="Cambria Math"/>
                              <w:vertAlign w:val="subscript"/>
                            </w:rPr>
                            <m:t>i</m:t>
                          </m:r>
                        </m:sub>
                      </m:sSub>
                      <m:r>
                        <m:rPr>
                          <m:sty m:val="p"/>
                        </m:rPr>
                        <w:rPr>
                          <w:rFonts w:ascii="Cambria Math" w:hAnsi="Cambria Math"/>
                        </w:rPr>
                        <m:t>+β12*</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 xml:space="preserve">i </m:t>
                          </m:r>
                        </m:sub>
                      </m:sSub>
                      <m:r>
                        <m:rPr>
                          <m:sty m:val="p"/>
                        </m:rPr>
                        <w:rPr>
                          <w:rFonts w:ascii="Cambria Math" w:hAnsi="Cambria Math"/>
                        </w:rPr>
                        <m:t>+ β13*</m:t>
                      </m:r>
                      <m:sSub>
                        <m:sSubPr>
                          <m:ctrlPr>
                            <w:rPr>
                              <w:rFonts w:ascii="Cambria Math" w:hAnsi="Cambria Math"/>
                            </w:rPr>
                          </m:ctrlPr>
                        </m:sSubPr>
                        <m:e>
                          <m:r>
                            <m:rPr>
                              <m:sty m:val="p"/>
                            </m:rPr>
                            <w:rPr>
                              <w:rFonts w:ascii="Cambria Math" w:hAnsi="Cambria Math"/>
                            </w:rPr>
                            <m:t xml:space="preserve">D </m:t>
                          </m:r>
                        </m:e>
                        <m:sub>
                          <m:r>
                            <m:rPr>
                              <m:sty m:val="p"/>
                            </m:rPr>
                            <w:rPr>
                              <w:rFonts w:ascii="Cambria Math" w:hAnsi="Cambria Math"/>
                            </w:rPr>
                            <m:t>i</m:t>
                          </m:r>
                        </m:sub>
                      </m:sSub>
                      <m:r>
                        <m:rPr>
                          <m:sty m:val="p"/>
                        </m:rPr>
                        <w:rPr>
                          <w:rFonts w:ascii="Cambria Math" w:hAnsi="Cambria Math"/>
                        </w:rPr>
                        <m:t>)</m:t>
                      </m:r>
                    </m:e>
                  </m:eqArr>
                </m:sup>
              </m:sSup>
            </m:den>
          </m:f>
        </m:oMath>
      </m:oMathPara>
    </w:p>
    <w:p w:rsidR="00DA2247" w:rsidRPr="009E5B5E" w:rsidRDefault="00DA2247" w:rsidP="00DA2247">
      <w:pPr>
        <w:spacing w:line="360" w:lineRule="auto"/>
        <w:jc w:val="both"/>
        <w:rPr>
          <w:b/>
          <w:bCs/>
          <w:sz w:val="24"/>
          <w:szCs w:val="24"/>
        </w:rPr>
      </w:pPr>
    </w:p>
    <w:p w:rsidR="00DA2247" w:rsidRPr="009E5B5E" w:rsidRDefault="00DA2247" w:rsidP="00DA2247">
      <w:pPr>
        <w:spacing w:line="360" w:lineRule="auto"/>
        <w:jc w:val="both"/>
        <w:rPr>
          <w:b/>
          <w:bCs/>
          <w:sz w:val="24"/>
          <w:szCs w:val="24"/>
        </w:rPr>
      </w:pPr>
      <w:r w:rsidRPr="009E5B5E">
        <w:rPr>
          <w:b/>
          <w:bCs/>
          <w:sz w:val="24"/>
          <w:szCs w:val="24"/>
        </w:rPr>
        <w:t>Model 2: Gender Specific Model</w:t>
      </w:r>
    </w:p>
    <w:p w:rsidR="00DA2247" w:rsidRPr="009E5B5E" w:rsidRDefault="00DA2247" w:rsidP="00DA2247">
      <w:pPr>
        <w:spacing w:line="360" w:lineRule="auto"/>
        <w:jc w:val="both"/>
        <w:rPr>
          <w:sz w:val="24"/>
          <w:szCs w:val="24"/>
        </w:rPr>
      </w:pPr>
      <w:r w:rsidRPr="009E5B5E">
        <w:rPr>
          <w:sz w:val="24"/>
          <w:szCs w:val="24"/>
        </w:rPr>
        <w:t xml:space="preserve">Furthermore, model 2, which I label as </w:t>
      </w:r>
      <w:r w:rsidRPr="009E5B5E">
        <w:rPr>
          <w:i/>
          <w:sz w:val="24"/>
          <w:szCs w:val="24"/>
        </w:rPr>
        <w:t>gender-specific model</w:t>
      </w:r>
      <w:r w:rsidRPr="009E5B5E">
        <w:rPr>
          <w:sz w:val="24"/>
          <w:szCs w:val="24"/>
        </w:rPr>
        <w:t xml:space="preserve">, is constructed to (1) test the moderating effect of accompanying friend(s) in general on the impact of in-store marketing on purchase incidence as proposed in hypothesis 3, and (2) test the influence of accompanying friend(s) present regarding gender in the store on shopper’s purchase incidence. To maintain my model parsimonious, I aggregate the three in-store marketing variables above - (1) </w:t>
      </w:r>
      <w:r w:rsidRPr="009E5B5E">
        <w:rPr>
          <w:i/>
          <w:iCs/>
          <w:sz w:val="24"/>
          <w:szCs w:val="24"/>
        </w:rPr>
        <w:t>sales promotion</w:t>
      </w:r>
      <w:r w:rsidRPr="009E5B5E">
        <w:rPr>
          <w:sz w:val="24"/>
          <w:szCs w:val="24"/>
        </w:rPr>
        <w:t xml:space="preserve"> (SALE</w:t>
      </w:r>
      <w:r w:rsidRPr="009E5B5E">
        <w:rPr>
          <w:sz w:val="24"/>
          <w:szCs w:val="24"/>
          <w:vertAlign w:val="subscript"/>
        </w:rPr>
        <w:t>i</w:t>
      </w:r>
      <w:r w:rsidRPr="009E5B5E">
        <w:rPr>
          <w:sz w:val="24"/>
          <w:szCs w:val="24"/>
        </w:rPr>
        <w:t xml:space="preserve">) available in </w:t>
      </w:r>
      <w:r w:rsidRPr="009E5B5E">
        <w:rPr>
          <w:color w:val="000000" w:themeColor="text1"/>
          <w:sz w:val="24"/>
          <w:szCs w:val="24"/>
        </w:rPr>
        <w:t>78.2 percent of the observations</w:t>
      </w:r>
      <w:r w:rsidRPr="009E5B5E">
        <w:rPr>
          <w:sz w:val="24"/>
          <w:szCs w:val="24"/>
        </w:rPr>
        <w:t xml:space="preserve">, (2) </w:t>
      </w:r>
      <w:r w:rsidRPr="009E5B5E">
        <w:rPr>
          <w:i/>
          <w:iCs/>
          <w:sz w:val="24"/>
          <w:szCs w:val="24"/>
        </w:rPr>
        <w:t>display renewal</w:t>
      </w:r>
      <w:r w:rsidRPr="009E5B5E">
        <w:rPr>
          <w:sz w:val="24"/>
          <w:szCs w:val="24"/>
        </w:rPr>
        <w:t xml:space="preserve"> (DIS</w:t>
      </w:r>
      <w:r w:rsidRPr="009E5B5E">
        <w:rPr>
          <w:sz w:val="24"/>
          <w:szCs w:val="24"/>
          <w:vertAlign w:val="subscript"/>
        </w:rPr>
        <w:t>i</w:t>
      </w:r>
      <w:r w:rsidRPr="009E5B5E">
        <w:rPr>
          <w:sz w:val="24"/>
          <w:szCs w:val="24"/>
        </w:rPr>
        <w:t xml:space="preserve">) present in 12 percent of the observations, and (3) </w:t>
      </w:r>
      <w:r w:rsidRPr="009E5B5E">
        <w:rPr>
          <w:i/>
          <w:iCs/>
          <w:sz w:val="24"/>
          <w:szCs w:val="24"/>
        </w:rPr>
        <w:t xml:space="preserve">products relocation </w:t>
      </w:r>
      <w:r w:rsidRPr="009E5B5E">
        <w:rPr>
          <w:sz w:val="24"/>
          <w:szCs w:val="24"/>
        </w:rPr>
        <w:t>(RELOC</w:t>
      </w:r>
      <w:r w:rsidRPr="009E5B5E">
        <w:rPr>
          <w:sz w:val="24"/>
          <w:szCs w:val="24"/>
          <w:vertAlign w:val="subscript"/>
        </w:rPr>
        <w:t>i</w:t>
      </w:r>
      <w:r w:rsidRPr="009E5B5E">
        <w:rPr>
          <w:sz w:val="24"/>
          <w:szCs w:val="24"/>
        </w:rPr>
        <w:t xml:space="preserve">) present in 23.5 percent of the observation- into one variable capturing the incidence of any of these in-store marketing stimuli when consumer </w:t>
      </w:r>
      <w:r w:rsidRPr="009E5B5E">
        <w:rPr>
          <w:i/>
          <w:sz w:val="24"/>
          <w:szCs w:val="24"/>
        </w:rPr>
        <w:t xml:space="preserve">i </w:t>
      </w:r>
      <w:r w:rsidRPr="009E5B5E">
        <w:rPr>
          <w:sz w:val="24"/>
          <w:szCs w:val="24"/>
        </w:rPr>
        <w:t>visits the store. Hence, I first create a general in-store marketing variable (InStMkt</w:t>
      </w:r>
      <w:r w:rsidRPr="009E5B5E">
        <w:rPr>
          <w:sz w:val="24"/>
          <w:szCs w:val="24"/>
          <w:vertAlign w:val="subscript"/>
        </w:rPr>
        <w:t>i</w:t>
      </w:r>
      <w:r w:rsidRPr="009E5B5E">
        <w:rPr>
          <w:sz w:val="24"/>
          <w:szCs w:val="24"/>
        </w:rPr>
        <w:t xml:space="preserve">) by taking the maximum of the 3 in-store marketing variable </w:t>
      </w:r>
      <w:r w:rsidRPr="009E5B5E">
        <w:rPr>
          <w:sz w:val="24"/>
          <w:szCs w:val="24"/>
        </w:rPr>
        <w:lastRenderedPageBreak/>
        <w:t>dummies introduced above (DIS</w:t>
      </w:r>
      <w:r w:rsidRPr="009E5B5E">
        <w:rPr>
          <w:sz w:val="24"/>
          <w:szCs w:val="24"/>
          <w:vertAlign w:val="subscript"/>
        </w:rPr>
        <w:t>i</w:t>
      </w:r>
      <w:r w:rsidRPr="009E5B5E">
        <w:rPr>
          <w:sz w:val="24"/>
          <w:szCs w:val="24"/>
        </w:rPr>
        <w:t>, RELOC</w:t>
      </w:r>
      <w:r w:rsidRPr="009E5B5E">
        <w:rPr>
          <w:sz w:val="24"/>
          <w:szCs w:val="24"/>
          <w:vertAlign w:val="subscript"/>
        </w:rPr>
        <w:t>i</w:t>
      </w:r>
      <w:r w:rsidRPr="009E5B5E">
        <w:rPr>
          <w:sz w:val="24"/>
          <w:szCs w:val="24"/>
        </w:rPr>
        <w:t xml:space="preserve"> and SALE</w:t>
      </w:r>
      <w:r w:rsidRPr="009E5B5E">
        <w:rPr>
          <w:sz w:val="24"/>
          <w:szCs w:val="24"/>
          <w:vertAlign w:val="subscript"/>
        </w:rPr>
        <w:t>i</w:t>
      </w:r>
      <w:r w:rsidRPr="009E5B5E">
        <w:rPr>
          <w:sz w:val="24"/>
          <w:szCs w:val="24"/>
        </w:rPr>
        <w:t>), which guarantees that this variable is coded as 1 if any of the three type of in-store marketing is available on that particular day which is 83 percent of the observations (i.e. InStMkt = 1). If no in-store marketing activity is present, this variable is coded as 0 (i.e. InStMkt = 0). I then allow consumers’ purchasing decisions to be influenced by interaction terms (i) between the dummy for in-store marketing and group (InStMkti*FRIENDi), and (ii) between the dummy for group and gender (FRIENDi*GENDERi). Moreover, given that I use gender as a predictor, I restrict the sample to the group of consumers for whom I was able to identify the gender dataset with 2,842 observations is analyzed using this model.  Finally, model 2 is expressed as follow,</w:t>
      </w:r>
    </w:p>
    <w:p w:rsidR="00DA2247" w:rsidRPr="009E5B5E" w:rsidRDefault="00DA2247" w:rsidP="00DA2247">
      <w:pPr>
        <w:spacing w:line="360" w:lineRule="auto"/>
        <w:jc w:val="both"/>
        <w:rPr>
          <w:sz w:val="24"/>
          <w:szCs w:val="24"/>
        </w:rPr>
      </w:pPr>
      <m:oMathPara>
        <m:oMath>
          <m:r>
            <w:rPr>
              <w:rFonts w:ascii="Cambria Math" w:hAnsi="Cambria Math"/>
            </w:rPr>
            <m:t>Probability (</m:t>
          </m:r>
          <m:sSub>
            <m:sSubPr>
              <m:ctrlPr>
                <w:rPr>
                  <w:rFonts w:ascii="Cambria Math" w:hAnsi="Cambria Math"/>
                  <w:i/>
                </w:rPr>
              </m:ctrlPr>
            </m:sSubPr>
            <m:e>
              <m:r>
                <w:rPr>
                  <w:rFonts w:ascii="Cambria Math"/>
                </w:rPr>
                <m:t>BUY</m:t>
              </m:r>
            </m:e>
            <m:sub>
              <m:r>
                <w:rPr>
                  <w:rFonts w:ascii="Cambria Math"/>
                </w:rPr>
                <m:t>i</m:t>
              </m:r>
            </m:sub>
          </m:sSub>
          <m:r>
            <w:rPr>
              <w:rFonts w:ascii="Cambria Math" w:hAnsi="Cambria Math"/>
            </w:rPr>
            <m:t xml:space="preserve">=1)=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eqArr>
                    <m:eqArrPr>
                      <m:ctrlPr>
                        <w:rPr>
                          <w:rFonts w:ascii="Cambria Math" w:hAnsi="Cambria Math"/>
                          <w:i/>
                        </w:rPr>
                      </m:ctrlPr>
                    </m:eqArrPr>
                    <m:e>
                      <m:r>
                        <w:rPr>
                          <w:rFonts w:ascii="Cambria Math" w:hAnsi="Cambria Math"/>
                        </w:rPr>
                        <m:t>-(β0+β1*</m:t>
                      </m:r>
                      <m:sSub>
                        <m:sSubPr>
                          <m:ctrlPr>
                            <w:rPr>
                              <w:rFonts w:ascii="Cambria Math" w:hAnsi="Cambria Math"/>
                              <w:i/>
                            </w:rPr>
                          </m:ctrlPr>
                        </m:sSubPr>
                        <m:e>
                          <m:r>
                            <w:rPr>
                              <w:rFonts w:ascii="Cambria Math" w:hAnsi="Cambria Math"/>
                            </w:rPr>
                            <m:t>InStMkt</m:t>
                          </m:r>
                        </m:e>
                        <m:sub>
                          <m:r>
                            <w:rPr>
                              <w:rFonts w:ascii="Cambria Math" w:hAnsi="Cambria Math"/>
                            </w:rPr>
                            <m:t>1</m:t>
                          </m:r>
                        </m:sub>
                      </m:sSub>
                      <m:r>
                        <w:rPr>
                          <w:rFonts w:ascii="Cambria Math" w:hAnsi="Cambria Math"/>
                        </w:rPr>
                        <m:t>+β2*</m:t>
                      </m:r>
                      <m:sSub>
                        <m:sSubPr>
                          <m:ctrlPr>
                            <w:rPr>
                              <w:rFonts w:ascii="Cambria Math" w:hAnsi="Cambria Math"/>
                              <w:i/>
                            </w:rPr>
                          </m:ctrlPr>
                        </m:sSubPr>
                        <m:e>
                          <m:r>
                            <w:rPr>
                              <w:rFonts w:ascii="Cambria Math" w:hAnsi="Cambria Math"/>
                            </w:rPr>
                            <m:t>FRIEND</m:t>
                          </m:r>
                        </m:e>
                        <m:sub>
                          <m:r>
                            <w:rPr>
                              <w:rFonts w:ascii="Cambria Math" w:hAnsi="Cambria Math"/>
                            </w:rPr>
                            <m:t>i</m:t>
                          </m:r>
                        </m:sub>
                      </m:sSub>
                      <m:r>
                        <w:rPr>
                          <w:rFonts w:ascii="Cambria Math" w:hAnsi="Cambria Math"/>
                        </w:rPr>
                        <m:t>+β3*</m:t>
                      </m:r>
                      <m:sSub>
                        <m:sSubPr>
                          <m:ctrlPr>
                            <w:rPr>
                              <w:rFonts w:ascii="Cambria Math" w:hAnsi="Cambria Math"/>
                              <w:i/>
                            </w:rPr>
                          </m:ctrlPr>
                        </m:sSubPr>
                        <m:e>
                          <m:r>
                            <w:rPr>
                              <w:rFonts w:ascii="Cambria Math" w:hAnsi="Cambria Math"/>
                            </w:rPr>
                            <m:t>InStMkt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+β4*</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m:t>
                      </m:r>
                      <m:sSub>
                        <m:sSubPr>
                          <m:ctrlPr>
                            <w:rPr>
                              <w:rFonts w:ascii="Cambria Math" w:hAnsi="Cambria Math"/>
                              <w:i/>
                            </w:rPr>
                          </m:ctrlPr>
                        </m:sSubPr>
                        <m:e>
                          <m:r>
                            <w:rPr>
                              <w:rFonts w:ascii="Cambria Math"/>
                            </w:rPr>
                            <m:t>GENDER</m:t>
                          </m:r>
                        </m:e>
                        <m:sub>
                          <m:r>
                            <w:rPr>
                              <w:rFonts w:ascii="Cambria Math"/>
                            </w:rPr>
                            <m:t>i</m:t>
                          </m:r>
                        </m:sub>
                      </m:sSub>
                      <m:r>
                        <w:rPr>
                          <w:rFonts w:ascii="Cambria Math" w:hAnsi="Cambria Math"/>
                        </w:rPr>
                        <m:t>+β5*</m:t>
                      </m:r>
                      <m:sSub>
                        <m:sSubPr>
                          <m:ctrlPr>
                            <w:rPr>
                              <w:rFonts w:ascii="Cambria Math" w:hAnsi="Cambria Math"/>
                              <w:i/>
                            </w:rPr>
                          </m:ctrlPr>
                        </m:sSubPr>
                        <m:e>
                          <m:r>
                            <w:rPr>
                              <w:rFonts w:ascii="Cambria Math" w:hAnsi="Cambria Math"/>
                            </w:rPr>
                            <m:t>DT</m:t>
                          </m:r>
                        </m:e>
                        <m:sub>
                          <m:r>
                            <w:rPr>
                              <w:rFonts w:ascii="Cambria Math" w:hAnsi="Cambria Math"/>
                            </w:rPr>
                            <m:t>i</m:t>
                          </m:r>
                        </m:sub>
                      </m:sSub>
                      <m:r>
                        <w:rPr>
                          <w:rFonts w:ascii="Cambria Math" w:hAnsi="Cambria Math"/>
                        </w:rPr>
                        <m:t>+β6*</m:t>
                      </m:r>
                      <m:sSub>
                        <m:sSubPr>
                          <m:ctrlPr>
                            <w:rPr>
                              <w:rFonts w:ascii="Cambria Math" w:hAnsi="Cambria Math"/>
                              <w:i/>
                            </w:rPr>
                          </m:ctrlPr>
                        </m:sSubPr>
                        <m:e>
                          <m:r>
                            <w:rPr>
                              <w:rFonts w:ascii="Cambria Math" w:hAnsi="Cambria Math"/>
                            </w:rPr>
                            <m:t>EC</m:t>
                          </m:r>
                        </m:e>
                        <m:sub>
                          <m:r>
                            <w:rPr>
                              <w:rFonts w:ascii="Cambria Math" w:hAnsi="Cambria Math"/>
                            </w:rPr>
                            <m:t>i</m:t>
                          </m:r>
                        </m:sub>
                      </m:sSub>
                    </m:e>
                    <m:e>
                      <m:r>
                        <w:rPr>
                          <w:rFonts w:ascii="Cambria Math" w:hAnsi="Cambria Math"/>
                        </w:rPr>
                        <m:t>+β7*</m:t>
                      </m:r>
                      <m:sSub>
                        <m:sSubPr>
                          <m:ctrlPr>
                            <w:rPr>
                              <w:rFonts w:ascii="Cambria Math" w:hAnsi="Cambria Math"/>
                              <w:i/>
                            </w:rPr>
                          </m:ctrlPr>
                        </m:sSubPr>
                        <m:e>
                          <m:r>
                            <w:rPr>
                              <w:rFonts w:ascii="Cambria Math" w:hAnsi="Cambria Math"/>
                            </w:rPr>
                            <m:t>NA</m:t>
                          </m:r>
                        </m:e>
                        <m:sub>
                          <m:r>
                            <w:rPr>
                              <w:rFonts w:ascii="Cambria Math" w:hAnsi="Cambria Math"/>
                            </w:rPr>
                            <m:t>i</m:t>
                          </m:r>
                        </m:sub>
                      </m:sSub>
                      <m:r>
                        <w:rPr>
                          <w:rFonts w:ascii="Cambria Math" w:hAnsi="Cambria Math"/>
                        </w:rPr>
                        <m:t>+</m:t>
                      </m:r>
                      <m:r>
                        <m:rPr>
                          <m:sty m:val="p"/>
                        </m:rPr>
                        <w:rPr>
                          <w:rFonts w:ascii="Cambria Math" w:hAnsi="Cambria Math"/>
                        </w:rPr>
                        <m:t>β8*</m:t>
                      </m:r>
                      <m:sSub>
                        <m:sSubPr>
                          <m:ctrlPr>
                            <w:rPr>
                              <w:rFonts w:ascii="Cambria Math" w:hAnsi="Cambria Math"/>
                            </w:rPr>
                          </m:ctrlPr>
                        </m:sSubPr>
                        <m:e>
                          <m:r>
                            <m:rPr>
                              <m:sty m:val="p"/>
                            </m:rPr>
                            <w:rPr>
                              <w:rFonts w:ascii="Cambria Math" w:hAnsi="Cambria Math"/>
                            </w:rPr>
                            <m:t>INNOV</m:t>
                          </m:r>
                        </m:e>
                        <m:sub>
                          <m:r>
                            <m:rPr>
                              <m:sty m:val="p"/>
                            </m:rPr>
                            <w:rPr>
                              <w:rFonts w:ascii="Cambria Math" w:hAnsi="Cambria Math"/>
                            </w:rPr>
                            <m:t xml:space="preserve">i </m:t>
                          </m:r>
                        </m:sub>
                      </m:sSub>
                      <m:r>
                        <m:rPr>
                          <m:sty m:val="p"/>
                        </m:rPr>
                        <w:rPr>
                          <w:rFonts w:ascii="Cambria Math" w:hAnsi="Cambria Math"/>
                        </w:rPr>
                        <m:t>+ β9*</m:t>
                      </m:r>
                      <m:sSub>
                        <m:sSubPr>
                          <m:ctrlPr>
                            <w:rPr>
                              <w:rFonts w:ascii="Cambria Math" w:hAnsi="Cambria Math"/>
                            </w:rPr>
                          </m:ctrlPr>
                        </m:sSubPr>
                        <m:e>
                          <m:r>
                            <m:rPr>
                              <m:sty m:val="p"/>
                            </m:rPr>
                            <w:rPr>
                              <w:rFonts w:ascii="Cambria Math" w:hAnsi="Cambria Math"/>
                            </w:rPr>
                            <m:t>INVOL</m:t>
                          </m:r>
                        </m:e>
                        <m:sub>
                          <m:r>
                            <m:rPr>
                              <m:sty m:val="p"/>
                            </m:rPr>
                            <w:rPr>
                              <w:rFonts w:ascii="Cambria Math" w:hAnsi="Cambria Math"/>
                            </w:rPr>
                            <m:t>i</m:t>
                          </m:r>
                        </m:sub>
                      </m:sSub>
                      <m:r>
                        <w:rPr>
                          <w:rFonts w:ascii="Cambria Math" w:hAnsi="Cambria Math"/>
                        </w:rPr>
                        <m:t>)</m:t>
                      </m:r>
                    </m:e>
                  </m:eqArr>
                </m:sup>
              </m:sSup>
            </m:den>
          </m:f>
        </m:oMath>
      </m:oMathPara>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b/>
          <w:bCs/>
          <w:sz w:val="24"/>
          <w:szCs w:val="24"/>
        </w:rPr>
      </w:pPr>
      <w:r w:rsidRPr="009E5B5E">
        <w:rPr>
          <w:b/>
          <w:bCs/>
          <w:sz w:val="24"/>
          <w:szCs w:val="24"/>
        </w:rPr>
        <w:t>Model 3: Three-Way Interaction Included Model</w:t>
      </w:r>
    </w:p>
    <w:p w:rsidR="00DA2247" w:rsidRPr="009E5B5E" w:rsidRDefault="00DA2247" w:rsidP="00DA2247">
      <w:pPr>
        <w:spacing w:line="360" w:lineRule="auto"/>
        <w:jc w:val="both"/>
        <w:rPr>
          <w:sz w:val="24"/>
          <w:szCs w:val="24"/>
        </w:rPr>
      </w:pPr>
      <w:r w:rsidRPr="009E5B5E">
        <w:rPr>
          <w:sz w:val="24"/>
          <w:szCs w:val="24"/>
        </w:rPr>
        <w:t xml:space="preserve">Finally, as discussed in hypothesis 5a and 5b, shopping with friend(s) is expected to enhance the effect of in-store marketing on male (agency-oriented) consumers’ purchase likelihood, but is expected to have no impact on such effect for female (communion-oriented) consumers. Thus, to test these hypotheses I specify model 3 which includes three-way interactions. Consequently, I label this model as </w:t>
      </w:r>
      <w:r w:rsidRPr="009E5B5E">
        <w:rPr>
          <w:i/>
          <w:sz w:val="24"/>
          <w:szCs w:val="24"/>
        </w:rPr>
        <w:t>three-way interaction model</w:t>
      </w:r>
      <w:r w:rsidRPr="009E5B5E">
        <w:rPr>
          <w:sz w:val="24"/>
          <w:szCs w:val="24"/>
        </w:rPr>
        <w:t>. This additional component captures the interaction effect between in-store marketing, group, and gender dummies. Similar to model 2, dataset used in this analysis is gender identified with 2,842 observations.  The model is expressed as follow,</w:t>
      </w:r>
    </w:p>
    <w:p w:rsidR="00DA2247" w:rsidRPr="009E5B5E" w:rsidRDefault="00DA2247" w:rsidP="00DA2247">
      <w:pPr>
        <w:tabs>
          <w:tab w:val="left" w:pos="5666"/>
        </w:tabs>
        <w:spacing w:line="360" w:lineRule="auto"/>
        <w:jc w:val="both"/>
        <w:rPr>
          <w:color w:val="1F497D" w:themeColor="text2"/>
          <w:sz w:val="24"/>
          <w:szCs w:val="24"/>
        </w:rPr>
      </w:pPr>
      <m:oMathPara>
        <m:oMath>
          <m:r>
            <w:rPr>
              <w:rFonts w:ascii="Cambria Math" w:hAnsi="Cambria Math"/>
            </w:rPr>
            <m:t xml:space="preserve">Probability </m:t>
          </m:r>
          <m:d>
            <m:dPr>
              <m:ctrlPr>
                <w:rPr>
                  <w:rFonts w:ascii="Cambria Math" w:hAnsi="Cambria Math"/>
                  <w:i/>
                </w:rPr>
              </m:ctrlPr>
            </m:dPr>
            <m:e>
              <m:sSub>
                <m:sSubPr>
                  <m:ctrlPr>
                    <w:rPr>
                      <w:rFonts w:ascii="Cambria Math" w:hAnsi="Cambria Math"/>
                      <w:i/>
                    </w:rPr>
                  </m:ctrlPr>
                </m:sSubPr>
                <m:e>
                  <m:r>
                    <w:rPr>
                      <w:rFonts w:ascii="Cambria Math" w:hAnsi="Cambria Math"/>
                    </w:rPr>
                    <m:t>BUY</m:t>
                  </m:r>
                </m:e>
                <m:sub>
                  <m:r>
                    <w:rPr>
                      <w:rFonts w:ascii="Cambria Math" w:hAnsi="Cambria Math"/>
                    </w:rPr>
                    <m:t>i</m:t>
                  </m:r>
                </m:sub>
              </m:sSub>
              <m:r>
                <w:rPr>
                  <w:rFonts w:ascii="Cambria Math" w:hAnsi="Cambria Math"/>
                </w:rPr>
                <m:t>=1</m:t>
              </m:r>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sSup>
                <m:sSupPr>
                  <m:ctrlPr>
                    <w:rPr>
                      <w:rFonts w:ascii="Cambria Math" w:hAnsi="Cambria Math"/>
                      <w:i/>
                    </w:rPr>
                  </m:ctrlPr>
                </m:sSupPr>
                <m:e>
                  <m:r>
                    <w:rPr>
                      <w:rFonts w:ascii="Cambria Math" w:hAnsi="Cambria Math"/>
                    </w:rPr>
                    <m:t>e</m:t>
                  </m:r>
                </m:e>
                <m:sup>
                  <m:eqArr>
                    <m:eqArrPr>
                      <m:ctrlPr>
                        <w:rPr>
                          <w:rFonts w:ascii="Cambria Math" w:hAnsi="Cambria Math"/>
                          <w:i/>
                        </w:rPr>
                      </m:ctrlPr>
                    </m:eqArrPr>
                    <m:e>
                      <m:r>
                        <w:rPr>
                          <w:rFonts w:ascii="Cambria Math" w:hAnsi="Cambria Math"/>
                        </w:rPr>
                        <m:t>-(β0+β1*</m:t>
                      </m:r>
                      <m:sSub>
                        <m:sSubPr>
                          <m:ctrlPr>
                            <w:rPr>
                              <w:rFonts w:ascii="Cambria Math" w:hAnsi="Cambria Math"/>
                              <w:i/>
                            </w:rPr>
                          </m:ctrlPr>
                        </m:sSubPr>
                        <m:e>
                          <m:r>
                            <w:rPr>
                              <w:rFonts w:ascii="Cambria Math" w:hAnsi="Cambria Math"/>
                            </w:rPr>
                            <m:t>InStMkt</m:t>
                          </m:r>
                        </m:e>
                        <m:sub>
                          <m:r>
                            <w:rPr>
                              <w:rFonts w:ascii="Cambria Math" w:hAnsi="Cambria Math"/>
                            </w:rPr>
                            <m:t>1</m:t>
                          </m:r>
                        </m:sub>
                      </m:sSub>
                      <m:r>
                        <w:rPr>
                          <w:rFonts w:ascii="Cambria Math" w:hAnsi="Cambria Math"/>
                        </w:rPr>
                        <m:t>+β2*</m:t>
                      </m:r>
                      <m:sSub>
                        <m:sSubPr>
                          <m:ctrlPr>
                            <w:rPr>
                              <w:rFonts w:ascii="Cambria Math" w:hAnsi="Cambria Math"/>
                              <w:i/>
                            </w:rPr>
                          </m:ctrlPr>
                        </m:sSubPr>
                        <m:e>
                          <m:r>
                            <w:rPr>
                              <w:rFonts w:ascii="Cambria Math" w:hAnsi="Cambria Math"/>
                            </w:rPr>
                            <m:t>FRIEND</m:t>
                          </m:r>
                        </m:e>
                        <m:sub>
                          <m:r>
                            <w:rPr>
                              <w:rFonts w:ascii="Cambria Math" w:hAnsi="Cambria Math"/>
                            </w:rPr>
                            <m:t>i</m:t>
                          </m:r>
                        </m:sub>
                      </m:sSub>
                      <m:r>
                        <w:rPr>
                          <w:rFonts w:ascii="Cambria Math" w:hAnsi="Cambria Math"/>
                        </w:rPr>
                        <m:t>+β3*</m:t>
                      </m:r>
                      <m:sSub>
                        <m:sSubPr>
                          <m:ctrlPr>
                            <w:rPr>
                              <w:rFonts w:ascii="Cambria Math" w:hAnsi="Cambria Math"/>
                              <w:i/>
                            </w:rPr>
                          </m:ctrlPr>
                        </m:sSubPr>
                        <m:e>
                          <m:r>
                            <w:rPr>
                              <w:rFonts w:ascii="Cambria Math" w:hAnsi="Cambria Math"/>
                            </w:rPr>
                            <m:t>InStMkt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+β4*</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m:t>
                      </m:r>
                      <m:sSub>
                        <m:sSubPr>
                          <m:ctrlPr>
                            <w:rPr>
                              <w:rFonts w:ascii="Cambria Math" w:hAnsi="Cambria Math"/>
                              <w:i/>
                            </w:rPr>
                          </m:ctrlPr>
                        </m:sSubPr>
                        <m:e>
                          <m:r>
                            <w:rPr>
                              <w:rFonts w:ascii="Cambria Math"/>
                            </w:rPr>
                            <m:t>GENDER</m:t>
                          </m:r>
                        </m:e>
                        <m:sub>
                          <m:r>
                            <w:rPr>
                              <w:rFonts w:ascii="Cambria Math"/>
                            </w:rPr>
                            <m:t>i</m:t>
                          </m:r>
                        </m:sub>
                      </m:sSub>
                    </m:e>
                    <m:e>
                      <m:r>
                        <w:rPr>
                          <w:rFonts w:ascii="Cambria Math" w:hAnsi="Cambria Math"/>
                        </w:rPr>
                        <m:t>+β5*</m:t>
                      </m:r>
                      <m:sSub>
                        <m:sSubPr>
                          <m:ctrlPr>
                            <w:rPr>
                              <w:rFonts w:ascii="Cambria Math" w:hAnsi="Cambria Math"/>
                              <w:i/>
                            </w:rPr>
                          </m:ctrlPr>
                        </m:sSubPr>
                        <m:e>
                          <m:r>
                            <w:rPr>
                              <w:rFonts w:ascii="Cambria Math" w:hAnsi="Cambria Math"/>
                            </w:rPr>
                            <m:t>InStMkt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rPr>
                            <m:t>FRIEND</m:t>
                          </m:r>
                        </m:e>
                        <m:sub>
                          <m:r>
                            <w:rPr>
                              <w:rFonts w:ascii="Cambria Math"/>
                            </w:rPr>
                            <m:t>i</m:t>
                          </m:r>
                        </m:sub>
                      </m:sSub>
                      <m:r>
                        <w:rPr>
                          <w:rFonts w:ascii="Cambria Math" w:hAnsi="Cambria Math"/>
                        </w:rPr>
                        <m:t>*</m:t>
                      </m:r>
                      <m:sSub>
                        <m:sSubPr>
                          <m:ctrlPr>
                            <w:rPr>
                              <w:rFonts w:ascii="Cambria Math" w:hAnsi="Cambria Math"/>
                              <w:i/>
                            </w:rPr>
                          </m:ctrlPr>
                        </m:sSubPr>
                        <m:e>
                          <m:r>
                            <w:rPr>
                              <w:rFonts w:ascii="Cambria Math"/>
                            </w:rPr>
                            <m:t>GEN</m:t>
                          </m:r>
                          <m:r>
                            <w:rPr>
                              <w:rFonts w:ascii="Cambria Math"/>
                            </w:rPr>
                            <m:t>DER</m:t>
                          </m:r>
                        </m:e>
                        <m:sub>
                          <m:r>
                            <w:rPr>
                              <w:rFonts w:ascii="Cambria Math"/>
                            </w:rPr>
                            <m:t>i</m:t>
                          </m:r>
                        </m:sub>
                      </m:sSub>
                      <m:r>
                        <w:rPr>
                          <w:rFonts w:ascii="Cambria Math" w:hAnsi="Cambria Math"/>
                        </w:rPr>
                        <m:t>+β6*</m:t>
                      </m:r>
                      <m:sSub>
                        <m:sSubPr>
                          <m:ctrlPr>
                            <w:rPr>
                              <w:rFonts w:ascii="Cambria Math" w:hAnsi="Cambria Math"/>
                              <w:i/>
                            </w:rPr>
                          </m:ctrlPr>
                        </m:sSubPr>
                        <m:e>
                          <m:r>
                            <w:rPr>
                              <w:rFonts w:ascii="Cambria Math" w:hAnsi="Cambria Math"/>
                            </w:rPr>
                            <m:t>DT</m:t>
                          </m:r>
                        </m:e>
                        <m:sub>
                          <m:r>
                            <w:rPr>
                              <w:rFonts w:ascii="Cambria Math" w:hAnsi="Cambria Math"/>
                            </w:rPr>
                            <m:t>i</m:t>
                          </m:r>
                        </m:sub>
                      </m:sSub>
                      <m:r>
                        <w:rPr>
                          <w:rFonts w:ascii="Cambria Math" w:hAnsi="Cambria Math"/>
                        </w:rPr>
                        <m:t>+β7*</m:t>
                      </m:r>
                      <m:sSub>
                        <m:sSubPr>
                          <m:ctrlPr>
                            <w:rPr>
                              <w:rFonts w:ascii="Cambria Math" w:hAnsi="Cambria Math"/>
                              <w:i/>
                            </w:rPr>
                          </m:ctrlPr>
                        </m:sSubPr>
                        <m:e>
                          <m:r>
                            <w:rPr>
                              <w:rFonts w:ascii="Cambria Math" w:hAnsi="Cambria Math"/>
                            </w:rPr>
                            <m:t>EC</m:t>
                          </m:r>
                        </m:e>
                        <m:sub>
                          <m:r>
                            <w:rPr>
                              <w:rFonts w:ascii="Cambria Math" w:hAnsi="Cambria Math"/>
                            </w:rPr>
                            <m:t>i</m:t>
                          </m:r>
                        </m:sub>
                      </m:sSub>
                      <m:r>
                        <w:rPr>
                          <w:rFonts w:ascii="Cambria Math" w:hAnsi="Cambria Math"/>
                        </w:rPr>
                        <m:t>+</m:t>
                      </m:r>
                      <m:r>
                        <m:rPr>
                          <m:sty m:val="p"/>
                        </m:rPr>
                        <w:rPr>
                          <w:rFonts w:ascii="Cambria Math" w:hAnsi="Cambria Math"/>
                        </w:rPr>
                        <m:t>β8*</m:t>
                      </m:r>
                      <m:sSub>
                        <m:sSubPr>
                          <m:ctrlPr>
                            <w:rPr>
                              <w:rFonts w:ascii="Cambria Math" w:hAnsi="Cambria Math"/>
                            </w:rPr>
                          </m:ctrlPr>
                        </m:sSubPr>
                        <m:e>
                          <m:r>
                            <m:rPr>
                              <m:sty m:val="p"/>
                            </m:rPr>
                            <w:rPr>
                              <w:rFonts w:ascii="Cambria Math" w:hAnsi="Cambria Math"/>
                            </w:rPr>
                            <m:t>NA</m:t>
                          </m:r>
                        </m:e>
                        <m:sub>
                          <m:r>
                            <m:rPr>
                              <m:sty m:val="p"/>
                            </m:rPr>
                            <w:rPr>
                              <w:rFonts w:ascii="Cambria Math" w:hAnsi="Cambria Math"/>
                              <w:vertAlign w:val="subscript"/>
                            </w:rPr>
                            <m:t>i</m:t>
                          </m:r>
                        </m:sub>
                      </m:sSub>
                      <m:r>
                        <m:rPr>
                          <m:sty m:val="p"/>
                        </m:rPr>
                        <w:rPr>
                          <w:rFonts w:ascii="Cambria Math" w:hAnsi="Cambria Math"/>
                        </w:rPr>
                        <m:t>+β9*</m:t>
                      </m:r>
                      <m:sSub>
                        <m:sSubPr>
                          <m:ctrlPr>
                            <w:rPr>
                              <w:rFonts w:ascii="Cambria Math" w:hAnsi="Cambria Math"/>
                            </w:rPr>
                          </m:ctrlPr>
                        </m:sSubPr>
                        <m:e>
                          <m:r>
                            <m:rPr>
                              <m:sty m:val="p"/>
                            </m:rPr>
                            <w:rPr>
                              <w:rFonts w:ascii="Cambria Math" w:hAnsi="Cambria Math"/>
                            </w:rPr>
                            <m:t>INNOV</m:t>
                          </m:r>
                        </m:e>
                        <m:sub>
                          <m:r>
                            <m:rPr>
                              <m:sty m:val="p"/>
                            </m:rPr>
                            <w:rPr>
                              <w:rFonts w:ascii="Cambria Math" w:hAnsi="Cambria Math"/>
                            </w:rPr>
                            <m:t xml:space="preserve">i </m:t>
                          </m:r>
                        </m:sub>
                      </m:sSub>
                      <m:r>
                        <m:rPr>
                          <m:sty m:val="p"/>
                        </m:rPr>
                        <w:rPr>
                          <w:rFonts w:ascii="Cambria Math" w:hAnsi="Cambria Math"/>
                        </w:rPr>
                        <m:t>+ β10*</m:t>
                      </m:r>
                      <m:sSub>
                        <m:sSubPr>
                          <m:ctrlPr>
                            <w:rPr>
                              <w:rFonts w:ascii="Cambria Math" w:hAnsi="Cambria Math"/>
                            </w:rPr>
                          </m:ctrlPr>
                        </m:sSubPr>
                        <m:e>
                          <m:r>
                            <m:rPr>
                              <m:sty m:val="p"/>
                            </m:rPr>
                            <w:rPr>
                              <w:rFonts w:ascii="Cambria Math" w:hAnsi="Cambria Math"/>
                            </w:rPr>
                            <m:t>INVOL</m:t>
                          </m:r>
                        </m:e>
                        <m:sub>
                          <m:r>
                            <m:rPr>
                              <m:sty m:val="p"/>
                            </m:rPr>
                            <w:rPr>
                              <w:rFonts w:ascii="Cambria Math" w:hAnsi="Cambria Math"/>
                            </w:rPr>
                            <m:t>i</m:t>
                          </m:r>
                        </m:sub>
                      </m:sSub>
                      <m:r>
                        <m:rPr>
                          <m:sty m:val="p"/>
                        </m:rPr>
                        <w:rPr>
                          <w:rFonts w:ascii="Cambria Math" w:hAnsi="Cambria Math"/>
                        </w:rPr>
                        <m:t>)</m:t>
                      </m:r>
                    </m:e>
                  </m:eqArr>
                </m:sup>
              </m:sSup>
            </m:den>
          </m:f>
        </m:oMath>
      </m:oMathPara>
      <w:r w:rsidRPr="009E5B5E">
        <w:br/>
      </w:r>
    </w:p>
    <w:p w:rsidR="00DA2247" w:rsidRPr="009E5B5E" w:rsidRDefault="00DA2247" w:rsidP="00DA2247">
      <w:pPr>
        <w:tabs>
          <w:tab w:val="left" w:pos="5666"/>
        </w:tabs>
        <w:spacing w:line="360" w:lineRule="auto"/>
        <w:jc w:val="both"/>
        <w:rPr>
          <w:b/>
          <w:bCs/>
          <w:color w:val="000000" w:themeColor="text1"/>
          <w:sz w:val="28"/>
          <w:szCs w:val="28"/>
        </w:rPr>
      </w:pPr>
    </w:p>
    <w:p w:rsidR="00DA2247" w:rsidRPr="009E5B5E" w:rsidRDefault="00DA2247" w:rsidP="00DA2247">
      <w:pPr>
        <w:tabs>
          <w:tab w:val="left" w:pos="5666"/>
        </w:tabs>
        <w:spacing w:line="360" w:lineRule="auto"/>
        <w:jc w:val="both"/>
        <w:rPr>
          <w:b/>
          <w:bCs/>
          <w:color w:val="000000" w:themeColor="text1"/>
          <w:sz w:val="28"/>
          <w:szCs w:val="28"/>
        </w:rPr>
      </w:pPr>
    </w:p>
    <w:p w:rsidR="005A408B" w:rsidRDefault="005A408B" w:rsidP="00DA2247">
      <w:pPr>
        <w:tabs>
          <w:tab w:val="left" w:pos="5666"/>
        </w:tabs>
        <w:spacing w:line="360" w:lineRule="auto"/>
        <w:jc w:val="both"/>
        <w:rPr>
          <w:b/>
          <w:bCs/>
          <w:color w:val="000000" w:themeColor="text1"/>
          <w:sz w:val="28"/>
          <w:szCs w:val="28"/>
        </w:rPr>
      </w:pPr>
    </w:p>
    <w:p w:rsidR="00DA2247" w:rsidRPr="009E5B5E" w:rsidRDefault="00DA2247" w:rsidP="00DA2247">
      <w:pPr>
        <w:tabs>
          <w:tab w:val="left" w:pos="5666"/>
        </w:tabs>
        <w:spacing w:line="360" w:lineRule="auto"/>
        <w:jc w:val="both"/>
        <w:rPr>
          <w:b/>
          <w:bCs/>
          <w:color w:val="000000" w:themeColor="text1"/>
          <w:sz w:val="28"/>
          <w:szCs w:val="28"/>
        </w:rPr>
      </w:pPr>
      <w:r w:rsidRPr="009E5B5E">
        <w:rPr>
          <w:b/>
          <w:bCs/>
          <w:color w:val="000000" w:themeColor="text1"/>
          <w:sz w:val="28"/>
          <w:szCs w:val="28"/>
        </w:rPr>
        <w:lastRenderedPageBreak/>
        <w:t>3.6.2 Assumptions in Logistic Regression Model</w:t>
      </w:r>
    </w:p>
    <w:p w:rsidR="00DA2247" w:rsidRPr="009E5B5E" w:rsidRDefault="00DA2247" w:rsidP="00DA2247">
      <w:pPr>
        <w:tabs>
          <w:tab w:val="left" w:pos="5666"/>
        </w:tabs>
        <w:spacing w:line="360" w:lineRule="auto"/>
        <w:jc w:val="both"/>
        <w:rPr>
          <w:sz w:val="24"/>
          <w:szCs w:val="24"/>
        </w:rPr>
      </w:pPr>
      <w:r w:rsidRPr="009E5B5E">
        <w:rPr>
          <w:sz w:val="24"/>
          <w:szCs w:val="24"/>
        </w:rPr>
        <w:t>As in ordinary regression, logistic regression has the assumptions that should not be violated in order to obtain unbiased and valid results. The assumptions in logistic regression are as follows</w:t>
      </w:r>
    </w:p>
    <w:p w:rsidR="00DA2247" w:rsidRPr="009E5B5E" w:rsidRDefault="00DA2247" w:rsidP="00DA2247">
      <w:pPr>
        <w:tabs>
          <w:tab w:val="left" w:pos="284"/>
          <w:tab w:val="left" w:pos="5666"/>
        </w:tabs>
        <w:spacing w:line="360" w:lineRule="auto"/>
        <w:jc w:val="both"/>
        <w:rPr>
          <w:sz w:val="24"/>
          <w:szCs w:val="24"/>
        </w:rPr>
      </w:pPr>
      <w:r w:rsidRPr="009E5B5E">
        <w:rPr>
          <w:b/>
          <w:sz w:val="24"/>
          <w:szCs w:val="24"/>
        </w:rPr>
        <w:t>1. Linearity</w:t>
      </w:r>
      <w:r w:rsidRPr="009E5B5E">
        <w:rPr>
          <w:sz w:val="24"/>
          <w:szCs w:val="24"/>
        </w:rPr>
        <w:t xml:space="preserve">: As the outcome variable in logistic regression is binary in this particular study, the assumption suggesting linear relationships between the outcome variable and predictor variables in ordinary regression is violated. Therefore, the assumption of linearity in logistic regression states that the relationship between any continuous predictor variables and the logit of the outcome variable is linear. </w:t>
      </w:r>
    </w:p>
    <w:p w:rsidR="00DA2247" w:rsidRPr="009E5B5E" w:rsidRDefault="00DA2247" w:rsidP="00DA2247">
      <w:pPr>
        <w:tabs>
          <w:tab w:val="left" w:pos="284"/>
          <w:tab w:val="left" w:pos="5666"/>
        </w:tabs>
        <w:spacing w:line="360" w:lineRule="auto"/>
        <w:jc w:val="both"/>
        <w:rPr>
          <w:sz w:val="24"/>
          <w:szCs w:val="24"/>
        </w:rPr>
      </w:pPr>
      <w:r w:rsidRPr="009E5B5E">
        <w:rPr>
          <w:b/>
          <w:sz w:val="24"/>
          <w:szCs w:val="24"/>
        </w:rPr>
        <w:t>2. Independence of errors</w:t>
      </w:r>
      <w:r w:rsidRPr="009E5B5E">
        <w:rPr>
          <w:sz w:val="24"/>
          <w:szCs w:val="24"/>
        </w:rPr>
        <w:t>: As in ordinary regression, this assumption assumes that the residual terms of any two observations should be uncorrelated. For logistic regression, violation of this assumption create overdispersion problem which is discussed in the next section.</w:t>
      </w:r>
    </w:p>
    <w:p w:rsidR="00DA2247" w:rsidRPr="009E5B5E" w:rsidRDefault="00DA2247" w:rsidP="00DA2247">
      <w:pPr>
        <w:tabs>
          <w:tab w:val="left" w:pos="284"/>
          <w:tab w:val="left" w:pos="5666"/>
        </w:tabs>
        <w:spacing w:line="360" w:lineRule="auto"/>
        <w:jc w:val="both"/>
        <w:rPr>
          <w:sz w:val="24"/>
          <w:szCs w:val="24"/>
        </w:rPr>
      </w:pPr>
      <w:r w:rsidRPr="009E5B5E">
        <w:rPr>
          <w:b/>
          <w:sz w:val="24"/>
          <w:szCs w:val="24"/>
        </w:rPr>
        <w:t>3. Multicollinearity</w:t>
      </w:r>
      <w:r w:rsidRPr="009E5B5E">
        <w:rPr>
          <w:sz w:val="24"/>
          <w:szCs w:val="24"/>
        </w:rPr>
        <w:t>: Perfect linear relationship between predictor variable could create an issue in logistic regression as it was for ordinary regression. Therefore,</w:t>
      </w:r>
      <w:r w:rsidRPr="009E5B5E">
        <w:rPr>
          <w:rFonts w:cs="ClassicalGaramondBT-Roman"/>
          <w:sz w:val="24"/>
          <w:szCs w:val="24"/>
        </w:rPr>
        <w:t xml:space="preserve"> it is assumed that the predictor variables should not be too high correlated.</w:t>
      </w:r>
    </w:p>
    <w:p w:rsidR="00DA2247" w:rsidRPr="009E5B5E" w:rsidRDefault="00DA2247" w:rsidP="00DA2247">
      <w:pPr>
        <w:pStyle w:val="ListParagraph"/>
        <w:tabs>
          <w:tab w:val="left" w:pos="284"/>
          <w:tab w:val="left" w:pos="5666"/>
        </w:tabs>
        <w:spacing w:line="360" w:lineRule="auto"/>
        <w:ind w:left="0"/>
        <w:jc w:val="both"/>
        <w:rPr>
          <w:sz w:val="28"/>
          <w:szCs w:val="28"/>
        </w:rPr>
      </w:pPr>
      <w:r w:rsidRPr="009E5B5E">
        <w:rPr>
          <w:b/>
          <w:bCs/>
          <w:sz w:val="28"/>
          <w:szCs w:val="28"/>
        </w:rPr>
        <w:t>3.6.3 Possible Problems in</w:t>
      </w:r>
      <w:r w:rsidRPr="009E5B5E">
        <w:rPr>
          <w:b/>
          <w:bCs/>
          <w:color w:val="000000" w:themeColor="text1"/>
          <w:sz w:val="28"/>
          <w:szCs w:val="28"/>
        </w:rPr>
        <w:t xml:space="preserve"> Logistic Regression </w:t>
      </w:r>
    </w:p>
    <w:p w:rsidR="00DA2247" w:rsidRPr="009E5B5E" w:rsidRDefault="00DA2247" w:rsidP="00DA2247">
      <w:pPr>
        <w:tabs>
          <w:tab w:val="left" w:pos="5666"/>
        </w:tabs>
        <w:spacing w:line="360" w:lineRule="auto"/>
        <w:jc w:val="both"/>
        <w:rPr>
          <w:sz w:val="24"/>
          <w:szCs w:val="24"/>
        </w:rPr>
      </w:pPr>
      <w:r w:rsidRPr="009E5B5E">
        <w:rPr>
          <w:sz w:val="24"/>
          <w:szCs w:val="24"/>
        </w:rPr>
        <w:t xml:space="preserve">There are some potential problems that have to be addressed before applying logistic regression. The first problem is </w:t>
      </w:r>
      <w:r w:rsidRPr="009E5B5E">
        <w:rPr>
          <w:i/>
          <w:iCs/>
          <w:sz w:val="24"/>
          <w:szCs w:val="24"/>
        </w:rPr>
        <w:t>Incomplete Information from the Predictors</w:t>
      </w:r>
      <w:r w:rsidRPr="009E5B5E">
        <w:rPr>
          <w:sz w:val="24"/>
          <w:szCs w:val="24"/>
        </w:rPr>
        <w:t>, occurring when particular combination of categorical predictors is not available in the dataset (Field 2009). Without all combinations of the predictors, there will be an issue in the prediction of the outcome. This problem can be addressed by using crosstabulation tables with categorical predictors, or by carefully inspecting considerably large standard error of the parameter.</w:t>
      </w:r>
    </w:p>
    <w:p w:rsidR="00DA2247" w:rsidRPr="009E5B5E" w:rsidRDefault="00DA2247" w:rsidP="00DA2247">
      <w:pPr>
        <w:tabs>
          <w:tab w:val="left" w:pos="5666"/>
        </w:tabs>
        <w:spacing w:line="360" w:lineRule="auto"/>
        <w:jc w:val="both"/>
        <w:rPr>
          <w:rFonts w:cs="Times New Roman"/>
          <w:color w:val="000000"/>
          <w:sz w:val="24"/>
          <w:szCs w:val="24"/>
          <w:shd w:val="clear" w:color="auto" w:fill="FFFFFF"/>
        </w:rPr>
      </w:pPr>
      <w:r w:rsidRPr="009E5B5E">
        <w:rPr>
          <w:sz w:val="24"/>
          <w:szCs w:val="24"/>
        </w:rPr>
        <w:t xml:space="preserve">The second problem is </w:t>
      </w:r>
      <w:r w:rsidRPr="009E5B5E">
        <w:rPr>
          <w:i/>
          <w:iCs/>
          <w:sz w:val="24"/>
          <w:szCs w:val="24"/>
        </w:rPr>
        <w:t>Complete Separation</w:t>
      </w:r>
      <w:r w:rsidRPr="009E5B5E">
        <w:rPr>
          <w:sz w:val="24"/>
          <w:szCs w:val="24"/>
        </w:rPr>
        <w:t xml:space="preserve">, occurring when one variable or a combination of variables can completely predict the outcome variable. </w:t>
      </w:r>
      <w:r w:rsidRPr="009E5B5E">
        <w:rPr>
          <w:rFonts w:cs="Times New Roman"/>
          <w:color w:val="000000"/>
          <w:sz w:val="24"/>
          <w:szCs w:val="24"/>
          <w:shd w:val="clear" w:color="auto" w:fill="FFFFFF"/>
        </w:rPr>
        <w:t xml:space="preserve">Complete separation or perfect prediction exists for several reasons (Field 2009). One reason is when using several categorical variables and there may be subgroups/categories all of whom have the same level of the dependent variable. Another is that there is a coding error or inclusion of another form of the outcome as a predictor variable. Lastly, very small simple size could also create complete </w:t>
      </w:r>
      <w:r w:rsidRPr="009E5B5E">
        <w:rPr>
          <w:rFonts w:cs="Times New Roman"/>
          <w:color w:val="000000"/>
          <w:sz w:val="24"/>
          <w:szCs w:val="24"/>
          <w:shd w:val="clear" w:color="auto" w:fill="FFFFFF"/>
        </w:rPr>
        <w:lastRenderedPageBreak/>
        <w:t>separation issue. Complete separation can be addressed when large standard error of the parameter is present in the results of the analysis.</w:t>
      </w:r>
    </w:p>
    <w:p w:rsidR="00DA2247" w:rsidRPr="009E5B5E" w:rsidRDefault="00DA2247" w:rsidP="00DA2247">
      <w:pPr>
        <w:tabs>
          <w:tab w:val="left" w:pos="5666"/>
        </w:tabs>
        <w:spacing w:line="360" w:lineRule="auto"/>
        <w:jc w:val="both"/>
        <w:rPr>
          <w:sz w:val="24"/>
          <w:szCs w:val="24"/>
        </w:rPr>
      </w:pPr>
      <w:r w:rsidRPr="009E5B5E">
        <w:rPr>
          <w:sz w:val="24"/>
          <w:szCs w:val="24"/>
        </w:rPr>
        <w:t xml:space="preserve">The last potential problem is </w:t>
      </w:r>
      <w:r w:rsidRPr="009E5B5E">
        <w:rPr>
          <w:i/>
          <w:iCs/>
          <w:sz w:val="24"/>
          <w:szCs w:val="24"/>
        </w:rPr>
        <w:t>overdispersion</w:t>
      </w:r>
      <w:r w:rsidRPr="009E5B5E">
        <w:rPr>
          <w:sz w:val="24"/>
          <w:szCs w:val="24"/>
        </w:rPr>
        <w:t xml:space="preserve">, occurring when the observed variance is larger than expected from the logit model. There two reasons behind this problem (McCullagh and Nelder 1989). The first is the violation of the independent errors assumption, and the second is because of variability in success probabilities. This problem can be addressed when the ratio of chi-square goodness-of-fit statistic to its degrees of freedom is greater than two. </w:t>
      </w:r>
    </w:p>
    <w:p w:rsidR="00DA2247" w:rsidRPr="009E5B5E" w:rsidRDefault="00DA2247" w:rsidP="00DA2247">
      <w:pPr>
        <w:spacing w:line="360" w:lineRule="auto"/>
        <w:rPr>
          <w:b/>
          <w:bCs/>
          <w:color w:val="000000" w:themeColor="text1"/>
          <w:sz w:val="36"/>
          <w:szCs w:val="36"/>
        </w:rPr>
      </w:pPr>
      <w:r w:rsidRPr="009E5B5E">
        <w:rPr>
          <w:b/>
          <w:bCs/>
          <w:color w:val="000000" w:themeColor="text1"/>
          <w:sz w:val="32"/>
          <w:szCs w:val="32"/>
        </w:rPr>
        <w:br w:type="page"/>
      </w:r>
      <w:r w:rsidRPr="009E5B5E">
        <w:rPr>
          <w:b/>
          <w:bCs/>
          <w:color w:val="000000" w:themeColor="text1"/>
          <w:sz w:val="36"/>
          <w:szCs w:val="36"/>
        </w:rPr>
        <w:lastRenderedPageBreak/>
        <w:t>4</w:t>
      </w:r>
      <w:r w:rsidRPr="009E5B5E">
        <w:rPr>
          <w:b/>
          <w:bCs/>
          <w:color w:val="000000" w:themeColor="text1"/>
          <w:sz w:val="36"/>
          <w:szCs w:val="36"/>
        </w:rPr>
        <w:tab/>
        <w:t>ANALYSIS AND RESULTS</w:t>
      </w:r>
    </w:p>
    <w:p w:rsidR="00DA2247" w:rsidRPr="009E5B5E" w:rsidRDefault="00AD7D97" w:rsidP="00DA2247">
      <w:pPr>
        <w:tabs>
          <w:tab w:val="left" w:pos="5666"/>
        </w:tabs>
        <w:spacing w:line="360" w:lineRule="auto"/>
        <w:jc w:val="both"/>
        <w:rPr>
          <w:b/>
          <w:bCs/>
          <w:color w:val="000000" w:themeColor="text1"/>
          <w:sz w:val="32"/>
          <w:szCs w:val="32"/>
        </w:rPr>
      </w:pPr>
      <w:r w:rsidRPr="00AD7D97">
        <w:rPr>
          <w:b/>
          <w:bCs/>
          <w:noProof/>
          <w:color w:val="000000" w:themeColor="text1"/>
          <w:sz w:val="36"/>
          <w:szCs w:val="36"/>
          <w:lang w:bidi="th-TH"/>
        </w:rPr>
        <w:pict>
          <v:shape id="_x0000_s1064" type="#_x0000_t32" style="position:absolute;left:0;text-align:left;margin-left:1.1pt;margin-top:-17pt;width:487.1pt;height:.05pt;z-index:251700224" o:connectortype="straight" strokeweight="1.75pt"/>
        </w:pict>
      </w:r>
      <w:r w:rsidR="00DA2247" w:rsidRPr="009E5B5E">
        <w:rPr>
          <w:b/>
          <w:bCs/>
          <w:color w:val="000000" w:themeColor="text1"/>
          <w:sz w:val="32"/>
          <w:szCs w:val="32"/>
        </w:rPr>
        <w:t xml:space="preserve">4.1 Outliers </w:t>
      </w:r>
    </w:p>
    <w:p w:rsidR="00DA2247" w:rsidRPr="009E5B5E" w:rsidRDefault="00DA2247" w:rsidP="00DA2247">
      <w:pPr>
        <w:tabs>
          <w:tab w:val="left" w:pos="5666"/>
        </w:tabs>
        <w:spacing w:line="360" w:lineRule="auto"/>
        <w:jc w:val="both"/>
        <w:rPr>
          <w:b/>
          <w:bCs/>
          <w:sz w:val="24"/>
          <w:szCs w:val="24"/>
        </w:rPr>
      </w:pPr>
      <w:r w:rsidRPr="009E5B5E">
        <w:rPr>
          <w:sz w:val="24"/>
          <w:szCs w:val="24"/>
        </w:rPr>
        <w:t>Prior to logistic regression analysis, all three datasets, in which incomplete observations are eliminated as discussed in chapter 3.4, are tested for univariate outliers to prevent the bias results of the analysis. For this purpose standard scores of all continuous variables included the models, namely dwell time, innovativeness, and involvement are calculated and analyzed. Since the sample size of all datasets are larger than 80 observations, an observation with absolute value of standard score of 3.0 or higher is an outlier, and therefore has to be omitted.</w:t>
      </w:r>
    </w:p>
    <w:p w:rsidR="00DA2247" w:rsidRPr="009E5B5E" w:rsidRDefault="00DA2247" w:rsidP="00DA2247">
      <w:pPr>
        <w:tabs>
          <w:tab w:val="left" w:pos="5666"/>
        </w:tabs>
        <w:spacing w:line="360" w:lineRule="auto"/>
        <w:jc w:val="both"/>
        <w:rPr>
          <w:sz w:val="24"/>
          <w:szCs w:val="24"/>
        </w:rPr>
      </w:pPr>
      <w:r w:rsidRPr="009E5B5E">
        <w:rPr>
          <w:sz w:val="24"/>
          <w:szCs w:val="24"/>
        </w:rPr>
        <w:t>In the original dataset with 9,862 observations, 118 and 167 observations are detected as univariate outliers for dwell time and involvement variables respectively. This results in the elimination of 285 observations in the original dataset.</w:t>
      </w:r>
    </w:p>
    <w:p w:rsidR="00DA2247" w:rsidRPr="009E5B5E" w:rsidRDefault="00DA2247" w:rsidP="00DA2247">
      <w:pPr>
        <w:tabs>
          <w:tab w:val="left" w:pos="5666"/>
        </w:tabs>
        <w:spacing w:line="360" w:lineRule="auto"/>
        <w:jc w:val="both"/>
        <w:rPr>
          <w:sz w:val="24"/>
          <w:szCs w:val="24"/>
        </w:rPr>
      </w:pPr>
      <w:r w:rsidRPr="009E5B5E">
        <w:rPr>
          <w:sz w:val="24"/>
          <w:szCs w:val="24"/>
        </w:rPr>
        <w:t xml:space="preserve"> In the reduced dataset with 9,439 observations, 102 observations are detected as univariate outliers for dwell time, and 158 observations for involvement. Thus, 260 observations are omitted from the reduced dataset.</w:t>
      </w:r>
    </w:p>
    <w:p w:rsidR="00DA2247" w:rsidRPr="009E5B5E" w:rsidRDefault="00DA2247" w:rsidP="00DA2247">
      <w:pPr>
        <w:tabs>
          <w:tab w:val="left" w:pos="5666"/>
        </w:tabs>
        <w:spacing w:line="360" w:lineRule="auto"/>
        <w:jc w:val="both"/>
        <w:rPr>
          <w:sz w:val="24"/>
          <w:szCs w:val="24"/>
        </w:rPr>
      </w:pPr>
      <w:r w:rsidRPr="009E5B5E">
        <w:rPr>
          <w:sz w:val="24"/>
          <w:szCs w:val="24"/>
        </w:rPr>
        <w:t>Finally, in the gender restricted dataset with 2,740 observations, 33 observations are detected as univariate outliers fro dwell time, and 54 observations for involvement. This leads to the removal of 87 observations in the dataset.</w:t>
      </w:r>
    </w:p>
    <w:p w:rsidR="00DA2247" w:rsidRPr="009E5B5E" w:rsidRDefault="00DA2247" w:rsidP="00DA2247">
      <w:pPr>
        <w:tabs>
          <w:tab w:val="left" w:pos="5666"/>
        </w:tabs>
        <w:spacing w:line="360" w:lineRule="auto"/>
        <w:jc w:val="both"/>
        <w:rPr>
          <w:b/>
          <w:bCs/>
          <w:color w:val="000000" w:themeColor="text1"/>
          <w:sz w:val="32"/>
          <w:szCs w:val="32"/>
        </w:rPr>
      </w:pPr>
    </w:p>
    <w:p w:rsidR="00DA2247" w:rsidRPr="009E5B5E" w:rsidRDefault="00DA2247" w:rsidP="00DA2247">
      <w:pPr>
        <w:tabs>
          <w:tab w:val="left" w:pos="5666"/>
        </w:tabs>
        <w:spacing w:line="360" w:lineRule="auto"/>
        <w:jc w:val="both"/>
        <w:rPr>
          <w:color w:val="1F497D" w:themeColor="text2"/>
          <w:sz w:val="32"/>
          <w:szCs w:val="32"/>
        </w:rPr>
      </w:pPr>
      <w:r w:rsidRPr="009E5B5E">
        <w:rPr>
          <w:b/>
          <w:bCs/>
          <w:color w:val="000000" w:themeColor="text1"/>
          <w:sz w:val="32"/>
          <w:szCs w:val="32"/>
        </w:rPr>
        <w:t>4.2 Descriptive Statistics</w:t>
      </w:r>
    </w:p>
    <w:p w:rsidR="00DA2247" w:rsidRPr="009E5B5E" w:rsidRDefault="00DA2247" w:rsidP="00DA2247">
      <w:pPr>
        <w:spacing w:line="360" w:lineRule="auto"/>
        <w:jc w:val="both"/>
        <w:rPr>
          <w:b/>
          <w:bCs/>
          <w:color w:val="000000" w:themeColor="text1"/>
          <w:sz w:val="28"/>
          <w:szCs w:val="28"/>
        </w:rPr>
      </w:pPr>
      <w:r w:rsidRPr="009E5B5E">
        <w:rPr>
          <w:b/>
          <w:bCs/>
          <w:color w:val="000000" w:themeColor="text1"/>
          <w:sz w:val="28"/>
          <w:szCs w:val="28"/>
        </w:rPr>
        <w:t>4.2.1 Original dataset (N=9,577)</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Figure 3 displays the percentage of the observations which are able to be identified as males and females. It is shown that 15 percent of the observations are able to be identified as males, while 13 percent are identified as females. </w:t>
      </w:r>
    </w:p>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lastRenderedPageBreak/>
        <w:t>Figure 3: Percentage of male and female consumers in original dataset</w:t>
      </w:r>
    </w:p>
    <w:p w:rsidR="00DA2247" w:rsidRPr="009E5B5E" w:rsidRDefault="00DA2247" w:rsidP="00DA2247">
      <w:pPr>
        <w:spacing w:line="360" w:lineRule="auto"/>
        <w:jc w:val="center"/>
        <w:rPr>
          <w:color w:val="000000" w:themeColor="text1"/>
          <w:sz w:val="24"/>
          <w:szCs w:val="24"/>
        </w:rPr>
      </w:pPr>
      <w:r w:rsidRPr="009E5B5E">
        <w:rPr>
          <w:b/>
          <w:bCs/>
          <w:noProof/>
          <w:color w:val="000000" w:themeColor="text1"/>
          <w:sz w:val="24"/>
          <w:szCs w:val="24"/>
          <w:lang w:bidi="ar-SA"/>
        </w:rPr>
        <w:drawing>
          <wp:inline distT="0" distB="0" distL="0" distR="0">
            <wp:extent cx="5979595" cy="1804736"/>
            <wp:effectExtent l="19050" t="0" r="21155" b="5014"/>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Figure 4 displays the percentage of consumers who visited the store when sale was available. It can be seen that almost three fourths of consumers came to the store during sale period which was </w:t>
      </w:r>
      <w:r w:rsidRPr="009E5B5E">
        <w:rPr>
          <w:sz w:val="24"/>
          <w:szCs w:val="24"/>
        </w:rPr>
        <w:t xml:space="preserve">from January 2 to January 16, 2012. </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Figure 4: Percentage of consumers visited the store on and off sale period </w:t>
      </w:r>
    </w:p>
    <w:p w:rsidR="00DA2247" w:rsidRPr="009E5B5E" w:rsidRDefault="00DA2247" w:rsidP="00DA2247">
      <w:pPr>
        <w:spacing w:line="360" w:lineRule="auto"/>
        <w:jc w:val="both"/>
        <w:rPr>
          <w:color w:val="000000" w:themeColor="text1"/>
          <w:sz w:val="24"/>
          <w:szCs w:val="24"/>
        </w:rPr>
      </w:pPr>
      <w:r w:rsidRPr="009E5B5E">
        <w:rPr>
          <w:noProof/>
          <w:color w:val="000000" w:themeColor="text1"/>
          <w:sz w:val="24"/>
          <w:szCs w:val="24"/>
          <w:lang w:bidi="ar-SA"/>
        </w:rPr>
        <w:drawing>
          <wp:inline distT="0" distB="0" distL="0" distR="0">
            <wp:extent cx="6017763" cy="1828800"/>
            <wp:effectExtent l="19050" t="0" r="21087" b="0"/>
            <wp:docPr id="1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With respect to percentage of consumers who were accompanied with friend(s), more than half of the observations visited the store with friends as display in figure 5.</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Figure 5: Percentage of consumers shopping with friends in original dataset</w:t>
      </w:r>
    </w:p>
    <w:p w:rsidR="00DA2247" w:rsidRPr="009E5B5E" w:rsidRDefault="00DA2247" w:rsidP="00DA2247">
      <w:pPr>
        <w:spacing w:line="360" w:lineRule="auto"/>
        <w:jc w:val="both"/>
        <w:rPr>
          <w:color w:val="000000" w:themeColor="text1"/>
          <w:sz w:val="24"/>
          <w:szCs w:val="24"/>
        </w:rPr>
      </w:pPr>
      <w:r w:rsidRPr="009E5B5E">
        <w:rPr>
          <w:noProof/>
          <w:color w:val="000000" w:themeColor="text1"/>
          <w:sz w:val="24"/>
          <w:szCs w:val="24"/>
          <w:lang w:bidi="ar-SA"/>
        </w:rPr>
        <w:drawing>
          <wp:inline distT="0" distB="0" distL="0" distR="0">
            <wp:extent cx="5909310" cy="1906992"/>
            <wp:effectExtent l="19050" t="0" r="15240" b="0"/>
            <wp:docPr id="1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lastRenderedPageBreak/>
        <w:t>Table 3 displays the number of total purchases, and the number and percentage of purchases made by consumers who visited the store with and without friends. We can see that only 10 percent of the consumers made a purchase: 6.5 percent are those shopping with friend and 3 percent are those shopping alone.</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Table 3: Percentage of purchases made by consumers who shopped with and without friends in original dataset</w:t>
      </w:r>
    </w:p>
    <w:tbl>
      <w:tblPr>
        <w:tblStyle w:val="MediumGrid3-Accent1"/>
        <w:tblW w:w="0" w:type="auto"/>
        <w:tblLook w:val="04A0"/>
      </w:tblPr>
      <w:tblGrid>
        <w:gridCol w:w="2490"/>
        <w:gridCol w:w="2490"/>
        <w:gridCol w:w="2491"/>
        <w:gridCol w:w="2491"/>
      </w:tblGrid>
      <w:tr w:rsidR="00DA2247" w:rsidRPr="00862CEE" w:rsidTr="005A408B">
        <w:trPr>
          <w:cnfStyle w:val="100000000000"/>
        </w:trPr>
        <w:tc>
          <w:tcPr>
            <w:cnfStyle w:val="001000000000"/>
            <w:tcW w:w="2490" w:type="dxa"/>
          </w:tcPr>
          <w:p w:rsidR="00DA2247" w:rsidRPr="00862CEE" w:rsidRDefault="00DA2247" w:rsidP="005A408B">
            <w:pPr>
              <w:spacing w:line="360" w:lineRule="auto"/>
              <w:jc w:val="both"/>
              <w:rPr>
                <w:color w:val="000000" w:themeColor="text1"/>
                <w:sz w:val="20"/>
                <w:szCs w:val="20"/>
              </w:rPr>
            </w:pPr>
          </w:p>
        </w:tc>
        <w:tc>
          <w:tcPr>
            <w:tcW w:w="2490" w:type="dxa"/>
          </w:tcPr>
          <w:p w:rsidR="00DA2247" w:rsidRPr="00862CEE" w:rsidRDefault="00DA2247" w:rsidP="005A408B">
            <w:pPr>
              <w:spacing w:line="360" w:lineRule="auto"/>
              <w:jc w:val="center"/>
              <w:cnfStyle w:val="100000000000"/>
              <w:rPr>
                <w:color w:val="000000" w:themeColor="text1"/>
                <w:sz w:val="20"/>
                <w:szCs w:val="20"/>
              </w:rPr>
            </w:pPr>
            <w:r w:rsidRPr="00862CEE">
              <w:rPr>
                <w:color w:val="000000" w:themeColor="text1"/>
                <w:sz w:val="20"/>
                <w:szCs w:val="20"/>
              </w:rPr>
              <w:t>Consumers shopping with friends</w:t>
            </w:r>
          </w:p>
        </w:tc>
        <w:tc>
          <w:tcPr>
            <w:tcW w:w="2491" w:type="dxa"/>
          </w:tcPr>
          <w:p w:rsidR="00DA2247" w:rsidRPr="00862CEE" w:rsidRDefault="00DA2247" w:rsidP="005A408B">
            <w:pPr>
              <w:spacing w:line="360" w:lineRule="auto"/>
              <w:jc w:val="center"/>
              <w:cnfStyle w:val="100000000000"/>
              <w:rPr>
                <w:color w:val="000000" w:themeColor="text1"/>
                <w:sz w:val="20"/>
                <w:szCs w:val="20"/>
              </w:rPr>
            </w:pPr>
            <w:r w:rsidRPr="00862CEE">
              <w:rPr>
                <w:color w:val="000000" w:themeColor="text1"/>
                <w:sz w:val="20"/>
                <w:szCs w:val="20"/>
              </w:rPr>
              <w:t>Consumer shopping without friends</w:t>
            </w:r>
          </w:p>
        </w:tc>
        <w:tc>
          <w:tcPr>
            <w:tcW w:w="2491" w:type="dxa"/>
          </w:tcPr>
          <w:p w:rsidR="00DA2247" w:rsidRPr="00862CEE" w:rsidRDefault="00DA2247" w:rsidP="005A408B">
            <w:pPr>
              <w:spacing w:line="360" w:lineRule="auto"/>
              <w:jc w:val="center"/>
              <w:cnfStyle w:val="100000000000"/>
              <w:rPr>
                <w:color w:val="000000" w:themeColor="text1"/>
                <w:sz w:val="20"/>
                <w:szCs w:val="20"/>
              </w:rPr>
            </w:pPr>
            <w:r w:rsidRPr="00862CEE">
              <w:rPr>
                <w:color w:val="000000" w:themeColor="text1"/>
                <w:sz w:val="20"/>
                <w:szCs w:val="20"/>
              </w:rPr>
              <w:t>Total</w:t>
            </w:r>
          </w:p>
        </w:tc>
      </w:tr>
      <w:tr w:rsidR="00DA2247" w:rsidRPr="00862CEE" w:rsidTr="005A408B">
        <w:trPr>
          <w:cnfStyle w:val="000000100000"/>
        </w:trPr>
        <w:tc>
          <w:tcPr>
            <w:cnfStyle w:val="001000000000"/>
            <w:tcW w:w="2490"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Purchase</w:t>
            </w:r>
          </w:p>
        </w:tc>
        <w:tc>
          <w:tcPr>
            <w:tcW w:w="2490"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622 (6.5%)</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287 (3%)</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909 (9.5%)</w:t>
            </w:r>
          </w:p>
        </w:tc>
      </w:tr>
      <w:tr w:rsidR="00DA2247" w:rsidRPr="00862CEE" w:rsidTr="005A408B">
        <w:tc>
          <w:tcPr>
            <w:cnfStyle w:val="001000000000"/>
            <w:tcW w:w="2490"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 xml:space="preserve">No purchase </w:t>
            </w:r>
          </w:p>
        </w:tc>
        <w:tc>
          <w:tcPr>
            <w:tcW w:w="2490" w:type="dxa"/>
          </w:tcPr>
          <w:p w:rsidR="00DA2247" w:rsidRPr="00862CEE" w:rsidRDefault="00DA2247" w:rsidP="005A408B">
            <w:pPr>
              <w:spacing w:line="360" w:lineRule="auto"/>
              <w:jc w:val="center"/>
              <w:cnfStyle w:val="000000000000"/>
              <w:rPr>
                <w:color w:val="000000" w:themeColor="text1"/>
                <w:sz w:val="20"/>
                <w:szCs w:val="20"/>
              </w:rPr>
            </w:pPr>
            <w:r w:rsidRPr="00862CEE">
              <w:rPr>
                <w:color w:val="000000" w:themeColor="text1"/>
                <w:sz w:val="20"/>
                <w:szCs w:val="20"/>
              </w:rPr>
              <w:t>5,842 (61%)</w:t>
            </w:r>
          </w:p>
        </w:tc>
        <w:tc>
          <w:tcPr>
            <w:tcW w:w="2491" w:type="dxa"/>
          </w:tcPr>
          <w:p w:rsidR="00DA2247" w:rsidRPr="00862CEE" w:rsidRDefault="00DA2247" w:rsidP="005A408B">
            <w:pPr>
              <w:spacing w:line="360" w:lineRule="auto"/>
              <w:jc w:val="center"/>
              <w:cnfStyle w:val="000000000000"/>
              <w:rPr>
                <w:color w:val="000000" w:themeColor="text1"/>
                <w:sz w:val="20"/>
                <w:szCs w:val="20"/>
              </w:rPr>
            </w:pPr>
            <w:r w:rsidRPr="00862CEE">
              <w:rPr>
                <w:color w:val="000000" w:themeColor="text1"/>
                <w:sz w:val="20"/>
                <w:szCs w:val="20"/>
              </w:rPr>
              <w:t>2,826 (29.5%)</w:t>
            </w:r>
          </w:p>
        </w:tc>
        <w:tc>
          <w:tcPr>
            <w:tcW w:w="2491" w:type="dxa"/>
          </w:tcPr>
          <w:p w:rsidR="00DA2247" w:rsidRPr="00862CEE" w:rsidRDefault="00DA2247" w:rsidP="005A408B">
            <w:pPr>
              <w:spacing w:line="360" w:lineRule="auto"/>
              <w:jc w:val="center"/>
              <w:cnfStyle w:val="000000000000"/>
              <w:rPr>
                <w:color w:val="000000" w:themeColor="text1"/>
                <w:sz w:val="20"/>
                <w:szCs w:val="20"/>
              </w:rPr>
            </w:pPr>
            <w:r w:rsidRPr="00862CEE">
              <w:rPr>
                <w:color w:val="000000" w:themeColor="text1"/>
                <w:sz w:val="20"/>
                <w:szCs w:val="20"/>
              </w:rPr>
              <w:t>8,668 (90.5%)</w:t>
            </w:r>
          </w:p>
        </w:tc>
      </w:tr>
      <w:tr w:rsidR="00DA2247" w:rsidRPr="00862CEE" w:rsidTr="005A408B">
        <w:trPr>
          <w:cnfStyle w:val="000000100000"/>
        </w:trPr>
        <w:tc>
          <w:tcPr>
            <w:cnfStyle w:val="001000000000"/>
            <w:tcW w:w="2490"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Total</w:t>
            </w:r>
          </w:p>
        </w:tc>
        <w:tc>
          <w:tcPr>
            <w:tcW w:w="2490"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6,464 (67.5%)</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3,113 (32.5%)</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9,577 (100%)</w:t>
            </w:r>
          </w:p>
        </w:tc>
      </w:tr>
    </w:tbl>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Table 4 displays descriptive statistics of continuous variables in this study, namely dwell time, consumer’s innovativeness, and product involvement. The time consumers spent in the store on average is 959.24 seconds (about 16 minutes), but the dispersion is quite high ranging from 5 seconds to 3,518 (About 59 minutes). Mean value of innovative ratio is 0.</w:t>
      </w:r>
      <w:r w:rsidRPr="009E5B5E">
        <w:rPr>
          <w:rFonts w:cs="Arial"/>
          <w:color w:val="000000"/>
          <w:sz w:val="24"/>
          <w:szCs w:val="24"/>
        </w:rPr>
        <w:t>55</w:t>
      </w:r>
      <w:r w:rsidRPr="009E5B5E">
        <w:rPr>
          <w:color w:val="000000" w:themeColor="text1"/>
          <w:sz w:val="24"/>
          <w:szCs w:val="24"/>
        </w:rPr>
        <w:t>, and that of involvement ratio is 0.065.</w:t>
      </w:r>
    </w:p>
    <w:tbl>
      <w:tblPr>
        <w:tblStyle w:val="MediumGrid3-Accent1"/>
        <w:tblpPr w:leftFromText="180" w:rightFromText="180" w:vertAnchor="text" w:horzAnchor="margin" w:tblpY="1070"/>
        <w:tblW w:w="9889" w:type="dxa"/>
        <w:tblLayout w:type="fixed"/>
        <w:tblLook w:val="04A0"/>
      </w:tblPr>
      <w:tblGrid>
        <w:gridCol w:w="2660"/>
        <w:gridCol w:w="1276"/>
        <w:gridCol w:w="1559"/>
        <w:gridCol w:w="1559"/>
        <w:gridCol w:w="1276"/>
        <w:gridCol w:w="1559"/>
      </w:tblGrid>
      <w:tr w:rsidR="00DA2247" w:rsidRPr="00862CEE" w:rsidTr="005A408B">
        <w:trPr>
          <w:cnfStyle w:val="100000000000"/>
        </w:trPr>
        <w:tc>
          <w:tcPr>
            <w:cnfStyle w:val="001000000000"/>
            <w:tcW w:w="2660" w:type="dxa"/>
          </w:tcPr>
          <w:p w:rsidR="00DA2247" w:rsidRPr="00862CEE" w:rsidRDefault="00DA2247" w:rsidP="005A408B">
            <w:pPr>
              <w:autoSpaceDE w:val="0"/>
              <w:autoSpaceDN w:val="0"/>
              <w:adjustRightInd w:val="0"/>
              <w:jc w:val="center"/>
              <w:rPr>
                <w:rFonts w:cs="Angsana New"/>
                <w:sz w:val="20"/>
                <w:szCs w:val="20"/>
              </w:rPr>
            </w:pPr>
            <w:r w:rsidRPr="00862CEE">
              <w:rPr>
                <w:rFonts w:cs="Angsana New"/>
                <w:sz w:val="20"/>
                <w:szCs w:val="20"/>
              </w:rPr>
              <w:t>Variable</w:t>
            </w:r>
          </w:p>
        </w:tc>
        <w:tc>
          <w:tcPr>
            <w:tcW w:w="1276"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N</w:t>
            </w:r>
          </w:p>
        </w:tc>
        <w:tc>
          <w:tcPr>
            <w:tcW w:w="1559"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Minimum</w:t>
            </w:r>
          </w:p>
        </w:tc>
        <w:tc>
          <w:tcPr>
            <w:tcW w:w="1559"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Maximum</w:t>
            </w:r>
          </w:p>
        </w:tc>
        <w:tc>
          <w:tcPr>
            <w:tcW w:w="1276"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Mean</w:t>
            </w:r>
          </w:p>
        </w:tc>
        <w:tc>
          <w:tcPr>
            <w:tcW w:w="1559"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Std. Deviation</w:t>
            </w:r>
          </w:p>
        </w:tc>
      </w:tr>
      <w:tr w:rsidR="00DA2247" w:rsidRPr="00862CEE" w:rsidTr="005A408B">
        <w:trPr>
          <w:cnfStyle w:val="000000100000"/>
        </w:trPr>
        <w:tc>
          <w:tcPr>
            <w:cnfStyle w:val="001000000000"/>
            <w:tcW w:w="2660" w:type="dxa"/>
          </w:tcPr>
          <w:p w:rsidR="00DA2247" w:rsidRPr="00862CEE" w:rsidRDefault="00DA2247" w:rsidP="005A408B">
            <w:pPr>
              <w:autoSpaceDE w:val="0"/>
              <w:autoSpaceDN w:val="0"/>
              <w:adjustRightInd w:val="0"/>
              <w:spacing w:line="320" w:lineRule="atLeast"/>
              <w:ind w:left="60" w:right="60"/>
              <w:rPr>
                <w:rFonts w:cs="Arial"/>
                <w:color w:val="000000"/>
                <w:sz w:val="20"/>
                <w:szCs w:val="20"/>
              </w:rPr>
            </w:pPr>
            <w:r w:rsidRPr="00862CEE">
              <w:rPr>
                <w:rFonts w:cs="Arial"/>
                <w:color w:val="000000"/>
                <w:sz w:val="20"/>
                <w:szCs w:val="20"/>
              </w:rPr>
              <w:t>Dwell time (second)</w:t>
            </w:r>
          </w:p>
        </w:tc>
        <w:tc>
          <w:tcPr>
            <w:tcW w:w="1276"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9,577</w:t>
            </w:r>
          </w:p>
        </w:tc>
        <w:tc>
          <w:tcPr>
            <w:tcW w:w="1559"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5</w:t>
            </w:r>
          </w:p>
        </w:tc>
        <w:tc>
          <w:tcPr>
            <w:tcW w:w="1559"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3,518</w:t>
            </w:r>
          </w:p>
        </w:tc>
        <w:tc>
          <w:tcPr>
            <w:tcW w:w="1276"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959.24</w:t>
            </w:r>
          </w:p>
        </w:tc>
        <w:tc>
          <w:tcPr>
            <w:tcW w:w="1559"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598.524</w:t>
            </w:r>
          </w:p>
        </w:tc>
      </w:tr>
      <w:tr w:rsidR="00DA2247" w:rsidRPr="00862CEE" w:rsidTr="005A408B">
        <w:tc>
          <w:tcPr>
            <w:cnfStyle w:val="001000000000"/>
            <w:tcW w:w="2660" w:type="dxa"/>
          </w:tcPr>
          <w:p w:rsidR="00DA2247" w:rsidRPr="00862CEE" w:rsidRDefault="00DA2247" w:rsidP="005A408B">
            <w:pPr>
              <w:autoSpaceDE w:val="0"/>
              <w:autoSpaceDN w:val="0"/>
              <w:adjustRightInd w:val="0"/>
              <w:spacing w:line="320" w:lineRule="atLeast"/>
              <w:ind w:left="60" w:right="60"/>
              <w:rPr>
                <w:rFonts w:cs="Arial"/>
                <w:color w:val="000000"/>
                <w:sz w:val="20"/>
                <w:szCs w:val="20"/>
              </w:rPr>
            </w:pPr>
            <w:r w:rsidRPr="00862CEE">
              <w:rPr>
                <w:rFonts w:cs="Arial"/>
                <w:color w:val="000000"/>
                <w:sz w:val="20"/>
                <w:szCs w:val="20"/>
              </w:rPr>
              <w:t>Innovative ratio</w:t>
            </w:r>
          </w:p>
        </w:tc>
        <w:tc>
          <w:tcPr>
            <w:tcW w:w="1276" w:type="dxa"/>
          </w:tcPr>
          <w:p w:rsidR="00DA2247" w:rsidRPr="00862CEE" w:rsidRDefault="00DA2247" w:rsidP="005A408B">
            <w:pPr>
              <w:autoSpaceDE w:val="0"/>
              <w:autoSpaceDN w:val="0"/>
              <w:adjustRightInd w:val="0"/>
              <w:spacing w:line="320" w:lineRule="atLeast"/>
              <w:ind w:left="60" w:right="60"/>
              <w:jc w:val="center"/>
              <w:cnfStyle w:val="000000000000"/>
              <w:rPr>
                <w:rFonts w:cs="Arial"/>
                <w:color w:val="000000"/>
                <w:sz w:val="20"/>
                <w:szCs w:val="20"/>
              </w:rPr>
            </w:pPr>
            <w:r w:rsidRPr="00862CEE">
              <w:rPr>
                <w:rFonts w:cs="Arial"/>
                <w:color w:val="000000"/>
                <w:sz w:val="20"/>
                <w:szCs w:val="20"/>
              </w:rPr>
              <w:t>9,577</w:t>
            </w:r>
          </w:p>
        </w:tc>
        <w:tc>
          <w:tcPr>
            <w:tcW w:w="1559" w:type="dxa"/>
          </w:tcPr>
          <w:p w:rsidR="00DA2247" w:rsidRPr="00862CEE" w:rsidRDefault="00DA2247" w:rsidP="005A408B">
            <w:pPr>
              <w:autoSpaceDE w:val="0"/>
              <w:autoSpaceDN w:val="0"/>
              <w:adjustRightInd w:val="0"/>
              <w:spacing w:line="320" w:lineRule="atLeast"/>
              <w:ind w:left="60" w:right="60"/>
              <w:jc w:val="center"/>
              <w:cnfStyle w:val="000000000000"/>
              <w:rPr>
                <w:rFonts w:cs="Arial"/>
                <w:color w:val="000000"/>
                <w:sz w:val="20"/>
                <w:szCs w:val="20"/>
              </w:rPr>
            </w:pPr>
            <w:r w:rsidRPr="00862CEE">
              <w:rPr>
                <w:rFonts w:cs="Arial"/>
                <w:color w:val="000000"/>
                <w:sz w:val="20"/>
                <w:szCs w:val="20"/>
              </w:rPr>
              <w:t>0</w:t>
            </w:r>
          </w:p>
        </w:tc>
        <w:tc>
          <w:tcPr>
            <w:tcW w:w="1559" w:type="dxa"/>
          </w:tcPr>
          <w:p w:rsidR="00DA2247" w:rsidRPr="00862CEE" w:rsidRDefault="00DA2247" w:rsidP="005A408B">
            <w:pPr>
              <w:autoSpaceDE w:val="0"/>
              <w:autoSpaceDN w:val="0"/>
              <w:adjustRightInd w:val="0"/>
              <w:spacing w:line="320" w:lineRule="atLeast"/>
              <w:ind w:left="60" w:right="60"/>
              <w:jc w:val="center"/>
              <w:cnfStyle w:val="000000000000"/>
              <w:rPr>
                <w:rFonts w:cs="Arial"/>
                <w:color w:val="000000"/>
                <w:sz w:val="20"/>
                <w:szCs w:val="20"/>
              </w:rPr>
            </w:pPr>
            <w:r w:rsidRPr="00862CEE">
              <w:rPr>
                <w:rFonts w:cs="Arial"/>
                <w:color w:val="000000"/>
                <w:sz w:val="20"/>
                <w:szCs w:val="20"/>
              </w:rPr>
              <w:t>1</w:t>
            </w:r>
          </w:p>
        </w:tc>
        <w:tc>
          <w:tcPr>
            <w:tcW w:w="1276" w:type="dxa"/>
          </w:tcPr>
          <w:p w:rsidR="00DA2247" w:rsidRPr="00862CEE" w:rsidRDefault="00DA2247" w:rsidP="005A408B">
            <w:pPr>
              <w:autoSpaceDE w:val="0"/>
              <w:autoSpaceDN w:val="0"/>
              <w:adjustRightInd w:val="0"/>
              <w:spacing w:line="320" w:lineRule="atLeast"/>
              <w:ind w:left="60" w:right="60"/>
              <w:jc w:val="center"/>
              <w:cnfStyle w:val="000000000000"/>
              <w:rPr>
                <w:rFonts w:cs="Arial"/>
                <w:color w:val="000000"/>
                <w:sz w:val="20"/>
                <w:szCs w:val="20"/>
              </w:rPr>
            </w:pPr>
            <w:r w:rsidRPr="00862CEE">
              <w:rPr>
                <w:rFonts w:cs="Arial"/>
                <w:color w:val="000000"/>
                <w:sz w:val="20"/>
                <w:szCs w:val="20"/>
              </w:rPr>
              <w:t>0.545</w:t>
            </w:r>
          </w:p>
        </w:tc>
        <w:tc>
          <w:tcPr>
            <w:tcW w:w="1559" w:type="dxa"/>
          </w:tcPr>
          <w:p w:rsidR="00DA2247" w:rsidRPr="00862CEE" w:rsidRDefault="00DA2247" w:rsidP="005A408B">
            <w:pPr>
              <w:autoSpaceDE w:val="0"/>
              <w:autoSpaceDN w:val="0"/>
              <w:adjustRightInd w:val="0"/>
              <w:spacing w:line="320" w:lineRule="atLeast"/>
              <w:ind w:left="60" w:right="60"/>
              <w:jc w:val="center"/>
              <w:cnfStyle w:val="000000000000"/>
              <w:rPr>
                <w:rFonts w:cs="Arial"/>
                <w:color w:val="000000"/>
                <w:sz w:val="20"/>
                <w:szCs w:val="20"/>
              </w:rPr>
            </w:pPr>
            <w:r w:rsidRPr="00862CEE">
              <w:rPr>
                <w:rFonts w:cs="Arial"/>
                <w:color w:val="000000"/>
                <w:sz w:val="20"/>
                <w:szCs w:val="20"/>
              </w:rPr>
              <w:t>0.25</w:t>
            </w:r>
          </w:p>
        </w:tc>
      </w:tr>
      <w:tr w:rsidR="00DA2247" w:rsidRPr="00862CEE" w:rsidTr="005A408B">
        <w:trPr>
          <w:cnfStyle w:val="000000100000"/>
        </w:trPr>
        <w:tc>
          <w:tcPr>
            <w:cnfStyle w:val="001000000000"/>
            <w:tcW w:w="2660" w:type="dxa"/>
          </w:tcPr>
          <w:p w:rsidR="00DA2247" w:rsidRPr="00862CEE" w:rsidRDefault="00DA2247" w:rsidP="005A408B">
            <w:pPr>
              <w:autoSpaceDE w:val="0"/>
              <w:autoSpaceDN w:val="0"/>
              <w:adjustRightInd w:val="0"/>
              <w:spacing w:line="320" w:lineRule="atLeast"/>
              <w:ind w:left="60" w:right="60"/>
              <w:rPr>
                <w:rFonts w:cs="Arial"/>
                <w:color w:val="000000"/>
                <w:sz w:val="20"/>
                <w:szCs w:val="20"/>
              </w:rPr>
            </w:pPr>
            <w:r w:rsidRPr="00862CEE">
              <w:rPr>
                <w:rFonts w:cs="Arial"/>
                <w:color w:val="000000"/>
                <w:sz w:val="20"/>
                <w:szCs w:val="20"/>
              </w:rPr>
              <w:t>Involvement ratio</w:t>
            </w:r>
          </w:p>
        </w:tc>
        <w:tc>
          <w:tcPr>
            <w:tcW w:w="1276"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9,577</w:t>
            </w:r>
          </w:p>
        </w:tc>
        <w:tc>
          <w:tcPr>
            <w:tcW w:w="1559"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0</w:t>
            </w:r>
          </w:p>
        </w:tc>
        <w:tc>
          <w:tcPr>
            <w:tcW w:w="1559"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0.64</w:t>
            </w:r>
          </w:p>
        </w:tc>
        <w:tc>
          <w:tcPr>
            <w:tcW w:w="1276"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0.065</w:t>
            </w:r>
          </w:p>
        </w:tc>
        <w:tc>
          <w:tcPr>
            <w:tcW w:w="1559" w:type="dxa"/>
          </w:tcPr>
          <w:p w:rsidR="00DA2247" w:rsidRPr="00862CEE" w:rsidRDefault="00DA2247" w:rsidP="005A408B">
            <w:pPr>
              <w:autoSpaceDE w:val="0"/>
              <w:autoSpaceDN w:val="0"/>
              <w:adjustRightInd w:val="0"/>
              <w:spacing w:line="320" w:lineRule="atLeast"/>
              <w:ind w:left="60" w:right="60"/>
              <w:jc w:val="center"/>
              <w:cnfStyle w:val="000000100000"/>
              <w:rPr>
                <w:rFonts w:cs="Arial"/>
                <w:color w:val="000000"/>
                <w:sz w:val="20"/>
                <w:szCs w:val="20"/>
              </w:rPr>
            </w:pPr>
            <w:r w:rsidRPr="00862CEE">
              <w:rPr>
                <w:rFonts w:cs="Arial"/>
                <w:color w:val="000000"/>
                <w:sz w:val="20"/>
                <w:szCs w:val="20"/>
              </w:rPr>
              <w:t>.076</w:t>
            </w:r>
          </w:p>
        </w:tc>
      </w:tr>
    </w:tbl>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Table 4: Descriptive statistics of dwell time, consumer innovativeness, and product involvement </w:t>
      </w:r>
    </w:p>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It is important to remark that all descriptive statistics of the reduced data are almost identical to those of the original dataset. To avoid the repetition, the descriptive statistics of the reduced data will not be discussed in detail.</w:t>
      </w:r>
    </w:p>
    <w:p w:rsidR="00DA2247" w:rsidRPr="009E5B5E" w:rsidRDefault="00DA2247" w:rsidP="00DA2247">
      <w:pPr>
        <w:spacing w:line="360" w:lineRule="auto"/>
        <w:jc w:val="both"/>
        <w:rPr>
          <w:b/>
          <w:bCs/>
          <w:color w:val="000000" w:themeColor="text1"/>
          <w:sz w:val="28"/>
          <w:szCs w:val="28"/>
        </w:rPr>
      </w:pPr>
    </w:p>
    <w:p w:rsidR="00DA2247" w:rsidRPr="009E5B5E" w:rsidRDefault="00DA2247" w:rsidP="00DA2247">
      <w:pPr>
        <w:spacing w:line="360" w:lineRule="auto"/>
        <w:jc w:val="both"/>
        <w:rPr>
          <w:b/>
          <w:bCs/>
          <w:color w:val="000000" w:themeColor="text1"/>
          <w:sz w:val="28"/>
          <w:szCs w:val="28"/>
        </w:rPr>
      </w:pPr>
    </w:p>
    <w:p w:rsidR="00DA2247" w:rsidRPr="009E5B5E" w:rsidRDefault="00DA2247" w:rsidP="00DA2247">
      <w:pPr>
        <w:spacing w:line="360" w:lineRule="auto"/>
        <w:jc w:val="both"/>
        <w:rPr>
          <w:b/>
          <w:bCs/>
          <w:color w:val="000000" w:themeColor="text1"/>
          <w:sz w:val="28"/>
          <w:szCs w:val="28"/>
        </w:rPr>
      </w:pPr>
      <w:r w:rsidRPr="009E5B5E">
        <w:rPr>
          <w:b/>
          <w:bCs/>
          <w:color w:val="000000" w:themeColor="text1"/>
          <w:sz w:val="28"/>
          <w:szCs w:val="28"/>
        </w:rPr>
        <w:lastRenderedPageBreak/>
        <w:t>4.2.2 Gender restricted dataset (N=2,653)</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With respect to gender, 54 percent of the observations in this dataset are males, while 46 percent are as females as displayed in figure 6. </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Figure 6: Percentage of male and female consumers </w:t>
      </w:r>
    </w:p>
    <w:p w:rsidR="00DA2247" w:rsidRPr="009E5B5E" w:rsidRDefault="00DA2247" w:rsidP="00DA2247">
      <w:pPr>
        <w:spacing w:line="360" w:lineRule="auto"/>
        <w:jc w:val="both"/>
        <w:rPr>
          <w:color w:val="000000" w:themeColor="text1"/>
          <w:sz w:val="24"/>
          <w:szCs w:val="24"/>
        </w:rPr>
      </w:pPr>
      <w:r w:rsidRPr="009E5B5E">
        <w:rPr>
          <w:noProof/>
          <w:color w:val="000000" w:themeColor="text1"/>
          <w:sz w:val="24"/>
          <w:szCs w:val="24"/>
          <w:lang w:bidi="ar-SA"/>
        </w:rPr>
        <w:drawing>
          <wp:inline distT="0" distB="0" distL="0" distR="0">
            <wp:extent cx="5916134" cy="1810707"/>
            <wp:effectExtent l="19050" t="0" r="27466" b="0"/>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The percentage of consumers who visited the store when in-store marketing strategies were present is displayed in figure 7.  It is found that 84 percent of the observations are those who visited in the presence of in-store marketing strategies.</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Figure 7: Percentage of consumers visited in the presence of in-store marketing strategies</w:t>
      </w:r>
    </w:p>
    <w:p w:rsidR="00DA2247" w:rsidRPr="009E5B5E" w:rsidRDefault="00DA2247" w:rsidP="00DA2247">
      <w:pPr>
        <w:spacing w:line="360" w:lineRule="auto"/>
        <w:jc w:val="both"/>
        <w:rPr>
          <w:color w:val="000000" w:themeColor="text1"/>
          <w:sz w:val="24"/>
          <w:szCs w:val="24"/>
        </w:rPr>
      </w:pPr>
      <w:r w:rsidRPr="009E5B5E">
        <w:rPr>
          <w:noProof/>
          <w:color w:val="000000" w:themeColor="text1"/>
          <w:sz w:val="24"/>
          <w:szCs w:val="24"/>
          <w:lang w:bidi="ar-SA"/>
        </w:rPr>
        <w:drawing>
          <wp:inline distT="0" distB="0" distL="0" distR="0">
            <wp:extent cx="6015791" cy="1910687"/>
            <wp:effectExtent l="19050" t="0" r="23059"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Table 5 displays the percentage of consumers who visited the store with friends. 55 percent are those who were accompanied with friend(s), 29 and 26 percent are males and females respectively. This means that 53.3% of male consumers in my sample visited the store accompanied by a friend, a value that is slightly higher (56.8%) for female consumers.</w:t>
      </w:r>
    </w:p>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lastRenderedPageBreak/>
        <w:t xml:space="preserve">Table 5: Percentage of consumers shopping with friends </w:t>
      </w:r>
    </w:p>
    <w:tbl>
      <w:tblPr>
        <w:tblStyle w:val="MediumGrid3-Accent1"/>
        <w:tblW w:w="9983" w:type="dxa"/>
        <w:tblLook w:val="04A0"/>
      </w:tblPr>
      <w:tblGrid>
        <w:gridCol w:w="4796"/>
        <w:gridCol w:w="1562"/>
        <w:gridCol w:w="1705"/>
        <w:gridCol w:w="1920"/>
      </w:tblGrid>
      <w:tr w:rsidR="00DA2247" w:rsidRPr="00862CEE" w:rsidTr="005A408B">
        <w:trPr>
          <w:cnfStyle w:val="100000000000"/>
          <w:trHeight w:val="202"/>
        </w:trPr>
        <w:tc>
          <w:tcPr>
            <w:cnfStyle w:val="001000000000"/>
            <w:tcW w:w="4796" w:type="dxa"/>
          </w:tcPr>
          <w:p w:rsidR="00DA2247" w:rsidRPr="00862CEE" w:rsidRDefault="00DA2247" w:rsidP="005A408B">
            <w:pPr>
              <w:spacing w:line="360" w:lineRule="auto"/>
              <w:rPr>
                <w:color w:val="000000" w:themeColor="text1"/>
                <w:sz w:val="20"/>
                <w:szCs w:val="20"/>
              </w:rPr>
            </w:pPr>
          </w:p>
        </w:tc>
        <w:tc>
          <w:tcPr>
            <w:tcW w:w="1562" w:type="dxa"/>
          </w:tcPr>
          <w:p w:rsidR="00DA2247" w:rsidRPr="00862CEE" w:rsidRDefault="00DA2247" w:rsidP="005A408B">
            <w:pPr>
              <w:spacing w:line="360" w:lineRule="auto"/>
              <w:jc w:val="both"/>
              <w:cnfStyle w:val="100000000000"/>
              <w:rPr>
                <w:color w:val="000000" w:themeColor="text1"/>
                <w:sz w:val="20"/>
                <w:szCs w:val="20"/>
              </w:rPr>
            </w:pPr>
            <w:r w:rsidRPr="00862CEE">
              <w:rPr>
                <w:color w:val="000000" w:themeColor="text1"/>
                <w:sz w:val="20"/>
                <w:szCs w:val="20"/>
              </w:rPr>
              <w:t>Male</w:t>
            </w:r>
          </w:p>
        </w:tc>
        <w:tc>
          <w:tcPr>
            <w:tcW w:w="1705" w:type="dxa"/>
          </w:tcPr>
          <w:p w:rsidR="00DA2247" w:rsidRPr="00862CEE" w:rsidRDefault="00DA2247" w:rsidP="005A408B">
            <w:pPr>
              <w:spacing w:line="360" w:lineRule="auto"/>
              <w:jc w:val="both"/>
              <w:cnfStyle w:val="100000000000"/>
              <w:rPr>
                <w:color w:val="000000" w:themeColor="text1"/>
                <w:sz w:val="20"/>
                <w:szCs w:val="20"/>
              </w:rPr>
            </w:pPr>
            <w:r w:rsidRPr="00862CEE">
              <w:rPr>
                <w:color w:val="000000" w:themeColor="text1"/>
                <w:sz w:val="20"/>
                <w:szCs w:val="20"/>
              </w:rPr>
              <w:t>Female</w:t>
            </w:r>
          </w:p>
        </w:tc>
        <w:tc>
          <w:tcPr>
            <w:tcW w:w="1920" w:type="dxa"/>
          </w:tcPr>
          <w:p w:rsidR="00DA2247" w:rsidRPr="00862CEE" w:rsidRDefault="00DA2247" w:rsidP="005A408B">
            <w:pPr>
              <w:spacing w:line="360" w:lineRule="auto"/>
              <w:jc w:val="both"/>
              <w:cnfStyle w:val="100000000000"/>
              <w:rPr>
                <w:color w:val="000000" w:themeColor="text1"/>
                <w:sz w:val="20"/>
                <w:szCs w:val="20"/>
              </w:rPr>
            </w:pPr>
            <w:r w:rsidRPr="00862CEE">
              <w:rPr>
                <w:color w:val="000000" w:themeColor="text1"/>
                <w:sz w:val="20"/>
                <w:szCs w:val="20"/>
              </w:rPr>
              <w:t>Total</w:t>
            </w:r>
          </w:p>
        </w:tc>
      </w:tr>
      <w:tr w:rsidR="00DA2247" w:rsidRPr="00862CEE" w:rsidTr="005A408B">
        <w:trPr>
          <w:cnfStyle w:val="000000100000"/>
          <w:trHeight w:val="369"/>
        </w:trPr>
        <w:tc>
          <w:tcPr>
            <w:cnfStyle w:val="001000000000"/>
            <w:tcW w:w="4796"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Consumers shopping with friends</w:t>
            </w:r>
          </w:p>
        </w:tc>
        <w:tc>
          <w:tcPr>
            <w:tcW w:w="1562" w:type="dxa"/>
          </w:tcPr>
          <w:p w:rsidR="00DA2247" w:rsidRPr="00862CEE" w:rsidRDefault="00DA2247" w:rsidP="005A408B">
            <w:pPr>
              <w:spacing w:line="360" w:lineRule="auto"/>
              <w:jc w:val="both"/>
              <w:cnfStyle w:val="000000100000"/>
              <w:rPr>
                <w:color w:val="000000" w:themeColor="text1"/>
                <w:sz w:val="20"/>
                <w:szCs w:val="20"/>
              </w:rPr>
            </w:pPr>
            <w:r w:rsidRPr="00862CEE">
              <w:rPr>
                <w:color w:val="000000" w:themeColor="text1"/>
                <w:sz w:val="20"/>
                <w:szCs w:val="20"/>
              </w:rPr>
              <w:t>759(29%)</w:t>
            </w:r>
          </w:p>
        </w:tc>
        <w:tc>
          <w:tcPr>
            <w:tcW w:w="1705" w:type="dxa"/>
          </w:tcPr>
          <w:p w:rsidR="00DA2247" w:rsidRPr="00862CEE" w:rsidRDefault="00DA2247" w:rsidP="005A408B">
            <w:pPr>
              <w:spacing w:line="360" w:lineRule="auto"/>
              <w:jc w:val="both"/>
              <w:cnfStyle w:val="000000100000"/>
              <w:rPr>
                <w:color w:val="000000" w:themeColor="text1"/>
                <w:sz w:val="20"/>
                <w:szCs w:val="20"/>
              </w:rPr>
            </w:pPr>
            <w:r w:rsidRPr="00862CEE">
              <w:rPr>
                <w:color w:val="000000" w:themeColor="text1"/>
                <w:sz w:val="20"/>
                <w:szCs w:val="20"/>
              </w:rPr>
              <w:t>698 (26%)</w:t>
            </w:r>
          </w:p>
        </w:tc>
        <w:tc>
          <w:tcPr>
            <w:tcW w:w="1920" w:type="dxa"/>
          </w:tcPr>
          <w:p w:rsidR="00DA2247" w:rsidRPr="00862CEE" w:rsidRDefault="00DA2247" w:rsidP="005A408B">
            <w:pPr>
              <w:spacing w:line="360" w:lineRule="auto"/>
              <w:jc w:val="both"/>
              <w:cnfStyle w:val="000000100000"/>
              <w:rPr>
                <w:color w:val="000000" w:themeColor="text1"/>
                <w:sz w:val="20"/>
                <w:szCs w:val="20"/>
              </w:rPr>
            </w:pPr>
            <w:r w:rsidRPr="00862CEE">
              <w:rPr>
                <w:color w:val="000000" w:themeColor="text1"/>
                <w:sz w:val="20"/>
                <w:szCs w:val="20"/>
              </w:rPr>
              <w:t>1,457 (55%)</w:t>
            </w:r>
          </w:p>
        </w:tc>
      </w:tr>
      <w:tr w:rsidR="00DA2247" w:rsidRPr="00862CEE" w:rsidTr="005A408B">
        <w:trPr>
          <w:trHeight w:val="389"/>
        </w:trPr>
        <w:tc>
          <w:tcPr>
            <w:cnfStyle w:val="001000000000"/>
            <w:tcW w:w="4796"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Consumers shopping without friends</w:t>
            </w:r>
          </w:p>
        </w:tc>
        <w:tc>
          <w:tcPr>
            <w:tcW w:w="1562" w:type="dxa"/>
          </w:tcPr>
          <w:p w:rsidR="00DA2247" w:rsidRPr="00862CEE" w:rsidRDefault="00DA2247" w:rsidP="005A408B">
            <w:pPr>
              <w:spacing w:line="360" w:lineRule="auto"/>
              <w:jc w:val="both"/>
              <w:cnfStyle w:val="000000000000"/>
              <w:rPr>
                <w:color w:val="000000" w:themeColor="text1"/>
                <w:sz w:val="20"/>
                <w:szCs w:val="20"/>
              </w:rPr>
            </w:pPr>
            <w:r w:rsidRPr="00862CEE">
              <w:rPr>
                <w:color w:val="000000" w:themeColor="text1"/>
                <w:sz w:val="20"/>
                <w:szCs w:val="20"/>
              </w:rPr>
              <w:t>665(25%)</w:t>
            </w:r>
          </w:p>
        </w:tc>
        <w:tc>
          <w:tcPr>
            <w:tcW w:w="1705" w:type="dxa"/>
          </w:tcPr>
          <w:p w:rsidR="00DA2247" w:rsidRPr="00862CEE" w:rsidRDefault="00DA2247" w:rsidP="005A408B">
            <w:pPr>
              <w:spacing w:line="360" w:lineRule="auto"/>
              <w:jc w:val="both"/>
              <w:cnfStyle w:val="000000000000"/>
              <w:rPr>
                <w:color w:val="000000" w:themeColor="text1"/>
                <w:sz w:val="20"/>
                <w:szCs w:val="20"/>
              </w:rPr>
            </w:pPr>
            <w:r w:rsidRPr="00862CEE">
              <w:rPr>
                <w:color w:val="000000" w:themeColor="text1"/>
                <w:sz w:val="20"/>
                <w:szCs w:val="20"/>
              </w:rPr>
              <w:t>531 (20%)</w:t>
            </w:r>
          </w:p>
        </w:tc>
        <w:tc>
          <w:tcPr>
            <w:tcW w:w="1920" w:type="dxa"/>
          </w:tcPr>
          <w:p w:rsidR="00DA2247" w:rsidRPr="00862CEE" w:rsidRDefault="00DA2247" w:rsidP="005A408B">
            <w:pPr>
              <w:spacing w:line="360" w:lineRule="auto"/>
              <w:jc w:val="both"/>
              <w:cnfStyle w:val="000000000000"/>
              <w:rPr>
                <w:color w:val="000000" w:themeColor="text1"/>
                <w:sz w:val="20"/>
                <w:szCs w:val="20"/>
              </w:rPr>
            </w:pPr>
            <w:r w:rsidRPr="00862CEE">
              <w:rPr>
                <w:color w:val="000000" w:themeColor="text1"/>
                <w:sz w:val="20"/>
                <w:szCs w:val="20"/>
              </w:rPr>
              <w:t>1,196 (45%)</w:t>
            </w:r>
          </w:p>
        </w:tc>
      </w:tr>
      <w:tr w:rsidR="00DA2247" w:rsidRPr="00862CEE" w:rsidTr="005A408B">
        <w:trPr>
          <w:cnfStyle w:val="000000100000"/>
          <w:trHeight w:val="389"/>
        </w:trPr>
        <w:tc>
          <w:tcPr>
            <w:cnfStyle w:val="001000000000"/>
            <w:tcW w:w="4796"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Total</w:t>
            </w:r>
          </w:p>
        </w:tc>
        <w:tc>
          <w:tcPr>
            <w:tcW w:w="1562" w:type="dxa"/>
          </w:tcPr>
          <w:p w:rsidR="00DA2247" w:rsidRPr="00862CEE" w:rsidRDefault="00DA2247" w:rsidP="005A408B">
            <w:pPr>
              <w:spacing w:line="360" w:lineRule="auto"/>
              <w:jc w:val="both"/>
              <w:cnfStyle w:val="000000100000"/>
              <w:rPr>
                <w:color w:val="000000" w:themeColor="text1"/>
                <w:sz w:val="20"/>
                <w:szCs w:val="20"/>
              </w:rPr>
            </w:pPr>
            <w:r w:rsidRPr="00862CEE">
              <w:rPr>
                <w:color w:val="000000" w:themeColor="text1"/>
                <w:sz w:val="20"/>
                <w:szCs w:val="20"/>
              </w:rPr>
              <w:t>1,424 (54%)</w:t>
            </w:r>
          </w:p>
        </w:tc>
        <w:tc>
          <w:tcPr>
            <w:tcW w:w="1705" w:type="dxa"/>
          </w:tcPr>
          <w:p w:rsidR="00DA2247" w:rsidRPr="00862CEE" w:rsidRDefault="00DA2247" w:rsidP="005A408B">
            <w:pPr>
              <w:spacing w:line="360" w:lineRule="auto"/>
              <w:jc w:val="both"/>
              <w:cnfStyle w:val="000000100000"/>
              <w:rPr>
                <w:color w:val="000000" w:themeColor="text1"/>
                <w:sz w:val="20"/>
                <w:szCs w:val="20"/>
              </w:rPr>
            </w:pPr>
            <w:r w:rsidRPr="00862CEE">
              <w:rPr>
                <w:color w:val="000000" w:themeColor="text1"/>
                <w:sz w:val="20"/>
                <w:szCs w:val="20"/>
              </w:rPr>
              <w:t>1,229 (46%)</w:t>
            </w:r>
          </w:p>
        </w:tc>
        <w:tc>
          <w:tcPr>
            <w:tcW w:w="1920" w:type="dxa"/>
          </w:tcPr>
          <w:p w:rsidR="00DA2247" w:rsidRPr="00862CEE" w:rsidRDefault="00DA2247" w:rsidP="005A408B">
            <w:pPr>
              <w:spacing w:line="360" w:lineRule="auto"/>
              <w:jc w:val="both"/>
              <w:cnfStyle w:val="000000100000"/>
              <w:rPr>
                <w:color w:val="000000" w:themeColor="text1"/>
                <w:sz w:val="20"/>
                <w:szCs w:val="20"/>
              </w:rPr>
            </w:pPr>
            <w:r w:rsidRPr="00862CEE">
              <w:rPr>
                <w:color w:val="000000" w:themeColor="text1"/>
                <w:sz w:val="20"/>
                <w:szCs w:val="20"/>
              </w:rPr>
              <w:t>2,653 (100%)</w:t>
            </w:r>
          </w:p>
        </w:tc>
      </w:tr>
    </w:tbl>
    <w:p w:rsidR="00DA2247"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With respect to purchasing incidence, table 6 shows that 24 percent of the observations are consumers who made a purchase. 18 percent are males, and 6 percent are females. </w:t>
      </w:r>
    </w:p>
    <w:p w:rsidR="00DA2247" w:rsidRPr="009E5B5E" w:rsidRDefault="00DA2247" w:rsidP="00DA2247">
      <w:pPr>
        <w:jc w:val="both"/>
        <w:rPr>
          <w:color w:val="000000" w:themeColor="text1"/>
          <w:sz w:val="24"/>
          <w:szCs w:val="24"/>
        </w:rPr>
      </w:pPr>
      <w:r w:rsidRPr="009E5B5E">
        <w:rPr>
          <w:color w:val="000000" w:themeColor="text1"/>
          <w:sz w:val="24"/>
          <w:szCs w:val="24"/>
        </w:rPr>
        <w:t xml:space="preserve">Table 6: Percentage of purchases made by male and female consumers </w:t>
      </w:r>
    </w:p>
    <w:tbl>
      <w:tblPr>
        <w:tblStyle w:val="MediumGrid3-Accent1"/>
        <w:tblW w:w="0" w:type="auto"/>
        <w:tblLook w:val="04A0"/>
      </w:tblPr>
      <w:tblGrid>
        <w:gridCol w:w="2490"/>
        <w:gridCol w:w="2490"/>
        <w:gridCol w:w="2491"/>
        <w:gridCol w:w="2491"/>
      </w:tblGrid>
      <w:tr w:rsidR="00DA2247" w:rsidRPr="00862CEE" w:rsidTr="005A408B">
        <w:trPr>
          <w:cnfStyle w:val="100000000000"/>
        </w:trPr>
        <w:tc>
          <w:tcPr>
            <w:cnfStyle w:val="001000000000"/>
            <w:tcW w:w="2490" w:type="dxa"/>
          </w:tcPr>
          <w:p w:rsidR="00DA2247" w:rsidRPr="00862CEE" w:rsidRDefault="00DA2247" w:rsidP="005A408B">
            <w:pPr>
              <w:spacing w:line="360" w:lineRule="auto"/>
              <w:jc w:val="both"/>
              <w:rPr>
                <w:color w:val="000000" w:themeColor="text1"/>
                <w:sz w:val="20"/>
                <w:szCs w:val="20"/>
              </w:rPr>
            </w:pPr>
          </w:p>
        </w:tc>
        <w:tc>
          <w:tcPr>
            <w:tcW w:w="2490" w:type="dxa"/>
          </w:tcPr>
          <w:p w:rsidR="00DA2247" w:rsidRPr="00862CEE" w:rsidRDefault="00DA2247" w:rsidP="005A408B">
            <w:pPr>
              <w:spacing w:line="360" w:lineRule="auto"/>
              <w:jc w:val="center"/>
              <w:cnfStyle w:val="100000000000"/>
              <w:rPr>
                <w:color w:val="000000" w:themeColor="text1"/>
                <w:sz w:val="20"/>
                <w:szCs w:val="20"/>
              </w:rPr>
            </w:pPr>
            <w:r w:rsidRPr="00862CEE">
              <w:rPr>
                <w:color w:val="000000" w:themeColor="text1"/>
                <w:sz w:val="20"/>
                <w:szCs w:val="20"/>
              </w:rPr>
              <w:t>Male consumers</w:t>
            </w:r>
          </w:p>
        </w:tc>
        <w:tc>
          <w:tcPr>
            <w:tcW w:w="2491" w:type="dxa"/>
          </w:tcPr>
          <w:p w:rsidR="00DA2247" w:rsidRPr="00862CEE" w:rsidRDefault="00DA2247" w:rsidP="005A408B">
            <w:pPr>
              <w:spacing w:line="360" w:lineRule="auto"/>
              <w:jc w:val="center"/>
              <w:cnfStyle w:val="100000000000"/>
              <w:rPr>
                <w:color w:val="000000" w:themeColor="text1"/>
                <w:sz w:val="20"/>
                <w:szCs w:val="20"/>
              </w:rPr>
            </w:pPr>
            <w:r w:rsidRPr="00862CEE">
              <w:rPr>
                <w:color w:val="000000" w:themeColor="text1"/>
                <w:sz w:val="20"/>
                <w:szCs w:val="20"/>
              </w:rPr>
              <w:t>Female consumers</w:t>
            </w:r>
          </w:p>
        </w:tc>
        <w:tc>
          <w:tcPr>
            <w:tcW w:w="2491" w:type="dxa"/>
          </w:tcPr>
          <w:p w:rsidR="00DA2247" w:rsidRPr="00862CEE" w:rsidRDefault="00DA2247" w:rsidP="005A408B">
            <w:pPr>
              <w:spacing w:line="360" w:lineRule="auto"/>
              <w:jc w:val="center"/>
              <w:cnfStyle w:val="100000000000"/>
              <w:rPr>
                <w:color w:val="000000" w:themeColor="text1"/>
                <w:sz w:val="20"/>
                <w:szCs w:val="20"/>
              </w:rPr>
            </w:pPr>
            <w:r w:rsidRPr="00862CEE">
              <w:rPr>
                <w:color w:val="000000" w:themeColor="text1"/>
                <w:sz w:val="20"/>
                <w:szCs w:val="20"/>
              </w:rPr>
              <w:t>Total</w:t>
            </w:r>
          </w:p>
        </w:tc>
      </w:tr>
      <w:tr w:rsidR="00DA2247" w:rsidRPr="00862CEE" w:rsidTr="005A408B">
        <w:trPr>
          <w:cnfStyle w:val="000000100000"/>
        </w:trPr>
        <w:tc>
          <w:tcPr>
            <w:cnfStyle w:val="001000000000"/>
            <w:tcW w:w="2490"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Purchase</w:t>
            </w:r>
          </w:p>
        </w:tc>
        <w:tc>
          <w:tcPr>
            <w:tcW w:w="2490"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482 (18%)</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156 (6%)</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638 (24%)</w:t>
            </w:r>
            <w:r w:rsidRPr="00862CEE">
              <w:rPr>
                <w:rStyle w:val="FootnoteReference"/>
                <w:color w:val="000000" w:themeColor="text1"/>
                <w:sz w:val="20"/>
                <w:szCs w:val="20"/>
              </w:rPr>
              <w:footnoteReference w:id="7"/>
            </w:r>
          </w:p>
        </w:tc>
      </w:tr>
      <w:tr w:rsidR="00DA2247" w:rsidRPr="00862CEE" w:rsidTr="005A408B">
        <w:tc>
          <w:tcPr>
            <w:cnfStyle w:val="001000000000"/>
            <w:tcW w:w="2490"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 xml:space="preserve">No purchase </w:t>
            </w:r>
          </w:p>
        </w:tc>
        <w:tc>
          <w:tcPr>
            <w:tcW w:w="2490" w:type="dxa"/>
          </w:tcPr>
          <w:p w:rsidR="00DA2247" w:rsidRPr="00862CEE" w:rsidRDefault="00DA2247" w:rsidP="005A408B">
            <w:pPr>
              <w:spacing w:line="360" w:lineRule="auto"/>
              <w:jc w:val="center"/>
              <w:cnfStyle w:val="000000000000"/>
              <w:rPr>
                <w:color w:val="000000" w:themeColor="text1"/>
                <w:sz w:val="20"/>
                <w:szCs w:val="20"/>
              </w:rPr>
            </w:pPr>
            <w:r w:rsidRPr="00862CEE">
              <w:rPr>
                <w:color w:val="000000" w:themeColor="text1"/>
                <w:sz w:val="20"/>
                <w:szCs w:val="20"/>
              </w:rPr>
              <w:t>942 (35%)</w:t>
            </w:r>
          </w:p>
        </w:tc>
        <w:tc>
          <w:tcPr>
            <w:tcW w:w="2491" w:type="dxa"/>
          </w:tcPr>
          <w:p w:rsidR="00DA2247" w:rsidRPr="00862CEE" w:rsidRDefault="00DA2247" w:rsidP="005A408B">
            <w:pPr>
              <w:spacing w:line="360" w:lineRule="auto"/>
              <w:jc w:val="center"/>
              <w:cnfStyle w:val="000000000000"/>
              <w:rPr>
                <w:color w:val="000000" w:themeColor="text1"/>
                <w:sz w:val="20"/>
                <w:szCs w:val="20"/>
              </w:rPr>
            </w:pPr>
            <w:r w:rsidRPr="00862CEE">
              <w:rPr>
                <w:color w:val="000000" w:themeColor="text1"/>
                <w:sz w:val="20"/>
                <w:szCs w:val="20"/>
              </w:rPr>
              <w:t>1,073 (41%)</w:t>
            </w:r>
          </w:p>
        </w:tc>
        <w:tc>
          <w:tcPr>
            <w:tcW w:w="2491" w:type="dxa"/>
          </w:tcPr>
          <w:p w:rsidR="00DA2247" w:rsidRPr="00862CEE" w:rsidRDefault="00DA2247" w:rsidP="005A408B">
            <w:pPr>
              <w:spacing w:line="360" w:lineRule="auto"/>
              <w:jc w:val="center"/>
              <w:cnfStyle w:val="000000000000"/>
              <w:rPr>
                <w:color w:val="000000" w:themeColor="text1"/>
                <w:sz w:val="20"/>
                <w:szCs w:val="20"/>
              </w:rPr>
            </w:pPr>
            <w:r w:rsidRPr="00862CEE">
              <w:rPr>
                <w:color w:val="000000" w:themeColor="text1"/>
                <w:sz w:val="20"/>
                <w:szCs w:val="20"/>
              </w:rPr>
              <w:t>2,015 (76%)</w:t>
            </w:r>
          </w:p>
        </w:tc>
      </w:tr>
      <w:tr w:rsidR="00DA2247" w:rsidRPr="00862CEE" w:rsidTr="005A408B">
        <w:trPr>
          <w:cnfStyle w:val="000000100000"/>
        </w:trPr>
        <w:tc>
          <w:tcPr>
            <w:cnfStyle w:val="001000000000"/>
            <w:tcW w:w="2490" w:type="dxa"/>
          </w:tcPr>
          <w:p w:rsidR="00DA2247" w:rsidRPr="00862CEE" w:rsidRDefault="00DA2247" w:rsidP="005A408B">
            <w:pPr>
              <w:spacing w:line="360" w:lineRule="auto"/>
              <w:rPr>
                <w:color w:val="000000" w:themeColor="text1"/>
                <w:sz w:val="20"/>
                <w:szCs w:val="20"/>
              </w:rPr>
            </w:pPr>
            <w:r w:rsidRPr="00862CEE">
              <w:rPr>
                <w:color w:val="000000" w:themeColor="text1"/>
                <w:sz w:val="20"/>
                <w:szCs w:val="20"/>
              </w:rPr>
              <w:t>Total</w:t>
            </w:r>
          </w:p>
        </w:tc>
        <w:tc>
          <w:tcPr>
            <w:tcW w:w="2490"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1,424 (54%)</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1,229(46%)</w:t>
            </w:r>
          </w:p>
        </w:tc>
        <w:tc>
          <w:tcPr>
            <w:tcW w:w="2491" w:type="dxa"/>
          </w:tcPr>
          <w:p w:rsidR="00DA2247" w:rsidRPr="00862CEE" w:rsidRDefault="00DA2247" w:rsidP="005A408B">
            <w:pPr>
              <w:spacing w:line="360" w:lineRule="auto"/>
              <w:jc w:val="center"/>
              <w:cnfStyle w:val="000000100000"/>
              <w:rPr>
                <w:color w:val="000000" w:themeColor="text1"/>
                <w:sz w:val="20"/>
                <w:szCs w:val="20"/>
              </w:rPr>
            </w:pPr>
            <w:r w:rsidRPr="00862CEE">
              <w:rPr>
                <w:color w:val="000000" w:themeColor="text1"/>
                <w:sz w:val="20"/>
                <w:szCs w:val="20"/>
              </w:rPr>
              <w:t>2,653 (100%)</w:t>
            </w:r>
          </w:p>
        </w:tc>
      </w:tr>
    </w:tbl>
    <w:p w:rsidR="00DA2247" w:rsidRPr="00862CEE" w:rsidRDefault="00DA2247" w:rsidP="00DA2247">
      <w:pPr>
        <w:spacing w:line="360" w:lineRule="auto"/>
        <w:jc w:val="both"/>
        <w:rPr>
          <w:color w:val="000000" w:themeColor="text1"/>
          <w:sz w:val="18"/>
          <w:szCs w:val="18"/>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The descriptive statistics of dwell time, consumer’s innovativeness, and products relocation are displayed in table 7. We can see that time consumers spent in the store on average is 1355.83 seconds (22.6 minutes). On the average, male consumers spend 1367.85 seconds (22.8 minutes) in the store, while female consumers spend 1341.97 seconds (22.4 minutes).  Regarding mean value of innovative ratio, it is found to be 0.</w:t>
      </w:r>
      <w:r w:rsidRPr="009E5B5E">
        <w:rPr>
          <w:rFonts w:cs="Arial"/>
          <w:color w:val="000000"/>
          <w:sz w:val="24"/>
          <w:szCs w:val="24"/>
        </w:rPr>
        <w:t>56</w:t>
      </w:r>
      <w:r w:rsidRPr="009E5B5E">
        <w:rPr>
          <w:color w:val="000000" w:themeColor="text1"/>
          <w:sz w:val="24"/>
          <w:szCs w:val="24"/>
        </w:rPr>
        <w:t xml:space="preserve">. For consumers’ involvement ratio, the mean takes value of 0.11. (See also appendix 6, 7, and 8 for descriptive statistics for dwell time, innovativeness, and involvement for each dataset).  </w:t>
      </w:r>
    </w:p>
    <w:p w:rsidR="00DA2247" w:rsidRPr="009E5B5E" w:rsidRDefault="00DA2247" w:rsidP="00DA2247">
      <w:pPr>
        <w:jc w:val="both"/>
        <w:rPr>
          <w:color w:val="000000" w:themeColor="text1"/>
          <w:sz w:val="24"/>
          <w:szCs w:val="24"/>
        </w:rPr>
      </w:pPr>
      <w:r w:rsidRPr="009E5B5E">
        <w:rPr>
          <w:color w:val="000000" w:themeColor="text1"/>
          <w:sz w:val="24"/>
          <w:szCs w:val="24"/>
        </w:rPr>
        <w:t xml:space="preserve">Table 7: Descriptive statistics of dwell time, consumer innovativeness, and product involvement </w:t>
      </w:r>
    </w:p>
    <w:tbl>
      <w:tblPr>
        <w:tblStyle w:val="MediumGrid3-Accent1"/>
        <w:tblW w:w="9925" w:type="dxa"/>
        <w:tblLayout w:type="fixed"/>
        <w:tblLook w:val="04A0"/>
      </w:tblPr>
      <w:tblGrid>
        <w:gridCol w:w="2235"/>
        <w:gridCol w:w="970"/>
        <w:gridCol w:w="1651"/>
        <w:gridCol w:w="1695"/>
        <w:gridCol w:w="1673"/>
        <w:gridCol w:w="1701"/>
      </w:tblGrid>
      <w:tr w:rsidR="00DA2247" w:rsidRPr="00862CEE" w:rsidTr="005A408B">
        <w:trPr>
          <w:cnfStyle w:val="100000000000"/>
          <w:trHeight w:val="376"/>
        </w:trPr>
        <w:tc>
          <w:tcPr>
            <w:cnfStyle w:val="001000000000"/>
            <w:tcW w:w="2235" w:type="dxa"/>
          </w:tcPr>
          <w:p w:rsidR="00DA2247" w:rsidRPr="00862CEE" w:rsidRDefault="00DA2247" w:rsidP="005A408B">
            <w:pPr>
              <w:autoSpaceDE w:val="0"/>
              <w:autoSpaceDN w:val="0"/>
              <w:adjustRightInd w:val="0"/>
              <w:jc w:val="center"/>
              <w:rPr>
                <w:rFonts w:cs="Angsana New"/>
                <w:sz w:val="20"/>
                <w:szCs w:val="20"/>
              </w:rPr>
            </w:pPr>
            <w:r w:rsidRPr="00862CEE">
              <w:rPr>
                <w:rFonts w:cs="Angsana New"/>
                <w:sz w:val="20"/>
                <w:szCs w:val="20"/>
              </w:rPr>
              <w:t>Variable</w:t>
            </w:r>
          </w:p>
        </w:tc>
        <w:tc>
          <w:tcPr>
            <w:tcW w:w="970"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N</w:t>
            </w:r>
          </w:p>
        </w:tc>
        <w:tc>
          <w:tcPr>
            <w:tcW w:w="1651"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Minimum</w:t>
            </w:r>
          </w:p>
        </w:tc>
        <w:tc>
          <w:tcPr>
            <w:tcW w:w="1695"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Maximum</w:t>
            </w:r>
          </w:p>
        </w:tc>
        <w:tc>
          <w:tcPr>
            <w:tcW w:w="1673"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Mean</w:t>
            </w:r>
          </w:p>
        </w:tc>
        <w:tc>
          <w:tcPr>
            <w:tcW w:w="1701" w:type="dxa"/>
          </w:tcPr>
          <w:p w:rsidR="00DA2247" w:rsidRPr="00862CEE" w:rsidRDefault="00DA2247" w:rsidP="005A408B">
            <w:pPr>
              <w:autoSpaceDE w:val="0"/>
              <w:autoSpaceDN w:val="0"/>
              <w:adjustRightInd w:val="0"/>
              <w:spacing w:line="320" w:lineRule="atLeast"/>
              <w:ind w:left="60" w:right="60"/>
              <w:jc w:val="center"/>
              <w:cnfStyle w:val="100000000000"/>
              <w:rPr>
                <w:rFonts w:cs="Arial"/>
                <w:color w:val="000000"/>
                <w:sz w:val="20"/>
                <w:szCs w:val="20"/>
              </w:rPr>
            </w:pPr>
            <w:r w:rsidRPr="00862CEE">
              <w:rPr>
                <w:rFonts w:cs="Arial"/>
                <w:color w:val="000000"/>
                <w:sz w:val="20"/>
                <w:szCs w:val="20"/>
              </w:rPr>
              <w:t>Std. Deviation</w:t>
            </w:r>
          </w:p>
        </w:tc>
      </w:tr>
      <w:tr w:rsidR="00DA2247" w:rsidRPr="00862CEE" w:rsidTr="005A408B">
        <w:trPr>
          <w:cnfStyle w:val="000000100000"/>
          <w:trHeight w:val="357"/>
        </w:trPr>
        <w:tc>
          <w:tcPr>
            <w:cnfStyle w:val="001000000000"/>
            <w:tcW w:w="2235" w:type="dxa"/>
          </w:tcPr>
          <w:p w:rsidR="00DA2247" w:rsidRPr="00862CEE" w:rsidRDefault="00DA2247" w:rsidP="005A408B">
            <w:pPr>
              <w:autoSpaceDE w:val="0"/>
              <w:autoSpaceDN w:val="0"/>
              <w:adjustRightInd w:val="0"/>
              <w:spacing w:line="320" w:lineRule="atLeast"/>
              <w:ind w:left="60" w:right="60"/>
              <w:rPr>
                <w:rFonts w:cs="Arial"/>
                <w:color w:val="000000"/>
                <w:sz w:val="20"/>
                <w:szCs w:val="20"/>
              </w:rPr>
            </w:pPr>
            <w:r w:rsidRPr="00862CEE">
              <w:rPr>
                <w:rFonts w:cs="Arial"/>
                <w:color w:val="000000"/>
                <w:sz w:val="20"/>
                <w:szCs w:val="20"/>
              </w:rPr>
              <w:t>Dwell time (second)</w:t>
            </w:r>
          </w:p>
        </w:tc>
        <w:tc>
          <w:tcPr>
            <w:tcW w:w="970"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2,653</w:t>
            </w:r>
          </w:p>
        </w:tc>
        <w:tc>
          <w:tcPr>
            <w:tcW w:w="1651"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780</w:t>
            </w:r>
          </w:p>
        </w:tc>
        <w:tc>
          <w:tcPr>
            <w:tcW w:w="1695"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3509</w:t>
            </w:r>
          </w:p>
        </w:tc>
        <w:tc>
          <w:tcPr>
            <w:tcW w:w="1673"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1355.83</w:t>
            </w:r>
          </w:p>
        </w:tc>
        <w:tc>
          <w:tcPr>
            <w:tcW w:w="1701"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516.854</w:t>
            </w:r>
          </w:p>
        </w:tc>
      </w:tr>
      <w:tr w:rsidR="00DA2247" w:rsidRPr="00862CEE" w:rsidTr="005A408B">
        <w:trPr>
          <w:trHeight w:val="338"/>
        </w:trPr>
        <w:tc>
          <w:tcPr>
            <w:cnfStyle w:val="001000000000"/>
            <w:tcW w:w="2235" w:type="dxa"/>
          </w:tcPr>
          <w:p w:rsidR="00DA2247" w:rsidRPr="00862CEE" w:rsidRDefault="00DA2247" w:rsidP="005A408B">
            <w:pPr>
              <w:autoSpaceDE w:val="0"/>
              <w:autoSpaceDN w:val="0"/>
              <w:adjustRightInd w:val="0"/>
              <w:spacing w:line="320" w:lineRule="atLeast"/>
              <w:ind w:left="60" w:right="60"/>
              <w:rPr>
                <w:rFonts w:cs="Arial"/>
                <w:color w:val="000000"/>
                <w:sz w:val="20"/>
                <w:szCs w:val="20"/>
              </w:rPr>
            </w:pPr>
            <w:r w:rsidRPr="00862CEE">
              <w:rPr>
                <w:rFonts w:cs="Arial"/>
                <w:color w:val="000000"/>
                <w:sz w:val="20"/>
                <w:szCs w:val="20"/>
              </w:rPr>
              <w:t>Innovative ratio</w:t>
            </w:r>
          </w:p>
        </w:tc>
        <w:tc>
          <w:tcPr>
            <w:tcW w:w="970" w:type="dxa"/>
          </w:tcPr>
          <w:p w:rsidR="00DA2247" w:rsidRPr="00862CEE" w:rsidRDefault="00DA2247" w:rsidP="005A408B">
            <w:pPr>
              <w:autoSpaceDE w:val="0"/>
              <w:autoSpaceDN w:val="0"/>
              <w:adjustRightInd w:val="0"/>
              <w:spacing w:line="320" w:lineRule="atLeast"/>
              <w:ind w:left="60" w:right="60"/>
              <w:jc w:val="right"/>
              <w:cnfStyle w:val="000000000000"/>
              <w:rPr>
                <w:rFonts w:cs="Arial"/>
                <w:color w:val="000000"/>
                <w:sz w:val="20"/>
                <w:szCs w:val="20"/>
              </w:rPr>
            </w:pPr>
            <w:r w:rsidRPr="00862CEE">
              <w:rPr>
                <w:rFonts w:cs="Arial"/>
                <w:color w:val="000000"/>
                <w:sz w:val="20"/>
                <w:szCs w:val="20"/>
              </w:rPr>
              <w:t>2,653</w:t>
            </w:r>
          </w:p>
        </w:tc>
        <w:tc>
          <w:tcPr>
            <w:tcW w:w="1651" w:type="dxa"/>
          </w:tcPr>
          <w:p w:rsidR="00DA2247" w:rsidRPr="00862CEE" w:rsidRDefault="00DA2247" w:rsidP="005A408B">
            <w:pPr>
              <w:autoSpaceDE w:val="0"/>
              <w:autoSpaceDN w:val="0"/>
              <w:adjustRightInd w:val="0"/>
              <w:spacing w:line="320" w:lineRule="atLeast"/>
              <w:ind w:left="60" w:right="60"/>
              <w:jc w:val="right"/>
              <w:cnfStyle w:val="000000000000"/>
              <w:rPr>
                <w:rFonts w:cs="Arial"/>
                <w:color w:val="000000"/>
                <w:sz w:val="20"/>
                <w:szCs w:val="20"/>
              </w:rPr>
            </w:pPr>
            <w:r w:rsidRPr="00862CEE">
              <w:rPr>
                <w:rFonts w:cs="Arial"/>
                <w:color w:val="000000"/>
                <w:sz w:val="20"/>
                <w:szCs w:val="20"/>
              </w:rPr>
              <w:t>0</w:t>
            </w:r>
          </w:p>
        </w:tc>
        <w:tc>
          <w:tcPr>
            <w:tcW w:w="1695" w:type="dxa"/>
          </w:tcPr>
          <w:p w:rsidR="00DA2247" w:rsidRPr="00862CEE" w:rsidRDefault="00DA2247" w:rsidP="005A408B">
            <w:pPr>
              <w:autoSpaceDE w:val="0"/>
              <w:autoSpaceDN w:val="0"/>
              <w:adjustRightInd w:val="0"/>
              <w:spacing w:line="320" w:lineRule="atLeast"/>
              <w:ind w:left="60" w:right="60"/>
              <w:jc w:val="right"/>
              <w:cnfStyle w:val="000000000000"/>
              <w:rPr>
                <w:rFonts w:cs="Arial"/>
                <w:color w:val="000000"/>
                <w:sz w:val="20"/>
                <w:szCs w:val="20"/>
              </w:rPr>
            </w:pPr>
            <w:r w:rsidRPr="00862CEE">
              <w:rPr>
                <w:rFonts w:cs="Arial"/>
                <w:color w:val="000000"/>
                <w:sz w:val="20"/>
                <w:szCs w:val="20"/>
              </w:rPr>
              <w:t>0.98</w:t>
            </w:r>
          </w:p>
        </w:tc>
        <w:tc>
          <w:tcPr>
            <w:tcW w:w="1673" w:type="dxa"/>
          </w:tcPr>
          <w:p w:rsidR="00DA2247" w:rsidRPr="00862CEE" w:rsidRDefault="00DA2247" w:rsidP="005A408B">
            <w:pPr>
              <w:autoSpaceDE w:val="0"/>
              <w:autoSpaceDN w:val="0"/>
              <w:adjustRightInd w:val="0"/>
              <w:spacing w:line="320" w:lineRule="atLeast"/>
              <w:ind w:left="60" w:right="60"/>
              <w:jc w:val="right"/>
              <w:cnfStyle w:val="000000000000"/>
              <w:rPr>
                <w:rFonts w:cs="Arial"/>
                <w:color w:val="000000"/>
                <w:sz w:val="20"/>
                <w:szCs w:val="20"/>
              </w:rPr>
            </w:pPr>
            <w:r w:rsidRPr="00862CEE">
              <w:rPr>
                <w:rFonts w:cs="Arial"/>
                <w:color w:val="000000"/>
                <w:sz w:val="20"/>
                <w:szCs w:val="20"/>
              </w:rPr>
              <w:t>0.56</w:t>
            </w:r>
          </w:p>
        </w:tc>
        <w:tc>
          <w:tcPr>
            <w:tcW w:w="1701" w:type="dxa"/>
          </w:tcPr>
          <w:p w:rsidR="00DA2247" w:rsidRPr="00862CEE" w:rsidRDefault="00DA2247" w:rsidP="005A408B">
            <w:pPr>
              <w:autoSpaceDE w:val="0"/>
              <w:autoSpaceDN w:val="0"/>
              <w:adjustRightInd w:val="0"/>
              <w:spacing w:line="320" w:lineRule="atLeast"/>
              <w:ind w:left="60" w:right="60"/>
              <w:jc w:val="right"/>
              <w:cnfStyle w:val="000000000000"/>
              <w:rPr>
                <w:rFonts w:cs="Arial"/>
                <w:color w:val="000000"/>
                <w:sz w:val="20"/>
                <w:szCs w:val="20"/>
              </w:rPr>
            </w:pPr>
            <w:r w:rsidRPr="00862CEE">
              <w:rPr>
                <w:rFonts w:cs="Arial"/>
                <w:color w:val="000000"/>
                <w:sz w:val="20"/>
                <w:szCs w:val="20"/>
              </w:rPr>
              <w:t>0.23</w:t>
            </w:r>
          </w:p>
        </w:tc>
      </w:tr>
      <w:tr w:rsidR="00DA2247" w:rsidRPr="00862CEE" w:rsidTr="005A408B">
        <w:trPr>
          <w:cnfStyle w:val="000000100000"/>
          <w:trHeight w:val="406"/>
        </w:trPr>
        <w:tc>
          <w:tcPr>
            <w:cnfStyle w:val="001000000000"/>
            <w:tcW w:w="2235" w:type="dxa"/>
          </w:tcPr>
          <w:p w:rsidR="00DA2247" w:rsidRPr="00862CEE" w:rsidRDefault="00DA2247" w:rsidP="005A408B">
            <w:pPr>
              <w:autoSpaceDE w:val="0"/>
              <w:autoSpaceDN w:val="0"/>
              <w:adjustRightInd w:val="0"/>
              <w:spacing w:line="320" w:lineRule="atLeast"/>
              <w:ind w:left="60" w:right="60"/>
              <w:rPr>
                <w:rFonts w:cs="Arial"/>
                <w:color w:val="000000"/>
                <w:sz w:val="20"/>
                <w:szCs w:val="20"/>
              </w:rPr>
            </w:pPr>
            <w:r w:rsidRPr="00862CEE">
              <w:rPr>
                <w:rFonts w:cs="Arial"/>
                <w:color w:val="000000"/>
                <w:sz w:val="20"/>
                <w:szCs w:val="20"/>
              </w:rPr>
              <w:t>Involvement ratio</w:t>
            </w:r>
          </w:p>
        </w:tc>
        <w:tc>
          <w:tcPr>
            <w:tcW w:w="970"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2,653</w:t>
            </w:r>
          </w:p>
        </w:tc>
        <w:tc>
          <w:tcPr>
            <w:tcW w:w="1651"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0.021</w:t>
            </w:r>
          </w:p>
        </w:tc>
        <w:tc>
          <w:tcPr>
            <w:tcW w:w="1695"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0.58</w:t>
            </w:r>
          </w:p>
        </w:tc>
        <w:tc>
          <w:tcPr>
            <w:tcW w:w="1673"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0.11</w:t>
            </w:r>
          </w:p>
        </w:tc>
        <w:tc>
          <w:tcPr>
            <w:tcW w:w="1701" w:type="dxa"/>
          </w:tcPr>
          <w:p w:rsidR="00DA2247" w:rsidRPr="00862CEE" w:rsidRDefault="00DA2247" w:rsidP="005A408B">
            <w:pPr>
              <w:autoSpaceDE w:val="0"/>
              <w:autoSpaceDN w:val="0"/>
              <w:adjustRightInd w:val="0"/>
              <w:spacing w:line="320" w:lineRule="atLeast"/>
              <w:ind w:left="60" w:right="60"/>
              <w:jc w:val="right"/>
              <w:cnfStyle w:val="000000100000"/>
              <w:rPr>
                <w:rFonts w:cs="Arial"/>
                <w:color w:val="000000"/>
                <w:sz w:val="20"/>
                <w:szCs w:val="20"/>
              </w:rPr>
            </w:pPr>
            <w:r w:rsidRPr="00862CEE">
              <w:rPr>
                <w:rFonts w:cs="Arial"/>
                <w:color w:val="000000"/>
                <w:sz w:val="20"/>
                <w:szCs w:val="20"/>
              </w:rPr>
              <w:t>0.069</w:t>
            </w:r>
          </w:p>
        </w:tc>
      </w:tr>
    </w:tbl>
    <w:p w:rsidR="00DA2247" w:rsidRDefault="00DA2247" w:rsidP="00DA2247">
      <w:pPr>
        <w:tabs>
          <w:tab w:val="left" w:pos="5666"/>
        </w:tabs>
        <w:spacing w:line="360" w:lineRule="auto"/>
        <w:jc w:val="both"/>
        <w:rPr>
          <w:b/>
          <w:bCs/>
          <w:color w:val="000000" w:themeColor="text1"/>
          <w:sz w:val="32"/>
          <w:szCs w:val="32"/>
        </w:rPr>
      </w:pPr>
    </w:p>
    <w:p w:rsidR="00DA2247" w:rsidRPr="009E5B5E" w:rsidRDefault="00DA2247" w:rsidP="00DA2247">
      <w:pPr>
        <w:tabs>
          <w:tab w:val="left" w:pos="5666"/>
        </w:tabs>
        <w:spacing w:line="360" w:lineRule="auto"/>
        <w:jc w:val="both"/>
        <w:rPr>
          <w:b/>
          <w:bCs/>
          <w:color w:val="1F497D" w:themeColor="text2"/>
          <w:sz w:val="32"/>
          <w:szCs w:val="32"/>
        </w:rPr>
      </w:pPr>
      <w:r w:rsidRPr="009E5B5E">
        <w:rPr>
          <w:b/>
          <w:bCs/>
          <w:color w:val="000000" w:themeColor="text1"/>
          <w:sz w:val="32"/>
          <w:szCs w:val="32"/>
        </w:rPr>
        <w:lastRenderedPageBreak/>
        <w:t>4.3 Logistic Regression Analysis</w:t>
      </w:r>
      <w:r w:rsidRPr="009E5B5E">
        <w:rPr>
          <w:b/>
          <w:bCs/>
          <w:color w:val="1F497D" w:themeColor="text2"/>
          <w:sz w:val="32"/>
          <w:szCs w:val="32"/>
        </w:rPr>
        <w:t xml:space="preserve"> </w:t>
      </w:r>
      <w:r w:rsidRPr="009E5B5E">
        <w:rPr>
          <w:b/>
          <w:bCs/>
          <w:color w:val="000000" w:themeColor="text1"/>
          <w:sz w:val="32"/>
          <w:szCs w:val="32"/>
        </w:rPr>
        <w:t>and Results</w:t>
      </w:r>
    </w:p>
    <w:p w:rsidR="00DA2247" w:rsidRPr="009E5B5E" w:rsidRDefault="00DA2247" w:rsidP="00DA2247">
      <w:pPr>
        <w:suppressAutoHyphens/>
        <w:spacing w:line="360" w:lineRule="auto"/>
        <w:jc w:val="both"/>
        <w:rPr>
          <w:sz w:val="24"/>
          <w:szCs w:val="24"/>
        </w:rPr>
      </w:pPr>
      <w:r w:rsidRPr="009E5B5E">
        <w:rPr>
          <w:sz w:val="24"/>
          <w:szCs w:val="24"/>
        </w:rPr>
        <w:t xml:space="preserve">Binomial logistic regression analyses were operated using three models constructed in section 3.4.1, namely general model, gender specific model, and three-way interaction model, in order to test the hypotheses. </w:t>
      </w:r>
    </w:p>
    <w:p w:rsidR="00DA2247" w:rsidRPr="009E5B5E" w:rsidRDefault="00DA2247" w:rsidP="00DA2247">
      <w:pPr>
        <w:suppressAutoHyphens/>
        <w:spacing w:line="360" w:lineRule="auto"/>
        <w:jc w:val="both"/>
        <w:rPr>
          <w:color w:val="C0504D" w:themeColor="accent2"/>
          <w:sz w:val="24"/>
          <w:szCs w:val="24"/>
        </w:rPr>
      </w:pPr>
      <w:r w:rsidRPr="009E5B5E">
        <w:rPr>
          <w:sz w:val="24"/>
          <w:szCs w:val="24"/>
        </w:rPr>
        <w:t xml:space="preserve">Prior to the analysis, the assumptions for logistic regression (i.e., linearity, independence of errors, and multicollinearity) were tested for all three datasets. Furthermore the problems that might occur when applying logistic regression (i.e., incomplete information from the predictors, complete separation, and over dispersion) were investigated as well. Accordingly, no violation of all assumptions was found in each dataset, as well as, complete separation, incomplete information from the predictors and over dispersion problems. The detail of how these assumptions and problems were examined is available </w:t>
      </w:r>
      <w:r w:rsidRPr="009E5B5E">
        <w:rPr>
          <w:color w:val="000000" w:themeColor="text1"/>
          <w:sz w:val="24"/>
          <w:szCs w:val="24"/>
        </w:rPr>
        <w:t>in the appendix 9 and 10.</w:t>
      </w:r>
    </w:p>
    <w:p w:rsidR="00DA2247" w:rsidRPr="009E5B5E" w:rsidRDefault="00DA2247" w:rsidP="00DA2247">
      <w:pPr>
        <w:tabs>
          <w:tab w:val="left" w:pos="5666"/>
        </w:tabs>
        <w:spacing w:line="360" w:lineRule="auto"/>
        <w:jc w:val="both"/>
        <w:rPr>
          <w:b/>
          <w:bCs/>
          <w:color w:val="000000" w:themeColor="text1"/>
          <w:sz w:val="28"/>
        </w:rPr>
      </w:pPr>
      <w:r w:rsidRPr="009E5B5E">
        <w:rPr>
          <w:b/>
          <w:bCs/>
          <w:color w:val="000000" w:themeColor="text1"/>
          <w:sz w:val="28"/>
        </w:rPr>
        <w:t xml:space="preserve">4.3.1 General Model </w:t>
      </w:r>
    </w:p>
    <w:p w:rsidR="00DA2247" w:rsidRPr="009E5B5E" w:rsidRDefault="00DA2247" w:rsidP="00DA2247">
      <w:pPr>
        <w:spacing w:line="360" w:lineRule="auto"/>
        <w:jc w:val="both"/>
        <w:rPr>
          <w:sz w:val="24"/>
          <w:szCs w:val="24"/>
        </w:rPr>
      </w:pPr>
      <w:r w:rsidRPr="009E5B5E">
        <w:rPr>
          <w:sz w:val="24"/>
          <w:szCs w:val="24"/>
        </w:rPr>
        <w:t>First, logistic regression analysis was conducted on both the original and 423 cases-reduced (due to suspiciously high time spent in region A) datasets using the general model, in order to compare and examine the robustness of the results.</w:t>
      </w:r>
    </w:p>
    <w:p w:rsidR="00DA2247" w:rsidRPr="009E5B5E" w:rsidRDefault="00DA2247" w:rsidP="00DA2247">
      <w:pPr>
        <w:tabs>
          <w:tab w:val="left" w:pos="5666"/>
        </w:tabs>
        <w:spacing w:line="360" w:lineRule="auto"/>
        <w:jc w:val="both"/>
        <w:rPr>
          <w:b/>
          <w:bCs/>
          <w:i/>
          <w:iCs/>
          <w:color w:val="000000" w:themeColor="text1"/>
          <w:sz w:val="24"/>
          <w:szCs w:val="24"/>
        </w:rPr>
      </w:pPr>
      <w:r w:rsidRPr="009E5B5E">
        <w:rPr>
          <w:b/>
          <w:bCs/>
          <w:i/>
          <w:iCs/>
          <w:color w:val="000000" w:themeColor="text1"/>
          <w:sz w:val="24"/>
          <w:szCs w:val="24"/>
        </w:rPr>
        <w:t>Assessment of the Model (See also appendix 11)</w:t>
      </w:r>
    </w:p>
    <w:p w:rsidR="00DA2247" w:rsidRPr="009E5B5E" w:rsidRDefault="00DA2247" w:rsidP="00DA2247">
      <w:pPr>
        <w:spacing w:line="360" w:lineRule="auto"/>
        <w:jc w:val="both"/>
        <w:rPr>
          <w:sz w:val="24"/>
          <w:szCs w:val="24"/>
        </w:rPr>
      </w:pPr>
      <w:r w:rsidRPr="009E5B5E">
        <w:rPr>
          <w:sz w:val="24"/>
          <w:szCs w:val="24"/>
        </w:rPr>
        <w:t>As essential as the estimation of the predictors, the statistic tests for the fit of the model were investigated as they estimate the predictive power of the model. Such statistics are log-likelihood, Cox and Snell’s R</w:t>
      </w:r>
      <w:r w:rsidRPr="009E5B5E">
        <w:rPr>
          <w:sz w:val="24"/>
          <w:szCs w:val="24"/>
          <w:vertAlign w:val="superscript"/>
        </w:rPr>
        <w:t>2</w:t>
      </w:r>
      <w:r w:rsidRPr="009E5B5E">
        <w:rPr>
          <w:sz w:val="24"/>
          <w:szCs w:val="24"/>
        </w:rPr>
        <w:t>, Nagelkerke’s R</w:t>
      </w:r>
      <w:r w:rsidRPr="009E5B5E">
        <w:rPr>
          <w:sz w:val="24"/>
          <w:szCs w:val="24"/>
          <w:vertAlign w:val="superscript"/>
        </w:rPr>
        <w:t>2</w:t>
      </w:r>
      <w:r w:rsidRPr="009E5B5E">
        <w:rPr>
          <w:sz w:val="24"/>
          <w:szCs w:val="24"/>
        </w:rPr>
        <w:t>, and Hosmer and Lemeshow’s R</w:t>
      </w:r>
      <w:r w:rsidRPr="009E5B5E">
        <w:rPr>
          <w:sz w:val="24"/>
          <w:szCs w:val="24"/>
          <w:vertAlign w:val="superscript"/>
        </w:rPr>
        <w:t>2</w:t>
      </w:r>
      <w:r w:rsidRPr="009E5B5E">
        <w:rPr>
          <w:sz w:val="24"/>
          <w:szCs w:val="24"/>
        </w:rPr>
        <w:t xml:space="preserve">. More technical detail for these statistics is available in the </w:t>
      </w:r>
      <w:r w:rsidRPr="009E5B5E">
        <w:rPr>
          <w:color w:val="000000" w:themeColor="text1"/>
          <w:sz w:val="24"/>
          <w:szCs w:val="24"/>
        </w:rPr>
        <w:t>appendix 11.</w:t>
      </w:r>
    </w:p>
    <w:p w:rsidR="00DA2247" w:rsidRDefault="00DA2247" w:rsidP="00DA2247">
      <w:pPr>
        <w:tabs>
          <w:tab w:val="left" w:pos="5666"/>
        </w:tabs>
        <w:spacing w:line="360" w:lineRule="auto"/>
        <w:jc w:val="both"/>
        <w:rPr>
          <w:b/>
          <w:bCs/>
          <w:i/>
          <w:iCs/>
          <w:color w:val="000000" w:themeColor="text1"/>
          <w:sz w:val="24"/>
          <w:szCs w:val="24"/>
        </w:rPr>
      </w:pPr>
      <w:r w:rsidRPr="009E5B5E">
        <w:rPr>
          <w:sz w:val="24"/>
          <w:szCs w:val="24"/>
        </w:rPr>
        <w:t xml:space="preserve">With respect to the general model, -2 log likelihood statistic was </w:t>
      </w:r>
      <w:r w:rsidRPr="009E5B5E">
        <w:rPr>
          <w:rFonts w:cs="Arial"/>
          <w:color w:val="000000"/>
          <w:sz w:val="24"/>
          <w:szCs w:val="24"/>
        </w:rPr>
        <w:t>4968.52</w:t>
      </w:r>
      <w:r w:rsidRPr="009E5B5E">
        <w:rPr>
          <w:sz w:val="24"/>
          <w:szCs w:val="24"/>
        </w:rPr>
        <w:t>. This statistic was found to be significant, which means that the model with the predictor variables included has significantly increased the ability to predict the purchase decision made by the consumers. Given this result, it is not surprising that the Cox and Snell’s R</w:t>
      </w:r>
      <w:r w:rsidRPr="009E5B5E">
        <w:rPr>
          <w:sz w:val="24"/>
          <w:szCs w:val="24"/>
          <w:vertAlign w:val="superscript"/>
        </w:rPr>
        <w:t>2</w:t>
      </w:r>
      <w:r w:rsidRPr="009E5B5E">
        <w:rPr>
          <w:sz w:val="24"/>
          <w:szCs w:val="24"/>
        </w:rPr>
        <w:t xml:space="preserve"> of 0.103 and Nagelkerke’s R</w:t>
      </w:r>
      <w:r w:rsidRPr="009E5B5E">
        <w:rPr>
          <w:sz w:val="24"/>
          <w:szCs w:val="24"/>
          <w:vertAlign w:val="superscript"/>
        </w:rPr>
        <w:t>2</w:t>
      </w:r>
      <w:r w:rsidRPr="009E5B5E">
        <w:rPr>
          <w:sz w:val="24"/>
          <w:szCs w:val="24"/>
        </w:rPr>
        <w:t xml:space="preserve"> of 0.221 also indicated moderate fit of the model to the data and a considerable improvement from null model. However, Hosmer and Lemeshow goodness-of-fit test gave a chi-square of 52.32 which was relatively large and significant, indicating that the null hypothesis that the model fit to the data is acceptable can be rejected. </w:t>
      </w:r>
    </w:p>
    <w:p w:rsidR="00DA2247" w:rsidRDefault="00DA2247" w:rsidP="00DA2247">
      <w:pPr>
        <w:tabs>
          <w:tab w:val="left" w:pos="5666"/>
        </w:tabs>
        <w:spacing w:line="360" w:lineRule="auto"/>
        <w:jc w:val="both"/>
        <w:rPr>
          <w:b/>
          <w:bCs/>
          <w:i/>
          <w:iCs/>
          <w:color w:val="000000" w:themeColor="text1"/>
          <w:sz w:val="24"/>
          <w:szCs w:val="24"/>
        </w:rPr>
      </w:pPr>
    </w:p>
    <w:p w:rsidR="00DA2247" w:rsidRPr="009E5B5E" w:rsidRDefault="00DA2247" w:rsidP="00DA2247">
      <w:pPr>
        <w:tabs>
          <w:tab w:val="left" w:pos="5666"/>
        </w:tabs>
        <w:spacing w:line="360" w:lineRule="auto"/>
        <w:jc w:val="both"/>
        <w:rPr>
          <w:b/>
          <w:bCs/>
          <w:i/>
          <w:iCs/>
          <w:color w:val="000000" w:themeColor="text1"/>
          <w:sz w:val="24"/>
          <w:szCs w:val="24"/>
        </w:rPr>
      </w:pPr>
      <w:r w:rsidRPr="009E5B5E">
        <w:rPr>
          <w:b/>
          <w:bCs/>
          <w:i/>
          <w:iCs/>
          <w:color w:val="000000" w:themeColor="text1"/>
          <w:sz w:val="24"/>
          <w:szCs w:val="24"/>
        </w:rPr>
        <w:lastRenderedPageBreak/>
        <w:t xml:space="preserve">Results </w:t>
      </w:r>
    </w:p>
    <w:p w:rsidR="00DA2247" w:rsidRPr="009E5B5E" w:rsidRDefault="00DA2247" w:rsidP="00DA2247">
      <w:pPr>
        <w:suppressAutoHyphens/>
        <w:spacing w:line="360" w:lineRule="auto"/>
        <w:jc w:val="both"/>
        <w:rPr>
          <w:sz w:val="24"/>
          <w:szCs w:val="24"/>
        </w:rPr>
      </w:pPr>
      <w:r w:rsidRPr="009E5B5E">
        <w:rPr>
          <w:sz w:val="24"/>
          <w:szCs w:val="24"/>
        </w:rPr>
        <w:t xml:space="preserve">Table 8 and 9 give the results of the logistic regression analysis on the original and reduced datasets respectively. Both analyses did not show any significant effects of sales promotion, renewal of in-store display, product relocation, and accompanying friend(s) on purchase likelihood at the significance level of 0.05. However, the results regarding the direction of the effects of all four variables on purchase probability are found to be consistent across the two analyses. Sales promotion and product relocation were shown to positively influence purchase probability. On the other hand, renewal of in-store display and friend(s) demonstrated negative influence on purchase probability which oppose to what have been hypothesized as H1 and H 2. </w:t>
      </w:r>
    </w:p>
    <w:p w:rsidR="000624F7" w:rsidRPr="00F96E97" w:rsidRDefault="00DA2247" w:rsidP="00DA2247">
      <w:pPr>
        <w:suppressAutoHyphens/>
        <w:spacing w:line="360" w:lineRule="auto"/>
        <w:jc w:val="both"/>
        <w:rPr>
          <w:sz w:val="24"/>
          <w:szCs w:val="24"/>
        </w:rPr>
      </w:pPr>
      <w:r w:rsidRPr="00F96E97">
        <w:rPr>
          <w:sz w:val="24"/>
          <w:szCs w:val="24"/>
        </w:rPr>
        <w:t xml:space="preserve">Furthermore, when the model is applied to both original and reduced datasets, all of the control variable except new arrivals are found to significantly influence consumers’ purchase likelihood at the significance level of 0.05 (for employee contact in both dataset, and innovativeness in the reduce dataset) and 0.01 (for the rest). </w:t>
      </w:r>
      <w:r w:rsidR="005A408B" w:rsidRPr="00F96E97">
        <w:rPr>
          <w:sz w:val="24"/>
          <w:szCs w:val="24"/>
        </w:rPr>
        <w:t>The effect</w:t>
      </w:r>
      <w:r w:rsidRPr="00F96E97">
        <w:rPr>
          <w:sz w:val="24"/>
          <w:szCs w:val="24"/>
        </w:rPr>
        <w:t xml:space="preserve"> of employee contact</w:t>
      </w:r>
      <w:r w:rsidR="005A408B" w:rsidRPr="00F96E97">
        <w:rPr>
          <w:sz w:val="24"/>
          <w:szCs w:val="24"/>
        </w:rPr>
        <w:t xml:space="preserve"> is found to be positive on purchase likelihood. </w:t>
      </w:r>
      <w:r w:rsidR="000624F7" w:rsidRPr="00F96E97">
        <w:rPr>
          <w:sz w:val="24"/>
          <w:szCs w:val="24"/>
        </w:rPr>
        <w:t>A</w:t>
      </w:r>
      <w:r w:rsidR="005A408B" w:rsidRPr="00F96E97">
        <w:rPr>
          <w:sz w:val="24"/>
          <w:szCs w:val="24"/>
        </w:rPr>
        <w:t xml:space="preserve"> possible explanation can be that the approach of salespeo</w:t>
      </w:r>
      <w:r w:rsidR="00D3449F" w:rsidRPr="00F96E97">
        <w:rPr>
          <w:sz w:val="24"/>
          <w:szCs w:val="24"/>
        </w:rPr>
        <w:t>ple may provide the useful information which</w:t>
      </w:r>
      <w:r w:rsidR="005A408B" w:rsidRPr="00F96E97">
        <w:rPr>
          <w:sz w:val="24"/>
          <w:szCs w:val="24"/>
        </w:rPr>
        <w:t xml:space="preserve"> consumer</w:t>
      </w:r>
      <w:r w:rsidR="00D3449F" w:rsidRPr="00F96E97">
        <w:rPr>
          <w:sz w:val="24"/>
          <w:szCs w:val="24"/>
        </w:rPr>
        <w:t>s</w:t>
      </w:r>
      <w:r w:rsidR="005A408B" w:rsidRPr="00F96E97">
        <w:rPr>
          <w:sz w:val="24"/>
          <w:szCs w:val="24"/>
        </w:rPr>
        <w:t xml:space="preserve"> </w:t>
      </w:r>
      <w:r w:rsidR="00D3449F" w:rsidRPr="00F96E97">
        <w:rPr>
          <w:sz w:val="24"/>
          <w:szCs w:val="24"/>
        </w:rPr>
        <w:t xml:space="preserve">need to make purchases, or that such service creates pleasant in-store atmosphere which motivates the purchasing behavior. Moreover, the regions B and C </w:t>
      </w:r>
      <w:r w:rsidRPr="00F96E97">
        <w:rPr>
          <w:sz w:val="24"/>
          <w:szCs w:val="24"/>
        </w:rPr>
        <w:t xml:space="preserve">dummies </w:t>
      </w:r>
      <w:r w:rsidR="00D3449F" w:rsidRPr="00F96E97">
        <w:rPr>
          <w:sz w:val="24"/>
          <w:szCs w:val="24"/>
        </w:rPr>
        <w:t>positively affect the likelihood of purchase as well.</w:t>
      </w:r>
      <w:r w:rsidR="00387360" w:rsidRPr="00F96E97">
        <w:rPr>
          <w:sz w:val="24"/>
          <w:szCs w:val="24"/>
        </w:rPr>
        <w:t xml:space="preserve"> </w:t>
      </w:r>
    </w:p>
    <w:p w:rsidR="00D007C7" w:rsidRDefault="00183CFB" w:rsidP="00DA2247">
      <w:pPr>
        <w:suppressAutoHyphens/>
        <w:spacing w:line="360" w:lineRule="auto"/>
        <w:jc w:val="both"/>
        <w:rPr>
          <w:sz w:val="24"/>
          <w:szCs w:val="24"/>
        </w:rPr>
      </w:pPr>
      <w:r w:rsidRPr="00F96E97">
        <w:rPr>
          <w:sz w:val="24"/>
          <w:szCs w:val="24"/>
        </w:rPr>
        <w:t>On the other hand</w:t>
      </w:r>
      <w:r w:rsidR="00D3449F" w:rsidRPr="00F96E97">
        <w:rPr>
          <w:sz w:val="24"/>
          <w:szCs w:val="24"/>
        </w:rPr>
        <w:t>, the effects</w:t>
      </w:r>
      <w:r w:rsidR="00DA2247" w:rsidRPr="00F96E97">
        <w:rPr>
          <w:sz w:val="24"/>
          <w:szCs w:val="24"/>
        </w:rPr>
        <w:t xml:space="preserve"> of </w:t>
      </w:r>
      <w:r w:rsidR="005A408B" w:rsidRPr="00F96E97">
        <w:rPr>
          <w:sz w:val="24"/>
          <w:szCs w:val="24"/>
        </w:rPr>
        <w:t xml:space="preserve">dwell time, consumer </w:t>
      </w:r>
      <w:r w:rsidR="00DA2247" w:rsidRPr="00F96E97">
        <w:rPr>
          <w:sz w:val="24"/>
          <w:szCs w:val="24"/>
        </w:rPr>
        <w:t xml:space="preserve">innovativeness, </w:t>
      </w:r>
      <w:r w:rsidRPr="00F96E97">
        <w:rPr>
          <w:sz w:val="24"/>
          <w:szCs w:val="24"/>
        </w:rPr>
        <w:t xml:space="preserve">and </w:t>
      </w:r>
      <w:r w:rsidR="00DA2247" w:rsidRPr="00F96E97">
        <w:rPr>
          <w:sz w:val="24"/>
          <w:szCs w:val="24"/>
        </w:rPr>
        <w:t xml:space="preserve">product involvement are </w:t>
      </w:r>
      <w:r w:rsidRPr="00F96E97">
        <w:rPr>
          <w:sz w:val="24"/>
          <w:szCs w:val="24"/>
        </w:rPr>
        <w:t xml:space="preserve">surprisingly </w:t>
      </w:r>
      <w:r w:rsidR="00DA2247" w:rsidRPr="00F96E97">
        <w:rPr>
          <w:sz w:val="24"/>
          <w:szCs w:val="24"/>
        </w:rPr>
        <w:t>found to be negative</w:t>
      </w:r>
      <w:r w:rsidRPr="00F96E97">
        <w:rPr>
          <w:sz w:val="24"/>
          <w:szCs w:val="24"/>
        </w:rPr>
        <w:t xml:space="preserve"> on consumers’ purchase likelihood</w:t>
      </w:r>
      <w:r w:rsidR="00DE5DF4" w:rsidRPr="00F96E97">
        <w:rPr>
          <w:sz w:val="24"/>
          <w:szCs w:val="24"/>
        </w:rPr>
        <w:t>, as well as the effects of regions A and D dummies</w:t>
      </w:r>
      <w:r w:rsidR="00DA2247" w:rsidRPr="00F96E97">
        <w:rPr>
          <w:sz w:val="24"/>
          <w:szCs w:val="24"/>
        </w:rPr>
        <w:t>.</w:t>
      </w:r>
      <w:r w:rsidR="00387360" w:rsidRPr="00F96E97">
        <w:rPr>
          <w:sz w:val="24"/>
          <w:szCs w:val="24"/>
        </w:rPr>
        <w:t xml:space="preserve"> </w:t>
      </w:r>
      <w:r w:rsidR="000624F7" w:rsidRPr="00F96E97">
        <w:rPr>
          <w:sz w:val="24"/>
          <w:szCs w:val="24"/>
        </w:rPr>
        <w:t>An</w:t>
      </w:r>
      <w:r w:rsidR="00387360" w:rsidRPr="00F96E97">
        <w:rPr>
          <w:sz w:val="24"/>
          <w:szCs w:val="24"/>
        </w:rPr>
        <w:t xml:space="preserve"> explanation </w:t>
      </w:r>
      <w:r w:rsidR="000624F7" w:rsidRPr="00F96E97">
        <w:rPr>
          <w:sz w:val="24"/>
          <w:szCs w:val="24"/>
        </w:rPr>
        <w:t xml:space="preserve">for the effect of dwell time </w:t>
      </w:r>
      <w:r w:rsidR="00155999" w:rsidRPr="00F96E97">
        <w:rPr>
          <w:sz w:val="24"/>
          <w:szCs w:val="24"/>
        </w:rPr>
        <w:t>is</w:t>
      </w:r>
      <w:r w:rsidR="000624F7" w:rsidRPr="00F96E97">
        <w:rPr>
          <w:sz w:val="24"/>
          <w:szCs w:val="24"/>
        </w:rPr>
        <w:t xml:space="preserve"> that longer time spent in the store may signal browsing shopping behavior in which a consumer engages when she/he is searching for the information for her/his future purchase, resulting in no purchase </w:t>
      </w:r>
      <w:r w:rsidR="000624F7" w:rsidRPr="00F96E97">
        <w:rPr>
          <w:sz w:val="24"/>
          <w:szCs w:val="24"/>
          <w:lang w:bidi="th-TH"/>
        </w:rPr>
        <w:t>in that particular trip</w:t>
      </w:r>
      <w:r w:rsidR="000624F7" w:rsidRPr="00F96E97">
        <w:rPr>
          <w:sz w:val="24"/>
          <w:szCs w:val="24"/>
        </w:rPr>
        <w:t>. With respect to the</w:t>
      </w:r>
      <w:r w:rsidR="00155999" w:rsidRPr="00F96E97">
        <w:rPr>
          <w:sz w:val="24"/>
          <w:szCs w:val="24"/>
        </w:rPr>
        <w:t xml:space="preserve"> effect of innovativeness, it could</w:t>
      </w:r>
      <w:r w:rsidR="000624F7" w:rsidRPr="00F96E97">
        <w:rPr>
          <w:sz w:val="24"/>
          <w:szCs w:val="24"/>
        </w:rPr>
        <w:t xml:space="preserve"> be the fact that</w:t>
      </w:r>
      <w:r w:rsidR="001E1B3C" w:rsidRPr="00F96E97">
        <w:rPr>
          <w:sz w:val="24"/>
          <w:szCs w:val="24"/>
        </w:rPr>
        <w:t xml:space="preserve"> the products offered in this particular store are</w:t>
      </w:r>
      <w:r w:rsidR="000624F7" w:rsidRPr="00F96E97">
        <w:rPr>
          <w:sz w:val="24"/>
          <w:szCs w:val="24"/>
        </w:rPr>
        <w:t xml:space="preserve"> jeans </w:t>
      </w:r>
      <w:r w:rsidR="001E1B3C" w:rsidRPr="00F96E97">
        <w:rPr>
          <w:sz w:val="24"/>
          <w:szCs w:val="24"/>
        </w:rPr>
        <w:t xml:space="preserve">and classic clothing </w:t>
      </w:r>
      <w:r w:rsidR="000624F7" w:rsidRPr="00F96E97">
        <w:rPr>
          <w:sz w:val="24"/>
          <w:szCs w:val="24"/>
        </w:rPr>
        <w:t xml:space="preserve">which </w:t>
      </w:r>
      <w:r w:rsidR="001E1B3C" w:rsidRPr="00F96E97">
        <w:rPr>
          <w:sz w:val="24"/>
          <w:szCs w:val="24"/>
        </w:rPr>
        <w:t>are</w:t>
      </w:r>
      <w:r w:rsidR="000624F7" w:rsidRPr="00F96E97">
        <w:rPr>
          <w:sz w:val="24"/>
          <w:szCs w:val="24"/>
        </w:rPr>
        <w:t xml:space="preserve"> </w:t>
      </w:r>
      <w:r w:rsidR="001E1B3C" w:rsidRPr="00F96E97">
        <w:rPr>
          <w:sz w:val="24"/>
          <w:szCs w:val="24"/>
        </w:rPr>
        <w:t xml:space="preserve">wearable over a period of time, thus their new arrival items may not display the most fashion forward style. </w:t>
      </w:r>
      <w:r w:rsidR="00155999" w:rsidRPr="00F96E97">
        <w:rPr>
          <w:sz w:val="24"/>
          <w:szCs w:val="24"/>
        </w:rPr>
        <w:t>For the effect of product involvement, a possible reason could be that when a person spends too much time in the fitting room, she/he may be hesitated if that particular item</w:t>
      </w:r>
      <w:r w:rsidR="00A75D21" w:rsidRPr="00F96E97">
        <w:rPr>
          <w:sz w:val="24"/>
          <w:szCs w:val="24"/>
        </w:rPr>
        <w:t xml:space="preserve"> would fit</w:t>
      </w:r>
      <w:r w:rsidR="00155999" w:rsidRPr="00F96E97">
        <w:rPr>
          <w:sz w:val="24"/>
          <w:szCs w:val="24"/>
        </w:rPr>
        <w:t xml:space="preserve"> her/him</w:t>
      </w:r>
      <w:r w:rsidR="00A75D21" w:rsidRPr="00F96E97">
        <w:rPr>
          <w:sz w:val="24"/>
          <w:szCs w:val="24"/>
        </w:rPr>
        <w:t xml:space="preserve"> well</w:t>
      </w:r>
      <w:r w:rsidR="00155999" w:rsidRPr="00F96E97">
        <w:rPr>
          <w:sz w:val="24"/>
          <w:szCs w:val="24"/>
        </w:rPr>
        <w:t xml:space="preserve">. With such case, it </w:t>
      </w:r>
      <w:r w:rsidR="00D007C7" w:rsidRPr="00F96E97">
        <w:rPr>
          <w:sz w:val="24"/>
          <w:szCs w:val="24"/>
        </w:rPr>
        <w:t>is most likely to result in</w:t>
      </w:r>
      <w:r w:rsidR="00155999" w:rsidRPr="00F96E97">
        <w:rPr>
          <w:sz w:val="24"/>
          <w:szCs w:val="24"/>
        </w:rPr>
        <w:t xml:space="preserve"> no purchase</w:t>
      </w:r>
      <w:r w:rsidR="00D007C7" w:rsidRPr="00F96E97">
        <w:rPr>
          <w:sz w:val="24"/>
          <w:szCs w:val="24"/>
        </w:rPr>
        <w:t xml:space="preserve"> since one may acknowledge in no time when she/he puts on the right clothes.</w:t>
      </w:r>
      <w:r w:rsidR="00D007C7">
        <w:rPr>
          <w:sz w:val="24"/>
          <w:szCs w:val="24"/>
        </w:rPr>
        <w:t xml:space="preserve"> </w:t>
      </w:r>
    </w:p>
    <w:p w:rsidR="00DA2247" w:rsidRPr="009E5B5E" w:rsidRDefault="00DA2247" w:rsidP="00DA2247">
      <w:pPr>
        <w:suppressAutoHyphens/>
        <w:spacing w:line="360" w:lineRule="auto"/>
        <w:jc w:val="both"/>
        <w:rPr>
          <w:sz w:val="24"/>
          <w:szCs w:val="24"/>
        </w:rPr>
      </w:pPr>
      <w:r w:rsidRPr="009E5B5E">
        <w:rPr>
          <w:sz w:val="24"/>
          <w:szCs w:val="24"/>
        </w:rPr>
        <w:lastRenderedPageBreak/>
        <w:t>As the results remain stable between the two dataset, it can be deduced that the results of general model were likely to be robust. In sum, the results of general model do not support hypothesis 1 and 2 (H1 and H2 are rejected).</w:t>
      </w:r>
    </w:p>
    <w:p w:rsidR="00DA2247" w:rsidRPr="009E5B5E" w:rsidRDefault="00DA2247" w:rsidP="00155999">
      <w:pPr>
        <w:rPr>
          <w:sz w:val="24"/>
          <w:szCs w:val="24"/>
        </w:rPr>
      </w:pPr>
      <w:r w:rsidRPr="009E5B5E">
        <w:rPr>
          <w:sz w:val="24"/>
          <w:szCs w:val="24"/>
        </w:rPr>
        <w:t xml:space="preserve">Table 8: Logistic regression analysis of general model - original dataset </w:t>
      </w:r>
    </w:p>
    <w:tbl>
      <w:tblPr>
        <w:tblW w:w="9781" w:type="dxa"/>
        <w:tblLayout w:type="fixed"/>
        <w:tblLook w:val="04A0"/>
      </w:tblPr>
      <w:tblGrid>
        <w:gridCol w:w="3544"/>
        <w:gridCol w:w="2126"/>
        <w:gridCol w:w="2127"/>
        <w:gridCol w:w="1984"/>
      </w:tblGrid>
      <w:tr w:rsidR="00DA2247" w:rsidRPr="009E5B5E" w:rsidTr="005A408B">
        <w:trPr>
          <w:trHeight w:val="87"/>
        </w:trPr>
        <w:tc>
          <w:tcPr>
            <w:tcW w:w="9781" w:type="dxa"/>
            <w:gridSpan w:val="4"/>
            <w:tcBorders>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i/>
                <w:iCs/>
                <w:color w:val="000000"/>
              </w:rPr>
            </w:pPr>
            <w:r w:rsidRPr="009E5B5E">
              <w:rPr>
                <w:rFonts w:cs="Arial"/>
                <w:i/>
                <w:iCs/>
                <w:color w:val="000000"/>
              </w:rPr>
              <w:t>Dependent Variable: purchase incidence BUY(1)</w:t>
            </w:r>
          </w:p>
        </w:tc>
      </w:tr>
      <w:tr w:rsidR="00DA2247" w:rsidRPr="009E5B5E" w:rsidTr="005A408B">
        <w:trPr>
          <w:trHeight w:val="279"/>
        </w:trPr>
        <w:tc>
          <w:tcPr>
            <w:tcW w:w="3544" w:type="dxa"/>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Variable</w:t>
            </w:r>
          </w:p>
        </w:tc>
        <w:tc>
          <w:tcPr>
            <w:tcW w:w="2126" w:type="dxa"/>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Coefficient</w:t>
            </w:r>
          </w:p>
        </w:tc>
        <w:tc>
          <w:tcPr>
            <w:tcW w:w="2127" w:type="dxa"/>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Standard Error</w:t>
            </w:r>
          </w:p>
        </w:tc>
        <w:tc>
          <w:tcPr>
            <w:tcW w:w="1984" w:type="dxa"/>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Exp(B)</w:t>
            </w:r>
          </w:p>
        </w:tc>
      </w:tr>
      <w:tr w:rsidR="00DA2247" w:rsidRPr="009E5B5E" w:rsidTr="005A408B">
        <w:trPr>
          <w:trHeight w:val="279"/>
        </w:trPr>
        <w:tc>
          <w:tcPr>
            <w:tcW w:w="3544" w:type="dxa"/>
            <w:tcBorders>
              <w:top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Sale</w:t>
            </w:r>
          </w:p>
        </w:tc>
        <w:tc>
          <w:tcPr>
            <w:tcW w:w="2126" w:type="dxa"/>
            <w:tcBorders>
              <w:top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.033</w:t>
            </w:r>
          </w:p>
        </w:tc>
        <w:tc>
          <w:tcPr>
            <w:tcW w:w="2127" w:type="dxa"/>
            <w:tcBorders>
              <w:top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.087</w:t>
            </w:r>
          </w:p>
        </w:tc>
        <w:tc>
          <w:tcPr>
            <w:tcW w:w="1984" w:type="dxa"/>
            <w:tcBorders>
              <w:top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1.033</w:t>
            </w:r>
          </w:p>
        </w:tc>
      </w:tr>
      <w:tr w:rsidR="00DA2247" w:rsidRPr="009E5B5E" w:rsidTr="005A408B">
        <w:trPr>
          <w:trHeight w:val="118"/>
        </w:trPr>
        <w:tc>
          <w:tcPr>
            <w:tcW w:w="3544" w:type="dxa"/>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Display renewal</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-.048</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.125</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.953</w:t>
            </w:r>
          </w:p>
        </w:tc>
      </w:tr>
      <w:tr w:rsidR="00DA2247" w:rsidRPr="009E5B5E" w:rsidTr="005A408B">
        <w:trPr>
          <w:trHeight w:val="118"/>
        </w:trPr>
        <w:tc>
          <w:tcPr>
            <w:tcW w:w="3544" w:type="dxa"/>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Product relocation</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.091</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.091</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1.095</w:t>
            </w:r>
          </w:p>
        </w:tc>
      </w:tr>
      <w:tr w:rsidR="00DA2247" w:rsidRPr="009E5B5E" w:rsidTr="005A408B">
        <w:trPr>
          <w:trHeight w:val="118"/>
        </w:trPr>
        <w:tc>
          <w:tcPr>
            <w:tcW w:w="3544" w:type="dxa"/>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Friend(s)</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-.095</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.079</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.910</w:t>
            </w:r>
          </w:p>
        </w:tc>
      </w:tr>
      <w:tr w:rsidR="00DA2247" w:rsidRPr="009E5B5E" w:rsidTr="005A408B">
        <w:trPr>
          <w:trHeight w:val="118"/>
        </w:trPr>
        <w:tc>
          <w:tcPr>
            <w:tcW w:w="3544" w:type="dxa"/>
          </w:tcPr>
          <w:p w:rsidR="00DA2247" w:rsidRPr="009E5B5E" w:rsidRDefault="00DA2247" w:rsidP="005A408B">
            <w:pPr>
              <w:autoSpaceDE w:val="0"/>
              <w:autoSpaceDN w:val="0"/>
              <w:adjustRightInd w:val="0"/>
              <w:spacing w:after="0" w:line="320" w:lineRule="atLeast"/>
              <w:ind w:left="60" w:right="60"/>
              <w:rPr>
                <w:rFonts w:cs="Arial"/>
                <w:b/>
                <w:bCs/>
                <w:color w:val="000000"/>
              </w:rPr>
            </w:pPr>
            <w:r w:rsidRPr="009E5B5E">
              <w:rPr>
                <w:rFonts w:cs="Arial"/>
                <w:b/>
                <w:bCs/>
                <w:color w:val="000000"/>
              </w:rPr>
              <w:t>Dwell time</w:t>
            </w:r>
            <w:r>
              <w:rPr>
                <w:rStyle w:val="FootnoteReference"/>
                <w:rFonts w:cs="Arial"/>
                <w:b/>
                <w:bCs/>
                <w:color w:val="000000"/>
              </w:rPr>
              <w:footnoteReference w:id="8"/>
            </w:r>
            <w:r w:rsidRPr="009E5B5E">
              <w:rPr>
                <w:rFonts w:cs="Arial"/>
                <w:b/>
                <w:bCs/>
                <w:color w:val="000000"/>
              </w:rPr>
              <w:t xml:space="preserve"> ***</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b/>
                <w:bCs/>
                <w:color w:val="000000"/>
              </w:rPr>
            </w:pPr>
            <w:r>
              <w:rPr>
                <w:rFonts w:cs="Arial"/>
                <w:b/>
                <w:bCs/>
                <w:color w:val="000000"/>
              </w:rPr>
              <w:t>-.452</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b/>
                <w:bCs/>
                <w:color w:val="000000"/>
              </w:rPr>
            </w:pPr>
            <w:r>
              <w:rPr>
                <w:rFonts w:cs="Arial"/>
                <w:b/>
                <w:bCs/>
                <w:color w:val="000000"/>
              </w:rPr>
              <w:t>.081</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b/>
                <w:bCs/>
                <w:color w:val="000000"/>
              </w:rPr>
            </w:pPr>
            <w:r>
              <w:rPr>
                <w:rFonts w:cs="Arial"/>
                <w:b/>
                <w:bCs/>
                <w:color w:val="000000"/>
              </w:rPr>
              <w:t>0.636</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Employee contact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.194</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0.80</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1.214</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Consumer innovativeness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-.454</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.174</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.635</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Product involvement*</w:t>
            </w:r>
            <w:r>
              <w:rPr>
                <w:rFonts w:cs="Arial"/>
                <w:b/>
                <w:bCs/>
                <w:color w:val="000000"/>
              </w:rPr>
              <w:t>*</w:t>
            </w:r>
            <w:r w:rsidRPr="009E5B5E">
              <w:rPr>
                <w:rFonts w:cs="Arial"/>
                <w:b/>
                <w:bCs/>
                <w:color w:val="000000"/>
              </w:rPr>
              <w:t>*</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b/>
                <w:bCs/>
                <w:color w:val="000000"/>
              </w:rPr>
              <w:t>-3.088</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b/>
                <w:bCs/>
                <w:color w:val="000000"/>
              </w:rPr>
              <w:t>.748</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.046</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color w:val="000000"/>
              </w:rPr>
              <w:t>New arrivals</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color w:val="000000"/>
              </w:rPr>
              <w:t>.078</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color w:val="000000"/>
              </w:rPr>
              <w:t>.091</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color w:val="000000"/>
              </w:rPr>
              <w:t>1.081</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Region A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-3.659</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.199</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b/>
                <w:bCs/>
                <w:color w:val="000000"/>
              </w:rPr>
              <w:t>.026</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b/>
                <w:bCs/>
                <w:color w:val="000000"/>
              </w:rPr>
              <w:t>Region B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1.815</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.180</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6.140</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b/>
                <w:bCs/>
                <w:color w:val="000000"/>
              </w:rPr>
              <w:t>Region C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b/>
                <w:bCs/>
                <w:color w:val="000000"/>
              </w:rPr>
              <w:t>.822</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b/>
                <w:bCs/>
                <w:color w:val="000000"/>
              </w:rPr>
              <w:t>.142</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b/>
                <w:bCs/>
                <w:color w:val="000000"/>
              </w:rPr>
              <w:t>2.276</w:t>
            </w:r>
          </w:p>
        </w:tc>
      </w:tr>
      <w:tr w:rsidR="00AE0B66" w:rsidRPr="009E5B5E" w:rsidTr="005A408B">
        <w:trPr>
          <w:trHeight w:val="118"/>
        </w:trPr>
        <w:tc>
          <w:tcPr>
            <w:tcW w:w="3544" w:type="dxa"/>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b/>
                <w:bCs/>
                <w:color w:val="000000"/>
              </w:rPr>
              <w:t>Region D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color w:val="000000"/>
              </w:rPr>
            </w:pPr>
            <w:r w:rsidRPr="009E5B5E">
              <w:rPr>
                <w:rFonts w:cs="Arial"/>
                <w:b/>
                <w:bCs/>
                <w:color w:val="000000"/>
              </w:rPr>
              <w:t>-.941</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.107</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.390</w:t>
            </w:r>
          </w:p>
        </w:tc>
      </w:tr>
      <w:tr w:rsidR="00AE0B66" w:rsidRPr="009E5B5E" w:rsidTr="005A408B">
        <w:trPr>
          <w:trHeight w:val="118"/>
        </w:trPr>
        <w:tc>
          <w:tcPr>
            <w:tcW w:w="3544"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Constant ***</w:t>
            </w:r>
          </w:p>
        </w:tc>
        <w:tc>
          <w:tcPr>
            <w:tcW w:w="2126"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-1.335</w:t>
            </w:r>
          </w:p>
        </w:tc>
        <w:tc>
          <w:tcPr>
            <w:tcW w:w="2127"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.263</w:t>
            </w:r>
          </w:p>
        </w:tc>
        <w:tc>
          <w:tcPr>
            <w:tcW w:w="1984"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.263</w:t>
            </w:r>
          </w:p>
        </w:tc>
      </w:tr>
      <w:tr w:rsidR="00AE0B66" w:rsidRPr="009E5B5E" w:rsidTr="005A408B">
        <w:trPr>
          <w:trHeight w:val="562"/>
        </w:trPr>
        <w:tc>
          <w:tcPr>
            <w:tcW w:w="9781" w:type="dxa"/>
            <w:gridSpan w:val="4"/>
            <w:tcBorders>
              <w:top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color w:val="000000"/>
              </w:rPr>
              <w:t>Significance level: *** p &lt;= 0.01; ** 0.01 &lt; p &lt;= 0.05; * 0.05 &lt; p &lt;= 0.10</w:t>
            </w:r>
          </w:p>
        </w:tc>
      </w:tr>
    </w:tbl>
    <w:p w:rsidR="00DA2247" w:rsidRPr="009E5B5E" w:rsidRDefault="00DA2247" w:rsidP="00DA2247">
      <w:pPr>
        <w:suppressAutoHyphens/>
        <w:spacing w:line="240" w:lineRule="auto"/>
        <w:jc w:val="both"/>
        <w:rPr>
          <w:sz w:val="24"/>
          <w:szCs w:val="24"/>
        </w:rPr>
      </w:pPr>
      <w:r w:rsidRPr="009E5B5E">
        <w:rPr>
          <w:sz w:val="24"/>
          <w:szCs w:val="24"/>
        </w:rPr>
        <w:t>Table 9: Logistic regre</w:t>
      </w:r>
      <w:r w:rsidR="00884154">
        <w:rPr>
          <w:sz w:val="24"/>
          <w:szCs w:val="24"/>
        </w:rPr>
        <w:t>ssion analysis of general model</w:t>
      </w:r>
      <w:r w:rsidRPr="009E5B5E">
        <w:rPr>
          <w:sz w:val="24"/>
          <w:szCs w:val="24"/>
        </w:rPr>
        <w:t>- reduced dataset</w:t>
      </w:r>
      <w:r w:rsidR="00884154">
        <w:rPr>
          <w:sz w:val="24"/>
          <w:szCs w:val="24"/>
        </w:rPr>
        <w:t xml:space="preserve"> (continue on next page)</w:t>
      </w:r>
    </w:p>
    <w:tbl>
      <w:tblPr>
        <w:tblW w:w="9869" w:type="dxa"/>
        <w:tblInd w:w="-108" w:type="dxa"/>
        <w:tblLayout w:type="fixed"/>
        <w:tblCellMar>
          <w:left w:w="0" w:type="dxa"/>
          <w:right w:w="0" w:type="dxa"/>
        </w:tblCellMar>
        <w:tblLook w:val="0000"/>
      </w:tblPr>
      <w:tblGrid>
        <w:gridCol w:w="108"/>
        <w:gridCol w:w="3436"/>
        <w:gridCol w:w="2126"/>
        <w:gridCol w:w="2127"/>
        <w:gridCol w:w="1984"/>
        <w:gridCol w:w="88"/>
      </w:tblGrid>
      <w:tr w:rsidR="00DA2247" w:rsidRPr="009E5B5E" w:rsidTr="00884154">
        <w:trPr>
          <w:gridBefore w:val="1"/>
          <w:wBefore w:w="108" w:type="dxa"/>
          <w:cantSplit/>
          <w:trHeight w:val="339"/>
          <w:tblHeader/>
        </w:trPr>
        <w:tc>
          <w:tcPr>
            <w:tcW w:w="9761" w:type="dxa"/>
            <w:gridSpan w:val="5"/>
            <w:shd w:val="clear" w:color="auto" w:fill="FFFFFF"/>
            <w:vAlign w:val="center"/>
          </w:tcPr>
          <w:p w:rsidR="00DA2247" w:rsidRPr="009E5B5E" w:rsidRDefault="00DA2247" w:rsidP="005A408B">
            <w:pPr>
              <w:autoSpaceDE w:val="0"/>
              <w:autoSpaceDN w:val="0"/>
              <w:adjustRightInd w:val="0"/>
              <w:spacing w:after="0" w:line="320" w:lineRule="atLeast"/>
              <w:ind w:left="60" w:right="60"/>
              <w:rPr>
                <w:rFonts w:cs="Arial"/>
                <w:i/>
                <w:iCs/>
                <w:color w:val="000000"/>
              </w:rPr>
            </w:pPr>
            <w:r w:rsidRPr="009E5B5E">
              <w:rPr>
                <w:rFonts w:cs="Arial"/>
                <w:i/>
                <w:iCs/>
                <w:color w:val="000000"/>
              </w:rPr>
              <w:t>Dependent Variable: purchase incidence BUY(1)</w:t>
            </w:r>
          </w:p>
        </w:tc>
      </w:tr>
      <w:tr w:rsidR="00DA2247" w:rsidRPr="009E5B5E" w:rsidTr="00884154">
        <w:tblPrEx>
          <w:tblCellMar>
            <w:left w:w="108" w:type="dxa"/>
            <w:right w:w="108" w:type="dxa"/>
          </w:tblCellMar>
          <w:tblLook w:val="04A0"/>
        </w:tblPrEx>
        <w:trPr>
          <w:gridAfter w:val="1"/>
          <w:wAfter w:w="88" w:type="dxa"/>
          <w:trHeight w:val="279"/>
        </w:trPr>
        <w:tc>
          <w:tcPr>
            <w:tcW w:w="3544" w:type="dxa"/>
            <w:gridSpan w:val="2"/>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Variable</w:t>
            </w:r>
          </w:p>
        </w:tc>
        <w:tc>
          <w:tcPr>
            <w:tcW w:w="2126" w:type="dxa"/>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Coefficient</w:t>
            </w:r>
          </w:p>
        </w:tc>
        <w:tc>
          <w:tcPr>
            <w:tcW w:w="2127" w:type="dxa"/>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Standard Error</w:t>
            </w:r>
          </w:p>
        </w:tc>
        <w:tc>
          <w:tcPr>
            <w:tcW w:w="1984" w:type="dxa"/>
            <w:tcBorders>
              <w:top w:val="single" w:sz="4" w:space="0" w:color="548DD4" w:themeColor="text2" w:themeTint="99"/>
              <w:bottom w:val="single" w:sz="4"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Exp(B)</w:t>
            </w:r>
          </w:p>
        </w:tc>
      </w:tr>
      <w:tr w:rsidR="00DA2247" w:rsidRPr="009E5B5E" w:rsidTr="00884154">
        <w:tblPrEx>
          <w:tblCellMar>
            <w:left w:w="108" w:type="dxa"/>
            <w:right w:w="108" w:type="dxa"/>
          </w:tblCellMar>
          <w:tblLook w:val="04A0"/>
        </w:tblPrEx>
        <w:trPr>
          <w:gridAfter w:val="1"/>
          <w:wAfter w:w="88" w:type="dxa"/>
          <w:trHeight w:val="279"/>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Sale</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.020</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.089</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1.020</w:t>
            </w:r>
          </w:p>
        </w:tc>
      </w:tr>
      <w:tr w:rsidR="00DA2247" w:rsidRPr="009E5B5E" w:rsidTr="005A408B">
        <w:tblPrEx>
          <w:tblCellMar>
            <w:left w:w="108" w:type="dxa"/>
            <w:right w:w="108" w:type="dxa"/>
          </w:tblCellMar>
          <w:tblLook w:val="04A0"/>
        </w:tblPrEx>
        <w:trPr>
          <w:gridAfter w:val="1"/>
          <w:wAfter w:w="88" w:type="dxa"/>
          <w:trHeight w:val="118"/>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Display renewal</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-.017</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.127</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.983</w:t>
            </w:r>
          </w:p>
        </w:tc>
      </w:tr>
      <w:tr w:rsidR="00DA2247" w:rsidRPr="009E5B5E" w:rsidTr="005A408B">
        <w:tblPrEx>
          <w:tblCellMar>
            <w:left w:w="108" w:type="dxa"/>
            <w:right w:w="108" w:type="dxa"/>
          </w:tblCellMar>
          <w:tblLook w:val="04A0"/>
        </w:tblPrEx>
        <w:trPr>
          <w:gridAfter w:val="1"/>
          <w:wAfter w:w="88" w:type="dxa"/>
          <w:trHeight w:val="118"/>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Product relocation</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.072</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.093</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1.075</w:t>
            </w:r>
          </w:p>
        </w:tc>
      </w:tr>
      <w:tr w:rsidR="00DA2247" w:rsidRPr="009E5B5E" w:rsidTr="005A408B">
        <w:tblPrEx>
          <w:tblCellMar>
            <w:left w:w="108" w:type="dxa"/>
            <w:right w:w="108" w:type="dxa"/>
          </w:tblCellMar>
          <w:tblLook w:val="04A0"/>
        </w:tblPrEx>
        <w:trPr>
          <w:gridAfter w:val="1"/>
          <w:wAfter w:w="88" w:type="dxa"/>
          <w:trHeight w:val="118"/>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Friend(s)</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-.099</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.080</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.906</w:t>
            </w:r>
          </w:p>
        </w:tc>
      </w:tr>
      <w:tr w:rsidR="00DA2247" w:rsidRPr="009E5B5E" w:rsidTr="005A408B">
        <w:tblPrEx>
          <w:tblCellMar>
            <w:left w:w="108" w:type="dxa"/>
            <w:right w:w="108" w:type="dxa"/>
          </w:tblCellMar>
          <w:tblLook w:val="04A0"/>
        </w:tblPrEx>
        <w:trPr>
          <w:gridAfter w:val="1"/>
          <w:wAfter w:w="88" w:type="dxa"/>
          <w:trHeight w:val="118"/>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b/>
                <w:bCs/>
                <w:color w:val="000000"/>
              </w:rPr>
            </w:pPr>
            <w:r w:rsidRPr="009E5B5E">
              <w:rPr>
                <w:rFonts w:cs="Arial"/>
                <w:b/>
                <w:bCs/>
                <w:color w:val="000000"/>
              </w:rPr>
              <w:t xml:space="preserve">Dwell time </w:t>
            </w:r>
            <w:r>
              <w:rPr>
                <w:rStyle w:val="FootnoteReference"/>
                <w:rFonts w:cs="Arial"/>
                <w:b/>
                <w:bCs/>
                <w:color w:val="000000"/>
              </w:rPr>
              <w:footnoteReference w:id="9"/>
            </w:r>
            <w:r w:rsidRPr="009E5B5E">
              <w:rPr>
                <w:rFonts w:cs="Arial"/>
                <w:b/>
                <w:bCs/>
                <w:color w:val="000000"/>
              </w:rPr>
              <w:t>***</w:t>
            </w:r>
          </w:p>
        </w:tc>
        <w:tc>
          <w:tcPr>
            <w:tcW w:w="2126" w:type="dxa"/>
          </w:tcPr>
          <w:p w:rsidR="00DA2247" w:rsidRPr="009E5B5E" w:rsidRDefault="00DA2247" w:rsidP="005A408B">
            <w:pPr>
              <w:autoSpaceDE w:val="0"/>
              <w:autoSpaceDN w:val="0"/>
              <w:adjustRightInd w:val="0"/>
              <w:spacing w:after="0" w:line="320" w:lineRule="atLeast"/>
              <w:ind w:left="60" w:right="60"/>
              <w:jc w:val="right"/>
              <w:rPr>
                <w:rFonts w:cs="Arial"/>
                <w:b/>
                <w:bCs/>
                <w:color w:val="000000"/>
              </w:rPr>
            </w:pPr>
            <w:r>
              <w:rPr>
                <w:rFonts w:cs="Arial"/>
                <w:b/>
                <w:bCs/>
                <w:color w:val="000000"/>
              </w:rPr>
              <w:t>-.444</w:t>
            </w:r>
          </w:p>
        </w:tc>
        <w:tc>
          <w:tcPr>
            <w:tcW w:w="2127" w:type="dxa"/>
          </w:tcPr>
          <w:p w:rsidR="00DA2247" w:rsidRPr="009E5B5E" w:rsidRDefault="00DA2247" w:rsidP="005A408B">
            <w:pPr>
              <w:autoSpaceDE w:val="0"/>
              <w:autoSpaceDN w:val="0"/>
              <w:adjustRightInd w:val="0"/>
              <w:spacing w:after="0" w:line="320" w:lineRule="atLeast"/>
              <w:ind w:left="60" w:right="60"/>
              <w:jc w:val="right"/>
              <w:rPr>
                <w:rFonts w:cs="Arial"/>
                <w:b/>
                <w:bCs/>
                <w:color w:val="000000"/>
              </w:rPr>
            </w:pPr>
            <w:r>
              <w:rPr>
                <w:rFonts w:cs="Arial"/>
                <w:b/>
                <w:bCs/>
                <w:color w:val="000000"/>
              </w:rPr>
              <w:t>.088</w:t>
            </w:r>
          </w:p>
        </w:tc>
        <w:tc>
          <w:tcPr>
            <w:tcW w:w="1984" w:type="dxa"/>
          </w:tcPr>
          <w:p w:rsidR="00DA2247" w:rsidRPr="009E5B5E" w:rsidRDefault="00DA2247" w:rsidP="005A408B">
            <w:pPr>
              <w:autoSpaceDE w:val="0"/>
              <w:autoSpaceDN w:val="0"/>
              <w:adjustRightInd w:val="0"/>
              <w:spacing w:after="0" w:line="320" w:lineRule="atLeast"/>
              <w:ind w:left="60" w:right="60"/>
              <w:jc w:val="right"/>
              <w:rPr>
                <w:rFonts w:cs="Arial"/>
                <w:b/>
                <w:bCs/>
                <w:color w:val="000000"/>
              </w:rPr>
            </w:pPr>
            <w:r>
              <w:rPr>
                <w:rFonts w:cs="Arial"/>
                <w:b/>
                <w:bCs/>
                <w:color w:val="000000"/>
              </w:rPr>
              <w:t>.642</w:t>
            </w:r>
          </w:p>
        </w:tc>
      </w:tr>
      <w:tr w:rsidR="00AE0B66" w:rsidRPr="009E5B5E" w:rsidTr="005A408B">
        <w:tblPrEx>
          <w:tblCellMar>
            <w:left w:w="108" w:type="dxa"/>
            <w:right w:w="108" w:type="dxa"/>
          </w:tblCellMar>
          <w:tblLook w:val="04A0"/>
        </w:tblPrEx>
        <w:trPr>
          <w:gridAfter w:val="1"/>
          <w:wAfter w:w="88" w:type="dxa"/>
          <w:trHeight w:val="118"/>
        </w:trPr>
        <w:tc>
          <w:tcPr>
            <w:tcW w:w="3544" w:type="dxa"/>
            <w:gridSpan w:val="2"/>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Employee contact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.184</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.082</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1.202</w:t>
            </w:r>
          </w:p>
        </w:tc>
      </w:tr>
      <w:tr w:rsidR="00AE0B66" w:rsidRPr="009E5B5E" w:rsidTr="005A408B">
        <w:tblPrEx>
          <w:tblCellMar>
            <w:left w:w="108" w:type="dxa"/>
            <w:right w:w="108" w:type="dxa"/>
          </w:tblCellMar>
          <w:tblLook w:val="04A0"/>
        </w:tblPrEx>
        <w:trPr>
          <w:gridAfter w:val="1"/>
          <w:wAfter w:w="88" w:type="dxa"/>
          <w:trHeight w:val="118"/>
        </w:trPr>
        <w:tc>
          <w:tcPr>
            <w:tcW w:w="3544" w:type="dxa"/>
            <w:gridSpan w:val="2"/>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Consumer innovativeness **</w:t>
            </w:r>
          </w:p>
        </w:tc>
        <w:tc>
          <w:tcPr>
            <w:tcW w:w="2126" w:type="dxa"/>
          </w:tcPr>
          <w:p w:rsidR="00AE0B66" w:rsidRPr="00DA2247" w:rsidRDefault="00AE0B66" w:rsidP="005A408B">
            <w:pPr>
              <w:autoSpaceDE w:val="0"/>
              <w:autoSpaceDN w:val="0"/>
              <w:adjustRightInd w:val="0"/>
              <w:spacing w:after="0" w:line="320" w:lineRule="atLeast"/>
              <w:ind w:left="60" w:right="60"/>
              <w:jc w:val="right"/>
              <w:rPr>
                <w:rFonts w:cs="Arial"/>
                <w:b/>
                <w:bCs/>
                <w:color w:val="000000"/>
              </w:rPr>
            </w:pPr>
            <w:r w:rsidRPr="00DA2247">
              <w:rPr>
                <w:rFonts w:cs="Arial"/>
                <w:b/>
                <w:bCs/>
                <w:color w:val="000000"/>
              </w:rPr>
              <w:t>-.467</w:t>
            </w:r>
          </w:p>
        </w:tc>
        <w:tc>
          <w:tcPr>
            <w:tcW w:w="2127" w:type="dxa"/>
          </w:tcPr>
          <w:p w:rsidR="00AE0B66" w:rsidRPr="00DA2247" w:rsidRDefault="00AE0B66" w:rsidP="005A408B">
            <w:pPr>
              <w:autoSpaceDE w:val="0"/>
              <w:autoSpaceDN w:val="0"/>
              <w:adjustRightInd w:val="0"/>
              <w:spacing w:after="0" w:line="320" w:lineRule="atLeast"/>
              <w:ind w:left="60" w:right="60"/>
              <w:jc w:val="right"/>
              <w:rPr>
                <w:rFonts w:cs="Arial"/>
                <w:b/>
                <w:bCs/>
                <w:color w:val="000000"/>
              </w:rPr>
            </w:pPr>
            <w:r w:rsidRPr="00DA2247">
              <w:rPr>
                <w:rFonts w:cs="Arial"/>
                <w:b/>
                <w:bCs/>
                <w:color w:val="000000"/>
              </w:rPr>
              <w:t>.183</w:t>
            </w:r>
          </w:p>
        </w:tc>
        <w:tc>
          <w:tcPr>
            <w:tcW w:w="1984" w:type="dxa"/>
          </w:tcPr>
          <w:p w:rsidR="00AE0B66" w:rsidRPr="00DA2247" w:rsidRDefault="00AE0B66" w:rsidP="005A408B">
            <w:pPr>
              <w:autoSpaceDE w:val="0"/>
              <w:autoSpaceDN w:val="0"/>
              <w:adjustRightInd w:val="0"/>
              <w:spacing w:after="0" w:line="320" w:lineRule="atLeast"/>
              <w:ind w:left="60" w:right="60"/>
              <w:jc w:val="right"/>
              <w:rPr>
                <w:rFonts w:cs="Arial"/>
                <w:b/>
                <w:bCs/>
                <w:color w:val="000000"/>
              </w:rPr>
            </w:pPr>
            <w:r w:rsidRPr="00DA2247">
              <w:rPr>
                <w:rFonts w:cs="Arial"/>
                <w:b/>
                <w:bCs/>
                <w:color w:val="000000"/>
              </w:rPr>
              <w:t>.627</w:t>
            </w:r>
          </w:p>
        </w:tc>
      </w:tr>
      <w:tr w:rsidR="00AE0B66" w:rsidRPr="009E5B5E" w:rsidTr="005A408B">
        <w:tblPrEx>
          <w:tblCellMar>
            <w:left w:w="108" w:type="dxa"/>
            <w:right w:w="108" w:type="dxa"/>
          </w:tblCellMar>
          <w:tblLook w:val="04A0"/>
        </w:tblPrEx>
        <w:trPr>
          <w:gridAfter w:val="1"/>
          <w:wAfter w:w="88" w:type="dxa"/>
          <w:trHeight w:val="118"/>
        </w:trPr>
        <w:tc>
          <w:tcPr>
            <w:tcW w:w="3544" w:type="dxa"/>
            <w:gridSpan w:val="2"/>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Product involvement**</w:t>
            </w:r>
            <w:r>
              <w:rPr>
                <w:rFonts w:cs="Arial"/>
                <w:b/>
                <w:bCs/>
                <w:color w:val="000000"/>
              </w:rPr>
              <w:t>*</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-3.219</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.759</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.040</w:t>
            </w:r>
          </w:p>
        </w:tc>
      </w:tr>
      <w:tr w:rsidR="00AE0B66" w:rsidRPr="009E5B5E" w:rsidTr="005A408B">
        <w:tblPrEx>
          <w:tblCellMar>
            <w:left w:w="108" w:type="dxa"/>
            <w:right w:w="108" w:type="dxa"/>
          </w:tblCellMar>
          <w:tblLook w:val="04A0"/>
        </w:tblPrEx>
        <w:trPr>
          <w:gridAfter w:val="1"/>
          <w:wAfter w:w="88" w:type="dxa"/>
          <w:trHeight w:val="118"/>
        </w:trPr>
        <w:tc>
          <w:tcPr>
            <w:tcW w:w="3544" w:type="dxa"/>
            <w:gridSpan w:val="2"/>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color w:val="000000"/>
              </w:rPr>
              <w:t>New arrivals</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color w:val="000000"/>
              </w:rPr>
              <w:t>.084</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color w:val="000000"/>
              </w:rPr>
              <w:t>.093</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color w:val="000000"/>
              </w:rPr>
              <w:t>1.087</w:t>
            </w:r>
          </w:p>
        </w:tc>
      </w:tr>
      <w:tr w:rsidR="00AE0B66" w:rsidRPr="009E5B5E" w:rsidTr="00884154">
        <w:tblPrEx>
          <w:tblCellMar>
            <w:left w:w="108" w:type="dxa"/>
            <w:right w:w="108" w:type="dxa"/>
          </w:tblCellMar>
          <w:tblLook w:val="04A0"/>
        </w:tblPrEx>
        <w:trPr>
          <w:gridAfter w:val="1"/>
          <w:wAfter w:w="88" w:type="dxa"/>
          <w:trHeight w:val="118"/>
        </w:trPr>
        <w:tc>
          <w:tcPr>
            <w:tcW w:w="3544" w:type="dxa"/>
            <w:gridSpan w:val="2"/>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Region A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-3.666</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.205</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.026</w:t>
            </w:r>
          </w:p>
        </w:tc>
      </w:tr>
      <w:tr w:rsidR="00AE0B66" w:rsidRPr="009E5B5E" w:rsidTr="00884154">
        <w:tblPrEx>
          <w:tblCellMar>
            <w:left w:w="108" w:type="dxa"/>
            <w:right w:w="108" w:type="dxa"/>
          </w:tblCellMar>
          <w:tblLook w:val="04A0"/>
        </w:tblPrEx>
        <w:trPr>
          <w:gridAfter w:val="1"/>
          <w:wAfter w:w="88" w:type="dxa"/>
          <w:trHeight w:val="118"/>
        </w:trPr>
        <w:tc>
          <w:tcPr>
            <w:tcW w:w="3544" w:type="dxa"/>
            <w:gridSpan w:val="2"/>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b/>
                <w:bCs/>
                <w:color w:val="000000"/>
              </w:rPr>
              <w:t>Region B ***</w:t>
            </w:r>
          </w:p>
        </w:tc>
        <w:tc>
          <w:tcPr>
            <w:tcW w:w="2126"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1.869</w:t>
            </w:r>
          </w:p>
        </w:tc>
        <w:tc>
          <w:tcPr>
            <w:tcW w:w="2127"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.187</w:t>
            </w:r>
          </w:p>
        </w:tc>
        <w:tc>
          <w:tcPr>
            <w:tcW w:w="1984"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Pr>
                <w:rFonts w:cs="Arial"/>
                <w:b/>
                <w:bCs/>
                <w:color w:val="000000"/>
              </w:rPr>
              <w:t>6.480</w:t>
            </w:r>
          </w:p>
        </w:tc>
      </w:tr>
      <w:tr w:rsidR="00884154" w:rsidRPr="009E5B5E" w:rsidTr="00884154">
        <w:tblPrEx>
          <w:tblCellMar>
            <w:left w:w="108" w:type="dxa"/>
            <w:right w:w="108" w:type="dxa"/>
          </w:tblCellMar>
          <w:tblLook w:val="04A0"/>
        </w:tblPrEx>
        <w:trPr>
          <w:gridAfter w:val="1"/>
          <w:wAfter w:w="88" w:type="dxa"/>
          <w:trHeight w:val="118"/>
        </w:trPr>
        <w:tc>
          <w:tcPr>
            <w:tcW w:w="9781" w:type="dxa"/>
            <w:gridSpan w:val="5"/>
            <w:tcBorders>
              <w:top w:val="single" w:sz="4" w:space="0" w:color="548DD4" w:themeColor="text2" w:themeTint="99"/>
            </w:tcBorders>
          </w:tcPr>
          <w:p w:rsidR="00884154" w:rsidRPr="009E5B5E" w:rsidRDefault="00884154" w:rsidP="00884154">
            <w:pPr>
              <w:autoSpaceDE w:val="0"/>
              <w:autoSpaceDN w:val="0"/>
              <w:adjustRightInd w:val="0"/>
              <w:spacing w:after="0" w:line="320" w:lineRule="atLeast"/>
              <w:ind w:left="60" w:right="60"/>
              <w:rPr>
                <w:rFonts w:cs="Arial"/>
                <w:b/>
                <w:bCs/>
                <w:color w:val="000000"/>
              </w:rPr>
            </w:pPr>
            <w:r w:rsidRPr="009E5B5E">
              <w:rPr>
                <w:rFonts w:cs="Arial"/>
                <w:color w:val="000000"/>
              </w:rPr>
              <w:t>Significance level: *** p &lt;= 0.01; ** 0.01 &lt; p &lt;= 0.05; * 0.05 &lt; p &lt;= 0.10</w:t>
            </w:r>
          </w:p>
        </w:tc>
      </w:tr>
      <w:tr w:rsidR="003A32BC" w:rsidRPr="009E5B5E" w:rsidTr="00A53F4E">
        <w:tblPrEx>
          <w:tblCellMar>
            <w:left w:w="108" w:type="dxa"/>
            <w:right w:w="108" w:type="dxa"/>
          </w:tblCellMar>
          <w:tblLook w:val="04A0"/>
        </w:tblPrEx>
        <w:trPr>
          <w:gridAfter w:val="1"/>
          <w:wAfter w:w="88" w:type="dxa"/>
          <w:trHeight w:val="279"/>
        </w:trPr>
        <w:tc>
          <w:tcPr>
            <w:tcW w:w="3544" w:type="dxa"/>
            <w:gridSpan w:val="2"/>
            <w:tcBorders>
              <w:top w:val="single" w:sz="4" w:space="0" w:color="548DD4" w:themeColor="text2" w:themeTint="99"/>
              <w:bottom w:val="single" w:sz="4" w:space="0" w:color="548DD4" w:themeColor="text2" w:themeTint="99"/>
            </w:tcBorders>
          </w:tcPr>
          <w:p w:rsidR="003A32BC" w:rsidRPr="009E5B5E" w:rsidRDefault="003A32BC" w:rsidP="00A53F4E">
            <w:pPr>
              <w:autoSpaceDE w:val="0"/>
              <w:autoSpaceDN w:val="0"/>
              <w:adjustRightInd w:val="0"/>
              <w:spacing w:after="0" w:line="320" w:lineRule="atLeast"/>
              <w:ind w:left="60" w:right="60"/>
              <w:rPr>
                <w:rFonts w:cs="Arial"/>
                <w:color w:val="000000"/>
              </w:rPr>
            </w:pPr>
            <w:r w:rsidRPr="009E5B5E">
              <w:rPr>
                <w:rFonts w:cs="Arial"/>
                <w:color w:val="000000"/>
              </w:rPr>
              <w:lastRenderedPageBreak/>
              <w:t>Variable</w:t>
            </w:r>
          </w:p>
        </w:tc>
        <w:tc>
          <w:tcPr>
            <w:tcW w:w="2126" w:type="dxa"/>
            <w:tcBorders>
              <w:top w:val="single" w:sz="4" w:space="0" w:color="548DD4" w:themeColor="text2" w:themeTint="99"/>
              <w:bottom w:val="single" w:sz="4" w:space="0" w:color="548DD4" w:themeColor="text2" w:themeTint="99"/>
            </w:tcBorders>
          </w:tcPr>
          <w:p w:rsidR="003A32BC" w:rsidRPr="009E5B5E" w:rsidRDefault="003A32BC" w:rsidP="00A53F4E">
            <w:pPr>
              <w:autoSpaceDE w:val="0"/>
              <w:autoSpaceDN w:val="0"/>
              <w:adjustRightInd w:val="0"/>
              <w:spacing w:after="0" w:line="320" w:lineRule="atLeast"/>
              <w:ind w:left="60" w:right="60"/>
              <w:jc w:val="right"/>
              <w:rPr>
                <w:rFonts w:cs="Arial"/>
                <w:color w:val="000000"/>
              </w:rPr>
            </w:pPr>
            <w:r w:rsidRPr="009E5B5E">
              <w:rPr>
                <w:rFonts w:cs="Arial"/>
                <w:color w:val="000000"/>
              </w:rPr>
              <w:t>Coefficient</w:t>
            </w:r>
          </w:p>
        </w:tc>
        <w:tc>
          <w:tcPr>
            <w:tcW w:w="2127" w:type="dxa"/>
            <w:tcBorders>
              <w:top w:val="single" w:sz="4" w:space="0" w:color="548DD4" w:themeColor="text2" w:themeTint="99"/>
              <w:bottom w:val="single" w:sz="4" w:space="0" w:color="548DD4" w:themeColor="text2" w:themeTint="99"/>
            </w:tcBorders>
          </w:tcPr>
          <w:p w:rsidR="003A32BC" w:rsidRPr="009E5B5E" w:rsidRDefault="003A32BC" w:rsidP="00A53F4E">
            <w:pPr>
              <w:autoSpaceDE w:val="0"/>
              <w:autoSpaceDN w:val="0"/>
              <w:adjustRightInd w:val="0"/>
              <w:spacing w:after="0" w:line="320" w:lineRule="atLeast"/>
              <w:ind w:left="60" w:right="60"/>
              <w:jc w:val="right"/>
              <w:rPr>
                <w:rFonts w:cs="Arial"/>
                <w:color w:val="000000"/>
              </w:rPr>
            </w:pPr>
            <w:r w:rsidRPr="009E5B5E">
              <w:rPr>
                <w:rFonts w:cs="Arial"/>
                <w:color w:val="000000"/>
              </w:rPr>
              <w:t>Standard Error</w:t>
            </w:r>
          </w:p>
        </w:tc>
        <w:tc>
          <w:tcPr>
            <w:tcW w:w="1984" w:type="dxa"/>
            <w:tcBorders>
              <w:top w:val="single" w:sz="4" w:space="0" w:color="548DD4" w:themeColor="text2" w:themeTint="99"/>
              <w:bottom w:val="single" w:sz="4" w:space="0" w:color="548DD4" w:themeColor="text2" w:themeTint="99"/>
            </w:tcBorders>
          </w:tcPr>
          <w:p w:rsidR="003A32BC" w:rsidRPr="009E5B5E" w:rsidRDefault="003A32BC" w:rsidP="00A53F4E">
            <w:pPr>
              <w:autoSpaceDE w:val="0"/>
              <w:autoSpaceDN w:val="0"/>
              <w:adjustRightInd w:val="0"/>
              <w:spacing w:after="0" w:line="320" w:lineRule="atLeast"/>
              <w:ind w:left="60" w:right="60"/>
              <w:jc w:val="right"/>
              <w:rPr>
                <w:rFonts w:cs="Arial"/>
                <w:color w:val="000000"/>
              </w:rPr>
            </w:pPr>
            <w:r w:rsidRPr="009E5B5E">
              <w:rPr>
                <w:rFonts w:cs="Arial"/>
                <w:color w:val="000000"/>
              </w:rPr>
              <w:t>Exp(B)</w:t>
            </w:r>
          </w:p>
        </w:tc>
      </w:tr>
      <w:tr w:rsidR="00AE0B66" w:rsidRPr="009E5B5E" w:rsidTr="005A408B">
        <w:tblPrEx>
          <w:tblCellMar>
            <w:left w:w="108" w:type="dxa"/>
            <w:right w:w="108" w:type="dxa"/>
          </w:tblCellMar>
          <w:tblLook w:val="04A0"/>
        </w:tblPrEx>
        <w:trPr>
          <w:gridAfter w:val="1"/>
          <w:wAfter w:w="88" w:type="dxa"/>
          <w:trHeight w:val="118"/>
        </w:trPr>
        <w:tc>
          <w:tcPr>
            <w:tcW w:w="3544" w:type="dxa"/>
            <w:gridSpan w:val="2"/>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b/>
                <w:bCs/>
                <w:color w:val="000000"/>
              </w:rPr>
              <w:t>Region C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.878</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.153</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2.406</w:t>
            </w:r>
          </w:p>
        </w:tc>
      </w:tr>
      <w:tr w:rsidR="00AE0B66" w:rsidRPr="009E5B5E" w:rsidTr="00884154">
        <w:tblPrEx>
          <w:tblCellMar>
            <w:left w:w="108" w:type="dxa"/>
            <w:right w:w="108" w:type="dxa"/>
          </w:tblCellMar>
          <w:tblLook w:val="04A0"/>
        </w:tblPrEx>
        <w:trPr>
          <w:gridAfter w:val="1"/>
          <w:wAfter w:w="88" w:type="dxa"/>
          <w:trHeight w:val="118"/>
        </w:trPr>
        <w:tc>
          <w:tcPr>
            <w:tcW w:w="3544" w:type="dxa"/>
            <w:gridSpan w:val="2"/>
          </w:tcPr>
          <w:p w:rsidR="00AE0B66" w:rsidRPr="009E5B5E" w:rsidRDefault="00AE0B66" w:rsidP="005A408B">
            <w:pPr>
              <w:autoSpaceDE w:val="0"/>
              <w:autoSpaceDN w:val="0"/>
              <w:adjustRightInd w:val="0"/>
              <w:spacing w:after="0" w:line="320" w:lineRule="atLeast"/>
              <w:ind w:left="60" w:right="60"/>
              <w:rPr>
                <w:rFonts w:cs="Arial"/>
                <w:color w:val="000000"/>
              </w:rPr>
            </w:pPr>
            <w:r w:rsidRPr="009E5B5E">
              <w:rPr>
                <w:rFonts w:cs="Arial"/>
                <w:b/>
                <w:bCs/>
                <w:color w:val="000000"/>
              </w:rPr>
              <w:t>Region D ***</w:t>
            </w:r>
          </w:p>
        </w:tc>
        <w:tc>
          <w:tcPr>
            <w:tcW w:w="2126"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-.937</w:t>
            </w:r>
          </w:p>
        </w:tc>
        <w:tc>
          <w:tcPr>
            <w:tcW w:w="2127"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.110</w:t>
            </w:r>
          </w:p>
        </w:tc>
        <w:tc>
          <w:tcPr>
            <w:tcW w:w="1984" w:type="dxa"/>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.392</w:t>
            </w:r>
          </w:p>
        </w:tc>
      </w:tr>
      <w:tr w:rsidR="00AE0B66" w:rsidRPr="009E5B5E" w:rsidTr="00884154">
        <w:tblPrEx>
          <w:tblCellMar>
            <w:left w:w="108" w:type="dxa"/>
            <w:right w:w="108" w:type="dxa"/>
          </w:tblCellMar>
          <w:tblLook w:val="04A0"/>
        </w:tblPrEx>
        <w:trPr>
          <w:gridAfter w:val="1"/>
          <w:wAfter w:w="88" w:type="dxa"/>
          <w:trHeight w:val="118"/>
        </w:trPr>
        <w:tc>
          <w:tcPr>
            <w:tcW w:w="3544" w:type="dxa"/>
            <w:gridSpan w:val="2"/>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rPr>
                <w:rFonts w:cs="Arial"/>
                <w:b/>
                <w:bCs/>
                <w:color w:val="000000"/>
              </w:rPr>
            </w:pPr>
            <w:r w:rsidRPr="009E5B5E">
              <w:rPr>
                <w:rFonts w:cs="Arial"/>
                <w:b/>
                <w:bCs/>
                <w:color w:val="000000"/>
              </w:rPr>
              <w:t>Constant ***</w:t>
            </w:r>
          </w:p>
        </w:tc>
        <w:tc>
          <w:tcPr>
            <w:tcW w:w="2126"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-1.393</w:t>
            </w:r>
          </w:p>
        </w:tc>
        <w:tc>
          <w:tcPr>
            <w:tcW w:w="2127"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.274</w:t>
            </w:r>
          </w:p>
        </w:tc>
        <w:tc>
          <w:tcPr>
            <w:tcW w:w="1984" w:type="dxa"/>
            <w:tcBorders>
              <w:bottom w:val="single" w:sz="4" w:space="0" w:color="548DD4" w:themeColor="text2" w:themeTint="99"/>
            </w:tcBorders>
          </w:tcPr>
          <w:p w:rsidR="00AE0B66" w:rsidRPr="009E5B5E" w:rsidRDefault="00AE0B66" w:rsidP="005A408B">
            <w:pPr>
              <w:autoSpaceDE w:val="0"/>
              <w:autoSpaceDN w:val="0"/>
              <w:adjustRightInd w:val="0"/>
              <w:spacing w:after="0" w:line="320" w:lineRule="atLeast"/>
              <w:ind w:left="60" w:right="60"/>
              <w:jc w:val="right"/>
              <w:rPr>
                <w:rFonts w:cs="Arial"/>
                <w:b/>
                <w:bCs/>
                <w:color w:val="000000"/>
              </w:rPr>
            </w:pPr>
            <w:r w:rsidRPr="009E5B5E">
              <w:rPr>
                <w:rFonts w:cs="Arial"/>
                <w:b/>
                <w:bCs/>
                <w:color w:val="000000"/>
              </w:rPr>
              <w:t>.248</w:t>
            </w:r>
          </w:p>
        </w:tc>
      </w:tr>
      <w:tr w:rsidR="00AE0B66" w:rsidRPr="009E5B5E" w:rsidTr="00884154">
        <w:tblPrEx>
          <w:tblCellMar>
            <w:left w:w="108" w:type="dxa"/>
            <w:right w:w="108" w:type="dxa"/>
          </w:tblCellMar>
          <w:tblLook w:val="04A0"/>
        </w:tblPrEx>
        <w:trPr>
          <w:gridAfter w:val="1"/>
          <w:wAfter w:w="88" w:type="dxa"/>
          <w:trHeight w:val="562"/>
        </w:trPr>
        <w:tc>
          <w:tcPr>
            <w:tcW w:w="9781" w:type="dxa"/>
            <w:gridSpan w:val="5"/>
            <w:tcBorders>
              <w:top w:val="single" w:sz="4" w:space="0" w:color="548DD4" w:themeColor="text2" w:themeTint="99"/>
            </w:tcBorders>
          </w:tcPr>
          <w:p w:rsidR="00AE0B66" w:rsidRDefault="00AE0B66" w:rsidP="003A32BC">
            <w:pPr>
              <w:tabs>
                <w:tab w:val="left" w:pos="7393"/>
              </w:tabs>
              <w:autoSpaceDE w:val="0"/>
              <w:autoSpaceDN w:val="0"/>
              <w:adjustRightInd w:val="0"/>
              <w:spacing w:after="0" w:line="320" w:lineRule="atLeast"/>
              <w:ind w:left="60" w:right="60"/>
              <w:rPr>
                <w:rFonts w:cs="Arial"/>
                <w:color w:val="000000"/>
              </w:rPr>
            </w:pPr>
            <w:r w:rsidRPr="009E5B5E">
              <w:rPr>
                <w:rFonts w:cs="Arial"/>
                <w:color w:val="000000"/>
              </w:rPr>
              <w:t>Significance level: *** p &lt;= 0.01; ** 0.01 &lt; p &lt;= 0.05; * 0.05 &lt; p &lt;= 0.10</w:t>
            </w:r>
            <w:r w:rsidR="003A32BC">
              <w:rPr>
                <w:rFonts w:cs="Arial"/>
                <w:color w:val="000000"/>
              </w:rPr>
              <w:tab/>
            </w:r>
          </w:p>
          <w:p w:rsidR="003A32BC" w:rsidRDefault="003A32BC" w:rsidP="003A32BC">
            <w:pPr>
              <w:tabs>
                <w:tab w:val="left" w:pos="7393"/>
              </w:tabs>
              <w:autoSpaceDE w:val="0"/>
              <w:autoSpaceDN w:val="0"/>
              <w:adjustRightInd w:val="0"/>
              <w:spacing w:after="0" w:line="320" w:lineRule="atLeast"/>
              <w:ind w:left="60" w:right="60"/>
              <w:rPr>
                <w:rFonts w:cs="Arial"/>
                <w:color w:val="000000"/>
              </w:rPr>
            </w:pPr>
          </w:p>
          <w:p w:rsidR="003A32BC" w:rsidRPr="009E5B5E" w:rsidRDefault="003A32BC" w:rsidP="003A32BC">
            <w:pPr>
              <w:tabs>
                <w:tab w:val="left" w:pos="7393"/>
              </w:tabs>
              <w:autoSpaceDE w:val="0"/>
              <w:autoSpaceDN w:val="0"/>
              <w:adjustRightInd w:val="0"/>
              <w:spacing w:after="0" w:line="320" w:lineRule="atLeast"/>
              <w:ind w:left="60" w:right="60"/>
              <w:rPr>
                <w:rFonts w:cs="Arial"/>
                <w:color w:val="000000"/>
              </w:rPr>
            </w:pPr>
          </w:p>
        </w:tc>
      </w:tr>
    </w:tbl>
    <w:p w:rsidR="00DA2247" w:rsidRPr="009E5B5E" w:rsidRDefault="00DA2247" w:rsidP="00DA2247">
      <w:pPr>
        <w:tabs>
          <w:tab w:val="left" w:pos="5666"/>
        </w:tabs>
        <w:spacing w:line="360" w:lineRule="auto"/>
        <w:jc w:val="both"/>
        <w:rPr>
          <w:b/>
          <w:bCs/>
          <w:color w:val="000000" w:themeColor="text1"/>
          <w:sz w:val="28"/>
        </w:rPr>
      </w:pPr>
      <w:r w:rsidRPr="009E5B5E">
        <w:rPr>
          <w:b/>
          <w:bCs/>
          <w:color w:val="000000" w:themeColor="text1"/>
          <w:sz w:val="28"/>
        </w:rPr>
        <w:t>4.3.2 Gender Specific Model</w:t>
      </w:r>
    </w:p>
    <w:p w:rsidR="00DA2247" w:rsidRPr="009E5B5E" w:rsidRDefault="00DA2247" w:rsidP="00DA2247">
      <w:pPr>
        <w:tabs>
          <w:tab w:val="left" w:pos="5666"/>
        </w:tabs>
        <w:spacing w:line="360" w:lineRule="auto"/>
        <w:jc w:val="both"/>
        <w:rPr>
          <w:color w:val="000000" w:themeColor="text1"/>
          <w:sz w:val="24"/>
          <w:szCs w:val="24"/>
        </w:rPr>
      </w:pPr>
      <w:r w:rsidRPr="009E5B5E">
        <w:rPr>
          <w:color w:val="000000" w:themeColor="text1"/>
          <w:sz w:val="24"/>
          <w:szCs w:val="24"/>
        </w:rPr>
        <w:t>In order to test the hypothesis 3, 4a, and 4b, logistic regression model with the interaction terms between (1) in-store marketing and friend, and (2) friend and gender included as predictor variables was conducted on gender restricted dataset. The assessment of the model and the results are discussed as follows.</w:t>
      </w:r>
    </w:p>
    <w:p w:rsidR="00DA2247" w:rsidRPr="009E5B5E" w:rsidRDefault="00DA2247" w:rsidP="00DA2247">
      <w:pPr>
        <w:tabs>
          <w:tab w:val="left" w:pos="5666"/>
        </w:tabs>
        <w:spacing w:line="360" w:lineRule="auto"/>
        <w:jc w:val="both"/>
        <w:rPr>
          <w:b/>
          <w:bCs/>
          <w:i/>
          <w:iCs/>
          <w:color w:val="000000" w:themeColor="text1"/>
          <w:sz w:val="24"/>
          <w:szCs w:val="24"/>
        </w:rPr>
      </w:pPr>
      <w:r w:rsidRPr="009E5B5E">
        <w:rPr>
          <w:b/>
          <w:bCs/>
          <w:i/>
          <w:iCs/>
          <w:color w:val="000000" w:themeColor="text1"/>
          <w:sz w:val="24"/>
          <w:szCs w:val="24"/>
        </w:rPr>
        <w:t>Assessment of the Model (See also appendix 11)</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According to model assessing statistic provided in SPSS, -2 log likelihood gave a significant statistic value of 1503.72, as chi-square of 102.606 was shown to be significant beyond 5% level. This indicates that </w:t>
      </w:r>
      <w:r w:rsidRPr="009E5B5E">
        <w:rPr>
          <w:sz w:val="24"/>
          <w:szCs w:val="24"/>
        </w:rPr>
        <w:t>model with the predictor variables included has significantly increased the ability to predict the purchase decision made by the consumers, in comparison of the model only with the intercept.</w:t>
      </w:r>
      <w:r w:rsidRPr="009E5B5E">
        <w:rPr>
          <w:color w:val="000000" w:themeColor="text1"/>
          <w:sz w:val="24"/>
          <w:szCs w:val="24"/>
        </w:rPr>
        <w:t xml:space="preserve"> When looking at </w:t>
      </w:r>
      <w:r w:rsidRPr="009E5B5E">
        <w:rPr>
          <w:sz w:val="24"/>
          <w:szCs w:val="24"/>
        </w:rPr>
        <w:t>Cox and Snell’s R</w:t>
      </w:r>
      <w:r w:rsidRPr="009E5B5E">
        <w:rPr>
          <w:sz w:val="24"/>
          <w:szCs w:val="24"/>
          <w:vertAlign w:val="superscript"/>
        </w:rPr>
        <w:t>2</w:t>
      </w:r>
      <w:r w:rsidRPr="009E5B5E">
        <w:rPr>
          <w:sz w:val="24"/>
          <w:szCs w:val="24"/>
        </w:rPr>
        <w:t xml:space="preserve"> and Nagelkerke’s R</w:t>
      </w:r>
      <w:r w:rsidRPr="009E5B5E">
        <w:rPr>
          <w:sz w:val="24"/>
          <w:szCs w:val="24"/>
          <w:vertAlign w:val="superscript"/>
        </w:rPr>
        <w:t>2</w:t>
      </w:r>
      <w:r w:rsidRPr="009E5B5E">
        <w:rPr>
          <w:sz w:val="24"/>
          <w:szCs w:val="24"/>
        </w:rPr>
        <w:t xml:space="preserve">, a relatively small improvement from null model to fitted model was found as R-squared values were 0.038 and 0.084 respectively. Furthermore, Hosmer and Lemeshow goodness-of-fit test gave a chi-square of 5.57 which was relatively small and insignificant, indicating that this model’s estimates fit the data considerably well. </w:t>
      </w:r>
    </w:p>
    <w:p w:rsidR="00DA2247" w:rsidRPr="009E5B5E" w:rsidRDefault="00DA2247" w:rsidP="00DA2247">
      <w:pPr>
        <w:tabs>
          <w:tab w:val="left" w:pos="5666"/>
        </w:tabs>
        <w:spacing w:line="360" w:lineRule="auto"/>
        <w:jc w:val="both"/>
        <w:rPr>
          <w:b/>
          <w:bCs/>
          <w:i/>
          <w:iCs/>
          <w:color w:val="000000" w:themeColor="text1"/>
          <w:sz w:val="24"/>
          <w:szCs w:val="24"/>
        </w:rPr>
      </w:pPr>
      <w:r w:rsidRPr="009E5B5E">
        <w:rPr>
          <w:b/>
          <w:bCs/>
          <w:i/>
          <w:iCs/>
          <w:color w:val="000000" w:themeColor="text1"/>
          <w:sz w:val="24"/>
          <w:szCs w:val="24"/>
        </w:rPr>
        <w:t>Results</w:t>
      </w:r>
    </w:p>
    <w:p w:rsidR="00DA2247" w:rsidRPr="009E5B5E" w:rsidRDefault="00DA2247" w:rsidP="00DA2247">
      <w:pPr>
        <w:tabs>
          <w:tab w:val="left" w:pos="5666"/>
        </w:tabs>
        <w:spacing w:line="360" w:lineRule="auto"/>
        <w:jc w:val="both"/>
        <w:rPr>
          <w:color w:val="000000" w:themeColor="text1"/>
          <w:sz w:val="24"/>
          <w:szCs w:val="24"/>
        </w:rPr>
      </w:pPr>
      <w:r w:rsidRPr="009E5B5E">
        <w:rPr>
          <w:color w:val="000000" w:themeColor="text1"/>
          <w:sz w:val="24"/>
          <w:szCs w:val="24"/>
        </w:rPr>
        <w:t>As shown below in table 10, the</w:t>
      </w:r>
      <w:r w:rsidRPr="009E5B5E">
        <w:rPr>
          <w:sz w:val="24"/>
          <w:szCs w:val="24"/>
        </w:rPr>
        <w:t xml:space="preserve"> results of this logistic regression analysis</w:t>
      </w:r>
      <w:r w:rsidRPr="009E5B5E">
        <w:rPr>
          <w:color w:val="000000" w:themeColor="text1"/>
          <w:sz w:val="24"/>
          <w:szCs w:val="24"/>
        </w:rPr>
        <w:t xml:space="preserve"> displayed that the effect of the interaction term between in-store marketing and friend dummies on purchase probability was not significant. Therefore, hypothesis 3 is not supported. </w:t>
      </w:r>
    </w:p>
    <w:p w:rsidR="00DA2247" w:rsidRPr="009E5B5E" w:rsidRDefault="00DA2247" w:rsidP="00DA2247">
      <w:pPr>
        <w:tabs>
          <w:tab w:val="left" w:pos="5666"/>
        </w:tabs>
        <w:spacing w:line="360" w:lineRule="auto"/>
        <w:jc w:val="both"/>
        <w:rPr>
          <w:color w:val="000000" w:themeColor="text1"/>
          <w:sz w:val="24"/>
          <w:szCs w:val="24"/>
        </w:rPr>
      </w:pPr>
      <w:r w:rsidRPr="009E5B5E">
        <w:rPr>
          <w:color w:val="000000" w:themeColor="text1"/>
          <w:sz w:val="24"/>
          <w:szCs w:val="24"/>
        </w:rPr>
        <w:t xml:space="preserve">With respect to the effect of the interaction term between friend and gender dummy on purchase probability, it was found to be positive and significant with coefficient value of 0.86. This represented an increase of 0.86 in the logit of purchase variable associated with a male consumer who comes to the shop with his friend(s). In addition, Exp(B) value of 2.36 can be interpreted that the odds of a male consumer who is accompanied with friend(s) to the shop </w:t>
      </w:r>
      <w:r w:rsidRPr="009E5B5E">
        <w:rPr>
          <w:color w:val="000000" w:themeColor="text1"/>
          <w:sz w:val="24"/>
          <w:szCs w:val="24"/>
        </w:rPr>
        <w:lastRenderedPageBreak/>
        <w:t>making a purchase were 2.36 times higher than those of a male consumer without accompanying friend(s) and a female consumer with or without accompanying friend(s). In fact, the purchase likelihood of male consumers who visited the store with friends is 29.48%</w:t>
      </w:r>
      <w:r w:rsidRPr="009E5B5E">
        <w:rPr>
          <w:rStyle w:val="FootnoteReference"/>
          <w:color w:val="000000" w:themeColor="text1"/>
          <w:sz w:val="24"/>
          <w:szCs w:val="24"/>
        </w:rPr>
        <w:footnoteReference w:id="10"/>
      </w:r>
      <w:r w:rsidRPr="009E5B5E">
        <w:rPr>
          <w:color w:val="000000" w:themeColor="text1"/>
          <w:sz w:val="24"/>
          <w:szCs w:val="24"/>
        </w:rPr>
        <w:t xml:space="preserve"> whereas the purchase likelihood of female consumers visited the store with friends, and both male and female consumers who shopped alone takes the value of 8.23%</w:t>
      </w:r>
      <w:r w:rsidRPr="009E5B5E">
        <w:rPr>
          <w:rStyle w:val="FootnoteReference"/>
          <w:color w:val="000000" w:themeColor="text1"/>
          <w:sz w:val="24"/>
          <w:szCs w:val="24"/>
        </w:rPr>
        <w:footnoteReference w:id="11"/>
      </w:r>
      <w:r w:rsidRPr="009E5B5E">
        <w:rPr>
          <w:color w:val="000000" w:themeColor="text1"/>
          <w:sz w:val="24"/>
          <w:szCs w:val="24"/>
        </w:rPr>
        <w:t>.</w:t>
      </w:r>
    </w:p>
    <w:p w:rsidR="00DA2247" w:rsidRPr="009E5B5E" w:rsidRDefault="00DA2247" w:rsidP="00DA2247">
      <w:pPr>
        <w:tabs>
          <w:tab w:val="left" w:pos="5666"/>
        </w:tabs>
        <w:spacing w:line="360" w:lineRule="auto"/>
        <w:jc w:val="both"/>
        <w:rPr>
          <w:color w:val="000000" w:themeColor="text1"/>
          <w:sz w:val="24"/>
          <w:szCs w:val="24"/>
        </w:rPr>
      </w:pPr>
      <w:r w:rsidRPr="009E5B5E">
        <w:rPr>
          <w:color w:val="000000" w:themeColor="text1"/>
          <w:sz w:val="24"/>
          <w:szCs w:val="24"/>
        </w:rPr>
        <w:t>Moreover, it is important to remark that in this analysis the direct effect of friend(s) on purchase probability, which was previously found to be insignificant, was positively significant with coefficient value of 0.68, representing an increase of 0.68 in the logit of purchase variable associate with a consumer who comes to the shop with his/her friend(s). Its Exp(B) value of 1.97 indicated that the odds of a consumer accompanied with friend(s) making a purchase were 1.97 times higher than those of a consumer who comes to the store alone.</w:t>
      </w:r>
    </w:p>
    <w:p w:rsidR="00DA2247" w:rsidRPr="009E5B5E" w:rsidRDefault="00DA2247" w:rsidP="00DA2247">
      <w:pPr>
        <w:tabs>
          <w:tab w:val="left" w:pos="5666"/>
        </w:tabs>
        <w:spacing w:line="360" w:lineRule="auto"/>
        <w:jc w:val="both"/>
        <w:rPr>
          <w:color w:val="000000" w:themeColor="text1"/>
          <w:sz w:val="24"/>
          <w:szCs w:val="24"/>
        </w:rPr>
      </w:pPr>
      <w:r w:rsidRPr="009E5B5E">
        <w:rPr>
          <w:color w:val="000000" w:themeColor="text1"/>
          <w:sz w:val="24"/>
          <w:szCs w:val="24"/>
        </w:rPr>
        <w:t>In conclusion, hypothesis 2, 4a and 4b are supported by the results of this logistic regression analysis (i.e. I cannot reject H2, H4a and H4b), while hypothesis 3 is not (so H3 is rejected).</w:t>
      </w:r>
    </w:p>
    <w:p w:rsidR="00DA2247" w:rsidRPr="009E5B5E" w:rsidRDefault="00DA2247" w:rsidP="00DA2247">
      <w:pPr>
        <w:spacing w:line="360" w:lineRule="auto"/>
        <w:rPr>
          <w:color w:val="000000" w:themeColor="text1"/>
          <w:sz w:val="24"/>
          <w:szCs w:val="24"/>
        </w:rPr>
      </w:pPr>
      <w:r w:rsidRPr="009E5B5E">
        <w:rPr>
          <w:color w:val="000000" w:themeColor="text1"/>
          <w:sz w:val="24"/>
          <w:szCs w:val="24"/>
        </w:rPr>
        <w:t>Table 10: Logistic regression analysis of gender specific model</w:t>
      </w:r>
    </w:p>
    <w:tbl>
      <w:tblPr>
        <w:tblW w:w="986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
        <w:gridCol w:w="3436"/>
        <w:gridCol w:w="2126"/>
        <w:gridCol w:w="2127"/>
        <w:gridCol w:w="1984"/>
        <w:gridCol w:w="88"/>
      </w:tblGrid>
      <w:tr w:rsidR="00DA2247" w:rsidRPr="009E5B5E" w:rsidTr="005A408B">
        <w:trPr>
          <w:gridBefore w:val="1"/>
          <w:wBefore w:w="108" w:type="dxa"/>
          <w:cantSplit/>
          <w:trHeight w:val="339"/>
          <w:tblHeader/>
        </w:trPr>
        <w:tc>
          <w:tcPr>
            <w:tcW w:w="9761" w:type="dxa"/>
            <w:gridSpan w:val="5"/>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rPr>
                <w:rFonts w:cs="Arial"/>
                <w:i/>
                <w:iCs/>
                <w:color w:val="000000"/>
              </w:rPr>
            </w:pPr>
            <w:r w:rsidRPr="009E5B5E">
              <w:rPr>
                <w:rFonts w:cs="Arial"/>
                <w:i/>
                <w:iCs/>
                <w:color w:val="000000"/>
              </w:rPr>
              <w:t>Dependent Variable: purchase incidence BUY(1)</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279"/>
        </w:trPr>
        <w:tc>
          <w:tcPr>
            <w:tcW w:w="3544" w:type="dxa"/>
            <w:gridSpan w:val="2"/>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Variable</w:t>
            </w:r>
          </w:p>
        </w:tc>
        <w:tc>
          <w:tcPr>
            <w:tcW w:w="2126" w:type="dxa"/>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Coefficient</w:t>
            </w:r>
          </w:p>
        </w:tc>
        <w:tc>
          <w:tcPr>
            <w:tcW w:w="2127" w:type="dxa"/>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Standard Error</w:t>
            </w:r>
          </w:p>
        </w:tc>
        <w:tc>
          <w:tcPr>
            <w:tcW w:w="1984" w:type="dxa"/>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Exp(B)</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279"/>
        </w:trPr>
        <w:tc>
          <w:tcPr>
            <w:tcW w:w="3544" w:type="dxa"/>
            <w:gridSpan w:val="2"/>
            <w:tcBorders>
              <w:top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In-store marketing</w:t>
            </w:r>
          </w:p>
        </w:tc>
        <w:tc>
          <w:tcPr>
            <w:tcW w:w="2126" w:type="dxa"/>
            <w:tcBorders>
              <w:top w:val="single" w:sz="12" w:space="0" w:color="548DD4" w:themeColor="text2" w:themeTint="99"/>
            </w:tcBorders>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-.025</w:t>
            </w:r>
          </w:p>
        </w:tc>
        <w:tc>
          <w:tcPr>
            <w:tcW w:w="2127" w:type="dxa"/>
            <w:tcBorders>
              <w:top w:val="single" w:sz="12" w:space="0" w:color="548DD4" w:themeColor="text2" w:themeTint="99"/>
            </w:tcBorders>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.236</w:t>
            </w:r>
          </w:p>
        </w:tc>
        <w:tc>
          <w:tcPr>
            <w:tcW w:w="1984" w:type="dxa"/>
            <w:tcBorders>
              <w:top w:val="single" w:sz="12" w:space="0" w:color="548DD4" w:themeColor="text2" w:themeTint="99"/>
            </w:tcBorders>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.976</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b/>
                <w:bCs/>
                <w:color w:val="000000"/>
              </w:rPr>
            </w:pPr>
            <w:r w:rsidRPr="009E5B5E">
              <w:rPr>
                <w:rFonts w:cs="Arial"/>
                <w:b/>
                <w:bCs/>
                <w:color w:val="000000"/>
              </w:rPr>
              <w:t>Friend ***</w:t>
            </w:r>
          </w:p>
        </w:tc>
        <w:tc>
          <w:tcPr>
            <w:tcW w:w="2126" w:type="dxa"/>
          </w:tcPr>
          <w:p w:rsidR="00DA2247" w:rsidRPr="009E5B5E" w:rsidRDefault="00DA2247"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.679</w:t>
            </w:r>
          </w:p>
        </w:tc>
        <w:tc>
          <w:tcPr>
            <w:tcW w:w="2127" w:type="dxa"/>
          </w:tcPr>
          <w:p w:rsidR="00DA2247" w:rsidRPr="009E5B5E" w:rsidRDefault="00DA2247"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.164</w:t>
            </w:r>
          </w:p>
        </w:tc>
        <w:tc>
          <w:tcPr>
            <w:tcW w:w="1984" w:type="dxa"/>
          </w:tcPr>
          <w:p w:rsidR="00DA2247" w:rsidRPr="009E5B5E" w:rsidRDefault="00DA2247"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1.972</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Dwell time</w:t>
            </w:r>
          </w:p>
        </w:tc>
        <w:tc>
          <w:tcPr>
            <w:tcW w:w="2126"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.000</w:t>
            </w:r>
          </w:p>
        </w:tc>
        <w:tc>
          <w:tcPr>
            <w:tcW w:w="2127"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.000</w:t>
            </w:r>
          </w:p>
        </w:tc>
        <w:tc>
          <w:tcPr>
            <w:tcW w:w="1984"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1.000</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 xml:space="preserve">Employee contact </w:t>
            </w:r>
          </w:p>
        </w:tc>
        <w:tc>
          <w:tcPr>
            <w:tcW w:w="2126"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.200</w:t>
            </w:r>
          </w:p>
        </w:tc>
        <w:tc>
          <w:tcPr>
            <w:tcW w:w="2127"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.152</w:t>
            </w:r>
          </w:p>
        </w:tc>
        <w:tc>
          <w:tcPr>
            <w:tcW w:w="1984"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1.222</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New arrivals</w:t>
            </w:r>
          </w:p>
        </w:tc>
        <w:tc>
          <w:tcPr>
            <w:tcW w:w="2126" w:type="dxa"/>
          </w:tcPr>
          <w:p w:rsidR="00A732A5" w:rsidRPr="009E5B5E" w:rsidRDefault="00A732A5" w:rsidP="00071F4D">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.790</w:t>
            </w:r>
          </w:p>
        </w:tc>
        <w:tc>
          <w:tcPr>
            <w:tcW w:w="2127" w:type="dxa"/>
          </w:tcPr>
          <w:p w:rsidR="00A732A5" w:rsidRPr="009E5B5E" w:rsidRDefault="00A732A5" w:rsidP="00071F4D">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1.234</w:t>
            </w:r>
          </w:p>
        </w:tc>
        <w:tc>
          <w:tcPr>
            <w:tcW w:w="1984" w:type="dxa"/>
          </w:tcPr>
          <w:p w:rsidR="00A732A5" w:rsidRPr="009E5B5E" w:rsidRDefault="00A732A5" w:rsidP="00071F4D">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2.203</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 xml:space="preserve">Consumer innovativeness </w:t>
            </w:r>
          </w:p>
        </w:tc>
        <w:tc>
          <w:tcPr>
            <w:tcW w:w="2126"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.101</w:t>
            </w:r>
          </w:p>
        </w:tc>
        <w:tc>
          <w:tcPr>
            <w:tcW w:w="2127"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.405</w:t>
            </w:r>
          </w:p>
        </w:tc>
        <w:tc>
          <w:tcPr>
            <w:tcW w:w="1984"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1.106</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Product involvement</w:t>
            </w:r>
          </w:p>
        </w:tc>
        <w:tc>
          <w:tcPr>
            <w:tcW w:w="2126" w:type="dxa"/>
          </w:tcPr>
          <w:p w:rsidR="00A732A5" w:rsidRPr="009E5B5E" w:rsidRDefault="00A732A5" w:rsidP="001D763E">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-.163</w:t>
            </w:r>
          </w:p>
        </w:tc>
        <w:tc>
          <w:tcPr>
            <w:tcW w:w="2127" w:type="dxa"/>
          </w:tcPr>
          <w:p w:rsidR="00A732A5" w:rsidRPr="009E5B5E" w:rsidRDefault="00A732A5" w:rsidP="001D763E">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.129</w:t>
            </w:r>
          </w:p>
        </w:tc>
        <w:tc>
          <w:tcPr>
            <w:tcW w:w="1984" w:type="dxa"/>
          </w:tcPr>
          <w:p w:rsidR="00A732A5" w:rsidRPr="009E5B5E" w:rsidRDefault="00A732A5" w:rsidP="001D763E">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.849</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Friend by in-store marketing</w:t>
            </w:r>
          </w:p>
        </w:tc>
        <w:tc>
          <w:tcPr>
            <w:tcW w:w="2126"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.362</w:t>
            </w:r>
          </w:p>
        </w:tc>
        <w:tc>
          <w:tcPr>
            <w:tcW w:w="2127"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.426</w:t>
            </w:r>
          </w:p>
        </w:tc>
        <w:tc>
          <w:tcPr>
            <w:tcW w:w="1984"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1.437</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Pr>
          <w:p w:rsidR="00A732A5" w:rsidRPr="009E5B5E" w:rsidRDefault="00A732A5" w:rsidP="005A408B">
            <w:pPr>
              <w:autoSpaceDE w:val="0"/>
              <w:autoSpaceDN w:val="0"/>
              <w:adjustRightInd w:val="0"/>
              <w:spacing w:after="0" w:line="320" w:lineRule="atLeast"/>
              <w:ind w:left="60" w:right="60"/>
              <w:rPr>
                <w:rFonts w:cs="Arial"/>
                <w:b/>
                <w:bCs/>
                <w:color w:val="000000"/>
              </w:rPr>
            </w:pPr>
            <w:r w:rsidRPr="009E5B5E">
              <w:rPr>
                <w:rFonts w:cs="Arial"/>
                <w:b/>
                <w:bCs/>
                <w:color w:val="000000"/>
              </w:rPr>
              <w:t>Friend by gender***</w:t>
            </w:r>
          </w:p>
        </w:tc>
        <w:tc>
          <w:tcPr>
            <w:tcW w:w="2126" w:type="dxa"/>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.860</w:t>
            </w:r>
          </w:p>
        </w:tc>
        <w:tc>
          <w:tcPr>
            <w:tcW w:w="2127" w:type="dxa"/>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.230</w:t>
            </w:r>
          </w:p>
        </w:tc>
        <w:tc>
          <w:tcPr>
            <w:tcW w:w="1984" w:type="dxa"/>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2.362</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3544" w:type="dxa"/>
            <w:gridSpan w:val="2"/>
            <w:tcBorders>
              <w:bottom w:val="single" w:sz="12" w:space="0" w:color="548DD4" w:themeColor="text2" w:themeTint="99"/>
            </w:tcBorders>
          </w:tcPr>
          <w:p w:rsidR="00A732A5" w:rsidRPr="009E5B5E" w:rsidRDefault="00A732A5" w:rsidP="005A408B">
            <w:pPr>
              <w:autoSpaceDE w:val="0"/>
              <w:autoSpaceDN w:val="0"/>
              <w:adjustRightInd w:val="0"/>
              <w:spacing w:after="0" w:line="320" w:lineRule="atLeast"/>
              <w:ind w:left="60" w:right="60"/>
              <w:rPr>
                <w:rFonts w:cs="Arial"/>
                <w:b/>
                <w:bCs/>
                <w:color w:val="000000"/>
              </w:rPr>
            </w:pPr>
            <w:r w:rsidRPr="009E5B5E">
              <w:rPr>
                <w:rFonts w:cs="Arial"/>
                <w:b/>
                <w:bCs/>
                <w:color w:val="000000"/>
              </w:rPr>
              <w:t>Constant***</w:t>
            </w:r>
          </w:p>
        </w:tc>
        <w:tc>
          <w:tcPr>
            <w:tcW w:w="2126" w:type="dxa"/>
            <w:tcBorders>
              <w:bottom w:val="single" w:sz="12" w:space="0" w:color="548DD4" w:themeColor="text2" w:themeTint="99"/>
            </w:tcBorders>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-2.411</w:t>
            </w:r>
          </w:p>
        </w:tc>
        <w:tc>
          <w:tcPr>
            <w:tcW w:w="2127" w:type="dxa"/>
            <w:tcBorders>
              <w:bottom w:val="single" w:sz="12" w:space="0" w:color="548DD4" w:themeColor="text2" w:themeTint="99"/>
            </w:tcBorders>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.524</w:t>
            </w:r>
          </w:p>
        </w:tc>
        <w:tc>
          <w:tcPr>
            <w:tcW w:w="1984" w:type="dxa"/>
            <w:tcBorders>
              <w:bottom w:val="single" w:sz="12" w:space="0" w:color="548DD4" w:themeColor="text2" w:themeTint="99"/>
            </w:tcBorders>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.090</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562"/>
        </w:trPr>
        <w:tc>
          <w:tcPr>
            <w:tcW w:w="9781" w:type="dxa"/>
            <w:gridSpan w:val="5"/>
            <w:tcBorders>
              <w:top w:val="single" w:sz="12" w:space="0" w:color="548DD4" w:themeColor="text2" w:themeTint="99"/>
            </w:tcBorders>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Significance level: *** p &lt;= 0.01; ** 0.01 &lt; p &lt;= 0.05; * 0.05 &lt; p &lt;= 0.10</w:t>
            </w:r>
          </w:p>
        </w:tc>
      </w:tr>
    </w:tbl>
    <w:p w:rsidR="00DA2247" w:rsidRPr="009E5B5E" w:rsidRDefault="00DA2247" w:rsidP="00DA2247">
      <w:pPr>
        <w:spacing w:line="360" w:lineRule="auto"/>
        <w:rPr>
          <w:color w:val="000000" w:themeColor="text1"/>
          <w:sz w:val="24"/>
          <w:szCs w:val="24"/>
        </w:rPr>
      </w:pPr>
    </w:p>
    <w:p w:rsidR="003A32BC" w:rsidRDefault="003A32BC" w:rsidP="00DA2247">
      <w:pPr>
        <w:spacing w:line="360" w:lineRule="auto"/>
        <w:rPr>
          <w:b/>
          <w:bCs/>
          <w:color w:val="000000" w:themeColor="text1"/>
          <w:sz w:val="28"/>
        </w:rPr>
      </w:pPr>
    </w:p>
    <w:p w:rsidR="00DA2247" w:rsidRPr="009E5B5E" w:rsidRDefault="00DA2247" w:rsidP="00DA2247">
      <w:pPr>
        <w:spacing w:line="360" w:lineRule="auto"/>
        <w:rPr>
          <w:b/>
          <w:bCs/>
          <w:color w:val="000000" w:themeColor="text1"/>
          <w:sz w:val="28"/>
        </w:rPr>
      </w:pPr>
      <w:r w:rsidRPr="009E5B5E">
        <w:rPr>
          <w:b/>
          <w:bCs/>
          <w:color w:val="000000" w:themeColor="text1"/>
          <w:sz w:val="28"/>
        </w:rPr>
        <w:lastRenderedPageBreak/>
        <w:t>4.3.3 Three-Way Interaction Included Model</w:t>
      </w:r>
    </w:p>
    <w:p w:rsidR="00DA2247" w:rsidRPr="009E5B5E" w:rsidRDefault="00DA2247" w:rsidP="00DA2247">
      <w:pPr>
        <w:tabs>
          <w:tab w:val="left" w:pos="5666"/>
        </w:tabs>
        <w:spacing w:line="360" w:lineRule="auto"/>
        <w:jc w:val="both"/>
        <w:rPr>
          <w:color w:val="000000" w:themeColor="text1"/>
          <w:sz w:val="24"/>
          <w:szCs w:val="24"/>
        </w:rPr>
      </w:pPr>
      <w:r w:rsidRPr="009E5B5E">
        <w:rPr>
          <w:color w:val="000000" w:themeColor="text1"/>
          <w:sz w:val="24"/>
          <w:szCs w:val="24"/>
        </w:rPr>
        <w:t>This logistic regression analysis which included three-way interaction term between in-store marketing, friend, and gender dummies, conducted on gender restricted dataset to test the hypothesis 5a and 5b. The model assessment and results are discussed as follows.</w:t>
      </w:r>
    </w:p>
    <w:p w:rsidR="00DA2247" w:rsidRPr="009E5B5E" w:rsidRDefault="00DA2247" w:rsidP="00DA2247">
      <w:pPr>
        <w:tabs>
          <w:tab w:val="left" w:pos="5666"/>
        </w:tabs>
        <w:spacing w:line="360" w:lineRule="auto"/>
        <w:jc w:val="both"/>
        <w:rPr>
          <w:b/>
          <w:bCs/>
          <w:i/>
          <w:iCs/>
          <w:color w:val="000000" w:themeColor="text1"/>
          <w:sz w:val="24"/>
          <w:szCs w:val="24"/>
        </w:rPr>
      </w:pPr>
      <w:r w:rsidRPr="009E5B5E">
        <w:rPr>
          <w:b/>
          <w:bCs/>
          <w:i/>
          <w:iCs/>
          <w:color w:val="000000" w:themeColor="text1"/>
          <w:sz w:val="24"/>
          <w:szCs w:val="24"/>
        </w:rPr>
        <w:t>Assessment of the Model (See also appendix 11)</w:t>
      </w:r>
    </w:p>
    <w:p w:rsidR="00DA2247" w:rsidRPr="009E5B5E" w:rsidRDefault="00DA2247" w:rsidP="00DA2247">
      <w:pPr>
        <w:tabs>
          <w:tab w:val="left" w:pos="5666"/>
        </w:tabs>
        <w:spacing w:line="360" w:lineRule="auto"/>
        <w:jc w:val="both"/>
        <w:rPr>
          <w:b/>
          <w:bCs/>
          <w:i/>
          <w:iCs/>
          <w:color w:val="000000" w:themeColor="text1"/>
          <w:sz w:val="24"/>
          <w:szCs w:val="24"/>
        </w:rPr>
      </w:pPr>
      <w:r w:rsidRPr="009E5B5E">
        <w:rPr>
          <w:color w:val="000000" w:themeColor="text1"/>
          <w:sz w:val="24"/>
          <w:szCs w:val="24"/>
        </w:rPr>
        <w:t xml:space="preserve">The overall fit of the model was assessed and reported as -2 log likelihood value of 1503.72. This statistic was significant, indicating that </w:t>
      </w:r>
      <w:r w:rsidRPr="009E5B5E">
        <w:rPr>
          <w:sz w:val="24"/>
          <w:szCs w:val="24"/>
        </w:rPr>
        <w:t>the model with the predictor variables included has significantly increased the ability to predict the purchase decision made by the consumers.</w:t>
      </w:r>
      <w:r w:rsidRPr="009E5B5E">
        <w:rPr>
          <w:color w:val="000000" w:themeColor="text1"/>
          <w:sz w:val="24"/>
          <w:szCs w:val="24"/>
        </w:rPr>
        <w:t xml:space="preserve"> Moreover, -2 log likelihood of this model gave same value as that of gender specific model. This indicated that the predictive power of the model in which the three-way interaction term between in-store marketing, friend, and gender was included was the same as that of the gender specific model. Accordingly,</w:t>
      </w:r>
      <w:r w:rsidRPr="009E5B5E">
        <w:rPr>
          <w:sz w:val="24"/>
          <w:szCs w:val="24"/>
        </w:rPr>
        <w:t xml:space="preserve"> Cox and Snell’s R</w:t>
      </w:r>
      <w:r w:rsidRPr="009E5B5E">
        <w:rPr>
          <w:sz w:val="24"/>
          <w:szCs w:val="24"/>
          <w:vertAlign w:val="superscript"/>
        </w:rPr>
        <w:t>2</w:t>
      </w:r>
      <w:r w:rsidRPr="009E5B5E">
        <w:rPr>
          <w:sz w:val="24"/>
          <w:szCs w:val="24"/>
        </w:rPr>
        <w:t xml:space="preserve"> and Nagelkerke’s R</w:t>
      </w:r>
      <w:r w:rsidRPr="009E5B5E">
        <w:rPr>
          <w:sz w:val="24"/>
          <w:szCs w:val="24"/>
          <w:vertAlign w:val="superscript"/>
        </w:rPr>
        <w:t>2</w:t>
      </w:r>
      <w:r w:rsidRPr="009E5B5E">
        <w:rPr>
          <w:sz w:val="24"/>
          <w:szCs w:val="24"/>
        </w:rPr>
        <w:t xml:space="preserve"> took the same values as of gender specific model (0.038 and 0.084 respectively</w:t>
      </w:r>
      <w:r w:rsidRPr="009E5B5E">
        <w:rPr>
          <w:color w:val="000000" w:themeColor="text1"/>
          <w:sz w:val="24"/>
          <w:szCs w:val="24"/>
        </w:rPr>
        <w:t xml:space="preserve">), showing </w:t>
      </w:r>
      <w:r w:rsidRPr="009E5B5E">
        <w:rPr>
          <w:sz w:val="24"/>
          <w:szCs w:val="24"/>
        </w:rPr>
        <w:t xml:space="preserve">a relatively small improvement from null model to fitted model.  Even though Hosmer and Lemeshow goodness-of-fit test gave a relatively small and insignificant chi-square of 5.57 which indicated that this model’s estimates fit the data considerably well, </w:t>
      </w:r>
      <w:r w:rsidRPr="009E5B5E">
        <w:rPr>
          <w:color w:val="000000" w:themeColor="text1"/>
          <w:sz w:val="24"/>
          <w:szCs w:val="24"/>
        </w:rPr>
        <w:t xml:space="preserve">there was no use adding this three-way interaction term in the model as all model fitting statistics took same values as those of gender specific model. </w:t>
      </w:r>
    </w:p>
    <w:p w:rsidR="003A32BC" w:rsidRDefault="00DA2247" w:rsidP="003A32BC">
      <w:pPr>
        <w:tabs>
          <w:tab w:val="left" w:pos="5666"/>
        </w:tabs>
        <w:spacing w:line="360" w:lineRule="auto"/>
        <w:jc w:val="both"/>
        <w:rPr>
          <w:color w:val="000000" w:themeColor="text1"/>
          <w:sz w:val="24"/>
          <w:szCs w:val="24"/>
        </w:rPr>
      </w:pPr>
      <w:r w:rsidRPr="009E5B5E">
        <w:rPr>
          <w:b/>
          <w:bCs/>
          <w:i/>
          <w:iCs/>
          <w:color w:val="000000" w:themeColor="text1"/>
          <w:sz w:val="24"/>
          <w:szCs w:val="24"/>
        </w:rPr>
        <w:t>Results</w:t>
      </w:r>
      <w:r w:rsidR="003A32BC" w:rsidRPr="003A32BC">
        <w:rPr>
          <w:color w:val="000000" w:themeColor="text1"/>
          <w:sz w:val="24"/>
          <w:szCs w:val="24"/>
        </w:rPr>
        <w:t xml:space="preserve"> </w:t>
      </w:r>
    </w:p>
    <w:p w:rsidR="003A32BC" w:rsidRPr="009E5B5E" w:rsidRDefault="003A32BC" w:rsidP="003A32BC">
      <w:pPr>
        <w:tabs>
          <w:tab w:val="left" w:pos="5666"/>
        </w:tabs>
        <w:spacing w:line="360" w:lineRule="auto"/>
        <w:jc w:val="both"/>
        <w:rPr>
          <w:color w:val="000000" w:themeColor="text1"/>
          <w:sz w:val="24"/>
          <w:szCs w:val="24"/>
        </w:rPr>
      </w:pPr>
      <w:r w:rsidRPr="009E5B5E">
        <w:rPr>
          <w:color w:val="000000" w:themeColor="text1"/>
          <w:sz w:val="24"/>
          <w:szCs w:val="24"/>
        </w:rPr>
        <w:t xml:space="preserve">The effect of the interaction term between in-store marketing, friend, and gender on purchase probability was found to be insignificant as illustrated in table </w:t>
      </w:r>
      <w:r>
        <w:rPr>
          <w:color w:val="000000" w:themeColor="text1"/>
          <w:sz w:val="24"/>
          <w:szCs w:val="24"/>
        </w:rPr>
        <w:t>11,</w:t>
      </w:r>
      <w:r w:rsidRPr="009E5B5E">
        <w:rPr>
          <w:color w:val="000000" w:themeColor="text1"/>
          <w:sz w:val="24"/>
          <w:szCs w:val="24"/>
        </w:rPr>
        <w:t xml:space="preserve"> although the positive relationship was displayed through a positive coefficient of 0.1. It is also essential to note that the significant effects found in the analysis of gender specific were also displayed in the result of this analysis with the exact same values, since it was proven that the addition of three-way interaction term did not contribute to the predictive power of the model (as discussed in previous paragraph). Therefore, one can conclude that the findings of this analysis do not support hypothesis 5a and 5b.</w:t>
      </w:r>
    </w:p>
    <w:p w:rsidR="00DA2247" w:rsidRPr="009E5B5E" w:rsidRDefault="00DA2247" w:rsidP="00DA2247">
      <w:pPr>
        <w:tabs>
          <w:tab w:val="left" w:pos="5666"/>
        </w:tabs>
        <w:spacing w:line="360" w:lineRule="auto"/>
        <w:jc w:val="both"/>
        <w:rPr>
          <w:b/>
          <w:bCs/>
          <w:i/>
          <w:iCs/>
          <w:color w:val="000000" w:themeColor="text1"/>
          <w:sz w:val="24"/>
          <w:szCs w:val="24"/>
        </w:rPr>
      </w:pPr>
    </w:p>
    <w:p w:rsidR="003A32BC" w:rsidRDefault="003A32BC" w:rsidP="00DA2247">
      <w:pPr>
        <w:tabs>
          <w:tab w:val="left" w:pos="5666"/>
          <w:tab w:val="left" w:pos="7938"/>
        </w:tabs>
        <w:spacing w:line="360" w:lineRule="auto"/>
        <w:jc w:val="both"/>
        <w:rPr>
          <w:color w:val="000000" w:themeColor="text1"/>
          <w:sz w:val="24"/>
          <w:szCs w:val="24"/>
        </w:rPr>
      </w:pPr>
    </w:p>
    <w:p w:rsidR="00DA2247" w:rsidRPr="009E5B5E" w:rsidRDefault="00DA2247" w:rsidP="00025E86">
      <w:pPr>
        <w:tabs>
          <w:tab w:val="left" w:pos="5666"/>
          <w:tab w:val="left" w:pos="7938"/>
        </w:tabs>
        <w:spacing w:line="240" w:lineRule="auto"/>
        <w:jc w:val="both"/>
        <w:rPr>
          <w:color w:val="000000" w:themeColor="text1"/>
          <w:sz w:val="24"/>
          <w:szCs w:val="24"/>
        </w:rPr>
      </w:pPr>
      <w:r w:rsidRPr="009E5B5E">
        <w:rPr>
          <w:color w:val="000000" w:themeColor="text1"/>
          <w:sz w:val="24"/>
          <w:szCs w:val="24"/>
        </w:rPr>
        <w:lastRenderedPageBreak/>
        <w:t>Table 11: Logistic regression analysis of three-way interaction included model</w:t>
      </w:r>
    </w:p>
    <w:tbl>
      <w:tblPr>
        <w:tblW w:w="997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8"/>
        <w:gridCol w:w="3969"/>
        <w:gridCol w:w="1985"/>
        <w:gridCol w:w="1984"/>
        <w:gridCol w:w="1843"/>
        <w:gridCol w:w="88"/>
      </w:tblGrid>
      <w:tr w:rsidR="00DA2247" w:rsidRPr="009E5B5E" w:rsidTr="005A408B">
        <w:trPr>
          <w:gridBefore w:val="1"/>
          <w:wBefore w:w="108" w:type="dxa"/>
          <w:cantSplit/>
          <w:trHeight w:val="339"/>
          <w:tblHeader/>
        </w:trPr>
        <w:tc>
          <w:tcPr>
            <w:tcW w:w="9869" w:type="dxa"/>
            <w:gridSpan w:val="5"/>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rPr>
                <w:rFonts w:cs="Arial"/>
                <w:i/>
                <w:iCs/>
                <w:color w:val="000000"/>
              </w:rPr>
            </w:pPr>
            <w:r w:rsidRPr="009E5B5E">
              <w:rPr>
                <w:rFonts w:cs="Arial"/>
                <w:i/>
                <w:iCs/>
                <w:color w:val="000000"/>
              </w:rPr>
              <w:t>Dependent Variable: purchase incidence BUY(1)</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279"/>
        </w:trPr>
        <w:tc>
          <w:tcPr>
            <w:tcW w:w="4077" w:type="dxa"/>
            <w:gridSpan w:val="2"/>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Variable</w:t>
            </w:r>
          </w:p>
        </w:tc>
        <w:tc>
          <w:tcPr>
            <w:tcW w:w="1985" w:type="dxa"/>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Coefficient</w:t>
            </w:r>
          </w:p>
        </w:tc>
        <w:tc>
          <w:tcPr>
            <w:tcW w:w="1984" w:type="dxa"/>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284" w:right="60"/>
              <w:jc w:val="right"/>
              <w:rPr>
                <w:rFonts w:cs="Arial"/>
                <w:color w:val="000000"/>
              </w:rPr>
            </w:pPr>
            <w:r w:rsidRPr="009E5B5E">
              <w:rPr>
                <w:rFonts w:cs="Arial"/>
                <w:color w:val="000000"/>
              </w:rPr>
              <w:t>Standard Error</w:t>
            </w:r>
          </w:p>
        </w:tc>
        <w:tc>
          <w:tcPr>
            <w:tcW w:w="1843" w:type="dxa"/>
            <w:tcBorders>
              <w:top w:val="single" w:sz="12" w:space="0" w:color="548DD4" w:themeColor="text2" w:themeTint="99"/>
              <w:bottom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jc w:val="right"/>
              <w:rPr>
                <w:rFonts w:cs="Arial"/>
                <w:color w:val="000000"/>
              </w:rPr>
            </w:pPr>
            <w:r w:rsidRPr="009E5B5E">
              <w:rPr>
                <w:rFonts w:cs="Arial"/>
                <w:color w:val="000000"/>
              </w:rPr>
              <w:t>Exp(B)</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279"/>
        </w:trPr>
        <w:tc>
          <w:tcPr>
            <w:tcW w:w="4077" w:type="dxa"/>
            <w:gridSpan w:val="2"/>
            <w:tcBorders>
              <w:top w:val="single" w:sz="12" w:space="0" w:color="548DD4" w:themeColor="text2" w:themeTint="99"/>
            </w:tcBorders>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In-store marketing</w:t>
            </w:r>
          </w:p>
        </w:tc>
        <w:tc>
          <w:tcPr>
            <w:tcW w:w="1985" w:type="dxa"/>
            <w:tcBorders>
              <w:top w:val="single" w:sz="12" w:space="0" w:color="548DD4" w:themeColor="text2" w:themeTint="99"/>
            </w:tcBorders>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-.025</w:t>
            </w:r>
          </w:p>
        </w:tc>
        <w:tc>
          <w:tcPr>
            <w:tcW w:w="1984" w:type="dxa"/>
            <w:tcBorders>
              <w:top w:val="single" w:sz="12" w:space="0" w:color="548DD4" w:themeColor="text2" w:themeTint="99"/>
            </w:tcBorders>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.236</w:t>
            </w:r>
          </w:p>
        </w:tc>
        <w:tc>
          <w:tcPr>
            <w:tcW w:w="1843" w:type="dxa"/>
            <w:tcBorders>
              <w:top w:val="single" w:sz="12" w:space="0" w:color="548DD4" w:themeColor="text2" w:themeTint="99"/>
            </w:tcBorders>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.976</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DA2247" w:rsidRPr="009E5B5E" w:rsidRDefault="00DA2247" w:rsidP="005A408B">
            <w:pPr>
              <w:autoSpaceDE w:val="0"/>
              <w:autoSpaceDN w:val="0"/>
              <w:adjustRightInd w:val="0"/>
              <w:spacing w:after="0" w:line="320" w:lineRule="atLeast"/>
              <w:ind w:left="60" w:right="60"/>
              <w:rPr>
                <w:rFonts w:cs="Arial"/>
                <w:b/>
                <w:bCs/>
                <w:color w:val="000000"/>
              </w:rPr>
            </w:pPr>
            <w:r w:rsidRPr="009E5B5E">
              <w:rPr>
                <w:rFonts w:cs="Arial"/>
                <w:b/>
                <w:bCs/>
                <w:color w:val="000000"/>
              </w:rPr>
              <w:t>Friend ***</w:t>
            </w:r>
          </w:p>
        </w:tc>
        <w:tc>
          <w:tcPr>
            <w:tcW w:w="1985" w:type="dxa"/>
          </w:tcPr>
          <w:p w:rsidR="00DA2247" w:rsidRPr="009E5B5E" w:rsidRDefault="00DA2247"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.679</w:t>
            </w:r>
          </w:p>
        </w:tc>
        <w:tc>
          <w:tcPr>
            <w:tcW w:w="1984" w:type="dxa"/>
          </w:tcPr>
          <w:p w:rsidR="00DA2247" w:rsidRPr="009E5B5E" w:rsidRDefault="00DA2247"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.164</w:t>
            </w:r>
          </w:p>
        </w:tc>
        <w:tc>
          <w:tcPr>
            <w:tcW w:w="1843" w:type="dxa"/>
          </w:tcPr>
          <w:p w:rsidR="00DA2247" w:rsidRPr="009E5B5E" w:rsidRDefault="00DA2247"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1.972</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Dwell time</w:t>
            </w:r>
          </w:p>
        </w:tc>
        <w:tc>
          <w:tcPr>
            <w:tcW w:w="1985"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.000</w:t>
            </w:r>
          </w:p>
        </w:tc>
        <w:tc>
          <w:tcPr>
            <w:tcW w:w="1984"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.000</w:t>
            </w:r>
          </w:p>
        </w:tc>
        <w:tc>
          <w:tcPr>
            <w:tcW w:w="1843"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1.000</w:t>
            </w:r>
          </w:p>
        </w:tc>
      </w:tr>
      <w:tr w:rsidR="00DA2247"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DA2247" w:rsidRPr="009E5B5E" w:rsidRDefault="00DA2247" w:rsidP="005A408B">
            <w:pPr>
              <w:autoSpaceDE w:val="0"/>
              <w:autoSpaceDN w:val="0"/>
              <w:adjustRightInd w:val="0"/>
              <w:spacing w:after="0" w:line="320" w:lineRule="atLeast"/>
              <w:ind w:left="60" w:right="60"/>
              <w:rPr>
                <w:rFonts w:cs="Arial"/>
                <w:color w:val="000000"/>
              </w:rPr>
            </w:pPr>
            <w:r w:rsidRPr="009E5B5E">
              <w:rPr>
                <w:rFonts w:cs="Arial"/>
                <w:color w:val="000000"/>
              </w:rPr>
              <w:t xml:space="preserve">Employee contact </w:t>
            </w:r>
          </w:p>
        </w:tc>
        <w:tc>
          <w:tcPr>
            <w:tcW w:w="1985"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.200</w:t>
            </w:r>
          </w:p>
        </w:tc>
        <w:tc>
          <w:tcPr>
            <w:tcW w:w="1984"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.152</w:t>
            </w:r>
          </w:p>
        </w:tc>
        <w:tc>
          <w:tcPr>
            <w:tcW w:w="1843" w:type="dxa"/>
          </w:tcPr>
          <w:p w:rsidR="00DA2247" w:rsidRPr="009E5B5E" w:rsidRDefault="00DA2247"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1.222</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New arrivals</w:t>
            </w:r>
          </w:p>
        </w:tc>
        <w:tc>
          <w:tcPr>
            <w:tcW w:w="1985" w:type="dxa"/>
          </w:tcPr>
          <w:p w:rsidR="00A732A5" w:rsidRPr="009E5B5E" w:rsidRDefault="00A732A5" w:rsidP="00CF2863">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.790</w:t>
            </w:r>
          </w:p>
        </w:tc>
        <w:tc>
          <w:tcPr>
            <w:tcW w:w="1984" w:type="dxa"/>
          </w:tcPr>
          <w:p w:rsidR="00A732A5" w:rsidRPr="009E5B5E" w:rsidRDefault="00A732A5" w:rsidP="00CF2863">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1.234</w:t>
            </w:r>
          </w:p>
        </w:tc>
        <w:tc>
          <w:tcPr>
            <w:tcW w:w="1843" w:type="dxa"/>
          </w:tcPr>
          <w:p w:rsidR="00A732A5" w:rsidRPr="009E5B5E" w:rsidRDefault="00A732A5" w:rsidP="00CF2863">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2.203</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 xml:space="preserve">Consumer innovativeness </w:t>
            </w:r>
          </w:p>
        </w:tc>
        <w:tc>
          <w:tcPr>
            <w:tcW w:w="1985"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.101</w:t>
            </w:r>
          </w:p>
        </w:tc>
        <w:tc>
          <w:tcPr>
            <w:tcW w:w="1984"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.405</w:t>
            </w:r>
          </w:p>
        </w:tc>
        <w:tc>
          <w:tcPr>
            <w:tcW w:w="1843"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1.106</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Product involvement</w:t>
            </w:r>
          </w:p>
        </w:tc>
        <w:tc>
          <w:tcPr>
            <w:tcW w:w="1985" w:type="dxa"/>
          </w:tcPr>
          <w:p w:rsidR="00A732A5" w:rsidRPr="009E5B5E" w:rsidRDefault="00A732A5" w:rsidP="00056871">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-.163</w:t>
            </w:r>
          </w:p>
        </w:tc>
        <w:tc>
          <w:tcPr>
            <w:tcW w:w="1984" w:type="dxa"/>
          </w:tcPr>
          <w:p w:rsidR="00A732A5" w:rsidRPr="009E5B5E" w:rsidRDefault="00A732A5" w:rsidP="00056871">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.129</w:t>
            </w:r>
          </w:p>
        </w:tc>
        <w:tc>
          <w:tcPr>
            <w:tcW w:w="1843" w:type="dxa"/>
          </w:tcPr>
          <w:p w:rsidR="00A732A5" w:rsidRPr="009E5B5E" w:rsidRDefault="00A732A5" w:rsidP="00056871">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.849</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Friend by in-store marketing</w:t>
            </w:r>
          </w:p>
        </w:tc>
        <w:tc>
          <w:tcPr>
            <w:tcW w:w="1985"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.362</w:t>
            </w:r>
          </w:p>
        </w:tc>
        <w:tc>
          <w:tcPr>
            <w:tcW w:w="1984"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.426</w:t>
            </w:r>
          </w:p>
        </w:tc>
        <w:tc>
          <w:tcPr>
            <w:tcW w:w="1843"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1.437</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A732A5" w:rsidRPr="009E5B5E" w:rsidRDefault="00A732A5" w:rsidP="005A408B">
            <w:pPr>
              <w:autoSpaceDE w:val="0"/>
              <w:autoSpaceDN w:val="0"/>
              <w:adjustRightInd w:val="0"/>
              <w:spacing w:after="0" w:line="320" w:lineRule="atLeast"/>
              <w:ind w:left="60" w:right="60"/>
              <w:rPr>
                <w:rFonts w:cs="Arial"/>
                <w:b/>
                <w:bCs/>
                <w:color w:val="000000"/>
              </w:rPr>
            </w:pPr>
            <w:r w:rsidRPr="009E5B5E">
              <w:rPr>
                <w:rFonts w:cs="Arial"/>
                <w:b/>
                <w:bCs/>
                <w:color w:val="000000"/>
              </w:rPr>
              <w:t>Friend by gender***</w:t>
            </w:r>
          </w:p>
        </w:tc>
        <w:tc>
          <w:tcPr>
            <w:tcW w:w="1985" w:type="dxa"/>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.860</w:t>
            </w:r>
          </w:p>
        </w:tc>
        <w:tc>
          <w:tcPr>
            <w:tcW w:w="1984" w:type="dxa"/>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.230</w:t>
            </w:r>
          </w:p>
        </w:tc>
        <w:tc>
          <w:tcPr>
            <w:tcW w:w="1843" w:type="dxa"/>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2.362</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 xml:space="preserve">Friend by gender by in-store marketing </w:t>
            </w:r>
          </w:p>
        </w:tc>
        <w:tc>
          <w:tcPr>
            <w:tcW w:w="1985"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.101</w:t>
            </w:r>
          </w:p>
        </w:tc>
        <w:tc>
          <w:tcPr>
            <w:tcW w:w="1984" w:type="dxa"/>
          </w:tcPr>
          <w:p w:rsidR="00A732A5" w:rsidRPr="009E5B5E" w:rsidRDefault="00A732A5" w:rsidP="005A408B">
            <w:pPr>
              <w:autoSpaceDE w:val="0"/>
              <w:autoSpaceDN w:val="0"/>
              <w:adjustRightInd w:val="0"/>
              <w:spacing w:after="0" w:line="360" w:lineRule="auto"/>
              <w:ind w:left="60" w:right="60"/>
              <w:jc w:val="right"/>
              <w:rPr>
                <w:rFonts w:cs="Arial"/>
                <w:color w:val="000000"/>
                <w:sz w:val="20"/>
                <w:szCs w:val="20"/>
              </w:rPr>
            </w:pPr>
            <w:r w:rsidRPr="009E5B5E">
              <w:rPr>
                <w:rFonts w:cs="Arial"/>
                <w:color w:val="000000"/>
                <w:sz w:val="20"/>
                <w:szCs w:val="20"/>
              </w:rPr>
              <w:t>.165</w:t>
            </w:r>
          </w:p>
        </w:tc>
        <w:tc>
          <w:tcPr>
            <w:tcW w:w="1843" w:type="dxa"/>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color w:val="000000"/>
                <w:sz w:val="20"/>
                <w:szCs w:val="20"/>
              </w:rPr>
              <w:t>1.107</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118"/>
        </w:trPr>
        <w:tc>
          <w:tcPr>
            <w:tcW w:w="4077" w:type="dxa"/>
            <w:gridSpan w:val="2"/>
            <w:tcBorders>
              <w:bottom w:val="single" w:sz="12" w:space="0" w:color="548DD4" w:themeColor="text2" w:themeTint="99"/>
            </w:tcBorders>
          </w:tcPr>
          <w:p w:rsidR="00A732A5" w:rsidRPr="009E5B5E" w:rsidRDefault="00A732A5" w:rsidP="005A408B">
            <w:pPr>
              <w:autoSpaceDE w:val="0"/>
              <w:autoSpaceDN w:val="0"/>
              <w:adjustRightInd w:val="0"/>
              <w:spacing w:after="0" w:line="320" w:lineRule="atLeast"/>
              <w:ind w:left="60" w:right="60"/>
              <w:rPr>
                <w:rFonts w:cs="Arial"/>
                <w:b/>
                <w:bCs/>
                <w:color w:val="000000"/>
              </w:rPr>
            </w:pPr>
            <w:r w:rsidRPr="009E5B5E">
              <w:rPr>
                <w:rFonts w:cs="Arial"/>
                <w:b/>
                <w:bCs/>
                <w:color w:val="000000"/>
              </w:rPr>
              <w:t>Constant***</w:t>
            </w:r>
          </w:p>
        </w:tc>
        <w:tc>
          <w:tcPr>
            <w:tcW w:w="1985" w:type="dxa"/>
            <w:tcBorders>
              <w:bottom w:val="single" w:sz="12" w:space="0" w:color="548DD4" w:themeColor="text2" w:themeTint="99"/>
            </w:tcBorders>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-2.411</w:t>
            </w:r>
          </w:p>
        </w:tc>
        <w:tc>
          <w:tcPr>
            <w:tcW w:w="1984" w:type="dxa"/>
            <w:tcBorders>
              <w:bottom w:val="single" w:sz="12" w:space="0" w:color="548DD4" w:themeColor="text2" w:themeTint="99"/>
            </w:tcBorders>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.524</w:t>
            </w:r>
          </w:p>
        </w:tc>
        <w:tc>
          <w:tcPr>
            <w:tcW w:w="1843" w:type="dxa"/>
            <w:tcBorders>
              <w:bottom w:val="single" w:sz="12" w:space="0" w:color="548DD4" w:themeColor="text2" w:themeTint="99"/>
            </w:tcBorders>
          </w:tcPr>
          <w:p w:rsidR="00A732A5" w:rsidRPr="009E5B5E" w:rsidRDefault="00A732A5" w:rsidP="005A408B">
            <w:pPr>
              <w:autoSpaceDE w:val="0"/>
              <w:autoSpaceDN w:val="0"/>
              <w:adjustRightInd w:val="0"/>
              <w:spacing w:after="0" w:line="360" w:lineRule="auto"/>
              <w:ind w:left="60" w:right="60"/>
              <w:jc w:val="right"/>
              <w:rPr>
                <w:rFonts w:cs="Arial"/>
                <w:b/>
                <w:bCs/>
                <w:color w:val="000000"/>
                <w:sz w:val="20"/>
                <w:szCs w:val="20"/>
              </w:rPr>
            </w:pPr>
            <w:r w:rsidRPr="009E5B5E">
              <w:rPr>
                <w:rFonts w:cs="Arial"/>
                <w:b/>
                <w:bCs/>
                <w:color w:val="000000"/>
                <w:sz w:val="20"/>
                <w:szCs w:val="20"/>
              </w:rPr>
              <w:t>.090</w:t>
            </w:r>
          </w:p>
        </w:tc>
      </w:tr>
      <w:tr w:rsidR="00A732A5" w:rsidRPr="009E5B5E" w:rsidTr="005A40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gridAfter w:val="1"/>
          <w:wAfter w:w="88" w:type="dxa"/>
          <w:trHeight w:val="562"/>
        </w:trPr>
        <w:tc>
          <w:tcPr>
            <w:tcW w:w="9889" w:type="dxa"/>
            <w:gridSpan w:val="5"/>
            <w:tcBorders>
              <w:top w:val="single" w:sz="12" w:space="0" w:color="548DD4" w:themeColor="text2" w:themeTint="99"/>
            </w:tcBorders>
          </w:tcPr>
          <w:p w:rsidR="00A732A5" w:rsidRPr="009E5B5E" w:rsidRDefault="00A732A5" w:rsidP="005A408B">
            <w:pPr>
              <w:autoSpaceDE w:val="0"/>
              <w:autoSpaceDN w:val="0"/>
              <w:adjustRightInd w:val="0"/>
              <w:spacing w:after="0" w:line="320" w:lineRule="atLeast"/>
              <w:ind w:left="60" w:right="60"/>
              <w:rPr>
                <w:rFonts w:cs="Arial"/>
                <w:color w:val="000000"/>
              </w:rPr>
            </w:pPr>
            <w:r w:rsidRPr="009E5B5E">
              <w:rPr>
                <w:rFonts w:cs="Arial"/>
                <w:color w:val="000000"/>
              </w:rPr>
              <w:t>Significance level: *** p &lt;= 0.01; ** 0.01 &lt; p &lt;= 0.05; * 0.05 &lt; p &lt;= 0.10</w:t>
            </w:r>
          </w:p>
        </w:tc>
      </w:tr>
    </w:tbl>
    <w:p w:rsidR="00DA2247" w:rsidRPr="009E5B5E" w:rsidRDefault="00DA2247" w:rsidP="00DA2247">
      <w:pPr>
        <w:rPr>
          <w:b/>
          <w:bCs/>
          <w:color w:val="000000" w:themeColor="text1"/>
          <w:sz w:val="32"/>
          <w:szCs w:val="32"/>
        </w:rPr>
      </w:pPr>
      <w:r w:rsidRPr="009E5B5E">
        <w:rPr>
          <w:b/>
          <w:bCs/>
          <w:color w:val="000000" w:themeColor="text1"/>
          <w:sz w:val="32"/>
          <w:szCs w:val="32"/>
        </w:rPr>
        <w:t>4.4 Overview of Hypotheses and Findings</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The following table displays an overview of the tested hypotheses and the corresponding findings.</w:t>
      </w:r>
    </w:p>
    <w:p w:rsidR="00DA2247" w:rsidRPr="009E5B5E" w:rsidRDefault="00DA2247" w:rsidP="00DA2247">
      <w:pPr>
        <w:spacing w:line="360" w:lineRule="auto"/>
        <w:jc w:val="both"/>
        <w:rPr>
          <w:color w:val="000000" w:themeColor="text1"/>
          <w:sz w:val="24"/>
          <w:szCs w:val="24"/>
        </w:rPr>
      </w:pPr>
      <w:r w:rsidRPr="009E5B5E">
        <w:rPr>
          <w:sz w:val="24"/>
          <w:szCs w:val="24"/>
        </w:rPr>
        <w:t>Table 12 Overview of hypotheses and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8"/>
        <w:gridCol w:w="8567"/>
      </w:tblGrid>
      <w:tr w:rsidR="00DA2247" w:rsidRPr="009E5B5E" w:rsidTr="005A408B">
        <w:trPr>
          <w:trHeight w:val="324"/>
        </w:trPr>
        <w:tc>
          <w:tcPr>
            <w:tcW w:w="9875" w:type="dxa"/>
            <w:gridSpan w:val="2"/>
            <w:tcBorders>
              <w:bottom w:val="single" w:sz="6" w:space="0" w:color="548DD4" w:themeColor="text2" w:themeTint="99"/>
            </w:tcBorders>
          </w:tcPr>
          <w:p w:rsidR="00DA2247" w:rsidRPr="009E5B5E" w:rsidRDefault="00DA2247" w:rsidP="00510679">
            <w:pPr>
              <w:spacing w:line="276" w:lineRule="auto"/>
              <w:rPr>
                <w:b/>
                <w:bCs/>
                <w:sz w:val="24"/>
                <w:szCs w:val="24"/>
              </w:rPr>
            </w:pPr>
            <w:r w:rsidRPr="009E5B5E">
              <w:rPr>
                <w:b/>
                <w:bCs/>
                <w:sz w:val="24"/>
                <w:szCs w:val="24"/>
              </w:rPr>
              <w:t>In-Store Marketing and Purchase Incidence</w:t>
            </w:r>
          </w:p>
        </w:tc>
      </w:tr>
      <w:tr w:rsidR="00DA2247" w:rsidRPr="009E5B5E" w:rsidTr="005A408B">
        <w:tc>
          <w:tcPr>
            <w:tcW w:w="1308"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color w:val="000000" w:themeColor="text1"/>
                <w:sz w:val="24"/>
                <w:szCs w:val="24"/>
              </w:rPr>
            </w:pPr>
            <w:r w:rsidRPr="009E5B5E">
              <w:rPr>
                <w:sz w:val="24"/>
                <w:szCs w:val="24"/>
              </w:rPr>
              <w:t>H1</w:t>
            </w: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r w:rsidRPr="009E5B5E">
              <w:rPr>
                <w:color w:val="000000" w:themeColor="text1"/>
                <w:sz w:val="24"/>
                <w:szCs w:val="24"/>
              </w:rPr>
              <w:t>Finding</w:t>
            </w:r>
          </w:p>
        </w:tc>
        <w:tc>
          <w:tcPr>
            <w:tcW w:w="8567"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In-store marketing (sales promotion, renewal of display, and products relocation) positively affects consumers’ purchase likelihood.</w:t>
            </w:r>
          </w:p>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This hypothesis is rejected since the effects of sales promotion, renewal of in-store display, and products relocation are found insignificant.</w:t>
            </w:r>
          </w:p>
          <w:p w:rsidR="00DA2247" w:rsidRPr="009E5B5E" w:rsidRDefault="00DA2247" w:rsidP="00510679">
            <w:pPr>
              <w:spacing w:line="276" w:lineRule="auto"/>
              <w:jc w:val="both"/>
              <w:rPr>
                <w:color w:val="000000" w:themeColor="text1"/>
                <w:sz w:val="24"/>
                <w:szCs w:val="24"/>
              </w:rPr>
            </w:pPr>
          </w:p>
        </w:tc>
      </w:tr>
      <w:tr w:rsidR="00DA2247" w:rsidRPr="009E5B5E" w:rsidTr="005A408B">
        <w:tc>
          <w:tcPr>
            <w:tcW w:w="9875" w:type="dxa"/>
            <w:gridSpan w:val="2"/>
            <w:tcBorders>
              <w:bottom w:val="single" w:sz="6" w:space="0" w:color="548DD4" w:themeColor="text2" w:themeTint="99"/>
            </w:tcBorders>
          </w:tcPr>
          <w:p w:rsidR="00DA2247" w:rsidRPr="009E5B5E" w:rsidRDefault="00DA2247" w:rsidP="00510679">
            <w:pPr>
              <w:spacing w:line="276" w:lineRule="auto"/>
              <w:rPr>
                <w:b/>
                <w:bCs/>
                <w:sz w:val="24"/>
                <w:szCs w:val="24"/>
              </w:rPr>
            </w:pPr>
            <w:r w:rsidRPr="009E5B5E">
              <w:rPr>
                <w:rFonts w:cstheme="minorHAnsi"/>
                <w:b/>
                <w:bCs/>
                <w:sz w:val="24"/>
                <w:szCs w:val="24"/>
              </w:rPr>
              <w:t>Effects of ‘Shopping with Friends’ on Purchase Decision</w:t>
            </w:r>
          </w:p>
        </w:tc>
      </w:tr>
      <w:tr w:rsidR="00DA2247" w:rsidRPr="009E5B5E" w:rsidTr="005A408B">
        <w:trPr>
          <w:trHeight w:val="1247"/>
        </w:trPr>
        <w:tc>
          <w:tcPr>
            <w:tcW w:w="1308" w:type="dxa"/>
            <w:tcBorders>
              <w:top w:val="single" w:sz="6" w:space="0" w:color="548DD4" w:themeColor="text2" w:themeTint="99"/>
              <w:bottom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H2</w:t>
            </w:r>
          </w:p>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Finding</w:t>
            </w:r>
          </w:p>
        </w:tc>
        <w:tc>
          <w:tcPr>
            <w:tcW w:w="8567" w:type="dxa"/>
            <w:tcBorders>
              <w:top w:val="single" w:sz="6" w:space="0" w:color="548DD4" w:themeColor="text2" w:themeTint="99"/>
              <w:bottom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Consumers shopping together with friend(s) have a higher purchase likelihood.</w:t>
            </w:r>
          </w:p>
          <w:p w:rsidR="00DA2247" w:rsidRPr="009E5B5E" w:rsidRDefault="00DA2247" w:rsidP="00510679">
            <w:pPr>
              <w:spacing w:line="276" w:lineRule="auto"/>
              <w:jc w:val="both"/>
              <w:rPr>
                <w:sz w:val="24"/>
                <w:szCs w:val="24"/>
              </w:rPr>
            </w:pPr>
          </w:p>
          <w:p w:rsidR="00DA2247" w:rsidRPr="009E5B5E" w:rsidRDefault="00DA2247" w:rsidP="00510679">
            <w:pPr>
              <w:pStyle w:val="CommentText"/>
              <w:spacing w:line="276" w:lineRule="auto"/>
              <w:jc w:val="both"/>
              <w:rPr>
                <w:sz w:val="24"/>
                <w:szCs w:val="24"/>
              </w:rPr>
            </w:pPr>
            <w:r w:rsidRPr="009E5B5E">
              <w:rPr>
                <w:sz w:val="24"/>
                <w:szCs w:val="24"/>
              </w:rPr>
              <w:t xml:space="preserve">The effect of friend(s) was found to be significant in the gender specific model, but not in the general model. </w:t>
            </w:r>
            <w:r w:rsidR="00662C3C">
              <w:rPr>
                <w:sz w:val="24"/>
                <w:szCs w:val="24"/>
              </w:rPr>
              <w:t xml:space="preserve">The fact that </w:t>
            </w:r>
            <w:r w:rsidR="00662C3C" w:rsidRPr="00662C3C">
              <w:rPr>
                <w:sz w:val="24"/>
                <w:szCs w:val="24"/>
              </w:rPr>
              <w:t>statistical evidence is i</w:t>
            </w:r>
            <w:r w:rsidR="00662C3C">
              <w:rPr>
                <w:sz w:val="24"/>
                <w:szCs w:val="24"/>
              </w:rPr>
              <w:t>nconclusive, H2 is therefore rejected</w:t>
            </w:r>
            <w:r w:rsidRPr="009E5B5E">
              <w:rPr>
                <w:sz w:val="24"/>
                <w:szCs w:val="24"/>
              </w:rPr>
              <w:t>.</w:t>
            </w:r>
          </w:p>
          <w:p w:rsidR="00DA2247" w:rsidRPr="009E5B5E" w:rsidRDefault="00DA2247" w:rsidP="00510679">
            <w:pPr>
              <w:spacing w:line="276" w:lineRule="auto"/>
              <w:jc w:val="both"/>
              <w:rPr>
                <w:sz w:val="24"/>
                <w:szCs w:val="24"/>
              </w:rPr>
            </w:pPr>
          </w:p>
        </w:tc>
      </w:tr>
      <w:tr w:rsidR="00DA2247" w:rsidRPr="009E5B5E" w:rsidTr="005A408B">
        <w:trPr>
          <w:trHeight w:val="828"/>
        </w:trPr>
        <w:tc>
          <w:tcPr>
            <w:tcW w:w="1308"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H3</w:t>
            </w:r>
          </w:p>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Finding</w:t>
            </w:r>
          </w:p>
          <w:p w:rsidR="00DA2247" w:rsidRPr="009E5B5E" w:rsidRDefault="00DA2247" w:rsidP="00510679">
            <w:pPr>
              <w:spacing w:line="276" w:lineRule="auto"/>
              <w:jc w:val="both"/>
              <w:rPr>
                <w:sz w:val="24"/>
                <w:szCs w:val="24"/>
              </w:rPr>
            </w:pPr>
          </w:p>
        </w:tc>
        <w:tc>
          <w:tcPr>
            <w:tcW w:w="8567"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The positive effect of in-store marketing on consumers’ purchase likelihood is stronger for consumers who are shopping with friends.</w:t>
            </w:r>
          </w:p>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Logistic regression analysis shows no significant impact of friend’s presence on the association between in-store marketing and consumers’ purchase likelihood. Thus H3 is rejected.</w:t>
            </w:r>
          </w:p>
          <w:p w:rsidR="00DA2247" w:rsidRPr="009E5B5E" w:rsidRDefault="00DA2247" w:rsidP="00510679">
            <w:pPr>
              <w:spacing w:line="276" w:lineRule="auto"/>
              <w:jc w:val="both"/>
              <w:rPr>
                <w:sz w:val="24"/>
                <w:szCs w:val="24"/>
              </w:rPr>
            </w:pPr>
          </w:p>
        </w:tc>
      </w:tr>
      <w:tr w:rsidR="00DA2247" w:rsidRPr="009E5B5E" w:rsidTr="005A408B">
        <w:trPr>
          <w:trHeight w:val="321"/>
        </w:trPr>
        <w:tc>
          <w:tcPr>
            <w:tcW w:w="9875" w:type="dxa"/>
            <w:gridSpan w:val="2"/>
            <w:tcBorders>
              <w:bottom w:val="single" w:sz="6" w:space="0" w:color="548DD4" w:themeColor="text2" w:themeTint="99"/>
            </w:tcBorders>
          </w:tcPr>
          <w:p w:rsidR="00DA2247" w:rsidRPr="009E5B5E" w:rsidRDefault="00DA2247" w:rsidP="00510679">
            <w:pPr>
              <w:spacing w:line="276" w:lineRule="auto"/>
              <w:rPr>
                <w:b/>
                <w:bCs/>
                <w:color w:val="000000" w:themeColor="text1"/>
                <w:sz w:val="24"/>
                <w:szCs w:val="24"/>
              </w:rPr>
            </w:pPr>
            <w:r w:rsidRPr="009E5B5E">
              <w:rPr>
                <w:rFonts w:cstheme="minorHAnsi"/>
                <w:b/>
                <w:bCs/>
                <w:color w:val="000000" w:themeColor="text1"/>
                <w:sz w:val="24"/>
                <w:szCs w:val="24"/>
              </w:rPr>
              <w:t>Effects of ‘Shopping with Friends’ regarding Gender on Purchase Decision</w:t>
            </w:r>
          </w:p>
        </w:tc>
      </w:tr>
      <w:tr w:rsidR="00DA2247" w:rsidRPr="009E5B5E" w:rsidTr="005A408B">
        <w:trPr>
          <w:trHeight w:val="726"/>
        </w:trPr>
        <w:tc>
          <w:tcPr>
            <w:tcW w:w="1308"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color w:val="000000" w:themeColor="text1"/>
                <w:sz w:val="24"/>
                <w:szCs w:val="24"/>
              </w:rPr>
            </w:pPr>
            <w:r w:rsidRPr="009E5B5E">
              <w:rPr>
                <w:sz w:val="24"/>
                <w:szCs w:val="24"/>
              </w:rPr>
              <w:t>H4a</w:t>
            </w:r>
          </w:p>
        </w:tc>
        <w:tc>
          <w:tcPr>
            <w:tcW w:w="8567"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Shopping with friend(s) positively affects male (agency-oriented) consumers’ purchase likelihood.</w:t>
            </w:r>
          </w:p>
        </w:tc>
      </w:tr>
      <w:tr w:rsidR="00DA2247" w:rsidRPr="009E5B5E" w:rsidTr="005A408B">
        <w:trPr>
          <w:trHeight w:val="2967"/>
        </w:trPr>
        <w:tc>
          <w:tcPr>
            <w:tcW w:w="1308" w:type="dxa"/>
            <w:tcBorders>
              <w:bottom w:val="single" w:sz="6" w:space="0" w:color="548DD4" w:themeColor="text2" w:themeTint="99"/>
            </w:tcBorders>
          </w:tcPr>
          <w:p w:rsidR="00DA2247" w:rsidRPr="009E5B5E" w:rsidRDefault="00DA2247" w:rsidP="00510679">
            <w:pPr>
              <w:spacing w:line="276" w:lineRule="auto"/>
              <w:jc w:val="both"/>
              <w:rPr>
                <w:color w:val="000000" w:themeColor="text1"/>
                <w:sz w:val="24"/>
                <w:szCs w:val="24"/>
              </w:rPr>
            </w:pPr>
            <w:r w:rsidRPr="009E5B5E">
              <w:rPr>
                <w:sz w:val="24"/>
                <w:szCs w:val="24"/>
              </w:rPr>
              <w:t>H4b</w:t>
            </w: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r w:rsidRPr="009E5B5E">
              <w:rPr>
                <w:color w:val="000000" w:themeColor="text1"/>
                <w:sz w:val="24"/>
                <w:szCs w:val="24"/>
              </w:rPr>
              <w:t>Finding</w:t>
            </w:r>
          </w:p>
        </w:tc>
        <w:tc>
          <w:tcPr>
            <w:tcW w:w="8567" w:type="dxa"/>
            <w:tcBorders>
              <w:bottom w:val="single" w:sz="6" w:space="0" w:color="548DD4" w:themeColor="text2" w:themeTint="99"/>
            </w:tcBorders>
          </w:tcPr>
          <w:p w:rsidR="00DA2247" w:rsidRPr="009E5B5E" w:rsidRDefault="00DA2247" w:rsidP="00510679">
            <w:pPr>
              <w:spacing w:line="276" w:lineRule="auto"/>
              <w:jc w:val="both"/>
              <w:rPr>
                <w:sz w:val="24"/>
                <w:szCs w:val="24"/>
              </w:rPr>
            </w:pPr>
            <w:r w:rsidRPr="009E5B5E">
              <w:rPr>
                <w:sz w:val="24"/>
                <w:szCs w:val="24"/>
              </w:rPr>
              <w:t>Shopping with friend(s) has no effect on female (communion-oriented) consumers’ purchase likelihood.</w:t>
            </w: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r w:rsidRPr="009E5B5E">
              <w:rPr>
                <w:color w:val="000000" w:themeColor="text1"/>
                <w:sz w:val="24"/>
                <w:szCs w:val="24"/>
              </w:rPr>
              <w:t>The interaction term between friend and gender dummy is found positively significant in both gender specific and three-way interaction included models. As gender dummy is coded as 1 for male and 0 for female, this therefore results in the acceptance of H4a and H4b.</w:t>
            </w:r>
          </w:p>
        </w:tc>
      </w:tr>
      <w:tr w:rsidR="00DA2247" w:rsidRPr="009E5B5E" w:rsidTr="005A408B">
        <w:trPr>
          <w:trHeight w:val="742"/>
        </w:trPr>
        <w:tc>
          <w:tcPr>
            <w:tcW w:w="1308"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color w:val="000000" w:themeColor="text1"/>
                <w:sz w:val="24"/>
                <w:szCs w:val="24"/>
              </w:rPr>
            </w:pPr>
            <w:r w:rsidRPr="009E5B5E">
              <w:rPr>
                <w:sz w:val="24"/>
                <w:szCs w:val="24"/>
              </w:rPr>
              <w:t>H5a</w:t>
            </w:r>
          </w:p>
          <w:p w:rsidR="00DA2247" w:rsidRPr="009E5B5E" w:rsidRDefault="00DA2247" w:rsidP="00510679">
            <w:pPr>
              <w:spacing w:line="276" w:lineRule="auto"/>
              <w:jc w:val="both"/>
              <w:rPr>
                <w:color w:val="000000" w:themeColor="text1"/>
                <w:sz w:val="24"/>
                <w:szCs w:val="24"/>
              </w:rPr>
            </w:pPr>
          </w:p>
        </w:tc>
        <w:tc>
          <w:tcPr>
            <w:tcW w:w="8567" w:type="dxa"/>
            <w:tcBorders>
              <w:top w:val="single" w:sz="6" w:space="0" w:color="548DD4" w:themeColor="text2" w:themeTint="99"/>
            </w:tcBorders>
          </w:tcPr>
          <w:p w:rsidR="00DA2247" w:rsidRPr="009E5B5E" w:rsidRDefault="00DA2247" w:rsidP="00510679">
            <w:pPr>
              <w:spacing w:line="276" w:lineRule="auto"/>
              <w:jc w:val="both"/>
              <w:rPr>
                <w:sz w:val="24"/>
                <w:szCs w:val="24"/>
              </w:rPr>
            </w:pPr>
          </w:p>
          <w:p w:rsidR="00DA2247" w:rsidRPr="009E5B5E" w:rsidRDefault="00DA2247" w:rsidP="00510679">
            <w:pPr>
              <w:spacing w:line="276" w:lineRule="auto"/>
              <w:jc w:val="both"/>
              <w:rPr>
                <w:sz w:val="24"/>
                <w:szCs w:val="24"/>
              </w:rPr>
            </w:pPr>
            <w:r w:rsidRPr="009E5B5E">
              <w:rPr>
                <w:sz w:val="24"/>
                <w:szCs w:val="24"/>
              </w:rPr>
              <w:t>Shopping with friend(s) enhances the effect of in-store marketing on male (agency-oriented) consumers’ purchase likelihood.</w:t>
            </w:r>
          </w:p>
        </w:tc>
      </w:tr>
      <w:tr w:rsidR="00DA2247" w:rsidRPr="009E5B5E" w:rsidTr="005A408B">
        <w:trPr>
          <w:trHeight w:val="1395"/>
        </w:trPr>
        <w:tc>
          <w:tcPr>
            <w:tcW w:w="1308" w:type="dxa"/>
          </w:tcPr>
          <w:p w:rsidR="00DA2247" w:rsidRPr="009E5B5E" w:rsidRDefault="00DA2247" w:rsidP="00510679">
            <w:pPr>
              <w:spacing w:line="276" w:lineRule="auto"/>
              <w:jc w:val="both"/>
              <w:rPr>
                <w:color w:val="000000" w:themeColor="text1"/>
                <w:sz w:val="24"/>
                <w:szCs w:val="24"/>
              </w:rPr>
            </w:pPr>
            <w:r w:rsidRPr="009E5B5E">
              <w:rPr>
                <w:sz w:val="24"/>
                <w:szCs w:val="24"/>
              </w:rPr>
              <w:t>H5b</w:t>
            </w: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r w:rsidRPr="009E5B5E">
              <w:rPr>
                <w:color w:val="000000" w:themeColor="text1"/>
                <w:sz w:val="24"/>
                <w:szCs w:val="24"/>
              </w:rPr>
              <w:t>Finding</w:t>
            </w:r>
          </w:p>
        </w:tc>
        <w:tc>
          <w:tcPr>
            <w:tcW w:w="8567" w:type="dxa"/>
          </w:tcPr>
          <w:p w:rsidR="00DA2247" w:rsidRPr="009E5B5E" w:rsidRDefault="00DA2247" w:rsidP="00510679">
            <w:pPr>
              <w:spacing w:line="276" w:lineRule="auto"/>
              <w:jc w:val="both"/>
              <w:rPr>
                <w:color w:val="000000" w:themeColor="text1"/>
                <w:sz w:val="24"/>
                <w:szCs w:val="24"/>
              </w:rPr>
            </w:pPr>
            <w:r w:rsidRPr="009E5B5E">
              <w:rPr>
                <w:sz w:val="24"/>
                <w:szCs w:val="24"/>
              </w:rPr>
              <w:t>Shopping with friend(s) has no impact on the effect of in-store marketing on female (communion-oriented) consumers’ purchase likelihood.</w:t>
            </w:r>
          </w:p>
          <w:p w:rsidR="00DA2247" w:rsidRPr="009E5B5E" w:rsidRDefault="00DA2247" w:rsidP="00510679">
            <w:pPr>
              <w:spacing w:line="276" w:lineRule="auto"/>
              <w:jc w:val="both"/>
              <w:rPr>
                <w:color w:val="000000" w:themeColor="text1"/>
                <w:sz w:val="24"/>
                <w:szCs w:val="24"/>
              </w:rPr>
            </w:pPr>
          </w:p>
          <w:p w:rsidR="00DA2247" w:rsidRPr="009E5B5E" w:rsidRDefault="00DA2247" w:rsidP="00510679">
            <w:pPr>
              <w:spacing w:line="276" w:lineRule="auto"/>
              <w:jc w:val="both"/>
              <w:rPr>
                <w:color w:val="000000" w:themeColor="text1"/>
                <w:sz w:val="24"/>
                <w:szCs w:val="24"/>
              </w:rPr>
            </w:pPr>
            <w:r w:rsidRPr="009E5B5E">
              <w:rPr>
                <w:color w:val="000000" w:themeColor="text1"/>
                <w:sz w:val="24"/>
                <w:szCs w:val="24"/>
              </w:rPr>
              <w:t>The three-way interaction term between in-store marketing, friend, and gender is found to be insignificant. This, therefore, results in the rejection of H5a and H5b.</w:t>
            </w:r>
          </w:p>
        </w:tc>
      </w:tr>
    </w:tbl>
    <w:p w:rsidR="00DA2247" w:rsidRPr="009E5B5E" w:rsidRDefault="00DA2247" w:rsidP="00DA2247">
      <w:pPr>
        <w:suppressAutoHyphens/>
        <w:rPr>
          <w:b/>
          <w:bCs/>
          <w:color w:val="000000" w:themeColor="text1"/>
          <w:sz w:val="24"/>
          <w:szCs w:val="24"/>
        </w:rPr>
      </w:pPr>
    </w:p>
    <w:p w:rsidR="00DA2247" w:rsidRPr="00510679" w:rsidRDefault="00DA2247" w:rsidP="00510679">
      <w:pPr>
        <w:rPr>
          <w:b/>
          <w:bCs/>
          <w:color w:val="000000" w:themeColor="text1"/>
          <w:sz w:val="24"/>
          <w:szCs w:val="24"/>
        </w:rPr>
      </w:pPr>
      <w:r w:rsidRPr="009E5B5E">
        <w:rPr>
          <w:b/>
          <w:bCs/>
          <w:color w:val="000000" w:themeColor="text1"/>
          <w:sz w:val="24"/>
          <w:szCs w:val="24"/>
        </w:rPr>
        <w:br w:type="page"/>
      </w:r>
      <w:r w:rsidR="00AD7D97" w:rsidRPr="00AD7D97">
        <w:rPr>
          <w:b/>
          <w:bCs/>
          <w:noProof/>
          <w:color w:val="000000" w:themeColor="text1"/>
          <w:sz w:val="36"/>
          <w:szCs w:val="36"/>
          <w:lang w:bidi="th-TH"/>
        </w:rPr>
        <w:lastRenderedPageBreak/>
        <w:pict>
          <v:shape id="_x0000_s1065" type="#_x0000_t32" style="position:absolute;margin-left:1.15pt;margin-top:24.65pt;width:487.1pt;height:.05pt;z-index:251701248" o:connectortype="straight" strokeweight="1.75pt"/>
        </w:pict>
      </w:r>
      <w:r w:rsidRPr="009E5B5E">
        <w:rPr>
          <w:b/>
          <w:bCs/>
          <w:color w:val="000000" w:themeColor="text1"/>
          <w:sz w:val="36"/>
          <w:szCs w:val="36"/>
        </w:rPr>
        <w:t>5</w:t>
      </w:r>
      <w:r w:rsidRPr="009E5B5E">
        <w:rPr>
          <w:b/>
          <w:bCs/>
          <w:color w:val="000000" w:themeColor="text1"/>
          <w:sz w:val="36"/>
          <w:szCs w:val="36"/>
        </w:rPr>
        <w:tab/>
        <w:t>CONCLUSION</w:t>
      </w:r>
    </w:p>
    <w:p w:rsidR="00DA2247" w:rsidRPr="009E5B5E" w:rsidRDefault="00DA2247" w:rsidP="00DA2247">
      <w:pPr>
        <w:tabs>
          <w:tab w:val="left" w:pos="5666"/>
        </w:tabs>
        <w:spacing w:line="360" w:lineRule="auto"/>
        <w:jc w:val="both"/>
        <w:rPr>
          <w:b/>
          <w:bCs/>
          <w:color w:val="000000" w:themeColor="text1"/>
          <w:sz w:val="32"/>
          <w:szCs w:val="32"/>
        </w:rPr>
      </w:pPr>
      <w:r w:rsidRPr="009E5B5E">
        <w:rPr>
          <w:b/>
          <w:bCs/>
          <w:color w:val="000000" w:themeColor="text1"/>
          <w:sz w:val="32"/>
          <w:szCs w:val="32"/>
        </w:rPr>
        <w:t>5.1 General Discussion</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By applying logistic regression models on in-store behavioral data </w:t>
      </w:r>
      <w:r w:rsidRPr="009E5B5E">
        <w:rPr>
          <w:sz w:val="24"/>
          <w:szCs w:val="24"/>
        </w:rPr>
        <w:t xml:space="preserve">observed unobtrusively from the consumers in the actual shopping setting, the goal of this master thesis as to examine the influence of the accompanying friend(s) on consumer’s purchasing decisions when in the marketplace was achieved. </w:t>
      </w:r>
    </w:p>
    <w:p w:rsidR="00DA2247" w:rsidRPr="009E5B5E" w:rsidRDefault="00DA2247" w:rsidP="00DA2247">
      <w:pPr>
        <w:spacing w:line="360" w:lineRule="auto"/>
        <w:jc w:val="both"/>
        <w:rPr>
          <w:sz w:val="24"/>
          <w:szCs w:val="24"/>
        </w:rPr>
      </w:pPr>
      <w:r w:rsidRPr="009E5B5E">
        <w:rPr>
          <w:color w:val="000000" w:themeColor="text1"/>
          <w:sz w:val="24"/>
          <w:szCs w:val="24"/>
        </w:rPr>
        <w:t xml:space="preserve">In general, the results showed that only the presence of friend(s) concerning gender of the consumers had significant impact on consumers’ purchase likelihood and suggested the positive relationship between the two variables. On the other hand, in-store marketing, namely sales promotion, renewal of in-store display, and products relocation, were found to be uninfluential on consumers’ purchase decisions. This was also the case for the impact of in-store marketing regarding presence of friend(s) and that of three-way interaction between in-store marketing, friend(s), and consumers’ gender on consumer’s purchase likelihood. However, with respect to the effect of the presence of friend(s) regardless of any other variables on purchase decisions, </w:t>
      </w:r>
      <w:r w:rsidRPr="009E5B5E">
        <w:rPr>
          <w:rFonts w:cs="Times-Roman"/>
          <w:sz w:val="24"/>
          <w:szCs w:val="24"/>
        </w:rPr>
        <w:t xml:space="preserve">two logistic regression analyses gave inconsistent findings. </w:t>
      </w:r>
      <w:r w:rsidRPr="009E5B5E">
        <w:rPr>
          <w:sz w:val="24"/>
          <w:szCs w:val="24"/>
        </w:rPr>
        <w:t>This effect was found to be significant in the gender specific model, but not in the general model. The fact that it was insignificant in the model with higher goodness of fit leads to the conclusion that regardless of gender effect, the presence of friend(s) had no significant impact on consumers’ purchase likelihood.</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The main finding of this master thesis is that shopping with friend(s) positively affects male (agency-oriented) consumers’ purchase likelihood, but not that of female (communion-oriented) consumers. This therefore suggests that </w:t>
      </w:r>
      <w:r w:rsidRPr="009E5B5E">
        <w:rPr>
          <w:rFonts w:cstheme="minorHAnsi"/>
          <w:sz w:val="24"/>
          <w:szCs w:val="24"/>
        </w:rPr>
        <w:t>gender orientation between male and female shoppers</w:t>
      </w:r>
      <w:r w:rsidRPr="009E5B5E">
        <w:rPr>
          <w:color w:val="000000" w:themeColor="text1"/>
          <w:sz w:val="24"/>
          <w:szCs w:val="24"/>
        </w:rPr>
        <w:t xml:space="preserve"> as the proxy of consumer’s agency–communion orientation moderates the impact of accompanying friend(s) on consumers’ purchasing decisions. Such finding supports the previous research’s view on the interactive influence of the presence of friend(s) and consumer’s agency–communion orientation on his/her shopping behavior (Kurt et al., 2011). </w:t>
      </w:r>
    </w:p>
    <w:p w:rsidR="00DA2247" w:rsidRPr="009E5B5E" w:rsidRDefault="00DA2247" w:rsidP="00DA2247">
      <w:pPr>
        <w:spacing w:line="360" w:lineRule="auto"/>
        <w:jc w:val="both"/>
        <w:rPr>
          <w:sz w:val="24"/>
          <w:szCs w:val="24"/>
        </w:rPr>
      </w:pPr>
      <w:r w:rsidRPr="009E5B5E">
        <w:rPr>
          <w:color w:val="000000" w:themeColor="text1"/>
          <w:sz w:val="24"/>
          <w:szCs w:val="24"/>
        </w:rPr>
        <w:t xml:space="preserve">Moreover, this study has explored </w:t>
      </w:r>
      <w:r w:rsidRPr="009E5B5E">
        <w:rPr>
          <w:sz w:val="24"/>
          <w:szCs w:val="24"/>
        </w:rPr>
        <w:t xml:space="preserve">the link between the presence of friends in shopping place and consumers’ purchasing decisions. The possible </w:t>
      </w:r>
      <w:r w:rsidRPr="009E5B5E">
        <w:rPr>
          <w:color w:val="000000" w:themeColor="text1"/>
          <w:sz w:val="24"/>
          <w:szCs w:val="24"/>
        </w:rPr>
        <w:t xml:space="preserve">underlying mechanism </w:t>
      </w:r>
      <w:r w:rsidRPr="009E5B5E">
        <w:rPr>
          <w:sz w:val="24"/>
          <w:szCs w:val="24"/>
        </w:rPr>
        <w:t xml:space="preserve">is that </w:t>
      </w:r>
      <w:r w:rsidRPr="009E5B5E">
        <w:rPr>
          <w:color w:val="000000" w:themeColor="text1"/>
          <w:sz w:val="24"/>
          <w:szCs w:val="24"/>
        </w:rPr>
        <w:t xml:space="preserve">the presence of friend(s) </w:t>
      </w:r>
      <w:r w:rsidRPr="009E5B5E">
        <w:rPr>
          <w:sz w:val="24"/>
          <w:szCs w:val="24"/>
        </w:rPr>
        <w:t xml:space="preserve">raises the impression management concerns among consumers, resulting in deviation of decisions made in group setting in comparison to those made in isolation. With </w:t>
      </w:r>
      <w:r w:rsidRPr="009E5B5E">
        <w:rPr>
          <w:sz w:val="24"/>
          <w:szCs w:val="24"/>
        </w:rPr>
        <w:lastRenderedPageBreak/>
        <w:t>respect to impression management mechanism,</w:t>
      </w:r>
      <w:r w:rsidRPr="009E5B5E">
        <w:rPr>
          <w:color w:val="000000" w:themeColor="text1"/>
          <w:sz w:val="24"/>
          <w:szCs w:val="24"/>
        </w:rPr>
        <w:t xml:space="preserve"> in social situations people are motivated to engage in behaviors which perceived as acceptable and normative by the society. </w:t>
      </w:r>
      <w:r w:rsidRPr="009E5B5E">
        <w:rPr>
          <w:sz w:val="24"/>
          <w:szCs w:val="24"/>
        </w:rPr>
        <w:t xml:space="preserve">However, </w:t>
      </w:r>
      <w:r w:rsidRPr="009E5B5E">
        <w:rPr>
          <w:bCs/>
          <w:sz w:val="24"/>
          <w:szCs w:val="24"/>
        </w:rPr>
        <w:t>such social expectations are held differently for male and female</w:t>
      </w:r>
      <w:r w:rsidRPr="009E5B5E">
        <w:rPr>
          <w:bCs/>
          <w:szCs w:val="52"/>
        </w:rPr>
        <w:t>.</w:t>
      </w:r>
      <w:r w:rsidRPr="009E5B5E">
        <w:rPr>
          <w:sz w:val="24"/>
          <w:szCs w:val="24"/>
        </w:rPr>
        <w:t xml:space="preserve"> Masculine orientation </w:t>
      </w:r>
      <w:r w:rsidRPr="009E5B5E">
        <w:rPr>
          <w:rFonts w:cstheme="minorHAnsi"/>
          <w:color w:val="000000"/>
          <w:sz w:val="24"/>
          <w:szCs w:val="24"/>
        </w:rPr>
        <w:t xml:space="preserve">(i.e., independence, competitiveness, and self-goal emphasis which </w:t>
      </w:r>
      <w:r w:rsidRPr="009E5B5E">
        <w:rPr>
          <w:sz w:val="24"/>
          <w:szCs w:val="24"/>
        </w:rPr>
        <w:t>mirror agency-oriented tendency) is prototypically set for male, while feminine orientation (</w:t>
      </w:r>
      <w:r w:rsidRPr="009E5B5E">
        <w:rPr>
          <w:rFonts w:cstheme="minorHAnsi"/>
          <w:color w:val="000000"/>
          <w:sz w:val="24"/>
          <w:szCs w:val="24"/>
        </w:rPr>
        <w:t xml:space="preserve">i.e., considerateness, sensitivity, and communal goal emphasis which mirror </w:t>
      </w:r>
      <w:r w:rsidRPr="009E5B5E">
        <w:rPr>
          <w:sz w:val="24"/>
          <w:szCs w:val="24"/>
        </w:rPr>
        <w:t>communion</w:t>
      </w:r>
      <w:r w:rsidRPr="009E5B5E">
        <w:rPr>
          <w:rFonts w:cstheme="minorHAnsi"/>
          <w:color w:val="000000"/>
          <w:sz w:val="24"/>
          <w:szCs w:val="24"/>
        </w:rPr>
        <w:t>-oriented tendency) is for female. In</w:t>
      </w:r>
      <w:r w:rsidRPr="009E5B5E">
        <w:rPr>
          <w:sz w:val="24"/>
          <w:szCs w:val="24"/>
        </w:rPr>
        <w:t xml:space="preserve"> the context of this study, normative behavior for male consumers (agency-oriented) would be self-promotion, whereas being modest would be normative behavior for female (communion-oriented) consumers</w:t>
      </w:r>
      <w:r w:rsidRPr="009E5B5E">
        <w:rPr>
          <w:color w:val="000000" w:themeColor="text1"/>
          <w:sz w:val="24"/>
          <w:szCs w:val="24"/>
        </w:rPr>
        <w:t xml:space="preserve">. Thus, </w:t>
      </w:r>
      <w:r w:rsidRPr="009E5B5E">
        <w:rPr>
          <w:sz w:val="24"/>
          <w:szCs w:val="24"/>
        </w:rPr>
        <w:t>male consumers’ purchase likelihood is higher in the presence of friend(s). Such link is supported by the main finding of this master thesis.</w:t>
      </w:r>
    </w:p>
    <w:p w:rsidR="00DA2247" w:rsidRPr="009E5B5E" w:rsidRDefault="00DA2247" w:rsidP="00DA2247">
      <w:pPr>
        <w:spacing w:line="360" w:lineRule="auto"/>
        <w:jc w:val="both"/>
        <w:rPr>
          <w:color w:val="000000" w:themeColor="text1"/>
          <w:sz w:val="32"/>
          <w:szCs w:val="32"/>
        </w:rPr>
      </w:pPr>
      <w:r w:rsidRPr="009E5B5E">
        <w:rPr>
          <w:b/>
          <w:bCs/>
          <w:color w:val="000000" w:themeColor="text1"/>
          <w:sz w:val="32"/>
          <w:szCs w:val="32"/>
        </w:rPr>
        <w:t>5.2 Implications</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This master thesis makes the contributions to both marketing science and managers as follows. </w:t>
      </w:r>
    </w:p>
    <w:p w:rsidR="00DA2247" w:rsidRPr="009E5B5E" w:rsidRDefault="00DA2247" w:rsidP="00DA2247">
      <w:pPr>
        <w:spacing w:line="360" w:lineRule="auto"/>
        <w:jc w:val="both"/>
        <w:rPr>
          <w:sz w:val="24"/>
          <w:szCs w:val="24"/>
        </w:rPr>
      </w:pPr>
      <w:r w:rsidRPr="009E5B5E">
        <w:rPr>
          <w:color w:val="000000" w:themeColor="text1"/>
          <w:sz w:val="24"/>
          <w:szCs w:val="24"/>
        </w:rPr>
        <w:t xml:space="preserve">First, </w:t>
      </w:r>
      <w:r w:rsidRPr="009E5B5E">
        <w:rPr>
          <w:sz w:val="24"/>
          <w:szCs w:val="24"/>
        </w:rPr>
        <w:t xml:space="preserve">this study contributes to marketing science by affirming the influence of accompanying friend(s) in the shopping place on shoppers’ behavior concerning the role of </w:t>
      </w:r>
      <w:r w:rsidRPr="009E5B5E">
        <w:rPr>
          <w:color w:val="000000" w:themeColor="text1"/>
          <w:sz w:val="24"/>
          <w:szCs w:val="24"/>
        </w:rPr>
        <w:t>agency and communion</w:t>
      </w:r>
      <w:r w:rsidRPr="009E5B5E">
        <w:rPr>
          <w:sz w:val="24"/>
          <w:szCs w:val="24"/>
        </w:rPr>
        <w:t xml:space="preserve"> proposed by </w:t>
      </w:r>
      <w:r w:rsidRPr="009E5B5E">
        <w:rPr>
          <w:color w:val="000000" w:themeColor="text1"/>
          <w:sz w:val="24"/>
          <w:szCs w:val="24"/>
        </w:rPr>
        <w:t xml:space="preserve">Kurt et al., 2011. </w:t>
      </w:r>
      <w:r w:rsidRPr="009E5B5E">
        <w:rPr>
          <w:sz w:val="24"/>
          <w:szCs w:val="24"/>
        </w:rPr>
        <w:t xml:space="preserve">The main finding of master thesis supports this perspective by demonstrating that the impact of friends’ presence in shopping place on consumers’ purchase decision is qualified by individual differences in agency–communion orientations, which are different for female and male shoppers. </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Second, this master thesis helps extend the understanding of the association between gender and agency–communion orientation in consumer behavior context (Baken 1966, Palan 2001).  The finding of this present study which relies on consumers’ gender as representative for agency-communion orientation is consistent with those of previous research in which agency–communion orientation were measured directly (Kurt et al., 2011). Therefore, this proves that gender, which reflects masculinity and femininity, is the appropriate proxy of agency-communion orientation in male and female consumers respectively. </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Last, the finding of this master thesis provides the important implications for managers. Although it is unlikely to manipulate the factor like consumer’s social influence, retailers should not forgo such influence since it can significantly affect consumers’ purchasing decision as proven in this study. Given that male (agency-oriented) consumers’ purchase likelihood is likely to be higher in the presence of their friend(s), managers should offer the promotion that </w:t>
      </w:r>
      <w:r w:rsidRPr="009E5B5E">
        <w:rPr>
          <w:color w:val="000000" w:themeColor="text1"/>
          <w:sz w:val="24"/>
          <w:szCs w:val="24"/>
        </w:rPr>
        <w:lastRenderedPageBreak/>
        <w:t>will encourage male consumers to shop more with their friends. Retailers may be able to raise sales by designing shopping conditions that favor male (agency-oriented) consumers who shopping with friends.</w:t>
      </w:r>
    </w:p>
    <w:tbl>
      <w:tblPr>
        <w:tblStyle w:val="MediumGrid3-Accent1"/>
        <w:tblpPr w:leftFromText="180" w:rightFromText="180" w:vertAnchor="text" w:horzAnchor="margin" w:tblpXSpec="center" w:tblpY="4231"/>
        <w:tblW w:w="9889" w:type="dxa"/>
        <w:tblLayout w:type="fixed"/>
        <w:tblLook w:val="04A0"/>
      </w:tblPr>
      <w:tblGrid>
        <w:gridCol w:w="1526"/>
        <w:gridCol w:w="1276"/>
        <w:gridCol w:w="1417"/>
        <w:gridCol w:w="1276"/>
        <w:gridCol w:w="1276"/>
        <w:gridCol w:w="1842"/>
        <w:gridCol w:w="1276"/>
      </w:tblGrid>
      <w:tr w:rsidR="00DA2247" w:rsidRPr="009E5B5E" w:rsidTr="005A408B">
        <w:trPr>
          <w:cnfStyle w:val="100000000000"/>
          <w:trHeight w:val="1550"/>
        </w:trPr>
        <w:tc>
          <w:tcPr>
            <w:cnfStyle w:val="001000000000"/>
            <w:tcW w:w="1526" w:type="dxa"/>
            <w:shd w:val="clear" w:color="auto" w:fill="548DD4" w:themeFill="text2" w:themeFillTint="99"/>
          </w:tcPr>
          <w:p w:rsidR="00DA2247" w:rsidRPr="009E5B5E" w:rsidRDefault="00DA2247" w:rsidP="005A408B">
            <w:pPr>
              <w:spacing w:line="360" w:lineRule="auto"/>
              <w:jc w:val="both"/>
              <w:rPr>
                <w:color w:val="000000" w:themeColor="text1"/>
                <w:sz w:val="20"/>
                <w:szCs w:val="20"/>
              </w:rPr>
            </w:pPr>
          </w:p>
        </w:tc>
        <w:tc>
          <w:tcPr>
            <w:tcW w:w="1276" w:type="dxa"/>
            <w:shd w:val="clear" w:color="auto" w:fill="548DD4" w:themeFill="text2" w:themeFillTint="99"/>
          </w:tcPr>
          <w:p w:rsidR="00DA2247" w:rsidRPr="009E5B5E" w:rsidRDefault="00DA2247" w:rsidP="005A408B">
            <w:pPr>
              <w:spacing w:line="360" w:lineRule="auto"/>
              <w:cnfStyle w:val="100000000000"/>
              <w:rPr>
                <w:color w:val="000000" w:themeColor="text1"/>
                <w:sz w:val="20"/>
                <w:szCs w:val="20"/>
              </w:rPr>
            </w:pPr>
            <w:r w:rsidRPr="009E5B5E">
              <w:rPr>
                <w:color w:val="000000" w:themeColor="text1"/>
                <w:sz w:val="20"/>
                <w:szCs w:val="20"/>
              </w:rPr>
              <w:t>Frequency</w:t>
            </w:r>
          </w:p>
        </w:tc>
        <w:tc>
          <w:tcPr>
            <w:tcW w:w="1417" w:type="dxa"/>
            <w:shd w:val="clear" w:color="auto" w:fill="548DD4" w:themeFill="text2" w:themeFillTint="99"/>
          </w:tcPr>
          <w:p w:rsidR="00DA2247" w:rsidRPr="009E5B5E" w:rsidRDefault="00DA2247" w:rsidP="005A408B">
            <w:pPr>
              <w:spacing w:line="360" w:lineRule="auto"/>
              <w:cnfStyle w:val="100000000000"/>
              <w:rPr>
                <w:color w:val="000000" w:themeColor="text1"/>
                <w:sz w:val="20"/>
                <w:szCs w:val="20"/>
              </w:rPr>
            </w:pPr>
            <w:r w:rsidRPr="009E5B5E">
              <w:rPr>
                <w:color w:val="000000" w:themeColor="text1"/>
                <w:sz w:val="20"/>
                <w:szCs w:val="20"/>
              </w:rPr>
              <w:t>Percentage</w:t>
            </w:r>
            <w:r w:rsidRPr="009E5B5E">
              <w:rPr>
                <w:rStyle w:val="FootnoteReference"/>
                <w:color w:val="000000" w:themeColor="text1"/>
                <w:sz w:val="20"/>
                <w:szCs w:val="20"/>
              </w:rPr>
              <w:footnoteReference w:id="12"/>
            </w:r>
          </w:p>
        </w:tc>
        <w:tc>
          <w:tcPr>
            <w:tcW w:w="1276" w:type="dxa"/>
            <w:shd w:val="clear" w:color="auto" w:fill="548DD4" w:themeFill="text2" w:themeFillTint="99"/>
          </w:tcPr>
          <w:p w:rsidR="00DA2247" w:rsidRPr="009E5B5E" w:rsidRDefault="00DA2247" w:rsidP="005A408B">
            <w:pPr>
              <w:spacing w:line="360" w:lineRule="auto"/>
              <w:cnfStyle w:val="100000000000"/>
              <w:rPr>
                <w:color w:val="000000" w:themeColor="text1"/>
                <w:sz w:val="20"/>
                <w:szCs w:val="20"/>
              </w:rPr>
            </w:pPr>
            <w:r w:rsidRPr="009E5B5E">
              <w:rPr>
                <w:color w:val="000000" w:themeColor="text1"/>
                <w:sz w:val="20"/>
                <w:szCs w:val="20"/>
              </w:rPr>
              <w:t>Purchase likelihood</w:t>
            </w:r>
            <w:r w:rsidRPr="009E5B5E">
              <w:rPr>
                <w:rStyle w:val="FootnoteReference"/>
                <w:color w:val="000000" w:themeColor="text1"/>
                <w:sz w:val="20"/>
                <w:szCs w:val="20"/>
              </w:rPr>
              <w:footnoteReference w:id="13"/>
            </w:r>
          </w:p>
        </w:tc>
        <w:tc>
          <w:tcPr>
            <w:tcW w:w="1276" w:type="dxa"/>
            <w:shd w:val="clear" w:color="auto" w:fill="548DD4" w:themeFill="text2" w:themeFillTint="99"/>
          </w:tcPr>
          <w:p w:rsidR="00DA2247" w:rsidRPr="009E5B5E" w:rsidRDefault="00DA2247" w:rsidP="005A408B">
            <w:pPr>
              <w:spacing w:line="360" w:lineRule="auto"/>
              <w:cnfStyle w:val="100000000000"/>
              <w:rPr>
                <w:color w:val="000000" w:themeColor="text1"/>
                <w:sz w:val="20"/>
                <w:szCs w:val="20"/>
              </w:rPr>
            </w:pPr>
            <w:r w:rsidRPr="009E5B5E">
              <w:rPr>
                <w:color w:val="000000" w:themeColor="text1"/>
                <w:sz w:val="20"/>
                <w:szCs w:val="20"/>
              </w:rPr>
              <w:t>Purchases based on purchase likelihood</w:t>
            </w:r>
          </w:p>
        </w:tc>
        <w:tc>
          <w:tcPr>
            <w:tcW w:w="1842" w:type="dxa"/>
            <w:shd w:val="clear" w:color="auto" w:fill="548DD4" w:themeFill="text2" w:themeFillTint="99"/>
          </w:tcPr>
          <w:p w:rsidR="00DA2247" w:rsidRPr="009E5B5E" w:rsidRDefault="00DA2247" w:rsidP="005A408B">
            <w:pPr>
              <w:spacing w:line="360" w:lineRule="auto"/>
              <w:cnfStyle w:val="100000000000"/>
              <w:rPr>
                <w:color w:val="000000" w:themeColor="text1"/>
                <w:sz w:val="20"/>
                <w:szCs w:val="20"/>
              </w:rPr>
            </w:pPr>
            <w:r w:rsidRPr="009E5B5E">
              <w:rPr>
                <w:color w:val="000000" w:themeColor="text1"/>
                <w:sz w:val="20"/>
                <w:szCs w:val="20"/>
              </w:rPr>
              <w:t>Purchases based on purchase likelihood of male consumers shopping with friend</w:t>
            </w:r>
          </w:p>
        </w:tc>
        <w:tc>
          <w:tcPr>
            <w:tcW w:w="1276" w:type="dxa"/>
            <w:shd w:val="clear" w:color="auto" w:fill="548DD4" w:themeFill="text2" w:themeFillTint="99"/>
          </w:tcPr>
          <w:p w:rsidR="00DA2247" w:rsidRPr="009E5B5E" w:rsidRDefault="00DA2247" w:rsidP="005A408B">
            <w:pPr>
              <w:spacing w:line="360" w:lineRule="auto"/>
              <w:cnfStyle w:val="100000000000"/>
              <w:rPr>
                <w:color w:val="000000" w:themeColor="text1"/>
                <w:sz w:val="20"/>
                <w:szCs w:val="20"/>
              </w:rPr>
            </w:pPr>
            <w:r w:rsidRPr="009E5B5E">
              <w:rPr>
                <w:color w:val="000000" w:themeColor="text1"/>
                <w:sz w:val="20"/>
                <w:szCs w:val="20"/>
              </w:rPr>
              <w:t>Potential  purchases</w:t>
            </w:r>
          </w:p>
        </w:tc>
      </w:tr>
      <w:tr w:rsidR="00DA2247" w:rsidRPr="009E5B5E" w:rsidTr="005A408B">
        <w:trPr>
          <w:cnfStyle w:val="000000100000"/>
        </w:trPr>
        <w:tc>
          <w:tcPr>
            <w:cnfStyle w:val="001000000000"/>
            <w:tcW w:w="1526" w:type="dxa"/>
            <w:shd w:val="clear" w:color="auto" w:fill="548DD4" w:themeFill="text2" w:themeFillTint="99"/>
          </w:tcPr>
          <w:p w:rsidR="00DA2247" w:rsidRPr="009E5B5E" w:rsidRDefault="00DA2247" w:rsidP="005A408B">
            <w:pPr>
              <w:spacing w:line="360" w:lineRule="auto"/>
              <w:rPr>
                <w:color w:val="000000" w:themeColor="text1"/>
                <w:sz w:val="20"/>
                <w:szCs w:val="20"/>
              </w:rPr>
            </w:pPr>
            <w:r w:rsidRPr="009E5B5E">
              <w:rPr>
                <w:color w:val="000000" w:themeColor="text1"/>
                <w:sz w:val="20"/>
                <w:szCs w:val="20"/>
              </w:rPr>
              <w:t>Male consumers shopping with friend(s)</w:t>
            </w:r>
          </w:p>
        </w:tc>
        <w:tc>
          <w:tcPr>
            <w:tcW w:w="1276" w:type="dxa"/>
            <w:vAlign w:val="center"/>
          </w:tcPr>
          <w:p w:rsidR="00DA2247" w:rsidRPr="009E5B5E" w:rsidRDefault="00DA2247" w:rsidP="005A408B">
            <w:pPr>
              <w:spacing w:line="360" w:lineRule="auto"/>
              <w:jc w:val="center"/>
              <w:cnfStyle w:val="000000100000"/>
              <w:rPr>
                <w:color w:val="000000" w:themeColor="text1"/>
                <w:sz w:val="20"/>
                <w:szCs w:val="20"/>
              </w:rPr>
            </w:pPr>
            <w:r w:rsidRPr="009E5B5E">
              <w:rPr>
                <w:color w:val="000000" w:themeColor="text1"/>
                <w:sz w:val="20"/>
                <w:szCs w:val="20"/>
              </w:rPr>
              <w:t>966</w:t>
            </w:r>
          </w:p>
        </w:tc>
        <w:tc>
          <w:tcPr>
            <w:tcW w:w="1417" w:type="dxa"/>
            <w:vAlign w:val="center"/>
          </w:tcPr>
          <w:p w:rsidR="00DA2247" w:rsidRPr="009E5B5E" w:rsidRDefault="00DA2247" w:rsidP="005A408B">
            <w:pPr>
              <w:spacing w:line="360" w:lineRule="auto"/>
              <w:jc w:val="center"/>
              <w:cnfStyle w:val="000000100000"/>
              <w:rPr>
                <w:color w:val="000000" w:themeColor="text1"/>
                <w:sz w:val="20"/>
                <w:szCs w:val="20"/>
              </w:rPr>
            </w:pPr>
            <w:r w:rsidRPr="009E5B5E">
              <w:rPr>
                <w:color w:val="000000" w:themeColor="text1"/>
                <w:sz w:val="20"/>
                <w:szCs w:val="20"/>
              </w:rPr>
              <w:t>10.08%</w:t>
            </w:r>
          </w:p>
        </w:tc>
        <w:tc>
          <w:tcPr>
            <w:tcW w:w="1276" w:type="dxa"/>
            <w:vAlign w:val="center"/>
          </w:tcPr>
          <w:p w:rsidR="00DA2247" w:rsidRPr="009E5B5E" w:rsidRDefault="00DA2247" w:rsidP="005A408B">
            <w:pPr>
              <w:spacing w:line="360" w:lineRule="auto"/>
              <w:jc w:val="center"/>
              <w:cnfStyle w:val="000000100000"/>
              <w:rPr>
                <w:color w:val="000000" w:themeColor="text1"/>
                <w:sz w:val="20"/>
                <w:szCs w:val="20"/>
              </w:rPr>
            </w:pPr>
            <w:r w:rsidRPr="009E5B5E">
              <w:rPr>
                <w:color w:val="000000" w:themeColor="text1"/>
                <w:sz w:val="20"/>
                <w:szCs w:val="20"/>
              </w:rPr>
              <w:t>29.48%</w:t>
            </w:r>
          </w:p>
        </w:tc>
        <w:tc>
          <w:tcPr>
            <w:tcW w:w="1276" w:type="dxa"/>
            <w:vAlign w:val="center"/>
          </w:tcPr>
          <w:p w:rsidR="00DA2247" w:rsidRPr="009E5B5E" w:rsidRDefault="00DA2247" w:rsidP="005A408B">
            <w:pPr>
              <w:spacing w:line="360" w:lineRule="auto"/>
              <w:jc w:val="center"/>
              <w:cnfStyle w:val="000000100000"/>
              <w:rPr>
                <w:color w:val="000000" w:themeColor="text1"/>
                <w:sz w:val="20"/>
                <w:szCs w:val="20"/>
              </w:rPr>
            </w:pPr>
            <w:r w:rsidRPr="009E5B5E">
              <w:rPr>
                <w:color w:val="000000" w:themeColor="text1"/>
                <w:sz w:val="20"/>
                <w:szCs w:val="20"/>
              </w:rPr>
              <w:t>285</w:t>
            </w:r>
          </w:p>
        </w:tc>
        <w:tc>
          <w:tcPr>
            <w:tcW w:w="1842" w:type="dxa"/>
            <w:vAlign w:val="center"/>
          </w:tcPr>
          <w:p w:rsidR="00DA2247" w:rsidRPr="009E5B5E" w:rsidRDefault="00DA2247" w:rsidP="005A408B">
            <w:pPr>
              <w:spacing w:line="360" w:lineRule="auto"/>
              <w:jc w:val="center"/>
              <w:cnfStyle w:val="000000100000"/>
              <w:rPr>
                <w:color w:val="000000" w:themeColor="text1"/>
                <w:sz w:val="20"/>
                <w:szCs w:val="20"/>
              </w:rPr>
            </w:pPr>
            <w:r w:rsidRPr="009E5B5E">
              <w:rPr>
                <w:color w:val="000000" w:themeColor="text1"/>
                <w:sz w:val="20"/>
                <w:szCs w:val="20"/>
              </w:rPr>
              <w:t>285</w:t>
            </w:r>
          </w:p>
        </w:tc>
        <w:tc>
          <w:tcPr>
            <w:tcW w:w="1276" w:type="dxa"/>
            <w:vAlign w:val="center"/>
          </w:tcPr>
          <w:p w:rsidR="00DA2247" w:rsidRPr="009E5B5E" w:rsidRDefault="00DA2247" w:rsidP="005A408B">
            <w:pPr>
              <w:spacing w:line="360" w:lineRule="auto"/>
              <w:jc w:val="center"/>
              <w:cnfStyle w:val="000000100000"/>
              <w:rPr>
                <w:color w:val="000000" w:themeColor="text1"/>
                <w:sz w:val="20"/>
                <w:szCs w:val="20"/>
              </w:rPr>
            </w:pPr>
            <w:r w:rsidRPr="009E5B5E">
              <w:rPr>
                <w:color w:val="000000" w:themeColor="text1"/>
                <w:sz w:val="20"/>
                <w:szCs w:val="20"/>
              </w:rPr>
              <w:t>/</w:t>
            </w:r>
          </w:p>
        </w:tc>
      </w:tr>
      <w:tr w:rsidR="00DA2247" w:rsidRPr="009E5B5E" w:rsidTr="005A408B">
        <w:tc>
          <w:tcPr>
            <w:cnfStyle w:val="001000000000"/>
            <w:tcW w:w="1526" w:type="dxa"/>
            <w:shd w:val="clear" w:color="auto" w:fill="548DD4" w:themeFill="text2" w:themeFillTint="99"/>
          </w:tcPr>
          <w:p w:rsidR="00DA2247" w:rsidRPr="009E5B5E" w:rsidRDefault="00DA2247" w:rsidP="005A408B">
            <w:pPr>
              <w:spacing w:line="360" w:lineRule="auto"/>
              <w:rPr>
                <w:color w:val="000000" w:themeColor="text1"/>
                <w:sz w:val="20"/>
                <w:szCs w:val="20"/>
              </w:rPr>
            </w:pPr>
            <w:r w:rsidRPr="009E5B5E">
              <w:rPr>
                <w:color w:val="000000" w:themeColor="text1"/>
                <w:sz w:val="20"/>
                <w:szCs w:val="20"/>
              </w:rPr>
              <w:t>Male Consumers shopping alone</w:t>
            </w:r>
          </w:p>
        </w:tc>
        <w:tc>
          <w:tcPr>
            <w:tcW w:w="1276" w:type="dxa"/>
            <w:vAlign w:val="center"/>
          </w:tcPr>
          <w:p w:rsidR="00DA2247" w:rsidRPr="009E5B5E" w:rsidRDefault="00DA2247" w:rsidP="005A408B">
            <w:pPr>
              <w:spacing w:line="360" w:lineRule="auto"/>
              <w:jc w:val="center"/>
              <w:cnfStyle w:val="000000000000"/>
              <w:rPr>
                <w:color w:val="000000" w:themeColor="text1"/>
                <w:sz w:val="20"/>
                <w:szCs w:val="20"/>
              </w:rPr>
            </w:pPr>
            <w:r w:rsidRPr="009E5B5E">
              <w:rPr>
                <w:color w:val="000000" w:themeColor="text1"/>
                <w:sz w:val="20"/>
                <w:szCs w:val="20"/>
              </w:rPr>
              <w:t>458</w:t>
            </w:r>
          </w:p>
        </w:tc>
        <w:tc>
          <w:tcPr>
            <w:tcW w:w="1417" w:type="dxa"/>
            <w:vAlign w:val="center"/>
          </w:tcPr>
          <w:p w:rsidR="00DA2247" w:rsidRPr="009E5B5E" w:rsidRDefault="00DA2247" w:rsidP="005A408B">
            <w:pPr>
              <w:spacing w:line="360" w:lineRule="auto"/>
              <w:jc w:val="center"/>
              <w:cnfStyle w:val="000000000000"/>
              <w:rPr>
                <w:color w:val="000000" w:themeColor="text1"/>
                <w:sz w:val="20"/>
                <w:szCs w:val="20"/>
              </w:rPr>
            </w:pPr>
            <w:r w:rsidRPr="009E5B5E">
              <w:rPr>
                <w:color w:val="000000" w:themeColor="text1"/>
                <w:sz w:val="20"/>
                <w:szCs w:val="20"/>
              </w:rPr>
              <w:t>4.78%</w:t>
            </w:r>
          </w:p>
        </w:tc>
        <w:tc>
          <w:tcPr>
            <w:tcW w:w="1276" w:type="dxa"/>
            <w:vAlign w:val="center"/>
          </w:tcPr>
          <w:p w:rsidR="00DA2247" w:rsidRPr="009E5B5E" w:rsidRDefault="00DA2247" w:rsidP="005A408B">
            <w:pPr>
              <w:spacing w:line="360" w:lineRule="auto"/>
              <w:jc w:val="center"/>
              <w:cnfStyle w:val="000000000000"/>
              <w:rPr>
                <w:color w:val="000000" w:themeColor="text1"/>
                <w:sz w:val="20"/>
                <w:szCs w:val="20"/>
              </w:rPr>
            </w:pPr>
            <w:r w:rsidRPr="009E5B5E">
              <w:rPr>
                <w:color w:val="000000" w:themeColor="text1"/>
                <w:sz w:val="20"/>
                <w:szCs w:val="20"/>
              </w:rPr>
              <w:t>8.23%</w:t>
            </w:r>
          </w:p>
        </w:tc>
        <w:tc>
          <w:tcPr>
            <w:tcW w:w="1276" w:type="dxa"/>
            <w:vAlign w:val="center"/>
          </w:tcPr>
          <w:p w:rsidR="00DA2247" w:rsidRPr="009E5B5E" w:rsidRDefault="00DA2247" w:rsidP="005A408B">
            <w:pPr>
              <w:spacing w:line="360" w:lineRule="auto"/>
              <w:jc w:val="center"/>
              <w:cnfStyle w:val="000000000000"/>
              <w:rPr>
                <w:color w:val="000000" w:themeColor="text1"/>
                <w:sz w:val="20"/>
                <w:szCs w:val="20"/>
              </w:rPr>
            </w:pPr>
            <w:r w:rsidRPr="009E5B5E">
              <w:rPr>
                <w:color w:val="000000" w:themeColor="text1"/>
                <w:sz w:val="20"/>
                <w:szCs w:val="20"/>
              </w:rPr>
              <w:t>38</w:t>
            </w:r>
          </w:p>
        </w:tc>
        <w:tc>
          <w:tcPr>
            <w:tcW w:w="1842" w:type="dxa"/>
            <w:vAlign w:val="center"/>
          </w:tcPr>
          <w:p w:rsidR="00DA2247" w:rsidRPr="009E5B5E" w:rsidRDefault="00DA2247" w:rsidP="005A408B">
            <w:pPr>
              <w:spacing w:line="360" w:lineRule="auto"/>
              <w:jc w:val="center"/>
              <w:cnfStyle w:val="000000000000"/>
              <w:rPr>
                <w:color w:val="000000" w:themeColor="text1"/>
                <w:sz w:val="20"/>
                <w:szCs w:val="20"/>
              </w:rPr>
            </w:pPr>
            <w:r w:rsidRPr="009E5B5E">
              <w:rPr>
                <w:color w:val="000000" w:themeColor="text1"/>
                <w:sz w:val="20"/>
                <w:szCs w:val="20"/>
              </w:rPr>
              <w:t>135</w:t>
            </w:r>
          </w:p>
        </w:tc>
        <w:tc>
          <w:tcPr>
            <w:tcW w:w="1276" w:type="dxa"/>
            <w:vAlign w:val="center"/>
          </w:tcPr>
          <w:p w:rsidR="00DA2247" w:rsidRPr="009E5B5E" w:rsidRDefault="00DA2247" w:rsidP="005A408B">
            <w:pPr>
              <w:spacing w:line="360" w:lineRule="auto"/>
              <w:jc w:val="center"/>
              <w:cnfStyle w:val="000000000000"/>
              <w:rPr>
                <w:color w:val="000000" w:themeColor="text1"/>
                <w:sz w:val="20"/>
                <w:szCs w:val="20"/>
              </w:rPr>
            </w:pPr>
            <w:r w:rsidRPr="009E5B5E">
              <w:rPr>
                <w:color w:val="000000" w:themeColor="text1"/>
                <w:sz w:val="20"/>
                <w:szCs w:val="20"/>
              </w:rPr>
              <w:t>97</w:t>
            </w:r>
          </w:p>
        </w:tc>
      </w:tr>
    </w:tbl>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To illustrate how the above recommendation for managers could be translated into monetary gain, the calculation displayed in table 8 shows how many more purchases that male consumers shopping alone would make if they would have come to the store with friend. As computed from the gender specific model, purchase likelihood of male consumers shopping with friends is 29.48% while that of male consumers shopping alone is 8.23%. Furthermore, we know that gender of 2,653 observations out of the total (9,577) can be identified, 966 observations are found to be male consumers shopping with friends and 458 observations are male consumers shopping alone. </w:t>
      </w: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Table 13: Calculation of potential purchases </w:t>
      </w:r>
      <w:r w:rsidRPr="009E5B5E">
        <w:rPr>
          <w:sz w:val="24"/>
          <w:szCs w:val="24"/>
        </w:rPr>
        <w:t>to be made by male consumers who shop alone</w:t>
      </w:r>
    </w:p>
    <w:p w:rsidR="00DA2247" w:rsidRPr="009E5B5E" w:rsidRDefault="00DA2247" w:rsidP="00DA2247">
      <w:pPr>
        <w:spacing w:line="360" w:lineRule="auto"/>
        <w:jc w:val="both"/>
        <w:rPr>
          <w:color w:val="000000" w:themeColor="text1"/>
          <w:sz w:val="24"/>
          <w:szCs w:val="24"/>
        </w:rPr>
      </w:pPr>
    </w:p>
    <w:p w:rsidR="00DA2247" w:rsidRPr="009E5B5E" w:rsidRDefault="00DA2247" w:rsidP="00DA2247">
      <w:pPr>
        <w:spacing w:line="360" w:lineRule="auto"/>
        <w:jc w:val="both"/>
        <w:rPr>
          <w:color w:val="000000" w:themeColor="text1"/>
          <w:sz w:val="24"/>
          <w:szCs w:val="24"/>
        </w:rPr>
      </w:pPr>
      <w:r w:rsidRPr="009E5B5E">
        <w:rPr>
          <w:color w:val="000000" w:themeColor="text1"/>
          <w:sz w:val="24"/>
          <w:szCs w:val="24"/>
        </w:rPr>
        <w:t xml:space="preserve">If 458 observations of male consumers who shopping alone would have the purchase likelihood of those who shopping with friends, there would be approximately 97 more purchases made in the period of three weeks. This means that if the store would promote and encourage shopping with friends among male consumers, the store could raise the transactions </w:t>
      </w:r>
      <w:r w:rsidRPr="009E5B5E">
        <w:rPr>
          <w:color w:val="000000" w:themeColor="text1"/>
          <w:sz w:val="24"/>
          <w:szCs w:val="24"/>
        </w:rPr>
        <w:lastRenderedPageBreak/>
        <w:t>by roughly 30.03%</w:t>
      </w:r>
      <w:r w:rsidRPr="009E5B5E">
        <w:rPr>
          <w:rStyle w:val="FootnoteReference"/>
          <w:color w:val="000000" w:themeColor="text1"/>
          <w:sz w:val="24"/>
          <w:szCs w:val="24"/>
        </w:rPr>
        <w:footnoteReference w:id="14"/>
      </w:r>
      <w:r w:rsidRPr="009E5B5E">
        <w:rPr>
          <w:color w:val="000000" w:themeColor="text1"/>
          <w:sz w:val="24"/>
          <w:szCs w:val="24"/>
        </w:rPr>
        <w:t xml:space="preserve"> or 32 purchases per week</w:t>
      </w:r>
      <w:r w:rsidRPr="009E5B5E">
        <w:rPr>
          <w:color w:val="1F497D" w:themeColor="text2"/>
          <w:sz w:val="24"/>
          <w:szCs w:val="24"/>
        </w:rPr>
        <w:t xml:space="preserve">, </w:t>
      </w:r>
      <w:r w:rsidRPr="009E5B5E">
        <w:rPr>
          <w:color w:val="000000" w:themeColor="text1"/>
          <w:sz w:val="24"/>
          <w:szCs w:val="24"/>
        </w:rPr>
        <w:t>and therefore 1,664 purchases per year. Based on the total annual revenue of the store where the data was collected which is nearly 130 million euro</w:t>
      </w:r>
      <w:r w:rsidRPr="009E5B5E">
        <w:rPr>
          <w:rStyle w:val="FootnoteReference"/>
          <w:color w:val="000000" w:themeColor="text1"/>
          <w:sz w:val="24"/>
          <w:szCs w:val="24"/>
        </w:rPr>
        <w:footnoteReference w:id="15"/>
      </w:r>
      <w:r w:rsidRPr="009E5B5E">
        <w:rPr>
          <w:color w:val="000000" w:themeColor="text1"/>
          <w:sz w:val="24"/>
          <w:szCs w:val="24"/>
        </w:rPr>
        <w:t>, roughly 1.87 million euro</w:t>
      </w:r>
      <w:r w:rsidRPr="009E5B5E">
        <w:rPr>
          <w:rStyle w:val="FootnoteReference"/>
          <w:color w:val="000000" w:themeColor="text1"/>
          <w:sz w:val="24"/>
          <w:szCs w:val="24"/>
        </w:rPr>
        <w:footnoteReference w:id="16"/>
      </w:r>
      <w:r w:rsidRPr="009E5B5E">
        <w:rPr>
          <w:color w:val="000000" w:themeColor="text1"/>
          <w:sz w:val="24"/>
          <w:szCs w:val="24"/>
        </w:rPr>
        <w:t xml:space="preserve"> of revenue could be raise per year by offering ‘shopping with friend’ promotion favoring male consumers. However, it is important to note that this number is conditional to (1) the assumption that each purchase equal one euro, and (2) the limitation that 4.78% only represent the number of male consumers who shopping alone which can be identify in the dataset; therefore, it may or may not represent the real proportion of male consumers who shopping alone in this particular store.</w:t>
      </w:r>
    </w:p>
    <w:p w:rsidR="00DA2247" w:rsidRPr="009E5B5E" w:rsidRDefault="00DA2247" w:rsidP="00DA2247">
      <w:pPr>
        <w:spacing w:line="360" w:lineRule="auto"/>
        <w:jc w:val="both"/>
        <w:rPr>
          <w:color w:val="000000" w:themeColor="text1"/>
          <w:sz w:val="32"/>
          <w:szCs w:val="32"/>
        </w:rPr>
      </w:pPr>
      <w:r w:rsidRPr="009E5B5E">
        <w:rPr>
          <w:b/>
          <w:bCs/>
          <w:color w:val="000000" w:themeColor="text1"/>
          <w:sz w:val="32"/>
          <w:szCs w:val="32"/>
        </w:rPr>
        <w:t>5.3 Limitations and Future Research</w:t>
      </w:r>
    </w:p>
    <w:p w:rsidR="00DA2247" w:rsidRPr="009E5B5E" w:rsidRDefault="00DA2247" w:rsidP="00DA2247">
      <w:pPr>
        <w:spacing w:line="360" w:lineRule="auto"/>
        <w:jc w:val="both"/>
        <w:rPr>
          <w:sz w:val="24"/>
          <w:szCs w:val="24"/>
        </w:rPr>
      </w:pPr>
      <w:r w:rsidRPr="009E5B5E">
        <w:rPr>
          <w:sz w:val="24"/>
          <w:szCs w:val="24"/>
        </w:rPr>
        <w:t xml:space="preserve">The first and most important limitation of this master thesis is the uncertainty in measurement of </w:t>
      </w:r>
      <w:r w:rsidRPr="009E5B5E">
        <w:rPr>
          <w:i/>
          <w:iCs/>
          <w:sz w:val="24"/>
          <w:szCs w:val="24"/>
        </w:rPr>
        <w:t>friend</w:t>
      </w:r>
      <w:r w:rsidRPr="009E5B5E">
        <w:rPr>
          <w:sz w:val="24"/>
          <w:szCs w:val="24"/>
        </w:rPr>
        <w:t xml:space="preserve"> data. Since the dataset was collected and managed by other party, it was guaranteed that with respect to friend data measurement every single observation was, and that people shopping together were considered as those who arrived and left at the same time stamp at the entrance of the store. However, when the data was obtained and visually inspected for the sake of the analysis, the time stamps upon arrival to and departure from the store entrance of some observations considered as shopping together did not coincide. In fact, this issue could be solved if the access to the raw data and resource as time were available, though that was not the case for this study. Therefore, such uncertainty in measurement and definition of shopping with friend(s) in the dataset may possibly create some potential threat to the validity of the results of this master thesis. </w:t>
      </w:r>
    </w:p>
    <w:p w:rsidR="00DA2247" w:rsidRDefault="00DA2247" w:rsidP="00DA2247">
      <w:pPr>
        <w:spacing w:line="360" w:lineRule="auto"/>
        <w:jc w:val="both"/>
        <w:rPr>
          <w:sz w:val="24"/>
          <w:szCs w:val="24"/>
        </w:rPr>
      </w:pPr>
      <w:r w:rsidRPr="009E5B5E">
        <w:rPr>
          <w:sz w:val="24"/>
          <w:szCs w:val="24"/>
        </w:rPr>
        <w:t xml:space="preserve">Second limitation is measurement of </w:t>
      </w:r>
      <w:r w:rsidRPr="009E5B5E">
        <w:rPr>
          <w:i/>
          <w:iCs/>
          <w:sz w:val="24"/>
          <w:szCs w:val="24"/>
        </w:rPr>
        <w:t>gender</w:t>
      </w:r>
      <w:r w:rsidRPr="009E5B5E">
        <w:rPr>
          <w:sz w:val="24"/>
          <w:szCs w:val="24"/>
        </w:rPr>
        <w:t xml:space="preserve"> data. Since it was impossible to track the gender of consumers with BIPS technology regarding privacy matter, the best measure in this case was   considering those who visited only men or women department and then visited fitting room as male and female consumers respectively. However, the weakness of this measure is that it is not the most accurate in comparison to when gender is measured directly. Therefore, this could also create the bias in the results of this study.</w:t>
      </w:r>
    </w:p>
    <w:p w:rsidR="00DA2247" w:rsidRPr="003B1CBD" w:rsidRDefault="00DA2247" w:rsidP="003B1CBD">
      <w:pPr>
        <w:spacing w:line="360" w:lineRule="auto"/>
        <w:jc w:val="both"/>
        <w:rPr>
          <w:sz w:val="24"/>
          <w:szCs w:val="24"/>
        </w:rPr>
      </w:pPr>
      <w:r w:rsidRPr="00F96E97">
        <w:rPr>
          <w:sz w:val="24"/>
          <w:szCs w:val="24"/>
        </w:rPr>
        <w:t xml:space="preserve">The last limitation in this study is that there seems to be relatively low variation in the data. For instance, 84% of the observations were the consumers who visited the store when in-store </w:t>
      </w:r>
      <w:r w:rsidRPr="00F96E97">
        <w:rPr>
          <w:sz w:val="24"/>
          <w:szCs w:val="24"/>
        </w:rPr>
        <w:lastRenderedPageBreak/>
        <w:t xml:space="preserve">marketing strategies (sale, display renewal, and product relocation) </w:t>
      </w:r>
      <w:r w:rsidR="003B1CBD" w:rsidRPr="00F96E97">
        <w:rPr>
          <w:sz w:val="24"/>
          <w:szCs w:val="24"/>
        </w:rPr>
        <w:t>were</w:t>
      </w:r>
      <w:r w:rsidRPr="00F96E97">
        <w:rPr>
          <w:sz w:val="24"/>
          <w:szCs w:val="24"/>
        </w:rPr>
        <w:t xml:space="preserve"> present. This is one of the reasons </w:t>
      </w:r>
      <w:r w:rsidR="003B1CBD" w:rsidRPr="00F96E97">
        <w:rPr>
          <w:sz w:val="24"/>
          <w:szCs w:val="24"/>
        </w:rPr>
        <w:t xml:space="preserve">that may explain the </w:t>
      </w:r>
      <w:r w:rsidRPr="00F96E97">
        <w:rPr>
          <w:sz w:val="24"/>
          <w:szCs w:val="24"/>
        </w:rPr>
        <w:t>non-significant results. To solve the issue, a longer period of data collection (e.g. 6 months or 1 year) would allow me to obtain more generalizable results.</w:t>
      </w:r>
    </w:p>
    <w:p w:rsidR="00DA2247" w:rsidRPr="009E5B5E" w:rsidRDefault="00DA2247" w:rsidP="003B1CBD">
      <w:pPr>
        <w:tabs>
          <w:tab w:val="left" w:pos="7050"/>
        </w:tabs>
        <w:spacing w:line="360" w:lineRule="auto"/>
        <w:jc w:val="both"/>
        <w:rPr>
          <w:sz w:val="24"/>
          <w:szCs w:val="24"/>
        </w:rPr>
      </w:pPr>
      <w:r w:rsidRPr="003B1CBD">
        <w:rPr>
          <w:sz w:val="24"/>
          <w:szCs w:val="24"/>
        </w:rPr>
        <w:t xml:space="preserve">For further research, it is interesting to further </w:t>
      </w:r>
      <w:r w:rsidRPr="003B1CBD">
        <w:rPr>
          <w:color w:val="000000" w:themeColor="text1"/>
          <w:sz w:val="24"/>
          <w:szCs w:val="24"/>
        </w:rPr>
        <w:t>inve</w:t>
      </w:r>
      <w:r w:rsidRPr="009E5B5E">
        <w:rPr>
          <w:color w:val="000000" w:themeColor="text1"/>
          <w:sz w:val="24"/>
          <w:szCs w:val="24"/>
        </w:rPr>
        <w:t>stigate the relationship between friend’s presence and consumers purchasing decision for different product categories in order to explore</w:t>
      </w:r>
      <w:r w:rsidRPr="009E5B5E">
        <w:rPr>
          <w:color w:val="1F497D" w:themeColor="text2"/>
          <w:sz w:val="24"/>
          <w:szCs w:val="24"/>
        </w:rPr>
        <w:t xml:space="preserve"> </w:t>
      </w:r>
      <w:r w:rsidRPr="009E5B5E">
        <w:rPr>
          <w:sz w:val="24"/>
          <w:szCs w:val="24"/>
        </w:rPr>
        <w:t xml:space="preserve">whether there are conditions under which female (communion-oriented)/ male (agency-oriented) consumers will be likely to have higher/ unchanged purchase likelihood when shopping with friends in comparison to when shopping </w:t>
      </w:r>
      <w:r w:rsidRPr="009E5B5E">
        <w:rPr>
          <w:color w:val="000000" w:themeColor="text1"/>
          <w:sz w:val="24"/>
          <w:szCs w:val="24"/>
        </w:rPr>
        <w:t xml:space="preserve">alone. For example, there may be some product categories like a gift or a present for someone else, which motive female (communion-oriented) consumers to not convey an </w:t>
      </w:r>
      <w:r w:rsidRPr="009E5B5E">
        <w:rPr>
          <w:sz w:val="24"/>
          <w:szCs w:val="24"/>
        </w:rPr>
        <w:t>impression of being modest when purchasing it. In such context, modesty concerns may not be the case and other types of impression concerns, such as being a generous friend, may take place instead.</w:t>
      </w:r>
    </w:p>
    <w:p w:rsidR="00DA2247" w:rsidRPr="009E5B5E" w:rsidRDefault="00DA2247" w:rsidP="00DA2247">
      <w:pPr>
        <w:jc w:val="both"/>
        <w:rPr>
          <w:rFonts w:eastAsia="Times New Roman" w:cs="Arial"/>
          <w:b/>
          <w:bCs/>
          <w:i/>
          <w:iCs/>
          <w:color w:val="1F497D" w:themeColor="text2"/>
          <w:sz w:val="24"/>
          <w:szCs w:val="24"/>
          <w:lang w:bidi="ar-SA"/>
        </w:rPr>
      </w:pPr>
      <w:r w:rsidRPr="009E5B5E">
        <w:rPr>
          <w:sz w:val="24"/>
          <w:szCs w:val="24"/>
        </w:rPr>
        <w:br w:type="page"/>
      </w:r>
      <w:r w:rsidRPr="009E5B5E">
        <w:rPr>
          <w:rFonts w:cstheme="minorHAnsi"/>
          <w:b/>
          <w:bCs/>
          <w:sz w:val="40"/>
          <w:szCs w:val="40"/>
        </w:rPr>
        <w:lastRenderedPageBreak/>
        <w:t>References</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Aiken, Lewis R., Jr. (1963), "The Relationships of Dress to Selected Measures of Personality in Undergraduate Women," </w:t>
      </w:r>
      <w:r w:rsidRPr="009E5B5E">
        <w:rPr>
          <w:rFonts w:ascii="Cambria" w:hAnsi="Cambria" w:cs="PANKGI+TimesNewRoman,Italic"/>
          <w:i/>
          <w:iCs/>
          <w:color w:val="000000"/>
          <w:sz w:val="24"/>
          <w:szCs w:val="24"/>
        </w:rPr>
        <w:t>Journal of Social Psychology</w:t>
      </w:r>
      <w:r w:rsidRPr="009E5B5E">
        <w:rPr>
          <w:rFonts w:ascii="Cambria" w:hAnsi="Cambria" w:cs="PANKGI+TimesNewRoman,Italic"/>
          <w:color w:val="000000"/>
          <w:sz w:val="24"/>
          <w:szCs w:val="24"/>
        </w:rPr>
        <w:t xml:space="preserve">, </w:t>
      </w:r>
      <w:r w:rsidRPr="009E5B5E">
        <w:rPr>
          <w:rFonts w:ascii="Cambria" w:hAnsi="Cambria" w:cs="PANKAK+TimesNewRoman"/>
          <w:color w:val="000000"/>
          <w:sz w:val="24"/>
          <w:szCs w:val="24"/>
        </w:rPr>
        <w:t>59, 119-128.</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Italic"/>
          <w:sz w:val="24"/>
          <w:szCs w:val="24"/>
          <w:lang w:bidi="th-TH"/>
        </w:rPr>
        <w:t xml:space="preserve">Andrews, Rick L. and T. C. Srinivasan. (1995), “Studying Consideration Effects in Empirical Choice Models Using Scanner Panel Data,” </w:t>
      </w:r>
      <w:r w:rsidRPr="009E5B5E">
        <w:rPr>
          <w:rFonts w:ascii="Cambria" w:eastAsiaTheme="minorHAnsi" w:hAnsi="Cambria" w:cs="Times-Italic"/>
          <w:i/>
          <w:iCs/>
          <w:sz w:val="24"/>
          <w:szCs w:val="24"/>
          <w:lang w:bidi="th-TH"/>
        </w:rPr>
        <w:t>Journal of Marketing Research</w:t>
      </w:r>
      <w:r w:rsidRPr="009E5B5E">
        <w:rPr>
          <w:rFonts w:ascii="Cambria" w:eastAsiaTheme="minorHAnsi" w:hAnsi="Cambria" w:cs="Times-Italic"/>
          <w:sz w:val="24"/>
          <w:szCs w:val="24"/>
          <w:lang w:bidi="th-TH"/>
        </w:rPr>
        <w:t>, 32 (1), 30-41</w:t>
      </w:r>
      <w:r w:rsidRPr="009E5B5E">
        <w:rPr>
          <w:rFonts w:ascii="Cambria" w:hAnsi="Cambria"/>
          <w:sz w:val="24"/>
          <w:szCs w:val="24"/>
        </w:rPr>
        <w:t>.</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Argo, Jennifer J., Darren W. Dahl, and Rajesh V. Manchanda (2005), “The Influence of a Mere Social Presence in a Retail Context,” </w:t>
      </w:r>
      <w:r w:rsidRPr="009E5B5E">
        <w:rPr>
          <w:rFonts w:ascii="Cambria" w:hAnsi="Cambria"/>
          <w:i/>
          <w:iCs/>
          <w:sz w:val="24"/>
          <w:szCs w:val="24"/>
        </w:rPr>
        <w:t>Journal of Consumer Research</w:t>
      </w:r>
      <w:r w:rsidRPr="009E5B5E">
        <w:rPr>
          <w:rFonts w:ascii="Cambria" w:hAnsi="Cambria"/>
          <w:sz w:val="24"/>
          <w:szCs w:val="24"/>
        </w:rPr>
        <w:t>, 32 (2), 207–212.</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Aribarg, Anocha, Neeraj Arora, and H. Onur Bodur (2002), “Understanding the Role of Preference Revision and Concession in Group Decisions,” </w:t>
      </w:r>
      <w:r w:rsidRPr="009E5B5E">
        <w:rPr>
          <w:rFonts w:ascii="Cambria" w:hAnsi="Cambria"/>
          <w:i/>
          <w:iCs/>
          <w:sz w:val="24"/>
          <w:szCs w:val="24"/>
        </w:rPr>
        <w:t>Journal of Marketing Research</w:t>
      </w:r>
      <w:r w:rsidRPr="009E5B5E">
        <w:rPr>
          <w:rFonts w:ascii="Cambria" w:hAnsi="Cambria"/>
          <w:sz w:val="24"/>
          <w:szCs w:val="24"/>
        </w:rPr>
        <w:t>, 39 (3), 336-349</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hAnsi="Cambria"/>
          <w:sz w:val="24"/>
          <w:szCs w:val="24"/>
        </w:rPr>
        <w:t xml:space="preserve">Ariely, Dan and Jonathan Levav (2000), “Sequential Choice in Group Settings: Taking the Road Less Traveled and Less Enjoyed,” </w:t>
      </w:r>
      <w:r w:rsidRPr="009E5B5E">
        <w:rPr>
          <w:rFonts w:ascii="Cambria" w:hAnsi="Cambria"/>
          <w:i/>
          <w:iCs/>
          <w:sz w:val="24"/>
          <w:szCs w:val="24"/>
        </w:rPr>
        <w:t>Journal of Consumer Research</w:t>
      </w:r>
      <w:r w:rsidRPr="009E5B5E">
        <w:rPr>
          <w:rFonts w:ascii="Cambria" w:hAnsi="Cambria"/>
          <w:sz w:val="24"/>
          <w:szCs w:val="24"/>
        </w:rPr>
        <w:t xml:space="preserve">, 27 (4), 279–90. </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Italic"/>
          <w:sz w:val="24"/>
          <w:szCs w:val="24"/>
          <w:lang w:bidi="th-TH"/>
        </w:rPr>
        <w:t xml:space="preserve">Arkes, Hal R., Cynthia A. Joyner, Mark V. Pezzo, Jane Gradwohl Nash, Karen Siegel-Jacobs, and Eric Stone (1994), “The Psychology of Windfall Gains,” </w:t>
      </w:r>
      <w:r w:rsidRPr="009E5B5E">
        <w:rPr>
          <w:rFonts w:ascii="Cambria" w:eastAsiaTheme="minorHAnsi" w:hAnsi="Cambria" w:cs="Times-Italic"/>
          <w:i/>
          <w:iCs/>
          <w:sz w:val="24"/>
          <w:szCs w:val="24"/>
          <w:lang w:bidi="th-TH"/>
        </w:rPr>
        <w:t>Organizational Behavior &amp; Human Decision Processes</w:t>
      </w:r>
      <w:r w:rsidRPr="009E5B5E">
        <w:rPr>
          <w:rFonts w:ascii="Cambria" w:eastAsiaTheme="minorHAnsi" w:hAnsi="Cambria" w:cs="Times-Italic"/>
          <w:sz w:val="24"/>
          <w:szCs w:val="24"/>
          <w:lang w:bidi="th-TH"/>
        </w:rPr>
        <w:t>, 59(September), 331-48.</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Roman"/>
          <w:sz w:val="24"/>
          <w:szCs w:val="24"/>
          <w:lang w:bidi="th-TH"/>
        </w:rPr>
        <w:t xml:space="preserve">Arkin, Robert M. (1981), “Self-Presentation Styles,” in </w:t>
      </w:r>
      <w:r w:rsidRPr="009E5B5E">
        <w:rPr>
          <w:rFonts w:ascii="Cambria" w:eastAsiaTheme="minorHAnsi" w:hAnsi="Cambria" w:cs="Times-Italic"/>
          <w:i/>
          <w:iCs/>
          <w:sz w:val="24"/>
          <w:szCs w:val="24"/>
          <w:lang w:bidi="th-TH"/>
        </w:rPr>
        <w:t>Impression</w:t>
      </w:r>
      <w:r w:rsidRPr="009E5B5E">
        <w:rPr>
          <w:rFonts w:ascii="Cambria" w:hAnsi="Cambria" w:cs="PANKAK+TimesNewRoman"/>
          <w:color w:val="000000"/>
          <w:sz w:val="24"/>
          <w:szCs w:val="24"/>
        </w:rPr>
        <w:t xml:space="preserve"> </w:t>
      </w:r>
      <w:r w:rsidRPr="009E5B5E">
        <w:rPr>
          <w:rFonts w:ascii="Cambria" w:eastAsiaTheme="minorHAnsi" w:hAnsi="Cambria" w:cs="Times-Italic"/>
          <w:i/>
          <w:iCs/>
          <w:sz w:val="24"/>
          <w:szCs w:val="24"/>
          <w:lang w:bidi="th-TH"/>
        </w:rPr>
        <w:t>Management Theory and Social Psychological Research</w:t>
      </w:r>
      <w:r w:rsidRPr="009E5B5E">
        <w:rPr>
          <w:rFonts w:ascii="Cambria" w:eastAsiaTheme="minorHAnsi" w:hAnsi="Cambria" w:cs="Times-Roman"/>
          <w:sz w:val="24"/>
          <w:szCs w:val="24"/>
          <w:lang w:bidi="th-TH"/>
        </w:rPr>
        <w:t>, James</w:t>
      </w:r>
      <w:r w:rsidRPr="009E5B5E">
        <w:rPr>
          <w:rFonts w:ascii="Cambria" w:hAnsi="Cambria" w:cs="PANKAK+TimesNewRoman"/>
          <w:color w:val="000000"/>
          <w:sz w:val="24"/>
          <w:szCs w:val="24"/>
        </w:rPr>
        <w:t xml:space="preserve"> </w:t>
      </w:r>
      <w:r w:rsidRPr="009E5B5E">
        <w:rPr>
          <w:rFonts w:ascii="Cambria" w:eastAsiaTheme="minorHAnsi" w:hAnsi="Cambria" w:cs="Times-Roman"/>
          <w:sz w:val="24"/>
          <w:szCs w:val="24"/>
          <w:lang w:bidi="th-TH"/>
        </w:rPr>
        <w:t>T. Tedeschi ed. New York: Academic Press, 311–333.</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Bakan, David (1966), </w:t>
      </w:r>
      <w:r w:rsidRPr="009E5B5E">
        <w:rPr>
          <w:rFonts w:ascii="Cambria" w:hAnsi="Cambria"/>
          <w:i/>
          <w:iCs/>
          <w:sz w:val="24"/>
          <w:szCs w:val="24"/>
        </w:rPr>
        <w:t>The Duality of Human Existence</w:t>
      </w:r>
      <w:r w:rsidRPr="009E5B5E">
        <w:rPr>
          <w:rFonts w:ascii="Cambria" w:hAnsi="Cambria"/>
          <w:sz w:val="24"/>
          <w:szCs w:val="24"/>
        </w:rPr>
        <w:t>. Chicago: Rand McNally &amp; Company.</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shd w:val="clear" w:color="auto" w:fill="FFFFFF"/>
        </w:rPr>
        <w:t>Bateson, John E. G. and Michael K. Hui (1987), "A</w:t>
      </w:r>
      <w:r w:rsidRPr="009E5B5E">
        <w:rPr>
          <w:rStyle w:val="apple-converted-space"/>
          <w:rFonts w:ascii="Cambria" w:hAnsi="Cambria" w:cs="Arial"/>
          <w:color w:val="000000"/>
          <w:sz w:val="24"/>
          <w:szCs w:val="24"/>
          <w:shd w:val="clear" w:color="auto" w:fill="FFFFFF"/>
        </w:rPr>
        <w:t> </w:t>
      </w:r>
      <w:r w:rsidRPr="009E5B5E">
        <w:rPr>
          <w:rFonts w:ascii="Cambria" w:hAnsi="Cambria"/>
          <w:sz w:val="24"/>
          <w:szCs w:val="24"/>
          <w:shd w:val="clear" w:color="auto" w:fill="FFFFFF"/>
        </w:rPr>
        <w:t>Model</w:t>
      </w:r>
      <w:r w:rsidRPr="009E5B5E">
        <w:rPr>
          <w:rStyle w:val="apple-converted-space"/>
          <w:rFonts w:ascii="Cambria" w:hAnsi="Cambria" w:cs="Arial"/>
          <w:color w:val="000000"/>
          <w:sz w:val="24"/>
          <w:szCs w:val="24"/>
          <w:shd w:val="clear" w:color="auto" w:fill="FFFFFF"/>
        </w:rPr>
        <w:t> </w:t>
      </w:r>
      <w:r w:rsidRPr="009E5B5E">
        <w:rPr>
          <w:rFonts w:ascii="Cambria" w:hAnsi="Cambria"/>
          <w:sz w:val="24"/>
          <w:szCs w:val="24"/>
          <w:shd w:val="clear" w:color="auto" w:fill="FFFFFF"/>
        </w:rPr>
        <w:t>for</w:t>
      </w:r>
      <w:r w:rsidRPr="009E5B5E">
        <w:rPr>
          <w:rStyle w:val="apple-converted-space"/>
          <w:rFonts w:ascii="Cambria" w:hAnsi="Cambria" w:cs="Arial"/>
          <w:color w:val="000000"/>
          <w:sz w:val="24"/>
          <w:szCs w:val="24"/>
          <w:shd w:val="clear" w:color="auto" w:fill="FFFFFF"/>
        </w:rPr>
        <w:t> </w:t>
      </w:r>
      <w:r w:rsidRPr="009E5B5E">
        <w:rPr>
          <w:rFonts w:ascii="Cambria" w:hAnsi="Cambria"/>
          <w:sz w:val="24"/>
          <w:szCs w:val="24"/>
          <w:shd w:val="clear" w:color="auto" w:fill="FFFFFF"/>
        </w:rPr>
        <w:t>Crowding</w:t>
      </w:r>
      <w:r w:rsidRPr="009E5B5E">
        <w:rPr>
          <w:rStyle w:val="apple-converted-space"/>
          <w:rFonts w:ascii="Cambria" w:hAnsi="Cambria" w:cs="Arial"/>
          <w:color w:val="000000"/>
          <w:sz w:val="24"/>
          <w:szCs w:val="24"/>
          <w:shd w:val="clear" w:color="auto" w:fill="FFFFFF"/>
        </w:rPr>
        <w:t> </w:t>
      </w:r>
      <w:r w:rsidRPr="009E5B5E">
        <w:rPr>
          <w:rFonts w:ascii="Cambria" w:hAnsi="Cambria"/>
          <w:sz w:val="24"/>
          <w:szCs w:val="24"/>
          <w:shd w:val="clear" w:color="auto" w:fill="FFFFFF"/>
        </w:rPr>
        <w:t>in the</w:t>
      </w:r>
      <w:r w:rsidRPr="009E5B5E">
        <w:rPr>
          <w:rStyle w:val="apple-converted-space"/>
          <w:rFonts w:ascii="Cambria" w:hAnsi="Cambria" w:cs="Arial"/>
          <w:color w:val="000000"/>
          <w:sz w:val="24"/>
          <w:szCs w:val="24"/>
          <w:shd w:val="clear" w:color="auto" w:fill="FFFFFF"/>
        </w:rPr>
        <w:t> </w:t>
      </w:r>
      <w:r w:rsidRPr="009E5B5E">
        <w:rPr>
          <w:rFonts w:ascii="Cambria" w:hAnsi="Cambria"/>
          <w:sz w:val="24"/>
          <w:szCs w:val="24"/>
          <w:shd w:val="clear" w:color="auto" w:fill="FFFFFF"/>
        </w:rPr>
        <w:t>Service</w:t>
      </w:r>
      <w:r w:rsidRPr="009E5B5E">
        <w:rPr>
          <w:rStyle w:val="apple-converted-space"/>
          <w:rFonts w:ascii="Cambria" w:hAnsi="Cambria" w:cs="Arial"/>
          <w:color w:val="000000"/>
          <w:sz w:val="24"/>
          <w:szCs w:val="24"/>
          <w:shd w:val="clear" w:color="auto" w:fill="FFFFFF"/>
        </w:rPr>
        <w:t> </w:t>
      </w:r>
      <w:r w:rsidRPr="009E5B5E">
        <w:rPr>
          <w:rFonts w:ascii="Cambria" w:hAnsi="Cambria"/>
          <w:sz w:val="24"/>
          <w:szCs w:val="24"/>
          <w:shd w:val="clear" w:color="auto" w:fill="FFFFFF"/>
        </w:rPr>
        <w:t>Experience: Empirical</w:t>
      </w:r>
      <w:r w:rsidRPr="009E5B5E">
        <w:rPr>
          <w:rStyle w:val="apple-converted-space"/>
          <w:rFonts w:ascii="Cambria" w:hAnsi="Cambria" w:cs="Arial"/>
          <w:color w:val="000000"/>
          <w:sz w:val="24"/>
          <w:szCs w:val="24"/>
          <w:shd w:val="clear" w:color="auto" w:fill="FFFFFF"/>
        </w:rPr>
        <w:t> </w:t>
      </w:r>
      <w:r w:rsidRPr="009E5B5E">
        <w:rPr>
          <w:rFonts w:ascii="Cambria" w:hAnsi="Cambria"/>
          <w:sz w:val="24"/>
          <w:szCs w:val="24"/>
          <w:shd w:val="clear" w:color="auto" w:fill="FFFFFF"/>
        </w:rPr>
        <w:t xml:space="preserve">Findings," in </w:t>
      </w:r>
      <w:r w:rsidRPr="009E5B5E">
        <w:rPr>
          <w:rFonts w:ascii="Cambria" w:hAnsi="Cambria"/>
          <w:i/>
          <w:iCs/>
          <w:sz w:val="24"/>
          <w:szCs w:val="24"/>
          <w:shd w:val="clear" w:color="auto" w:fill="FFFFFF"/>
        </w:rPr>
        <w:t>The</w:t>
      </w:r>
      <w:r w:rsidRPr="009E5B5E">
        <w:rPr>
          <w:rStyle w:val="apple-converted-space"/>
          <w:rFonts w:ascii="Cambria" w:hAnsi="Cambria" w:cs="Arial"/>
          <w:i/>
          <w:iCs/>
          <w:color w:val="000000"/>
          <w:sz w:val="24"/>
          <w:szCs w:val="24"/>
          <w:shd w:val="clear" w:color="auto" w:fill="FFFFFF"/>
        </w:rPr>
        <w:t> </w:t>
      </w:r>
      <w:r w:rsidRPr="009E5B5E">
        <w:rPr>
          <w:rFonts w:ascii="Cambria" w:hAnsi="Cambria"/>
          <w:i/>
          <w:iCs/>
          <w:sz w:val="24"/>
          <w:szCs w:val="24"/>
          <w:shd w:val="clear" w:color="auto" w:fill="FFFFFF"/>
        </w:rPr>
        <w:t>Service</w:t>
      </w:r>
      <w:r w:rsidRPr="009E5B5E">
        <w:rPr>
          <w:rStyle w:val="apple-converted-space"/>
          <w:rFonts w:ascii="Cambria" w:hAnsi="Cambria" w:cs="Arial"/>
          <w:i/>
          <w:iCs/>
          <w:color w:val="000000"/>
          <w:sz w:val="24"/>
          <w:szCs w:val="24"/>
          <w:shd w:val="clear" w:color="auto" w:fill="FFFFFF"/>
        </w:rPr>
        <w:t> </w:t>
      </w:r>
      <w:r w:rsidRPr="009E5B5E">
        <w:rPr>
          <w:rFonts w:ascii="Cambria" w:hAnsi="Cambria"/>
          <w:i/>
          <w:iCs/>
          <w:sz w:val="24"/>
          <w:szCs w:val="24"/>
          <w:shd w:val="clear" w:color="auto" w:fill="FFFFFF"/>
        </w:rPr>
        <w:t>Encounter: Integrating for Competitive Advantage</w:t>
      </w:r>
      <w:r w:rsidRPr="009E5B5E">
        <w:rPr>
          <w:rFonts w:ascii="Cambria" w:hAnsi="Cambria"/>
          <w:sz w:val="24"/>
          <w:szCs w:val="24"/>
          <w:shd w:val="clear" w:color="auto" w:fill="FFFFFF"/>
        </w:rPr>
        <w:t>,</w:t>
      </w:r>
      <w:r w:rsidRPr="009E5B5E">
        <w:rPr>
          <w:rFonts w:ascii="Cambria" w:hAnsi="Cambria"/>
          <w:sz w:val="24"/>
          <w:szCs w:val="24"/>
        </w:rPr>
        <w:t xml:space="preserve"> </w:t>
      </w:r>
      <w:r w:rsidRPr="009E5B5E">
        <w:rPr>
          <w:rFonts w:ascii="Cambria" w:hAnsi="Cambria"/>
          <w:sz w:val="24"/>
          <w:szCs w:val="24"/>
          <w:shd w:val="clear" w:color="auto" w:fill="FFFFFF"/>
        </w:rPr>
        <w:t>John C. Czepiel et al., eds. Chicago: American Marketing Association, 85-90.</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Bem, Sandra L. (1974), "The Measurement of Psychological Androgyny," </w:t>
      </w:r>
      <w:r w:rsidRPr="009E5B5E">
        <w:rPr>
          <w:rFonts w:ascii="Cambria" w:hAnsi="Cambria" w:cs="PANKGI+TimesNewRoman,Italic"/>
          <w:i/>
          <w:iCs/>
          <w:color w:val="000000"/>
          <w:sz w:val="24"/>
          <w:szCs w:val="24"/>
        </w:rPr>
        <w:t>Journal of Consulting and Clinical Psychology</w:t>
      </w:r>
      <w:r w:rsidRPr="009E5B5E">
        <w:rPr>
          <w:rFonts w:ascii="Cambria" w:hAnsi="Cambria" w:cs="PANKGI+TimesNewRoman,Italic"/>
          <w:color w:val="000000"/>
          <w:sz w:val="24"/>
          <w:szCs w:val="24"/>
        </w:rPr>
        <w:t xml:space="preserve">, </w:t>
      </w:r>
      <w:r w:rsidRPr="009E5B5E">
        <w:rPr>
          <w:rFonts w:ascii="Cambria" w:hAnsi="Cambria" w:cs="PANKAK+TimesNewRoman"/>
          <w:color w:val="000000"/>
          <w:sz w:val="24"/>
          <w:szCs w:val="24"/>
        </w:rPr>
        <w:t>42, 155-162.</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Roman"/>
          <w:sz w:val="24"/>
          <w:szCs w:val="24"/>
          <w:lang w:bidi="th-TH"/>
        </w:rPr>
        <w:t>Buss, David M. (1990), “Unmitigated Agency and Unmitigated</w:t>
      </w:r>
      <w:r w:rsidRPr="009E5B5E">
        <w:rPr>
          <w:rFonts w:ascii="Cambria" w:hAnsi="Cambria"/>
          <w:sz w:val="24"/>
          <w:szCs w:val="24"/>
        </w:rPr>
        <w:t xml:space="preserve"> </w:t>
      </w:r>
      <w:r w:rsidRPr="009E5B5E">
        <w:rPr>
          <w:rFonts w:ascii="Cambria" w:eastAsiaTheme="minorHAnsi" w:hAnsi="Cambria" w:cs="Times-Roman"/>
          <w:sz w:val="24"/>
          <w:szCs w:val="24"/>
          <w:lang w:bidi="th-TH"/>
        </w:rPr>
        <w:t>Communion: An Analysis of the Negative Components of Masculinity</w:t>
      </w:r>
      <w:r w:rsidRPr="009E5B5E">
        <w:rPr>
          <w:rFonts w:ascii="Cambria" w:hAnsi="Cambria"/>
          <w:sz w:val="24"/>
          <w:szCs w:val="24"/>
        </w:rPr>
        <w:t xml:space="preserve"> </w:t>
      </w:r>
      <w:r w:rsidRPr="009E5B5E">
        <w:rPr>
          <w:rFonts w:ascii="Cambria" w:eastAsiaTheme="minorHAnsi" w:hAnsi="Cambria" w:cs="Times-Roman"/>
          <w:sz w:val="24"/>
          <w:szCs w:val="24"/>
          <w:lang w:bidi="th-TH"/>
        </w:rPr>
        <w:t xml:space="preserve">and Femininity,” </w:t>
      </w:r>
      <w:r w:rsidRPr="009E5B5E">
        <w:rPr>
          <w:rFonts w:ascii="Cambria" w:eastAsiaTheme="minorHAnsi" w:hAnsi="Cambria" w:cs="Times-Italic"/>
          <w:i/>
          <w:iCs/>
          <w:sz w:val="24"/>
          <w:szCs w:val="24"/>
          <w:lang w:bidi="th-TH"/>
        </w:rPr>
        <w:t>Sex Roles</w:t>
      </w:r>
      <w:r w:rsidRPr="009E5B5E">
        <w:rPr>
          <w:rFonts w:ascii="Cambria" w:eastAsiaTheme="minorHAnsi" w:hAnsi="Cambria" w:cs="Times-Roman"/>
          <w:sz w:val="24"/>
          <w:szCs w:val="24"/>
          <w:lang w:bidi="th-TH"/>
        </w:rPr>
        <w:t>, 22 (9/10), 555–568.</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EastAsia" w:hAnsi="Cambria" w:cs="AdvPS405B6"/>
          <w:sz w:val="24"/>
          <w:szCs w:val="24"/>
          <w:lang w:bidi="th-TH"/>
        </w:rPr>
        <w:lastRenderedPageBreak/>
        <w:t xml:space="preserve">Chakravarti, A. and C. Janiszewski (2003), “The Influence of Macro-Level Motives on Consideration Set Composition in Novel Purchase Situations,” </w:t>
      </w:r>
      <w:r w:rsidRPr="009E5B5E">
        <w:rPr>
          <w:rFonts w:ascii="Cambria" w:eastAsiaTheme="minorEastAsia" w:hAnsi="Cambria" w:cs="AdvPS405B7"/>
          <w:i/>
          <w:iCs/>
          <w:sz w:val="24"/>
          <w:szCs w:val="24"/>
          <w:lang w:bidi="th-TH"/>
        </w:rPr>
        <w:t>Journal of Consumer</w:t>
      </w:r>
      <w:r w:rsidRPr="009E5B5E">
        <w:rPr>
          <w:rFonts w:ascii="Cambria" w:hAnsi="Cambria" w:cs="PANKAK+TimesNewRoman"/>
          <w:i/>
          <w:iCs/>
          <w:color w:val="000000"/>
          <w:sz w:val="24"/>
          <w:szCs w:val="24"/>
        </w:rPr>
        <w:t xml:space="preserve"> </w:t>
      </w:r>
      <w:r w:rsidRPr="009E5B5E">
        <w:rPr>
          <w:rFonts w:ascii="Cambria" w:eastAsiaTheme="minorEastAsia" w:hAnsi="Cambria" w:cs="AdvPS405B7"/>
          <w:i/>
          <w:iCs/>
          <w:sz w:val="24"/>
          <w:szCs w:val="24"/>
          <w:lang w:bidi="th-TH"/>
        </w:rPr>
        <w:t>Research</w:t>
      </w:r>
      <w:r w:rsidRPr="009E5B5E">
        <w:rPr>
          <w:rFonts w:ascii="Cambria" w:eastAsiaTheme="minorEastAsia" w:hAnsi="Cambria" w:cs="AdvPS405B6"/>
          <w:i/>
          <w:iCs/>
          <w:sz w:val="24"/>
          <w:szCs w:val="24"/>
          <w:lang w:bidi="th-TH"/>
        </w:rPr>
        <w:t>,</w:t>
      </w:r>
      <w:r w:rsidRPr="009E5B5E">
        <w:rPr>
          <w:rFonts w:ascii="Cambria" w:eastAsiaTheme="minorEastAsia" w:hAnsi="Cambria" w:cs="AdvPS405B6"/>
          <w:sz w:val="24"/>
          <w:szCs w:val="24"/>
          <w:lang w:bidi="th-TH"/>
        </w:rPr>
        <w:t xml:space="preserve"> 30 (2), 244-258.</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 New Roman"/>
          <w:sz w:val="24"/>
          <w:szCs w:val="24"/>
          <w:lang w:bidi="th-TH"/>
        </w:rPr>
        <w:t xml:space="preserve">Childers. T. L., </w:t>
      </w:r>
      <w:r w:rsidRPr="009E5B5E">
        <w:rPr>
          <w:rFonts w:ascii="Cambria" w:eastAsiaTheme="minorHAnsi" w:hAnsi="Cambria" w:cs="Arial"/>
          <w:sz w:val="24"/>
          <w:szCs w:val="24"/>
          <w:lang w:bidi="th-TH"/>
        </w:rPr>
        <w:t xml:space="preserve">&amp; </w:t>
      </w:r>
      <w:r w:rsidRPr="009E5B5E">
        <w:rPr>
          <w:rFonts w:ascii="Cambria" w:eastAsiaTheme="minorHAnsi" w:hAnsi="Cambria" w:cs="Times New Roman"/>
          <w:sz w:val="24"/>
          <w:szCs w:val="24"/>
          <w:lang w:bidi="th-TH"/>
        </w:rPr>
        <w:t>Rao, A. R. (1992), “The influence of Familial and</w:t>
      </w:r>
      <w:r w:rsidRPr="009E5B5E">
        <w:rPr>
          <w:rFonts w:ascii="Cambria" w:eastAsiaTheme="minorHAnsi" w:hAnsi="Cambria" w:cs="Times-Italic"/>
          <w:sz w:val="24"/>
          <w:szCs w:val="24"/>
          <w:lang w:bidi="th-TH"/>
        </w:rPr>
        <w:t xml:space="preserve"> </w:t>
      </w:r>
      <w:r w:rsidRPr="009E5B5E">
        <w:rPr>
          <w:rFonts w:ascii="Cambria" w:eastAsiaTheme="minorHAnsi" w:hAnsi="Cambria" w:cs="Times New Roman"/>
          <w:sz w:val="24"/>
          <w:szCs w:val="24"/>
          <w:lang w:bidi="th-TH"/>
        </w:rPr>
        <w:t xml:space="preserve">Peer-Based Reference Groups on Consumer Decisions,” </w:t>
      </w:r>
      <w:r w:rsidRPr="009E5B5E">
        <w:rPr>
          <w:rFonts w:ascii="Cambria" w:eastAsiaTheme="minorHAnsi" w:hAnsi="Cambria" w:cs="Times New Roman"/>
          <w:i/>
          <w:iCs/>
          <w:sz w:val="24"/>
          <w:szCs w:val="24"/>
          <w:lang w:bidi="th-TH"/>
        </w:rPr>
        <w:t>Journal of Consumer</w:t>
      </w:r>
      <w:r w:rsidRPr="009E5B5E">
        <w:rPr>
          <w:rFonts w:ascii="Cambria" w:eastAsiaTheme="minorHAnsi" w:hAnsi="Cambria" w:cs="Times-Italic"/>
          <w:sz w:val="24"/>
          <w:szCs w:val="24"/>
          <w:lang w:bidi="th-TH"/>
        </w:rPr>
        <w:t xml:space="preserve"> </w:t>
      </w:r>
      <w:r w:rsidRPr="009E5B5E">
        <w:rPr>
          <w:rFonts w:ascii="Cambria" w:eastAsiaTheme="minorHAnsi" w:hAnsi="Cambria" w:cs="Times New Roman"/>
          <w:i/>
          <w:iCs/>
          <w:sz w:val="24"/>
          <w:szCs w:val="24"/>
          <w:lang w:bidi="th-TH"/>
        </w:rPr>
        <w:t>Research</w:t>
      </w:r>
      <w:r w:rsidRPr="009E5B5E">
        <w:rPr>
          <w:rFonts w:ascii="Cambria" w:eastAsiaTheme="minorHAnsi" w:hAnsi="Cambria" w:cs="Times New Roman"/>
          <w:sz w:val="24"/>
          <w:szCs w:val="24"/>
          <w:lang w:bidi="th-TH"/>
        </w:rPr>
        <w:t>, 19 (2), 198-211.</w:t>
      </w:r>
    </w:p>
    <w:p w:rsidR="00DA2247" w:rsidRPr="009E5B5E" w:rsidRDefault="00DA2247" w:rsidP="00DA2247">
      <w:pPr>
        <w:spacing w:line="360" w:lineRule="auto"/>
        <w:ind w:left="567" w:hanging="567"/>
        <w:jc w:val="both"/>
        <w:rPr>
          <w:rFonts w:ascii="Cambria" w:hAnsi="Cambria"/>
          <w:color w:val="000000" w:themeColor="text1"/>
          <w:sz w:val="24"/>
          <w:szCs w:val="24"/>
        </w:rPr>
      </w:pPr>
      <w:r w:rsidRPr="009E5B5E">
        <w:rPr>
          <w:rFonts w:ascii="Cambria" w:hAnsi="Cambria"/>
          <w:color w:val="000000" w:themeColor="text1"/>
          <w:sz w:val="24"/>
          <w:szCs w:val="24"/>
        </w:rPr>
        <w:t xml:space="preserve">Chintagunta, Pradeep K. (1992), “Estimating a Multinomial Probit Model of Brand Choice Using the Method of Simulated Moments,” </w:t>
      </w:r>
      <w:r w:rsidRPr="009E5B5E">
        <w:rPr>
          <w:rFonts w:ascii="Cambria" w:hAnsi="Cambria"/>
          <w:i/>
          <w:iCs/>
          <w:color w:val="000000" w:themeColor="text1"/>
          <w:sz w:val="24"/>
          <w:szCs w:val="24"/>
        </w:rPr>
        <w:t>Marketing Science,</w:t>
      </w:r>
      <w:r w:rsidRPr="009E5B5E">
        <w:rPr>
          <w:rFonts w:ascii="Cambria" w:hAnsi="Cambria"/>
          <w:color w:val="000000" w:themeColor="text1"/>
          <w:sz w:val="24"/>
          <w:szCs w:val="24"/>
        </w:rPr>
        <w:t xml:space="preserve"> 11(4) 386-407.</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Constantinople, Anne (1973), "Masculinity-Femininity: An Exception to a Famous Dictum." </w:t>
      </w:r>
      <w:r w:rsidRPr="009E5B5E">
        <w:rPr>
          <w:rFonts w:ascii="Cambria" w:hAnsi="Cambria" w:cs="PANKGI+TimesNewRoman,Italic"/>
          <w:i/>
          <w:iCs/>
          <w:color w:val="000000"/>
          <w:sz w:val="24"/>
          <w:szCs w:val="24"/>
        </w:rPr>
        <w:t>Psychological Bulletin</w:t>
      </w:r>
      <w:r w:rsidRPr="009E5B5E">
        <w:rPr>
          <w:rFonts w:ascii="Cambria" w:hAnsi="Cambria" w:cs="PANKGI+TimesNewRoman,Italic"/>
          <w:color w:val="000000"/>
          <w:sz w:val="24"/>
          <w:szCs w:val="24"/>
        </w:rPr>
        <w:t xml:space="preserve">, </w:t>
      </w:r>
      <w:r w:rsidRPr="009E5B5E">
        <w:rPr>
          <w:rFonts w:ascii="Cambria" w:hAnsi="Cambria" w:cs="PANKAK+TimesNewRoman"/>
          <w:color w:val="000000"/>
          <w:sz w:val="24"/>
          <w:szCs w:val="24"/>
        </w:rPr>
        <w:t>80, 389-407.</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Cross, Susan E. and Hazel R. Markus (1993), "Gender in Thought, Belief, and Action: A Cognitive Approach," in </w:t>
      </w:r>
      <w:r w:rsidRPr="009E5B5E">
        <w:rPr>
          <w:rFonts w:ascii="Cambria" w:hAnsi="Cambria" w:cs="PANKGI+TimesNewRoman,Italic"/>
          <w:i/>
          <w:iCs/>
          <w:color w:val="000000"/>
          <w:sz w:val="24"/>
          <w:szCs w:val="24"/>
        </w:rPr>
        <w:t>The Psychology of Gender</w:t>
      </w:r>
      <w:r w:rsidRPr="009E5B5E">
        <w:rPr>
          <w:rFonts w:ascii="Cambria" w:hAnsi="Cambria" w:cs="PANKAK+TimesNewRoman"/>
          <w:color w:val="000000"/>
          <w:sz w:val="24"/>
          <w:szCs w:val="24"/>
        </w:rPr>
        <w:t>, Anne E. Beall and Robert J. Sternberg eds. New York: Guilford Press, 55-98.</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Style w:val="Emphasis"/>
          <w:rFonts w:ascii="Cambria" w:hAnsi="Cambria" w:cs="Arial"/>
          <w:b w:val="0"/>
          <w:bCs w:val="0"/>
          <w:i w:val="0"/>
          <w:iCs w:val="0"/>
          <w:color w:val="000000"/>
          <w:sz w:val="24"/>
          <w:szCs w:val="24"/>
          <w:shd w:val="clear" w:color="auto" w:fill="FFFFFF"/>
        </w:rPr>
        <w:t>Deutsch</w:t>
      </w:r>
      <w:r w:rsidRPr="009E5B5E">
        <w:rPr>
          <w:rStyle w:val="Emphasis"/>
          <w:rFonts w:ascii="Cambria" w:hAnsi="Cambria" w:cs="Arial"/>
          <w:i w:val="0"/>
          <w:iCs w:val="0"/>
          <w:color w:val="000000"/>
          <w:sz w:val="24"/>
          <w:szCs w:val="24"/>
          <w:shd w:val="clear" w:color="auto" w:fill="FFFFFF"/>
        </w:rPr>
        <w:t>,</w:t>
      </w:r>
      <w:r w:rsidRPr="009E5B5E">
        <w:rPr>
          <w:rStyle w:val="apple-converted-space"/>
          <w:rFonts w:ascii="Cambria" w:hAnsi="Cambria" w:cs="Arial"/>
          <w:color w:val="222222"/>
          <w:sz w:val="24"/>
          <w:szCs w:val="24"/>
          <w:shd w:val="clear" w:color="auto" w:fill="FFFFFF"/>
        </w:rPr>
        <w:t> </w:t>
      </w:r>
      <w:r w:rsidRPr="009E5B5E">
        <w:rPr>
          <w:rFonts w:ascii="Cambria" w:hAnsi="Cambria" w:cs="Arial"/>
          <w:color w:val="222222"/>
          <w:sz w:val="24"/>
          <w:szCs w:val="24"/>
          <w:shd w:val="clear" w:color="auto" w:fill="FFFFFF"/>
        </w:rPr>
        <w:t>M. and</w:t>
      </w:r>
      <w:r w:rsidRPr="009E5B5E">
        <w:rPr>
          <w:rStyle w:val="apple-converted-space"/>
          <w:rFonts w:ascii="Cambria" w:hAnsi="Cambria" w:cs="Arial"/>
          <w:color w:val="222222"/>
          <w:sz w:val="24"/>
          <w:szCs w:val="24"/>
          <w:shd w:val="clear" w:color="auto" w:fill="FFFFFF"/>
        </w:rPr>
        <w:t> </w:t>
      </w:r>
      <w:r w:rsidRPr="009E5B5E">
        <w:rPr>
          <w:rFonts w:ascii="Cambria" w:hAnsi="Cambria" w:cs="Arial"/>
          <w:color w:val="222222"/>
          <w:sz w:val="24"/>
          <w:szCs w:val="24"/>
          <w:shd w:val="clear" w:color="auto" w:fill="FFFFFF"/>
        </w:rPr>
        <w:t>H. B</w:t>
      </w:r>
      <w:r w:rsidRPr="009E5B5E">
        <w:rPr>
          <w:rFonts w:ascii="Cambria" w:hAnsi="Cambria" w:cs="Arial"/>
          <w:b/>
          <w:bCs/>
          <w:color w:val="222222"/>
          <w:sz w:val="24"/>
          <w:szCs w:val="24"/>
          <w:shd w:val="clear" w:color="auto" w:fill="FFFFFF"/>
        </w:rPr>
        <w:t xml:space="preserve">. </w:t>
      </w:r>
      <w:r w:rsidRPr="009E5B5E">
        <w:rPr>
          <w:rStyle w:val="Emphasis"/>
          <w:rFonts w:ascii="Cambria" w:hAnsi="Cambria" w:cs="Arial"/>
          <w:b w:val="0"/>
          <w:bCs w:val="0"/>
          <w:i w:val="0"/>
          <w:iCs w:val="0"/>
          <w:color w:val="000000"/>
          <w:sz w:val="24"/>
          <w:szCs w:val="24"/>
          <w:shd w:val="clear" w:color="auto" w:fill="FFFFFF"/>
        </w:rPr>
        <w:t>Gerard</w:t>
      </w:r>
      <w:r w:rsidRPr="009E5B5E">
        <w:rPr>
          <w:rStyle w:val="apple-converted-space"/>
          <w:rFonts w:ascii="Cambria" w:hAnsi="Cambria" w:cs="Arial"/>
          <w:b/>
          <w:bCs/>
          <w:color w:val="222222"/>
          <w:sz w:val="24"/>
          <w:szCs w:val="24"/>
          <w:shd w:val="clear" w:color="auto" w:fill="FFFFFF"/>
        </w:rPr>
        <w:t> </w:t>
      </w:r>
      <w:r w:rsidRPr="009E5B5E">
        <w:rPr>
          <w:rFonts w:ascii="Cambria" w:hAnsi="Cambria" w:cs="Arial"/>
          <w:color w:val="222222"/>
          <w:sz w:val="24"/>
          <w:szCs w:val="24"/>
          <w:shd w:val="clear" w:color="auto" w:fill="FFFFFF"/>
        </w:rPr>
        <w:t xml:space="preserve">(1955), “A Study of Normative and Informational Social Influences upon Individual Judgment,” </w:t>
      </w:r>
      <w:r w:rsidRPr="009E5B5E">
        <w:rPr>
          <w:rFonts w:ascii="Cambria" w:hAnsi="Cambria" w:cs="Arial"/>
          <w:i/>
          <w:iCs/>
          <w:color w:val="222222"/>
          <w:sz w:val="24"/>
          <w:szCs w:val="24"/>
          <w:shd w:val="clear" w:color="auto" w:fill="FFFFFF"/>
        </w:rPr>
        <w:t>The Journal of Abnormal and Social Psychology</w:t>
      </w:r>
      <w:r w:rsidRPr="009E5B5E">
        <w:rPr>
          <w:rFonts w:ascii="Cambria" w:hAnsi="Cambria" w:cs="Arial"/>
          <w:color w:val="222222"/>
          <w:sz w:val="24"/>
          <w:szCs w:val="24"/>
          <w:shd w:val="clear" w:color="auto" w:fill="FFFFFF"/>
        </w:rPr>
        <w:t>, 51 (3), 629-636.</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EastAsia" w:hAnsi="Cambria" w:cs="AdvPS405B6"/>
          <w:sz w:val="24"/>
          <w:szCs w:val="24"/>
          <w:lang w:bidi="th-TH"/>
        </w:rPr>
        <w:t>Dholakia, U.M. (1998), “Involvement-Response Models of Joint Effects: An Empirical Test and</w:t>
      </w:r>
      <w:r w:rsidRPr="009E5B5E">
        <w:rPr>
          <w:rFonts w:ascii="Cambria" w:hAnsi="Cambria" w:cs="PANKAK+TimesNewRoman"/>
          <w:color w:val="000000"/>
          <w:sz w:val="24"/>
          <w:szCs w:val="24"/>
        </w:rPr>
        <w:t xml:space="preserve"> </w:t>
      </w:r>
      <w:r w:rsidRPr="009E5B5E">
        <w:rPr>
          <w:rFonts w:ascii="Cambria" w:eastAsiaTheme="minorEastAsia" w:hAnsi="Cambria" w:cs="AdvPS405B6"/>
          <w:sz w:val="24"/>
          <w:szCs w:val="24"/>
          <w:lang w:bidi="th-TH"/>
        </w:rPr>
        <w:t xml:space="preserve">Extension”, </w:t>
      </w:r>
      <w:r w:rsidRPr="009E5B5E">
        <w:rPr>
          <w:rFonts w:ascii="Cambria" w:eastAsiaTheme="minorEastAsia" w:hAnsi="Cambria" w:cs="AdvPS405B7"/>
          <w:i/>
          <w:iCs/>
          <w:sz w:val="24"/>
          <w:szCs w:val="24"/>
          <w:lang w:bidi="th-TH"/>
        </w:rPr>
        <w:t>Advances in Consumer Research</w:t>
      </w:r>
      <w:r w:rsidRPr="009E5B5E">
        <w:rPr>
          <w:rFonts w:ascii="Cambria" w:eastAsiaTheme="minorEastAsia" w:hAnsi="Cambria" w:cs="AdvPS405B6"/>
          <w:sz w:val="24"/>
          <w:szCs w:val="24"/>
          <w:lang w:bidi="th-TH"/>
        </w:rPr>
        <w:t>, 25 (1), 499-506.</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Eagly, Alice H. (1987), </w:t>
      </w:r>
      <w:r w:rsidRPr="009E5B5E">
        <w:rPr>
          <w:rFonts w:ascii="Cambria" w:hAnsi="Cambria"/>
          <w:i/>
          <w:iCs/>
          <w:sz w:val="24"/>
          <w:szCs w:val="24"/>
        </w:rPr>
        <w:t>Sex Differences in Social Behavior: A Social-Role Interpretation</w:t>
      </w:r>
      <w:r w:rsidRPr="009E5B5E">
        <w:rPr>
          <w:rFonts w:ascii="Cambria" w:hAnsi="Cambria"/>
          <w:sz w:val="24"/>
          <w:szCs w:val="24"/>
        </w:rPr>
        <w:t>. Hillsdale. NJ: Lawrence Erlbaum</w:t>
      </w:r>
      <w:r w:rsidRPr="009E5B5E">
        <w:rPr>
          <w:rFonts w:ascii="Cambria" w:hAnsi="Cambria"/>
          <w:i/>
          <w:iCs/>
          <w:sz w:val="24"/>
          <w:szCs w:val="24"/>
        </w:rPr>
        <w:t xml:space="preserve"> </w:t>
      </w:r>
      <w:r w:rsidRPr="009E5B5E">
        <w:rPr>
          <w:rFonts w:ascii="Cambria" w:hAnsi="Cambria"/>
          <w:sz w:val="24"/>
          <w:szCs w:val="24"/>
        </w:rPr>
        <w:t>Associates.</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Easlea, B. (1986), "The Masculine Image of Science With Special Reference to Physics: How Much Does Gender Really Matter?," </w:t>
      </w:r>
      <w:r w:rsidRPr="009E5B5E">
        <w:rPr>
          <w:rFonts w:ascii="Cambria" w:hAnsi="Cambria" w:cs="PANKGI+TimesNewRoman,Italic"/>
          <w:color w:val="000000"/>
          <w:sz w:val="24"/>
          <w:szCs w:val="24"/>
        </w:rPr>
        <w:t xml:space="preserve">in </w:t>
      </w:r>
      <w:r w:rsidRPr="009E5B5E">
        <w:rPr>
          <w:rFonts w:ascii="Cambria" w:hAnsi="Cambria" w:cs="PANKGI+TimesNewRoman,Italic"/>
          <w:i/>
          <w:iCs/>
          <w:color w:val="000000"/>
          <w:sz w:val="24"/>
          <w:szCs w:val="24"/>
        </w:rPr>
        <w:t>Perspectives on Gender and Science</w:t>
      </w:r>
      <w:r w:rsidRPr="009E5B5E">
        <w:rPr>
          <w:rFonts w:ascii="Cambria" w:hAnsi="Cambria" w:cs="PANKAK+TimesNewRoman"/>
          <w:color w:val="000000"/>
          <w:sz w:val="24"/>
          <w:szCs w:val="24"/>
        </w:rPr>
        <w:t>, J. Harding ed. Philadelphia: Falmer, 132-158.</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Italic"/>
          <w:sz w:val="24"/>
          <w:szCs w:val="24"/>
          <w:lang w:bidi="th-TH"/>
        </w:rPr>
        <w:t xml:space="preserve">Engel J. F., R. D. Blackwell, and P. W. Miniard (1995), </w:t>
      </w:r>
      <w:r w:rsidRPr="009E5B5E">
        <w:rPr>
          <w:rFonts w:ascii="Cambria" w:eastAsiaTheme="minorHAnsi" w:hAnsi="Cambria" w:cs="Times-Italic"/>
          <w:i/>
          <w:iCs/>
          <w:sz w:val="24"/>
          <w:szCs w:val="24"/>
          <w:lang w:bidi="th-TH"/>
        </w:rPr>
        <w:t>Consumer Behavio</w:t>
      </w:r>
      <w:r w:rsidRPr="009E5B5E">
        <w:rPr>
          <w:rFonts w:ascii="Cambria" w:eastAsiaTheme="minorHAnsi" w:hAnsi="Cambria" w:cs="Times-Italic"/>
          <w:sz w:val="24"/>
          <w:szCs w:val="24"/>
          <w:lang w:bidi="th-TH"/>
        </w:rPr>
        <w:t>r, 8</w:t>
      </w:r>
      <w:r w:rsidRPr="009E5B5E">
        <w:rPr>
          <w:rFonts w:ascii="Cambria" w:eastAsiaTheme="minorHAnsi" w:hAnsi="Cambria" w:cs="Times-Italic"/>
          <w:sz w:val="24"/>
          <w:szCs w:val="24"/>
          <w:vertAlign w:val="superscript"/>
          <w:lang w:bidi="th-TH"/>
        </w:rPr>
        <w:t>th</w:t>
      </w:r>
      <w:r w:rsidRPr="009E5B5E">
        <w:rPr>
          <w:rFonts w:ascii="Cambria" w:eastAsiaTheme="minorHAnsi" w:hAnsi="Cambria" w:cs="Times-Italic"/>
          <w:sz w:val="24"/>
          <w:szCs w:val="24"/>
          <w:lang w:bidi="th-TH"/>
        </w:rPr>
        <w:t xml:space="preserve"> edition. U.S.: Dryden Press</w:t>
      </w:r>
      <w:r w:rsidRPr="009E5B5E">
        <w:rPr>
          <w:rFonts w:ascii="Cambria" w:hAnsi="Cambria"/>
          <w:sz w:val="24"/>
          <w:szCs w:val="24"/>
        </w:rPr>
        <w:t>.</w:t>
      </w:r>
    </w:p>
    <w:p w:rsidR="00DA2247" w:rsidRPr="009E5B5E" w:rsidRDefault="00DA2247" w:rsidP="00DA2247">
      <w:pPr>
        <w:spacing w:line="360" w:lineRule="auto"/>
        <w:ind w:left="567" w:hanging="567"/>
        <w:jc w:val="both"/>
        <w:rPr>
          <w:rFonts w:ascii="Cambria" w:hAnsi="Cambria"/>
          <w:color w:val="000000" w:themeColor="text1"/>
          <w:sz w:val="24"/>
          <w:szCs w:val="24"/>
        </w:rPr>
      </w:pPr>
      <w:r w:rsidRPr="009E5B5E">
        <w:rPr>
          <w:rFonts w:ascii="Cambria" w:eastAsiaTheme="minorHAnsi" w:hAnsi="Cambria" w:cs="Times-Italic"/>
          <w:sz w:val="24"/>
          <w:szCs w:val="24"/>
          <w:lang w:bidi="th-TH"/>
        </w:rPr>
        <w:t xml:space="preserve">Fader, Peter S., Leigh McAlister (1990), “An Elimination by Aspects Model of Consumer Response to Promotion Calibrated on UPC Scanner Data,” </w:t>
      </w:r>
      <w:r w:rsidRPr="009E5B5E">
        <w:rPr>
          <w:rFonts w:ascii="Cambria" w:eastAsiaTheme="minorHAnsi" w:hAnsi="Cambria" w:cs="Times-Italic"/>
          <w:i/>
          <w:iCs/>
          <w:sz w:val="24"/>
          <w:szCs w:val="24"/>
          <w:lang w:bidi="th-TH"/>
        </w:rPr>
        <w:t>Journal of Marketing Research</w:t>
      </w:r>
      <w:r w:rsidRPr="009E5B5E">
        <w:rPr>
          <w:rFonts w:ascii="Cambria" w:eastAsiaTheme="minorHAnsi" w:hAnsi="Cambria" w:cs="Times-Italic"/>
          <w:sz w:val="24"/>
          <w:szCs w:val="24"/>
          <w:lang w:bidi="th-TH"/>
        </w:rPr>
        <w:t>, 27 (August) 322-332</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sz w:val="24"/>
          <w:szCs w:val="24"/>
        </w:rPr>
        <w:t xml:space="preserve">Field, A. (2009), </w:t>
      </w:r>
      <w:r w:rsidRPr="009E5B5E">
        <w:rPr>
          <w:rFonts w:ascii="Cambria" w:hAnsi="Cambria"/>
          <w:i/>
          <w:iCs/>
          <w:sz w:val="24"/>
          <w:szCs w:val="24"/>
        </w:rPr>
        <w:t>Discovering Statistics using SPSS</w:t>
      </w:r>
      <w:r w:rsidRPr="009E5B5E">
        <w:rPr>
          <w:rFonts w:ascii="Cambria" w:hAnsi="Cambria"/>
          <w:sz w:val="24"/>
          <w:szCs w:val="24"/>
        </w:rPr>
        <w:t>, 3</w:t>
      </w:r>
      <w:r w:rsidRPr="009E5B5E">
        <w:rPr>
          <w:rFonts w:ascii="Cambria" w:hAnsi="Cambria"/>
          <w:sz w:val="24"/>
          <w:szCs w:val="24"/>
          <w:vertAlign w:val="superscript"/>
        </w:rPr>
        <w:t>th</w:t>
      </w:r>
      <w:r w:rsidRPr="009E5B5E">
        <w:rPr>
          <w:rFonts w:ascii="Cambria" w:hAnsi="Cambria"/>
          <w:sz w:val="24"/>
          <w:szCs w:val="24"/>
        </w:rPr>
        <w:t xml:space="preserve"> edition. Sage Publications</w:t>
      </w:r>
      <w:r w:rsidRPr="009E5B5E">
        <w:rPr>
          <w:rFonts w:ascii="Cambria" w:hAnsi="Cambria" w:cs="PANKAK+TimesNewRoman"/>
          <w:color w:val="000000"/>
          <w:sz w:val="24"/>
          <w:szCs w:val="24"/>
        </w:rPr>
        <w:t>.</w:t>
      </w:r>
    </w:p>
    <w:p w:rsidR="00DA2247" w:rsidRPr="009E5B5E" w:rsidRDefault="00DA2247" w:rsidP="00DA2247">
      <w:pPr>
        <w:spacing w:line="360" w:lineRule="auto"/>
        <w:ind w:left="567" w:hanging="567"/>
        <w:jc w:val="both"/>
        <w:rPr>
          <w:rFonts w:ascii="Cambria" w:eastAsiaTheme="minorEastAsia" w:hAnsi="Cambria" w:cs="AdvPS405B6"/>
          <w:sz w:val="24"/>
          <w:szCs w:val="24"/>
          <w:lang w:bidi="th-TH"/>
        </w:rPr>
      </w:pPr>
      <w:r w:rsidRPr="009E5B5E">
        <w:rPr>
          <w:rFonts w:ascii="Cambria" w:eastAsiaTheme="minorEastAsia" w:hAnsi="Cambria" w:cs="AdvPS405B6"/>
          <w:sz w:val="24"/>
          <w:szCs w:val="24"/>
          <w:lang w:bidi="th-TH"/>
        </w:rPr>
        <w:lastRenderedPageBreak/>
        <w:t xml:space="preserve">Fill, C. (1999), </w:t>
      </w:r>
      <w:r w:rsidRPr="009E5B5E">
        <w:rPr>
          <w:rFonts w:ascii="Cambria" w:eastAsiaTheme="minorEastAsia" w:hAnsi="Cambria" w:cs="AdvPS405B7"/>
          <w:i/>
          <w:iCs/>
          <w:sz w:val="24"/>
          <w:szCs w:val="24"/>
          <w:lang w:bidi="th-TH"/>
        </w:rPr>
        <w:t>Marketing Communications: Contexts, Contents and Strategies</w:t>
      </w:r>
      <w:r w:rsidRPr="009E5B5E">
        <w:rPr>
          <w:rFonts w:ascii="Cambria" w:eastAsiaTheme="minorEastAsia" w:hAnsi="Cambria" w:cs="AdvPS405B6"/>
          <w:sz w:val="24"/>
          <w:szCs w:val="24"/>
          <w:lang w:bidi="th-TH"/>
        </w:rPr>
        <w:t>, 2</w:t>
      </w:r>
      <w:r w:rsidRPr="009E5B5E">
        <w:rPr>
          <w:rFonts w:ascii="Cambria" w:eastAsiaTheme="minorEastAsia" w:hAnsi="Cambria" w:cs="AdvPS405B6"/>
          <w:sz w:val="24"/>
          <w:szCs w:val="24"/>
          <w:vertAlign w:val="superscript"/>
          <w:lang w:bidi="th-TH"/>
        </w:rPr>
        <w:t>nd</w:t>
      </w:r>
      <w:r w:rsidRPr="009E5B5E">
        <w:rPr>
          <w:rFonts w:ascii="Cambria" w:eastAsiaTheme="minorEastAsia" w:hAnsi="Cambria" w:cs="AdvPS405B6"/>
          <w:sz w:val="24"/>
          <w:szCs w:val="24"/>
          <w:lang w:bidi="th-TH"/>
        </w:rPr>
        <w:t xml:space="preserve"> edition. London: Prentice-Hall Europe.</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hAnsi="Cambria" w:cs="PANKAK+TimesNewRoman"/>
          <w:color w:val="000000"/>
          <w:sz w:val="24"/>
          <w:szCs w:val="24"/>
        </w:rPr>
        <w:t xml:space="preserve">Firat, A. Fuat (1991), "Consumption and Gender: A Common History," </w:t>
      </w:r>
      <w:r w:rsidRPr="009E5B5E">
        <w:rPr>
          <w:rFonts w:ascii="Cambria" w:hAnsi="Cambria" w:cs="PANKGI+TimesNewRoman,Italic"/>
          <w:color w:val="000000"/>
          <w:sz w:val="24"/>
          <w:szCs w:val="24"/>
        </w:rPr>
        <w:t xml:space="preserve">in </w:t>
      </w:r>
      <w:r w:rsidRPr="009E5B5E">
        <w:rPr>
          <w:rFonts w:ascii="Cambria" w:hAnsi="Cambria" w:cs="PANKGI+TimesNewRoman,Italic"/>
          <w:i/>
          <w:iCs/>
          <w:color w:val="000000"/>
          <w:sz w:val="24"/>
          <w:szCs w:val="24"/>
        </w:rPr>
        <w:t xml:space="preserve">Gender and Consumer Behavior, </w:t>
      </w:r>
      <w:r w:rsidRPr="009E5B5E">
        <w:rPr>
          <w:rFonts w:ascii="Cambria" w:hAnsi="Cambria" w:cs="PANKGI+TimesNewRoman,Italic"/>
          <w:color w:val="000000"/>
          <w:sz w:val="24"/>
          <w:szCs w:val="24"/>
        </w:rPr>
        <w:t>First Conference Proceedings</w:t>
      </w:r>
      <w:r w:rsidRPr="009E5B5E">
        <w:rPr>
          <w:rFonts w:ascii="Cambria" w:hAnsi="Cambria" w:cs="PANKAK+TimesNewRoman"/>
          <w:color w:val="000000"/>
          <w:sz w:val="24"/>
          <w:szCs w:val="24"/>
        </w:rPr>
        <w:t>, Janeen. Arnold Costa, ed. Salt Lake City, UT: University of Utah Printing Service, 378-386.</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 New Roman"/>
          <w:sz w:val="24"/>
          <w:szCs w:val="24"/>
          <w:lang w:bidi="th-TH"/>
        </w:rPr>
        <w:t xml:space="preserve">Fishbein, M. and I. Ajzen (1975), </w:t>
      </w:r>
      <w:r w:rsidRPr="009E5B5E">
        <w:rPr>
          <w:rFonts w:ascii="Cambria" w:eastAsiaTheme="minorHAnsi" w:hAnsi="Cambria" w:cs="Times New Roman"/>
          <w:i/>
          <w:iCs/>
          <w:sz w:val="24"/>
          <w:szCs w:val="24"/>
          <w:lang w:bidi="th-TH"/>
        </w:rPr>
        <w:t>Belief Attitude, Intention, and Behavior:</w:t>
      </w:r>
      <w:r w:rsidRPr="009E5B5E">
        <w:rPr>
          <w:rFonts w:ascii="Cambria" w:hAnsi="Cambria" w:cs="PANKAK+TimesNewRoman"/>
          <w:color w:val="000000"/>
          <w:sz w:val="24"/>
          <w:szCs w:val="24"/>
        </w:rPr>
        <w:t xml:space="preserve"> </w:t>
      </w:r>
      <w:r w:rsidRPr="009E5B5E">
        <w:rPr>
          <w:rFonts w:ascii="Cambria" w:eastAsiaTheme="minorHAnsi" w:hAnsi="Cambria" w:cs="Times New Roman"/>
          <w:i/>
          <w:iCs/>
          <w:sz w:val="24"/>
          <w:szCs w:val="24"/>
          <w:lang w:bidi="th-TH"/>
        </w:rPr>
        <w:t xml:space="preserve">An Introduction to Theory and Research. </w:t>
      </w:r>
      <w:r w:rsidRPr="009E5B5E">
        <w:rPr>
          <w:rFonts w:ascii="Cambria" w:eastAsiaTheme="minorHAnsi" w:hAnsi="Cambria" w:cs="Times New Roman"/>
          <w:sz w:val="24"/>
          <w:szCs w:val="24"/>
          <w:lang w:bidi="th-TH"/>
        </w:rPr>
        <w:t xml:space="preserve">Reading, </w:t>
      </w:r>
      <w:r w:rsidRPr="009E5B5E">
        <w:rPr>
          <w:rFonts w:ascii="Cambria" w:eastAsiaTheme="minorHAnsi" w:hAnsi="Cambria" w:cs="Times New Roman"/>
          <w:i/>
          <w:iCs/>
          <w:sz w:val="24"/>
          <w:szCs w:val="24"/>
          <w:lang w:bidi="th-TH"/>
        </w:rPr>
        <w:t xml:space="preserve">MA: </w:t>
      </w:r>
      <w:r w:rsidRPr="009E5B5E">
        <w:rPr>
          <w:rFonts w:ascii="Cambria" w:eastAsiaTheme="minorHAnsi" w:hAnsi="Cambria" w:cs="Times New Roman"/>
          <w:sz w:val="24"/>
          <w:szCs w:val="24"/>
          <w:lang w:bidi="th-TH"/>
        </w:rPr>
        <w:t>Addison-Wesley.</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Roman"/>
          <w:sz w:val="24"/>
          <w:szCs w:val="24"/>
          <w:lang w:bidi="th-TH"/>
        </w:rPr>
        <w:t xml:space="preserve">Fritz, Heidi L. and Vicki S. Helgeson (1998), “Distinctions ofUnmitigated Communion from Communion: Self-Neglect andOverinvolvement with Others,” </w:t>
      </w:r>
      <w:r w:rsidRPr="009E5B5E">
        <w:rPr>
          <w:rFonts w:ascii="Cambria" w:eastAsiaTheme="minorHAnsi" w:hAnsi="Cambria" w:cs="Times-Italic"/>
          <w:i/>
          <w:iCs/>
          <w:sz w:val="24"/>
          <w:szCs w:val="24"/>
          <w:lang w:bidi="th-TH"/>
        </w:rPr>
        <w:t>Journal of Personality and</w:t>
      </w:r>
      <w:r w:rsidRPr="009E5B5E">
        <w:rPr>
          <w:rFonts w:ascii="Cambria" w:hAnsi="Cambria"/>
          <w:sz w:val="24"/>
          <w:szCs w:val="24"/>
        </w:rPr>
        <w:t xml:space="preserve"> </w:t>
      </w:r>
      <w:r w:rsidRPr="009E5B5E">
        <w:rPr>
          <w:rFonts w:ascii="Cambria" w:eastAsiaTheme="minorHAnsi" w:hAnsi="Cambria" w:cs="Times-Italic"/>
          <w:i/>
          <w:iCs/>
          <w:sz w:val="24"/>
          <w:szCs w:val="24"/>
          <w:lang w:bidi="th-TH"/>
        </w:rPr>
        <w:t>Social Psychology</w:t>
      </w:r>
      <w:r w:rsidRPr="009E5B5E">
        <w:rPr>
          <w:rFonts w:ascii="Cambria" w:eastAsiaTheme="minorHAnsi" w:hAnsi="Cambria" w:cs="Times-Roman"/>
          <w:sz w:val="24"/>
          <w:szCs w:val="24"/>
          <w:lang w:bidi="th-TH"/>
        </w:rPr>
        <w:t>, 75 (1), 121–40.</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cs="PANKAK+TimesNewRoman"/>
          <w:color w:val="000000"/>
          <w:sz w:val="24"/>
          <w:szCs w:val="24"/>
        </w:rPr>
        <w:t xml:space="preserve">Gill, Sandra, Jean Stockard, Miriam Johnson and Suzanne Williams (1987), </w:t>
      </w:r>
      <w:r w:rsidRPr="009E5B5E">
        <w:rPr>
          <w:rFonts w:ascii="Cambria" w:hAnsi="Cambria" w:cs="PANKAK+TimesNewRoman"/>
          <w:i/>
          <w:iCs/>
          <w:color w:val="000000"/>
          <w:sz w:val="24"/>
          <w:szCs w:val="24"/>
        </w:rPr>
        <w:t>Measuring Gender Differences: The Expressive Dimension and Critique of Androgyny Scales</w:t>
      </w:r>
      <w:r w:rsidRPr="009E5B5E">
        <w:rPr>
          <w:rFonts w:ascii="Cambria" w:hAnsi="Cambria" w:cs="PANKAK+TimesNewRoman"/>
          <w:color w:val="000000"/>
          <w:sz w:val="24"/>
          <w:szCs w:val="24"/>
        </w:rPr>
        <w:t xml:space="preserve">. </w:t>
      </w:r>
      <w:r w:rsidRPr="009E5B5E">
        <w:rPr>
          <w:rFonts w:ascii="Cambria" w:hAnsi="Cambria" w:cs="PANKGI+TimesNewRoman,Italic"/>
          <w:color w:val="000000"/>
          <w:sz w:val="24"/>
          <w:szCs w:val="24"/>
        </w:rPr>
        <w:t>Oregon: Center for the Study of Women in Society</w:t>
      </w:r>
      <w:r w:rsidRPr="009E5B5E">
        <w:rPr>
          <w:rFonts w:ascii="Cambria" w:hAnsi="Cambria" w:cs="PANKAK+TimesNewRoman"/>
          <w:color w:val="000000"/>
          <w:sz w:val="24"/>
          <w:szCs w:val="24"/>
        </w:rPr>
        <w:t>.</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Roman"/>
          <w:sz w:val="24"/>
          <w:szCs w:val="24"/>
          <w:lang w:bidi="th-TH"/>
        </w:rPr>
        <w:t xml:space="preserve">Gould, Robert J. and Caroline Slone (1982), “The ‘Feminine Modesty’ Effect: A Self-Presentational Interpretation of Sex Differences in Causal Attribution,” </w:t>
      </w:r>
      <w:r w:rsidRPr="009E5B5E">
        <w:rPr>
          <w:rFonts w:ascii="Cambria" w:eastAsiaTheme="minorHAnsi" w:hAnsi="Cambria" w:cs="Times-Italic"/>
          <w:i/>
          <w:iCs/>
          <w:sz w:val="24"/>
          <w:szCs w:val="24"/>
          <w:lang w:bidi="th-TH"/>
        </w:rPr>
        <w:t>Personality and Social Psychology Bulletin</w:t>
      </w:r>
      <w:r w:rsidRPr="009E5B5E">
        <w:rPr>
          <w:rFonts w:ascii="Cambria" w:eastAsiaTheme="minorHAnsi" w:hAnsi="Cambria" w:cs="Times-Roman"/>
          <w:sz w:val="24"/>
          <w:szCs w:val="24"/>
          <w:lang w:bidi="th-TH"/>
        </w:rPr>
        <w:t>, 8 (3), 477–485.</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sz w:val="24"/>
          <w:szCs w:val="24"/>
        </w:rPr>
        <w:t xml:space="preserve">Grewal, D. and M. Levy (2007), “Retailing Research: Past, Present and Future,” </w:t>
      </w:r>
      <w:r w:rsidRPr="009E5B5E">
        <w:rPr>
          <w:rFonts w:ascii="Cambria" w:hAnsi="Cambria"/>
          <w:i/>
          <w:iCs/>
          <w:sz w:val="24"/>
          <w:szCs w:val="24"/>
        </w:rPr>
        <w:t>Journal of Retailing</w:t>
      </w:r>
      <w:r w:rsidRPr="009E5B5E">
        <w:rPr>
          <w:rFonts w:ascii="Cambria" w:hAnsi="Cambria"/>
          <w:sz w:val="24"/>
          <w:szCs w:val="24"/>
        </w:rPr>
        <w:t>, 83(4), 447-464</w:t>
      </w:r>
      <w:r w:rsidRPr="009E5B5E">
        <w:rPr>
          <w:rFonts w:ascii="Cambria" w:hAnsi="Cambria" w:cs="PANKAK+TimesNewRoman"/>
          <w:color w:val="000000"/>
          <w:sz w:val="24"/>
          <w:szCs w:val="24"/>
        </w:rPr>
        <w:t>.</w:t>
      </w:r>
    </w:p>
    <w:p w:rsidR="00DA2247" w:rsidRPr="009E5B5E" w:rsidRDefault="00DA2247" w:rsidP="00DA2247">
      <w:pPr>
        <w:spacing w:line="360" w:lineRule="auto"/>
        <w:ind w:left="567" w:hanging="567"/>
        <w:jc w:val="both"/>
        <w:rPr>
          <w:rFonts w:ascii="Cambria" w:eastAsiaTheme="minorHAnsi" w:hAnsi="Cambria" w:cs="Times-Roman"/>
          <w:sz w:val="24"/>
          <w:szCs w:val="24"/>
          <w:lang w:bidi="th-TH"/>
        </w:rPr>
      </w:pPr>
      <w:r w:rsidRPr="009E5B5E">
        <w:rPr>
          <w:rFonts w:ascii="Cambria" w:hAnsi="Cambria"/>
          <w:color w:val="000000" w:themeColor="text1"/>
          <w:sz w:val="24"/>
          <w:szCs w:val="24"/>
        </w:rPr>
        <w:t xml:space="preserve">Grover, Rajiv and V. Srinivasan (1992), “Evaluating the Multiple Effects of Retail Promotions on Brand Loyal and Brand Switching Segment,” </w:t>
      </w:r>
      <w:r w:rsidRPr="009E5B5E">
        <w:rPr>
          <w:rFonts w:ascii="Cambria" w:hAnsi="Cambria"/>
          <w:i/>
          <w:iCs/>
          <w:color w:val="000000" w:themeColor="text1"/>
          <w:sz w:val="24"/>
          <w:szCs w:val="24"/>
        </w:rPr>
        <w:t>Journal Marketing  Research</w:t>
      </w:r>
      <w:r w:rsidRPr="009E5B5E">
        <w:rPr>
          <w:rFonts w:ascii="Cambria" w:hAnsi="Cambria"/>
          <w:color w:val="000000" w:themeColor="text1"/>
          <w:sz w:val="24"/>
          <w:szCs w:val="24"/>
        </w:rPr>
        <w:t xml:space="preserve">, 29 (1),  76-89. </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Roman"/>
          <w:sz w:val="24"/>
          <w:szCs w:val="24"/>
          <w:lang w:bidi="th-TH"/>
        </w:rPr>
        <w:t>Guimond, Serge, Armand Chatard, Delphine Martinot, Richard J.</w:t>
      </w:r>
      <w:r w:rsidRPr="009E5B5E">
        <w:rPr>
          <w:rFonts w:ascii="Cambria" w:hAnsi="Cambria"/>
          <w:sz w:val="24"/>
          <w:szCs w:val="24"/>
        </w:rPr>
        <w:t xml:space="preserve"> </w:t>
      </w:r>
      <w:r w:rsidRPr="009E5B5E">
        <w:rPr>
          <w:rFonts w:ascii="Cambria" w:eastAsiaTheme="minorHAnsi" w:hAnsi="Cambria" w:cs="Times-Roman"/>
          <w:sz w:val="24"/>
          <w:szCs w:val="24"/>
          <w:lang w:bidi="th-TH"/>
        </w:rPr>
        <w:t>Crisp, and Sandrine Redersdorff (2006), “Social Comparison,</w:t>
      </w:r>
      <w:r w:rsidRPr="009E5B5E">
        <w:rPr>
          <w:rFonts w:ascii="Cambria" w:hAnsi="Cambria"/>
          <w:sz w:val="24"/>
          <w:szCs w:val="24"/>
        </w:rPr>
        <w:t xml:space="preserve"> </w:t>
      </w:r>
      <w:r w:rsidRPr="009E5B5E">
        <w:rPr>
          <w:rFonts w:ascii="Cambria" w:eastAsiaTheme="minorHAnsi" w:hAnsi="Cambria" w:cs="Times-Roman"/>
          <w:sz w:val="24"/>
          <w:szCs w:val="24"/>
          <w:lang w:bidi="th-TH"/>
        </w:rPr>
        <w:t>Self-Stereotyping, and Gender Differences in Self-Construals,”</w:t>
      </w:r>
      <w:r w:rsidRPr="009E5B5E">
        <w:rPr>
          <w:rFonts w:ascii="Cambria" w:hAnsi="Cambria"/>
          <w:sz w:val="24"/>
          <w:szCs w:val="24"/>
        </w:rPr>
        <w:t xml:space="preserve"> </w:t>
      </w:r>
      <w:r w:rsidRPr="009E5B5E">
        <w:rPr>
          <w:rFonts w:ascii="Cambria" w:eastAsiaTheme="minorHAnsi" w:hAnsi="Cambria" w:cs="Times-Italic"/>
          <w:i/>
          <w:iCs/>
          <w:sz w:val="24"/>
          <w:szCs w:val="24"/>
          <w:lang w:bidi="th-TH"/>
        </w:rPr>
        <w:t>Journal of Personality and Social Psychology</w:t>
      </w:r>
      <w:r w:rsidRPr="009E5B5E">
        <w:rPr>
          <w:rFonts w:ascii="Cambria" w:eastAsiaTheme="minorHAnsi" w:hAnsi="Cambria" w:cs="Times-Roman"/>
          <w:sz w:val="24"/>
          <w:szCs w:val="24"/>
          <w:lang w:bidi="th-TH"/>
        </w:rPr>
        <w:t>, 90 (2), 221–42.</w:t>
      </w:r>
    </w:p>
    <w:p w:rsidR="00DA2247" w:rsidRPr="009E5B5E" w:rsidRDefault="00DA2247" w:rsidP="00DA2247">
      <w:pPr>
        <w:spacing w:line="360" w:lineRule="auto"/>
        <w:ind w:left="567" w:hanging="567"/>
        <w:jc w:val="both"/>
        <w:rPr>
          <w:rFonts w:ascii="Cambria" w:hAnsi="Cambria"/>
          <w:color w:val="000000" w:themeColor="text1"/>
          <w:sz w:val="24"/>
          <w:szCs w:val="24"/>
        </w:rPr>
      </w:pPr>
      <w:r w:rsidRPr="009E5B5E">
        <w:rPr>
          <w:rFonts w:ascii="Cambria" w:hAnsi="Cambria"/>
          <w:color w:val="000000" w:themeColor="text1"/>
          <w:sz w:val="24"/>
          <w:szCs w:val="24"/>
        </w:rPr>
        <w:t>Gupta, Sunil (1988), “Impact of Sales Promotions on When, What, and How Much to Buy,” Journal of Marketing Research, 25 (4), 342-355.</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Italic"/>
          <w:sz w:val="24"/>
          <w:szCs w:val="24"/>
          <w:lang w:bidi="th-TH"/>
        </w:rPr>
        <w:t xml:space="preserve">Hauser, John R. and Birger Wernerfelt (1990), “An Evaluation Cost Model of Consideration Sets,” </w:t>
      </w:r>
      <w:r w:rsidRPr="009E5B5E">
        <w:rPr>
          <w:rFonts w:ascii="Cambria" w:eastAsiaTheme="minorHAnsi" w:hAnsi="Cambria" w:cs="Times-Italic"/>
          <w:i/>
          <w:iCs/>
          <w:sz w:val="24"/>
          <w:szCs w:val="24"/>
          <w:lang w:bidi="th-TH"/>
        </w:rPr>
        <w:t>Journal of Consumer Research</w:t>
      </w:r>
      <w:r w:rsidRPr="009E5B5E">
        <w:rPr>
          <w:rFonts w:ascii="Cambria" w:eastAsiaTheme="minorHAnsi" w:hAnsi="Cambria" w:cs="Times-Italic"/>
          <w:sz w:val="24"/>
          <w:szCs w:val="24"/>
          <w:lang w:bidi="th-TH"/>
        </w:rPr>
        <w:t>, 16 (4), 393-408</w:t>
      </w:r>
      <w:r w:rsidRPr="009E5B5E">
        <w:rPr>
          <w:rFonts w:ascii="Cambria" w:hAnsi="Cambria" w:cs="PANKAK+TimesNewRoman"/>
          <w:color w:val="000000"/>
          <w:sz w:val="24"/>
          <w:szCs w:val="24"/>
        </w:rPr>
        <w:t>.</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Italic"/>
          <w:sz w:val="24"/>
          <w:szCs w:val="24"/>
          <w:lang w:bidi="th-TH"/>
        </w:rPr>
        <w:lastRenderedPageBreak/>
        <w:t xml:space="preserve">Hawkins, D. I., R. J. Best, and K. A. Coney (2001), </w:t>
      </w:r>
      <w:r w:rsidRPr="009E5B5E">
        <w:rPr>
          <w:rFonts w:ascii="Cambria" w:eastAsiaTheme="minorHAnsi" w:hAnsi="Cambria" w:cs="Times-Italic"/>
          <w:i/>
          <w:iCs/>
          <w:sz w:val="24"/>
          <w:szCs w:val="24"/>
          <w:lang w:bidi="th-TH"/>
        </w:rPr>
        <w:t>Consumer Behavior</w:t>
      </w:r>
      <w:r w:rsidRPr="009E5B5E">
        <w:rPr>
          <w:rFonts w:ascii="Cambria" w:eastAsiaTheme="minorHAnsi" w:hAnsi="Cambria" w:cs="Times-Italic"/>
          <w:sz w:val="24"/>
          <w:szCs w:val="24"/>
          <w:lang w:bidi="th-TH"/>
        </w:rPr>
        <w:t>, 8</w:t>
      </w:r>
      <w:r w:rsidRPr="009E5B5E">
        <w:rPr>
          <w:rFonts w:ascii="Cambria" w:eastAsiaTheme="minorHAnsi" w:hAnsi="Cambria" w:cs="Times-Italic"/>
          <w:sz w:val="24"/>
          <w:szCs w:val="24"/>
          <w:vertAlign w:val="superscript"/>
          <w:lang w:bidi="th-TH"/>
        </w:rPr>
        <w:t>th</w:t>
      </w:r>
      <w:r w:rsidRPr="009E5B5E">
        <w:rPr>
          <w:rFonts w:ascii="Cambria" w:eastAsiaTheme="minorHAnsi" w:hAnsi="Cambria" w:cs="Times-Italic"/>
          <w:sz w:val="24"/>
          <w:szCs w:val="24"/>
          <w:lang w:bidi="th-TH"/>
        </w:rPr>
        <w:t xml:space="preserve"> edition. New York, U.S.: McGraw-Hill</w:t>
      </w:r>
      <w:r w:rsidRPr="009E5B5E">
        <w:rPr>
          <w:rFonts w:ascii="Cambria" w:hAnsi="Cambria"/>
          <w:sz w:val="24"/>
          <w:szCs w:val="24"/>
        </w:rPr>
        <w:t>.</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Italic"/>
          <w:sz w:val="24"/>
          <w:szCs w:val="24"/>
          <w:lang w:bidi="th-TH"/>
        </w:rPr>
        <w:t>Heath, Chip and Jack B. Soll (1996), “Mental Budgeting and Consumer Decisions,” Journal of Consumer Research, 23, 1 (June), 40-52</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Helgeson, Vicki S. (1994), “Relation of Agency and Communion to Well Being: Evidence and Potential Explanations,” </w:t>
      </w:r>
      <w:r w:rsidRPr="009E5B5E">
        <w:rPr>
          <w:rFonts w:ascii="Cambria" w:hAnsi="Cambria"/>
          <w:i/>
          <w:iCs/>
          <w:sz w:val="24"/>
          <w:szCs w:val="24"/>
        </w:rPr>
        <w:t>Psychological</w:t>
      </w:r>
      <w:r w:rsidRPr="009E5B5E">
        <w:rPr>
          <w:rFonts w:ascii="Cambria" w:hAnsi="Cambria"/>
          <w:sz w:val="24"/>
          <w:szCs w:val="24"/>
        </w:rPr>
        <w:t xml:space="preserve"> </w:t>
      </w:r>
      <w:r w:rsidRPr="009E5B5E">
        <w:rPr>
          <w:rFonts w:ascii="Cambria" w:hAnsi="Cambria"/>
          <w:i/>
          <w:iCs/>
          <w:sz w:val="24"/>
          <w:szCs w:val="24"/>
        </w:rPr>
        <w:t>Bulletin</w:t>
      </w:r>
      <w:r w:rsidRPr="009E5B5E">
        <w:rPr>
          <w:rFonts w:ascii="Cambria" w:hAnsi="Cambria"/>
          <w:sz w:val="24"/>
          <w:szCs w:val="24"/>
        </w:rPr>
        <w:t>, 116 (3), 412–28.</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Italic"/>
          <w:sz w:val="24"/>
          <w:szCs w:val="24"/>
          <w:lang w:bidi="th-TH"/>
        </w:rPr>
        <w:t>Hogan, R., W. Jones, and J. M. Cheek (1985), “Socioanalytic Theory: an</w:t>
      </w:r>
      <w:r w:rsidRPr="009E5B5E">
        <w:rPr>
          <w:rFonts w:ascii="Cambria" w:hAnsi="Cambria" w:cs="PANKAK+TimesNewRoman"/>
          <w:color w:val="000000"/>
          <w:sz w:val="24"/>
          <w:szCs w:val="24"/>
        </w:rPr>
        <w:t xml:space="preserve"> </w:t>
      </w:r>
      <w:r w:rsidRPr="009E5B5E">
        <w:rPr>
          <w:rFonts w:ascii="Cambria" w:eastAsiaTheme="minorHAnsi" w:hAnsi="Cambria" w:cs="Times-Italic"/>
          <w:sz w:val="24"/>
          <w:szCs w:val="24"/>
          <w:lang w:bidi="th-TH"/>
        </w:rPr>
        <w:t xml:space="preserve">Alternative to Armadillo Psychology,” in </w:t>
      </w:r>
      <w:r w:rsidRPr="009E5B5E">
        <w:rPr>
          <w:rFonts w:ascii="Cambria" w:eastAsiaTheme="minorHAnsi" w:hAnsi="Cambria" w:cs="Times-Italic"/>
          <w:i/>
          <w:iCs/>
          <w:sz w:val="24"/>
          <w:szCs w:val="24"/>
          <w:lang w:bidi="th-TH"/>
        </w:rPr>
        <w:t>The Self</w:t>
      </w:r>
      <w:r w:rsidRPr="009E5B5E">
        <w:rPr>
          <w:rFonts w:ascii="Cambria" w:hAnsi="Cambria" w:cs="PANKAK+TimesNewRoman"/>
          <w:i/>
          <w:iCs/>
          <w:color w:val="000000"/>
          <w:sz w:val="24"/>
          <w:szCs w:val="24"/>
        </w:rPr>
        <w:t xml:space="preserve"> </w:t>
      </w:r>
      <w:r w:rsidRPr="009E5B5E">
        <w:rPr>
          <w:rFonts w:ascii="Cambria" w:eastAsiaTheme="minorHAnsi" w:hAnsi="Cambria" w:cs="Times-Italic"/>
          <w:i/>
          <w:iCs/>
          <w:sz w:val="24"/>
          <w:szCs w:val="24"/>
          <w:lang w:bidi="th-TH"/>
        </w:rPr>
        <w:t>and Social Life</w:t>
      </w:r>
      <w:r w:rsidRPr="009E5B5E">
        <w:rPr>
          <w:rFonts w:ascii="Cambria" w:eastAsiaTheme="minorHAnsi" w:hAnsi="Cambria" w:cs="Times-Italic"/>
          <w:sz w:val="24"/>
          <w:szCs w:val="24"/>
          <w:lang w:bidi="th-TH"/>
        </w:rPr>
        <w:t xml:space="preserve">, B. R. Schlenker ed. New York: McGraw-Hill, 175-198. </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Inman, Jeffrey J., Leigh McAlister, and Wayne D. Hoyer (1990), “Promotion Signal: Proxy for a Price Cut? </w:t>
      </w:r>
      <w:r w:rsidRPr="009E5B5E">
        <w:rPr>
          <w:rFonts w:ascii="Cambria" w:hAnsi="Cambria"/>
          <w:i/>
          <w:iCs/>
          <w:sz w:val="24"/>
          <w:szCs w:val="24"/>
        </w:rPr>
        <w:t>Journal of Consumer Research</w:t>
      </w:r>
      <w:r w:rsidRPr="009E5B5E">
        <w:rPr>
          <w:rFonts w:ascii="Cambria" w:hAnsi="Cambria"/>
          <w:sz w:val="24"/>
          <w:szCs w:val="24"/>
        </w:rPr>
        <w:t>, 17 (1), 74-81.</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eastAsiaTheme="minorHAnsi" w:hAnsi="Cambria" w:cs="Times-Italic"/>
          <w:sz w:val="24"/>
          <w:szCs w:val="24"/>
          <w:lang w:bidi="th-TH"/>
        </w:rPr>
        <w:t xml:space="preserve">Jahoda, Gustav (1959), “Development of the Perception of Social Differences in Children from 6 to 10,” </w:t>
      </w:r>
      <w:r w:rsidRPr="009E5B5E">
        <w:rPr>
          <w:rFonts w:ascii="Cambria" w:hAnsi="Cambria" w:cs="Arial"/>
          <w:i/>
          <w:iCs/>
          <w:sz w:val="24"/>
          <w:szCs w:val="24"/>
        </w:rPr>
        <w:t>British Journal of Psychology</w:t>
      </w:r>
      <w:r w:rsidRPr="009E5B5E">
        <w:rPr>
          <w:rFonts w:ascii="Cambria" w:hAnsi="Cambria" w:cs="Arial"/>
          <w:sz w:val="24"/>
          <w:szCs w:val="24"/>
        </w:rPr>
        <w:t xml:space="preserve">, </w:t>
      </w:r>
      <w:r w:rsidRPr="009E5B5E">
        <w:rPr>
          <w:rFonts w:ascii="Cambria" w:hAnsi="Cambria" w:cs="Arial"/>
          <w:sz w:val="24"/>
          <w:szCs w:val="24"/>
          <w:bdr w:val="none" w:sz="0" w:space="0" w:color="auto" w:frame="1"/>
        </w:rPr>
        <w:t>50 (2), 159–175</w:t>
      </w:r>
      <w:r w:rsidRPr="009E5B5E">
        <w:rPr>
          <w:rFonts w:ascii="Cambria" w:hAnsi="Cambria" w:cs="Arial"/>
          <w:sz w:val="24"/>
          <w:szCs w:val="24"/>
        </w:rPr>
        <w:t>.</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Janakiraman, Naraya, Robert J. Meyer, and Andrea C. Morales (2006), “Spillover Effects: How Consumers Respond to Unexpected Changes in Price and Quality,” </w:t>
      </w:r>
      <w:r w:rsidRPr="009E5B5E">
        <w:rPr>
          <w:rFonts w:ascii="Cambria" w:hAnsi="Cambria"/>
          <w:i/>
          <w:iCs/>
          <w:sz w:val="24"/>
          <w:szCs w:val="24"/>
        </w:rPr>
        <w:t>Journal of Consumer Research</w:t>
      </w:r>
      <w:r w:rsidRPr="009E5B5E">
        <w:rPr>
          <w:rFonts w:ascii="Cambria" w:hAnsi="Cambria"/>
          <w:sz w:val="24"/>
          <w:szCs w:val="24"/>
        </w:rPr>
        <w:t>, 33 (3), 361-369.</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Jones, M. A. (1999), “Entertaining Shopping Experiences: An Exploratory Investigation,” </w:t>
      </w:r>
      <w:r w:rsidRPr="009E5B5E">
        <w:rPr>
          <w:rFonts w:ascii="Cambria" w:hAnsi="Cambria"/>
          <w:i/>
          <w:iCs/>
          <w:sz w:val="24"/>
          <w:szCs w:val="24"/>
        </w:rPr>
        <w:t>Journal of Retailing and Consumer Service</w:t>
      </w:r>
      <w:r w:rsidRPr="009E5B5E">
        <w:rPr>
          <w:rFonts w:ascii="Cambria" w:hAnsi="Cambria"/>
          <w:sz w:val="24"/>
          <w:szCs w:val="24"/>
        </w:rPr>
        <w:t>, 6 (3), 129-139.</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sz w:val="24"/>
          <w:szCs w:val="24"/>
        </w:rPr>
        <w:t xml:space="preserve">Kagan, J. (1964), "Acquisition and Significance of Sex- Typing and Sex Role Identity," in </w:t>
      </w:r>
      <w:r w:rsidRPr="009E5B5E">
        <w:rPr>
          <w:rFonts w:ascii="Cambria" w:hAnsi="Cambria"/>
          <w:i/>
          <w:iCs/>
          <w:sz w:val="24"/>
          <w:szCs w:val="24"/>
        </w:rPr>
        <w:t>Review of Child Development Research</w:t>
      </w:r>
      <w:r w:rsidRPr="009E5B5E">
        <w:rPr>
          <w:rFonts w:ascii="Cambria" w:hAnsi="Cambria"/>
          <w:sz w:val="24"/>
          <w:szCs w:val="24"/>
        </w:rPr>
        <w:t>, M. L. Hoffman and L. W. Hoffman eds. New York: Russell Sage Foundation, 137-167.</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Keller, E. F. (1983), "Feminism and Science," </w:t>
      </w:r>
      <w:r w:rsidRPr="009E5B5E">
        <w:rPr>
          <w:rFonts w:ascii="Cambria" w:hAnsi="Cambria" w:cs="PANKGI+TimesNewRoman,Italic"/>
          <w:color w:val="000000"/>
          <w:sz w:val="24"/>
          <w:szCs w:val="24"/>
        </w:rPr>
        <w:t xml:space="preserve">in </w:t>
      </w:r>
      <w:r w:rsidRPr="009E5B5E">
        <w:rPr>
          <w:rFonts w:ascii="Cambria" w:hAnsi="Cambria" w:cs="PANKGI+TimesNewRoman,Italic"/>
          <w:i/>
          <w:iCs/>
          <w:color w:val="000000"/>
          <w:sz w:val="24"/>
          <w:szCs w:val="24"/>
        </w:rPr>
        <w:t>The Signs Reader: Women, Gender, and Scholarship</w:t>
      </w:r>
      <w:r w:rsidRPr="009E5B5E">
        <w:rPr>
          <w:rFonts w:ascii="Cambria" w:hAnsi="Cambria" w:cs="PANKAK+TimesNewRoman"/>
          <w:color w:val="000000"/>
          <w:sz w:val="24"/>
          <w:szCs w:val="24"/>
        </w:rPr>
        <w:t>, E. Abel and E. Abel eds. Chicago: University of Chicago Press, 109-122.</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sz w:val="24"/>
          <w:szCs w:val="24"/>
        </w:rPr>
        <w:t xml:space="preserve">Kohlberg, L. A. (1966), "A Cognitive Developmental Analysis of Children's Sex Role Concepts and Attitudes," in </w:t>
      </w:r>
      <w:r w:rsidRPr="009E5B5E">
        <w:rPr>
          <w:rFonts w:ascii="Cambria" w:hAnsi="Cambria"/>
          <w:i/>
          <w:iCs/>
          <w:sz w:val="24"/>
          <w:szCs w:val="24"/>
        </w:rPr>
        <w:t>The Development of Sex Differences</w:t>
      </w:r>
      <w:r w:rsidRPr="009E5B5E">
        <w:rPr>
          <w:rFonts w:ascii="Cambria" w:hAnsi="Cambria"/>
          <w:sz w:val="24"/>
          <w:szCs w:val="24"/>
        </w:rPr>
        <w:t>, E. E. Maccoby ed. Stanford, CA: Stanford University Press, 82-173.</w:t>
      </w:r>
      <w:r w:rsidRPr="009E5B5E">
        <w:rPr>
          <w:rFonts w:ascii="Cambria" w:eastAsiaTheme="minorHAnsi" w:hAnsi="Cambria" w:cs="Times-Italic"/>
          <w:sz w:val="24"/>
          <w:szCs w:val="24"/>
          <w:lang w:bidi="th-TH"/>
        </w:rPr>
        <w:t xml:space="preserve"> </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Kollat, D. T. and Ronald P. Willet (1969), “Is Impulse Purchasing Really a Useful Concept for Marketing Decisions?,” </w:t>
      </w:r>
      <w:r w:rsidRPr="009E5B5E">
        <w:rPr>
          <w:rFonts w:ascii="Cambria" w:hAnsi="Cambria"/>
          <w:i/>
          <w:iCs/>
          <w:sz w:val="24"/>
          <w:szCs w:val="24"/>
        </w:rPr>
        <w:t>Journal of Marketing</w:t>
      </w:r>
      <w:r w:rsidRPr="009E5B5E">
        <w:rPr>
          <w:rFonts w:ascii="Cambria" w:hAnsi="Cambria"/>
          <w:sz w:val="24"/>
          <w:szCs w:val="24"/>
        </w:rPr>
        <w:t>, 33 (1), 79-83.</w:t>
      </w:r>
    </w:p>
    <w:p w:rsidR="00DA2247" w:rsidRPr="009E5B5E" w:rsidRDefault="00DA2247" w:rsidP="00DA2247">
      <w:pPr>
        <w:spacing w:line="360" w:lineRule="auto"/>
        <w:ind w:left="567" w:hanging="567"/>
        <w:jc w:val="both"/>
        <w:rPr>
          <w:rFonts w:ascii="Cambria" w:hAnsi="Cambria"/>
          <w:sz w:val="24"/>
          <w:szCs w:val="24"/>
        </w:rPr>
      </w:pPr>
      <w:r w:rsidRPr="009E5B5E">
        <w:rPr>
          <w:rStyle w:val="Emphasis"/>
          <w:rFonts w:ascii="Cambria" w:hAnsi="Cambria" w:cs="Arial"/>
          <w:b w:val="0"/>
          <w:bCs w:val="0"/>
          <w:i w:val="0"/>
          <w:iCs w:val="0"/>
          <w:color w:val="000000"/>
          <w:sz w:val="24"/>
          <w:szCs w:val="24"/>
          <w:shd w:val="clear" w:color="auto" w:fill="FFFFFF"/>
        </w:rPr>
        <w:lastRenderedPageBreak/>
        <w:t>Kotler</w:t>
      </w:r>
      <w:r w:rsidRPr="009E5B5E">
        <w:rPr>
          <w:rFonts w:ascii="Cambria" w:hAnsi="Cambria" w:cs="Arial"/>
          <w:b/>
          <w:bCs/>
          <w:color w:val="222222"/>
          <w:sz w:val="24"/>
          <w:szCs w:val="24"/>
          <w:shd w:val="clear" w:color="auto" w:fill="FFFFFF"/>
        </w:rPr>
        <w:t xml:space="preserve">, </w:t>
      </w:r>
      <w:r w:rsidRPr="009E5B5E">
        <w:rPr>
          <w:rFonts w:ascii="Cambria" w:hAnsi="Cambria" w:cs="Arial"/>
          <w:color w:val="222222"/>
          <w:sz w:val="24"/>
          <w:szCs w:val="24"/>
          <w:shd w:val="clear" w:color="auto" w:fill="FFFFFF"/>
        </w:rPr>
        <w:t>Philip (</w:t>
      </w:r>
      <w:r w:rsidRPr="009E5B5E">
        <w:rPr>
          <w:rStyle w:val="Emphasis"/>
          <w:rFonts w:ascii="Cambria" w:hAnsi="Cambria" w:cs="Arial"/>
          <w:b w:val="0"/>
          <w:bCs w:val="0"/>
          <w:i w:val="0"/>
          <w:iCs w:val="0"/>
          <w:color w:val="000000"/>
          <w:sz w:val="24"/>
          <w:szCs w:val="24"/>
          <w:shd w:val="clear" w:color="auto" w:fill="FFFFFF"/>
        </w:rPr>
        <w:t>1973</w:t>
      </w:r>
      <w:r w:rsidRPr="009E5B5E">
        <w:rPr>
          <w:rFonts w:ascii="Cambria" w:hAnsi="Cambria" w:cs="Arial"/>
          <w:color w:val="222222"/>
          <w:sz w:val="24"/>
          <w:szCs w:val="24"/>
          <w:shd w:val="clear" w:color="auto" w:fill="FFFFFF"/>
        </w:rPr>
        <w:t>),</w:t>
      </w:r>
      <w:r w:rsidRPr="009E5B5E">
        <w:rPr>
          <w:rFonts w:ascii="Cambria" w:hAnsi="Cambria" w:cs="Arial"/>
          <w:b/>
          <w:bCs/>
          <w:color w:val="222222"/>
          <w:sz w:val="24"/>
          <w:szCs w:val="24"/>
          <w:shd w:val="clear" w:color="auto" w:fill="FFFFFF"/>
        </w:rPr>
        <w:t xml:space="preserve"> </w:t>
      </w:r>
      <w:r w:rsidRPr="009E5B5E">
        <w:rPr>
          <w:rFonts w:ascii="Cambria" w:hAnsi="Cambria" w:cs="Arial"/>
          <w:color w:val="222222"/>
          <w:sz w:val="24"/>
          <w:szCs w:val="24"/>
          <w:shd w:val="clear" w:color="auto" w:fill="FFFFFF"/>
        </w:rPr>
        <w:t xml:space="preserve">“Atmospherics as a Marketing Tool,” </w:t>
      </w:r>
      <w:r w:rsidRPr="009E5B5E">
        <w:rPr>
          <w:rFonts w:ascii="Cambria" w:hAnsi="Cambria" w:cs="Arial"/>
          <w:i/>
          <w:iCs/>
          <w:color w:val="222222"/>
          <w:sz w:val="24"/>
          <w:szCs w:val="24"/>
          <w:shd w:val="clear" w:color="auto" w:fill="FFFFFF"/>
        </w:rPr>
        <w:t>Journal of Retailing</w:t>
      </w:r>
      <w:r w:rsidRPr="009E5B5E">
        <w:rPr>
          <w:rFonts w:ascii="Cambria" w:hAnsi="Cambria" w:cs="Arial"/>
          <w:color w:val="222222"/>
          <w:sz w:val="24"/>
          <w:szCs w:val="24"/>
          <w:shd w:val="clear" w:color="auto" w:fill="FFFFFF"/>
        </w:rPr>
        <w:t>, 49 (4), 48-64.</w:t>
      </w:r>
      <w:r w:rsidRPr="009E5B5E">
        <w:rPr>
          <w:rStyle w:val="apple-converted-space"/>
          <w:rFonts w:ascii="Cambria" w:hAnsi="Cambria" w:cs="Arial"/>
          <w:color w:val="222222"/>
          <w:sz w:val="24"/>
          <w:szCs w:val="24"/>
          <w:shd w:val="clear" w:color="auto" w:fill="FFFFFF"/>
        </w:rPr>
        <w:t> </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 and Gary Armstrong (2009), </w:t>
      </w:r>
      <w:r w:rsidRPr="009E5B5E">
        <w:rPr>
          <w:rFonts w:ascii="Cambria" w:hAnsi="Cambria"/>
          <w:i/>
          <w:iCs/>
          <w:sz w:val="24"/>
          <w:szCs w:val="24"/>
        </w:rPr>
        <w:t>Principles of Marketing</w:t>
      </w:r>
      <w:r w:rsidRPr="009E5B5E">
        <w:rPr>
          <w:rFonts w:ascii="Cambria" w:hAnsi="Cambria"/>
          <w:sz w:val="24"/>
          <w:szCs w:val="24"/>
        </w:rPr>
        <w:t>, 13th edition. New Jersey: Pearson Prentice Hall.</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hAnsi="Cambria" w:cs="PANKAK+TimesNewRoman"/>
          <w:color w:val="000000"/>
          <w:sz w:val="24"/>
          <w:szCs w:val="24"/>
        </w:rPr>
        <w:t xml:space="preserve">Kuhn, Deanna, Sharon Churin Nash, and Laura Brucken (1978). "Sex-Role Concepts of Two- and Three-Year Olds," </w:t>
      </w:r>
      <w:r w:rsidRPr="009E5B5E">
        <w:rPr>
          <w:rFonts w:ascii="Cambria" w:hAnsi="Cambria" w:cs="PANKAK+TimesNewRoman"/>
          <w:i/>
          <w:iCs/>
          <w:color w:val="000000"/>
          <w:sz w:val="24"/>
          <w:szCs w:val="24"/>
        </w:rPr>
        <w:t>Society for Research in</w:t>
      </w:r>
      <w:r w:rsidRPr="009E5B5E">
        <w:rPr>
          <w:rFonts w:ascii="Cambria" w:hAnsi="Cambria" w:cs="PANKAK+TimesNewRoman"/>
          <w:color w:val="000000"/>
          <w:sz w:val="24"/>
          <w:szCs w:val="24"/>
        </w:rPr>
        <w:t xml:space="preserve"> </w:t>
      </w:r>
      <w:r w:rsidRPr="009E5B5E">
        <w:rPr>
          <w:rFonts w:ascii="Cambria" w:hAnsi="Cambria" w:cs="PANKGI+TimesNewRoman,Italic"/>
          <w:i/>
          <w:iCs/>
          <w:color w:val="000000"/>
          <w:sz w:val="24"/>
          <w:szCs w:val="24"/>
        </w:rPr>
        <w:t>Child Development</w:t>
      </w:r>
      <w:r w:rsidRPr="009E5B5E">
        <w:rPr>
          <w:rFonts w:ascii="Cambria" w:hAnsi="Cambria" w:cs="PANKAK+TimesNewRoman"/>
          <w:color w:val="000000"/>
          <w:sz w:val="24"/>
          <w:szCs w:val="24"/>
        </w:rPr>
        <w:t>, 49, 445-451.</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Kurt, Didem , J. Jeffrey Inman, and Jennifer J. Argo (2011), “The Influence of Friends on Consumer Spending: The Role of Agency–Communion Orientation and Self-Monitoring,” </w:t>
      </w:r>
      <w:r w:rsidRPr="009E5B5E">
        <w:rPr>
          <w:rFonts w:ascii="Cambria" w:hAnsi="Cambria"/>
          <w:i/>
          <w:sz w:val="24"/>
          <w:szCs w:val="24"/>
        </w:rPr>
        <w:t xml:space="preserve">Journal of Marketing Research, </w:t>
      </w:r>
      <w:r w:rsidRPr="009E5B5E">
        <w:rPr>
          <w:rFonts w:ascii="Cambria" w:hAnsi="Cambria"/>
          <w:sz w:val="24"/>
          <w:szCs w:val="24"/>
        </w:rPr>
        <w:t xml:space="preserve">48 (4), 741-754. </w:t>
      </w:r>
    </w:p>
    <w:p w:rsidR="00DA2247" w:rsidRPr="009E5B5E" w:rsidRDefault="00DA2247" w:rsidP="00DA2247">
      <w:pPr>
        <w:spacing w:line="360" w:lineRule="auto"/>
        <w:ind w:left="567" w:hanging="567"/>
        <w:jc w:val="both"/>
        <w:rPr>
          <w:rFonts w:ascii="Cambria" w:eastAsia="Times New Roman" w:hAnsi="Cambria" w:cs="Arial"/>
          <w:color w:val="000000"/>
          <w:sz w:val="24"/>
          <w:szCs w:val="24"/>
        </w:rPr>
      </w:pPr>
      <w:r w:rsidRPr="009E5B5E">
        <w:rPr>
          <w:rFonts w:ascii="Cambria" w:eastAsia="Times New Roman" w:hAnsi="Cambria" w:cs="Arial"/>
          <w:color w:val="000000"/>
          <w:sz w:val="24"/>
          <w:szCs w:val="24"/>
        </w:rPr>
        <w:t xml:space="preserve">Leary, Mark R. and Robin M. Kowalski (1990), “Impression Management: A literature Review and Two-Component Model,” </w:t>
      </w:r>
      <w:r w:rsidRPr="009E5B5E">
        <w:rPr>
          <w:rFonts w:ascii="Cambria" w:eastAsia="Times New Roman" w:hAnsi="Cambria" w:cs="Arial"/>
          <w:i/>
          <w:iCs/>
          <w:color w:val="000000"/>
          <w:sz w:val="24"/>
          <w:szCs w:val="24"/>
        </w:rPr>
        <w:t>Psychological Bulletin</w:t>
      </w:r>
      <w:r w:rsidRPr="009E5B5E">
        <w:rPr>
          <w:rFonts w:ascii="Cambria" w:eastAsia="Times New Roman" w:hAnsi="Cambria" w:cs="Arial"/>
          <w:color w:val="000000"/>
          <w:sz w:val="24"/>
          <w:szCs w:val="24"/>
        </w:rPr>
        <w:t>, 107 (1), 34-47.</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hAnsi="Cambria" w:cs="PANKAK+TimesNewRoman"/>
          <w:color w:val="000000"/>
          <w:sz w:val="24"/>
          <w:szCs w:val="24"/>
        </w:rPr>
        <w:t xml:space="preserve">Lerner, Gerda (198), </w:t>
      </w:r>
      <w:r w:rsidRPr="009E5B5E">
        <w:rPr>
          <w:rFonts w:ascii="Cambria" w:hAnsi="Cambria" w:cs="PANKGI+TimesNewRoman,Italic"/>
          <w:i/>
          <w:iCs/>
          <w:color w:val="000000"/>
          <w:sz w:val="24"/>
          <w:szCs w:val="24"/>
        </w:rPr>
        <w:t>The Creation of Patriarchy</w:t>
      </w:r>
      <w:r w:rsidRPr="009E5B5E">
        <w:rPr>
          <w:rFonts w:ascii="Cambria" w:hAnsi="Cambria" w:cs="PANKAK+TimesNewRoman"/>
          <w:color w:val="000000"/>
          <w:sz w:val="24"/>
          <w:szCs w:val="24"/>
        </w:rPr>
        <w:t>. New York: Oxford University Press.</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Roman"/>
          <w:sz w:val="24"/>
          <w:szCs w:val="24"/>
          <w:lang w:bidi="th-TH"/>
        </w:rPr>
        <w:t xml:space="preserve">Luo, Xueming (2005), “How Does Shopping with Others Influence Impulsive Purchasing?” </w:t>
      </w:r>
      <w:r w:rsidRPr="009E5B5E">
        <w:rPr>
          <w:rFonts w:ascii="Cambria" w:eastAsiaTheme="minorHAnsi" w:hAnsi="Cambria" w:cs="Times-Italic"/>
          <w:i/>
          <w:iCs/>
          <w:sz w:val="24"/>
          <w:szCs w:val="24"/>
          <w:lang w:bidi="th-TH"/>
        </w:rPr>
        <w:t>Journal of Consumer Psychology</w:t>
      </w:r>
      <w:r w:rsidRPr="009E5B5E">
        <w:rPr>
          <w:rFonts w:ascii="Cambria" w:eastAsiaTheme="minorHAnsi" w:hAnsi="Cambria" w:cs="Times-Roman"/>
          <w:sz w:val="24"/>
          <w:szCs w:val="24"/>
          <w:lang w:bidi="th-TH"/>
        </w:rPr>
        <w:t>, 15 (4), 288–294.</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Italic"/>
          <w:sz w:val="24"/>
          <w:szCs w:val="24"/>
          <w:lang w:bidi="th-TH"/>
        </w:rPr>
        <w:t xml:space="preserve">Lussier, Denis A. and Richard W. Olshavsky (1979), “Task Complexity and Contingent Processing in Brand Choice,” </w:t>
      </w:r>
      <w:r w:rsidRPr="009E5B5E">
        <w:rPr>
          <w:rFonts w:ascii="Cambria" w:eastAsiaTheme="minorHAnsi" w:hAnsi="Cambria" w:cs="Times-Italic"/>
          <w:i/>
          <w:iCs/>
          <w:sz w:val="24"/>
          <w:szCs w:val="24"/>
          <w:lang w:bidi="th-TH"/>
        </w:rPr>
        <w:t>Journal of Consumer Research</w:t>
      </w:r>
      <w:r w:rsidRPr="009E5B5E">
        <w:rPr>
          <w:rFonts w:ascii="Cambria" w:eastAsiaTheme="minorHAnsi" w:hAnsi="Cambria" w:cs="Times-Italic"/>
          <w:sz w:val="24"/>
          <w:szCs w:val="24"/>
          <w:lang w:bidi="th-TH"/>
        </w:rPr>
        <w:t>, 6 (2), 154-165.</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Style w:val="contributornametrigger"/>
          <w:rFonts w:ascii="Cambria" w:hAnsi="Cambria"/>
          <w:color w:val="000000"/>
          <w:sz w:val="24"/>
          <w:szCs w:val="24"/>
          <w:shd w:val="clear" w:color="auto" w:fill="FFFFFF"/>
        </w:rPr>
        <w:t xml:space="preserve">McCullagh, P. and J. A. Nelder (1989), </w:t>
      </w:r>
      <w:r w:rsidRPr="009E5B5E">
        <w:rPr>
          <w:rStyle w:val="contributornametrigger"/>
          <w:rFonts w:ascii="Cambria" w:hAnsi="Cambria"/>
          <w:i/>
          <w:iCs/>
          <w:color w:val="000000"/>
          <w:sz w:val="24"/>
          <w:szCs w:val="24"/>
          <w:shd w:val="clear" w:color="auto" w:fill="FFFFFF"/>
        </w:rPr>
        <w:t>Generalized Linear Models</w:t>
      </w:r>
      <w:r w:rsidRPr="009E5B5E">
        <w:rPr>
          <w:rStyle w:val="contributornametrigger"/>
          <w:rFonts w:ascii="Cambria" w:hAnsi="Cambria"/>
          <w:color w:val="000000"/>
          <w:sz w:val="24"/>
          <w:szCs w:val="24"/>
          <w:shd w:val="clear" w:color="auto" w:fill="FFFFFF"/>
        </w:rPr>
        <w:t>, 2</w:t>
      </w:r>
      <w:r w:rsidRPr="009E5B5E">
        <w:rPr>
          <w:rStyle w:val="contributornametrigger"/>
          <w:rFonts w:ascii="Cambria" w:hAnsi="Cambria"/>
          <w:color w:val="000000"/>
          <w:sz w:val="24"/>
          <w:szCs w:val="24"/>
          <w:shd w:val="clear" w:color="auto" w:fill="FFFFFF"/>
          <w:vertAlign w:val="superscript"/>
        </w:rPr>
        <w:t>nd</w:t>
      </w:r>
      <w:r w:rsidRPr="009E5B5E">
        <w:rPr>
          <w:rStyle w:val="contributornametrigger"/>
          <w:rFonts w:ascii="Cambria" w:hAnsi="Cambria"/>
          <w:color w:val="000000"/>
          <w:sz w:val="24"/>
          <w:szCs w:val="24"/>
          <w:shd w:val="clear" w:color="auto" w:fill="FFFFFF"/>
        </w:rPr>
        <w:t xml:space="preserve"> edition. London: Chapman  and Hall.</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Italic"/>
          <w:sz w:val="24"/>
          <w:szCs w:val="24"/>
          <w:lang w:bidi="th-TH"/>
        </w:rPr>
        <w:t xml:space="preserve">Mehta, Nitin, Surendra Rajiv, and Kannan Srinivasan (2003), “Price Uncertainty and Consumer Search: A Structural Model of Consideration Set Formation," </w:t>
      </w:r>
      <w:r w:rsidRPr="009E5B5E">
        <w:rPr>
          <w:rFonts w:ascii="Cambria" w:eastAsiaTheme="minorHAnsi" w:hAnsi="Cambria" w:cs="Times-Italic"/>
          <w:i/>
          <w:iCs/>
          <w:sz w:val="24"/>
          <w:szCs w:val="24"/>
          <w:lang w:bidi="th-TH"/>
        </w:rPr>
        <w:t>Marketing Science</w:t>
      </w:r>
      <w:r w:rsidRPr="009E5B5E">
        <w:rPr>
          <w:rFonts w:ascii="Cambria" w:eastAsiaTheme="minorHAnsi" w:hAnsi="Cambria" w:cs="Times-Italic"/>
          <w:sz w:val="24"/>
          <w:szCs w:val="24"/>
          <w:lang w:bidi="th-TH"/>
        </w:rPr>
        <w:t>, 22 (1), 58-84</w:t>
      </w:r>
      <w:r w:rsidRPr="009E5B5E">
        <w:rPr>
          <w:rFonts w:ascii="Cambria" w:hAnsi="Cambria"/>
          <w:sz w:val="24"/>
          <w:szCs w:val="24"/>
        </w:rPr>
        <w:t>.</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Meyers-Levy, Joan. (1988), "The Influence of Sex Roles on Judgment,” </w:t>
      </w:r>
      <w:r w:rsidRPr="009E5B5E">
        <w:rPr>
          <w:rFonts w:ascii="Cambria" w:hAnsi="Cambria" w:cs="PANKGI+TimesNewRoman,Italic"/>
          <w:i/>
          <w:iCs/>
          <w:color w:val="000000"/>
          <w:sz w:val="24"/>
          <w:szCs w:val="24"/>
        </w:rPr>
        <w:t>Journal of Consumer Research</w:t>
      </w:r>
      <w:r w:rsidRPr="009E5B5E">
        <w:rPr>
          <w:rFonts w:ascii="Cambria" w:hAnsi="Cambria" w:cs="PANKGI+TimesNewRoman,Italic"/>
          <w:color w:val="000000"/>
          <w:sz w:val="24"/>
          <w:szCs w:val="24"/>
        </w:rPr>
        <w:t xml:space="preserve">, </w:t>
      </w:r>
      <w:r w:rsidRPr="009E5B5E">
        <w:rPr>
          <w:rFonts w:ascii="Cambria" w:hAnsi="Cambria" w:cs="PANKAK+TimesNewRoman"/>
          <w:color w:val="000000"/>
          <w:sz w:val="24"/>
          <w:szCs w:val="24"/>
        </w:rPr>
        <w:t>14 (4), 522-530.</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Michon, Richard, Jean-Charles Chebat, and L.W. Turley (2005), “Mall Atmospherics: the Interaction Effects of the Mall Environment on Shopping Behavior,” </w:t>
      </w:r>
      <w:r w:rsidRPr="009E5B5E">
        <w:rPr>
          <w:rFonts w:ascii="Cambria" w:hAnsi="Cambria"/>
          <w:i/>
          <w:iCs/>
          <w:sz w:val="24"/>
          <w:szCs w:val="24"/>
        </w:rPr>
        <w:t>Journal of Business Research</w:t>
      </w:r>
      <w:r w:rsidRPr="009E5B5E">
        <w:rPr>
          <w:rFonts w:ascii="Cambria" w:hAnsi="Cambria"/>
          <w:sz w:val="24"/>
          <w:szCs w:val="24"/>
        </w:rPr>
        <w:t>, 58 (5), 576-583.</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Roman"/>
          <w:sz w:val="24"/>
          <w:szCs w:val="24"/>
          <w:lang w:bidi="th-TH"/>
        </w:rPr>
        <w:lastRenderedPageBreak/>
        <w:t xml:space="preserve">Miller, Lynn C., Linda L. Cooke, Jennifer Tsang, and Faith Morgan (1992), “Should I Brag? Nature and Impact of Positive and Boastful Disclosures for Women and Men,” </w:t>
      </w:r>
      <w:r w:rsidRPr="009E5B5E">
        <w:rPr>
          <w:rFonts w:ascii="Cambria" w:eastAsiaTheme="minorHAnsi" w:hAnsi="Cambria" w:cs="Times-Italic"/>
          <w:i/>
          <w:iCs/>
          <w:sz w:val="24"/>
          <w:szCs w:val="24"/>
          <w:lang w:bidi="th-TH"/>
        </w:rPr>
        <w:t>Human Communication</w:t>
      </w:r>
      <w:r w:rsidRPr="009E5B5E">
        <w:rPr>
          <w:rFonts w:ascii="Cambria" w:hAnsi="Cambria" w:cs="PANKAK+TimesNewRoman"/>
          <w:color w:val="000000"/>
          <w:sz w:val="24"/>
          <w:szCs w:val="24"/>
        </w:rPr>
        <w:t xml:space="preserve"> </w:t>
      </w:r>
      <w:r w:rsidRPr="009E5B5E">
        <w:rPr>
          <w:rFonts w:ascii="Cambria" w:eastAsiaTheme="minorHAnsi" w:hAnsi="Cambria" w:cs="Times-Italic"/>
          <w:i/>
          <w:iCs/>
          <w:sz w:val="24"/>
          <w:szCs w:val="24"/>
          <w:lang w:bidi="th-TH"/>
        </w:rPr>
        <w:t>Research</w:t>
      </w:r>
      <w:r w:rsidRPr="009E5B5E">
        <w:rPr>
          <w:rFonts w:ascii="Cambria" w:eastAsiaTheme="minorHAnsi" w:hAnsi="Cambria" w:cs="Times-Roman"/>
          <w:sz w:val="24"/>
          <w:szCs w:val="24"/>
          <w:lang w:bidi="th-TH"/>
        </w:rPr>
        <w:t>, 18 (3), 364–399.</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Milliman, Ronald E (1986), “The Influence of Background Music on the Behavior of Restaurant Patrons,” </w:t>
      </w:r>
      <w:r w:rsidRPr="009E5B5E">
        <w:rPr>
          <w:rFonts w:ascii="Cambria" w:hAnsi="Cambria"/>
          <w:i/>
          <w:iCs/>
          <w:sz w:val="24"/>
          <w:szCs w:val="24"/>
        </w:rPr>
        <w:t>Journal of Consumer Research</w:t>
      </w:r>
      <w:r w:rsidRPr="009E5B5E">
        <w:rPr>
          <w:rFonts w:ascii="Cambria" w:hAnsi="Cambria"/>
          <w:sz w:val="24"/>
          <w:szCs w:val="24"/>
        </w:rPr>
        <w:t>, 13(2), 286-289.</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sz w:val="24"/>
          <w:szCs w:val="24"/>
        </w:rPr>
        <w:t xml:space="preserve">Nisbett, R. E. and L. Ross (1980), </w:t>
      </w:r>
      <w:r w:rsidRPr="009E5B5E">
        <w:rPr>
          <w:rFonts w:ascii="Cambria" w:hAnsi="Cambria"/>
          <w:i/>
          <w:iCs/>
          <w:sz w:val="24"/>
          <w:szCs w:val="24"/>
        </w:rPr>
        <w:t>Human Inference: Strategies and Shortcomings of  Social Judgement</w:t>
      </w:r>
      <w:r w:rsidRPr="009E5B5E">
        <w:rPr>
          <w:rFonts w:ascii="Cambria" w:hAnsi="Cambria"/>
          <w:sz w:val="24"/>
          <w:szCs w:val="24"/>
        </w:rPr>
        <w:t>. Englewood Cliffs, NJ: Prentice-Hall.</w:t>
      </w:r>
      <w:r w:rsidRPr="009E5B5E">
        <w:rPr>
          <w:rFonts w:ascii="Cambria" w:eastAsiaTheme="minorHAnsi" w:hAnsi="Cambria" w:cs="Times-Italic"/>
          <w:sz w:val="24"/>
          <w:szCs w:val="24"/>
          <w:lang w:bidi="th-TH"/>
        </w:rPr>
        <w:t xml:space="preserve"> </w:t>
      </w:r>
    </w:p>
    <w:p w:rsidR="00DA2247" w:rsidRPr="009E5B5E" w:rsidRDefault="00AD7D97" w:rsidP="00DA2247">
      <w:pPr>
        <w:spacing w:line="360" w:lineRule="auto"/>
        <w:ind w:left="567" w:hanging="567"/>
        <w:jc w:val="both"/>
        <w:rPr>
          <w:rFonts w:ascii="Cambria" w:hAnsi="Cambria"/>
          <w:sz w:val="24"/>
          <w:szCs w:val="24"/>
        </w:rPr>
      </w:pPr>
      <w:hyperlink r:id="rId16" w:tooltip="Click to search for more items by this author" w:history="1">
        <w:r w:rsidR="00DA2247" w:rsidRPr="009E5B5E">
          <w:rPr>
            <w:rFonts w:ascii="Cambria" w:eastAsia="Times New Roman" w:hAnsi="Cambria" w:cs="Angsana New"/>
            <w:sz w:val="24"/>
            <w:szCs w:val="24"/>
            <w:lang w:bidi="th-TH"/>
          </w:rPr>
          <w:t>Palan, Kay M</w:t>
        </w:r>
      </w:hyperlink>
      <w:r w:rsidR="00DA2247" w:rsidRPr="009E5B5E">
        <w:rPr>
          <w:rFonts w:ascii="Cambria" w:eastAsia="Times New Roman" w:hAnsi="Cambria" w:cs="Angsana New"/>
          <w:sz w:val="24"/>
          <w:szCs w:val="24"/>
          <w:lang w:bidi="th-TH"/>
        </w:rPr>
        <w:t>. (2001), “</w:t>
      </w:r>
      <w:r w:rsidR="00DA2247" w:rsidRPr="009E5B5E">
        <w:rPr>
          <w:rFonts w:ascii="Cambria" w:eastAsia="Times New Roman" w:hAnsi="Cambria" w:cs="Angsana New"/>
          <w:color w:val="000000"/>
          <w:sz w:val="24"/>
          <w:szCs w:val="24"/>
          <w:lang w:bidi="th-TH"/>
        </w:rPr>
        <w:t>Gender Identity in Consumer Behavior Research: A Literature Review and Research Agenda</w:t>
      </w:r>
      <w:r w:rsidR="00DA2247" w:rsidRPr="009E5B5E">
        <w:rPr>
          <w:rFonts w:ascii="Cambria" w:hAnsi="Cambria"/>
          <w:sz w:val="24"/>
          <w:szCs w:val="24"/>
        </w:rPr>
        <w:t xml:space="preserve">,” </w:t>
      </w:r>
      <w:r w:rsidR="00DA2247" w:rsidRPr="009E5B5E">
        <w:rPr>
          <w:rFonts w:ascii="Cambria" w:eastAsia="Times New Roman" w:hAnsi="Cambria" w:cs="Angsana New"/>
          <w:i/>
          <w:iCs/>
          <w:sz w:val="24"/>
          <w:szCs w:val="24"/>
          <w:lang w:bidi="th-TH"/>
        </w:rPr>
        <w:t>Academy of Marketing Science Review</w:t>
      </w:r>
      <w:r w:rsidR="00DA2247" w:rsidRPr="009E5B5E">
        <w:rPr>
          <w:rFonts w:ascii="Cambria" w:eastAsia="Times New Roman" w:hAnsi="Cambria" w:cs="Angsana New"/>
          <w:sz w:val="24"/>
          <w:szCs w:val="24"/>
          <w:lang w:bidi="th-TH"/>
        </w:rPr>
        <w:t>, 10, 1-24.</w:t>
      </w:r>
    </w:p>
    <w:p w:rsidR="00DA2247" w:rsidRPr="009E5B5E" w:rsidRDefault="00DA2247" w:rsidP="00DA2247">
      <w:pPr>
        <w:spacing w:line="360" w:lineRule="auto"/>
        <w:ind w:left="567" w:hanging="567"/>
        <w:jc w:val="both"/>
        <w:rPr>
          <w:rFonts w:ascii="Cambria" w:hAnsi="Cambria"/>
          <w:color w:val="000000" w:themeColor="text1"/>
          <w:sz w:val="24"/>
          <w:szCs w:val="24"/>
        </w:rPr>
      </w:pPr>
      <w:r w:rsidRPr="009E5B5E">
        <w:rPr>
          <w:rFonts w:ascii="Cambria" w:hAnsi="Cambria"/>
          <w:color w:val="000000" w:themeColor="text1"/>
          <w:sz w:val="24"/>
          <w:szCs w:val="24"/>
        </w:rPr>
        <w:t xml:space="preserve">Papatla, Purushottam (1996), “A Multiplicative Fixed-Effects Model of Consumer Choice,” </w:t>
      </w:r>
      <w:r w:rsidRPr="009E5B5E">
        <w:rPr>
          <w:rFonts w:ascii="Cambria" w:hAnsi="Cambria"/>
          <w:i/>
          <w:iCs/>
          <w:color w:val="000000" w:themeColor="text1"/>
          <w:sz w:val="24"/>
          <w:szCs w:val="24"/>
        </w:rPr>
        <w:t>Marketing Science</w:t>
      </w:r>
      <w:r w:rsidRPr="009E5B5E">
        <w:rPr>
          <w:rFonts w:ascii="Cambria" w:hAnsi="Cambria"/>
          <w:color w:val="000000" w:themeColor="text1"/>
          <w:sz w:val="24"/>
          <w:szCs w:val="24"/>
        </w:rPr>
        <w:t>, 15 (3), 243-261.</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Parsons, T. and E. A. Shils (1952), </w:t>
      </w:r>
      <w:r w:rsidRPr="009E5B5E">
        <w:rPr>
          <w:rFonts w:ascii="Cambria" w:hAnsi="Cambria" w:cs="PANKGI+TimesNewRoman,Italic"/>
          <w:i/>
          <w:iCs/>
          <w:color w:val="000000"/>
          <w:sz w:val="24"/>
          <w:szCs w:val="24"/>
        </w:rPr>
        <w:t>Toward A General Theory of Action</w:t>
      </w:r>
      <w:r w:rsidRPr="009E5B5E">
        <w:rPr>
          <w:rFonts w:ascii="Cambria" w:hAnsi="Cambria" w:cs="PANKAK+TimesNewRoman"/>
          <w:color w:val="000000"/>
          <w:sz w:val="24"/>
          <w:szCs w:val="24"/>
        </w:rPr>
        <w:t>. Cambridge: Harvard University Press.</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Roman"/>
          <w:sz w:val="24"/>
          <w:szCs w:val="24"/>
          <w:lang w:bidi="th-TH"/>
        </w:rPr>
        <w:t>Price, Linda L. and Eric J. Arnould (1999), “Commercial Friendships:</w:t>
      </w:r>
      <w:r w:rsidRPr="009E5B5E">
        <w:rPr>
          <w:rFonts w:ascii="Cambria" w:hAnsi="Cambria"/>
          <w:sz w:val="24"/>
          <w:szCs w:val="24"/>
        </w:rPr>
        <w:t xml:space="preserve"> </w:t>
      </w:r>
      <w:r w:rsidRPr="009E5B5E">
        <w:rPr>
          <w:rFonts w:ascii="Cambria" w:eastAsiaTheme="minorHAnsi" w:hAnsi="Cambria" w:cs="Times-Roman"/>
          <w:sz w:val="24"/>
          <w:szCs w:val="24"/>
          <w:lang w:bidi="th-TH"/>
        </w:rPr>
        <w:t xml:space="preserve">Service Provider–Client Relationships in Context,” </w:t>
      </w:r>
      <w:r w:rsidRPr="009E5B5E">
        <w:rPr>
          <w:rFonts w:ascii="Cambria" w:eastAsiaTheme="minorHAnsi" w:hAnsi="Cambria" w:cs="Times-Italic"/>
          <w:i/>
          <w:iCs/>
          <w:sz w:val="24"/>
          <w:szCs w:val="24"/>
          <w:lang w:bidi="th-TH"/>
        </w:rPr>
        <w:t>Journal</w:t>
      </w:r>
      <w:r w:rsidRPr="009E5B5E">
        <w:rPr>
          <w:rFonts w:ascii="Cambria" w:hAnsi="Cambria"/>
          <w:sz w:val="24"/>
          <w:szCs w:val="24"/>
        </w:rPr>
        <w:t xml:space="preserve"> </w:t>
      </w:r>
      <w:r w:rsidRPr="009E5B5E">
        <w:rPr>
          <w:rFonts w:ascii="Cambria" w:eastAsiaTheme="minorHAnsi" w:hAnsi="Cambria" w:cs="Times-Italic"/>
          <w:i/>
          <w:iCs/>
          <w:sz w:val="24"/>
          <w:szCs w:val="24"/>
          <w:lang w:bidi="th-TH"/>
        </w:rPr>
        <w:t>of Marketing</w:t>
      </w:r>
      <w:r w:rsidRPr="009E5B5E">
        <w:rPr>
          <w:rFonts w:ascii="Cambria" w:eastAsiaTheme="minorHAnsi" w:hAnsi="Cambria" w:cs="Times-Roman"/>
          <w:sz w:val="24"/>
          <w:szCs w:val="24"/>
          <w:lang w:bidi="th-TH"/>
        </w:rPr>
        <w:t>, 63 (October), 38–56.</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Italic"/>
          <w:sz w:val="24"/>
          <w:szCs w:val="24"/>
          <w:lang w:bidi="th-TH"/>
        </w:rPr>
        <w:t xml:space="preserve">Rogers, Everett M. (1995), </w:t>
      </w:r>
      <w:r w:rsidRPr="009E5B5E">
        <w:rPr>
          <w:rFonts w:ascii="Cambria" w:eastAsiaTheme="minorHAnsi" w:hAnsi="Cambria" w:cs="Times-Italic"/>
          <w:i/>
          <w:iCs/>
          <w:sz w:val="24"/>
          <w:szCs w:val="24"/>
          <w:lang w:bidi="th-TH"/>
        </w:rPr>
        <w:t>Diffusion of Innovations</w:t>
      </w:r>
      <w:r w:rsidRPr="009E5B5E">
        <w:rPr>
          <w:rFonts w:ascii="Cambria" w:eastAsiaTheme="minorHAnsi" w:hAnsi="Cambria" w:cs="Times-Italic"/>
          <w:sz w:val="24"/>
          <w:szCs w:val="24"/>
          <w:lang w:bidi="th-TH"/>
        </w:rPr>
        <w:t>, 4th edition. New York: The Free Press New York</w:t>
      </w:r>
      <w:r w:rsidRPr="009E5B5E">
        <w:rPr>
          <w:rFonts w:ascii="Cambria" w:hAnsi="Cambria" w:cs="PANKAK+TimesNewRoman"/>
          <w:color w:val="000000"/>
          <w:sz w:val="24"/>
          <w:szCs w:val="24"/>
        </w:rPr>
        <w:t>.</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Arial"/>
          <w:sz w:val="24"/>
          <w:szCs w:val="24"/>
          <w:shd w:val="clear" w:color="auto" w:fill="FFFFFF"/>
        </w:rPr>
        <w:t>Rosenthal, R., and D. B. Rubin (1978), “Interpersonal</w:t>
      </w:r>
      <w:r w:rsidRPr="009E5B5E">
        <w:rPr>
          <w:rStyle w:val="apple-converted-space"/>
          <w:rFonts w:ascii="Cambria" w:hAnsi="Cambria" w:cs="Arial"/>
          <w:sz w:val="24"/>
          <w:szCs w:val="24"/>
          <w:shd w:val="clear" w:color="auto" w:fill="FFFFFF"/>
        </w:rPr>
        <w:t> </w:t>
      </w:r>
      <w:r w:rsidRPr="009E5B5E">
        <w:rPr>
          <w:rFonts w:ascii="Cambria" w:hAnsi="Cambria" w:cs="Arial"/>
          <w:sz w:val="24"/>
          <w:szCs w:val="24"/>
          <w:shd w:val="clear" w:color="auto" w:fill="FFFFFF"/>
        </w:rPr>
        <w:t>Expectancy Effects:</w:t>
      </w:r>
      <w:r w:rsidRPr="009E5B5E">
        <w:rPr>
          <w:rFonts w:ascii="Cambria" w:hAnsi="Cambria" w:cs="Arial"/>
          <w:color w:val="222222"/>
          <w:sz w:val="24"/>
          <w:szCs w:val="24"/>
          <w:shd w:val="clear" w:color="auto" w:fill="FFFFFF"/>
        </w:rPr>
        <w:t xml:space="preserve"> The First 345 Studies,” </w:t>
      </w:r>
      <w:r w:rsidRPr="009E5B5E">
        <w:rPr>
          <w:rFonts w:ascii="Cambria" w:hAnsi="Cambria" w:cs="Arial"/>
          <w:i/>
          <w:iCs/>
          <w:color w:val="222222"/>
          <w:sz w:val="24"/>
          <w:szCs w:val="24"/>
          <w:shd w:val="clear" w:color="auto" w:fill="FFFFFF"/>
        </w:rPr>
        <w:t>Behavioral and Brain Sciences</w:t>
      </w:r>
      <w:r w:rsidRPr="009E5B5E">
        <w:rPr>
          <w:rFonts w:ascii="Cambria" w:hAnsi="Cambria" w:cs="Arial"/>
          <w:color w:val="222222"/>
          <w:sz w:val="24"/>
          <w:szCs w:val="24"/>
          <w:shd w:val="clear" w:color="auto" w:fill="FFFFFF"/>
        </w:rPr>
        <w:t>, 3, 377-386</w:t>
      </w:r>
      <w:r w:rsidRPr="009E5B5E">
        <w:rPr>
          <w:rFonts w:ascii="Cambria" w:hAnsi="Cambria" w:cs="PANKAK+TimesNewRoman"/>
          <w:color w:val="000000"/>
          <w:sz w:val="24"/>
          <w:szCs w:val="24"/>
        </w:rPr>
        <w:t>.</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Roman"/>
          <w:sz w:val="24"/>
          <w:szCs w:val="24"/>
          <w:lang w:bidi="th-TH"/>
        </w:rPr>
        <w:t>Rudman, Laurie A. (1998), “Self-Promotion as a Risk Factor for Women: The Cost and Benefits of Counterstereotypical Impression</w:t>
      </w:r>
      <w:r w:rsidRPr="009E5B5E">
        <w:rPr>
          <w:rFonts w:ascii="Cambria" w:hAnsi="Cambria" w:cs="PANKAK+TimesNewRoman"/>
          <w:color w:val="000000"/>
          <w:sz w:val="24"/>
          <w:szCs w:val="24"/>
        </w:rPr>
        <w:t xml:space="preserve"> </w:t>
      </w:r>
      <w:r w:rsidRPr="009E5B5E">
        <w:rPr>
          <w:rFonts w:ascii="Cambria" w:eastAsiaTheme="minorHAnsi" w:hAnsi="Cambria" w:cs="Times-Roman"/>
          <w:sz w:val="24"/>
          <w:szCs w:val="24"/>
          <w:lang w:bidi="th-TH"/>
        </w:rPr>
        <w:t xml:space="preserve">Management,” </w:t>
      </w:r>
      <w:r w:rsidRPr="009E5B5E">
        <w:rPr>
          <w:rFonts w:ascii="Cambria" w:eastAsiaTheme="minorHAnsi" w:hAnsi="Cambria" w:cs="Times-Italic"/>
          <w:i/>
          <w:iCs/>
          <w:sz w:val="24"/>
          <w:szCs w:val="24"/>
          <w:lang w:bidi="th-TH"/>
        </w:rPr>
        <w:t>Journal of Personality and Social Psychology</w:t>
      </w:r>
      <w:r w:rsidRPr="009E5B5E">
        <w:rPr>
          <w:rFonts w:ascii="Cambria" w:eastAsiaTheme="minorHAnsi" w:hAnsi="Cambria" w:cs="Times-Roman"/>
          <w:sz w:val="24"/>
          <w:szCs w:val="24"/>
          <w:lang w:bidi="th-TH"/>
        </w:rPr>
        <w:t>,</w:t>
      </w:r>
      <w:r w:rsidRPr="009E5B5E">
        <w:rPr>
          <w:rFonts w:ascii="Cambria" w:hAnsi="Cambria" w:cs="PANKAK+TimesNewRoman"/>
          <w:color w:val="000000"/>
          <w:sz w:val="24"/>
          <w:szCs w:val="24"/>
        </w:rPr>
        <w:t xml:space="preserve"> </w:t>
      </w:r>
      <w:r w:rsidRPr="009E5B5E">
        <w:rPr>
          <w:rFonts w:ascii="Cambria" w:eastAsiaTheme="minorHAnsi" w:hAnsi="Cambria" w:cs="Times-Roman"/>
          <w:sz w:val="24"/>
          <w:szCs w:val="24"/>
          <w:lang w:bidi="th-TH"/>
        </w:rPr>
        <w:t>74 (3), 629–645.</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Schiffman, L. G. and L. L. Kanuk (2007), </w:t>
      </w:r>
      <w:r w:rsidRPr="009E5B5E">
        <w:rPr>
          <w:rFonts w:ascii="Cambria" w:hAnsi="Cambria"/>
          <w:i/>
          <w:iCs/>
          <w:sz w:val="24"/>
          <w:szCs w:val="24"/>
        </w:rPr>
        <w:t>Consumer Behaviour</w:t>
      </w:r>
      <w:r w:rsidRPr="009E5B5E">
        <w:rPr>
          <w:rFonts w:ascii="Cambria" w:hAnsi="Cambria"/>
          <w:sz w:val="24"/>
          <w:szCs w:val="24"/>
        </w:rPr>
        <w:t>, 9th edition. New Jersey: Pearson Prentice Hall.</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eastAsiaTheme="minorHAnsi" w:hAnsi="Cambria" w:cs="Times-Italic"/>
          <w:sz w:val="24"/>
          <w:szCs w:val="24"/>
          <w:lang w:bidi="th-TH"/>
        </w:rPr>
        <w:t xml:space="preserve">Soman, Dilip (1999), “Closing the Deal: How Consumers Finance, Account for and Evaluate Transactions,” in </w:t>
      </w:r>
      <w:r w:rsidRPr="009E5B5E">
        <w:rPr>
          <w:rFonts w:ascii="Cambria" w:eastAsiaTheme="minorHAnsi" w:hAnsi="Cambria" w:cs="Times-Italic"/>
          <w:i/>
          <w:iCs/>
          <w:sz w:val="24"/>
          <w:szCs w:val="24"/>
          <w:lang w:bidi="th-TH"/>
        </w:rPr>
        <w:t>Advances in Consumer Research</w:t>
      </w:r>
      <w:r w:rsidRPr="009E5B5E">
        <w:rPr>
          <w:rFonts w:ascii="Cambria" w:eastAsiaTheme="minorHAnsi" w:hAnsi="Cambria" w:cs="Times-Italic"/>
          <w:sz w:val="24"/>
          <w:szCs w:val="24"/>
          <w:lang w:bidi="th-TH"/>
        </w:rPr>
        <w:t xml:space="preserve">, Stephen Hoch and Robert Meyer eds. Provo, UT: Association for Consumer Research, 42-43. </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hAnsi="Cambria" w:cs="PANKAK+TimesNewRoman"/>
          <w:color w:val="000000"/>
          <w:sz w:val="24"/>
          <w:szCs w:val="24"/>
        </w:rPr>
        <w:lastRenderedPageBreak/>
        <w:t xml:space="preserve">Spence, Janet T. (1984) "Masculinity, Femininity, and Gender-Related Traits: A Conceptual Analysis and Critique of Current Research." </w:t>
      </w:r>
      <w:r w:rsidRPr="009E5B5E">
        <w:rPr>
          <w:rFonts w:ascii="Cambria" w:hAnsi="Cambria" w:cs="PANKGI+TimesNewRoman,Italic"/>
          <w:i/>
          <w:iCs/>
          <w:color w:val="000000"/>
          <w:sz w:val="24"/>
          <w:szCs w:val="24"/>
        </w:rPr>
        <w:t>Progress in Experimental Personality Research</w:t>
      </w:r>
      <w:r w:rsidRPr="009E5B5E">
        <w:rPr>
          <w:rFonts w:ascii="Cambria" w:hAnsi="Cambria" w:cs="PANKGI+TimesNewRoman,Italic"/>
          <w:color w:val="000000"/>
          <w:sz w:val="24"/>
          <w:szCs w:val="24"/>
        </w:rPr>
        <w:t xml:space="preserve">, </w:t>
      </w:r>
      <w:r w:rsidRPr="009E5B5E">
        <w:rPr>
          <w:rFonts w:ascii="Cambria" w:hAnsi="Cambria" w:cs="PANKAK+TimesNewRoman"/>
          <w:color w:val="000000"/>
          <w:sz w:val="24"/>
          <w:szCs w:val="24"/>
        </w:rPr>
        <w:t xml:space="preserve">13, 1-97. </w:t>
      </w:r>
    </w:p>
    <w:p w:rsidR="00DA2247" w:rsidRPr="009E5B5E" w:rsidRDefault="00DA2247" w:rsidP="00DA2247">
      <w:pPr>
        <w:spacing w:line="360" w:lineRule="auto"/>
        <w:ind w:left="567" w:hanging="567"/>
        <w:jc w:val="both"/>
        <w:rPr>
          <w:rFonts w:ascii="Cambria" w:eastAsiaTheme="minorHAnsi" w:hAnsi="Cambria" w:cs="Times-Italic"/>
          <w:sz w:val="24"/>
          <w:szCs w:val="24"/>
          <w:lang w:bidi="th-TH"/>
        </w:rPr>
      </w:pPr>
      <w:r w:rsidRPr="009E5B5E">
        <w:rPr>
          <w:rFonts w:ascii="Cambria" w:hAnsi="Cambria"/>
          <w:sz w:val="24"/>
          <w:szCs w:val="24"/>
        </w:rPr>
        <w:t>———</w:t>
      </w:r>
      <w:r w:rsidRPr="009E5B5E">
        <w:rPr>
          <w:rFonts w:ascii="Cambria" w:hAnsi="Cambria" w:cs="PANKAK+TimesNewRoman"/>
          <w:color w:val="000000"/>
          <w:sz w:val="24"/>
          <w:szCs w:val="24"/>
        </w:rPr>
        <w:t xml:space="preserve">, Robert L. Helmreich, and Joy Stapp (1975), "Ratings of Self and Peers on Sex-Role Attributes and Their Relations to Self-Esteem and Conceptions of Masculinity and Femininity." </w:t>
      </w:r>
      <w:r w:rsidRPr="009E5B5E">
        <w:rPr>
          <w:rFonts w:ascii="Cambria" w:hAnsi="Cambria" w:cs="PANKGI+TimesNewRoman,Italic"/>
          <w:i/>
          <w:iCs/>
          <w:color w:val="000000"/>
          <w:sz w:val="24"/>
          <w:szCs w:val="24"/>
        </w:rPr>
        <w:t>Journal of Personality and Social Psychology</w:t>
      </w:r>
      <w:r w:rsidRPr="009E5B5E">
        <w:rPr>
          <w:rFonts w:ascii="Cambria" w:hAnsi="Cambria" w:cs="PANKGI+TimesNewRoman,Italic"/>
          <w:color w:val="000000"/>
          <w:sz w:val="24"/>
          <w:szCs w:val="24"/>
        </w:rPr>
        <w:t xml:space="preserve">, </w:t>
      </w:r>
      <w:r w:rsidRPr="009E5B5E">
        <w:rPr>
          <w:rFonts w:ascii="Cambria" w:hAnsi="Cambria" w:cs="PANKAK+TimesNewRoman"/>
          <w:color w:val="000000"/>
          <w:sz w:val="24"/>
          <w:szCs w:val="24"/>
        </w:rPr>
        <w:t>32 (1), 29-39.</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Italic"/>
          <w:sz w:val="24"/>
          <w:szCs w:val="24"/>
          <w:lang w:bidi="th-TH"/>
        </w:rPr>
        <w:t xml:space="preserve">Steenkamp, Jan-Benedict E. M., Frenkel ter Hofstede, and Michel Wedel (1999), “A Cross National Investigation into the Individual and National-Cultural Antecedents of Consumer Innovativeness,” </w:t>
      </w:r>
      <w:r w:rsidRPr="009E5B5E">
        <w:rPr>
          <w:rFonts w:ascii="Cambria" w:eastAsiaTheme="minorHAnsi" w:hAnsi="Cambria" w:cs="Times-Italic"/>
          <w:i/>
          <w:iCs/>
          <w:sz w:val="24"/>
          <w:szCs w:val="24"/>
          <w:lang w:bidi="th-TH"/>
        </w:rPr>
        <w:t>Journal of Marketing</w:t>
      </w:r>
      <w:r w:rsidRPr="009E5B5E">
        <w:rPr>
          <w:rFonts w:ascii="Cambria" w:eastAsiaTheme="minorHAnsi" w:hAnsi="Cambria" w:cs="Times-Italic"/>
          <w:sz w:val="24"/>
          <w:szCs w:val="24"/>
          <w:lang w:bidi="th-TH"/>
        </w:rPr>
        <w:t xml:space="preserve">, 63 (2), 55-69. </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EastAsia" w:hAnsi="Cambria" w:cs="AdvPS405B6"/>
          <w:sz w:val="24"/>
          <w:szCs w:val="24"/>
          <w:lang w:bidi="th-TH"/>
        </w:rPr>
        <w:t xml:space="preserve">Train, Kenneth (2009), </w:t>
      </w:r>
      <w:r w:rsidRPr="009E5B5E">
        <w:rPr>
          <w:rFonts w:ascii="Cambria" w:eastAsiaTheme="minorEastAsia" w:hAnsi="Cambria" w:cs="AdvPS405B6"/>
          <w:i/>
          <w:iCs/>
          <w:sz w:val="24"/>
          <w:szCs w:val="24"/>
          <w:lang w:bidi="th-TH"/>
        </w:rPr>
        <w:t>Discrete Choice Methods with Simulation</w:t>
      </w:r>
      <w:r w:rsidRPr="009E5B5E">
        <w:rPr>
          <w:rFonts w:ascii="Cambria" w:eastAsiaTheme="minorEastAsia" w:hAnsi="Cambria" w:cs="AdvPS405B6"/>
          <w:sz w:val="24"/>
          <w:szCs w:val="24"/>
          <w:lang w:bidi="th-TH"/>
        </w:rPr>
        <w:t>, 2</w:t>
      </w:r>
      <w:r w:rsidRPr="009E5B5E">
        <w:rPr>
          <w:rFonts w:ascii="Cambria" w:eastAsiaTheme="minorEastAsia" w:hAnsi="Cambria" w:cs="AdvPS405B6"/>
          <w:sz w:val="24"/>
          <w:szCs w:val="24"/>
          <w:vertAlign w:val="superscript"/>
          <w:lang w:bidi="th-TH"/>
        </w:rPr>
        <w:t>nd</w:t>
      </w:r>
      <w:r w:rsidRPr="009E5B5E">
        <w:rPr>
          <w:rFonts w:ascii="Cambria" w:eastAsiaTheme="minorEastAsia" w:hAnsi="Cambria" w:cs="AdvPS405B6"/>
          <w:sz w:val="24"/>
          <w:szCs w:val="24"/>
          <w:lang w:bidi="th-TH"/>
        </w:rPr>
        <w:t xml:space="preserve"> </w:t>
      </w:r>
      <w:r w:rsidRPr="009E5B5E">
        <w:rPr>
          <w:rFonts w:ascii="Cambria" w:hAnsi="Cambria" w:cs="PANKAK+TimesNewRoman"/>
          <w:color w:val="000000"/>
          <w:sz w:val="24"/>
          <w:szCs w:val="24"/>
        </w:rPr>
        <w:t>edition. Cambridge University Press.</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Roman"/>
          <w:sz w:val="24"/>
          <w:szCs w:val="24"/>
          <w:lang w:bidi="th-TH"/>
        </w:rPr>
        <w:t>Urbany, Joel E., Peter R. Dickson, and William L. Wilkie (1989),</w:t>
      </w:r>
      <w:r w:rsidRPr="009E5B5E">
        <w:rPr>
          <w:rFonts w:ascii="Cambria" w:hAnsi="Cambria"/>
          <w:sz w:val="24"/>
          <w:szCs w:val="24"/>
        </w:rPr>
        <w:t xml:space="preserve"> </w:t>
      </w:r>
      <w:r w:rsidRPr="009E5B5E">
        <w:rPr>
          <w:rFonts w:ascii="Cambria" w:eastAsiaTheme="minorHAnsi" w:hAnsi="Cambria" w:cs="Times-Roman"/>
          <w:sz w:val="24"/>
          <w:szCs w:val="24"/>
          <w:lang w:bidi="th-TH"/>
        </w:rPr>
        <w:t xml:space="preserve">“Buyer Uncertainty and Information Search,” </w:t>
      </w:r>
      <w:r w:rsidRPr="009E5B5E">
        <w:rPr>
          <w:rFonts w:ascii="Cambria" w:eastAsiaTheme="minorHAnsi" w:hAnsi="Cambria" w:cs="Times-Italic"/>
          <w:i/>
          <w:iCs/>
          <w:sz w:val="24"/>
          <w:szCs w:val="24"/>
          <w:lang w:bidi="th-TH"/>
        </w:rPr>
        <w:t>Journal of Consumer</w:t>
      </w:r>
      <w:r w:rsidRPr="009E5B5E">
        <w:rPr>
          <w:rFonts w:ascii="Cambria" w:hAnsi="Cambria"/>
          <w:sz w:val="24"/>
          <w:szCs w:val="24"/>
        </w:rPr>
        <w:t xml:space="preserve"> </w:t>
      </w:r>
      <w:r w:rsidRPr="009E5B5E">
        <w:rPr>
          <w:rFonts w:ascii="Cambria" w:eastAsiaTheme="minorHAnsi" w:hAnsi="Cambria" w:cs="Times-Italic"/>
          <w:i/>
          <w:iCs/>
          <w:sz w:val="24"/>
          <w:szCs w:val="24"/>
          <w:lang w:bidi="th-TH"/>
        </w:rPr>
        <w:t>Research</w:t>
      </w:r>
      <w:r w:rsidRPr="009E5B5E">
        <w:rPr>
          <w:rFonts w:ascii="Cambria" w:eastAsiaTheme="minorHAnsi" w:hAnsi="Cambria" w:cs="Times-Roman"/>
          <w:sz w:val="24"/>
          <w:szCs w:val="24"/>
          <w:lang w:bidi="th-TH"/>
        </w:rPr>
        <w:t>, 16 (2), 208–215.</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hAnsi="Cambria" w:cs="PANKAK+TimesNewRoman"/>
          <w:color w:val="000000"/>
          <w:sz w:val="24"/>
          <w:szCs w:val="24"/>
        </w:rPr>
        <w:t xml:space="preserve">Vitz, Paul C. and Donald Johnston (1965), "Masculinity of Smokers and the Masculinity of Cigarette Images," </w:t>
      </w:r>
      <w:r w:rsidRPr="009E5B5E">
        <w:rPr>
          <w:rFonts w:ascii="Cambria" w:hAnsi="Cambria" w:cs="PANKGI+TimesNewRoman,Italic"/>
          <w:i/>
          <w:iCs/>
          <w:color w:val="000000"/>
          <w:sz w:val="24"/>
          <w:szCs w:val="24"/>
        </w:rPr>
        <w:t>Journal of Applied Psychology</w:t>
      </w:r>
      <w:r w:rsidRPr="009E5B5E">
        <w:rPr>
          <w:rFonts w:ascii="Cambria" w:hAnsi="Cambria" w:cs="PANKGI+TimesNewRoman,Italic"/>
          <w:color w:val="000000"/>
          <w:sz w:val="24"/>
          <w:szCs w:val="24"/>
        </w:rPr>
        <w:t xml:space="preserve">, </w:t>
      </w:r>
      <w:r w:rsidRPr="009E5B5E">
        <w:rPr>
          <w:rFonts w:ascii="Cambria" w:hAnsi="Cambria" w:cs="PANKAK+TimesNewRoman"/>
          <w:color w:val="000000"/>
          <w:sz w:val="24"/>
          <w:szCs w:val="24"/>
        </w:rPr>
        <w:t>49 (3), 155-175.</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 New Roman"/>
          <w:sz w:val="24"/>
          <w:szCs w:val="24"/>
          <w:lang w:bidi="th-TH"/>
        </w:rPr>
        <w:t xml:space="preserve">West, J. (1951), “Results of Two Years of Study into Impulse Buying. </w:t>
      </w:r>
      <w:r w:rsidRPr="009E5B5E">
        <w:rPr>
          <w:rFonts w:ascii="Cambria" w:eastAsiaTheme="minorHAnsi" w:hAnsi="Cambria" w:cs="Times New Roman"/>
          <w:i/>
          <w:iCs/>
          <w:sz w:val="24"/>
          <w:szCs w:val="24"/>
          <w:lang w:bidi="th-TH"/>
        </w:rPr>
        <w:t>Journal</w:t>
      </w:r>
      <w:r w:rsidRPr="009E5B5E">
        <w:rPr>
          <w:rFonts w:ascii="Cambria" w:hAnsi="Cambria"/>
          <w:sz w:val="24"/>
          <w:szCs w:val="24"/>
        </w:rPr>
        <w:t xml:space="preserve"> </w:t>
      </w:r>
      <w:r w:rsidRPr="009E5B5E">
        <w:rPr>
          <w:rFonts w:ascii="Cambria" w:eastAsiaTheme="minorHAnsi" w:hAnsi="Cambria" w:cs="Arial"/>
          <w:i/>
          <w:iCs/>
          <w:sz w:val="24"/>
          <w:szCs w:val="24"/>
          <w:lang w:bidi="th-TH"/>
        </w:rPr>
        <w:t xml:space="preserve">of </w:t>
      </w:r>
      <w:r w:rsidRPr="009E5B5E">
        <w:rPr>
          <w:rFonts w:ascii="Cambria" w:eastAsiaTheme="minorHAnsi" w:hAnsi="Cambria" w:cs="Times New Roman"/>
          <w:i/>
          <w:iCs/>
          <w:sz w:val="24"/>
          <w:szCs w:val="24"/>
          <w:lang w:bidi="th-TH"/>
        </w:rPr>
        <w:t xml:space="preserve">Marketing, </w:t>
      </w:r>
      <w:r w:rsidRPr="009E5B5E">
        <w:rPr>
          <w:rFonts w:ascii="Cambria" w:eastAsiaTheme="minorHAnsi" w:hAnsi="Cambria" w:cs="Times New Roman"/>
          <w:sz w:val="24"/>
          <w:szCs w:val="24"/>
          <w:lang w:bidi="th-TH"/>
        </w:rPr>
        <w:t>15 (1), 362-363</w:t>
      </w:r>
      <w:r w:rsidRPr="009E5B5E">
        <w:rPr>
          <w:rFonts w:ascii="Cambria" w:hAnsi="Cambria"/>
          <w:sz w:val="24"/>
          <w:szCs w:val="24"/>
        </w:rPr>
        <w:t>.</w:t>
      </w:r>
    </w:p>
    <w:p w:rsidR="00DA2247" w:rsidRPr="009E5B5E" w:rsidRDefault="00DA2247" w:rsidP="00DA2247">
      <w:pPr>
        <w:spacing w:line="360" w:lineRule="auto"/>
        <w:ind w:left="567" w:hanging="567"/>
        <w:jc w:val="both"/>
        <w:rPr>
          <w:rFonts w:ascii="Cambria" w:hAnsi="Cambria"/>
          <w:sz w:val="24"/>
          <w:szCs w:val="24"/>
          <w:shd w:val="clear" w:color="auto" w:fill="FFFFFF"/>
        </w:rPr>
      </w:pPr>
      <w:r w:rsidRPr="009E5B5E">
        <w:rPr>
          <w:rFonts w:ascii="Cambria" w:hAnsi="Cambria"/>
          <w:sz w:val="24"/>
          <w:szCs w:val="24"/>
        </w:rPr>
        <w:t xml:space="preserve">Wiggins, Jerry S. (1991), “Agency and Communion as Conceptual Coordinates for the Understanding and Measurement of Interpersonal Behavior,” in </w:t>
      </w:r>
      <w:r w:rsidRPr="009E5B5E">
        <w:rPr>
          <w:rFonts w:ascii="Cambria" w:hAnsi="Cambria"/>
          <w:i/>
          <w:iCs/>
          <w:sz w:val="24"/>
          <w:szCs w:val="24"/>
        </w:rPr>
        <w:t>Thinking Clearly About Psychology</w:t>
      </w:r>
      <w:r w:rsidRPr="009E5B5E">
        <w:rPr>
          <w:rFonts w:ascii="Cambria" w:hAnsi="Cambria"/>
          <w:sz w:val="24"/>
          <w:szCs w:val="24"/>
        </w:rPr>
        <w:t xml:space="preserve">: Personality and Psychopathology, </w:t>
      </w:r>
      <w:r w:rsidRPr="009E5B5E">
        <w:rPr>
          <w:rFonts w:ascii="Cambria" w:hAnsi="Cambria" w:cs="Arial"/>
          <w:color w:val="333333"/>
          <w:sz w:val="24"/>
          <w:szCs w:val="24"/>
          <w:shd w:val="clear" w:color="auto" w:fill="FFFFFF"/>
        </w:rPr>
        <w:t>Paul Everett Meehl</w:t>
      </w:r>
      <w:r w:rsidRPr="009E5B5E">
        <w:rPr>
          <w:rFonts w:ascii="Cambria" w:hAnsi="Cambria"/>
          <w:sz w:val="24"/>
          <w:szCs w:val="24"/>
          <w:shd w:val="clear" w:color="auto" w:fill="FFFFFF"/>
        </w:rPr>
        <w:t xml:space="preserve"> et al., eds. Minnesota, University of Minnesota Press, 89-111.</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hAnsi="Cambria"/>
          <w:sz w:val="24"/>
          <w:szCs w:val="24"/>
        </w:rPr>
        <w:t xml:space="preserve">Wilkinson, J. B., J. Barry Mason, and Christie H. Paksoy (1982), “Assessing the Impact of Short Term Supermarket Strategy Variables,” </w:t>
      </w:r>
      <w:r w:rsidRPr="009E5B5E">
        <w:rPr>
          <w:rFonts w:ascii="Cambria" w:hAnsi="Cambria"/>
          <w:i/>
          <w:iCs/>
          <w:sz w:val="24"/>
          <w:szCs w:val="24"/>
        </w:rPr>
        <w:t>Journal of Marketing Research</w:t>
      </w:r>
      <w:r w:rsidRPr="009E5B5E">
        <w:rPr>
          <w:rFonts w:ascii="Cambria" w:hAnsi="Cambria"/>
          <w:sz w:val="24"/>
          <w:szCs w:val="24"/>
        </w:rPr>
        <w:t>, 19 (1), 72-86.</w:t>
      </w:r>
    </w:p>
    <w:p w:rsidR="00DA2247" w:rsidRPr="009E5B5E" w:rsidRDefault="00DA2247" w:rsidP="00DA2247">
      <w:pPr>
        <w:spacing w:line="360" w:lineRule="auto"/>
        <w:ind w:left="567" w:hanging="567"/>
        <w:jc w:val="both"/>
        <w:rPr>
          <w:rFonts w:ascii="Cambria" w:hAnsi="Cambria" w:cs="PANKAK+TimesNewRoman"/>
          <w:color w:val="000000"/>
          <w:sz w:val="24"/>
          <w:szCs w:val="24"/>
        </w:rPr>
      </w:pPr>
      <w:r w:rsidRPr="009E5B5E">
        <w:rPr>
          <w:rFonts w:ascii="Cambria" w:eastAsiaTheme="minorHAnsi" w:hAnsi="Cambria" w:cs="Times-Roman"/>
          <w:sz w:val="24"/>
          <w:szCs w:val="24"/>
          <w:lang w:bidi="th-TH"/>
        </w:rPr>
        <w:t xml:space="preserve">Wolfe, Raymond N., Richard D. Lennox, and Brian L. Cutler (1986), “Getting Along and Getting Ahead: Empirical Support for a Theory of Protective and Acquisitive Self-Presentation,” </w:t>
      </w:r>
      <w:r w:rsidRPr="009E5B5E">
        <w:rPr>
          <w:rFonts w:ascii="Cambria" w:eastAsiaTheme="minorHAnsi" w:hAnsi="Cambria" w:cs="Times-Italic"/>
          <w:i/>
          <w:iCs/>
          <w:sz w:val="24"/>
          <w:szCs w:val="24"/>
          <w:lang w:bidi="th-TH"/>
        </w:rPr>
        <w:t>Journal of Personality and Social Psychology</w:t>
      </w:r>
      <w:r w:rsidRPr="009E5B5E">
        <w:rPr>
          <w:rFonts w:ascii="Cambria" w:eastAsiaTheme="minorHAnsi" w:hAnsi="Cambria" w:cs="Times-Roman"/>
          <w:sz w:val="24"/>
          <w:szCs w:val="24"/>
          <w:lang w:bidi="th-TH"/>
        </w:rPr>
        <w:t>, 50 (2), 356–361.</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 New Roman"/>
          <w:sz w:val="24"/>
          <w:szCs w:val="24"/>
          <w:lang w:bidi="th-TH"/>
        </w:rPr>
        <w:t xml:space="preserve">Zajonc, Robert B. (1965), “Social Facilitation,” </w:t>
      </w:r>
      <w:r w:rsidRPr="009E5B5E">
        <w:rPr>
          <w:rFonts w:ascii="Cambria" w:eastAsiaTheme="minorHAnsi" w:hAnsi="Cambria" w:cs="Times New Roman"/>
          <w:i/>
          <w:iCs/>
          <w:sz w:val="24"/>
          <w:szCs w:val="24"/>
          <w:lang w:bidi="th-TH"/>
        </w:rPr>
        <w:t xml:space="preserve">Science, </w:t>
      </w:r>
      <w:r w:rsidRPr="009E5B5E">
        <w:rPr>
          <w:rFonts w:ascii="Cambria" w:eastAsiaTheme="minorHAnsi" w:hAnsi="Cambria" w:cs="Times New Roman"/>
          <w:sz w:val="24"/>
          <w:szCs w:val="24"/>
          <w:lang w:bidi="th-TH"/>
        </w:rPr>
        <w:t>149 (3681), 269-274.</w:t>
      </w:r>
    </w:p>
    <w:p w:rsidR="00DA2247" w:rsidRPr="009E5B5E" w:rsidRDefault="00DA2247" w:rsidP="00DA2247">
      <w:pPr>
        <w:spacing w:line="360" w:lineRule="auto"/>
        <w:ind w:left="567" w:hanging="567"/>
        <w:jc w:val="both"/>
        <w:rPr>
          <w:rFonts w:ascii="Cambria" w:hAnsi="Cambria"/>
          <w:sz w:val="24"/>
          <w:szCs w:val="24"/>
        </w:rPr>
      </w:pPr>
      <w:r w:rsidRPr="009E5B5E">
        <w:rPr>
          <w:rFonts w:ascii="Cambria" w:eastAsiaTheme="minorHAnsi" w:hAnsi="Cambria" w:cs="Times-Italic"/>
          <w:sz w:val="24"/>
          <w:szCs w:val="24"/>
          <w:lang w:bidi="th-TH"/>
        </w:rPr>
        <w:lastRenderedPageBreak/>
        <w:t xml:space="preserve">Zhang, Jie (2006), “An Integrated Choice Model Incorporating Alternative Mechanisms for Consumers’ Reaction to In-Store Display and Feature Advertising,” </w:t>
      </w:r>
      <w:r w:rsidRPr="009E5B5E">
        <w:rPr>
          <w:rFonts w:ascii="Cambria" w:eastAsiaTheme="minorHAnsi" w:hAnsi="Cambria" w:cs="Times-Italic"/>
          <w:i/>
          <w:iCs/>
          <w:sz w:val="24"/>
          <w:szCs w:val="24"/>
          <w:lang w:bidi="th-TH"/>
        </w:rPr>
        <w:t>Marketing Science</w:t>
      </w:r>
      <w:r w:rsidRPr="009E5B5E">
        <w:rPr>
          <w:rFonts w:ascii="Cambria" w:eastAsiaTheme="minorHAnsi" w:hAnsi="Cambria" w:cs="Times-Italic"/>
          <w:sz w:val="24"/>
          <w:szCs w:val="24"/>
          <w:lang w:bidi="th-TH"/>
        </w:rPr>
        <w:t xml:space="preserve">, 25 (Spring), 278-290.  </w:t>
      </w:r>
    </w:p>
    <w:p w:rsidR="00DA2247" w:rsidRPr="009E5B5E" w:rsidRDefault="00DA2247" w:rsidP="00DA2247">
      <w:pPr>
        <w:autoSpaceDE w:val="0"/>
        <w:autoSpaceDN w:val="0"/>
        <w:adjustRightInd w:val="0"/>
        <w:spacing w:after="0" w:line="360" w:lineRule="auto"/>
        <w:ind w:left="567" w:hanging="567"/>
        <w:jc w:val="both"/>
        <w:rPr>
          <w:rFonts w:ascii="Cambria" w:eastAsiaTheme="minorHAnsi" w:hAnsi="Cambria" w:cs="Times-Italic"/>
          <w:sz w:val="24"/>
          <w:szCs w:val="24"/>
          <w:lang w:bidi="th-TH"/>
        </w:rPr>
      </w:pPr>
    </w:p>
    <w:p w:rsidR="00DA2247" w:rsidRPr="009E5B5E" w:rsidRDefault="00DA2247" w:rsidP="00DA2247">
      <w:pPr>
        <w:ind w:left="567" w:hanging="567"/>
        <w:jc w:val="both"/>
        <w:rPr>
          <w:b/>
          <w:bCs/>
          <w:sz w:val="24"/>
          <w:szCs w:val="24"/>
        </w:rPr>
      </w:pPr>
    </w:p>
    <w:p w:rsidR="00DA2247" w:rsidRPr="009E5B5E" w:rsidRDefault="00DA2247" w:rsidP="00DA2247">
      <w:pPr>
        <w:ind w:left="567" w:hanging="567"/>
        <w:rPr>
          <w:sz w:val="24"/>
          <w:szCs w:val="24"/>
        </w:rPr>
      </w:pPr>
    </w:p>
    <w:p w:rsidR="00DA2247" w:rsidRPr="009E5B5E" w:rsidRDefault="00DA2247" w:rsidP="00DA2247">
      <w:pPr>
        <w:ind w:left="567" w:hanging="567"/>
        <w:rPr>
          <w:b/>
          <w:bCs/>
          <w:sz w:val="28"/>
        </w:rPr>
      </w:pPr>
      <w:r w:rsidRPr="009E5B5E">
        <w:rPr>
          <w:b/>
          <w:bCs/>
          <w:sz w:val="28"/>
        </w:rPr>
        <w:br w:type="page"/>
      </w:r>
    </w:p>
    <w:p w:rsidR="00DA2247" w:rsidRPr="009E5B5E" w:rsidRDefault="00DA2247" w:rsidP="00DA2247">
      <w:pPr>
        <w:spacing w:after="0" w:line="360" w:lineRule="auto"/>
        <w:rPr>
          <w:rFonts w:eastAsiaTheme="minorEastAsia"/>
          <w:sz w:val="40"/>
          <w:szCs w:val="40"/>
        </w:rPr>
      </w:pPr>
      <w:r w:rsidRPr="009E5B5E">
        <w:rPr>
          <w:b/>
          <w:bCs/>
          <w:sz w:val="40"/>
          <w:szCs w:val="40"/>
        </w:rPr>
        <w:lastRenderedPageBreak/>
        <w:t>Appendix</w:t>
      </w:r>
    </w:p>
    <w:p w:rsidR="00DA2247" w:rsidRPr="009E5B5E" w:rsidRDefault="00DA2247" w:rsidP="00DA2247">
      <w:pPr>
        <w:spacing w:after="0" w:line="360" w:lineRule="auto"/>
        <w:rPr>
          <w:rFonts w:eastAsiaTheme="minorEastAsia"/>
        </w:rPr>
      </w:pPr>
    </w:p>
    <w:p w:rsidR="00DA2247" w:rsidRPr="009E5B5E" w:rsidRDefault="00DA2247" w:rsidP="00DA2247">
      <w:pPr>
        <w:spacing w:after="0" w:line="360" w:lineRule="auto"/>
        <w:rPr>
          <w:rFonts w:eastAsiaTheme="minorEastAsia"/>
          <w:b/>
          <w:bCs/>
          <w:sz w:val="32"/>
          <w:szCs w:val="32"/>
        </w:rPr>
      </w:pPr>
      <w:r w:rsidRPr="009E5B5E">
        <w:rPr>
          <w:b/>
          <w:bCs/>
          <w:noProof/>
          <w:sz w:val="32"/>
          <w:szCs w:val="32"/>
        </w:rPr>
        <w:t xml:space="preserve">Appendix 1: Model of Consumer Buying Behavior  </w:t>
      </w:r>
    </w:p>
    <w:p w:rsidR="00DA2247" w:rsidRPr="009E5B5E" w:rsidRDefault="00DA2247" w:rsidP="00DA2247">
      <w:pPr>
        <w:spacing w:after="0" w:line="360" w:lineRule="auto"/>
        <w:rPr>
          <w:rFonts w:eastAsiaTheme="minorEastAsia"/>
          <w:b/>
          <w:bCs/>
          <w:i/>
          <w:iCs/>
        </w:rPr>
      </w:pPr>
    </w:p>
    <w:p w:rsidR="00DA2247" w:rsidRPr="009E5B5E" w:rsidRDefault="00DA2247" w:rsidP="00DA2247">
      <w:pPr>
        <w:rPr>
          <w:b/>
          <w:bCs/>
          <w:sz w:val="32"/>
          <w:szCs w:val="32"/>
        </w:rPr>
      </w:pPr>
      <w:r w:rsidRPr="009E5B5E">
        <w:rPr>
          <w:noProof/>
          <w:sz w:val="24"/>
          <w:szCs w:val="24"/>
          <w:lang w:bidi="ar-SA"/>
        </w:rPr>
        <w:drawing>
          <wp:inline distT="0" distB="0" distL="0" distR="0">
            <wp:extent cx="5915489" cy="4735773"/>
            <wp:effectExtent l="76200" t="0" r="9061" b="7677"/>
            <wp:docPr id="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A2247" w:rsidRPr="009E5B5E" w:rsidRDefault="00DA2247" w:rsidP="00DA2247">
      <w:pPr>
        <w:jc w:val="both"/>
        <w:rPr>
          <w:sz w:val="24"/>
          <w:szCs w:val="24"/>
        </w:rPr>
      </w:pPr>
      <w:r w:rsidRPr="009E5B5E">
        <w:rPr>
          <w:sz w:val="24"/>
          <w:szCs w:val="24"/>
        </w:rPr>
        <w:t xml:space="preserve">Source: Kotler et al. (2009, p. 169) </w:t>
      </w:r>
    </w:p>
    <w:p w:rsidR="00DA2247" w:rsidRPr="009E5B5E" w:rsidRDefault="00DA2247" w:rsidP="00DA2247">
      <w:pPr>
        <w:rPr>
          <w:b/>
          <w:bCs/>
          <w:i/>
          <w:iCs/>
          <w:noProof/>
          <w:sz w:val="24"/>
          <w:szCs w:val="24"/>
        </w:rPr>
      </w:pPr>
    </w:p>
    <w:p w:rsidR="00DA2247" w:rsidRPr="009E5B5E" w:rsidRDefault="00DA2247" w:rsidP="00DA2247">
      <w:pPr>
        <w:rPr>
          <w:b/>
          <w:bCs/>
          <w:i/>
          <w:iCs/>
          <w:noProof/>
          <w:sz w:val="24"/>
          <w:szCs w:val="24"/>
        </w:rPr>
      </w:pPr>
    </w:p>
    <w:p w:rsidR="00DA2247" w:rsidRPr="009E5B5E" w:rsidRDefault="00DA2247" w:rsidP="00DA2247">
      <w:pPr>
        <w:rPr>
          <w:b/>
          <w:bCs/>
          <w:i/>
          <w:iCs/>
          <w:noProof/>
          <w:sz w:val="24"/>
          <w:szCs w:val="24"/>
        </w:rPr>
      </w:pPr>
    </w:p>
    <w:p w:rsidR="00DA2247" w:rsidRPr="009E5B5E" w:rsidRDefault="00DA2247" w:rsidP="00DA2247">
      <w:pPr>
        <w:rPr>
          <w:b/>
          <w:bCs/>
          <w:i/>
          <w:iCs/>
          <w:noProof/>
          <w:sz w:val="24"/>
          <w:szCs w:val="24"/>
        </w:rPr>
      </w:pPr>
    </w:p>
    <w:p w:rsidR="00DA2247" w:rsidRPr="009E5B5E" w:rsidRDefault="00DA2247" w:rsidP="00DA2247">
      <w:pPr>
        <w:rPr>
          <w:b/>
          <w:bCs/>
          <w:i/>
          <w:iCs/>
          <w:noProof/>
          <w:sz w:val="24"/>
          <w:szCs w:val="24"/>
        </w:rPr>
      </w:pPr>
    </w:p>
    <w:p w:rsidR="00DA2247" w:rsidRPr="009E5B5E" w:rsidRDefault="00DA2247" w:rsidP="00DA2247">
      <w:pPr>
        <w:rPr>
          <w:b/>
          <w:bCs/>
          <w:i/>
          <w:iCs/>
          <w:noProof/>
          <w:sz w:val="24"/>
          <w:szCs w:val="24"/>
        </w:rPr>
      </w:pPr>
    </w:p>
    <w:p w:rsidR="00DA2247" w:rsidRPr="009E5B5E" w:rsidRDefault="00DA2247" w:rsidP="00DA2247">
      <w:pPr>
        <w:rPr>
          <w:b/>
          <w:bCs/>
          <w:i/>
          <w:iCs/>
          <w:noProof/>
          <w:sz w:val="24"/>
          <w:szCs w:val="24"/>
        </w:rPr>
      </w:pPr>
    </w:p>
    <w:p w:rsidR="00DA2247" w:rsidRPr="009E5B5E" w:rsidRDefault="00DA2247" w:rsidP="00DA2247">
      <w:pPr>
        <w:rPr>
          <w:b/>
          <w:bCs/>
          <w:i/>
          <w:iCs/>
          <w:noProof/>
          <w:sz w:val="24"/>
          <w:szCs w:val="24"/>
        </w:rPr>
      </w:pPr>
    </w:p>
    <w:p w:rsidR="00DA2247" w:rsidRPr="009E5B5E" w:rsidRDefault="00DA2247" w:rsidP="00DA2247">
      <w:pPr>
        <w:rPr>
          <w:b/>
          <w:bCs/>
          <w:noProof/>
          <w:sz w:val="32"/>
          <w:szCs w:val="32"/>
        </w:rPr>
      </w:pPr>
      <w:r w:rsidRPr="009E5B5E">
        <w:rPr>
          <w:b/>
          <w:bCs/>
          <w:noProof/>
          <w:sz w:val="32"/>
          <w:szCs w:val="32"/>
        </w:rPr>
        <w:t xml:space="preserve">Appendix 2: Consumer Decision-Process Model </w:t>
      </w:r>
    </w:p>
    <w:p w:rsidR="00DA2247" w:rsidRPr="009E5B5E" w:rsidRDefault="00DA2247" w:rsidP="00DA2247">
      <w:pPr>
        <w:rPr>
          <w:noProof/>
          <w:color w:val="C0504D" w:themeColor="accent2"/>
          <w:sz w:val="24"/>
          <w:szCs w:val="24"/>
        </w:rPr>
      </w:pPr>
      <w:r w:rsidRPr="009E5B5E">
        <w:rPr>
          <w:noProof/>
          <w:color w:val="C0504D" w:themeColor="accent2"/>
          <w:sz w:val="24"/>
          <w:szCs w:val="24"/>
          <w:lang w:bidi="ar-SA"/>
        </w:rPr>
        <w:drawing>
          <wp:inline distT="0" distB="0" distL="0" distR="0">
            <wp:extent cx="6188710" cy="5343525"/>
            <wp:effectExtent l="19050" t="0" r="2540" b="0"/>
            <wp:docPr id="9" name="Picture 2" descr="C:\Users\Win 7\Desktop\Ic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 7\Desktop\Ice_01.jpg"/>
                    <pic:cNvPicPr>
                      <a:picLocks noChangeAspect="1" noChangeArrowheads="1"/>
                    </pic:cNvPicPr>
                  </pic:nvPicPr>
                  <pic:blipFill>
                    <a:blip r:embed="rId22" cstate="print"/>
                    <a:srcRect b="5872"/>
                    <a:stretch>
                      <a:fillRect/>
                    </a:stretch>
                  </pic:blipFill>
                  <pic:spPr bwMode="auto">
                    <a:xfrm>
                      <a:off x="0" y="0"/>
                      <a:ext cx="6188710" cy="5343525"/>
                    </a:xfrm>
                    <a:prstGeom prst="rect">
                      <a:avLst/>
                    </a:prstGeom>
                    <a:noFill/>
                    <a:ln w="9525">
                      <a:noFill/>
                      <a:miter lim="800000"/>
                      <a:headEnd/>
                      <a:tailEnd/>
                    </a:ln>
                  </pic:spPr>
                </pic:pic>
              </a:graphicData>
            </a:graphic>
          </wp:inline>
        </w:drawing>
      </w:r>
    </w:p>
    <w:p w:rsidR="00DA2247" w:rsidRPr="009E5B5E" w:rsidRDefault="00DA2247" w:rsidP="00DA2247">
      <w:pPr>
        <w:rPr>
          <w:noProof/>
          <w:sz w:val="24"/>
          <w:szCs w:val="24"/>
        </w:rPr>
      </w:pPr>
      <w:r w:rsidRPr="009E5B5E">
        <w:rPr>
          <w:noProof/>
          <w:sz w:val="24"/>
          <w:szCs w:val="24"/>
        </w:rPr>
        <w:t>Source: Engel et al. (1995, p. 155)</w:t>
      </w:r>
    </w:p>
    <w:p w:rsidR="00DA2247" w:rsidRPr="009E5B5E" w:rsidRDefault="00DA2247" w:rsidP="00DA2247">
      <w:pPr>
        <w:rPr>
          <w:b/>
          <w:bCs/>
          <w:i/>
          <w:iCs/>
          <w:noProof/>
          <w:sz w:val="24"/>
          <w:szCs w:val="24"/>
        </w:rPr>
      </w:pPr>
      <w:r w:rsidRPr="009E5B5E">
        <w:rPr>
          <w:b/>
          <w:bCs/>
          <w:i/>
          <w:iCs/>
          <w:noProof/>
          <w:sz w:val="24"/>
          <w:szCs w:val="24"/>
        </w:rPr>
        <w:br w:type="page"/>
      </w:r>
    </w:p>
    <w:p w:rsidR="00DA2247" w:rsidRPr="009E5B5E" w:rsidRDefault="00DA2247" w:rsidP="00DA2247">
      <w:pPr>
        <w:rPr>
          <w:b/>
          <w:bCs/>
          <w:noProof/>
          <w:sz w:val="32"/>
          <w:szCs w:val="32"/>
        </w:rPr>
      </w:pPr>
      <w:r w:rsidRPr="009E5B5E">
        <w:rPr>
          <w:b/>
          <w:bCs/>
          <w:noProof/>
          <w:sz w:val="32"/>
          <w:szCs w:val="32"/>
        </w:rPr>
        <w:lastRenderedPageBreak/>
        <w:t xml:space="preserve">Appendix 3: Model of Consumer Behavior </w:t>
      </w:r>
    </w:p>
    <w:p w:rsidR="00DA2247" w:rsidRPr="009E5B5E" w:rsidRDefault="00DA2247" w:rsidP="00DA2247">
      <w:pPr>
        <w:jc w:val="both"/>
      </w:pPr>
      <w:r w:rsidRPr="009E5B5E">
        <w:rPr>
          <w:noProof/>
          <w:lang w:bidi="ar-SA"/>
        </w:rPr>
        <w:drawing>
          <wp:inline distT="0" distB="0" distL="0" distR="0">
            <wp:extent cx="6182360" cy="6067425"/>
            <wp:effectExtent l="19050" t="0" r="8890" b="0"/>
            <wp:docPr id="10" name="Picture 1" descr="C:\Users\Win 7\Desktop\Ic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Desktop\Ice_02.jpg"/>
                    <pic:cNvPicPr>
                      <a:picLocks noChangeAspect="1" noChangeArrowheads="1"/>
                    </pic:cNvPicPr>
                  </pic:nvPicPr>
                  <pic:blipFill>
                    <a:blip r:embed="rId23" cstate="print"/>
                    <a:srcRect b="5349"/>
                    <a:stretch>
                      <a:fillRect/>
                    </a:stretch>
                  </pic:blipFill>
                  <pic:spPr bwMode="auto">
                    <a:xfrm>
                      <a:off x="0" y="0"/>
                      <a:ext cx="6182360" cy="6067425"/>
                    </a:xfrm>
                    <a:prstGeom prst="rect">
                      <a:avLst/>
                    </a:prstGeom>
                    <a:noFill/>
                    <a:ln w="9525">
                      <a:noFill/>
                      <a:miter lim="800000"/>
                      <a:headEnd/>
                      <a:tailEnd/>
                    </a:ln>
                  </pic:spPr>
                </pic:pic>
              </a:graphicData>
            </a:graphic>
          </wp:inline>
        </w:drawing>
      </w:r>
    </w:p>
    <w:p w:rsidR="00DA2247" w:rsidRPr="009E5B5E" w:rsidRDefault="00DA2247" w:rsidP="00DA2247">
      <w:pPr>
        <w:jc w:val="both"/>
      </w:pPr>
      <w:r w:rsidRPr="009E5B5E">
        <w:t>Source:  Hawkins et al. (2001, p. 26)</w:t>
      </w:r>
    </w:p>
    <w:p w:rsidR="00DA2247" w:rsidRPr="009E5B5E" w:rsidRDefault="00DA2247" w:rsidP="00DA2247">
      <w:pPr>
        <w:jc w:val="both"/>
      </w:pPr>
    </w:p>
    <w:p w:rsidR="00DA2247" w:rsidRPr="009E5B5E" w:rsidRDefault="00DA2247" w:rsidP="00DA2247">
      <w:pPr>
        <w:jc w:val="both"/>
      </w:pPr>
    </w:p>
    <w:p w:rsidR="00DA2247" w:rsidRPr="009E5B5E" w:rsidRDefault="00DA2247" w:rsidP="00DA2247">
      <w:pPr>
        <w:jc w:val="both"/>
      </w:pPr>
    </w:p>
    <w:p w:rsidR="00DA2247" w:rsidRPr="009E5B5E" w:rsidRDefault="00DA2247" w:rsidP="00DA2247">
      <w:pPr>
        <w:rPr>
          <w:b/>
          <w:bCs/>
          <w:sz w:val="32"/>
          <w:szCs w:val="32"/>
        </w:rPr>
      </w:pPr>
    </w:p>
    <w:p w:rsidR="00DA2247" w:rsidRPr="009E5B5E" w:rsidRDefault="00DA2247" w:rsidP="00DA2247">
      <w:pPr>
        <w:rPr>
          <w:b/>
          <w:bCs/>
          <w:sz w:val="32"/>
          <w:szCs w:val="32"/>
        </w:rPr>
      </w:pPr>
      <w:r w:rsidRPr="009E5B5E">
        <w:rPr>
          <w:b/>
          <w:bCs/>
          <w:sz w:val="32"/>
          <w:szCs w:val="32"/>
        </w:rPr>
        <w:br w:type="page"/>
      </w:r>
    </w:p>
    <w:p w:rsidR="00DA2247" w:rsidRPr="009E5B5E" w:rsidRDefault="00DA2247" w:rsidP="00DA2247">
      <w:pPr>
        <w:rPr>
          <w:b/>
          <w:bCs/>
          <w:sz w:val="32"/>
          <w:szCs w:val="32"/>
        </w:rPr>
      </w:pPr>
      <w:r w:rsidRPr="009E5B5E">
        <w:rPr>
          <w:b/>
          <w:bCs/>
          <w:sz w:val="32"/>
          <w:szCs w:val="32"/>
        </w:rPr>
        <w:lastRenderedPageBreak/>
        <w:t xml:space="preserve">Appendix 4: Maslow’s Hierarchy of Needs </w:t>
      </w:r>
    </w:p>
    <w:p w:rsidR="00DA2247" w:rsidRPr="009E5B5E" w:rsidRDefault="00DA2247" w:rsidP="00DA2247">
      <w:pPr>
        <w:jc w:val="both"/>
        <w:rPr>
          <w:b/>
          <w:bCs/>
          <w:i/>
          <w:iCs/>
        </w:rPr>
      </w:pPr>
    </w:p>
    <w:p w:rsidR="00DA2247" w:rsidRPr="009E5B5E" w:rsidRDefault="00DA2247" w:rsidP="00DA2247">
      <w:pPr>
        <w:jc w:val="both"/>
        <w:rPr>
          <w:sz w:val="24"/>
          <w:szCs w:val="24"/>
        </w:rPr>
      </w:pPr>
      <w:r w:rsidRPr="009E5B5E">
        <w:rPr>
          <w:noProof/>
          <w:color w:val="000000" w:themeColor="text1"/>
          <w:sz w:val="24"/>
          <w:szCs w:val="24"/>
          <w:lang w:bidi="ar-SA"/>
        </w:rPr>
        <w:drawing>
          <wp:inline distT="0" distB="0" distL="0" distR="0">
            <wp:extent cx="5925539" cy="4099214"/>
            <wp:effectExtent l="57150" t="19050" r="18061" b="15586"/>
            <wp:docPr id="1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A2247" w:rsidRPr="009E5B5E" w:rsidRDefault="00DA2247" w:rsidP="00DA2247">
      <w:pPr>
        <w:jc w:val="both"/>
        <w:rPr>
          <w:sz w:val="24"/>
          <w:szCs w:val="24"/>
        </w:rPr>
      </w:pPr>
      <w:r w:rsidRPr="009E5B5E">
        <w:rPr>
          <w:sz w:val="24"/>
          <w:szCs w:val="24"/>
        </w:rPr>
        <w:t xml:space="preserve">Source: Kotler et al. (2009, p. 173) </w:t>
      </w: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i/>
          <w:iCs/>
          <w:sz w:val="24"/>
          <w:szCs w:val="24"/>
        </w:rPr>
      </w:pPr>
    </w:p>
    <w:p w:rsidR="00DA2247" w:rsidRPr="009E5B5E" w:rsidRDefault="00DA2247" w:rsidP="00DA2247">
      <w:pPr>
        <w:rPr>
          <w:b/>
          <w:bCs/>
          <w:sz w:val="32"/>
          <w:szCs w:val="32"/>
        </w:rPr>
      </w:pPr>
      <w:r w:rsidRPr="009E5B5E">
        <w:rPr>
          <w:b/>
          <w:bCs/>
          <w:sz w:val="32"/>
          <w:szCs w:val="32"/>
        </w:rPr>
        <w:lastRenderedPageBreak/>
        <w:t xml:space="preserve">Appendix 5: </w:t>
      </w:r>
      <w:r w:rsidRPr="009E5B5E">
        <w:rPr>
          <w:rFonts w:cstheme="minorHAnsi"/>
          <w:b/>
          <w:bCs/>
          <w:sz w:val="32"/>
          <w:szCs w:val="32"/>
        </w:rPr>
        <w:t>Conceptions of Agency and Communion</w:t>
      </w:r>
      <w:r w:rsidRPr="009E5B5E">
        <w:rPr>
          <w:rStyle w:val="FootnoteReference"/>
          <w:rFonts w:cstheme="minorHAnsi"/>
          <w:b/>
          <w:bCs/>
          <w:sz w:val="32"/>
          <w:szCs w:val="32"/>
        </w:rPr>
        <w:footnoteReference w:id="17"/>
      </w:r>
    </w:p>
    <w:p w:rsidR="00DA2247" w:rsidRPr="009E5B5E" w:rsidRDefault="00DA2247" w:rsidP="00DA2247">
      <w:pPr>
        <w:rPr>
          <w:b/>
          <w:bCs/>
          <w:sz w:val="18"/>
          <w:szCs w:val="18"/>
        </w:rPr>
      </w:pPr>
    </w:p>
    <w:p w:rsidR="00DA2247" w:rsidRPr="009E5B5E" w:rsidRDefault="00DA2247" w:rsidP="00DA2247">
      <w:pPr>
        <w:rPr>
          <w:b/>
          <w:bCs/>
        </w:rPr>
      </w:pPr>
      <w:r w:rsidRPr="009E5B5E">
        <w:rPr>
          <w:noProof/>
          <w:color w:val="000000" w:themeColor="text1"/>
          <w:sz w:val="24"/>
          <w:szCs w:val="24"/>
          <w:lang w:bidi="ar-SA"/>
        </w:rPr>
        <w:drawing>
          <wp:inline distT="0" distB="0" distL="0" distR="0">
            <wp:extent cx="5972175" cy="4241919"/>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25524" t="22740" r="25119" b="14794"/>
                    <a:stretch>
                      <a:fillRect/>
                    </a:stretch>
                  </pic:blipFill>
                  <pic:spPr bwMode="auto">
                    <a:xfrm>
                      <a:off x="0" y="0"/>
                      <a:ext cx="5972175" cy="4241919"/>
                    </a:xfrm>
                    <a:prstGeom prst="rect">
                      <a:avLst/>
                    </a:prstGeom>
                    <a:noFill/>
                    <a:ln w="9525">
                      <a:noFill/>
                      <a:miter lim="800000"/>
                      <a:headEnd/>
                      <a:tailEnd/>
                    </a:ln>
                  </pic:spPr>
                </pic:pic>
              </a:graphicData>
            </a:graphic>
          </wp:inline>
        </w:drawing>
      </w:r>
    </w:p>
    <w:p w:rsidR="00DA2247" w:rsidRPr="009E5B5E" w:rsidRDefault="00DA2247" w:rsidP="00DA2247">
      <w:pPr>
        <w:rPr>
          <w:color w:val="000000" w:themeColor="text1"/>
          <w:sz w:val="24"/>
          <w:szCs w:val="24"/>
        </w:rPr>
      </w:pPr>
    </w:p>
    <w:p w:rsidR="00DA2247" w:rsidRPr="009E5B5E" w:rsidRDefault="00DA2247" w:rsidP="00DA2247">
      <w:pPr>
        <w:rPr>
          <w:b/>
          <w:bCs/>
          <w:color w:val="000000" w:themeColor="text1"/>
          <w:sz w:val="28"/>
        </w:rPr>
      </w:pPr>
      <w:r w:rsidRPr="009E5B5E">
        <w:rPr>
          <w:color w:val="000000" w:themeColor="text1"/>
          <w:sz w:val="24"/>
          <w:szCs w:val="24"/>
        </w:rPr>
        <w:t>Source:</w:t>
      </w:r>
      <w:r w:rsidRPr="009E5B5E">
        <w:rPr>
          <w:b/>
          <w:bCs/>
          <w:color w:val="000000" w:themeColor="text1"/>
          <w:sz w:val="28"/>
        </w:rPr>
        <w:t xml:space="preserve"> </w:t>
      </w:r>
      <w:r w:rsidRPr="009E5B5E">
        <w:rPr>
          <w:color w:val="000000" w:themeColor="text1"/>
          <w:sz w:val="24"/>
          <w:szCs w:val="24"/>
        </w:rPr>
        <w:t>Wiggins, J. S. (1991, p. 92)</w:t>
      </w:r>
      <w:r w:rsidRPr="009E5B5E">
        <w:rPr>
          <w:b/>
          <w:bCs/>
          <w:color w:val="000000" w:themeColor="text1"/>
          <w:sz w:val="28"/>
        </w:rPr>
        <w:br w:type="page"/>
      </w:r>
    </w:p>
    <w:p w:rsidR="00DA2247" w:rsidRPr="009E5B5E" w:rsidRDefault="00DA2247" w:rsidP="00DA2247">
      <w:pPr>
        <w:rPr>
          <w:b/>
          <w:bCs/>
          <w:color w:val="000000" w:themeColor="text1"/>
          <w:sz w:val="32"/>
          <w:szCs w:val="32"/>
        </w:rPr>
      </w:pPr>
      <w:r w:rsidRPr="009E5B5E">
        <w:rPr>
          <w:b/>
          <w:bCs/>
          <w:color w:val="000000" w:themeColor="text1"/>
          <w:sz w:val="32"/>
          <w:szCs w:val="32"/>
        </w:rPr>
        <w:lastRenderedPageBreak/>
        <w:t xml:space="preserve">Appendix 6: </w:t>
      </w:r>
      <w:r w:rsidRPr="009E5B5E">
        <w:rPr>
          <w:rFonts w:cs="Arial"/>
          <w:b/>
          <w:bCs/>
          <w:color w:val="000000"/>
          <w:sz w:val="32"/>
          <w:szCs w:val="32"/>
        </w:rPr>
        <w:t>Descriptive Statistics of continuous variables in the original dataset</w:t>
      </w:r>
    </w:p>
    <w:tbl>
      <w:tblPr>
        <w:tblW w:w="8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1"/>
        <w:gridCol w:w="1010"/>
        <w:gridCol w:w="1404"/>
        <w:gridCol w:w="1405"/>
        <w:gridCol w:w="1405"/>
        <w:gridCol w:w="1428"/>
      </w:tblGrid>
      <w:tr w:rsidR="00DA2247" w:rsidRPr="009E5B5E" w:rsidTr="005A408B">
        <w:trPr>
          <w:cantSplit/>
          <w:tblHeader/>
        </w:trPr>
        <w:tc>
          <w:tcPr>
            <w:tcW w:w="8329" w:type="dxa"/>
            <w:gridSpan w:val="6"/>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Descriptive Statistics</w:t>
            </w:r>
          </w:p>
        </w:tc>
      </w:tr>
      <w:tr w:rsidR="00DA2247" w:rsidRPr="009E5B5E" w:rsidTr="005A408B">
        <w:trPr>
          <w:cantSplit/>
          <w:tblHeader/>
        </w:trPr>
        <w:tc>
          <w:tcPr>
            <w:tcW w:w="16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w:t>
            </w:r>
          </w:p>
        </w:tc>
        <w:tc>
          <w:tcPr>
            <w:tcW w:w="1403"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Minimum</w:t>
            </w:r>
          </w:p>
        </w:tc>
        <w:tc>
          <w:tcPr>
            <w:tcW w:w="1404"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Maximum</w:t>
            </w:r>
          </w:p>
        </w:tc>
        <w:tc>
          <w:tcPr>
            <w:tcW w:w="1404"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Mean</w:t>
            </w:r>
          </w:p>
        </w:tc>
        <w:tc>
          <w:tcPr>
            <w:tcW w:w="1427"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Std. Deviation</w:t>
            </w:r>
          </w:p>
        </w:tc>
      </w:tr>
      <w:tr w:rsidR="00DA2247" w:rsidRPr="009E5B5E" w:rsidTr="005A408B">
        <w:trPr>
          <w:cantSplit/>
          <w:tblHeader/>
        </w:trPr>
        <w:tc>
          <w:tcPr>
            <w:tcW w:w="1681" w:type="dxa"/>
            <w:tcBorders>
              <w:top w:val="single" w:sz="16" w:space="0" w:color="000000"/>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01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9577</w:t>
            </w:r>
          </w:p>
        </w:tc>
        <w:tc>
          <w:tcPr>
            <w:tcW w:w="140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w:t>
            </w:r>
          </w:p>
        </w:tc>
        <w:tc>
          <w:tcPr>
            <w:tcW w:w="1404"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3518</w:t>
            </w:r>
          </w:p>
        </w:tc>
        <w:tc>
          <w:tcPr>
            <w:tcW w:w="1404"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959.24</w:t>
            </w:r>
          </w:p>
        </w:tc>
        <w:tc>
          <w:tcPr>
            <w:tcW w:w="1427"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598.524</w:t>
            </w:r>
          </w:p>
        </w:tc>
      </w:tr>
      <w:tr w:rsidR="00DA2247" w:rsidRPr="009E5B5E" w:rsidTr="005A408B">
        <w:trPr>
          <w:cantSplit/>
          <w:tblHeader/>
        </w:trPr>
        <w:tc>
          <w:tcPr>
            <w:tcW w:w="1681" w:type="dxa"/>
            <w:tcBorders>
              <w:top w:val="nil"/>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9577</w:t>
            </w:r>
          </w:p>
        </w:tc>
        <w:tc>
          <w:tcPr>
            <w:tcW w:w="14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.000000000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.643815200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.06471792559</w:t>
            </w:r>
          </w:p>
        </w:tc>
        <w:tc>
          <w:tcPr>
            <w:tcW w:w="142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.075805364456</w:t>
            </w:r>
          </w:p>
        </w:tc>
      </w:tr>
      <w:tr w:rsidR="00DA2247" w:rsidRPr="009E5B5E" w:rsidTr="005A408B">
        <w:trPr>
          <w:cantSplit/>
          <w:tblHeader/>
        </w:trPr>
        <w:tc>
          <w:tcPr>
            <w:tcW w:w="1681" w:type="dxa"/>
            <w:tcBorders>
              <w:top w:val="nil"/>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9577</w:t>
            </w:r>
          </w:p>
        </w:tc>
        <w:tc>
          <w:tcPr>
            <w:tcW w:w="14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.0000000000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1.0000000000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.545546210402</w:t>
            </w:r>
          </w:p>
        </w:tc>
        <w:tc>
          <w:tcPr>
            <w:tcW w:w="142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.2502644315879</w:t>
            </w:r>
          </w:p>
        </w:tc>
      </w:tr>
      <w:tr w:rsidR="00DA2247" w:rsidRPr="009E5B5E" w:rsidTr="005A408B">
        <w:trPr>
          <w:cantSplit/>
        </w:trPr>
        <w:tc>
          <w:tcPr>
            <w:tcW w:w="1681" w:type="dxa"/>
            <w:tcBorders>
              <w:top w:val="nil"/>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Valid N (listwise)</w:t>
            </w:r>
          </w:p>
        </w:tc>
        <w:tc>
          <w:tcPr>
            <w:tcW w:w="101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9577</w:t>
            </w:r>
          </w:p>
        </w:tc>
        <w:tc>
          <w:tcPr>
            <w:tcW w:w="1403"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04"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04"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27" w:type="dxa"/>
            <w:tcBorders>
              <w:top w:val="nil"/>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r>
    </w:tbl>
    <w:p w:rsidR="00DA2247" w:rsidRPr="009E5B5E" w:rsidRDefault="00DA2247" w:rsidP="00DA2247">
      <w:pPr>
        <w:autoSpaceDE w:val="0"/>
        <w:autoSpaceDN w:val="0"/>
        <w:adjustRightInd w:val="0"/>
        <w:spacing w:after="0" w:line="240" w:lineRule="auto"/>
        <w:rPr>
          <w:rFonts w:cs="Times New Roman"/>
          <w:sz w:val="24"/>
          <w:szCs w:val="24"/>
        </w:rPr>
      </w:pPr>
    </w:p>
    <w:p w:rsidR="00DA2247" w:rsidRPr="009E5B5E" w:rsidRDefault="00DA2247" w:rsidP="00DA2247">
      <w:pPr>
        <w:autoSpaceDE w:val="0"/>
        <w:autoSpaceDN w:val="0"/>
        <w:adjustRightInd w:val="0"/>
        <w:spacing w:after="0" w:line="240" w:lineRule="auto"/>
        <w:rPr>
          <w:rFonts w:cs="Times New Roman"/>
          <w:sz w:val="24"/>
          <w:szCs w:val="24"/>
        </w:rPr>
      </w:pPr>
    </w:p>
    <w:p w:rsidR="00DA2247" w:rsidRPr="009E5B5E" w:rsidRDefault="00DA2247" w:rsidP="00DA2247">
      <w:pPr>
        <w:rPr>
          <w:b/>
          <w:bCs/>
          <w:color w:val="000000" w:themeColor="text1"/>
          <w:sz w:val="32"/>
          <w:szCs w:val="32"/>
        </w:rPr>
      </w:pPr>
      <w:r w:rsidRPr="009E5B5E">
        <w:rPr>
          <w:b/>
          <w:bCs/>
          <w:color w:val="000000" w:themeColor="text1"/>
          <w:sz w:val="32"/>
          <w:szCs w:val="32"/>
        </w:rPr>
        <w:t xml:space="preserve">Appendix 7: </w:t>
      </w:r>
      <w:r w:rsidRPr="009E5B5E">
        <w:rPr>
          <w:rFonts w:cs="Arial"/>
          <w:b/>
          <w:bCs/>
          <w:color w:val="000000"/>
          <w:sz w:val="32"/>
          <w:szCs w:val="32"/>
        </w:rPr>
        <w:t>Descriptive Statistics of continuous variables in the reduced dataset</w:t>
      </w:r>
    </w:p>
    <w:p w:rsidR="00DA2247" w:rsidRPr="009E5B5E" w:rsidRDefault="00DA2247" w:rsidP="00DA2247">
      <w:pPr>
        <w:autoSpaceDE w:val="0"/>
        <w:autoSpaceDN w:val="0"/>
        <w:adjustRightInd w:val="0"/>
        <w:spacing w:after="0" w:line="240" w:lineRule="auto"/>
        <w:rPr>
          <w:rFonts w:cs="Times New Roman"/>
          <w:sz w:val="24"/>
          <w:szCs w:val="24"/>
        </w:rPr>
      </w:pPr>
    </w:p>
    <w:tbl>
      <w:tblPr>
        <w:tblW w:w="8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1"/>
        <w:gridCol w:w="1010"/>
        <w:gridCol w:w="1404"/>
        <w:gridCol w:w="1405"/>
        <w:gridCol w:w="1405"/>
        <w:gridCol w:w="1428"/>
      </w:tblGrid>
      <w:tr w:rsidR="00DA2247" w:rsidRPr="009E5B5E" w:rsidTr="005A408B">
        <w:trPr>
          <w:cantSplit/>
          <w:tblHeader/>
        </w:trPr>
        <w:tc>
          <w:tcPr>
            <w:tcW w:w="8329" w:type="dxa"/>
            <w:gridSpan w:val="6"/>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Descriptive Statistics</w:t>
            </w:r>
          </w:p>
        </w:tc>
      </w:tr>
      <w:tr w:rsidR="00DA2247" w:rsidRPr="009E5B5E" w:rsidTr="005A408B">
        <w:trPr>
          <w:cantSplit/>
          <w:tblHeader/>
        </w:trPr>
        <w:tc>
          <w:tcPr>
            <w:tcW w:w="16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w:t>
            </w:r>
          </w:p>
        </w:tc>
        <w:tc>
          <w:tcPr>
            <w:tcW w:w="1403"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Minimum</w:t>
            </w:r>
          </w:p>
        </w:tc>
        <w:tc>
          <w:tcPr>
            <w:tcW w:w="1404"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Maximum</w:t>
            </w:r>
          </w:p>
        </w:tc>
        <w:tc>
          <w:tcPr>
            <w:tcW w:w="1404"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Mean</w:t>
            </w:r>
          </w:p>
        </w:tc>
        <w:tc>
          <w:tcPr>
            <w:tcW w:w="1427"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Std. Deviation</w:t>
            </w:r>
          </w:p>
        </w:tc>
      </w:tr>
      <w:tr w:rsidR="00DA2247" w:rsidRPr="009E5B5E" w:rsidTr="005A408B">
        <w:trPr>
          <w:cantSplit/>
          <w:tblHeader/>
        </w:trPr>
        <w:tc>
          <w:tcPr>
            <w:tcW w:w="1681" w:type="dxa"/>
            <w:tcBorders>
              <w:top w:val="single" w:sz="16" w:space="0" w:color="000000"/>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01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9179</w:t>
            </w:r>
          </w:p>
        </w:tc>
        <w:tc>
          <w:tcPr>
            <w:tcW w:w="140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w:t>
            </w:r>
          </w:p>
        </w:tc>
        <w:tc>
          <w:tcPr>
            <w:tcW w:w="1404"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3518</w:t>
            </w:r>
          </w:p>
        </w:tc>
        <w:tc>
          <w:tcPr>
            <w:tcW w:w="1404"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968.16</w:t>
            </w:r>
          </w:p>
        </w:tc>
        <w:tc>
          <w:tcPr>
            <w:tcW w:w="1427"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607.605</w:t>
            </w:r>
          </w:p>
        </w:tc>
      </w:tr>
      <w:tr w:rsidR="00DA2247" w:rsidRPr="009E5B5E" w:rsidTr="005A408B">
        <w:trPr>
          <w:cantSplit/>
          <w:tblHeader/>
        </w:trPr>
        <w:tc>
          <w:tcPr>
            <w:tcW w:w="1681" w:type="dxa"/>
            <w:tcBorders>
              <w:top w:val="nil"/>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9179</w:t>
            </w:r>
          </w:p>
        </w:tc>
        <w:tc>
          <w:tcPr>
            <w:tcW w:w="14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.0000000000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1.0000000000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.529306967023</w:t>
            </w:r>
          </w:p>
        </w:tc>
        <w:tc>
          <w:tcPr>
            <w:tcW w:w="142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.2432308506603</w:t>
            </w:r>
          </w:p>
        </w:tc>
      </w:tr>
      <w:tr w:rsidR="00DA2247" w:rsidRPr="009E5B5E" w:rsidTr="005A408B">
        <w:trPr>
          <w:cantSplit/>
          <w:tblHeader/>
        </w:trPr>
        <w:tc>
          <w:tcPr>
            <w:tcW w:w="1681" w:type="dxa"/>
            <w:tcBorders>
              <w:top w:val="nil"/>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9179</w:t>
            </w:r>
          </w:p>
        </w:tc>
        <w:tc>
          <w:tcPr>
            <w:tcW w:w="14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.000000000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.643815200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.06555745283</w:t>
            </w:r>
          </w:p>
        </w:tc>
        <w:tc>
          <w:tcPr>
            <w:tcW w:w="142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.076750126360</w:t>
            </w:r>
          </w:p>
        </w:tc>
      </w:tr>
      <w:tr w:rsidR="00DA2247" w:rsidRPr="009E5B5E" w:rsidTr="005A408B">
        <w:trPr>
          <w:cantSplit/>
        </w:trPr>
        <w:tc>
          <w:tcPr>
            <w:tcW w:w="1681" w:type="dxa"/>
            <w:tcBorders>
              <w:top w:val="nil"/>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Valid N (listwise)</w:t>
            </w:r>
          </w:p>
        </w:tc>
        <w:tc>
          <w:tcPr>
            <w:tcW w:w="101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9179</w:t>
            </w:r>
          </w:p>
        </w:tc>
        <w:tc>
          <w:tcPr>
            <w:tcW w:w="1403"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04"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04"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27" w:type="dxa"/>
            <w:tcBorders>
              <w:top w:val="nil"/>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r>
    </w:tbl>
    <w:p w:rsidR="00DA2247" w:rsidRPr="009E5B5E" w:rsidRDefault="00DA2247" w:rsidP="00DA2247">
      <w:pPr>
        <w:autoSpaceDE w:val="0"/>
        <w:autoSpaceDN w:val="0"/>
        <w:adjustRightInd w:val="0"/>
        <w:spacing w:after="0" w:line="240" w:lineRule="auto"/>
        <w:rPr>
          <w:rFonts w:cs="Times New Roman"/>
          <w:sz w:val="24"/>
          <w:szCs w:val="24"/>
        </w:rPr>
      </w:pPr>
    </w:p>
    <w:p w:rsidR="00DA2247" w:rsidRPr="009E5B5E" w:rsidRDefault="00DA2247" w:rsidP="00DA2247">
      <w:pPr>
        <w:rPr>
          <w:b/>
          <w:bCs/>
          <w:color w:val="000000" w:themeColor="text1"/>
          <w:sz w:val="28"/>
        </w:rPr>
      </w:pPr>
    </w:p>
    <w:p w:rsidR="00DA2247" w:rsidRPr="009E5B5E" w:rsidRDefault="00DA2247" w:rsidP="00DA2247">
      <w:pPr>
        <w:rPr>
          <w:b/>
          <w:bCs/>
          <w:color w:val="000000" w:themeColor="text1"/>
          <w:sz w:val="32"/>
          <w:szCs w:val="32"/>
        </w:rPr>
      </w:pPr>
      <w:r w:rsidRPr="009E5B5E">
        <w:rPr>
          <w:b/>
          <w:bCs/>
          <w:color w:val="000000" w:themeColor="text1"/>
          <w:sz w:val="32"/>
          <w:szCs w:val="32"/>
        </w:rPr>
        <w:t xml:space="preserve">Appendix 8: </w:t>
      </w:r>
      <w:r w:rsidRPr="009E5B5E">
        <w:rPr>
          <w:rFonts w:cs="Arial"/>
          <w:b/>
          <w:bCs/>
          <w:color w:val="000000"/>
          <w:sz w:val="32"/>
          <w:szCs w:val="32"/>
        </w:rPr>
        <w:t>Descriptive Statistics of continuous variables in the gender-restricted dataset</w:t>
      </w:r>
    </w:p>
    <w:tbl>
      <w:tblPr>
        <w:tblW w:w="83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1"/>
        <w:gridCol w:w="1010"/>
        <w:gridCol w:w="1404"/>
        <w:gridCol w:w="1405"/>
        <w:gridCol w:w="1405"/>
        <w:gridCol w:w="1428"/>
      </w:tblGrid>
      <w:tr w:rsidR="00DA2247" w:rsidRPr="009E5B5E" w:rsidTr="005A408B">
        <w:trPr>
          <w:cantSplit/>
          <w:tblHeader/>
        </w:trPr>
        <w:tc>
          <w:tcPr>
            <w:tcW w:w="8329" w:type="dxa"/>
            <w:gridSpan w:val="6"/>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Descriptive Statistics</w:t>
            </w:r>
          </w:p>
        </w:tc>
      </w:tr>
      <w:tr w:rsidR="00DA2247" w:rsidRPr="009E5B5E" w:rsidTr="005A408B">
        <w:trPr>
          <w:cantSplit/>
          <w:tblHeader/>
        </w:trPr>
        <w:tc>
          <w:tcPr>
            <w:tcW w:w="168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01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w:t>
            </w:r>
          </w:p>
        </w:tc>
        <w:tc>
          <w:tcPr>
            <w:tcW w:w="1403"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Minimum</w:t>
            </w:r>
          </w:p>
        </w:tc>
        <w:tc>
          <w:tcPr>
            <w:tcW w:w="1404"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Maximum</w:t>
            </w:r>
          </w:p>
        </w:tc>
        <w:tc>
          <w:tcPr>
            <w:tcW w:w="1404"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Mean</w:t>
            </w:r>
          </w:p>
        </w:tc>
        <w:tc>
          <w:tcPr>
            <w:tcW w:w="1427"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Std. Deviation</w:t>
            </w:r>
          </w:p>
        </w:tc>
      </w:tr>
      <w:tr w:rsidR="00DA2247" w:rsidRPr="009E5B5E" w:rsidTr="005A408B">
        <w:trPr>
          <w:cantSplit/>
          <w:tblHeader/>
        </w:trPr>
        <w:tc>
          <w:tcPr>
            <w:tcW w:w="1681" w:type="dxa"/>
            <w:tcBorders>
              <w:top w:val="single" w:sz="16" w:space="0" w:color="000000"/>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01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2653</w:t>
            </w:r>
          </w:p>
        </w:tc>
        <w:tc>
          <w:tcPr>
            <w:tcW w:w="140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780</w:t>
            </w:r>
          </w:p>
        </w:tc>
        <w:tc>
          <w:tcPr>
            <w:tcW w:w="1404"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3509</w:t>
            </w:r>
          </w:p>
        </w:tc>
        <w:tc>
          <w:tcPr>
            <w:tcW w:w="1404"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1355.83</w:t>
            </w:r>
          </w:p>
        </w:tc>
        <w:tc>
          <w:tcPr>
            <w:tcW w:w="1427"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516.854</w:t>
            </w:r>
          </w:p>
        </w:tc>
      </w:tr>
      <w:tr w:rsidR="00DA2247" w:rsidRPr="009E5B5E" w:rsidTr="005A408B">
        <w:trPr>
          <w:cantSplit/>
          <w:tblHeader/>
        </w:trPr>
        <w:tc>
          <w:tcPr>
            <w:tcW w:w="1681" w:type="dxa"/>
            <w:tcBorders>
              <w:top w:val="nil"/>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2653</w:t>
            </w:r>
          </w:p>
        </w:tc>
        <w:tc>
          <w:tcPr>
            <w:tcW w:w="14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.0000000000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.9843606400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.564078358175</w:t>
            </w:r>
          </w:p>
        </w:tc>
        <w:tc>
          <w:tcPr>
            <w:tcW w:w="142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.2290566805925</w:t>
            </w:r>
          </w:p>
        </w:tc>
      </w:tr>
      <w:tr w:rsidR="00DA2247" w:rsidRPr="009E5B5E" w:rsidTr="005A408B">
        <w:trPr>
          <w:cantSplit/>
          <w:tblHeader/>
        </w:trPr>
        <w:tc>
          <w:tcPr>
            <w:tcW w:w="1681" w:type="dxa"/>
            <w:tcBorders>
              <w:top w:val="nil"/>
              <w:left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2653</w:t>
            </w:r>
          </w:p>
        </w:tc>
        <w:tc>
          <w:tcPr>
            <w:tcW w:w="14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.021092670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.583272760</w:t>
            </w:r>
          </w:p>
        </w:tc>
        <w:tc>
          <w:tcPr>
            <w:tcW w:w="1404"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.11107718768</w:t>
            </w:r>
          </w:p>
        </w:tc>
        <w:tc>
          <w:tcPr>
            <w:tcW w:w="142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.069445065832</w:t>
            </w:r>
          </w:p>
        </w:tc>
      </w:tr>
      <w:tr w:rsidR="00DA2247" w:rsidRPr="009E5B5E" w:rsidTr="005A408B">
        <w:trPr>
          <w:cantSplit/>
        </w:trPr>
        <w:tc>
          <w:tcPr>
            <w:tcW w:w="1681" w:type="dxa"/>
            <w:tcBorders>
              <w:top w:val="nil"/>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Valid N (listwise)</w:t>
            </w:r>
          </w:p>
        </w:tc>
        <w:tc>
          <w:tcPr>
            <w:tcW w:w="101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2653</w:t>
            </w:r>
          </w:p>
        </w:tc>
        <w:tc>
          <w:tcPr>
            <w:tcW w:w="1403"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04"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04" w:type="dxa"/>
            <w:tcBorders>
              <w:top w:val="nil"/>
              <w:bottom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427" w:type="dxa"/>
            <w:tcBorders>
              <w:top w:val="nil"/>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r>
    </w:tbl>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rPr>
          <w:b/>
          <w:bCs/>
          <w:color w:val="000000" w:themeColor="text1"/>
          <w:sz w:val="28"/>
        </w:rPr>
      </w:pPr>
    </w:p>
    <w:p w:rsidR="00DA2247" w:rsidRPr="009E5B5E" w:rsidRDefault="00DA2247" w:rsidP="00DA2247">
      <w:pPr>
        <w:rPr>
          <w:b/>
          <w:bCs/>
          <w:color w:val="000000" w:themeColor="text1"/>
          <w:sz w:val="28"/>
        </w:rPr>
      </w:pPr>
    </w:p>
    <w:p w:rsidR="00DA2247" w:rsidRPr="009E5B5E" w:rsidRDefault="00DA2247" w:rsidP="00DA2247">
      <w:pPr>
        <w:rPr>
          <w:b/>
          <w:bCs/>
          <w:color w:val="000000" w:themeColor="text1"/>
          <w:sz w:val="28"/>
        </w:rPr>
      </w:pPr>
    </w:p>
    <w:p w:rsidR="00DA2247" w:rsidRPr="009E5B5E" w:rsidRDefault="00DA2247" w:rsidP="00DA2247">
      <w:pPr>
        <w:rPr>
          <w:rFonts w:eastAsia="Times New Roman" w:cs="Arial"/>
          <w:b/>
          <w:bCs/>
          <w:i/>
          <w:iCs/>
          <w:color w:val="000000" w:themeColor="text1"/>
          <w:sz w:val="32"/>
          <w:szCs w:val="32"/>
          <w:lang w:bidi="ar-SA"/>
        </w:rPr>
      </w:pPr>
      <w:r w:rsidRPr="009E5B5E">
        <w:rPr>
          <w:b/>
          <w:bCs/>
          <w:color w:val="000000" w:themeColor="text1"/>
          <w:sz w:val="32"/>
          <w:szCs w:val="32"/>
        </w:rPr>
        <w:lastRenderedPageBreak/>
        <w:t>Appendix 9: Assumptions of Logistic Regression</w:t>
      </w:r>
    </w:p>
    <w:p w:rsidR="00DA2247" w:rsidRPr="009E5B5E" w:rsidRDefault="00DA2247" w:rsidP="00DA2247">
      <w:pPr>
        <w:pStyle w:val="Heading4"/>
        <w:spacing w:line="360" w:lineRule="auto"/>
        <w:jc w:val="both"/>
        <w:rPr>
          <w:rStyle w:val="SubtleEmphasis"/>
          <w:i w:val="0"/>
          <w:iCs w:val="0"/>
          <w:sz w:val="28"/>
          <w:szCs w:val="28"/>
        </w:rPr>
      </w:pPr>
      <w:r w:rsidRPr="009E5B5E">
        <w:rPr>
          <w:rStyle w:val="SubtleEmphasis"/>
          <w:i w:val="0"/>
          <w:iCs w:val="0"/>
          <w:sz w:val="28"/>
          <w:szCs w:val="28"/>
        </w:rPr>
        <w:t xml:space="preserve">1. Linearity </w:t>
      </w:r>
    </w:p>
    <w:p w:rsidR="00DA2247" w:rsidRPr="009E5B5E" w:rsidRDefault="00DA2247" w:rsidP="00DA2247">
      <w:pPr>
        <w:spacing w:line="360" w:lineRule="auto"/>
        <w:jc w:val="both"/>
        <w:rPr>
          <w:sz w:val="24"/>
          <w:szCs w:val="24"/>
        </w:rPr>
      </w:pPr>
      <w:r w:rsidRPr="009E5B5E">
        <w:rPr>
          <w:sz w:val="24"/>
          <w:szCs w:val="24"/>
        </w:rPr>
        <w:t xml:space="preserve">The assumption of linearity in logistic regression deduces that there is a linear relationship between any continuous independent variables and the logit of the outcome variable (Field 2009. This assumption is examined by operating the logistic regression with all continuous predictors and the interaction terms between those predictors and the log transformation of themselves. Any interaction term that is significant indicates the violation of logit linearity assumption of that particular continuous predictor. </w:t>
      </w:r>
    </w:p>
    <w:p w:rsidR="00DA2247" w:rsidRPr="009E5B5E" w:rsidRDefault="00DA2247" w:rsidP="00DA2247">
      <w:pPr>
        <w:spacing w:line="360" w:lineRule="auto"/>
        <w:jc w:val="both"/>
        <w:rPr>
          <w:sz w:val="24"/>
          <w:szCs w:val="24"/>
        </w:rPr>
      </w:pPr>
      <w:r w:rsidRPr="009E5B5E">
        <w:rPr>
          <w:sz w:val="24"/>
          <w:szCs w:val="24"/>
        </w:rPr>
        <w:t xml:space="preserve">In this master thesis, continuous predictors of all three logit models are </w:t>
      </w:r>
      <w:r w:rsidRPr="009E5B5E">
        <w:rPr>
          <w:i/>
          <w:iCs/>
          <w:sz w:val="24"/>
          <w:szCs w:val="24"/>
        </w:rPr>
        <w:t>Dwell Time, Innovative Ratio, and Involvement Ratio</w:t>
      </w:r>
      <w:r w:rsidRPr="009E5B5E">
        <w:rPr>
          <w:sz w:val="24"/>
          <w:szCs w:val="24"/>
        </w:rPr>
        <w:t xml:space="preserve">. The logistic regression mentioned in the previous paragraph was operated to all three dataset.  As displayed in appendix 9.1 , 9.2 and 9.3 for the original, reduced, and gender-restricted dataset respectively, the outcomes showed that three interactions in all datasets have significance values larger than 0.05. Therefore, it was concluded that the assumption of linearity of the logit has been met for </w:t>
      </w:r>
      <w:r w:rsidRPr="009E5B5E">
        <w:rPr>
          <w:i/>
          <w:iCs/>
          <w:sz w:val="24"/>
          <w:szCs w:val="24"/>
        </w:rPr>
        <w:t xml:space="preserve">Dwell Time, Innovative Ratio, and Involvement Ratio </w:t>
      </w:r>
      <w:r w:rsidRPr="009E5B5E">
        <w:rPr>
          <w:sz w:val="24"/>
          <w:szCs w:val="24"/>
        </w:rPr>
        <w:t>in all three datasets.</w:t>
      </w:r>
    </w:p>
    <w:p w:rsidR="00DA2247" w:rsidRPr="009E5B5E" w:rsidRDefault="00DA2247" w:rsidP="00DA2247">
      <w:pPr>
        <w:autoSpaceDE w:val="0"/>
        <w:autoSpaceDN w:val="0"/>
        <w:adjustRightInd w:val="0"/>
        <w:spacing w:after="0" w:line="400" w:lineRule="atLeast"/>
        <w:rPr>
          <w:rFonts w:cs="Times New Roman"/>
          <w:b/>
          <w:bCs/>
          <w:sz w:val="24"/>
          <w:szCs w:val="24"/>
        </w:rPr>
      </w:pPr>
      <w:r w:rsidRPr="009E5B5E">
        <w:rPr>
          <w:rFonts w:cs="Times New Roman"/>
          <w:b/>
          <w:bCs/>
          <w:sz w:val="24"/>
          <w:szCs w:val="24"/>
        </w:rPr>
        <w:t xml:space="preserve">Appendix 9.1:  Logistic regression </w:t>
      </w:r>
      <w:r w:rsidRPr="009E5B5E">
        <w:rPr>
          <w:b/>
          <w:bCs/>
          <w:sz w:val="24"/>
          <w:szCs w:val="24"/>
        </w:rPr>
        <w:t>with all continuous predictors and the interaction terms between each of those predictors and its log transformations on the original dataset.</w:t>
      </w:r>
    </w:p>
    <w:p w:rsidR="00DA2247" w:rsidRPr="009E5B5E" w:rsidRDefault="00DA2247" w:rsidP="00DA2247">
      <w:pPr>
        <w:autoSpaceDE w:val="0"/>
        <w:autoSpaceDN w:val="0"/>
        <w:adjustRightInd w:val="0"/>
        <w:spacing w:after="0" w:line="240" w:lineRule="auto"/>
        <w:rPr>
          <w:rFonts w:cs="Times New Roman"/>
          <w:sz w:val="24"/>
          <w:szCs w:val="24"/>
        </w:rPr>
      </w:pP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3"/>
        <w:gridCol w:w="1893"/>
        <w:gridCol w:w="1010"/>
        <w:gridCol w:w="1010"/>
        <w:gridCol w:w="1011"/>
        <w:gridCol w:w="1011"/>
        <w:gridCol w:w="1011"/>
        <w:gridCol w:w="1011"/>
      </w:tblGrid>
      <w:tr w:rsidR="00DA2247" w:rsidRPr="009E5B5E" w:rsidTr="005A408B">
        <w:trPr>
          <w:cantSplit/>
          <w:tblHeader/>
        </w:trPr>
        <w:tc>
          <w:tcPr>
            <w:tcW w:w="8875" w:type="dxa"/>
            <w:gridSpan w:val="8"/>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Variables in the Equation</w:t>
            </w:r>
          </w:p>
        </w:tc>
      </w:tr>
      <w:tr w:rsidR="00DA2247" w:rsidRPr="009E5B5E" w:rsidTr="005A408B">
        <w:trPr>
          <w:cantSplit/>
          <w:tblHeader/>
        </w:trPr>
        <w:tc>
          <w:tcPr>
            <w:tcW w:w="28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18"/>
                <w:szCs w:val="18"/>
              </w:rPr>
            </w:pPr>
          </w:p>
        </w:tc>
        <w:tc>
          <w:tcPr>
            <w:tcW w:w="101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B</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S.E.</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Wald</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Exp(B)</w:t>
            </w:r>
          </w:p>
        </w:tc>
      </w:tr>
      <w:tr w:rsidR="00DA2247" w:rsidRPr="009E5B5E" w:rsidTr="005A408B">
        <w:trPr>
          <w:cantSplit/>
          <w:tblHeader/>
        </w:trPr>
        <w:tc>
          <w:tcPr>
            <w:tcW w:w="923"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 1</w:t>
            </w:r>
            <w:r w:rsidRPr="009E5B5E">
              <w:rPr>
                <w:rFonts w:ascii="Arial" w:hAnsi="Arial" w:cs="Arial"/>
                <w:color w:val="000000"/>
                <w:sz w:val="18"/>
                <w:szCs w:val="18"/>
                <w:vertAlign w:val="superscript"/>
              </w:rPr>
              <w:t>a</w:t>
            </w:r>
          </w:p>
        </w:tc>
        <w:tc>
          <w:tcPr>
            <w:tcW w:w="1893"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01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-.001</w:t>
            </w:r>
          </w:p>
        </w:tc>
        <w:tc>
          <w:tcPr>
            <w:tcW w:w="10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.006</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.041</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.839</w:t>
            </w:r>
          </w:p>
        </w:tc>
        <w:tc>
          <w:tcPr>
            <w:tcW w:w="101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.999</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.290</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.327</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.788</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.375</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1.336</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-5.734</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4.095</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1.961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.161</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.003</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 by LnDT</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.045</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.831</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 by LnINNOV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.054</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.626</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.007</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.931</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1.056</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 by LnINVOL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-4.038</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3.708</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1.186</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.276</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.018</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Constant</w:t>
            </w:r>
          </w:p>
        </w:tc>
        <w:tc>
          <w:tcPr>
            <w:tcW w:w="101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-2.592</w:t>
            </w:r>
          </w:p>
        </w:tc>
        <w:tc>
          <w:tcPr>
            <w:tcW w:w="1009"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1.099</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5.560</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.018</w:t>
            </w:r>
          </w:p>
        </w:tc>
        <w:tc>
          <w:tcPr>
            <w:tcW w:w="101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.075</w:t>
            </w:r>
          </w:p>
        </w:tc>
      </w:tr>
      <w:tr w:rsidR="00DA2247" w:rsidRPr="009E5B5E" w:rsidTr="005A408B">
        <w:trPr>
          <w:cantSplit/>
        </w:trPr>
        <w:tc>
          <w:tcPr>
            <w:tcW w:w="8875" w:type="dxa"/>
            <w:gridSpan w:val="8"/>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a. Variable(s) entered on step 1: DT, INNOV, INVOL, DT * LnDT , INNOV * LnINNOV , INVOL * LnINVOL .</w:t>
            </w:r>
          </w:p>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p>
        </w:tc>
      </w:tr>
    </w:tbl>
    <w:p w:rsidR="00DA2247" w:rsidRPr="009E5B5E" w:rsidRDefault="00DA2247" w:rsidP="00DA2247">
      <w:pPr>
        <w:autoSpaceDE w:val="0"/>
        <w:autoSpaceDN w:val="0"/>
        <w:adjustRightInd w:val="0"/>
        <w:spacing w:after="0" w:line="240" w:lineRule="auto"/>
        <w:rPr>
          <w:rFonts w:cs="Times New Roman"/>
          <w:sz w:val="24"/>
          <w:szCs w:val="24"/>
        </w:rPr>
      </w:pPr>
    </w:p>
    <w:p w:rsidR="00DA2247" w:rsidRPr="009E5B5E" w:rsidRDefault="00DA2247" w:rsidP="00DA2247">
      <w:pPr>
        <w:autoSpaceDE w:val="0"/>
        <w:autoSpaceDN w:val="0"/>
        <w:adjustRightInd w:val="0"/>
        <w:spacing w:after="0" w:line="240" w:lineRule="auto"/>
        <w:rPr>
          <w:rFonts w:cs="Times New Roman"/>
          <w:sz w:val="24"/>
          <w:szCs w:val="24"/>
        </w:rPr>
      </w:pPr>
    </w:p>
    <w:p w:rsidR="00DA2247" w:rsidRPr="009E5B5E" w:rsidRDefault="00DA2247" w:rsidP="00DA2247">
      <w:pPr>
        <w:autoSpaceDE w:val="0"/>
        <w:autoSpaceDN w:val="0"/>
        <w:adjustRightInd w:val="0"/>
        <w:spacing w:after="0" w:line="240" w:lineRule="auto"/>
        <w:rPr>
          <w:rFonts w:cs="Times New Roman"/>
          <w:sz w:val="24"/>
          <w:szCs w:val="24"/>
        </w:rPr>
      </w:pPr>
    </w:p>
    <w:p w:rsidR="00DA2247" w:rsidRPr="009E5B5E" w:rsidRDefault="00DA2247" w:rsidP="00DA2247">
      <w:pPr>
        <w:autoSpaceDE w:val="0"/>
        <w:autoSpaceDN w:val="0"/>
        <w:adjustRightInd w:val="0"/>
        <w:spacing w:after="0" w:line="240" w:lineRule="auto"/>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r w:rsidRPr="009E5B5E">
        <w:rPr>
          <w:rFonts w:cs="Times New Roman"/>
          <w:b/>
          <w:bCs/>
          <w:sz w:val="24"/>
          <w:szCs w:val="24"/>
        </w:rPr>
        <w:lastRenderedPageBreak/>
        <w:t xml:space="preserve">Appendix 9.2: Logistic regression </w:t>
      </w:r>
      <w:r w:rsidRPr="009E5B5E">
        <w:rPr>
          <w:b/>
          <w:bCs/>
          <w:sz w:val="24"/>
          <w:szCs w:val="24"/>
        </w:rPr>
        <w:t>with all continuous predictors and the interaction terms between each of those predictors and its log transformations on the reduced dataset.</w:t>
      </w:r>
    </w:p>
    <w:p w:rsidR="00DA2247" w:rsidRPr="009E5B5E" w:rsidRDefault="00DA2247" w:rsidP="00DA2247">
      <w:pPr>
        <w:autoSpaceDE w:val="0"/>
        <w:autoSpaceDN w:val="0"/>
        <w:adjustRightInd w:val="0"/>
        <w:spacing w:after="0" w:line="240" w:lineRule="auto"/>
        <w:rPr>
          <w:rFonts w:cs="Times New Roman"/>
          <w:sz w:val="24"/>
          <w:szCs w:val="24"/>
        </w:rPr>
      </w:pP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3"/>
        <w:gridCol w:w="1893"/>
        <w:gridCol w:w="1010"/>
        <w:gridCol w:w="1010"/>
        <w:gridCol w:w="1011"/>
        <w:gridCol w:w="1011"/>
        <w:gridCol w:w="1011"/>
        <w:gridCol w:w="1011"/>
      </w:tblGrid>
      <w:tr w:rsidR="00DA2247" w:rsidRPr="009E5B5E" w:rsidTr="005A408B">
        <w:trPr>
          <w:cantSplit/>
          <w:tblHeader/>
        </w:trPr>
        <w:tc>
          <w:tcPr>
            <w:tcW w:w="8875" w:type="dxa"/>
            <w:gridSpan w:val="8"/>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Variables in the Equation</w:t>
            </w:r>
          </w:p>
        </w:tc>
      </w:tr>
      <w:tr w:rsidR="00DA2247" w:rsidRPr="009E5B5E" w:rsidTr="005A408B">
        <w:trPr>
          <w:cantSplit/>
          <w:tblHeader/>
        </w:trPr>
        <w:tc>
          <w:tcPr>
            <w:tcW w:w="28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18"/>
                <w:szCs w:val="18"/>
              </w:rPr>
            </w:pPr>
          </w:p>
        </w:tc>
        <w:tc>
          <w:tcPr>
            <w:tcW w:w="101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B</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S.E.</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Wald</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Exp(B)</w:t>
            </w:r>
          </w:p>
        </w:tc>
      </w:tr>
      <w:tr w:rsidR="00DA2247" w:rsidRPr="009E5B5E" w:rsidTr="005A408B">
        <w:trPr>
          <w:cantSplit/>
          <w:tblHeader/>
        </w:trPr>
        <w:tc>
          <w:tcPr>
            <w:tcW w:w="923"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 1</w:t>
            </w:r>
            <w:r w:rsidRPr="009E5B5E">
              <w:rPr>
                <w:rFonts w:ascii="Arial" w:hAnsi="Arial" w:cs="Arial"/>
                <w:color w:val="000000"/>
                <w:sz w:val="18"/>
                <w:szCs w:val="18"/>
                <w:vertAlign w:val="superscript"/>
              </w:rPr>
              <w:t>a</w:t>
            </w:r>
          </w:p>
        </w:tc>
        <w:tc>
          <w:tcPr>
            <w:tcW w:w="1893"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01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-.004</w:t>
            </w:r>
          </w:p>
        </w:tc>
        <w:tc>
          <w:tcPr>
            <w:tcW w:w="10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.005</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.449</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.503</w:t>
            </w:r>
          </w:p>
        </w:tc>
        <w:tc>
          <w:tcPr>
            <w:tcW w:w="101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.996</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.305</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.326</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.879</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.349</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1.357</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-4.932</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3.978</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1.537</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.215</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.007</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 by LnDT</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.464</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.496</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 by LnINNOV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-.062</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.654</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.009</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.924</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.940</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 by LnINVOL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-3.306</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3.625</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.831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.362</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.037</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Constant</w:t>
            </w:r>
          </w:p>
        </w:tc>
        <w:tc>
          <w:tcPr>
            <w:tcW w:w="101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-2.136</w:t>
            </w:r>
          </w:p>
        </w:tc>
        <w:tc>
          <w:tcPr>
            <w:tcW w:w="1009"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1.086</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3.864</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.049</w:t>
            </w:r>
          </w:p>
        </w:tc>
        <w:tc>
          <w:tcPr>
            <w:tcW w:w="101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.118</w:t>
            </w:r>
          </w:p>
        </w:tc>
      </w:tr>
      <w:tr w:rsidR="00DA2247" w:rsidRPr="009E5B5E" w:rsidTr="005A408B">
        <w:trPr>
          <w:cantSplit/>
        </w:trPr>
        <w:tc>
          <w:tcPr>
            <w:tcW w:w="8875" w:type="dxa"/>
            <w:gridSpan w:val="8"/>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a. Variable(s) entered on step 1: DT, INNOV, INVOL, DT * LnDT , INNOV * LnINNOV , INVOL * LnINVOL.</w:t>
            </w:r>
          </w:p>
        </w:tc>
      </w:tr>
    </w:tbl>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r w:rsidRPr="009E5B5E">
        <w:rPr>
          <w:b/>
          <w:bCs/>
          <w:sz w:val="24"/>
          <w:szCs w:val="24"/>
        </w:rPr>
        <w:t xml:space="preserve">Appendix 9.3: </w:t>
      </w:r>
      <w:r w:rsidRPr="009E5B5E">
        <w:rPr>
          <w:rFonts w:cs="Times New Roman"/>
          <w:b/>
          <w:bCs/>
          <w:sz w:val="24"/>
          <w:szCs w:val="24"/>
        </w:rPr>
        <w:t xml:space="preserve">Logistic regression </w:t>
      </w:r>
      <w:r w:rsidRPr="009E5B5E">
        <w:rPr>
          <w:b/>
          <w:bCs/>
          <w:sz w:val="24"/>
          <w:szCs w:val="24"/>
        </w:rPr>
        <w:t>with all continuous predictors and the interaction terms between each of those predictors and its log transformations on the gender-specific dataset.</w:t>
      </w:r>
    </w:p>
    <w:p w:rsidR="00DA2247" w:rsidRPr="009E5B5E" w:rsidRDefault="00DA2247" w:rsidP="00DA2247">
      <w:pPr>
        <w:autoSpaceDE w:val="0"/>
        <w:autoSpaceDN w:val="0"/>
        <w:adjustRightInd w:val="0"/>
        <w:spacing w:after="0" w:line="240" w:lineRule="auto"/>
        <w:rPr>
          <w:rFonts w:cs="Times New Roman"/>
          <w:sz w:val="24"/>
          <w:szCs w:val="24"/>
        </w:rPr>
      </w:pP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3"/>
        <w:gridCol w:w="1893"/>
        <w:gridCol w:w="1010"/>
        <w:gridCol w:w="1010"/>
        <w:gridCol w:w="1011"/>
        <w:gridCol w:w="1011"/>
        <w:gridCol w:w="1011"/>
        <w:gridCol w:w="1011"/>
      </w:tblGrid>
      <w:tr w:rsidR="00DA2247" w:rsidRPr="009E5B5E" w:rsidTr="005A408B">
        <w:trPr>
          <w:cantSplit/>
          <w:tblHeader/>
        </w:trPr>
        <w:tc>
          <w:tcPr>
            <w:tcW w:w="8875" w:type="dxa"/>
            <w:gridSpan w:val="8"/>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Variables in the Equation</w:t>
            </w:r>
          </w:p>
        </w:tc>
      </w:tr>
      <w:tr w:rsidR="00DA2247" w:rsidRPr="009E5B5E" w:rsidTr="005A408B">
        <w:trPr>
          <w:cantSplit/>
          <w:tblHeader/>
        </w:trPr>
        <w:tc>
          <w:tcPr>
            <w:tcW w:w="281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18"/>
                <w:szCs w:val="18"/>
              </w:rPr>
            </w:pPr>
          </w:p>
        </w:tc>
        <w:tc>
          <w:tcPr>
            <w:tcW w:w="101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B</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S.E.</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Wald</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Exp(B)</w:t>
            </w:r>
          </w:p>
        </w:tc>
      </w:tr>
      <w:tr w:rsidR="00DA2247" w:rsidRPr="009E5B5E" w:rsidTr="005A408B">
        <w:trPr>
          <w:cantSplit/>
          <w:tblHeader/>
        </w:trPr>
        <w:tc>
          <w:tcPr>
            <w:tcW w:w="923"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 1</w:t>
            </w:r>
            <w:r w:rsidRPr="009E5B5E">
              <w:rPr>
                <w:rFonts w:ascii="Arial" w:hAnsi="Arial" w:cs="Arial"/>
                <w:color w:val="000000"/>
                <w:sz w:val="18"/>
                <w:szCs w:val="18"/>
                <w:vertAlign w:val="superscript"/>
              </w:rPr>
              <w:t>a</w:t>
            </w:r>
          </w:p>
        </w:tc>
        <w:tc>
          <w:tcPr>
            <w:tcW w:w="1893"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01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.001</w:t>
            </w:r>
          </w:p>
        </w:tc>
        <w:tc>
          <w:tcPr>
            <w:tcW w:w="10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.007</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.014</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.907</w:t>
            </w:r>
          </w:p>
        </w:tc>
        <w:tc>
          <w:tcPr>
            <w:tcW w:w="101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1.001</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.094</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.456</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.042</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.838</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1.098</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-3.911</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4.709</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.690</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.406</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.020</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 by LnDT</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.014</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.906</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 by LnINNOV</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.073</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.934</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.006</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.938</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1.076</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 by LnINVOL</w:t>
            </w:r>
          </w:p>
        </w:tc>
        <w:tc>
          <w:tcPr>
            <w:tcW w:w="101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-4.916</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4.555</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1.165</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.280</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.007</w:t>
            </w:r>
          </w:p>
        </w:tc>
      </w:tr>
      <w:tr w:rsidR="00DA2247" w:rsidRPr="009E5B5E" w:rsidTr="005A408B">
        <w:trPr>
          <w:cantSplit/>
          <w:tblHeader/>
        </w:trPr>
        <w:tc>
          <w:tcPr>
            <w:tcW w:w="923"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893"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Constant</w:t>
            </w:r>
          </w:p>
        </w:tc>
        <w:tc>
          <w:tcPr>
            <w:tcW w:w="101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-3.175</w:t>
            </w:r>
          </w:p>
        </w:tc>
        <w:tc>
          <w:tcPr>
            <w:tcW w:w="1009"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1.504</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4.453</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101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.035</w:t>
            </w:r>
          </w:p>
        </w:tc>
        <w:tc>
          <w:tcPr>
            <w:tcW w:w="101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.042</w:t>
            </w:r>
          </w:p>
        </w:tc>
      </w:tr>
      <w:tr w:rsidR="00DA2247" w:rsidRPr="009E5B5E" w:rsidTr="005A408B">
        <w:trPr>
          <w:cantSplit/>
        </w:trPr>
        <w:tc>
          <w:tcPr>
            <w:tcW w:w="8875" w:type="dxa"/>
            <w:gridSpan w:val="8"/>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a. Variable(s) entered on step 1: DT, INNOV, INVOL, DT * LnDT , INNOV * LnINNOV , INVOL * LnINVOL .</w:t>
            </w:r>
          </w:p>
        </w:tc>
      </w:tr>
    </w:tbl>
    <w:p w:rsidR="00DA2247" w:rsidRPr="009E5B5E" w:rsidRDefault="00DA2247" w:rsidP="00DA2247">
      <w:pPr>
        <w:rPr>
          <w:rStyle w:val="SubtleEmphasis"/>
          <w:b/>
          <w:bCs/>
          <w:i w:val="0"/>
          <w:iCs w:val="0"/>
          <w:sz w:val="24"/>
          <w:szCs w:val="24"/>
        </w:rPr>
      </w:pPr>
    </w:p>
    <w:p w:rsidR="00DA2247" w:rsidRPr="009E5B5E" w:rsidRDefault="00DA2247" w:rsidP="00DA2247">
      <w:pPr>
        <w:rPr>
          <w:rStyle w:val="SubtleEmphasis"/>
          <w:b/>
          <w:bCs/>
          <w:i w:val="0"/>
          <w:iCs w:val="0"/>
          <w:sz w:val="28"/>
          <w:szCs w:val="28"/>
        </w:rPr>
      </w:pPr>
      <w:r w:rsidRPr="009E5B5E">
        <w:rPr>
          <w:rStyle w:val="SubtleEmphasis"/>
          <w:b/>
          <w:bCs/>
          <w:i w:val="0"/>
          <w:iCs w:val="0"/>
          <w:sz w:val="28"/>
          <w:szCs w:val="28"/>
        </w:rPr>
        <w:t>2. Independence of errors</w:t>
      </w:r>
    </w:p>
    <w:p w:rsidR="00DA2247" w:rsidRPr="009E5B5E" w:rsidRDefault="00DA2247" w:rsidP="00DA2247">
      <w:pPr>
        <w:spacing w:line="360" w:lineRule="auto"/>
        <w:jc w:val="both"/>
        <w:rPr>
          <w:sz w:val="24"/>
          <w:szCs w:val="24"/>
        </w:rPr>
      </w:pPr>
      <w:r w:rsidRPr="009E5B5E">
        <w:rPr>
          <w:sz w:val="24"/>
          <w:szCs w:val="24"/>
        </w:rPr>
        <w:t>The assumption of independent errors states that for any two observations the residual terms should not be correlated. For logistic regression, violation of this assumption leads to the unique problem of overdispersion. In the other words, testing for overdispersion indicates whether independent errors assumption is met in logistic regression. Therefore, this assumption will be handled and discussed in the following overdispersion section.</w:t>
      </w:r>
    </w:p>
    <w:p w:rsidR="00DA2247" w:rsidRPr="009E5B5E" w:rsidRDefault="00DA2247" w:rsidP="00DA2247">
      <w:pPr>
        <w:pStyle w:val="Heading4"/>
        <w:spacing w:line="360" w:lineRule="auto"/>
        <w:jc w:val="both"/>
        <w:rPr>
          <w:rStyle w:val="SubtleEmphasis"/>
          <w:i w:val="0"/>
          <w:iCs w:val="0"/>
          <w:sz w:val="28"/>
          <w:szCs w:val="28"/>
        </w:rPr>
      </w:pPr>
      <w:r w:rsidRPr="009E5B5E">
        <w:rPr>
          <w:rStyle w:val="SubtleEmphasis"/>
          <w:i w:val="0"/>
          <w:iCs w:val="0"/>
          <w:sz w:val="28"/>
          <w:szCs w:val="28"/>
        </w:rPr>
        <w:lastRenderedPageBreak/>
        <w:t>3. Multicollinearity</w:t>
      </w:r>
    </w:p>
    <w:p w:rsidR="00DA2247" w:rsidRPr="009E5B5E" w:rsidRDefault="00DA2247" w:rsidP="00DA2247">
      <w:pPr>
        <w:spacing w:line="360" w:lineRule="auto"/>
        <w:jc w:val="both"/>
        <w:rPr>
          <w:sz w:val="24"/>
          <w:szCs w:val="24"/>
        </w:rPr>
      </w:pPr>
      <w:r w:rsidRPr="009E5B5E">
        <w:rPr>
          <w:sz w:val="24"/>
          <w:szCs w:val="24"/>
        </w:rPr>
        <w:t xml:space="preserve">Even though multicollinearity is literally an assumption for logistic regression, violating it would create problem as it does in ordinary regression. In the other words, it is essential that independent variables in logit model are not too highly correlated. For logistic regression, multicollinearity is tested by operating a linear regression analysis using outcome and all predictor variables in the logit model, and obtaining statistic values namely </w:t>
      </w:r>
      <w:r w:rsidRPr="009E5B5E">
        <w:rPr>
          <w:b/>
          <w:bCs/>
          <w:sz w:val="24"/>
          <w:szCs w:val="24"/>
        </w:rPr>
        <w:t>tolerance</w:t>
      </w:r>
      <w:r w:rsidRPr="009E5B5E">
        <w:rPr>
          <w:sz w:val="24"/>
          <w:szCs w:val="24"/>
        </w:rPr>
        <w:t xml:space="preserve"> and </w:t>
      </w:r>
      <w:r w:rsidRPr="009E5B5E">
        <w:rPr>
          <w:b/>
          <w:bCs/>
          <w:sz w:val="24"/>
          <w:szCs w:val="24"/>
        </w:rPr>
        <w:t>Variance Inflation Factors</w:t>
      </w:r>
      <w:r w:rsidRPr="009E5B5E">
        <w:rPr>
          <w:sz w:val="24"/>
          <w:szCs w:val="24"/>
        </w:rPr>
        <w:t xml:space="preserve"> </w:t>
      </w:r>
      <w:r w:rsidRPr="009E5B5E">
        <w:rPr>
          <w:b/>
          <w:bCs/>
          <w:sz w:val="24"/>
          <w:szCs w:val="24"/>
        </w:rPr>
        <w:t>(VIF)</w:t>
      </w:r>
      <w:r w:rsidRPr="009E5B5E">
        <w:rPr>
          <w:sz w:val="24"/>
          <w:szCs w:val="24"/>
        </w:rPr>
        <w:t xml:space="preserve">.  </w:t>
      </w:r>
    </w:p>
    <w:p w:rsidR="00DA2247" w:rsidRPr="009E5B5E" w:rsidRDefault="00DA2247" w:rsidP="00DA2247">
      <w:pPr>
        <w:spacing w:line="360" w:lineRule="auto"/>
        <w:jc w:val="both"/>
        <w:rPr>
          <w:sz w:val="24"/>
          <w:szCs w:val="24"/>
        </w:rPr>
      </w:pPr>
      <w:r w:rsidRPr="009E5B5E">
        <w:rPr>
          <w:sz w:val="24"/>
          <w:szCs w:val="24"/>
        </w:rPr>
        <w:t>These statistics enable a researcher to diagnose collinearity among independent variables in logit model. The three following criteria are used for assessing whether the predictors are highly correlated.</w:t>
      </w:r>
    </w:p>
    <w:p w:rsidR="00DA2247" w:rsidRPr="009E5B5E" w:rsidRDefault="00DA2247" w:rsidP="00DA2247">
      <w:pPr>
        <w:pStyle w:val="ListParagraph"/>
        <w:numPr>
          <w:ilvl w:val="0"/>
          <w:numId w:val="14"/>
        </w:numPr>
        <w:spacing w:line="360" w:lineRule="auto"/>
        <w:jc w:val="both"/>
        <w:rPr>
          <w:sz w:val="24"/>
          <w:szCs w:val="24"/>
        </w:rPr>
      </w:pPr>
      <w:r w:rsidRPr="009E5B5E">
        <w:rPr>
          <w:sz w:val="24"/>
          <w:szCs w:val="24"/>
        </w:rPr>
        <w:t>Tolerance value smaller 0.2 indicates potential collinearity problem, and a value smaller than 0.1 indicates a serious issue (Menard 1995).</w:t>
      </w:r>
    </w:p>
    <w:p w:rsidR="00DA2247" w:rsidRPr="009E5B5E" w:rsidRDefault="00DA2247" w:rsidP="00DA2247">
      <w:pPr>
        <w:pStyle w:val="ListParagraph"/>
        <w:numPr>
          <w:ilvl w:val="0"/>
          <w:numId w:val="14"/>
        </w:numPr>
        <w:spacing w:line="360" w:lineRule="auto"/>
        <w:jc w:val="both"/>
        <w:rPr>
          <w:sz w:val="24"/>
          <w:szCs w:val="24"/>
        </w:rPr>
      </w:pPr>
      <w:r w:rsidRPr="009E5B5E">
        <w:rPr>
          <w:sz w:val="24"/>
          <w:szCs w:val="24"/>
        </w:rPr>
        <w:t>VIF value larger than 10 indicates potential collinearity issue (Bowerman and O’Connell 1990; Myers 1990).</w:t>
      </w:r>
    </w:p>
    <w:p w:rsidR="00DA2247" w:rsidRPr="009E5B5E" w:rsidRDefault="00DA2247" w:rsidP="00DA2247">
      <w:pPr>
        <w:pStyle w:val="ListParagraph"/>
        <w:numPr>
          <w:ilvl w:val="0"/>
          <w:numId w:val="14"/>
        </w:numPr>
        <w:spacing w:line="360" w:lineRule="auto"/>
        <w:jc w:val="both"/>
        <w:rPr>
          <w:sz w:val="24"/>
          <w:szCs w:val="24"/>
        </w:rPr>
      </w:pPr>
      <w:r w:rsidRPr="009E5B5E">
        <w:rPr>
          <w:sz w:val="24"/>
          <w:szCs w:val="24"/>
        </w:rPr>
        <w:t>Average VIF value larger than one, the regression analysis may be biased (Bowerman and O’Connell 1990).</w:t>
      </w:r>
    </w:p>
    <w:p w:rsidR="00DA2247" w:rsidRPr="009E5B5E" w:rsidRDefault="00DA2247" w:rsidP="00DA2247">
      <w:pPr>
        <w:spacing w:line="360" w:lineRule="auto"/>
        <w:jc w:val="both"/>
        <w:rPr>
          <w:sz w:val="24"/>
          <w:szCs w:val="24"/>
        </w:rPr>
      </w:pPr>
      <w:r w:rsidRPr="009E5B5E">
        <w:rPr>
          <w:sz w:val="24"/>
          <w:szCs w:val="24"/>
        </w:rPr>
        <w:t xml:space="preserve">In this study, the multicollinearity assumption is not violated in all three datasets and therefore all logit models, according to the rules of thumb described above.  As displayed in appendix 9.4, 9.5, and 9.6, all tolerance values are larger than 0.2, and all VIF values are below 10.  Although the average VIF value is large than 1 for each analysis indicating a potential biased regression analysis, there is no need to concern this problem as all VIF values are greater than one, and thus there is no variable that causes this average value. </w:t>
      </w:r>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sz w:val="24"/>
          <w:szCs w:val="24"/>
        </w:rPr>
      </w:pPr>
    </w:p>
    <w:p w:rsidR="00DA2247" w:rsidRPr="009E5B5E" w:rsidRDefault="00DA2247" w:rsidP="00DA2247">
      <w:pPr>
        <w:spacing w:line="360" w:lineRule="auto"/>
        <w:jc w:val="both"/>
        <w:rPr>
          <w:b/>
          <w:bCs/>
          <w:sz w:val="24"/>
          <w:szCs w:val="24"/>
        </w:rPr>
      </w:pPr>
      <w:r w:rsidRPr="009E5B5E">
        <w:rPr>
          <w:b/>
          <w:bCs/>
          <w:sz w:val="24"/>
          <w:szCs w:val="24"/>
        </w:rPr>
        <w:lastRenderedPageBreak/>
        <w:t>Appendix 9.4: Tolerance and VIF values - Original dataset</w:t>
      </w:r>
    </w:p>
    <w:tbl>
      <w:tblPr>
        <w:tblW w:w="3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69"/>
        <w:gridCol w:w="1125"/>
        <w:gridCol w:w="1012"/>
      </w:tblGrid>
      <w:tr w:rsidR="00DA2247" w:rsidRPr="009E5B5E" w:rsidTr="005A408B">
        <w:trPr>
          <w:cantSplit/>
          <w:tblHeader/>
        </w:trPr>
        <w:tc>
          <w:tcPr>
            <w:tcW w:w="3832"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Coefficients</w:t>
            </w:r>
            <w:r w:rsidRPr="009E5B5E">
              <w:rPr>
                <w:rFonts w:ascii="Arial" w:hAnsi="Arial" w:cs="Arial"/>
                <w:b/>
                <w:bCs/>
                <w:color w:val="000000"/>
                <w:sz w:val="18"/>
                <w:szCs w:val="18"/>
                <w:vertAlign w:val="superscript"/>
              </w:rPr>
              <w:t>a</w:t>
            </w:r>
          </w:p>
        </w:tc>
      </w:tr>
      <w:tr w:rsidR="00DA2247" w:rsidRPr="009E5B5E" w:rsidTr="005A408B">
        <w:trPr>
          <w:cantSplit/>
          <w:tblHeader/>
        </w:trPr>
        <w:tc>
          <w:tcPr>
            <w:tcW w:w="16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2137" w:type="dxa"/>
            <w:gridSpan w:val="2"/>
            <w:tcBorders>
              <w:top w:val="single" w:sz="16" w:space="0" w:color="000000"/>
              <w:left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Collinearity Statistics</w:t>
            </w:r>
          </w:p>
        </w:tc>
      </w:tr>
      <w:tr w:rsidR="00DA2247" w:rsidRPr="009E5B5E" w:rsidTr="005A408B">
        <w:trPr>
          <w:cantSplit/>
          <w:tblHeader/>
        </w:trPr>
        <w:tc>
          <w:tcPr>
            <w:tcW w:w="16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125" w:type="dxa"/>
            <w:tcBorders>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Tolerance</w:t>
            </w:r>
          </w:p>
        </w:tc>
        <w:tc>
          <w:tcPr>
            <w:tcW w:w="1012" w:type="dxa"/>
            <w:tcBorders>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VIF</w:t>
            </w:r>
          </w:p>
        </w:tc>
      </w:tr>
      <w:tr w:rsidR="00DA2247" w:rsidRPr="009E5B5E" w:rsidTr="005A408B">
        <w:trPr>
          <w:cantSplit/>
          <w:tblHeader/>
        </w:trPr>
        <w:tc>
          <w:tcPr>
            <w:tcW w:w="726"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969"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SALE</w:t>
            </w:r>
          </w:p>
        </w:tc>
        <w:tc>
          <w:tcPr>
            <w:tcW w:w="1125"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.929</w:t>
            </w:r>
          </w:p>
        </w:tc>
        <w:tc>
          <w:tcPr>
            <w:tcW w:w="1012"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1.076</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DIS</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.876</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1.141</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RELOC</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.951</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1.052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FRIEND</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.998</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.636</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1.572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EC</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.978</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1.023</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NA</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.897</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1.115</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.782</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1.279</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.671</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1.491</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A  </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.796</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1.256</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B  </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.505</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1.982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C </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.625</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1.601</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D </w:t>
            </w:r>
          </w:p>
        </w:tc>
        <w:tc>
          <w:tcPr>
            <w:tcW w:w="1125"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.639</w:t>
            </w:r>
          </w:p>
        </w:tc>
        <w:tc>
          <w:tcPr>
            <w:tcW w:w="1012"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1.565</w:t>
            </w:r>
          </w:p>
        </w:tc>
      </w:tr>
      <w:tr w:rsidR="00DA2247" w:rsidRPr="009E5B5E" w:rsidTr="005A408B">
        <w:trPr>
          <w:cantSplit/>
        </w:trPr>
        <w:tc>
          <w:tcPr>
            <w:tcW w:w="3832" w:type="dxa"/>
            <w:gridSpan w:val="4"/>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a. Dependent Variable:   BUY  </w:t>
            </w:r>
          </w:p>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p>
        </w:tc>
      </w:tr>
    </w:tbl>
    <w:p w:rsidR="00DA2247" w:rsidRPr="009E5B5E" w:rsidRDefault="00DA2247" w:rsidP="00DA2247">
      <w:pPr>
        <w:spacing w:line="360" w:lineRule="auto"/>
        <w:jc w:val="both"/>
        <w:rPr>
          <w:b/>
          <w:bCs/>
          <w:sz w:val="24"/>
          <w:szCs w:val="24"/>
        </w:rPr>
      </w:pPr>
      <w:r w:rsidRPr="009E5B5E">
        <w:rPr>
          <w:b/>
          <w:bCs/>
          <w:sz w:val="24"/>
          <w:szCs w:val="24"/>
        </w:rPr>
        <w:t>Appendix 9.5: Tolerance and VIF values - Reduced dataset</w:t>
      </w:r>
    </w:p>
    <w:tbl>
      <w:tblPr>
        <w:tblW w:w="3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69"/>
        <w:gridCol w:w="1125"/>
        <w:gridCol w:w="1012"/>
      </w:tblGrid>
      <w:tr w:rsidR="00DA2247" w:rsidRPr="009E5B5E" w:rsidTr="005A408B">
        <w:trPr>
          <w:cantSplit/>
          <w:tblHeader/>
        </w:trPr>
        <w:tc>
          <w:tcPr>
            <w:tcW w:w="3832"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Coefficients</w:t>
            </w:r>
            <w:r w:rsidRPr="009E5B5E">
              <w:rPr>
                <w:rFonts w:ascii="Arial" w:hAnsi="Arial" w:cs="Arial"/>
                <w:b/>
                <w:bCs/>
                <w:color w:val="000000"/>
                <w:sz w:val="18"/>
                <w:szCs w:val="18"/>
                <w:vertAlign w:val="superscript"/>
              </w:rPr>
              <w:t>a</w:t>
            </w:r>
          </w:p>
        </w:tc>
      </w:tr>
      <w:tr w:rsidR="00DA2247" w:rsidRPr="009E5B5E" w:rsidTr="005A408B">
        <w:trPr>
          <w:cantSplit/>
          <w:tblHeader/>
        </w:trPr>
        <w:tc>
          <w:tcPr>
            <w:tcW w:w="169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2137" w:type="dxa"/>
            <w:gridSpan w:val="2"/>
            <w:tcBorders>
              <w:top w:val="single" w:sz="16" w:space="0" w:color="000000"/>
              <w:left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Collinearity Statistics</w:t>
            </w:r>
          </w:p>
        </w:tc>
      </w:tr>
      <w:tr w:rsidR="00DA2247" w:rsidRPr="009E5B5E" w:rsidTr="005A408B">
        <w:trPr>
          <w:cantSplit/>
          <w:tblHeader/>
        </w:trPr>
        <w:tc>
          <w:tcPr>
            <w:tcW w:w="169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125" w:type="dxa"/>
            <w:tcBorders>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Tolerance</w:t>
            </w:r>
          </w:p>
        </w:tc>
        <w:tc>
          <w:tcPr>
            <w:tcW w:w="1012" w:type="dxa"/>
            <w:tcBorders>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VIF</w:t>
            </w:r>
          </w:p>
        </w:tc>
      </w:tr>
      <w:tr w:rsidR="00DA2247" w:rsidRPr="009E5B5E" w:rsidTr="005A408B">
        <w:trPr>
          <w:cantSplit/>
          <w:tblHeader/>
        </w:trPr>
        <w:tc>
          <w:tcPr>
            <w:tcW w:w="726"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969"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SALE</w:t>
            </w:r>
          </w:p>
        </w:tc>
        <w:tc>
          <w:tcPr>
            <w:tcW w:w="1125"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.926</w:t>
            </w:r>
          </w:p>
        </w:tc>
        <w:tc>
          <w:tcPr>
            <w:tcW w:w="1012"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1.080</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DIS</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.874</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1.144</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RELOC</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.950</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1.052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FRIEND</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.998</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.640</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1.562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EC</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.977</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1.024</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NA</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.894</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1.119</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.769</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1.300</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.664</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1.505</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A  </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.788</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1.268</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B  </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.500</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2.002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C </w:t>
            </w:r>
          </w:p>
        </w:tc>
        <w:tc>
          <w:tcPr>
            <w:tcW w:w="1125"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.609</w:t>
            </w:r>
          </w:p>
        </w:tc>
        <w:tc>
          <w:tcPr>
            <w:tcW w:w="101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1.642</w:t>
            </w:r>
          </w:p>
        </w:tc>
      </w:tr>
      <w:tr w:rsidR="00DA2247" w:rsidRPr="009E5B5E" w:rsidTr="005A408B">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969"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 D </w:t>
            </w:r>
          </w:p>
        </w:tc>
        <w:tc>
          <w:tcPr>
            <w:tcW w:w="1125"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.622</w:t>
            </w:r>
          </w:p>
        </w:tc>
        <w:tc>
          <w:tcPr>
            <w:tcW w:w="1012"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1.608</w:t>
            </w:r>
          </w:p>
        </w:tc>
      </w:tr>
      <w:tr w:rsidR="00DA2247" w:rsidRPr="009E5B5E" w:rsidTr="005A408B">
        <w:trPr>
          <w:cantSplit/>
        </w:trPr>
        <w:tc>
          <w:tcPr>
            <w:tcW w:w="3832" w:type="dxa"/>
            <w:gridSpan w:val="4"/>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p>
        </w:tc>
      </w:tr>
    </w:tbl>
    <w:p w:rsidR="00DA2247" w:rsidRPr="009E5B5E" w:rsidRDefault="00DA2247" w:rsidP="00DA2247">
      <w:pPr>
        <w:spacing w:line="360" w:lineRule="auto"/>
        <w:jc w:val="both"/>
        <w:rPr>
          <w:b/>
          <w:bCs/>
          <w:sz w:val="24"/>
          <w:szCs w:val="24"/>
        </w:rPr>
      </w:pPr>
      <w:r w:rsidRPr="009E5B5E">
        <w:rPr>
          <w:b/>
          <w:bCs/>
          <w:sz w:val="24"/>
          <w:szCs w:val="24"/>
        </w:rPr>
        <w:lastRenderedPageBreak/>
        <w:t>Appendix 9.6: Tolerance and VIF values - Gender specific dataset</w:t>
      </w:r>
    </w:p>
    <w:tbl>
      <w:tblPr>
        <w:tblW w:w="3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4"/>
        <w:gridCol w:w="1044"/>
        <w:gridCol w:w="1091"/>
        <w:gridCol w:w="982"/>
      </w:tblGrid>
      <w:tr w:rsidR="00DA2247" w:rsidRPr="009E5B5E" w:rsidTr="005A408B">
        <w:trPr>
          <w:cantSplit/>
          <w:trHeight w:val="343"/>
          <w:tblHeader/>
        </w:trPr>
        <w:tc>
          <w:tcPr>
            <w:tcW w:w="3820"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Coefficients</w:t>
            </w:r>
            <w:r w:rsidRPr="009E5B5E">
              <w:rPr>
                <w:rFonts w:ascii="Arial" w:hAnsi="Arial" w:cs="Arial"/>
                <w:b/>
                <w:bCs/>
                <w:color w:val="000000"/>
                <w:sz w:val="18"/>
                <w:szCs w:val="18"/>
                <w:vertAlign w:val="superscript"/>
              </w:rPr>
              <w:t>a</w:t>
            </w:r>
          </w:p>
        </w:tc>
      </w:tr>
      <w:tr w:rsidR="00DA2247" w:rsidRPr="009E5B5E" w:rsidTr="005A408B">
        <w:trPr>
          <w:cantSplit/>
          <w:trHeight w:val="343"/>
          <w:tblHeader/>
        </w:trPr>
        <w:tc>
          <w:tcPr>
            <w:tcW w:w="174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2073" w:type="dxa"/>
            <w:gridSpan w:val="2"/>
            <w:tcBorders>
              <w:top w:val="single" w:sz="16" w:space="0" w:color="000000"/>
              <w:left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Collinearity Statistics</w:t>
            </w:r>
          </w:p>
        </w:tc>
      </w:tr>
      <w:tr w:rsidR="00DA2247" w:rsidRPr="009E5B5E" w:rsidTr="005A408B">
        <w:trPr>
          <w:cantSplit/>
          <w:trHeight w:val="154"/>
          <w:tblHeader/>
        </w:trPr>
        <w:tc>
          <w:tcPr>
            <w:tcW w:w="174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91" w:type="dxa"/>
            <w:tcBorders>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Tolerance</w:t>
            </w:r>
          </w:p>
        </w:tc>
        <w:tc>
          <w:tcPr>
            <w:tcW w:w="982" w:type="dxa"/>
            <w:tcBorders>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VIF</w:t>
            </w:r>
          </w:p>
        </w:tc>
      </w:tr>
      <w:tr w:rsidR="00DA2247" w:rsidRPr="009E5B5E" w:rsidTr="005A408B">
        <w:trPr>
          <w:cantSplit/>
          <w:trHeight w:val="343"/>
          <w:tblHeader/>
        </w:trPr>
        <w:tc>
          <w:tcPr>
            <w:tcW w:w="704"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1043"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InStMkt</w:t>
            </w:r>
          </w:p>
        </w:tc>
        <w:tc>
          <w:tcPr>
            <w:tcW w:w="1091"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.895</w:t>
            </w:r>
          </w:p>
        </w:tc>
        <w:tc>
          <w:tcPr>
            <w:tcW w:w="982"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1.117</w:t>
            </w:r>
          </w:p>
        </w:tc>
      </w:tr>
      <w:tr w:rsidR="00DA2247" w:rsidRPr="009E5B5E" w:rsidTr="005A408B">
        <w:trPr>
          <w:cantSplit/>
          <w:trHeight w:val="154"/>
          <w:tblHeader/>
        </w:trPr>
        <w:tc>
          <w:tcPr>
            <w:tcW w:w="70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4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FRIEND</w:t>
            </w:r>
          </w:p>
        </w:tc>
        <w:tc>
          <w:tcPr>
            <w:tcW w:w="109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.997</w:t>
            </w:r>
          </w:p>
        </w:tc>
        <w:tc>
          <w:tcPr>
            <w:tcW w:w="98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1.003</w:t>
            </w:r>
          </w:p>
        </w:tc>
      </w:tr>
      <w:tr w:rsidR="00DA2247" w:rsidRPr="009E5B5E" w:rsidTr="005A408B">
        <w:trPr>
          <w:cantSplit/>
          <w:trHeight w:val="154"/>
          <w:tblHeader/>
        </w:trPr>
        <w:tc>
          <w:tcPr>
            <w:tcW w:w="70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4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DT</w:t>
            </w:r>
          </w:p>
        </w:tc>
        <w:tc>
          <w:tcPr>
            <w:tcW w:w="109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.556</w:t>
            </w:r>
          </w:p>
        </w:tc>
        <w:tc>
          <w:tcPr>
            <w:tcW w:w="98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1.798</w:t>
            </w:r>
          </w:p>
        </w:tc>
      </w:tr>
      <w:tr w:rsidR="00DA2247" w:rsidRPr="009E5B5E" w:rsidTr="005A408B">
        <w:trPr>
          <w:cantSplit/>
          <w:trHeight w:val="154"/>
          <w:tblHeader/>
        </w:trPr>
        <w:tc>
          <w:tcPr>
            <w:tcW w:w="70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4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EC</w:t>
            </w:r>
          </w:p>
        </w:tc>
        <w:tc>
          <w:tcPr>
            <w:tcW w:w="109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.999</w:t>
            </w:r>
          </w:p>
        </w:tc>
        <w:tc>
          <w:tcPr>
            <w:tcW w:w="98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1.001</w:t>
            </w:r>
          </w:p>
        </w:tc>
      </w:tr>
      <w:tr w:rsidR="00DA2247" w:rsidRPr="009E5B5E" w:rsidTr="005A408B">
        <w:trPr>
          <w:cantSplit/>
          <w:trHeight w:val="154"/>
          <w:tblHeader/>
        </w:trPr>
        <w:tc>
          <w:tcPr>
            <w:tcW w:w="70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4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NA</w:t>
            </w:r>
          </w:p>
        </w:tc>
        <w:tc>
          <w:tcPr>
            <w:tcW w:w="109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.929</w:t>
            </w:r>
          </w:p>
        </w:tc>
        <w:tc>
          <w:tcPr>
            <w:tcW w:w="98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1.076</w:t>
            </w:r>
          </w:p>
        </w:tc>
      </w:tr>
      <w:tr w:rsidR="00DA2247" w:rsidRPr="009E5B5E" w:rsidTr="005A408B">
        <w:trPr>
          <w:cantSplit/>
          <w:trHeight w:val="154"/>
          <w:tblHeader/>
        </w:trPr>
        <w:tc>
          <w:tcPr>
            <w:tcW w:w="70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4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INNOV</w:t>
            </w:r>
          </w:p>
        </w:tc>
        <w:tc>
          <w:tcPr>
            <w:tcW w:w="109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.596</w:t>
            </w:r>
          </w:p>
        </w:tc>
        <w:tc>
          <w:tcPr>
            <w:tcW w:w="98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1.677</w:t>
            </w:r>
          </w:p>
        </w:tc>
      </w:tr>
      <w:tr w:rsidR="00DA2247" w:rsidRPr="009E5B5E" w:rsidTr="005A408B">
        <w:trPr>
          <w:cantSplit/>
          <w:trHeight w:val="154"/>
          <w:tblHeader/>
        </w:trPr>
        <w:tc>
          <w:tcPr>
            <w:tcW w:w="70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43"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INVOL</w:t>
            </w:r>
          </w:p>
        </w:tc>
        <w:tc>
          <w:tcPr>
            <w:tcW w:w="109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.898</w:t>
            </w:r>
          </w:p>
        </w:tc>
        <w:tc>
          <w:tcPr>
            <w:tcW w:w="98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1.113</w:t>
            </w:r>
          </w:p>
        </w:tc>
      </w:tr>
      <w:tr w:rsidR="00DA2247" w:rsidRPr="009E5B5E" w:rsidTr="005A408B">
        <w:trPr>
          <w:cantSplit/>
          <w:trHeight w:val="154"/>
          <w:tblHeader/>
        </w:trPr>
        <w:tc>
          <w:tcPr>
            <w:tcW w:w="70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43"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GENDER</w:t>
            </w:r>
          </w:p>
        </w:tc>
        <w:tc>
          <w:tcPr>
            <w:tcW w:w="1091"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.998</w:t>
            </w:r>
          </w:p>
        </w:tc>
        <w:tc>
          <w:tcPr>
            <w:tcW w:w="982"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1.002</w:t>
            </w:r>
          </w:p>
        </w:tc>
      </w:tr>
      <w:tr w:rsidR="00DA2247" w:rsidRPr="009E5B5E" w:rsidTr="005A408B">
        <w:trPr>
          <w:cantSplit/>
          <w:trHeight w:val="322"/>
        </w:trPr>
        <w:tc>
          <w:tcPr>
            <w:tcW w:w="3820" w:type="dxa"/>
            <w:gridSpan w:val="4"/>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a. Dependent Variable:   BUY  </w:t>
            </w:r>
          </w:p>
        </w:tc>
      </w:tr>
    </w:tbl>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r w:rsidRPr="009E5B5E">
        <w:rPr>
          <w:sz w:val="24"/>
          <w:szCs w:val="24"/>
        </w:rPr>
        <w:t xml:space="preserve">Finally, analysis of the </w:t>
      </w:r>
      <w:r w:rsidRPr="009E5B5E">
        <w:rPr>
          <w:b/>
          <w:bCs/>
          <w:sz w:val="24"/>
          <w:szCs w:val="24"/>
        </w:rPr>
        <w:t>variance proportions</w:t>
      </w:r>
      <w:r w:rsidRPr="009E5B5E">
        <w:rPr>
          <w:sz w:val="24"/>
          <w:szCs w:val="24"/>
        </w:rPr>
        <w:t xml:space="preserve"> also indicates the problem of multicollinearity. Any predictors that have high proportions on the same small </w:t>
      </w:r>
      <w:r w:rsidRPr="009E5B5E">
        <w:rPr>
          <w:b/>
          <w:bCs/>
          <w:sz w:val="24"/>
          <w:szCs w:val="24"/>
        </w:rPr>
        <w:t>eigenvalue</w:t>
      </w:r>
      <w:r w:rsidRPr="009E5B5E">
        <w:rPr>
          <w:sz w:val="24"/>
          <w:szCs w:val="24"/>
        </w:rPr>
        <w:t xml:space="preserve"> (the bottom few rows of the table) obviously indicate dependency between those predictors. As displayed in the table 9.7, 9.8, and 9.9, the results showed that dependency between predictor variables did not seems to be the case for all three analysis. Thus, no multicollinearity has been violated in this study.  </w:t>
      </w: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p>
    <w:p w:rsidR="00DA2247" w:rsidRPr="009E5B5E" w:rsidRDefault="00DA2247" w:rsidP="00DA2247">
      <w:pPr>
        <w:autoSpaceDE w:val="0"/>
        <w:autoSpaceDN w:val="0"/>
        <w:adjustRightInd w:val="0"/>
        <w:spacing w:after="0" w:line="400" w:lineRule="atLeast"/>
        <w:jc w:val="both"/>
        <w:rPr>
          <w:rFonts w:cs="Times New Roman"/>
          <w:sz w:val="24"/>
          <w:szCs w:val="24"/>
        </w:rPr>
      </w:pPr>
      <w:r w:rsidRPr="009E5B5E">
        <w:rPr>
          <w:rFonts w:cs="Times New Roman"/>
          <w:b/>
          <w:bCs/>
          <w:sz w:val="24"/>
          <w:szCs w:val="24"/>
        </w:rPr>
        <w:lastRenderedPageBreak/>
        <w:t>Appendix 9.7:  Variance proportions- General model applied to original</w:t>
      </w:r>
      <w:r w:rsidRPr="009E5B5E">
        <w:rPr>
          <w:rFonts w:cs="Times New Roman"/>
          <w:sz w:val="24"/>
          <w:szCs w:val="24"/>
        </w:rPr>
        <w:t xml:space="preserve"> </w:t>
      </w:r>
      <w:r w:rsidRPr="009E5B5E">
        <w:rPr>
          <w:rFonts w:cs="Times New Roman"/>
          <w:b/>
          <w:bCs/>
          <w:sz w:val="24"/>
          <w:szCs w:val="24"/>
        </w:rPr>
        <w:t>dataset</w:t>
      </w:r>
    </w:p>
    <w:p w:rsidR="00DA2247" w:rsidRPr="009E5B5E" w:rsidRDefault="00DA2247" w:rsidP="00DA2247">
      <w:pPr>
        <w:autoSpaceDE w:val="0"/>
        <w:autoSpaceDN w:val="0"/>
        <w:adjustRightInd w:val="0"/>
        <w:spacing w:after="0" w:line="240" w:lineRule="auto"/>
        <w:rPr>
          <w:rFonts w:cs="Times New Roman"/>
          <w:sz w:val="24"/>
          <w:szCs w:val="24"/>
        </w:rPr>
      </w:pPr>
    </w:p>
    <w:tbl>
      <w:tblPr>
        <w:tblW w:w="98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0"/>
        <w:gridCol w:w="630"/>
        <w:gridCol w:w="630"/>
        <w:gridCol w:w="753"/>
        <w:gridCol w:w="606"/>
        <w:gridCol w:w="525"/>
        <w:gridCol w:w="523"/>
        <w:gridCol w:w="523"/>
        <w:gridCol w:w="523"/>
        <w:gridCol w:w="523"/>
        <w:gridCol w:w="326"/>
        <w:gridCol w:w="197"/>
        <w:gridCol w:w="523"/>
        <w:gridCol w:w="523"/>
        <w:gridCol w:w="523"/>
        <w:gridCol w:w="523"/>
        <w:gridCol w:w="523"/>
        <w:gridCol w:w="523"/>
        <w:gridCol w:w="530"/>
      </w:tblGrid>
      <w:tr w:rsidR="00DA2247" w:rsidRPr="009E5B5E" w:rsidTr="005A408B">
        <w:trPr>
          <w:cantSplit/>
          <w:trHeight w:val="335"/>
          <w:tblHeader/>
        </w:trPr>
        <w:tc>
          <w:tcPr>
            <w:tcW w:w="9837" w:type="dxa"/>
            <w:gridSpan w:val="19"/>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Collinearity Diagnostics</w:t>
            </w:r>
            <w:r w:rsidRPr="009E5B5E">
              <w:rPr>
                <w:rFonts w:ascii="Arial" w:hAnsi="Arial" w:cs="Arial"/>
                <w:b/>
                <w:bCs/>
                <w:color w:val="000000"/>
                <w:sz w:val="18"/>
                <w:szCs w:val="18"/>
                <w:vertAlign w:val="superscript"/>
              </w:rPr>
              <w:t>a</w:t>
            </w:r>
          </w:p>
        </w:tc>
      </w:tr>
      <w:tr w:rsidR="00DA2247" w:rsidRPr="009E5B5E" w:rsidTr="005A408B">
        <w:trPr>
          <w:cantSplit/>
          <w:trHeight w:val="377"/>
          <w:tblHeader/>
        </w:trPr>
        <w:tc>
          <w:tcPr>
            <w:tcW w:w="410" w:type="dxa"/>
            <w:vMerge w:val="restart"/>
            <w:tcBorders>
              <w:top w:val="single" w:sz="16" w:space="0" w:color="000000"/>
              <w:left w:val="single" w:sz="16" w:space="0" w:color="000000"/>
              <w:bottom w:val="single" w:sz="16" w:space="0" w:color="000000"/>
              <w:right w:val="nil"/>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630" w:type="dxa"/>
            <w:vMerge w:val="restart"/>
            <w:tcBorders>
              <w:top w:val="single" w:sz="16" w:space="0" w:color="000000"/>
              <w:left w:val="nil"/>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Dimension</w:t>
            </w:r>
          </w:p>
        </w:tc>
        <w:tc>
          <w:tcPr>
            <w:tcW w:w="630" w:type="dxa"/>
            <w:vMerge w:val="restart"/>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Eigenvalue</w:t>
            </w:r>
          </w:p>
        </w:tc>
        <w:tc>
          <w:tcPr>
            <w:tcW w:w="753"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Condition Index</w:t>
            </w:r>
          </w:p>
        </w:tc>
        <w:tc>
          <w:tcPr>
            <w:tcW w:w="7414" w:type="dxa"/>
            <w:gridSpan w:val="15"/>
            <w:tcBorders>
              <w:top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Variance Proportions</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vMerge/>
            <w:tcBorders>
              <w:top w:val="single" w:sz="16" w:space="0" w:color="000000"/>
              <w:left w:val="nil"/>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vMerge/>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53"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06"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(Constant)</w:t>
            </w:r>
          </w:p>
        </w:tc>
        <w:tc>
          <w:tcPr>
            <w:tcW w:w="52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SALE</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DIS</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RELOC</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FRIEND</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DT</w:t>
            </w:r>
          </w:p>
        </w:tc>
        <w:tc>
          <w:tcPr>
            <w:tcW w:w="523" w:type="dxa"/>
            <w:gridSpan w:val="2"/>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EC</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NA</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INNOV</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INVOL</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A  </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B  </w:t>
            </w:r>
          </w:p>
        </w:tc>
        <w:tc>
          <w:tcPr>
            <w:tcW w:w="52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C </w:t>
            </w:r>
          </w:p>
        </w:tc>
        <w:tc>
          <w:tcPr>
            <w:tcW w:w="530" w:type="dxa"/>
            <w:tcBorders>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D </w:t>
            </w:r>
          </w:p>
        </w:tc>
      </w:tr>
      <w:tr w:rsidR="00DA2247" w:rsidRPr="009E5B5E" w:rsidTr="005A408B">
        <w:trPr>
          <w:cantSplit/>
          <w:trHeight w:val="335"/>
          <w:tblHeader/>
        </w:trPr>
        <w:tc>
          <w:tcPr>
            <w:tcW w:w="410"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630"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63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8.446</w:t>
            </w:r>
          </w:p>
        </w:tc>
        <w:tc>
          <w:tcPr>
            <w:tcW w:w="75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w:t>
            </w:r>
          </w:p>
        </w:tc>
        <w:tc>
          <w:tcPr>
            <w:tcW w:w="606"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gridSpan w:val="2"/>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3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2</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1.149</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2.711</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3</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.786</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3.277</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.26</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4</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.667</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3.558</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.33</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5</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.626</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3.674</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.39</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6</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.585</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3.798</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.39</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.78</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7</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.449</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4.337</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.33</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.19</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8</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.315</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5.175</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.67</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.19</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9</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.258</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5.717</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.26</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10</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.245</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5.874</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.17</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.23</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.18</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.28</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11</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.214</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6.285</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.45</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.18</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12</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.143</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7.679</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.64</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.17</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.42</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13</w:t>
            </w:r>
          </w:p>
        </w:tc>
        <w:tc>
          <w:tcPr>
            <w:tcW w:w="6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.081</w:t>
            </w:r>
          </w:p>
        </w:tc>
        <w:tc>
          <w:tcPr>
            <w:tcW w:w="75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10.225</w:t>
            </w:r>
          </w:p>
        </w:tc>
        <w:tc>
          <w:tcPr>
            <w:tcW w:w="60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w:t>
            </w:r>
          </w:p>
        </w:tc>
        <w:tc>
          <w:tcPr>
            <w:tcW w:w="523" w:type="dxa"/>
            <w:gridSpan w:val="2"/>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.74</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.12</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.47</w:t>
            </w:r>
          </w:p>
        </w:tc>
        <w:tc>
          <w:tcPr>
            <w:tcW w:w="52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.19</w:t>
            </w:r>
          </w:p>
        </w:tc>
        <w:tc>
          <w:tcPr>
            <w:tcW w:w="53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w:t>
            </w:r>
          </w:p>
        </w:tc>
      </w:tr>
      <w:tr w:rsidR="00DA2247" w:rsidRPr="009E5B5E" w:rsidTr="005A408B">
        <w:trPr>
          <w:cantSplit/>
          <w:trHeight w:val="159"/>
          <w:tblHeader/>
        </w:trPr>
        <w:tc>
          <w:tcPr>
            <w:tcW w:w="410"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30"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14</w:t>
            </w:r>
          </w:p>
        </w:tc>
        <w:tc>
          <w:tcPr>
            <w:tcW w:w="63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.035</w:t>
            </w:r>
          </w:p>
        </w:tc>
        <w:tc>
          <w:tcPr>
            <w:tcW w:w="75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15.480</w:t>
            </w:r>
          </w:p>
        </w:tc>
        <w:tc>
          <w:tcPr>
            <w:tcW w:w="606"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.97</w:t>
            </w:r>
          </w:p>
        </w:tc>
        <w:tc>
          <w:tcPr>
            <w:tcW w:w="52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523" w:type="dxa"/>
            <w:gridSpan w:val="2"/>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.07</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.40</w:t>
            </w:r>
          </w:p>
        </w:tc>
        <w:tc>
          <w:tcPr>
            <w:tcW w:w="52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.17</w:t>
            </w:r>
          </w:p>
        </w:tc>
        <w:tc>
          <w:tcPr>
            <w:tcW w:w="53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r>
      <w:tr w:rsidR="00DA2247" w:rsidRPr="009E5B5E" w:rsidTr="005A408B">
        <w:trPr>
          <w:gridAfter w:val="8"/>
          <w:wAfter w:w="3865" w:type="dxa"/>
          <w:cantSplit/>
          <w:trHeight w:val="713"/>
        </w:trPr>
        <w:tc>
          <w:tcPr>
            <w:tcW w:w="5972" w:type="dxa"/>
            <w:gridSpan w:val="11"/>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a. Dependent Variable:   BUY  </w:t>
            </w:r>
          </w:p>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p>
        </w:tc>
      </w:tr>
    </w:tbl>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r w:rsidRPr="009E5B5E">
        <w:rPr>
          <w:rFonts w:cs="Times New Roman"/>
          <w:b/>
          <w:bCs/>
          <w:sz w:val="24"/>
          <w:szCs w:val="24"/>
        </w:rPr>
        <w:lastRenderedPageBreak/>
        <w:t>Appendix 9.8: Variance proportions- General model applied to reduced dataset</w:t>
      </w:r>
    </w:p>
    <w:p w:rsidR="00DA2247" w:rsidRPr="009E5B5E" w:rsidRDefault="00DA2247" w:rsidP="00DA2247">
      <w:pPr>
        <w:autoSpaceDE w:val="0"/>
        <w:autoSpaceDN w:val="0"/>
        <w:adjustRightInd w:val="0"/>
        <w:spacing w:after="0" w:line="400" w:lineRule="atLeast"/>
        <w:rPr>
          <w:rFonts w:cs="Times New Roman"/>
          <w:sz w:val="24"/>
          <w:szCs w:val="24"/>
        </w:rPr>
      </w:pPr>
    </w:p>
    <w:tbl>
      <w:tblPr>
        <w:tblpPr w:leftFromText="180" w:rightFromText="180" w:vertAnchor="text" w:horzAnchor="margin" w:tblpY="170"/>
        <w:tblW w:w="97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8"/>
        <w:gridCol w:w="626"/>
        <w:gridCol w:w="626"/>
        <w:gridCol w:w="750"/>
        <w:gridCol w:w="603"/>
        <w:gridCol w:w="522"/>
        <w:gridCol w:w="522"/>
        <w:gridCol w:w="522"/>
        <w:gridCol w:w="522"/>
        <w:gridCol w:w="522"/>
        <w:gridCol w:w="522"/>
        <w:gridCol w:w="522"/>
        <w:gridCol w:w="522"/>
        <w:gridCol w:w="522"/>
        <w:gridCol w:w="522"/>
        <w:gridCol w:w="522"/>
        <w:gridCol w:w="522"/>
        <w:gridCol w:w="522"/>
      </w:tblGrid>
      <w:tr w:rsidR="00DA2247" w:rsidRPr="009E5B5E" w:rsidTr="005A408B">
        <w:trPr>
          <w:cantSplit/>
          <w:trHeight w:val="362"/>
          <w:tblHeader/>
        </w:trPr>
        <w:tc>
          <w:tcPr>
            <w:tcW w:w="9799" w:type="dxa"/>
            <w:gridSpan w:val="18"/>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Collinearity Diagnostics</w:t>
            </w:r>
            <w:r w:rsidRPr="009E5B5E">
              <w:rPr>
                <w:rFonts w:ascii="Arial" w:hAnsi="Arial" w:cs="Arial"/>
                <w:b/>
                <w:bCs/>
                <w:color w:val="000000"/>
                <w:sz w:val="18"/>
                <w:szCs w:val="18"/>
                <w:vertAlign w:val="superscript"/>
              </w:rPr>
              <w:t>a</w:t>
            </w:r>
          </w:p>
        </w:tc>
      </w:tr>
      <w:tr w:rsidR="00DA2247" w:rsidRPr="009E5B5E" w:rsidTr="005A408B">
        <w:trPr>
          <w:cantSplit/>
          <w:trHeight w:val="322"/>
          <w:tblHeader/>
        </w:trPr>
        <w:tc>
          <w:tcPr>
            <w:tcW w:w="408" w:type="dxa"/>
            <w:vMerge w:val="restart"/>
            <w:tcBorders>
              <w:top w:val="single" w:sz="16" w:space="0" w:color="000000"/>
              <w:left w:val="single" w:sz="16" w:space="0" w:color="000000"/>
              <w:bottom w:val="single" w:sz="16" w:space="0" w:color="000000"/>
              <w:right w:val="nil"/>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626" w:type="dxa"/>
            <w:vMerge w:val="restart"/>
            <w:tcBorders>
              <w:top w:val="single" w:sz="16" w:space="0" w:color="000000"/>
              <w:left w:val="nil"/>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Dimension</w:t>
            </w:r>
          </w:p>
        </w:tc>
        <w:tc>
          <w:tcPr>
            <w:tcW w:w="626" w:type="dxa"/>
            <w:vMerge w:val="restart"/>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Eigenvalue</w:t>
            </w:r>
          </w:p>
        </w:tc>
        <w:tc>
          <w:tcPr>
            <w:tcW w:w="750"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Condition Index</w:t>
            </w:r>
          </w:p>
        </w:tc>
        <w:tc>
          <w:tcPr>
            <w:tcW w:w="7389" w:type="dxa"/>
            <w:gridSpan w:val="14"/>
            <w:tcBorders>
              <w:top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Variance Proportions</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vMerge/>
            <w:tcBorders>
              <w:top w:val="single" w:sz="16" w:space="0" w:color="000000"/>
              <w:left w:val="nil"/>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vMerge/>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50"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03"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(Constant)</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SALE</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DIS</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RELOC</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FRIEND</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DT</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EC</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NA</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INNOV</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INVOL</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A  </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B  </w:t>
            </w:r>
          </w:p>
        </w:tc>
        <w:tc>
          <w:tcPr>
            <w:tcW w:w="522"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C </w:t>
            </w:r>
          </w:p>
        </w:tc>
        <w:tc>
          <w:tcPr>
            <w:tcW w:w="522" w:type="dxa"/>
            <w:tcBorders>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 xml:space="preserve"> D </w:t>
            </w:r>
          </w:p>
        </w:tc>
      </w:tr>
      <w:tr w:rsidR="00DA2247" w:rsidRPr="009E5B5E" w:rsidTr="005A408B">
        <w:trPr>
          <w:cantSplit/>
          <w:trHeight w:val="362"/>
          <w:tblHeader/>
        </w:trPr>
        <w:tc>
          <w:tcPr>
            <w:tcW w:w="408"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626"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626"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8.419</w:t>
            </w:r>
          </w:p>
        </w:tc>
        <w:tc>
          <w:tcPr>
            <w:tcW w:w="75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w:t>
            </w:r>
          </w:p>
        </w:tc>
        <w:tc>
          <w:tcPr>
            <w:tcW w:w="603"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2</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1.150</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2.705</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3</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.802</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3.241</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.25</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4</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.676</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3.529</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5</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.631</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3.654</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.49</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.19</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6</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.584</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3.797</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7</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.443</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4.360</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.17</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8</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.312</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5.193</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9</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.262</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5.668</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10</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.246</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5.850</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.39</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.24</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.25</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11</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.215</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6.250</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12</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.145</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7.624</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.69</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.18</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.41</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13</w:t>
            </w:r>
          </w:p>
        </w:tc>
        <w:tc>
          <w:tcPr>
            <w:tcW w:w="626"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.080</w:t>
            </w:r>
          </w:p>
        </w:tc>
        <w:tc>
          <w:tcPr>
            <w:tcW w:w="750"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10.280</w:t>
            </w:r>
          </w:p>
        </w:tc>
        <w:tc>
          <w:tcPr>
            <w:tcW w:w="603"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.06</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.48</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.18</w:t>
            </w:r>
          </w:p>
        </w:tc>
        <w:tc>
          <w:tcPr>
            <w:tcW w:w="522"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.14</w:t>
            </w:r>
          </w:p>
        </w:tc>
      </w:tr>
      <w:tr w:rsidR="00DA2247" w:rsidRPr="009E5B5E" w:rsidTr="005A408B">
        <w:trPr>
          <w:cantSplit/>
          <w:trHeight w:val="153"/>
          <w:tblHeader/>
        </w:trPr>
        <w:tc>
          <w:tcPr>
            <w:tcW w:w="40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626"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14</w:t>
            </w:r>
          </w:p>
        </w:tc>
        <w:tc>
          <w:tcPr>
            <w:tcW w:w="626"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.036</w:t>
            </w:r>
          </w:p>
        </w:tc>
        <w:tc>
          <w:tcPr>
            <w:tcW w:w="750"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15.384</w:t>
            </w:r>
          </w:p>
        </w:tc>
        <w:tc>
          <w:tcPr>
            <w:tcW w:w="603"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.97</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.09</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.07</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.39</w:t>
            </w:r>
          </w:p>
        </w:tc>
        <w:tc>
          <w:tcPr>
            <w:tcW w:w="522"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.18</w:t>
            </w:r>
          </w:p>
        </w:tc>
        <w:tc>
          <w:tcPr>
            <w:tcW w:w="522"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684"/>
        </w:trPr>
        <w:tc>
          <w:tcPr>
            <w:tcW w:w="9799" w:type="dxa"/>
            <w:gridSpan w:val="18"/>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a. Dependent Variable:   BUY  </w:t>
            </w:r>
          </w:p>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p>
        </w:tc>
      </w:tr>
    </w:tbl>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sz w:val="24"/>
          <w:szCs w:val="24"/>
        </w:rPr>
      </w:pPr>
    </w:p>
    <w:p w:rsidR="00DA2247" w:rsidRPr="009E5B5E" w:rsidRDefault="00DA2247" w:rsidP="00DA2247">
      <w:pPr>
        <w:autoSpaceDE w:val="0"/>
        <w:autoSpaceDN w:val="0"/>
        <w:adjustRightInd w:val="0"/>
        <w:spacing w:after="0" w:line="400" w:lineRule="atLeast"/>
        <w:rPr>
          <w:rFonts w:cs="Times New Roman"/>
          <w:b/>
          <w:bCs/>
          <w:sz w:val="24"/>
          <w:szCs w:val="24"/>
        </w:rPr>
      </w:pPr>
      <w:r w:rsidRPr="009E5B5E">
        <w:rPr>
          <w:rFonts w:cs="Times New Roman"/>
          <w:b/>
          <w:bCs/>
          <w:sz w:val="24"/>
          <w:szCs w:val="24"/>
        </w:rPr>
        <w:lastRenderedPageBreak/>
        <w:t>Appendix 9.9: Variance proportions- Gender specific and three-way interaction included model.</w:t>
      </w:r>
    </w:p>
    <w:p w:rsidR="00DA2247" w:rsidRPr="009E5B5E" w:rsidRDefault="00DA2247" w:rsidP="00DA2247">
      <w:pPr>
        <w:autoSpaceDE w:val="0"/>
        <w:autoSpaceDN w:val="0"/>
        <w:adjustRightInd w:val="0"/>
        <w:spacing w:after="0" w:line="400" w:lineRule="atLeast"/>
        <w:rPr>
          <w:rFonts w:cs="Times New Roman"/>
          <w:sz w:val="24"/>
          <w:szCs w:val="24"/>
        </w:rPr>
      </w:pPr>
    </w:p>
    <w:tbl>
      <w:tblPr>
        <w:tblpPr w:leftFromText="180" w:rightFromText="180" w:vertAnchor="text" w:horzAnchor="margin" w:tblpY="-37"/>
        <w:tblOverlap w:val="never"/>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52"/>
        <w:gridCol w:w="848"/>
        <w:gridCol w:w="848"/>
        <w:gridCol w:w="1015"/>
        <w:gridCol w:w="816"/>
        <w:gridCol w:w="705"/>
        <w:gridCol w:w="705"/>
        <w:gridCol w:w="705"/>
        <w:gridCol w:w="705"/>
        <w:gridCol w:w="705"/>
        <w:gridCol w:w="705"/>
        <w:gridCol w:w="705"/>
        <w:gridCol w:w="757"/>
      </w:tblGrid>
      <w:tr w:rsidR="00DA2247" w:rsidRPr="009E5B5E" w:rsidTr="005A408B">
        <w:trPr>
          <w:cantSplit/>
          <w:trHeight w:val="156"/>
          <w:tblHeader/>
        </w:trPr>
        <w:tc>
          <w:tcPr>
            <w:tcW w:w="9771" w:type="dxa"/>
            <w:gridSpan w:val="13"/>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Collinearity Diagnostics</w:t>
            </w:r>
            <w:r w:rsidRPr="009E5B5E">
              <w:rPr>
                <w:rFonts w:ascii="Arial" w:hAnsi="Arial" w:cs="Arial"/>
                <w:b/>
                <w:bCs/>
                <w:color w:val="000000"/>
                <w:sz w:val="18"/>
                <w:szCs w:val="18"/>
                <w:vertAlign w:val="superscript"/>
              </w:rPr>
              <w:t>a</w:t>
            </w:r>
          </w:p>
        </w:tc>
      </w:tr>
      <w:tr w:rsidR="00DA2247" w:rsidRPr="009E5B5E" w:rsidTr="005A408B">
        <w:trPr>
          <w:cantSplit/>
          <w:trHeight w:val="156"/>
          <w:tblHeader/>
        </w:trPr>
        <w:tc>
          <w:tcPr>
            <w:tcW w:w="552" w:type="dxa"/>
            <w:vMerge w:val="restart"/>
            <w:tcBorders>
              <w:top w:val="single" w:sz="4" w:space="0" w:color="auto"/>
              <w:left w:val="single" w:sz="4" w:space="0" w:color="auto"/>
              <w:bottom w:val="nil"/>
              <w:right w:val="nil"/>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848" w:type="dxa"/>
            <w:vMerge w:val="restart"/>
            <w:tcBorders>
              <w:top w:val="single" w:sz="4" w:space="0" w:color="auto"/>
              <w:left w:val="nil"/>
              <w:bottom w:val="nil"/>
              <w:right w:val="single" w:sz="4" w:space="0" w:color="auto"/>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Dimension</w:t>
            </w:r>
          </w:p>
        </w:tc>
        <w:tc>
          <w:tcPr>
            <w:tcW w:w="848" w:type="dxa"/>
            <w:vMerge w:val="restart"/>
            <w:tcBorders>
              <w:top w:val="single" w:sz="16" w:space="0" w:color="000000"/>
              <w:left w:val="single" w:sz="4" w:space="0" w:color="auto"/>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Eigenvalue</w:t>
            </w:r>
          </w:p>
        </w:tc>
        <w:tc>
          <w:tcPr>
            <w:tcW w:w="1015"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Condition Index</w:t>
            </w:r>
          </w:p>
        </w:tc>
        <w:tc>
          <w:tcPr>
            <w:tcW w:w="6508" w:type="dxa"/>
            <w:gridSpan w:val="9"/>
            <w:tcBorders>
              <w:top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Variance Proportions</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vMerge/>
            <w:tcBorders>
              <w:top w:val="nil"/>
              <w:left w:val="nil"/>
              <w:bottom w:val="nil"/>
              <w:right w:val="single" w:sz="4" w:space="0" w:color="auto"/>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vMerge/>
            <w:tcBorders>
              <w:top w:val="single" w:sz="16" w:space="0" w:color="000000"/>
              <w:left w:val="single" w:sz="4" w:space="0" w:color="auto"/>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1015"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16"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(Constant)</w:t>
            </w:r>
          </w:p>
        </w:tc>
        <w:tc>
          <w:tcPr>
            <w:tcW w:w="70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InStMkt</w:t>
            </w:r>
          </w:p>
        </w:tc>
        <w:tc>
          <w:tcPr>
            <w:tcW w:w="70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FRIEND</w:t>
            </w:r>
          </w:p>
        </w:tc>
        <w:tc>
          <w:tcPr>
            <w:tcW w:w="70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DT</w:t>
            </w:r>
          </w:p>
        </w:tc>
        <w:tc>
          <w:tcPr>
            <w:tcW w:w="70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EC</w:t>
            </w:r>
          </w:p>
        </w:tc>
        <w:tc>
          <w:tcPr>
            <w:tcW w:w="70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NA</w:t>
            </w:r>
          </w:p>
        </w:tc>
        <w:tc>
          <w:tcPr>
            <w:tcW w:w="70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INNOV</w:t>
            </w:r>
          </w:p>
        </w:tc>
        <w:tc>
          <w:tcPr>
            <w:tcW w:w="705"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INVOL</w:t>
            </w:r>
          </w:p>
        </w:tc>
        <w:tc>
          <w:tcPr>
            <w:tcW w:w="757" w:type="dxa"/>
            <w:tcBorders>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GENDER</w:t>
            </w:r>
          </w:p>
        </w:tc>
      </w:tr>
      <w:tr w:rsidR="00DA2247" w:rsidRPr="009E5B5E" w:rsidTr="005A408B">
        <w:trPr>
          <w:cantSplit/>
          <w:trHeight w:val="156"/>
          <w:tblHeader/>
        </w:trPr>
        <w:tc>
          <w:tcPr>
            <w:tcW w:w="552" w:type="dxa"/>
            <w:vMerge w:val="restart"/>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848" w:type="dxa"/>
            <w:tcBorders>
              <w:top w:val="single" w:sz="16" w:space="0" w:color="000000"/>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6.777</w:t>
            </w:r>
          </w:p>
        </w:tc>
        <w:tc>
          <w:tcPr>
            <w:tcW w:w="101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1.000</w:t>
            </w:r>
          </w:p>
        </w:tc>
        <w:tc>
          <w:tcPr>
            <w:tcW w:w="816"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57"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2</w:t>
            </w:r>
          </w:p>
        </w:tc>
        <w:tc>
          <w:tcPr>
            <w:tcW w:w="848" w:type="dxa"/>
            <w:tcBorders>
              <w:top w:val="nil"/>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.715</w:t>
            </w:r>
          </w:p>
        </w:tc>
        <w:tc>
          <w:tcPr>
            <w:tcW w:w="101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3.079</w:t>
            </w:r>
          </w:p>
        </w:tc>
        <w:tc>
          <w:tcPr>
            <w:tcW w:w="81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.88</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3</w:t>
            </w:r>
          </w:p>
        </w:tc>
        <w:tc>
          <w:tcPr>
            <w:tcW w:w="848" w:type="dxa"/>
            <w:tcBorders>
              <w:top w:val="nil"/>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.438</w:t>
            </w:r>
          </w:p>
        </w:tc>
        <w:tc>
          <w:tcPr>
            <w:tcW w:w="101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3.935</w:t>
            </w:r>
          </w:p>
        </w:tc>
        <w:tc>
          <w:tcPr>
            <w:tcW w:w="81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.92</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4</w:t>
            </w:r>
          </w:p>
        </w:tc>
        <w:tc>
          <w:tcPr>
            <w:tcW w:w="848" w:type="dxa"/>
            <w:tcBorders>
              <w:top w:val="nil"/>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.306</w:t>
            </w:r>
          </w:p>
        </w:tc>
        <w:tc>
          <w:tcPr>
            <w:tcW w:w="101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4.708</w:t>
            </w:r>
          </w:p>
        </w:tc>
        <w:tc>
          <w:tcPr>
            <w:tcW w:w="81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7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5</w:t>
            </w:r>
          </w:p>
        </w:tc>
        <w:tc>
          <w:tcPr>
            <w:tcW w:w="848" w:type="dxa"/>
            <w:tcBorders>
              <w:top w:val="nil"/>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.250</w:t>
            </w:r>
          </w:p>
        </w:tc>
        <w:tc>
          <w:tcPr>
            <w:tcW w:w="101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5.206</w:t>
            </w:r>
          </w:p>
        </w:tc>
        <w:tc>
          <w:tcPr>
            <w:tcW w:w="81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.47</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.34</w:t>
            </w:r>
          </w:p>
        </w:tc>
        <w:tc>
          <w:tcPr>
            <w:tcW w:w="7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6</w:t>
            </w:r>
          </w:p>
        </w:tc>
        <w:tc>
          <w:tcPr>
            <w:tcW w:w="848" w:type="dxa"/>
            <w:tcBorders>
              <w:top w:val="nil"/>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.200</w:t>
            </w:r>
          </w:p>
        </w:tc>
        <w:tc>
          <w:tcPr>
            <w:tcW w:w="101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5.824</w:t>
            </w:r>
          </w:p>
        </w:tc>
        <w:tc>
          <w:tcPr>
            <w:tcW w:w="81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.17</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.23</w:t>
            </w:r>
          </w:p>
        </w:tc>
        <w:tc>
          <w:tcPr>
            <w:tcW w:w="7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7</w:t>
            </w:r>
          </w:p>
        </w:tc>
        <w:tc>
          <w:tcPr>
            <w:tcW w:w="848" w:type="dxa"/>
            <w:tcBorders>
              <w:top w:val="nil"/>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.186</w:t>
            </w:r>
          </w:p>
        </w:tc>
        <w:tc>
          <w:tcPr>
            <w:tcW w:w="101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6.030</w:t>
            </w:r>
          </w:p>
        </w:tc>
        <w:tc>
          <w:tcPr>
            <w:tcW w:w="81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.31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.16</w:t>
            </w:r>
          </w:p>
        </w:tc>
        <w:tc>
          <w:tcPr>
            <w:tcW w:w="7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r>
      <w:tr w:rsidR="00DA2247" w:rsidRPr="009E5B5E" w:rsidTr="005A408B">
        <w:trPr>
          <w:cantSplit/>
          <w:trHeight w:val="156"/>
          <w:tblHeader/>
        </w:trPr>
        <w:tc>
          <w:tcPr>
            <w:tcW w:w="552" w:type="dxa"/>
            <w:vMerge/>
            <w:tcBorders>
              <w:top w:val="nil"/>
              <w:left w:val="single" w:sz="4" w:space="0" w:color="auto"/>
              <w:bottom w:val="nil"/>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nil"/>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8</w:t>
            </w:r>
          </w:p>
        </w:tc>
        <w:tc>
          <w:tcPr>
            <w:tcW w:w="848" w:type="dxa"/>
            <w:tcBorders>
              <w:top w:val="nil"/>
              <w:left w:val="single" w:sz="4" w:space="0" w:color="auto"/>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.117</w:t>
            </w:r>
          </w:p>
        </w:tc>
        <w:tc>
          <w:tcPr>
            <w:tcW w:w="101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7.623</w:t>
            </w:r>
          </w:p>
        </w:tc>
        <w:tc>
          <w:tcPr>
            <w:tcW w:w="816"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.70</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.05</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.04</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.21</w:t>
            </w:r>
          </w:p>
        </w:tc>
        <w:tc>
          <w:tcPr>
            <w:tcW w:w="705"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.02</w:t>
            </w:r>
          </w:p>
        </w:tc>
      </w:tr>
      <w:tr w:rsidR="00DA2247" w:rsidRPr="009E5B5E" w:rsidTr="005A408B">
        <w:trPr>
          <w:cantSplit/>
          <w:trHeight w:val="156"/>
          <w:tblHeader/>
        </w:trPr>
        <w:tc>
          <w:tcPr>
            <w:tcW w:w="552" w:type="dxa"/>
            <w:vMerge/>
            <w:tcBorders>
              <w:top w:val="nil"/>
              <w:left w:val="single" w:sz="4" w:space="0" w:color="auto"/>
              <w:bottom w:val="single" w:sz="4" w:space="0" w:color="auto"/>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848" w:type="dxa"/>
            <w:tcBorders>
              <w:top w:val="nil"/>
              <w:left w:val="nil"/>
              <w:bottom w:val="single" w:sz="4" w:space="0" w:color="auto"/>
              <w:right w:val="single" w:sz="4" w:space="0" w:color="auto"/>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9</w:t>
            </w:r>
          </w:p>
        </w:tc>
        <w:tc>
          <w:tcPr>
            <w:tcW w:w="848" w:type="dxa"/>
            <w:tcBorders>
              <w:top w:val="nil"/>
              <w:left w:val="single" w:sz="4" w:space="0" w:color="auto"/>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.012</w:t>
            </w:r>
          </w:p>
        </w:tc>
        <w:tc>
          <w:tcPr>
            <w:tcW w:w="101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24.071</w:t>
            </w:r>
          </w:p>
        </w:tc>
        <w:tc>
          <w:tcPr>
            <w:tcW w:w="816"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w:t>
            </w:r>
          </w:p>
        </w:tc>
        <w:tc>
          <w:tcPr>
            <w:tcW w:w="70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w:t>
            </w:r>
          </w:p>
        </w:tc>
        <w:tc>
          <w:tcPr>
            <w:tcW w:w="70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c>
          <w:tcPr>
            <w:tcW w:w="70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.75</w:t>
            </w:r>
          </w:p>
        </w:tc>
        <w:tc>
          <w:tcPr>
            <w:tcW w:w="70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w:t>
            </w:r>
          </w:p>
        </w:tc>
        <w:tc>
          <w:tcPr>
            <w:tcW w:w="70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w:t>
            </w:r>
          </w:p>
        </w:tc>
        <w:tc>
          <w:tcPr>
            <w:tcW w:w="70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.61</w:t>
            </w:r>
          </w:p>
        </w:tc>
        <w:tc>
          <w:tcPr>
            <w:tcW w:w="705"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.21</w:t>
            </w:r>
          </w:p>
        </w:tc>
        <w:tc>
          <w:tcPr>
            <w:tcW w:w="757"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.01</w:t>
            </w:r>
          </w:p>
        </w:tc>
      </w:tr>
      <w:tr w:rsidR="00DA2247" w:rsidRPr="009E5B5E" w:rsidTr="005A408B">
        <w:trPr>
          <w:cantSplit/>
          <w:trHeight w:val="674"/>
        </w:trPr>
        <w:tc>
          <w:tcPr>
            <w:tcW w:w="9771" w:type="dxa"/>
            <w:gridSpan w:val="13"/>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 xml:space="preserve">a. Dependent Variable:   BUY  </w:t>
            </w:r>
          </w:p>
        </w:tc>
      </w:tr>
    </w:tbl>
    <w:p w:rsidR="00DA2247" w:rsidRPr="009E5B5E" w:rsidRDefault="00DA2247" w:rsidP="00DA2247">
      <w:pPr>
        <w:pStyle w:val="Heading4"/>
        <w:spacing w:line="360" w:lineRule="auto"/>
        <w:jc w:val="both"/>
        <w:rPr>
          <w:rStyle w:val="SubtleEmphasis"/>
          <w:i w:val="0"/>
          <w:iCs w:val="0"/>
          <w:sz w:val="32"/>
          <w:szCs w:val="32"/>
        </w:rPr>
      </w:pPr>
      <w:r w:rsidRPr="009E5B5E">
        <w:rPr>
          <w:rStyle w:val="SubtleEmphasis"/>
          <w:i w:val="0"/>
          <w:iCs w:val="0"/>
          <w:sz w:val="32"/>
          <w:szCs w:val="32"/>
        </w:rPr>
        <w:t>Appendix 10: Potential Problems of Logistic Regression</w:t>
      </w:r>
    </w:p>
    <w:p w:rsidR="00DA2247" w:rsidRPr="009E5B5E" w:rsidRDefault="00DA2247" w:rsidP="00DA2247">
      <w:pPr>
        <w:pStyle w:val="Heading4"/>
        <w:spacing w:line="360" w:lineRule="auto"/>
        <w:jc w:val="both"/>
        <w:rPr>
          <w:rStyle w:val="SubtleEmphasis"/>
          <w:i w:val="0"/>
          <w:iCs w:val="0"/>
          <w:sz w:val="28"/>
          <w:szCs w:val="28"/>
        </w:rPr>
      </w:pPr>
      <w:r w:rsidRPr="009E5B5E">
        <w:rPr>
          <w:rStyle w:val="SubtleEmphasis"/>
          <w:i w:val="0"/>
          <w:iCs w:val="0"/>
          <w:sz w:val="28"/>
          <w:szCs w:val="28"/>
        </w:rPr>
        <w:t>1. Incomplete information from the predictors</w:t>
      </w:r>
    </w:p>
    <w:p w:rsidR="00DA2247" w:rsidRPr="009E5B5E" w:rsidRDefault="00DA2247" w:rsidP="00DA2247">
      <w:pPr>
        <w:tabs>
          <w:tab w:val="left" w:pos="5666"/>
        </w:tabs>
        <w:spacing w:line="360" w:lineRule="auto"/>
        <w:jc w:val="both"/>
        <w:rPr>
          <w:sz w:val="24"/>
          <w:szCs w:val="24"/>
        </w:rPr>
      </w:pPr>
      <w:r w:rsidRPr="009E5B5E">
        <w:rPr>
          <w:sz w:val="24"/>
          <w:szCs w:val="24"/>
        </w:rPr>
        <w:t xml:space="preserve">To be able to predict the outcome, all combinations of categorical (binary in this study) predictors have to be collected. In the other words, incomplete information from the predictor variables could become a problem manifested through bad fit of the logit model. This problem has to be checked before operating the analysis by producing multiway crosstabulations of all categorical independent variables, or by carefully inspecting considerably large standard error of the parameter.. If expected frequencies in each cell of the table is larger than 1 and no more 20% are below 5, then this problem do not occur ( Field 2009). </w:t>
      </w:r>
    </w:p>
    <w:p w:rsidR="00DA2247" w:rsidRPr="009E5B5E" w:rsidRDefault="00DA2247" w:rsidP="00DA2247">
      <w:pPr>
        <w:spacing w:line="360" w:lineRule="auto"/>
        <w:jc w:val="both"/>
        <w:rPr>
          <w:sz w:val="24"/>
          <w:szCs w:val="24"/>
        </w:rPr>
      </w:pPr>
      <w:r w:rsidRPr="009E5B5E">
        <w:rPr>
          <w:sz w:val="24"/>
          <w:szCs w:val="24"/>
        </w:rPr>
        <w:t xml:space="preserve">The results of incomplete information from the predictor variables problem diagnoses for all 3 datasets in this study, indicate that all expected counts for all combinations of all binary predictors are larger than 5. Moreover, there was no large standard error of the parameter exist in the analysis results displayed in logistic regression analysis section, chapter 4. Therefore, it is likely that the incomplete information from the predictors was not an issue in this study. </w:t>
      </w:r>
    </w:p>
    <w:p w:rsidR="00DA2247" w:rsidRPr="009E5B5E" w:rsidRDefault="00DA2247" w:rsidP="00DA2247">
      <w:pPr>
        <w:pStyle w:val="Heading4"/>
        <w:spacing w:line="360" w:lineRule="auto"/>
        <w:jc w:val="both"/>
        <w:rPr>
          <w:rStyle w:val="SubtleEmphasis"/>
          <w:i w:val="0"/>
          <w:iCs w:val="0"/>
          <w:sz w:val="28"/>
          <w:szCs w:val="28"/>
        </w:rPr>
      </w:pPr>
    </w:p>
    <w:p w:rsidR="00DA2247" w:rsidRPr="009E5B5E" w:rsidRDefault="00DA2247" w:rsidP="00DA2247">
      <w:pPr>
        <w:pStyle w:val="Heading4"/>
        <w:spacing w:line="360" w:lineRule="auto"/>
        <w:jc w:val="both"/>
        <w:rPr>
          <w:rStyle w:val="SubtleEmphasis"/>
          <w:i w:val="0"/>
          <w:iCs w:val="0"/>
          <w:sz w:val="28"/>
          <w:szCs w:val="28"/>
        </w:rPr>
      </w:pPr>
      <w:r w:rsidRPr="009E5B5E">
        <w:rPr>
          <w:rStyle w:val="SubtleEmphasis"/>
          <w:i w:val="0"/>
          <w:iCs w:val="0"/>
          <w:sz w:val="28"/>
          <w:szCs w:val="28"/>
        </w:rPr>
        <w:lastRenderedPageBreak/>
        <w:t>2. Complete separation</w:t>
      </w:r>
    </w:p>
    <w:p w:rsidR="00DA2247" w:rsidRPr="009E5B5E" w:rsidRDefault="00DA2247" w:rsidP="00DA2247">
      <w:pPr>
        <w:spacing w:line="360" w:lineRule="auto"/>
        <w:jc w:val="both"/>
        <w:rPr>
          <w:color w:val="1F497D" w:themeColor="text2"/>
          <w:sz w:val="24"/>
          <w:szCs w:val="24"/>
        </w:rPr>
      </w:pPr>
      <w:r w:rsidRPr="009E5B5E">
        <w:rPr>
          <w:sz w:val="24"/>
          <w:szCs w:val="24"/>
        </w:rPr>
        <w:t xml:space="preserve">This problem happens when </w:t>
      </w:r>
      <w:r w:rsidRPr="009E5B5E">
        <w:rPr>
          <w:i/>
          <w:iCs/>
          <w:sz w:val="24"/>
          <w:szCs w:val="24"/>
        </w:rPr>
        <w:t>“the outcome variable can be perfectly predicted by one variable or a combination of variables”</w:t>
      </w:r>
      <w:r w:rsidRPr="009E5B5E">
        <w:rPr>
          <w:sz w:val="24"/>
          <w:szCs w:val="24"/>
        </w:rPr>
        <w:t xml:space="preserve"> (Field 2009, p. 274)</w:t>
      </w:r>
      <w:r w:rsidRPr="009E5B5E">
        <w:rPr>
          <w:color w:val="1F497D" w:themeColor="text2"/>
          <w:sz w:val="24"/>
          <w:szCs w:val="24"/>
        </w:rPr>
        <w:t>.</w:t>
      </w:r>
      <w:r w:rsidRPr="009E5B5E">
        <w:rPr>
          <w:sz w:val="24"/>
          <w:szCs w:val="24"/>
        </w:rPr>
        <w:t xml:space="preserve"> Complete or quasi separation problem in dataset is manifested through a very large value of the parameter of particular predictor variable as well as large standard error. If this is likely to have occurred, a crosstabulation table should be checked visually for the complete or quasi separation between the outcome variable and that particular predictor.</w:t>
      </w:r>
    </w:p>
    <w:p w:rsidR="00DA2247" w:rsidRPr="009E5B5E" w:rsidRDefault="00DA2247" w:rsidP="00DA2247">
      <w:pPr>
        <w:spacing w:line="360" w:lineRule="auto"/>
        <w:jc w:val="both"/>
        <w:rPr>
          <w:sz w:val="24"/>
          <w:szCs w:val="24"/>
        </w:rPr>
      </w:pPr>
      <w:r w:rsidRPr="009E5B5E">
        <w:rPr>
          <w:sz w:val="24"/>
          <w:szCs w:val="24"/>
        </w:rPr>
        <w:t xml:space="preserve">In this study, the block one “Variables in the equation” table for each of the three models, which is displayed in logistic regression analysis section, chapter 4, gave the results with no very large value of coefficient and standard error of any predictors. In fact, the largest standard error is 1.234, which is from the product involvement in the gender specific model. Therefore, complete separation problem is not likely to have occurred here. </w:t>
      </w:r>
    </w:p>
    <w:p w:rsidR="00DA2247" w:rsidRPr="009E5B5E" w:rsidRDefault="00DA2247" w:rsidP="00DA2247">
      <w:pPr>
        <w:pStyle w:val="Heading4"/>
        <w:spacing w:line="360" w:lineRule="auto"/>
        <w:jc w:val="both"/>
        <w:rPr>
          <w:rStyle w:val="SubtleEmphasis"/>
          <w:i w:val="0"/>
          <w:iCs w:val="0"/>
        </w:rPr>
      </w:pPr>
      <w:r w:rsidRPr="009E5B5E">
        <w:rPr>
          <w:rStyle w:val="SubtleEmphasis"/>
          <w:i w:val="0"/>
          <w:iCs w:val="0"/>
        </w:rPr>
        <w:t>3. Overdispersion</w:t>
      </w:r>
    </w:p>
    <w:p w:rsidR="00DA2247" w:rsidRPr="009E5B5E" w:rsidRDefault="00DA2247" w:rsidP="00DA2247">
      <w:pPr>
        <w:spacing w:line="360" w:lineRule="auto"/>
        <w:jc w:val="both"/>
        <w:rPr>
          <w:sz w:val="24"/>
          <w:szCs w:val="24"/>
        </w:rPr>
      </w:pPr>
      <w:r w:rsidRPr="009E5B5E">
        <w:rPr>
          <w:sz w:val="24"/>
          <w:szCs w:val="24"/>
        </w:rPr>
        <w:t>Overdispersion problem is likely to happen when “</w:t>
      </w:r>
      <w:r w:rsidRPr="009E5B5E">
        <w:rPr>
          <w:i/>
          <w:iCs/>
          <w:sz w:val="24"/>
          <w:szCs w:val="24"/>
        </w:rPr>
        <w:t>the observed variance is bigger than expected from the logistic regression model</w:t>
      </w:r>
      <w:r w:rsidRPr="009E5B5E">
        <w:rPr>
          <w:sz w:val="24"/>
          <w:szCs w:val="24"/>
        </w:rPr>
        <w:t>” (Field 2009, p. 276). There are two possible reasons behind this problem. The first is the correlation of the observations; that is the assumption of independent errors is violated. The second is due to the variability in success probabilities. One way to inspect whether the overdispersion problem is present is to divide the chi square statistic of the logit model by the degrees of freedom. In logistic regression, chi square value is obtained in “Omnibus tests for model coefficients” table, and the degree of freedom is the number of the predictors in the model. If the chi square divided by its degree of freedom</w:t>
      </w:r>
      <w:r w:rsidRPr="009E5B5E">
        <w:rPr>
          <w:rStyle w:val="FootnoteReference"/>
          <w:sz w:val="24"/>
          <w:szCs w:val="24"/>
        </w:rPr>
        <w:footnoteReference w:id="18"/>
      </w:r>
      <w:r w:rsidRPr="009E5B5E">
        <w:rPr>
          <w:sz w:val="24"/>
          <w:szCs w:val="24"/>
        </w:rPr>
        <w:t xml:space="preserve"> is larger than two, then overdispersion is very likely to happen.</w:t>
      </w:r>
    </w:p>
    <w:p w:rsidR="00DA2247" w:rsidRPr="009E5B5E" w:rsidRDefault="00DA2247" w:rsidP="00DA2247">
      <w:pPr>
        <w:spacing w:line="360" w:lineRule="auto"/>
        <w:jc w:val="both"/>
        <w:rPr>
          <w:iCs/>
          <w:color w:val="000000" w:themeColor="text1"/>
          <w:sz w:val="24"/>
          <w:szCs w:val="24"/>
        </w:rPr>
      </w:pPr>
      <w:r w:rsidRPr="009E5B5E">
        <w:rPr>
          <w:sz w:val="24"/>
          <w:szCs w:val="24"/>
        </w:rPr>
        <w:t>In this study, overdispersion issue is likely to have occurred only in the general model as can be seen in appendix 9.10, 9.11, 9.12, and 9.13.  To illustrate, when the general model was applied to the original and reduced datasets, the chi square value divided by its degree of freedom was 0.108</w:t>
      </w:r>
      <w:r w:rsidRPr="009E5B5E">
        <w:rPr>
          <w:rStyle w:val="FootnoteReference"/>
          <w:sz w:val="24"/>
          <w:szCs w:val="24"/>
        </w:rPr>
        <w:footnoteReference w:id="19"/>
      </w:r>
      <w:r w:rsidRPr="009E5B5E">
        <w:rPr>
          <w:sz w:val="24"/>
          <w:szCs w:val="24"/>
        </w:rPr>
        <w:t xml:space="preserve">. When gender-specific model was applied to gender restricted dataset, </w:t>
      </w:r>
      <w:r w:rsidRPr="009E5B5E">
        <w:rPr>
          <w:sz w:val="24"/>
          <w:szCs w:val="24"/>
        </w:rPr>
        <w:lastRenderedPageBreak/>
        <w:t>the chi square value divided by its degree of freedom was 0.04</w:t>
      </w:r>
      <w:r w:rsidRPr="009E5B5E">
        <w:rPr>
          <w:rStyle w:val="FootnoteReference"/>
          <w:sz w:val="24"/>
          <w:szCs w:val="24"/>
        </w:rPr>
        <w:footnoteReference w:id="20"/>
      </w:r>
      <w:r w:rsidRPr="009E5B5E">
        <w:rPr>
          <w:sz w:val="24"/>
          <w:szCs w:val="24"/>
        </w:rPr>
        <w:t xml:space="preserve">. Lastly, when three-way interaction included model was applied to gender restricted dataset, the chi square value divided by its </w:t>
      </w:r>
      <w:r w:rsidRPr="009E5B5E">
        <w:rPr>
          <w:color w:val="000000" w:themeColor="text1"/>
          <w:sz w:val="24"/>
          <w:szCs w:val="24"/>
        </w:rPr>
        <w:t>degree of freedom was 0.04</w:t>
      </w:r>
      <w:r w:rsidRPr="009E5B5E">
        <w:rPr>
          <w:rStyle w:val="FootnoteReference"/>
          <w:color w:val="000000" w:themeColor="text1"/>
          <w:sz w:val="24"/>
          <w:szCs w:val="24"/>
        </w:rPr>
        <w:footnoteReference w:id="21"/>
      </w:r>
      <w:r w:rsidRPr="009E5B5E">
        <w:rPr>
          <w:color w:val="000000" w:themeColor="text1"/>
          <w:sz w:val="24"/>
          <w:szCs w:val="24"/>
        </w:rPr>
        <w:t>.</w:t>
      </w:r>
    </w:p>
    <w:p w:rsidR="00DA2247" w:rsidRPr="009E5B5E" w:rsidRDefault="00DA2247" w:rsidP="00DA2247">
      <w:pPr>
        <w:spacing w:line="360" w:lineRule="auto"/>
        <w:jc w:val="both"/>
        <w:rPr>
          <w:b/>
          <w:bCs/>
          <w:iCs/>
          <w:color w:val="000000" w:themeColor="text1"/>
          <w:sz w:val="24"/>
          <w:szCs w:val="24"/>
        </w:rPr>
      </w:pPr>
      <w:r w:rsidRPr="009E5B5E">
        <w:rPr>
          <w:b/>
          <w:bCs/>
          <w:iCs/>
          <w:color w:val="000000" w:themeColor="text1"/>
          <w:sz w:val="24"/>
          <w:szCs w:val="24"/>
        </w:rPr>
        <w:t xml:space="preserve">Appendix 10.1: </w:t>
      </w:r>
      <w:r w:rsidRPr="009E5B5E">
        <w:rPr>
          <w:b/>
          <w:bCs/>
          <w:sz w:val="24"/>
          <w:szCs w:val="24"/>
        </w:rPr>
        <w:t>Omnibus tests - General model applied to original dataset</w:t>
      </w:r>
    </w:p>
    <w:tbl>
      <w:tblPr>
        <w:tblW w:w="4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786"/>
        <w:gridCol w:w="1231"/>
        <w:gridCol w:w="1009"/>
        <w:gridCol w:w="1010"/>
      </w:tblGrid>
      <w:tr w:rsidR="00DA2247" w:rsidRPr="009E5B5E" w:rsidTr="005A408B">
        <w:trPr>
          <w:cantSplit/>
          <w:tblHeader/>
        </w:trPr>
        <w:tc>
          <w:tcPr>
            <w:tcW w:w="4852" w:type="dxa"/>
            <w:gridSpan w:val="5"/>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Omnibus Tests of Model Coefficients</w:t>
            </w:r>
          </w:p>
        </w:tc>
      </w:tr>
      <w:tr w:rsidR="00DA2247" w:rsidRPr="009E5B5E" w:rsidTr="005A408B">
        <w:trPr>
          <w:cantSplit/>
          <w:tblHeader/>
        </w:trPr>
        <w:tc>
          <w:tcPr>
            <w:tcW w:w="160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23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Chi-square</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r>
      <w:tr w:rsidR="00DA2247" w:rsidRPr="009E5B5E" w:rsidTr="005A408B">
        <w:trPr>
          <w:cantSplit/>
          <w:tblHeader/>
        </w:trPr>
        <w:tc>
          <w:tcPr>
            <w:tcW w:w="817"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 1</w:t>
            </w:r>
          </w:p>
        </w:tc>
        <w:tc>
          <w:tcPr>
            <w:tcW w:w="786"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230"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1041.314</w:t>
            </w:r>
          </w:p>
        </w:tc>
        <w:tc>
          <w:tcPr>
            <w:tcW w:w="10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w:t>
            </w:r>
          </w:p>
        </w:tc>
        <w:tc>
          <w:tcPr>
            <w:tcW w:w="101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blHeader/>
        </w:trPr>
        <w:tc>
          <w:tcPr>
            <w:tcW w:w="817"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8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Block</w:t>
            </w:r>
          </w:p>
        </w:tc>
        <w:tc>
          <w:tcPr>
            <w:tcW w:w="1230"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1041.314</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rPr>
        <w:tc>
          <w:tcPr>
            <w:tcW w:w="817"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86"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1230"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1041.314</w:t>
            </w:r>
          </w:p>
        </w:tc>
        <w:tc>
          <w:tcPr>
            <w:tcW w:w="1009"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w:t>
            </w:r>
          </w:p>
        </w:tc>
        <w:tc>
          <w:tcPr>
            <w:tcW w:w="101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bl>
    <w:p w:rsidR="00DA2247" w:rsidRPr="009E5B5E" w:rsidRDefault="00DA2247" w:rsidP="00DA2247">
      <w:pPr>
        <w:spacing w:line="360" w:lineRule="auto"/>
        <w:jc w:val="both"/>
        <w:rPr>
          <w:iCs/>
          <w:color w:val="000000" w:themeColor="text1"/>
          <w:sz w:val="24"/>
          <w:szCs w:val="24"/>
        </w:rPr>
      </w:pPr>
    </w:p>
    <w:p w:rsidR="00DA2247" w:rsidRPr="009E5B5E" w:rsidRDefault="00DA2247" w:rsidP="00DA2247">
      <w:pPr>
        <w:spacing w:line="360" w:lineRule="auto"/>
        <w:jc w:val="both"/>
        <w:rPr>
          <w:b/>
          <w:bCs/>
          <w:iCs/>
          <w:color w:val="000000" w:themeColor="text1"/>
          <w:sz w:val="24"/>
          <w:szCs w:val="24"/>
        </w:rPr>
      </w:pPr>
      <w:r w:rsidRPr="009E5B5E">
        <w:rPr>
          <w:b/>
          <w:bCs/>
          <w:iCs/>
          <w:color w:val="000000" w:themeColor="text1"/>
          <w:sz w:val="24"/>
          <w:szCs w:val="24"/>
        </w:rPr>
        <w:t xml:space="preserve">Appendix 10.2: </w:t>
      </w:r>
      <w:r w:rsidRPr="009E5B5E">
        <w:rPr>
          <w:b/>
          <w:bCs/>
          <w:sz w:val="24"/>
          <w:szCs w:val="24"/>
        </w:rPr>
        <w:t>Omnibus tests - General model applied to reduced dataset</w:t>
      </w:r>
    </w:p>
    <w:tbl>
      <w:tblPr>
        <w:tblW w:w="4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786"/>
        <w:gridCol w:w="1231"/>
        <w:gridCol w:w="1009"/>
        <w:gridCol w:w="1010"/>
      </w:tblGrid>
      <w:tr w:rsidR="00DA2247" w:rsidRPr="009E5B5E" w:rsidTr="005A408B">
        <w:trPr>
          <w:cantSplit/>
          <w:tblHeader/>
        </w:trPr>
        <w:tc>
          <w:tcPr>
            <w:tcW w:w="4854" w:type="dxa"/>
            <w:gridSpan w:val="5"/>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Omnibus Tests of Model Coefficients</w:t>
            </w:r>
          </w:p>
        </w:tc>
      </w:tr>
      <w:tr w:rsidR="00DA2247" w:rsidRPr="009E5B5E" w:rsidTr="005A408B">
        <w:trPr>
          <w:cantSplit/>
          <w:tblHeader/>
        </w:trPr>
        <w:tc>
          <w:tcPr>
            <w:tcW w:w="160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231"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Chi-square</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r>
      <w:tr w:rsidR="00DA2247" w:rsidRPr="009E5B5E" w:rsidTr="005A408B">
        <w:trPr>
          <w:cantSplit/>
          <w:tblHeader/>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 1</w:t>
            </w:r>
          </w:p>
        </w:tc>
        <w:tc>
          <w:tcPr>
            <w:tcW w:w="786"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231"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992.529</w:t>
            </w:r>
          </w:p>
        </w:tc>
        <w:tc>
          <w:tcPr>
            <w:tcW w:w="10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w:t>
            </w:r>
          </w:p>
        </w:tc>
        <w:tc>
          <w:tcPr>
            <w:tcW w:w="101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blHeader/>
        </w:trPr>
        <w:tc>
          <w:tcPr>
            <w:tcW w:w="81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86"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Block</w:t>
            </w:r>
          </w:p>
        </w:tc>
        <w:tc>
          <w:tcPr>
            <w:tcW w:w="123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992.529</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86"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1231"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992.529</w:t>
            </w:r>
          </w:p>
        </w:tc>
        <w:tc>
          <w:tcPr>
            <w:tcW w:w="1009"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13</w:t>
            </w:r>
          </w:p>
        </w:tc>
        <w:tc>
          <w:tcPr>
            <w:tcW w:w="101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bl>
    <w:p w:rsidR="00DA2247" w:rsidRPr="009E5B5E" w:rsidRDefault="00DA2247" w:rsidP="00DA2247">
      <w:pPr>
        <w:spacing w:line="360" w:lineRule="auto"/>
        <w:jc w:val="both"/>
        <w:rPr>
          <w:iCs/>
          <w:color w:val="000000" w:themeColor="text1"/>
          <w:sz w:val="24"/>
          <w:szCs w:val="24"/>
        </w:rPr>
      </w:pPr>
    </w:p>
    <w:p w:rsidR="00DA2247" w:rsidRPr="009E5B5E" w:rsidRDefault="00DA2247" w:rsidP="00DA2247">
      <w:pPr>
        <w:spacing w:line="360" w:lineRule="auto"/>
        <w:jc w:val="both"/>
        <w:rPr>
          <w:b/>
          <w:bCs/>
          <w:iCs/>
          <w:color w:val="000000" w:themeColor="text1"/>
          <w:sz w:val="24"/>
          <w:szCs w:val="24"/>
        </w:rPr>
      </w:pPr>
      <w:r w:rsidRPr="009E5B5E">
        <w:rPr>
          <w:b/>
          <w:bCs/>
          <w:iCs/>
          <w:color w:val="000000" w:themeColor="text1"/>
          <w:sz w:val="24"/>
          <w:szCs w:val="24"/>
        </w:rPr>
        <w:t xml:space="preserve">Appendix 10.3: </w:t>
      </w:r>
      <w:r w:rsidRPr="009E5B5E">
        <w:rPr>
          <w:b/>
          <w:bCs/>
          <w:sz w:val="24"/>
          <w:szCs w:val="24"/>
        </w:rPr>
        <w:t>Omnibus tests - Gender specific model</w:t>
      </w:r>
    </w:p>
    <w:tbl>
      <w:tblPr>
        <w:tblW w:w="4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787"/>
        <w:gridCol w:w="1231"/>
        <w:gridCol w:w="1009"/>
        <w:gridCol w:w="1010"/>
      </w:tblGrid>
      <w:tr w:rsidR="00DA2247" w:rsidRPr="009E5B5E" w:rsidTr="005A408B">
        <w:trPr>
          <w:cantSplit/>
          <w:tblHeader/>
        </w:trPr>
        <w:tc>
          <w:tcPr>
            <w:tcW w:w="4855" w:type="dxa"/>
            <w:gridSpan w:val="5"/>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Omnibus Tests of Model Coefficients</w:t>
            </w:r>
          </w:p>
        </w:tc>
      </w:tr>
      <w:tr w:rsidR="00DA2247" w:rsidRPr="009E5B5E" w:rsidTr="005A408B">
        <w:trPr>
          <w:cantSplit/>
          <w:tblHeader/>
        </w:trPr>
        <w:tc>
          <w:tcPr>
            <w:tcW w:w="160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line="240" w:lineRule="auto"/>
              <w:jc w:val="center"/>
              <w:rPr>
                <w:rFonts w:ascii="Arial" w:hAnsi="Arial" w:cs="Arial"/>
                <w:sz w:val="24"/>
                <w:szCs w:val="24"/>
              </w:rPr>
            </w:pPr>
          </w:p>
        </w:tc>
        <w:tc>
          <w:tcPr>
            <w:tcW w:w="1231"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Chi-square</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r>
      <w:tr w:rsidR="00DA2247" w:rsidRPr="009E5B5E" w:rsidTr="005A408B">
        <w:trPr>
          <w:cantSplit/>
          <w:tblHeader/>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 1</w:t>
            </w:r>
          </w:p>
        </w:tc>
        <w:tc>
          <w:tcPr>
            <w:tcW w:w="787"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231"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102.606</w:t>
            </w:r>
          </w:p>
        </w:tc>
        <w:tc>
          <w:tcPr>
            <w:tcW w:w="10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w:t>
            </w:r>
          </w:p>
        </w:tc>
        <w:tc>
          <w:tcPr>
            <w:tcW w:w="101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blHeader/>
        </w:trPr>
        <w:tc>
          <w:tcPr>
            <w:tcW w:w="81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87"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Block</w:t>
            </w:r>
          </w:p>
        </w:tc>
        <w:tc>
          <w:tcPr>
            <w:tcW w:w="123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102.606</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240" w:lineRule="auto"/>
              <w:rPr>
                <w:rFonts w:ascii="Arial" w:hAnsi="Arial" w:cs="Arial"/>
                <w:color w:val="000000"/>
                <w:sz w:val="18"/>
                <w:szCs w:val="18"/>
              </w:rPr>
            </w:pPr>
          </w:p>
        </w:tc>
        <w:tc>
          <w:tcPr>
            <w:tcW w:w="787"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Model</w:t>
            </w:r>
          </w:p>
        </w:tc>
        <w:tc>
          <w:tcPr>
            <w:tcW w:w="1231"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102.606</w:t>
            </w:r>
          </w:p>
        </w:tc>
        <w:tc>
          <w:tcPr>
            <w:tcW w:w="1009"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9</w:t>
            </w:r>
          </w:p>
        </w:tc>
        <w:tc>
          <w:tcPr>
            <w:tcW w:w="101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bl>
    <w:p w:rsidR="00DA2247" w:rsidRPr="009E5B5E" w:rsidRDefault="00DA2247" w:rsidP="00DA2247">
      <w:pPr>
        <w:spacing w:line="360" w:lineRule="auto"/>
        <w:jc w:val="both"/>
        <w:rPr>
          <w:iCs/>
          <w:color w:val="000000" w:themeColor="text1"/>
          <w:sz w:val="24"/>
          <w:szCs w:val="24"/>
        </w:rPr>
      </w:pPr>
    </w:p>
    <w:p w:rsidR="00DA2247" w:rsidRPr="009E5B5E" w:rsidRDefault="00DA2247" w:rsidP="00DA2247">
      <w:pPr>
        <w:spacing w:line="360" w:lineRule="auto"/>
        <w:jc w:val="both"/>
        <w:rPr>
          <w:b/>
          <w:bCs/>
          <w:iCs/>
          <w:color w:val="000000" w:themeColor="text1"/>
          <w:sz w:val="24"/>
          <w:szCs w:val="24"/>
        </w:rPr>
      </w:pPr>
      <w:r w:rsidRPr="009E5B5E">
        <w:rPr>
          <w:b/>
          <w:bCs/>
          <w:iCs/>
          <w:sz w:val="24"/>
          <w:szCs w:val="24"/>
        </w:rPr>
        <w:t xml:space="preserve">Appendix 10.4: </w:t>
      </w:r>
      <w:r w:rsidRPr="009E5B5E">
        <w:rPr>
          <w:b/>
          <w:bCs/>
          <w:sz w:val="24"/>
          <w:szCs w:val="24"/>
        </w:rPr>
        <w:t>Omnibus tests - Three-way interaction included model</w:t>
      </w:r>
    </w:p>
    <w:tbl>
      <w:tblPr>
        <w:tblW w:w="48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8"/>
        <w:gridCol w:w="787"/>
        <w:gridCol w:w="1231"/>
        <w:gridCol w:w="1009"/>
        <w:gridCol w:w="1010"/>
      </w:tblGrid>
      <w:tr w:rsidR="00DA2247" w:rsidRPr="009E5B5E" w:rsidTr="005A408B">
        <w:trPr>
          <w:cantSplit/>
          <w:tblHeader/>
        </w:trPr>
        <w:tc>
          <w:tcPr>
            <w:tcW w:w="4855" w:type="dxa"/>
            <w:gridSpan w:val="5"/>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b/>
                <w:bCs/>
                <w:color w:val="000000"/>
                <w:sz w:val="18"/>
                <w:szCs w:val="18"/>
              </w:rPr>
              <w:t>Omnibus Tests of Model Coefficients</w:t>
            </w:r>
          </w:p>
        </w:tc>
      </w:tr>
      <w:tr w:rsidR="00DA2247" w:rsidRPr="009E5B5E" w:rsidTr="005A408B">
        <w:trPr>
          <w:cantSplit/>
          <w:tblHeader/>
        </w:trPr>
        <w:tc>
          <w:tcPr>
            <w:tcW w:w="160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jc w:val="center"/>
              <w:rPr>
                <w:rFonts w:ascii="Arial" w:hAnsi="Arial" w:cs="Arial"/>
                <w:sz w:val="24"/>
                <w:szCs w:val="24"/>
              </w:rPr>
            </w:pPr>
          </w:p>
        </w:tc>
        <w:tc>
          <w:tcPr>
            <w:tcW w:w="1231"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Chi-square</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Sig.</w:t>
            </w:r>
          </w:p>
        </w:tc>
      </w:tr>
      <w:tr w:rsidR="00DA2247" w:rsidRPr="009E5B5E" w:rsidTr="005A408B">
        <w:trPr>
          <w:cantSplit/>
          <w:tblHeader/>
        </w:trPr>
        <w:tc>
          <w:tcPr>
            <w:tcW w:w="818"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ind w:left="60" w:right="60"/>
              <w:rPr>
                <w:rFonts w:ascii="Arial" w:hAnsi="Arial" w:cs="Arial"/>
                <w:color w:val="000000"/>
                <w:sz w:val="18"/>
                <w:szCs w:val="18"/>
              </w:rPr>
            </w:pPr>
            <w:r w:rsidRPr="009E5B5E">
              <w:rPr>
                <w:rFonts w:ascii="Arial" w:hAnsi="Arial" w:cs="Arial"/>
                <w:color w:val="000000"/>
                <w:sz w:val="18"/>
                <w:szCs w:val="18"/>
              </w:rPr>
              <w:t>Step 1</w:t>
            </w:r>
          </w:p>
        </w:tc>
        <w:tc>
          <w:tcPr>
            <w:tcW w:w="787"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ind w:left="60" w:right="60"/>
              <w:rPr>
                <w:rFonts w:ascii="Arial" w:hAnsi="Arial" w:cs="Arial"/>
                <w:color w:val="000000"/>
                <w:sz w:val="18"/>
                <w:szCs w:val="18"/>
              </w:rPr>
            </w:pPr>
            <w:r w:rsidRPr="009E5B5E">
              <w:rPr>
                <w:rFonts w:ascii="Arial" w:hAnsi="Arial" w:cs="Arial"/>
                <w:color w:val="000000"/>
                <w:sz w:val="18"/>
                <w:szCs w:val="18"/>
              </w:rPr>
              <w:t>Step</w:t>
            </w:r>
          </w:p>
        </w:tc>
        <w:tc>
          <w:tcPr>
            <w:tcW w:w="1231"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102.606</w:t>
            </w:r>
          </w:p>
        </w:tc>
        <w:tc>
          <w:tcPr>
            <w:tcW w:w="10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1010"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blHeader/>
        </w:trPr>
        <w:tc>
          <w:tcPr>
            <w:tcW w:w="81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787"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ind w:left="60" w:right="60"/>
              <w:rPr>
                <w:rFonts w:ascii="Arial" w:hAnsi="Arial" w:cs="Arial"/>
                <w:color w:val="000000"/>
                <w:sz w:val="18"/>
                <w:szCs w:val="18"/>
              </w:rPr>
            </w:pPr>
            <w:r w:rsidRPr="009E5B5E">
              <w:rPr>
                <w:rFonts w:ascii="Arial" w:hAnsi="Arial" w:cs="Arial"/>
                <w:color w:val="000000"/>
                <w:sz w:val="18"/>
                <w:szCs w:val="18"/>
              </w:rPr>
              <w:t>Block</w:t>
            </w:r>
          </w:p>
        </w:tc>
        <w:tc>
          <w:tcPr>
            <w:tcW w:w="123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102.606</w:t>
            </w:r>
          </w:p>
        </w:tc>
        <w:tc>
          <w:tcPr>
            <w:tcW w:w="1009" w:type="dxa"/>
            <w:tcBorders>
              <w:top w:val="nil"/>
              <w:bottom w:val="nil"/>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1010"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.000</w:t>
            </w:r>
          </w:p>
        </w:tc>
      </w:tr>
      <w:tr w:rsidR="00DA2247" w:rsidRPr="009E5B5E" w:rsidTr="005A408B">
        <w:trPr>
          <w:cantSplit/>
        </w:trPr>
        <w:tc>
          <w:tcPr>
            <w:tcW w:w="818"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787" w:type="dxa"/>
            <w:tcBorders>
              <w:top w:val="nil"/>
              <w:left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ind w:left="60" w:right="60"/>
              <w:rPr>
                <w:rFonts w:ascii="Arial" w:hAnsi="Arial" w:cs="Arial"/>
                <w:color w:val="000000"/>
                <w:sz w:val="18"/>
                <w:szCs w:val="18"/>
              </w:rPr>
            </w:pPr>
            <w:r w:rsidRPr="009E5B5E">
              <w:rPr>
                <w:rFonts w:ascii="Arial" w:hAnsi="Arial" w:cs="Arial"/>
                <w:color w:val="000000"/>
                <w:sz w:val="18"/>
                <w:szCs w:val="18"/>
              </w:rPr>
              <w:t>Model</w:t>
            </w:r>
          </w:p>
        </w:tc>
        <w:tc>
          <w:tcPr>
            <w:tcW w:w="1231" w:type="dxa"/>
            <w:tcBorders>
              <w:top w:val="nil"/>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102.606</w:t>
            </w:r>
          </w:p>
        </w:tc>
        <w:tc>
          <w:tcPr>
            <w:tcW w:w="1009" w:type="dxa"/>
            <w:tcBorders>
              <w:top w:val="nil"/>
              <w:bottom w:val="single" w:sz="16" w:space="0" w:color="000000"/>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10</w:t>
            </w:r>
          </w:p>
        </w:tc>
        <w:tc>
          <w:tcPr>
            <w:tcW w:w="1010" w:type="dxa"/>
            <w:tcBorders>
              <w:top w:val="nil"/>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ind w:left="60" w:right="60"/>
              <w:jc w:val="right"/>
              <w:rPr>
                <w:rFonts w:ascii="Arial" w:hAnsi="Arial" w:cs="Arial"/>
                <w:color w:val="000000"/>
                <w:sz w:val="18"/>
                <w:szCs w:val="18"/>
              </w:rPr>
            </w:pPr>
            <w:r w:rsidRPr="009E5B5E">
              <w:rPr>
                <w:rFonts w:ascii="Arial" w:hAnsi="Arial" w:cs="Arial"/>
                <w:color w:val="000000"/>
                <w:sz w:val="18"/>
                <w:szCs w:val="18"/>
              </w:rPr>
              <w:t>.000</w:t>
            </w:r>
          </w:p>
        </w:tc>
      </w:tr>
    </w:tbl>
    <w:p w:rsidR="00DA2247" w:rsidRPr="009E5B5E" w:rsidRDefault="00DA2247" w:rsidP="00DA2247">
      <w:pPr>
        <w:spacing w:line="360" w:lineRule="auto"/>
        <w:jc w:val="both"/>
        <w:rPr>
          <w:sz w:val="32"/>
          <w:szCs w:val="32"/>
        </w:rPr>
      </w:pPr>
      <w:r w:rsidRPr="009E5B5E">
        <w:rPr>
          <w:b/>
          <w:bCs/>
          <w:iCs/>
          <w:sz w:val="32"/>
          <w:szCs w:val="32"/>
        </w:rPr>
        <w:t>Appendix 11: Assessment of Model Fit</w:t>
      </w:r>
    </w:p>
    <w:p w:rsidR="00DA2247" w:rsidRPr="009E5B5E" w:rsidRDefault="00DA2247" w:rsidP="00DA2247">
      <w:pPr>
        <w:spacing w:line="360" w:lineRule="auto"/>
        <w:jc w:val="both"/>
        <w:rPr>
          <w:iCs/>
          <w:sz w:val="24"/>
          <w:szCs w:val="24"/>
        </w:rPr>
      </w:pPr>
      <w:r w:rsidRPr="009E5B5E">
        <w:rPr>
          <w:iCs/>
          <w:sz w:val="24"/>
          <w:szCs w:val="24"/>
        </w:rPr>
        <w:lastRenderedPageBreak/>
        <w:t>In order to examine the goodness of fit of the logistic regression model, SPSS provides four statistics: (1) log-likelihood, (2) Cox and Snell’s R</w:t>
      </w:r>
      <w:r w:rsidRPr="009E5B5E">
        <w:rPr>
          <w:iCs/>
          <w:sz w:val="24"/>
          <w:szCs w:val="24"/>
          <w:vertAlign w:val="superscript"/>
        </w:rPr>
        <w:t>2</w:t>
      </w:r>
      <w:r w:rsidRPr="009E5B5E">
        <w:rPr>
          <w:iCs/>
          <w:sz w:val="24"/>
          <w:szCs w:val="24"/>
        </w:rPr>
        <w:t>, (3) Nagelkerke’s R</w:t>
      </w:r>
      <w:r w:rsidRPr="009E5B5E">
        <w:rPr>
          <w:iCs/>
          <w:sz w:val="24"/>
          <w:szCs w:val="24"/>
          <w:vertAlign w:val="superscript"/>
        </w:rPr>
        <w:t>2</w:t>
      </w:r>
      <w:r w:rsidRPr="009E5B5E">
        <w:rPr>
          <w:iCs/>
          <w:sz w:val="24"/>
          <w:szCs w:val="24"/>
        </w:rPr>
        <w:t>, and (4) Hosmer and Lemeshow’s chi-square.</w:t>
      </w:r>
      <w:r w:rsidRPr="009E5B5E">
        <w:rPr>
          <w:i/>
          <w:sz w:val="24"/>
          <w:szCs w:val="24"/>
          <w:vertAlign w:val="superscript"/>
        </w:rPr>
        <w:t xml:space="preserve"> </w:t>
      </w:r>
    </w:p>
    <w:p w:rsidR="00DA2247" w:rsidRPr="009E5B5E" w:rsidRDefault="00DA2247" w:rsidP="00DA2247">
      <w:pPr>
        <w:spacing w:line="360" w:lineRule="auto"/>
        <w:jc w:val="both"/>
        <w:rPr>
          <w:b/>
          <w:bCs/>
          <w:iCs/>
          <w:sz w:val="28"/>
          <w:szCs w:val="28"/>
        </w:rPr>
      </w:pPr>
      <w:r w:rsidRPr="009E5B5E">
        <w:rPr>
          <w:b/>
          <w:bCs/>
          <w:iCs/>
          <w:sz w:val="28"/>
          <w:szCs w:val="28"/>
        </w:rPr>
        <w:t>Log-likelihood</w:t>
      </w:r>
    </w:p>
    <w:p w:rsidR="00DA2247" w:rsidRPr="009E5B5E" w:rsidRDefault="00DA2247" w:rsidP="00DA2247">
      <w:pPr>
        <w:spacing w:line="360" w:lineRule="auto"/>
        <w:jc w:val="both"/>
        <w:rPr>
          <w:sz w:val="24"/>
          <w:szCs w:val="24"/>
        </w:rPr>
      </w:pPr>
      <w:r w:rsidRPr="009E5B5E">
        <w:rPr>
          <w:sz w:val="24"/>
          <w:szCs w:val="24"/>
        </w:rPr>
        <w:t>Log-likelihood statistic is used to assess the overall fit of the model. The log-likelihood is derived upon sum of the probabilities associated with the predicted and observed outcomes (Tabachnick &amp; Fidell, 2007). This statistic indicates how much unidentified information there is after this model has been applied to the data. Accordingly, the smaller the values of the log-likelihood are, the better the fitting statistical models become. Log-likelihood values are usually used to compare the predictive power of different models in order to achieve the model that most fits the data.</w:t>
      </w:r>
    </w:p>
    <w:p w:rsidR="00DA2247" w:rsidRPr="009E5B5E" w:rsidRDefault="00DA2247" w:rsidP="00DA2247">
      <w:pPr>
        <w:spacing w:line="360" w:lineRule="auto"/>
        <w:jc w:val="both"/>
        <w:rPr>
          <w:sz w:val="24"/>
          <w:szCs w:val="24"/>
        </w:rPr>
      </w:pPr>
      <w:r w:rsidRPr="009E5B5E">
        <w:rPr>
          <w:sz w:val="24"/>
          <w:szCs w:val="24"/>
        </w:rPr>
        <w:t xml:space="preserve">In logistic regression, log-likelihood of the model with only the intercept included (i.e., null model) is used as a baseline state to compare against that of the model with predictor variable included (i.e., fitted model), in order to examine to the improvement of the model. In SPSS, the log-likelihood value is reported with multiplication of - 2 (i.e., -2LL), since this value has an approximately chi-square distribution which makes it feasible to compare values against those expected to occur by coincidence. Moreover, the different between -2 Log likelihood statistic of null model and that of fitted model is provided by SPSS in chi-square statistic display in </w:t>
      </w:r>
      <w:r w:rsidRPr="009E5B5E">
        <w:rPr>
          <w:i/>
          <w:iCs/>
          <w:sz w:val="24"/>
          <w:szCs w:val="24"/>
        </w:rPr>
        <w:t>Omnibus Tests of Model Coefficients</w:t>
      </w:r>
      <w:r w:rsidRPr="009E5B5E">
        <w:rPr>
          <w:sz w:val="24"/>
          <w:szCs w:val="24"/>
        </w:rPr>
        <w:t xml:space="preserve"> table with statistical significance level of 0.05. This is a test of the null hypothesis that adding predictor variable to the model does not significantly increase predictive power of the model.</w:t>
      </w:r>
    </w:p>
    <w:p w:rsidR="00DA2247" w:rsidRPr="009E5B5E" w:rsidRDefault="00DA2247" w:rsidP="00DA2247">
      <w:pPr>
        <w:spacing w:line="360" w:lineRule="auto"/>
        <w:jc w:val="both"/>
        <w:rPr>
          <w:i/>
          <w:iCs/>
          <w:sz w:val="24"/>
          <w:szCs w:val="24"/>
        </w:rPr>
      </w:pPr>
      <w:r w:rsidRPr="009E5B5E">
        <w:rPr>
          <w:i/>
          <w:iCs/>
          <w:sz w:val="24"/>
          <w:szCs w:val="24"/>
        </w:rPr>
        <w:t>General Model</w:t>
      </w:r>
    </w:p>
    <w:p w:rsidR="00DA2247" w:rsidRPr="009E5B5E" w:rsidRDefault="00DA2247" w:rsidP="00DA2247">
      <w:pPr>
        <w:spacing w:line="360" w:lineRule="auto"/>
        <w:jc w:val="both"/>
        <w:rPr>
          <w:sz w:val="24"/>
          <w:szCs w:val="24"/>
        </w:rPr>
      </w:pPr>
      <w:r w:rsidRPr="009E5B5E">
        <w:rPr>
          <w:sz w:val="24"/>
          <w:szCs w:val="24"/>
        </w:rPr>
        <w:t xml:space="preserve">Appendix 11.1 and 11.2 display the log-likelihood values of general model when applied to the original and reduced dataset respectively. When general model was operated on the original dataset, the log-likelihood of the fitted model is 4,968.521, while that of null model is 6,009.835. The reduction of 1,041.31 in this value indicates that the model is better at predicting the purchase decision made by consumers. It is important to note that change in -2 log likelihood between the fitted and null model is displayed as the chi-square statistic in </w:t>
      </w:r>
      <w:r w:rsidRPr="009E5B5E">
        <w:rPr>
          <w:i/>
          <w:iCs/>
          <w:sz w:val="24"/>
          <w:szCs w:val="24"/>
        </w:rPr>
        <w:t xml:space="preserve">Omnibus Tests of Model Coefficients </w:t>
      </w:r>
      <w:r w:rsidRPr="009E5B5E">
        <w:rPr>
          <w:sz w:val="24"/>
          <w:szCs w:val="24"/>
        </w:rPr>
        <w:t xml:space="preserve">table (see appendix 10.1). In this case, </w:t>
      </w:r>
      <w:r w:rsidRPr="009E5B5E">
        <w:rPr>
          <w:b/>
          <w:bCs/>
          <w:sz w:val="24"/>
          <w:szCs w:val="24"/>
        </w:rPr>
        <w:t>chi</w:t>
      </w:r>
      <w:r w:rsidRPr="009E5B5E">
        <w:rPr>
          <w:sz w:val="24"/>
          <w:szCs w:val="24"/>
        </w:rPr>
        <w:t xml:space="preserve">-square statistic </w:t>
      </w:r>
      <w:r w:rsidRPr="009E5B5E">
        <w:rPr>
          <w:sz w:val="24"/>
          <w:szCs w:val="24"/>
        </w:rPr>
        <w:lastRenderedPageBreak/>
        <w:t xml:space="preserve">of 1,041.31 is significant at a 0.05 level, so it can be concluded that overall the fitted model is significantly better at predicting a purchase decision made by a consumer than the null model. </w:t>
      </w:r>
    </w:p>
    <w:p w:rsidR="00DA2247" w:rsidRPr="009E5B5E" w:rsidRDefault="00DA2247" w:rsidP="00DA2247">
      <w:pPr>
        <w:spacing w:line="360" w:lineRule="auto"/>
        <w:jc w:val="both"/>
        <w:rPr>
          <w:sz w:val="24"/>
          <w:szCs w:val="24"/>
        </w:rPr>
      </w:pPr>
      <w:r w:rsidRPr="009E5B5E">
        <w:rPr>
          <w:sz w:val="24"/>
          <w:szCs w:val="24"/>
        </w:rPr>
        <w:t xml:space="preserve">When general model was applied to the reduce dataset, the log-likelihood statistics of the fitted and null model were 4,757.51 and 5750.04 respectively. Accordingly, chi-square statistic was 992.529 and significant at a 0.05 level as displayed in appendix 10.2 Therefore, it can be concluded that overall the predictive power of fitted model is significantly better than that of the null model. </w:t>
      </w:r>
    </w:p>
    <w:p w:rsidR="00DA2247" w:rsidRPr="009E5B5E" w:rsidRDefault="00DA2247" w:rsidP="00DA2247">
      <w:pPr>
        <w:spacing w:line="360" w:lineRule="auto"/>
        <w:jc w:val="both"/>
        <w:rPr>
          <w:b/>
          <w:bCs/>
          <w:sz w:val="24"/>
          <w:szCs w:val="24"/>
        </w:rPr>
      </w:pPr>
      <w:r w:rsidRPr="009E5B5E">
        <w:rPr>
          <w:b/>
          <w:bCs/>
          <w:sz w:val="24"/>
          <w:szCs w:val="24"/>
        </w:rPr>
        <w:t>Appendix 11.1: Model fit statistics- General model applied to original dataset</w:t>
      </w:r>
    </w:p>
    <w:tbl>
      <w:tblPr>
        <w:tblW w:w="4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1"/>
        <w:gridCol w:w="1407"/>
        <w:gridCol w:w="1405"/>
        <w:gridCol w:w="1408"/>
      </w:tblGrid>
      <w:tr w:rsidR="00DA2247" w:rsidRPr="009E5B5E" w:rsidTr="005A408B">
        <w:trPr>
          <w:cantSplit/>
          <w:trHeight w:val="233"/>
          <w:tblHeader/>
        </w:trPr>
        <w:tc>
          <w:tcPr>
            <w:tcW w:w="4920"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Model Summary</w:t>
            </w:r>
          </w:p>
        </w:tc>
      </w:tr>
      <w:tr w:rsidR="00DA2247" w:rsidRPr="009E5B5E" w:rsidTr="005A408B">
        <w:trPr>
          <w:cantSplit/>
          <w:trHeight w:val="467"/>
          <w:tblHeader/>
        </w:trPr>
        <w:tc>
          <w:tcPr>
            <w:tcW w:w="70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407"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-2 Log likelihood</w:t>
            </w:r>
          </w:p>
        </w:tc>
        <w:tc>
          <w:tcPr>
            <w:tcW w:w="1405"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Cox &amp; Snell R Square</w:t>
            </w:r>
          </w:p>
        </w:tc>
        <w:tc>
          <w:tcPr>
            <w:tcW w:w="1408"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Nagelkerke R Square</w:t>
            </w:r>
          </w:p>
        </w:tc>
      </w:tr>
      <w:tr w:rsidR="00DA2247" w:rsidRPr="009E5B5E" w:rsidTr="005A408B">
        <w:trPr>
          <w:cantSplit/>
          <w:trHeight w:val="218"/>
          <w:tblHeader/>
        </w:trPr>
        <w:tc>
          <w:tcPr>
            <w:tcW w:w="701" w:type="dxa"/>
            <w:tcBorders>
              <w:top w:val="single" w:sz="16" w:space="0" w:color="000000"/>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1407" w:type="dxa"/>
            <w:tcBorders>
              <w:top w:val="single" w:sz="16" w:space="0" w:color="000000"/>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4968.521</w:t>
            </w:r>
            <w:r w:rsidRPr="009E5B5E">
              <w:rPr>
                <w:rFonts w:ascii="Arial" w:hAnsi="Arial" w:cs="Arial"/>
                <w:color w:val="000000"/>
                <w:sz w:val="18"/>
                <w:szCs w:val="18"/>
                <w:vertAlign w:val="superscript"/>
              </w:rPr>
              <w:t>a</w:t>
            </w:r>
          </w:p>
        </w:tc>
        <w:tc>
          <w:tcPr>
            <w:tcW w:w="1405" w:type="dxa"/>
            <w:tcBorders>
              <w:top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.103</w:t>
            </w:r>
          </w:p>
        </w:tc>
        <w:tc>
          <w:tcPr>
            <w:tcW w:w="1408" w:type="dxa"/>
            <w:tcBorders>
              <w:top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.221</w:t>
            </w:r>
          </w:p>
        </w:tc>
      </w:tr>
      <w:tr w:rsidR="00DA2247" w:rsidRPr="009E5B5E" w:rsidTr="005A408B">
        <w:trPr>
          <w:cantSplit/>
          <w:trHeight w:val="934"/>
        </w:trPr>
        <w:tc>
          <w:tcPr>
            <w:tcW w:w="4920" w:type="dxa"/>
            <w:gridSpan w:val="4"/>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a. Estimation terminated at iteration number 8 because parameter estimates changed by less than .001.</w:t>
            </w:r>
          </w:p>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p>
        </w:tc>
      </w:tr>
    </w:tbl>
    <w:p w:rsidR="00DA2247" w:rsidRPr="009E5B5E" w:rsidRDefault="00DA2247" w:rsidP="00DA2247">
      <w:pPr>
        <w:spacing w:line="360" w:lineRule="auto"/>
        <w:jc w:val="both"/>
        <w:rPr>
          <w:b/>
          <w:bCs/>
          <w:sz w:val="24"/>
          <w:szCs w:val="24"/>
        </w:rPr>
      </w:pPr>
      <w:r w:rsidRPr="009E5B5E">
        <w:rPr>
          <w:b/>
          <w:bCs/>
          <w:sz w:val="24"/>
          <w:szCs w:val="24"/>
        </w:rPr>
        <w:t>Appendix 11.2: Model fit statistics- General model applied to reduced dataset</w:t>
      </w:r>
    </w:p>
    <w:tbl>
      <w:tblPr>
        <w:tblW w:w="5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56"/>
        <w:gridCol w:w="1454"/>
        <w:gridCol w:w="1456"/>
        <w:gridCol w:w="726"/>
      </w:tblGrid>
      <w:tr w:rsidR="00DA2247" w:rsidRPr="009E5B5E" w:rsidTr="005A408B">
        <w:trPr>
          <w:cantSplit/>
          <w:tblHeader/>
        </w:trPr>
        <w:tc>
          <w:tcPr>
            <w:tcW w:w="5092"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Model Summary</w:t>
            </w:r>
          </w:p>
        </w:tc>
      </w:tr>
      <w:tr w:rsidR="00DA2247" w:rsidRPr="009E5B5E" w:rsidTr="005A408B">
        <w:trPr>
          <w:gridAfter w:val="1"/>
          <w:wAfter w:w="726" w:type="dxa"/>
          <w:cantSplit/>
          <w:tblHeader/>
        </w:trPr>
        <w:tc>
          <w:tcPr>
            <w:tcW w:w="1456"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-2 Log likelihood</w:t>
            </w:r>
          </w:p>
        </w:tc>
        <w:tc>
          <w:tcPr>
            <w:tcW w:w="1454"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Cox &amp; Snell R Square</w:t>
            </w:r>
          </w:p>
        </w:tc>
        <w:tc>
          <w:tcPr>
            <w:tcW w:w="1456"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Nagelkerke R Square</w:t>
            </w:r>
          </w:p>
        </w:tc>
      </w:tr>
      <w:tr w:rsidR="00DA2247" w:rsidRPr="009E5B5E" w:rsidTr="005A408B">
        <w:trPr>
          <w:gridAfter w:val="1"/>
          <w:wAfter w:w="726" w:type="dxa"/>
          <w:cantSplit/>
          <w:tblHeader/>
        </w:trPr>
        <w:tc>
          <w:tcPr>
            <w:tcW w:w="1456" w:type="dxa"/>
            <w:tcBorders>
              <w:top w:val="single" w:sz="16" w:space="0" w:color="000000"/>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4757.514</w:t>
            </w:r>
            <w:r w:rsidRPr="009E5B5E">
              <w:rPr>
                <w:rFonts w:ascii="Arial" w:hAnsi="Arial" w:cs="Arial"/>
                <w:color w:val="000000"/>
                <w:sz w:val="18"/>
                <w:szCs w:val="18"/>
                <w:vertAlign w:val="superscript"/>
              </w:rPr>
              <w:t>a</w:t>
            </w:r>
          </w:p>
        </w:tc>
        <w:tc>
          <w:tcPr>
            <w:tcW w:w="1454" w:type="dxa"/>
            <w:tcBorders>
              <w:top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.102</w:t>
            </w:r>
          </w:p>
        </w:tc>
        <w:tc>
          <w:tcPr>
            <w:tcW w:w="1456" w:type="dxa"/>
            <w:tcBorders>
              <w:top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.220</w:t>
            </w:r>
          </w:p>
        </w:tc>
      </w:tr>
      <w:tr w:rsidR="00DA2247" w:rsidRPr="009E5B5E" w:rsidTr="005A408B">
        <w:trPr>
          <w:cantSplit/>
        </w:trPr>
        <w:tc>
          <w:tcPr>
            <w:tcW w:w="5092" w:type="dxa"/>
            <w:gridSpan w:val="4"/>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a. Estimation terminated at iteration number 8 because parameter estimates changed by less than .001.</w:t>
            </w:r>
          </w:p>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p>
        </w:tc>
      </w:tr>
    </w:tbl>
    <w:p w:rsidR="00DA2247" w:rsidRPr="009E5B5E" w:rsidRDefault="00DA2247" w:rsidP="00DA2247">
      <w:pPr>
        <w:spacing w:line="360" w:lineRule="auto"/>
        <w:jc w:val="both"/>
        <w:rPr>
          <w:i/>
          <w:iCs/>
          <w:sz w:val="24"/>
          <w:szCs w:val="24"/>
        </w:rPr>
      </w:pPr>
    </w:p>
    <w:p w:rsidR="00DA2247" w:rsidRPr="009E5B5E" w:rsidRDefault="00DA2247" w:rsidP="00DA2247">
      <w:pPr>
        <w:spacing w:line="360" w:lineRule="auto"/>
        <w:jc w:val="both"/>
        <w:rPr>
          <w:i/>
          <w:iCs/>
          <w:sz w:val="24"/>
          <w:szCs w:val="24"/>
        </w:rPr>
      </w:pPr>
      <w:r w:rsidRPr="009E5B5E">
        <w:rPr>
          <w:i/>
          <w:iCs/>
          <w:sz w:val="24"/>
          <w:szCs w:val="24"/>
        </w:rPr>
        <w:t>Gender Specific Model and Three-way interaction included model</w:t>
      </w:r>
    </w:p>
    <w:p w:rsidR="00DA2247" w:rsidRPr="009E5B5E" w:rsidRDefault="00DA2247" w:rsidP="00DA2247">
      <w:pPr>
        <w:spacing w:line="360" w:lineRule="auto"/>
        <w:jc w:val="both"/>
        <w:rPr>
          <w:sz w:val="24"/>
          <w:szCs w:val="24"/>
        </w:rPr>
      </w:pPr>
      <w:r w:rsidRPr="009E5B5E">
        <w:rPr>
          <w:sz w:val="24"/>
          <w:szCs w:val="24"/>
        </w:rPr>
        <w:t>Both fitted models have the same log-likelihood value of 1503.72 (see appendix 11.3), as well as that of their null models which is 1,606.33. This is because three-way interaction model is constructed by adding interaction term between in-store marketing, friend, and gender dummies as extra predictor variable into gender specific model, and that predictor does not contribute to the predictive power of the gender specific model. Accordingly, both models have the same model chi-square of 102.61. This chi-square is for both models significant as displayed in appendix 10.3 and 10.4, leading to the conclusion that overall the fitted model is significantly better at predicting a purchase decision made by a consumer than the null model.</w:t>
      </w:r>
    </w:p>
    <w:p w:rsidR="00DA2247" w:rsidRPr="009E5B5E" w:rsidRDefault="00DA2247" w:rsidP="00DA2247">
      <w:pPr>
        <w:spacing w:line="360" w:lineRule="auto"/>
        <w:jc w:val="both"/>
        <w:rPr>
          <w:sz w:val="24"/>
          <w:szCs w:val="24"/>
        </w:rPr>
      </w:pPr>
      <w:r w:rsidRPr="009E5B5E">
        <w:rPr>
          <w:b/>
          <w:bCs/>
          <w:sz w:val="24"/>
          <w:szCs w:val="24"/>
        </w:rPr>
        <w:lastRenderedPageBreak/>
        <w:t>Appendix 11.3: Model fit statistics- Gender specific and three-way interaction included model applied to gender restricted dataset</w:t>
      </w:r>
    </w:p>
    <w:tbl>
      <w:tblPr>
        <w:tblpPr w:leftFromText="180" w:rightFromText="180" w:vertAnchor="text" w:tblpY="1"/>
        <w:tblOverlap w:val="never"/>
        <w:tblW w:w="6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61"/>
        <w:gridCol w:w="1926"/>
        <w:gridCol w:w="1923"/>
        <w:gridCol w:w="1926"/>
      </w:tblGrid>
      <w:tr w:rsidR="00DA2247" w:rsidRPr="009E5B5E" w:rsidTr="005A408B">
        <w:trPr>
          <w:cantSplit/>
          <w:trHeight w:val="36"/>
          <w:tblHeader/>
        </w:trPr>
        <w:tc>
          <w:tcPr>
            <w:tcW w:w="6734"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Model Summary</w:t>
            </w:r>
          </w:p>
        </w:tc>
      </w:tr>
      <w:tr w:rsidR="00DA2247" w:rsidRPr="009E5B5E" w:rsidTr="005A408B">
        <w:trPr>
          <w:cantSplit/>
          <w:trHeight w:val="72"/>
          <w:tblHeader/>
        </w:trPr>
        <w:tc>
          <w:tcPr>
            <w:tcW w:w="961"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926"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-2 Log likelihood</w:t>
            </w:r>
          </w:p>
        </w:tc>
        <w:tc>
          <w:tcPr>
            <w:tcW w:w="1923"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Cox &amp; Snell R Square</w:t>
            </w:r>
          </w:p>
        </w:tc>
        <w:tc>
          <w:tcPr>
            <w:tcW w:w="1926"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Nagelkerke R Square</w:t>
            </w:r>
          </w:p>
        </w:tc>
      </w:tr>
      <w:tr w:rsidR="00DA2247" w:rsidRPr="009E5B5E" w:rsidTr="005A408B">
        <w:trPr>
          <w:cantSplit/>
          <w:trHeight w:val="33"/>
          <w:tblHeader/>
        </w:trPr>
        <w:tc>
          <w:tcPr>
            <w:tcW w:w="961" w:type="dxa"/>
            <w:tcBorders>
              <w:top w:val="single" w:sz="16" w:space="0" w:color="000000"/>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1926" w:type="dxa"/>
            <w:tcBorders>
              <w:top w:val="single" w:sz="16" w:space="0" w:color="000000"/>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1503.723</w:t>
            </w:r>
            <w:r w:rsidRPr="009E5B5E">
              <w:rPr>
                <w:rFonts w:ascii="Arial" w:hAnsi="Arial" w:cs="Arial"/>
                <w:color w:val="000000"/>
                <w:sz w:val="18"/>
                <w:szCs w:val="18"/>
                <w:vertAlign w:val="superscript"/>
              </w:rPr>
              <w:t>a</w:t>
            </w:r>
          </w:p>
        </w:tc>
        <w:tc>
          <w:tcPr>
            <w:tcW w:w="1923" w:type="dxa"/>
            <w:tcBorders>
              <w:top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.038</w:t>
            </w:r>
          </w:p>
        </w:tc>
        <w:tc>
          <w:tcPr>
            <w:tcW w:w="1926" w:type="dxa"/>
            <w:tcBorders>
              <w:top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.084</w:t>
            </w:r>
          </w:p>
        </w:tc>
      </w:tr>
      <w:tr w:rsidR="00DA2247" w:rsidRPr="009E5B5E" w:rsidTr="005A408B">
        <w:trPr>
          <w:cantSplit/>
          <w:trHeight w:val="900"/>
        </w:trPr>
        <w:tc>
          <w:tcPr>
            <w:tcW w:w="6734" w:type="dxa"/>
            <w:gridSpan w:val="4"/>
            <w:tcBorders>
              <w:top w:val="nil"/>
              <w:left w:val="nil"/>
              <w:bottom w:val="nil"/>
              <w:right w:val="nil"/>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a. Estimation terminated at iteration number 20 because maximum iterations has been reached. Final solution cannot be found.</w:t>
            </w:r>
          </w:p>
        </w:tc>
      </w:tr>
    </w:tbl>
    <w:p w:rsidR="00DA2247" w:rsidRPr="009E5B5E" w:rsidRDefault="00DA2247" w:rsidP="00DA2247">
      <w:pPr>
        <w:spacing w:line="360" w:lineRule="auto"/>
        <w:jc w:val="both"/>
        <w:rPr>
          <w:b/>
          <w:bCs/>
          <w:iCs/>
          <w:sz w:val="24"/>
          <w:szCs w:val="24"/>
        </w:rPr>
      </w:pPr>
      <w:r w:rsidRPr="009E5B5E">
        <w:rPr>
          <w:rFonts w:cs="Times New Roman"/>
          <w:sz w:val="24"/>
          <w:szCs w:val="24"/>
        </w:rPr>
        <w:br w:type="textWrapping" w:clear="all"/>
      </w:r>
    </w:p>
    <w:p w:rsidR="00DA2247" w:rsidRPr="009E5B5E" w:rsidRDefault="00DA2247" w:rsidP="00DA2247">
      <w:pPr>
        <w:spacing w:line="360" w:lineRule="auto"/>
        <w:jc w:val="both"/>
        <w:rPr>
          <w:b/>
          <w:bCs/>
          <w:iCs/>
          <w:sz w:val="24"/>
          <w:szCs w:val="24"/>
        </w:rPr>
      </w:pPr>
      <w:r w:rsidRPr="009E5B5E">
        <w:rPr>
          <w:b/>
          <w:bCs/>
          <w:iCs/>
          <w:sz w:val="28"/>
          <w:szCs w:val="28"/>
        </w:rPr>
        <w:t>Cox and Snell’s R</w:t>
      </w:r>
      <w:r w:rsidRPr="009E5B5E">
        <w:rPr>
          <w:b/>
          <w:bCs/>
          <w:iCs/>
          <w:sz w:val="28"/>
          <w:szCs w:val="28"/>
          <w:vertAlign w:val="superscript"/>
        </w:rPr>
        <w:t>2</w:t>
      </w:r>
      <w:r w:rsidRPr="009E5B5E">
        <w:rPr>
          <w:b/>
          <w:bCs/>
          <w:iCs/>
          <w:sz w:val="28"/>
          <w:szCs w:val="28"/>
        </w:rPr>
        <w:t xml:space="preserve"> and Nagelkerke’s R</w:t>
      </w:r>
      <w:r w:rsidRPr="009E5B5E">
        <w:rPr>
          <w:b/>
          <w:bCs/>
          <w:iCs/>
          <w:sz w:val="28"/>
          <w:szCs w:val="28"/>
          <w:vertAlign w:val="superscript"/>
        </w:rPr>
        <w:t>2</w:t>
      </w:r>
      <w:r w:rsidRPr="009E5B5E">
        <w:rPr>
          <w:b/>
          <w:bCs/>
          <w:iCs/>
          <w:sz w:val="28"/>
          <w:szCs w:val="28"/>
        </w:rPr>
        <w:t xml:space="preserve"> </w:t>
      </w:r>
    </w:p>
    <w:p w:rsidR="00DA2247" w:rsidRPr="009E5B5E" w:rsidRDefault="00DA2247" w:rsidP="00DA2247">
      <w:pPr>
        <w:spacing w:line="360" w:lineRule="auto"/>
        <w:jc w:val="both"/>
        <w:rPr>
          <w:iCs/>
          <w:sz w:val="24"/>
          <w:szCs w:val="24"/>
          <w:vertAlign w:val="superscript"/>
        </w:rPr>
      </w:pPr>
      <w:r w:rsidRPr="009E5B5E">
        <w:rPr>
          <w:rFonts w:cs="Times New Roman"/>
          <w:color w:val="000000" w:themeColor="text1"/>
          <w:sz w:val="24"/>
          <w:szCs w:val="24"/>
          <w:shd w:val="clear" w:color="auto" w:fill="FFFFFF"/>
        </w:rPr>
        <w:t xml:space="preserve">Both </w:t>
      </w:r>
      <w:r w:rsidRPr="009E5B5E">
        <w:rPr>
          <w:iCs/>
          <w:color w:val="000000" w:themeColor="text1"/>
          <w:sz w:val="24"/>
          <w:szCs w:val="24"/>
        </w:rPr>
        <w:t xml:space="preserve">Cox and Snell’s and Nagelkerke’s </w:t>
      </w:r>
      <w:r w:rsidRPr="009E5B5E">
        <w:rPr>
          <w:rFonts w:cs="Times New Roman"/>
          <w:color w:val="000000" w:themeColor="text1"/>
          <w:sz w:val="24"/>
          <w:szCs w:val="24"/>
          <w:shd w:val="clear" w:color="auto" w:fill="FFFFFF"/>
        </w:rPr>
        <w:t xml:space="preserve">R-squared values reflect the improvement from null model to fitted model. These R-square values are based on the ratio </w:t>
      </w:r>
      <w:r w:rsidRPr="009E5B5E">
        <w:rPr>
          <w:rStyle w:val="apple-converted-space"/>
          <w:rFonts w:cs="Times New Roman"/>
          <w:color w:val="000000" w:themeColor="text1"/>
          <w:sz w:val="24"/>
          <w:szCs w:val="24"/>
          <w:shd w:val="clear" w:color="auto" w:fill="FFFFFF"/>
        </w:rPr>
        <w:t xml:space="preserve">of the likelihood where </w:t>
      </w:r>
      <w:r w:rsidRPr="009E5B5E">
        <w:rPr>
          <w:rFonts w:cs="Times New Roman"/>
          <w:color w:val="000000" w:themeColor="text1"/>
          <w:sz w:val="24"/>
          <w:szCs w:val="24"/>
          <w:shd w:val="clear" w:color="auto" w:fill="FFFFFF"/>
        </w:rPr>
        <w:t>the sum of squared errors from the model without any independent variables- null model- as the denominator, while the numerator of the ratio is the sum of squared errors of the fitted model).</w:t>
      </w:r>
      <w:r w:rsidRPr="009E5B5E">
        <w:rPr>
          <w:rFonts w:cs="Times New Roman"/>
          <w:color w:val="4F81BD" w:themeColor="accent1"/>
          <w:sz w:val="24"/>
          <w:szCs w:val="24"/>
          <w:shd w:val="clear" w:color="auto" w:fill="FFFFFF"/>
        </w:rPr>
        <w:t xml:space="preserve">  </w:t>
      </w:r>
      <w:r w:rsidRPr="009E5B5E">
        <w:rPr>
          <w:rFonts w:cs="Times New Roman"/>
          <w:color w:val="000000" w:themeColor="text1"/>
          <w:sz w:val="24"/>
          <w:szCs w:val="24"/>
          <w:shd w:val="clear" w:color="auto" w:fill="FFFFFF"/>
        </w:rPr>
        <w:t>This ratio indicates to what extent the model parameters improve the predictive power of the null model.  As this ratio becomes smaller, the improvement becomes greater, and the higher R-squared will be displayed.</w:t>
      </w:r>
      <w:r w:rsidRPr="009E5B5E">
        <w:rPr>
          <w:color w:val="4F81BD" w:themeColor="accent1"/>
          <w:sz w:val="24"/>
          <w:szCs w:val="24"/>
        </w:rPr>
        <w:t xml:space="preserve"> </w:t>
      </w:r>
      <w:r w:rsidRPr="009E5B5E">
        <w:rPr>
          <w:rFonts w:cs="Times New Roman"/>
          <w:color w:val="000000"/>
          <w:sz w:val="24"/>
          <w:szCs w:val="24"/>
          <w:shd w:val="clear" w:color="auto" w:fill="FFFFFF"/>
        </w:rPr>
        <w:t xml:space="preserve">This rule applies to both </w:t>
      </w:r>
      <w:r w:rsidRPr="009E5B5E">
        <w:rPr>
          <w:iCs/>
          <w:sz w:val="24"/>
          <w:szCs w:val="24"/>
        </w:rPr>
        <w:t>Cox and Snell’s R</w:t>
      </w:r>
      <w:r w:rsidRPr="009E5B5E">
        <w:rPr>
          <w:iCs/>
          <w:sz w:val="24"/>
          <w:szCs w:val="24"/>
          <w:vertAlign w:val="superscript"/>
        </w:rPr>
        <w:t>2</w:t>
      </w:r>
      <w:r w:rsidRPr="009E5B5E">
        <w:rPr>
          <w:iCs/>
          <w:sz w:val="24"/>
          <w:szCs w:val="24"/>
        </w:rPr>
        <w:t xml:space="preserve"> and Nagelkerke’s R</w:t>
      </w:r>
      <w:r w:rsidRPr="009E5B5E">
        <w:rPr>
          <w:iCs/>
          <w:sz w:val="24"/>
          <w:szCs w:val="24"/>
          <w:vertAlign w:val="superscript"/>
        </w:rPr>
        <w:t>2</w:t>
      </w:r>
      <w:r w:rsidRPr="009E5B5E">
        <w:rPr>
          <w:iCs/>
          <w:sz w:val="24"/>
          <w:szCs w:val="24"/>
        </w:rPr>
        <w:t>. However, it is important to remark that Cox and Snell’s R</w:t>
      </w:r>
      <w:r w:rsidRPr="009E5B5E">
        <w:rPr>
          <w:iCs/>
          <w:sz w:val="24"/>
          <w:szCs w:val="24"/>
          <w:vertAlign w:val="superscript"/>
        </w:rPr>
        <w:t xml:space="preserve">2 </w:t>
      </w:r>
      <w:r w:rsidRPr="009E5B5E">
        <w:rPr>
          <w:rFonts w:cs="Times New Roman"/>
          <w:color w:val="000000"/>
          <w:sz w:val="24"/>
          <w:szCs w:val="24"/>
          <w:shd w:val="clear" w:color="auto" w:fill="FFFFFF"/>
        </w:rPr>
        <w:t>takes maximum value of less than one. Therefore, Nagelkerke</w:t>
      </w:r>
      <w:r w:rsidRPr="009E5B5E">
        <w:rPr>
          <w:iCs/>
          <w:sz w:val="24"/>
          <w:szCs w:val="24"/>
        </w:rPr>
        <w:t xml:space="preserve"> R</w:t>
      </w:r>
      <w:r w:rsidRPr="009E5B5E">
        <w:rPr>
          <w:iCs/>
          <w:sz w:val="24"/>
          <w:szCs w:val="24"/>
          <w:vertAlign w:val="superscript"/>
        </w:rPr>
        <w:t>2</w:t>
      </w:r>
      <w:r w:rsidRPr="009E5B5E">
        <w:rPr>
          <w:rFonts w:cs="Times New Roman"/>
          <w:color w:val="000000"/>
          <w:sz w:val="24"/>
          <w:szCs w:val="24"/>
          <w:shd w:val="clear" w:color="auto" w:fill="FFFFFF"/>
        </w:rPr>
        <w:t xml:space="preserve"> is the adjusted computation of Cox &amp; Snell's so that the maximum values can reach one.</w:t>
      </w:r>
    </w:p>
    <w:p w:rsidR="00DA2247" w:rsidRPr="009E5B5E" w:rsidRDefault="00DA2247" w:rsidP="00DA2247">
      <w:pPr>
        <w:spacing w:line="360" w:lineRule="auto"/>
        <w:jc w:val="both"/>
        <w:rPr>
          <w:i/>
          <w:iCs/>
          <w:sz w:val="24"/>
          <w:szCs w:val="24"/>
        </w:rPr>
      </w:pPr>
      <w:r w:rsidRPr="009E5B5E">
        <w:rPr>
          <w:i/>
          <w:iCs/>
          <w:sz w:val="24"/>
          <w:szCs w:val="24"/>
        </w:rPr>
        <w:t>General Model</w:t>
      </w:r>
    </w:p>
    <w:p w:rsidR="00DA2247" w:rsidRPr="009E5B5E" w:rsidRDefault="00DA2247" w:rsidP="00DA2247">
      <w:pPr>
        <w:spacing w:line="360" w:lineRule="auto"/>
        <w:jc w:val="both"/>
        <w:rPr>
          <w:sz w:val="24"/>
          <w:szCs w:val="24"/>
        </w:rPr>
      </w:pPr>
      <w:r w:rsidRPr="009E5B5E">
        <w:rPr>
          <w:sz w:val="24"/>
          <w:szCs w:val="24"/>
        </w:rPr>
        <w:t>Cox and Snell’s R</w:t>
      </w:r>
      <w:r w:rsidRPr="009E5B5E">
        <w:rPr>
          <w:sz w:val="24"/>
          <w:szCs w:val="24"/>
          <w:vertAlign w:val="superscript"/>
        </w:rPr>
        <w:t>2</w:t>
      </w:r>
      <w:r w:rsidRPr="009E5B5E">
        <w:rPr>
          <w:sz w:val="24"/>
          <w:szCs w:val="24"/>
        </w:rPr>
        <w:t xml:space="preserve"> and Nagelkerke’s R</w:t>
      </w:r>
      <w:r w:rsidRPr="009E5B5E">
        <w:rPr>
          <w:sz w:val="24"/>
          <w:szCs w:val="24"/>
          <w:vertAlign w:val="superscript"/>
        </w:rPr>
        <w:t xml:space="preserve">2 </w:t>
      </w:r>
      <w:r w:rsidRPr="009E5B5E">
        <w:rPr>
          <w:sz w:val="24"/>
          <w:szCs w:val="24"/>
        </w:rPr>
        <w:t>statistics were obtained in the same table as the log-likelihood. As displayed in appendix 11.1, when applied general model to the original dataset, Cox and Snell’s R</w:t>
      </w:r>
      <w:r w:rsidRPr="009E5B5E">
        <w:rPr>
          <w:sz w:val="24"/>
          <w:szCs w:val="24"/>
          <w:vertAlign w:val="superscript"/>
        </w:rPr>
        <w:t>2</w:t>
      </w:r>
      <w:r w:rsidRPr="009E5B5E">
        <w:rPr>
          <w:sz w:val="24"/>
          <w:szCs w:val="24"/>
        </w:rPr>
        <w:t xml:space="preserve"> took a value of 0.103, and Nagelkerke’s R</w:t>
      </w:r>
      <w:r w:rsidRPr="009E5B5E">
        <w:rPr>
          <w:sz w:val="24"/>
          <w:szCs w:val="24"/>
          <w:vertAlign w:val="superscript"/>
        </w:rPr>
        <w:t>2</w:t>
      </w:r>
      <w:r w:rsidRPr="009E5B5E">
        <w:rPr>
          <w:sz w:val="24"/>
          <w:szCs w:val="24"/>
        </w:rPr>
        <w:t xml:space="preserve"> took a value of 0.221. These values indicated that there was a medium improvement in the prediction power of model when all predictors are included, in comparison to the model with only constant included. </w:t>
      </w:r>
    </w:p>
    <w:p w:rsidR="00DA2247" w:rsidRPr="009E5B5E" w:rsidRDefault="00DA2247" w:rsidP="00DA2247">
      <w:pPr>
        <w:spacing w:line="360" w:lineRule="auto"/>
        <w:jc w:val="both"/>
        <w:rPr>
          <w:sz w:val="24"/>
          <w:szCs w:val="24"/>
        </w:rPr>
      </w:pPr>
      <w:r w:rsidRPr="009E5B5E">
        <w:rPr>
          <w:sz w:val="24"/>
          <w:szCs w:val="24"/>
        </w:rPr>
        <w:t>When general model was applied to the reduced dataset, Cox and Snell’s R</w:t>
      </w:r>
      <w:r w:rsidRPr="009E5B5E">
        <w:rPr>
          <w:sz w:val="24"/>
          <w:szCs w:val="24"/>
          <w:vertAlign w:val="superscript"/>
        </w:rPr>
        <w:t>2</w:t>
      </w:r>
      <w:r w:rsidRPr="009E5B5E">
        <w:rPr>
          <w:sz w:val="24"/>
          <w:szCs w:val="24"/>
        </w:rPr>
        <w:t xml:space="preserve"> and Nagelkerke’s R</w:t>
      </w:r>
      <w:r w:rsidRPr="009E5B5E">
        <w:rPr>
          <w:sz w:val="24"/>
          <w:szCs w:val="24"/>
          <w:vertAlign w:val="superscript"/>
        </w:rPr>
        <w:t>2</w:t>
      </w:r>
      <w:r w:rsidRPr="009E5B5E">
        <w:rPr>
          <w:sz w:val="24"/>
          <w:szCs w:val="24"/>
        </w:rPr>
        <w:t xml:space="preserve"> statistics were 0.102 and 0.22 respectively as displayed in appendix 11.2. This showed a considerably medium contribution of the predictor variables to predictive power of the model.</w:t>
      </w:r>
    </w:p>
    <w:p w:rsidR="00DA2247" w:rsidRPr="009E5B5E" w:rsidRDefault="00DA2247" w:rsidP="00DA2247">
      <w:pPr>
        <w:spacing w:line="360" w:lineRule="auto"/>
        <w:jc w:val="both"/>
        <w:rPr>
          <w:i/>
          <w:iCs/>
          <w:sz w:val="24"/>
          <w:szCs w:val="24"/>
        </w:rPr>
      </w:pPr>
    </w:p>
    <w:p w:rsidR="00DA2247" w:rsidRPr="009E5B5E" w:rsidRDefault="00DA2247" w:rsidP="00DA2247">
      <w:pPr>
        <w:spacing w:line="360" w:lineRule="auto"/>
        <w:jc w:val="both"/>
        <w:rPr>
          <w:i/>
          <w:iCs/>
          <w:sz w:val="24"/>
          <w:szCs w:val="24"/>
        </w:rPr>
      </w:pPr>
      <w:r w:rsidRPr="009E5B5E">
        <w:rPr>
          <w:i/>
          <w:iCs/>
          <w:sz w:val="24"/>
          <w:szCs w:val="24"/>
        </w:rPr>
        <w:lastRenderedPageBreak/>
        <w:t>Gender Specific Model and Three-way interaction included model</w:t>
      </w:r>
    </w:p>
    <w:p w:rsidR="00DA2247" w:rsidRPr="009E5B5E" w:rsidRDefault="00DA2247" w:rsidP="00DA2247">
      <w:pPr>
        <w:tabs>
          <w:tab w:val="left" w:pos="5666"/>
        </w:tabs>
        <w:spacing w:line="360" w:lineRule="auto"/>
        <w:jc w:val="both"/>
        <w:rPr>
          <w:sz w:val="24"/>
          <w:szCs w:val="24"/>
        </w:rPr>
      </w:pPr>
      <w:r w:rsidRPr="009E5B5E">
        <w:rPr>
          <w:sz w:val="24"/>
          <w:szCs w:val="24"/>
        </w:rPr>
        <w:t>Cox and Snell’s R</w:t>
      </w:r>
      <w:r w:rsidRPr="009E5B5E">
        <w:rPr>
          <w:sz w:val="24"/>
          <w:szCs w:val="24"/>
          <w:vertAlign w:val="superscript"/>
        </w:rPr>
        <w:t>2</w:t>
      </w:r>
      <w:r w:rsidRPr="009E5B5E">
        <w:rPr>
          <w:sz w:val="24"/>
          <w:szCs w:val="24"/>
        </w:rPr>
        <w:t xml:space="preserve"> and Nagelkerke’s R</w:t>
      </w:r>
      <w:r w:rsidRPr="009E5B5E">
        <w:rPr>
          <w:sz w:val="24"/>
          <w:szCs w:val="24"/>
          <w:vertAlign w:val="superscript"/>
        </w:rPr>
        <w:t>2</w:t>
      </w:r>
      <w:r w:rsidRPr="009E5B5E">
        <w:rPr>
          <w:sz w:val="24"/>
          <w:szCs w:val="24"/>
        </w:rPr>
        <w:t xml:space="preserve"> statistics of both gender specific and three-way interaction included model were 0.038 and 0.084 as displayed in appendix 11.3. This indicated that in comparison to the null model, the predictors included in the fitted model very slightly improved the predictive power of the model.</w:t>
      </w:r>
    </w:p>
    <w:p w:rsidR="00DA2247" w:rsidRPr="009E5B5E" w:rsidRDefault="00DA2247" w:rsidP="00DA2247">
      <w:pPr>
        <w:spacing w:line="360" w:lineRule="auto"/>
        <w:jc w:val="both"/>
        <w:rPr>
          <w:b/>
          <w:bCs/>
          <w:iCs/>
          <w:sz w:val="28"/>
          <w:szCs w:val="28"/>
        </w:rPr>
      </w:pPr>
    </w:p>
    <w:p w:rsidR="00DA2247" w:rsidRPr="009E5B5E" w:rsidRDefault="00DA2247" w:rsidP="00DA2247">
      <w:pPr>
        <w:spacing w:line="360" w:lineRule="auto"/>
        <w:jc w:val="both"/>
        <w:rPr>
          <w:b/>
          <w:bCs/>
          <w:sz w:val="28"/>
          <w:szCs w:val="28"/>
        </w:rPr>
      </w:pPr>
      <w:r w:rsidRPr="009E5B5E">
        <w:rPr>
          <w:b/>
          <w:bCs/>
          <w:iCs/>
          <w:sz w:val="28"/>
          <w:szCs w:val="28"/>
        </w:rPr>
        <w:t>Hosmer and Lemeshow</w:t>
      </w:r>
      <w:r w:rsidRPr="009E5B5E">
        <w:rPr>
          <w:b/>
          <w:bCs/>
          <w:sz w:val="28"/>
          <w:szCs w:val="28"/>
        </w:rPr>
        <w:t xml:space="preserve"> goodness of fit</w:t>
      </w:r>
    </w:p>
    <w:p w:rsidR="00DA2247" w:rsidRPr="009E5B5E" w:rsidRDefault="00DA2247" w:rsidP="00DA2247">
      <w:pPr>
        <w:spacing w:line="360" w:lineRule="auto"/>
        <w:jc w:val="both"/>
        <w:rPr>
          <w:rFonts w:cs="Times New Roman"/>
          <w:color w:val="000000"/>
          <w:sz w:val="24"/>
          <w:szCs w:val="24"/>
          <w:shd w:val="clear" w:color="auto" w:fill="FFFFFF"/>
        </w:rPr>
      </w:pPr>
      <w:r w:rsidRPr="009E5B5E">
        <w:rPr>
          <w:sz w:val="24"/>
          <w:szCs w:val="24"/>
        </w:rPr>
        <w:t xml:space="preserve">This statistical test is used to examine the goodness of fit for logistic regression. </w:t>
      </w:r>
      <w:r w:rsidRPr="009E5B5E">
        <w:rPr>
          <w:rFonts w:cs="Times New Roman"/>
          <w:color w:val="000000"/>
          <w:sz w:val="24"/>
          <w:szCs w:val="24"/>
          <w:shd w:val="clear" w:color="auto" w:fill="FFFFFF"/>
        </w:rPr>
        <w:t xml:space="preserve">The concept of Hosmer and Lemeshow's goodness-of-fit is that the predicted frequency should fit closely to the observed frequency. The more closely they match, the better the fit of the model. </w:t>
      </w:r>
      <w:r w:rsidRPr="009E5B5E">
        <w:rPr>
          <w:sz w:val="24"/>
          <w:szCs w:val="24"/>
        </w:rPr>
        <w:t xml:space="preserve">Hosmer and Lemeshow statistic is calculated </w:t>
      </w:r>
      <w:r w:rsidRPr="009E5B5E">
        <w:rPr>
          <w:rFonts w:cs="Times New Roman"/>
          <w:color w:val="000000"/>
          <w:sz w:val="24"/>
          <w:szCs w:val="24"/>
          <w:shd w:val="clear" w:color="auto" w:fill="FFFFFF"/>
        </w:rPr>
        <w:t>from the contingency table of observed and expected counts</w:t>
      </w:r>
      <w:r w:rsidRPr="009E5B5E">
        <w:rPr>
          <w:sz w:val="24"/>
          <w:szCs w:val="24"/>
        </w:rPr>
        <w:t xml:space="preserve"> as Pearson chi-square. Large chi-square value and significant p-value at 0.05 level indicate a poor fit of the model. </w:t>
      </w:r>
    </w:p>
    <w:p w:rsidR="00DA2247" w:rsidRPr="009E5B5E" w:rsidRDefault="00DA2247" w:rsidP="00DA2247">
      <w:pPr>
        <w:spacing w:line="360" w:lineRule="auto"/>
        <w:jc w:val="both"/>
        <w:rPr>
          <w:rFonts w:cs="Times New Roman"/>
          <w:i/>
          <w:iCs/>
          <w:color w:val="000000"/>
          <w:sz w:val="24"/>
          <w:szCs w:val="24"/>
          <w:shd w:val="clear" w:color="auto" w:fill="FFFFFF"/>
        </w:rPr>
      </w:pPr>
      <w:r w:rsidRPr="009E5B5E">
        <w:rPr>
          <w:rFonts w:cs="Times New Roman"/>
          <w:i/>
          <w:iCs/>
          <w:color w:val="000000"/>
          <w:sz w:val="24"/>
          <w:szCs w:val="24"/>
          <w:shd w:val="clear" w:color="auto" w:fill="FFFFFF"/>
        </w:rPr>
        <w:t>General Model</w:t>
      </w:r>
    </w:p>
    <w:p w:rsidR="00DA2247" w:rsidRPr="009E5B5E" w:rsidRDefault="00DA2247" w:rsidP="00DA2247">
      <w:pPr>
        <w:spacing w:line="360" w:lineRule="auto"/>
        <w:jc w:val="both"/>
        <w:rPr>
          <w:sz w:val="24"/>
          <w:szCs w:val="24"/>
        </w:rPr>
      </w:pPr>
      <w:r w:rsidRPr="009E5B5E">
        <w:rPr>
          <w:rFonts w:cs="Times New Roman"/>
          <w:color w:val="000000"/>
          <w:sz w:val="24"/>
          <w:szCs w:val="24"/>
          <w:shd w:val="clear" w:color="auto" w:fill="FFFFFF"/>
        </w:rPr>
        <w:t>As general model was applied to the original dataset, Hosmer and Lemeshow’s chi square was 52.320with p-value of 0.000 (see appendix 11.4). One can therefore conclude that the general model does not fit the original data well.</w:t>
      </w:r>
      <w:r w:rsidRPr="009E5B5E">
        <w:rPr>
          <w:sz w:val="24"/>
          <w:szCs w:val="24"/>
        </w:rPr>
        <w:t xml:space="preserve"> This was also the case when </w:t>
      </w:r>
      <w:r w:rsidRPr="009E5B5E">
        <w:rPr>
          <w:rFonts w:cs="Times New Roman"/>
          <w:color w:val="000000"/>
          <w:sz w:val="24"/>
          <w:szCs w:val="24"/>
          <w:shd w:val="clear" w:color="auto" w:fill="FFFFFF"/>
        </w:rPr>
        <w:t>general model was applied to the reduced dataset</w:t>
      </w:r>
      <w:r w:rsidRPr="009E5B5E">
        <w:rPr>
          <w:sz w:val="24"/>
          <w:szCs w:val="24"/>
        </w:rPr>
        <w:t xml:space="preserve"> since the chi-square was 43.80 with p -value of 0.00 as displayed in </w:t>
      </w:r>
      <w:r w:rsidRPr="009E5B5E">
        <w:rPr>
          <w:rFonts w:cs="Times New Roman"/>
          <w:color w:val="000000"/>
          <w:sz w:val="24"/>
          <w:szCs w:val="24"/>
          <w:shd w:val="clear" w:color="auto" w:fill="FFFFFF"/>
        </w:rPr>
        <w:t>appendix 11.5</w:t>
      </w:r>
      <w:r w:rsidRPr="009E5B5E">
        <w:rPr>
          <w:sz w:val="24"/>
          <w:szCs w:val="24"/>
        </w:rPr>
        <w:t>.</w:t>
      </w:r>
    </w:p>
    <w:p w:rsidR="00DA2247" w:rsidRPr="009E5B5E" w:rsidRDefault="00DA2247" w:rsidP="00DA2247">
      <w:pPr>
        <w:spacing w:line="360" w:lineRule="auto"/>
        <w:jc w:val="both"/>
        <w:rPr>
          <w:i/>
          <w:iCs/>
          <w:sz w:val="24"/>
          <w:szCs w:val="24"/>
        </w:rPr>
      </w:pPr>
      <w:r w:rsidRPr="009E5B5E">
        <w:rPr>
          <w:i/>
          <w:iCs/>
          <w:sz w:val="24"/>
          <w:szCs w:val="24"/>
        </w:rPr>
        <w:t>Gender Specific Model and Three-way interaction included model</w:t>
      </w:r>
    </w:p>
    <w:p w:rsidR="00DA2247" w:rsidRPr="009E5B5E" w:rsidRDefault="00DA2247" w:rsidP="00DA2247">
      <w:pPr>
        <w:spacing w:line="360" w:lineRule="auto"/>
        <w:jc w:val="both"/>
        <w:rPr>
          <w:sz w:val="24"/>
          <w:szCs w:val="24"/>
        </w:rPr>
      </w:pPr>
      <w:r w:rsidRPr="009E5B5E">
        <w:rPr>
          <w:sz w:val="24"/>
          <w:szCs w:val="24"/>
        </w:rPr>
        <w:t xml:space="preserve">As illustrated in </w:t>
      </w:r>
      <w:r w:rsidRPr="009E5B5E">
        <w:rPr>
          <w:rFonts w:cs="Times New Roman"/>
          <w:color w:val="000000"/>
          <w:sz w:val="24"/>
          <w:szCs w:val="24"/>
          <w:shd w:val="clear" w:color="auto" w:fill="FFFFFF"/>
        </w:rPr>
        <w:t>appendix 11.</w:t>
      </w:r>
      <w:r w:rsidRPr="009E5B5E">
        <w:rPr>
          <w:sz w:val="24"/>
          <w:szCs w:val="24"/>
        </w:rPr>
        <w:t xml:space="preserve">6, </w:t>
      </w:r>
      <w:r w:rsidRPr="009E5B5E">
        <w:rPr>
          <w:rFonts w:cs="Times New Roman"/>
          <w:color w:val="000000"/>
          <w:sz w:val="24"/>
          <w:szCs w:val="24"/>
          <w:shd w:val="clear" w:color="auto" w:fill="FFFFFF"/>
        </w:rPr>
        <w:t xml:space="preserve">Hosmer and Lemeshow’s chi square of </w:t>
      </w:r>
      <w:r w:rsidRPr="009E5B5E">
        <w:rPr>
          <w:sz w:val="24"/>
          <w:szCs w:val="24"/>
        </w:rPr>
        <w:t>both gender specific and three-way interaction included models was 5.57 with p-value 0.7. Therefore, it can be concluded that the both model indifferently fits the gender-restricted data quite well.</w:t>
      </w:r>
    </w:p>
    <w:p w:rsidR="00DA2247" w:rsidRPr="009E5B5E" w:rsidRDefault="00DA2247" w:rsidP="00DA2247">
      <w:pPr>
        <w:spacing w:line="360" w:lineRule="auto"/>
        <w:jc w:val="both"/>
        <w:rPr>
          <w:sz w:val="24"/>
          <w:szCs w:val="24"/>
        </w:rPr>
      </w:pPr>
      <w:r w:rsidRPr="009E5B5E">
        <w:rPr>
          <w:b/>
          <w:bCs/>
          <w:color w:val="000000" w:themeColor="text1"/>
          <w:sz w:val="24"/>
          <w:szCs w:val="24"/>
        </w:rPr>
        <w:t>Appendix 11.4: Hosmer and Lemeshow test- General model applied to original dataset</w:t>
      </w:r>
    </w:p>
    <w:tbl>
      <w:tblPr>
        <w:tblW w:w="3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231"/>
        <w:gridCol w:w="1009"/>
        <w:gridCol w:w="1011"/>
      </w:tblGrid>
      <w:tr w:rsidR="00DA2247" w:rsidRPr="009E5B5E" w:rsidTr="005A408B">
        <w:trPr>
          <w:cantSplit/>
          <w:tblHeader/>
        </w:trPr>
        <w:tc>
          <w:tcPr>
            <w:tcW w:w="3975"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Hosmer and Lemeshow Test</w:t>
            </w:r>
          </w:p>
        </w:tc>
      </w:tr>
      <w:tr w:rsidR="00DA2247" w:rsidRPr="009E5B5E" w:rsidTr="005A408B">
        <w:trPr>
          <w:cantSplit/>
          <w:tblHeader/>
        </w:trPr>
        <w:tc>
          <w:tcPr>
            <w:tcW w:w="72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230"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Chi-square</w:t>
            </w:r>
          </w:p>
        </w:tc>
        <w:tc>
          <w:tcPr>
            <w:tcW w:w="1008"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0"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r>
      <w:tr w:rsidR="00DA2247" w:rsidRPr="009E5B5E" w:rsidTr="005A408B">
        <w:trPr>
          <w:cantSplit/>
        </w:trPr>
        <w:tc>
          <w:tcPr>
            <w:tcW w:w="727" w:type="dxa"/>
            <w:tcBorders>
              <w:top w:val="single" w:sz="16" w:space="0" w:color="000000"/>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1230" w:type="dxa"/>
            <w:tcBorders>
              <w:top w:val="single" w:sz="16" w:space="0" w:color="000000"/>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52.320</w:t>
            </w:r>
          </w:p>
        </w:tc>
        <w:tc>
          <w:tcPr>
            <w:tcW w:w="1008" w:type="dxa"/>
            <w:tcBorders>
              <w:top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w:t>
            </w:r>
          </w:p>
        </w:tc>
        <w:tc>
          <w:tcPr>
            <w:tcW w:w="1010" w:type="dxa"/>
            <w:tcBorders>
              <w:top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bl>
    <w:p w:rsidR="00DA2247" w:rsidRPr="009E5B5E" w:rsidRDefault="00DA2247" w:rsidP="00DA2247">
      <w:pPr>
        <w:spacing w:line="360" w:lineRule="auto"/>
        <w:jc w:val="both"/>
        <w:rPr>
          <w:b/>
          <w:bCs/>
          <w:color w:val="000000" w:themeColor="text1"/>
          <w:sz w:val="24"/>
          <w:szCs w:val="24"/>
        </w:rPr>
      </w:pPr>
    </w:p>
    <w:p w:rsidR="00DA2247" w:rsidRPr="009E5B5E" w:rsidRDefault="00DA2247" w:rsidP="00DA2247">
      <w:pPr>
        <w:spacing w:line="360" w:lineRule="auto"/>
        <w:jc w:val="both"/>
        <w:rPr>
          <w:b/>
          <w:bCs/>
          <w:color w:val="000000" w:themeColor="text1"/>
          <w:sz w:val="24"/>
          <w:szCs w:val="24"/>
        </w:rPr>
      </w:pPr>
      <w:r w:rsidRPr="009E5B5E">
        <w:rPr>
          <w:b/>
          <w:bCs/>
          <w:color w:val="000000" w:themeColor="text1"/>
          <w:sz w:val="24"/>
          <w:szCs w:val="24"/>
        </w:rPr>
        <w:lastRenderedPageBreak/>
        <w:t>Appendix 11.5: Hosmer and Lemeshow test- General model applied to reduced dataset</w:t>
      </w:r>
    </w:p>
    <w:tbl>
      <w:tblPr>
        <w:tblW w:w="39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231"/>
        <w:gridCol w:w="1009"/>
        <w:gridCol w:w="1011"/>
      </w:tblGrid>
      <w:tr w:rsidR="00DA2247" w:rsidRPr="009E5B5E" w:rsidTr="005A408B">
        <w:trPr>
          <w:cantSplit/>
          <w:tblHeader/>
        </w:trPr>
        <w:tc>
          <w:tcPr>
            <w:tcW w:w="3977"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Hosmer and Lemeshow Test</w:t>
            </w:r>
          </w:p>
        </w:tc>
      </w:tr>
      <w:tr w:rsidR="00DA2247" w:rsidRPr="009E5B5E" w:rsidTr="005A408B">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231"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Chi-square</w:t>
            </w:r>
          </w:p>
        </w:tc>
        <w:tc>
          <w:tcPr>
            <w:tcW w:w="1009"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1"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r>
      <w:tr w:rsidR="00DA2247" w:rsidRPr="009E5B5E" w:rsidTr="005A408B">
        <w:trPr>
          <w:cantSplit/>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1231" w:type="dxa"/>
            <w:tcBorders>
              <w:top w:val="single" w:sz="16" w:space="0" w:color="000000"/>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43.801</w:t>
            </w:r>
          </w:p>
        </w:tc>
        <w:tc>
          <w:tcPr>
            <w:tcW w:w="1009" w:type="dxa"/>
            <w:tcBorders>
              <w:top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w:t>
            </w:r>
          </w:p>
        </w:tc>
        <w:tc>
          <w:tcPr>
            <w:tcW w:w="1011" w:type="dxa"/>
            <w:tcBorders>
              <w:top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.000</w:t>
            </w:r>
          </w:p>
        </w:tc>
      </w:tr>
    </w:tbl>
    <w:p w:rsidR="00DA2247" w:rsidRPr="009E5B5E" w:rsidRDefault="00DA2247" w:rsidP="00DA2247">
      <w:pPr>
        <w:spacing w:line="360" w:lineRule="auto"/>
        <w:jc w:val="both"/>
        <w:rPr>
          <w:color w:val="000000" w:themeColor="text1"/>
          <w:sz w:val="20"/>
          <w:szCs w:val="20"/>
        </w:rPr>
      </w:pPr>
    </w:p>
    <w:p w:rsidR="00DA2247" w:rsidRPr="009E5B5E" w:rsidRDefault="00DA2247" w:rsidP="00DA2247">
      <w:pPr>
        <w:spacing w:line="360" w:lineRule="auto"/>
        <w:jc w:val="both"/>
        <w:rPr>
          <w:b/>
          <w:bCs/>
          <w:color w:val="000000" w:themeColor="text1"/>
          <w:sz w:val="24"/>
          <w:szCs w:val="24"/>
        </w:rPr>
      </w:pPr>
      <w:r w:rsidRPr="009E5B5E">
        <w:rPr>
          <w:b/>
          <w:bCs/>
          <w:color w:val="000000" w:themeColor="text1"/>
          <w:sz w:val="24"/>
          <w:szCs w:val="24"/>
        </w:rPr>
        <w:t>Appendix 11.6: Hosmer and Lemeshow test- Gender specific and three-way interaction included model.</w:t>
      </w:r>
    </w:p>
    <w:tbl>
      <w:tblPr>
        <w:tblpPr w:leftFromText="180" w:rightFromText="180" w:vertAnchor="text" w:horzAnchor="margin" w:tblpY="229"/>
        <w:tblW w:w="3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231"/>
        <w:gridCol w:w="1010"/>
        <w:gridCol w:w="1011"/>
      </w:tblGrid>
      <w:tr w:rsidR="00DA2247" w:rsidRPr="009E5B5E" w:rsidTr="005A408B">
        <w:trPr>
          <w:cantSplit/>
          <w:tblHeader/>
        </w:trPr>
        <w:tc>
          <w:tcPr>
            <w:tcW w:w="3978" w:type="dxa"/>
            <w:gridSpan w:val="4"/>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b/>
                <w:bCs/>
                <w:color w:val="000000"/>
                <w:sz w:val="18"/>
                <w:szCs w:val="18"/>
              </w:rPr>
              <w:t>Hosmer and Lemeshow Test</w:t>
            </w:r>
          </w:p>
        </w:tc>
      </w:tr>
      <w:tr w:rsidR="00DA2247" w:rsidRPr="009E5B5E" w:rsidTr="005A408B">
        <w:trPr>
          <w:cantSplit/>
          <w:tblHeader/>
        </w:trPr>
        <w:tc>
          <w:tcPr>
            <w:tcW w:w="726"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Step</w:t>
            </w:r>
          </w:p>
        </w:tc>
        <w:tc>
          <w:tcPr>
            <w:tcW w:w="1231" w:type="dxa"/>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Chi-square</w:t>
            </w:r>
          </w:p>
        </w:tc>
        <w:tc>
          <w:tcPr>
            <w:tcW w:w="1010" w:type="dxa"/>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1011" w:type="dxa"/>
            <w:tcBorders>
              <w:top w:val="single" w:sz="16" w:space="0" w:color="000000"/>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line="320" w:lineRule="atLeast"/>
              <w:ind w:left="60" w:right="60"/>
              <w:jc w:val="center"/>
              <w:rPr>
                <w:rFonts w:ascii="Arial" w:hAnsi="Arial" w:cs="Arial"/>
                <w:color w:val="000000"/>
                <w:sz w:val="18"/>
                <w:szCs w:val="18"/>
              </w:rPr>
            </w:pPr>
            <w:r w:rsidRPr="009E5B5E">
              <w:rPr>
                <w:rFonts w:ascii="Arial" w:hAnsi="Arial" w:cs="Arial"/>
                <w:color w:val="000000"/>
                <w:sz w:val="18"/>
                <w:szCs w:val="18"/>
              </w:rPr>
              <w:t>Sig.</w:t>
            </w:r>
          </w:p>
        </w:tc>
      </w:tr>
      <w:tr w:rsidR="00DA2247" w:rsidRPr="009E5B5E" w:rsidTr="005A408B">
        <w:trPr>
          <w:cantSplit/>
        </w:trPr>
        <w:tc>
          <w:tcPr>
            <w:tcW w:w="726" w:type="dxa"/>
            <w:tcBorders>
              <w:top w:val="single" w:sz="16" w:space="0" w:color="000000"/>
              <w:left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rPr>
                <w:rFonts w:ascii="Arial" w:hAnsi="Arial" w:cs="Arial"/>
                <w:color w:val="000000"/>
                <w:sz w:val="18"/>
                <w:szCs w:val="18"/>
              </w:rPr>
            </w:pPr>
            <w:r w:rsidRPr="009E5B5E">
              <w:rPr>
                <w:rFonts w:ascii="Arial" w:hAnsi="Arial" w:cs="Arial"/>
                <w:color w:val="000000"/>
                <w:sz w:val="18"/>
                <w:szCs w:val="18"/>
              </w:rPr>
              <w:t>1</w:t>
            </w:r>
          </w:p>
        </w:tc>
        <w:tc>
          <w:tcPr>
            <w:tcW w:w="1231" w:type="dxa"/>
            <w:tcBorders>
              <w:top w:val="single" w:sz="16" w:space="0" w:color="000000"/>
              <w:left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5.566</w:t>
            </w:r>
          </w:p>
        </w:tc>
        <w:tc>
          <w:tcPr>
            <w:tcW w:w="1010" w:type="dxa"/>
            <w:tcBorders>
              <w:top w:val="single" w:sz="16" w:space="0" w:color="000000"/>
              <w:bottom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8</w:t>
            </w:r>
          </w:p>
        </w:tc>
        <w:tc>
          <w:tcPr>
            <w:tcW w:w="1011" w:type="dxa"/>
            <w:tcBorders>
              <w:top w:val="single" w:sz="16" w:space="0" w:color="000000"/>
              <w:bottom w:val="single" w:sz="16" w:space="0" w:color="000000"/>
              <w:right w:val="single" w:sz="16" w:space="0" w:color="000000"/>
            </w:tcBorders>
            <w:shd w:val="clear" w:color="auto" w:fill="FFFFFF"/>
          </w:tcPr>
          <w:p w:rsidR="00DA2247" w:rsidRPr="009E5B5E" w:rsidRDefault="00DA2247" w:rsidP="005A408B">
            <w:pPr>
              <w:autoSpaceDE w:val="0"/>
              <w:autoSpaceDN w:val="0"/>
              <w:adjustRightInd w:val="0"/>
              <w:spacing w:after="0" w:line="320" w:lineRule="atLeast"/>
              <w:ind w:left="60" w:right="60"/>
              <w:jc w:val="right"/>
              <w:rPr>
                <w:rFonts w:ascii="Arial" w:hAnsi="Arial" w:cs="Arial"/>
                <w:color w:val="000000"/>
                <w:sz w:val="18"/>
                <w:szCs w:val="18"/>
              </w:rPr>
            </w:pPr>
            <w:r w:rsidRPr="009E5B5E">
              <w:rPr>
                <w:rFonts w:ascii="Arial" w:hAnsi="Arial" w:cs="Arial"/>
                <w:color w:val="000000"/>
                <w:sz w:val="18"/>
                <w:szCs w:val="18"/>
              </w:rPr>
              <w:t>.696</w:t>
            </w:r>
          </w:p>
        </w:tc>
      </w:tr>
    </w:tbl>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pPr>
    </w:p>
    <w:p w:rsidR="00DA2247" w:rsidRPr="009E5B5E" w:rsidRDefault="00DA2247" w:rsidP="00DA2247">
      <w:pPr>
        <w:tabs>
          <w:tab w:val="left" w:pos="709"/>
          <w:tab w:val="left" w:pos="993"/>
        </w:tabs>
        <w:suppressAutoHyphens/>
        <w:spacing w:line="360" w:lineRule="auto"/>
        <w:rPr>
          <w:b/>
          <w:bCs/>
          <w:sz w:val="32"/>
          <w:szCs w:val="32"/>
        </w:rPr>
      </w:pPr>
      <w:r w:rsidRPr="009E5B5E">
        <w:rPr>
          <w:b/>
          <w:bCs/>
          <w:sz w:val="32"/>
          <w:szCs w:val="32"/>
        </w:rPr>
        <w:lastRenderedPageBreak/>
        <w:t>Appendix 12:</w:t>
      </w:r>
      <w:r w:rsidRPr="009E5B5E">
        <w:rPr>
          <w:b/>
          <w:bCs/>
          <w:sz w:val="32"/>
          <w:szCs w:val="32"/>
        </w:rPr>
        <w:tab/>
        <w:t>Logistic regression analysis of general model (original dataset)</w:t>
      </w:r>
      <w:r w:rsidRPr="009E5B5E">
        <w:rPr>
          <w:b/>
          <w:bCs/>
          <w:sz w:val="32"/>
          <w:szCs w:val="32"/>
        </w:rPr>
        <w:tab/>
      </w:r>
    </w:p>
    <w:tbl>
      <w:tblPr>
        <w:tblW w:w="9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3"/>
        <w:gridCol w:w="1145"/>
        <w:gridCol w:w="967"/>
        <w:gridCol w:w="967"/>
        <w:gridCol w:w="968"/>
        <w:gridCol w:w="968"/>
        <w:gridCol w:w="968"/>
        <w:gridCol w:w="968"/>
        <w:gridCol w:w="968"/>
        <w:gridCol w:w="968"/>
      </w:tblGrid>
      <w:tr w:rsidR="00154E76" w:rsidRPr="00B326F5" w:rsidTr="00885279">
        <w:trPr>
          <w:cantSplit/>
          <w:trHeight w:val="319"/>
          <w:tblHeader/>
        </w:trPr>
        <w:tc>
          <w:tcPr>
            <w:tcW w:w="9767" w:type="dxa"/>
            <w:gridSpan w:val="10"/>
            <w:tcBorders>
              <w:top w:val="nil"/>
              <w:left w:val="nil"/>
              <w:bottom w:val="nil"/>
              <w:right w:val="nil"/>
            </w:tcBorders>
            <w:shd w:val="clear" w:color="auto" w:fill="FFFFFF"/>
            <w:vAlign w:val="center"/>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b/>
                <w:bCs/>
                <w:color w:val="000000"/>
                <w:sz w:val="18"/>
                <w:szCs w:val="18"/>
                <w:lang w:bidi="th-TH"/>
              </w:rPr>
              <w:t>Variables in the Equation</w:t>
            </w:r>
          </w:p>
        </w:tc>
      </w:tr>
      <w:tr w:rsidR="00154E76" w:rsidRPr="00B326F5" w:rsidTr="00885279">
        <w:trPr>
          <w:cantSplit/>
          <w:trHeight w:val="319"/>
          <w:tblHeader/>
        </w:trPr>
        <w:tc>
          <w:tcPr>
            <w:tcW w:w="202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jc w:val="center"/>
              <w:rPr>
                <w:rFonts w:ascii="Arial" w:hAnsi="Arial" w:cs="Arial"/>
                <w:sz w:val="18"/>
                <w:szCs w:val="18"/>
                <w:lang w:bidi="th-TH"/>
              </w:rPr>
            </w:pPr>
          </w:p>
        </w:tc>
        <w:tc>
          <w:tcPr>
            <w:tcW w:w="967" w:type="dxa"/>
            <w:vMerge w:val="restart"/>
            <w:tcBorders>
              <w:top w:val="single" w:sz="16" w:space="0" w:color="000000"/>
              <w:left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B</w:t>
            </w:r>
          </w:p>
        </w:tc>
        <w:tc>
          <w:tcPr>
            <w:tcW w:w="967"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S.E.</w:t>
            </w:r>
          </w:p>
        </w:tc>
        <w:tc>
          <w:tcPr>
            <w:tcW w:w="968"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Wald</w:t>
            </w:r>
          </w:p>
        </w:tc>
        <w:tc>
          <w:tcPr>
            <w:tcW w:w="968"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df</w:t>
            </w:r>
          </w:p>
        </w:tc>
        <w:tc>
          <w:tcPr>
            <w:tcW w:w="968"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Sig.</w:t>
            </w:r>
          </w:p>
        </w:tc>
        <w:tc>
          <w:tcPr>
            <w:tcW w:w="968"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Exp(B)</w:t>
            </w:r>
          </w:p>
        </w:tc>
        <w:tc>
          <w:tcPr>
            <w:tcW w:w="1935" w:type="dxa"/>
            <w:gridSpan w:val="2"/>
            <w:tcBorders>
              <w:top w:val="single" w:sz="16" w:space="0" w:color="000000"/>
              <w:right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95% C.I.for EXP(B)</w:t>
            </w:r>
          </w:p>
        </w:tc>
      </w:tr>
      <w:tr w:rsidR="00154E76" w:rsidRPr="00B326F5" w:rsidTr="00885279">
        <w:trPr>
          <w:cantSplit/>
          <w:trHeight w:val="142"/>
          <w:tblHeader/>
        </w:trPr>
        <w:tc>
          <w:tcPr>
            <w:tcW w:w="202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7" w:type="dxa"/>
            <w:vMerge/>
            <w:tcBorders>
              <w:top w:val="single" w:sz="16" w:space="0" w:color="000000"/>
              <w:left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7"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8"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8"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8"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8"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8" w:type="dxa"/>
            <w:tcBorders>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Lower</w:t>
            </w:r>
          </w:p>
        </w:tc>
        <w:tc>
          <w:tcPr>
            <w:tcW w:w="968" w:type="dxa"/>
            <w:tcBorders>
              <w:bottom w:val="single" w:sz="16" w:space="0" w:color="000000"/>
              <w:right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Upper</w:t>
            </w:r>
          </w:p>
        </w:tc>
      </w:tr>
      <w:tr w:rsidR="00154E76" w:rsidRPr="00B326F5" w:rsidTr="00885279">
        <w:trPr>
          <w:cantSplit/>
          <w:trHeight w:val="319"/>
          <w:tblHeader/>
        </w:trPr>
        <w:tc>
          <w:tcPr>
            <w:tcW w:w="883" w:type="dxa"/>
            <w:vMerge w:val="restart"/>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Step 1</w:t>
            </w:r>
            <w:r w:rsidRPr="00B326F5">
              <w:rPr>
                <w:rFonts w:ascii="Arial" w:hAnsi="Arial" w:cs="Arial"/>
                <w:color w:val="000000"/>
                <w:sz w:val="18"/>
                <w:szCs w:val="18"/>
                <w:vertAlign w:val="superscript"/>
                <w:lang w:bidi="th-TH"/>
              </w:rPr>
              <w:t>a</w:t>
            </w:r>
          </w:p>
        </w:tc>
        <w:tc>
          <w:tcPr>
            <w:tcW w:w="1144" w:type="dxa"/>
            <w:tcBorders>
              <w:top w:val="single" w:sz="16" w:space="0" w:color="000000"/>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SALE(1)</w:t>
            </w:r>
          </w:p>
        </w:tc>
        <w:tc>
          <w:tcPr>
            <w:tcW w:w="967" w:type="dxa"/>
            <w:tcBorders>
              <w:top w:val="single" w:sz="16" w:space="0" w:color="000000"/>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.033</w:t>
            </w:r>
          </w:p>
        </w:tc>
        <w:tc>
          <w:tcPr>
            <w:tcW w:w="967"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.087</w:t>
            </w:r>
          </w:p>
        </w:tc>
        <w:tc>
          <w:tcPr>
            <w:tcW w:w="968"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.142</w:t>
            </w:r>
          </w:p>
        </w:tc>
        <w:tc>
          <w:tcPr>
            <w:tcW w:w="968"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.706</w:t>
            </w:r>
          </w:p>
        </w:tc>
        <w:tc>
          <w:tcPr>
            <w:tcW w:w="968"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1.033</w:t>
            </w:r>
          </w:p>
        </w:tc>
        <w:tc>
          <w:tcPr>
            <w:tcW w:w="968"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.871</w:t>
            </w:r>
          </w:p>
        </w:tc>
        <w:tc>
          <w:tcPr>
            <w:tcW w:w="968" w:type="dxa"/>
            <w:tcBorders>
              <w:top w:val="single" w:sz="16" w:space="0" w:color="000000"/>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1.226</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DIS(1)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-.048</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.125</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.149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.699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.953</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.747</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1.217</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RELOC(1)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.091</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.091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1.008</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.315</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1.095</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.917</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1.308</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FRIEND(1)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-.095</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.079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1.449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.229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.910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.780</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1.061</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DT</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26.323</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.999</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1.000</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EC(1)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.194</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.080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5.834</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.016</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1.214</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1.037</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1.421</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INNOV</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-.454</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.174</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6.792</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.635</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.451</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.894</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INVOL</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-3.088</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.748</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17.051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.046</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.011</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.197</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NA(1)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.078</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.091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.741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.389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1.081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.905</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1.291</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A (1)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-3.659</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.199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336.959</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.026</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.017</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.038</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B (1)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1.815</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.180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101.684</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6.140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4.315</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8.738</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C(1)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.822</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.142</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33.427</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2.276</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1.722</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3.007</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D(1)</w:t>
            </w:r>
          </w:p>
        </w:tc>
        <w:tc>
          <w:tcPr>
            <w:tcW w:w="967"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-.941</w:t>
            </w:r>
          </w:p>
        </w:tc>
        <w:tc>
          <w:tcPr>
            <w:tcW w:w="967"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.107</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77.770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.390</w:t>
            </w:r>
          </w:p>
        </w:tc>
        <w:tc>
          <w:tcPr>
            <w:tcW w:w="968"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.316</w:t>
            </w:r>
          </w:p>
        </w:tc>
        <w:tc>
          <w:tcPr>
            <w:tcW w:w="968"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.481</w:t>
            </w:r>
          </w:p>
        </w:tc>
      </w:tr>
      <w:tr w:rsidR="00154E76" w:rsidRPr="00B326F5" w:rsidTr="00885279">
        <w:trPr>
          <w:cantSplit/>
          <w:trHeight w:val="142"/>
          <w:tblHeader/>
        </w:trPr>
        <w:tc>
          <w:tcPr>
            <w:tcW w:w="883"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4" w:type="dxa"/>
            <w:tcBorders>
              <w:top w:val="nil"/>
              <w:left w:val="nil"/>
              <w:bottom w:val="single" w:sz="16" w:space="0" w:color="000000"/>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Constant</w:t>
            </w:r>
          </w:p>
        </w:tc>
        <w:tc>
          <w:tcPr>
            <w:tcW w:w="967" w:type="dxa"/>
            <w:tcBorders>
              <w:top w:val="nil"/>
              <w:left w:val="single" w:sz="16" w:space="0" w:color="000000"/>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-1.335</w:t>
            </w:r>
          </w:p>
        </w:tc>
        <w:tc>
          <w:tcPr>
            <w:tcW w:w="967"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.263</w:t>
            </w:r>
          </w:p>
        </w:tc>
        <w:tc>
          <w:tcPr>
            <w:tcW w:w="968"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25.669</w:t>
            </w:r>
          </w:p>
        </w:tc>
        <w:tc>
          <w:tcPr>
            <w:tcW w:w="968"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68"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8"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.263</w:t>
            </w:r>
          </w:p>
        </w:tc>
        <w:tc>
          <w:tcPr>
            <w:tcW w:w="968" w:type="dxa"/>
            <w:tcBorders>
              <w:top w:val="nil"/>
              <w:bottom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jc w:val="center"/>
              <w:rPr>
                <w:rFonts w:ascii="Arial" w:hAnsi="Arial" w:cs="Arial"/>
                <w:sz w:val="18"/>
                <w:szCs w:val="18"/>
                <w:lang w:bidi="th-TH"/>
              </w:rPr>
            </w:pPr>
          </w:p>
        </w:tc>
        <w:tc>
          <w:tcPr>
            <w:tcW w:w="968" w:type="dxa"/>
            <w:tcBorders>
              <w:top w:val="nil"/>
              <w:bottom w:val="single" w:sz="16" w:space="0" w:color="000000"/>
              <w:right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jc w:val="center"/>
              <w:rPr>
                <w:rFonts w:ascii="Arial" w:hAnsi="Arial" w:cs="Arial"/>
                <w:sz w:val="18"/>
                <w:szCs w:val="18"/>
                <w:lang w:bidi="th-TH"/>
              </w:rPr>
            </w:pPr>
          </w:p>
        </w:tc>
      </w:tr>
      <w:tr w:rsidR="00154E76" w:rsidRPr="00B326F5" w:rsidTr="00885279">
        <w:trPr>
          <w:cantSplit/>
          <w:trHeight w:val="637"/>
        </w:trPr>
        <w:tc>
          <w:tcPr>
            <w:tcW w:w="9767" w:type="dxa"/>
            <w:gridSpan w:val="10"/>
            <w:tcBorders>
              <w:top w:val="nil"/>
              <w:left w:val="nil"/>
              <w:bottom w:val="nil"/>
              <w:right w:val="nil"/>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a. Variable(s) entered on step 1: SALE, DIS, RELOC, FRIEND, DT, EC, NA, INNOV, INVOL, A , B , C, D.</w:t>
            </w:r>
          </w:p>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p>
        </w:tc>
      </w:tr>
    </w:tbl>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Pr>
        <w:rPr>
          <w:b/>
          <w:bCs/>
          <w:sz w:val="32"/>
          <w:szCs w:val="32"/>
        </w:rPr>
      </w:pPr>
      <w:r w:rsidRPr="009E5B5E">
        <w:rPr>
          <w:b/>
          <w:bCs/>
          <w:sz w:val="32"/>
          <w:szCs w:val="32"/>
        </w:rPr>
        <w:lastRenderedPageBreak/>
        <w:t xml:space="preserve">Appendix 13: Logistic regression analysis of general model on (reduced dataset) </w:t>
      </w:r>
    </w:p>
    <w:tbl>
      <w:tblPr>
        <w:tblW w:w="9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86"/>
        <w:gridCol w:w="1147"/>
        <w:gridCol w:w="969"/>
        <w:gridCol w:w="969"/>
        <w:gridCol w:w="970"/>
        <w:gridCol w:w="970"/>
        <w:gridCol w:w="970"/>
        <w:gridCol w:w="970"/>
        <w:gridCol w:w="970"/>
        <w:gridCol w:w="971"/>
      </w:tblGrid>
      <w:tr w:rsidR="00154E76" w:rsidRPr="00B326F5" w:rsidTr="00885279">
        <w:trPr>
          <w:cantSplit/>
          <w:trHeight w:val="320"/>
          <w:tblHeader/>
        </w:trPr>
        <w:tc>
          <w:tcPr>
            <w:tcW w:w="9792" w:type="dxa"/>
            <w:gridSpan w:val="10"/>
            <w:tcBorders>
              <w:top w:val="nil"/>
              <w:left w:val="nil"/>
              <w:bottom w:val="nil"/>
              <w:right w:val="nil"/>
            </w:tcBorders>
            <w:shd w:val="clear" w:color="auto" w:fill="FFFFFF"/>
            <w:vAlign w:val="center"/>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b/>
                <w:bCs/>
                <w:color w:val="000000"/>
                <w:sz w:val="18"/>
                <w:szCs w:val="18"/>
                <w:lang w:bidi="th-TH"/>
              </w:rPr>
              <w:t>Variables in the Equation</w:t>
            </w:r>
          </w:p>
        </w:tc>
      </w:tr>
      <w:tr w:rsidR="00154E76" w:rsidRPr="00B326F5" w:rsidTr="00885279">
        <w:trPr>
          <w:cantSplit/>
          <w:trHeight w:val="295"/>
          <w:tblHeader/>
        </w:trPr>
        <w:tc>
          <w:tcPr>
            <w:tcW w:w="2033"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jc w:val="center"/>
              <w:rPr>
                <w:rFonts w:ascii="Arial" w:hAnsi="Arial" w:cs="Arial"/>
                <w:sz w:val="18"/>
                <w:szCs w:val="18"/>
                <w:lang w:bidi="th-TH"/>
              </w:rPr>
            </w:pPr>
          </w:p>
        </w:tc>
        <w:tc>
          <w:tcPr>
            <w:tcW w:w="969" w:type="dxa"/>
            <w:vMerge w:val="restart"/>
            <w:tcBorders>
              <w:top w:val="single" w:sz="16" w:space="0" w:color="000000"/>
              <w:left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B</w:t>
            </w:r>
          </w:p>
        </w:tc>
        <w:tc>
          <w:tcPr>
            <w:tcW w:w="969"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S.E.</w:t>
            </w:r>
          </w:p>
        </w:tc>
        <w:tc>
          <w:tcPr>
            <w:tcW w:w="970"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Wald</w:t>
            </w:r>
          </w:p>
        </w:tc>
        <w:tc>
          <w:tcPr>
            <w:tcW w:w="970"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df</w:t>
            </w:r>
          </w:p>
        </w:tc>
        <w:tc>
          <w:tcPr>
            <w:tcW w:w="970"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Sig.</w:t>
            </w:r>
          </w:p>
        </w:tc>
        <w:tc>
          <w:tcPr>
            <w:tcW w:w="970" w:type="dxa"/>
            <w:vMerge w:val="restart"/>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Exp(B)</w:t>
            </w:r>
          </w:p>
        </w:tc>
        <w:tc>
          <w:tcPr>
            <w:tcW w:w="1940" w:type="dxa"/>
            <w:gridSpan w:val="2"/>
            <w:tcBorders>
              <w:top w:val="single" w:sz="16" w:space="0" w:color="000000"/>
              <w:right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95% C.I.for EXP(B)</w:t>
            </w:r>
          </w:p>
        </w:tc>
      </w:tr>
      <w:tr w:rsidR="00154E76" w:rsidRPr="00B326F5" w:rsidTr="00885279">
        <w:trPr>
          <w:cantSplit/>
          <w:trHeight w:val="143"/>
          <w:tblHeader/>
        </w:trPr>
        <w:tc>
          <w:tcPr>
            <w:tcW w:w="2033"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9" w:type="dxa"/>
            <w:vMerge/>
            <w:tcBorders>
              <w:top w:val="single" w:sz="16" w:space="0" w:color="000000"/>
              <w:left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69"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70"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70"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70"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70" w:type="dxa"/>
            <w:vMerge/>
            <w:tcBorders>
              <w:top w:val="single" w:sz="16" w:space="0" w:color="000000"/>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970" w:type="dxa"/>
            <w:tcBorders>
              <w:bottom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Lower</w:t>
            </w:r>
          </w:p>
        </w:tc>
        <w:tc>
          <w:tcPr>
            <w:tcW w:w="970" w:type="dxa"/>
            <w:tcBorders>
              <w:bottom w:val="single" w:sz="16" w:space="0" w:color="000000"/>
              <w:right w:val="single" w:sz="16" w:space="0" w:color="000000"/>
            </w:tcBorders>
            <w:shd w:val="clear" w:color="auto" w:fill="FFFFFF"/>
            <w:vAlign w:val="bottom"/>
          </w:tcPr>
          <w:p w:rsidR="00154E76" w:rsidRPr="00B326F5" w:rsidRDefault="00154E76" w:rsidP="005A408B">
            <w:pPr>
              <w:autoSpaceDE w:val="0"/>
              <w:autoSpaceDN w:val="0"/>
              <w:adjustRightInd w:val="0"/>
              <w:spacing w:after="0" w:line="320" w:lineRule="atLeast"/>
              <w:ind w:left="60" w:right="60"/>
              <w:jc w:val="center"/>
              <w:rPr>
                <w:rFonts w:ascii="Arial" w:hAnsi="Arial" w:cs="Arial"/>
                <w:color w:val="000000"/>
                <w:sz w:val="18"/>
                <w:szCs w:val="18"/>
                <w:lang w:bidi="th-TH"/>
              </w:rPr>
            </w:pPr>
            <w:r w:rsidRPr="00B326F5">
              <w:rPr>
                <w:rFonts w:ascii="Arial" w:hAnsi="Arial" w:cs="Arial"/>
                <w:color w:val="000000"/>
                <w:sz w:val="18"/>
                <w:szCs w:val="18"/>
                <w:lang w:bidi="th-TH"/>
              </w:rPr>
              <w:t>Upper</w:t>
            </w:r>
          </w:p>
        </w:tc>
      </w:tr>
      <w:tr w:rsidR="00154E76" w:rsidRPr="00B326F5" w:rsidTr="00885279">
        <w:trPr>
          <w:cantSplit/>
          <w:trHeight w:val="295"/>
          <w:tblHeader/>
        </w:trPr>
        <w:tc>
          <w:tcPr>
            <w:tcW w:w="886" w:type="dxa"/>
            <w:vMerge w:val="restart"/>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Step 1</w:t>
            </w:r>
            <w:r w:rsidRPr="00B326F5">
              <w:rPr>
                <w:rFonts w:ascii="Arial" w:hAnsi="Arial" w:cs="Arial"/>
                <w:color w:val="000000"/>
                <w:sz w:val="18"/>
                <w:szCs w:val="18"/>
                <w:vertAlign w:val="superscript"/>
                <w:lang w:bidi="th-TH"/>
              </w:rPr>
              <w:t>a</w:t>
            </w:r>
          </w:p>
        </w:tc>
        <w:tc>
          <w:tcPr>
            <w:tcW w:w="1147" w:type="dxa"/>
            <w:tcBorders>
              <w:top w:val="single" w:sz="16" w:space="0" w:color="000000"/>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SALE(1)</w:t>
            </w:r>
          </w:p>
        </w:tc>
        <w:tc>
          <w:tcPr>
            <w:tcW w:w="969" w:type="dxa"/>
            <w:tcBorders>
              <w:top w:val="single" w:sz="16" w:space="0" w:color="000000"/>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.020</w:t>
            </w:r>
          </w:p>
        </w:tc>
        <w:tc>
          <w:tcPr>
            <w:tcW w:w="969"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.089</w:t>
            </w:r>
          </w:p>
        </w:tc>
        <w:tc>
          <w:tcPr>
            <w:tcW w:w="970"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.050</w:t>
            </w:r>
          </w:p>
        </w:tc>
        <w:tc>
          <w:tcPr>
            <w:tcW w:w="970"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.823</w:t>
            </w:r>
          </w:p>
        </w:tc>
        <w:tc>
          <w:tcPr>
            <w:tcW w:w="970"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1.020</w:t>
            </w:r>
          </w:p>
        </w:tc>
        <w:tc>
          <w:tcPr>
            <w:tcW w:w="970" w:type="dxa"/>
            <w:tcBorders>
              <w:top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.856</w:t>
            </w:r>
          </w:p>
        </w:tc>
        <w:tc>
          <w:tcPr>
            <w:tcW w:w="970" w:type="dxa"/>
            <w:tcBorders>
              <w:top w:val="single" w:sz="16" w:space="0" w:color="000000"/>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1.215</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DIS(1)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-.017</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.127</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.018</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.894</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.983</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.766</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1.262</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RELOC(1)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.072</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.093</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.607</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.436</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1.075</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.896</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1.288</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FRIEND(1)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-.099</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.080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1.499</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.221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.906</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.774</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1.061</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DT</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25.484</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.999</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1.000</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EC(1)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.184</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.082</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5.024</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.025</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1.202</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1.023</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1.412</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NA(1)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.084</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.093</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.810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.368</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1.087</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.906</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1.304</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INNOV</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-.467</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.183</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6.471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.011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.627</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.438</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.898</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INVOL</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-3.219</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.759</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18.008</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.040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.009</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.177</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A (1)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-3.666</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.205</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318.710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.026</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.017</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.038</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B (1)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1.869</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.187</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99.957</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6.480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4.493</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9.348</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C(1)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.878</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.153</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32.851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2.406</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1.782</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3.248</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D(1)</w:t>
            </w:r>
          </w:p>
        </w:tc>
        <w:tc>
          <w:tcPr>
            <w:tcW w:w="969" w:type="dxa"/>
            <w:tcBorders>
              <w:top w:val="nil"/>
              <w:left w:val="single" w:sz="16" w:space="0" w:color="000000"/>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-.937</w:t>
            </w:r>
          </w:p>
        </w:tc>
        <w:tc>
          <w:tcPr>
            <w:tcW w:w="969"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.110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73.052</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.392</w:t>
            </w:r>
          </w:p>
        </w:tc>
        <w:tc>
          <w:tcPr>
            <w:tcW w:w="970" w:type="dxa"/>
            <w:tcBorders>
              <w:top w:val="nil"/>
              <w:bottom w:val="nil"/>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.316</w:t>
            </w:r>
          </w:p>
        </w:tc>
        <w:tc>
          <w:tcPr>
            <w:tcW w:w="970" w:type="dxa"/>
            <w:tcBorders>
              <w:top w:val="nil"/>
              <w:bottom w:val="nil"/>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.486</w:t>
            </w:r>
          </w:p>
        </w:tc>
      </w:tr>
      <w:tr w:rsidR="00154E76" w:rsidRPr="00B326F5" w:rsidTr="00885279">
        <w:trPr>
          <w:cantSplit/>
          <w:trHeight w:val="143"/>
          <w:tblHeader/>
        </w:trPr>
        <w:tc>
          <w:tcPr>
            <w:tcW w:w="886" w:type="dxa"/>
            <w:vMerge/>
            <w:tcBorders>
              <w:top w:val="single" w:sz="16" w:space="0" w:color="000000"/>
              <w:left w:val="single" w:sz="16" w:space="0" w:color="000000"/>
              <w:bottom w:val="single" w:sz="16" w:space="0" w:color="000000"/>
              <w:right w:val="nil"/>
            </w:tcBorders>
            <w:shd w:val="clear" w:color="auto" w:fill="FFFFFF"/>
          </w:tcPr>
          <w:p w:rsidR="00154E76" w:rsidRPr="00B326F5" w:rsidRDefault="00154E76" w:rsidP="005A408B">
            <w:pPr>
              <w:autoSpaceDE w:val="0"/>
              <w:autoSpaceDN w:val="0"/>
              <w:adjustRightInd w:val="0"/>
              <w:spacing w:after="0" w:line="240" w:lineRule="auto"/>
              <w:rPr>
                <w:rFonts w:ascii="Arial" w:hAnsi="Arial" w:cs="Arial"/>
                <w:color w:val="000000"/>
                <w:sz w:val="18"/>
                <w:szCs w:val="18"/>
                <w:lang w:bidi="th-TH"/>
              </w:rPr>
            </w:pPr>
          </w:p>
        </w:tc>
        <w:tc>
          <w:tcPr>
            <w:tcW w:w="1147" w:type="dxa"/>
            <w:tcBorders>
              <w:top w:val="nil"/>
              <w:left w:val="nil"/>
              <w:bottom w:val="single" w:sz="16" w:space="0" w:color="000000"/>
              <w:right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Constant</w:t>
            </w:r>
          </w:p>
        </w:tc>
        <w:tc>
          <w:tcPr>
            <w:tcW w:w="969" w:type="dxa"/>
            <w:tcBorders>
              <w:top w:val="nil"/>
              <w:left w:val="single" w:sz="16" w:space="0" w:color="000000"/>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-1.393</w:t>
            </w:r>
          </w:p>
        </w:tc>
        <w:tc>
          <w:tcPr>
            <w:tcW w:w="969"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.274</w:t>
            </w:r>
          </w:p>
        </w:tc>
        <w:tc>
          <w:tcPr>
            <w:tcW w:w="970"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25.808</w:t>
            </w:r>
          </w:p>
        </w:tc>
        <w:tc>
          <w:tcPr>
            <w:tcW w:w="970"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1</w:t>
            </w:r>
          </w:p>
        </w:tc>
        <w:tc>
          <w:tcPr>
            <w:tcW w:w="970"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.000</w:t>
            </w:r>
          </w:p>
        </w:tc>
        <w:tc>
          <w:tcPr>
            <w:tcW w:w="970" w:type="dxa"/>
            <w:tcBorders>
              <w:top w:val="nil"/>
              <w:bottom w:val="single" w:sz="16" w:space="0" w:color="000000"/>
            </w:tcBorders>
            <w:shd w:val="clear" w:color="auto" w:fill="FFFFFF"/>
          </w:tcPr>
          <w:p w:rsidR="00154E76" w:rsidRPr="00B326F5" w:rsidRDefault="00154E76" w:rsidP="005A408B">
            <w:pPr>
              <w:autoSpaceDE w:val="0"/>
              <w:autoSpaceDN w:val="0"/>
              <w:adjustRightInd w:val="0"/>
              <w:spacing w:after="0" w:line="320" w:lineRule="atLeast"/>
              <w:ind w:left="60" w:right="60"/>
              <w:jc w:val="right"/>
              <w:rPr>
                <w:rFonts w:ascii="Arial" w:hAnsi="Arial" w:cs="Arial"/>
                <w:color w:val="000000"/>
                <w:sz w:val="18"/>
                <w:szCs w:val="18"/>
                <w:lang w:bidi="th-TH"/>
              </w:rPr>
            </w:pPr>
            <w:r w:rsidRPr="00B326F5">
              <w:rPr>
                <w:rFonts w:ascii="Arial" w:hAnsi="Arial" w:cs="Arial"/>
                <w:color w:val="000000"/>
                <w:sz w:val="18"/>
                <w:szCs w:val="18"/>
                <w:lang w:bidi="th-TH"/>
              </w:rPr>
              <w:t>.248</w:t>
            </w:r>
          </w:p>
        </w:tc>
        <w:tc>
          <w:tcPr>
            <w:tcW w:w="970" w:type="dxa"/>
            <w:tcBorders>
              <w:top w:val="nil"/>
              <w:bottom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jc w:val="center"/>
              <w:rPr>
                <w:rFonts w:ascii="Arial" w:hAnsi="Arial" w:cs="Arial"/>
                <w:sz w:val="18"/>
                <w:szCs w:val="18"/>
                <w:lang w:bidi="th-TH"/>
              </w:rPr>
            </w:pPr>
          </w:p>
        </w:tc>
        <w:tc>
          <w:tcPr>
            <w:tcW w:w="970" w:type="dxa"/>
            <w:tcBorders>
              <w:top w:val="nil"/>
              <w:bottom w:val="single" w:sz="16" w:space="0" w:color="000000"/>
              <w:right w:val="single" w:sz="16" w:space="0" w:color="000000"/>
            </w:tcBorders>
            <w:shd w:val="clear" w:color="auto" w:fill="FFFFFF"/>
            <w:vAlign w:val="center"/>
          </w:tcPr>
          <w:p w:rsidR="00154E76" w:rsidRPr="00B326F5" w:rsidRDefault="00154E76" w:rsidP="005A408B">
            <w:pPr>
              <w:autoSpaceDE w:val="0"/>
              <w:autoSpaceDN w:val="0"/>
              <w:adjustRightInd w:val="0"/>
              <w:spacing w:after="0" w:line="240" w:lineRule="auto"/>
              <w:jc w:val="center"/>
              <w:rPr>
                <w:rFonts w:ascii="Arial" w:hAnsi="Arial" w:cs="Arial"/>
                <w:sz w:val="18"/>
                <w:szCs w:val="18"/>
                <w:lang w:bidi="th-TH"/>
              </w:rPr>
            </w:pPr>
          </w:p>
        </w:tc>
      </w:tr>
      <w:tr w:rsidR="00154E76" w:rsidRPr="00B326F5" w:rsidTr="00885279">
        <w:trPr>
          <w:cantSplit/>
          <w:trHeight w:val="615"/>
        </w:trPr>
        <w:tc>
          <w:tcPr>
            <w:tcW w:w="9792" w:type="dxa"/>
            <w:gridSpan w:val="10"/>
            <w:tcBorders>
              <w:top w:val="nil"/>
              <w:left w:val="nil"/>
              <w:bottom w:val="nil"/>
              <w:right w:val="nil"/>
            </w:tcBorders>
            <w:shd w:val="clear" w:color="auto" w:fill="FFFFFF"/>
          </w:tcPr>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r w:rsidRPr="00B326F5">
              <w:rPr>
                <w:rFonts w:ascii="Arial" w:hAnsi="Arial" w:cs="Arial"/>
                <w:color w:val="000000"/>
                <w:sz w:val="18"/>
                <w:szCs w:val="18"/>
                <w:lang w:bidi="th-TH"/>
              </w:rPr>
              <w:t>a. Variable(s) entered on step 1: SALE, DIS, RELOC, FRIEND, DT, EC, NA, INNOV, INVOL, A , B , C, D.</w:t>
            </w:r>
          </w:p>
          <w:p w:rsidR="00154E76" w:rsidRPr="00B326F5" w:rsidRDefault="00154E76" w:rsidP="005A408B">
            <w:pPr>
              <w:autoSpaceDE w:val="0"/>
              <w:autoSpaceDN w:val="0"/>
              <w:adjustRightInd w:val="0"/>
              <w:spacing w:after="0" w:line="320" w:lineRule="atLeast"/>
              <w:ind w:left="60" w:right="60"/>
              <w:rPr>
                <w:rFonts w:ascii="Arial" w:hAnsi="Arial" w:cs="Arial"/>
                <w:color w:val="000000"/>
                <w:sz w:val="18"/>
                <w:szCs w:val="18"/>
                <w:lang w:bidi="th-TH"/>
              </w:rPr>
            </w:pPr>
          </w:p>
        </w:tc>
      </w:tr>
    </w:tbl>
    <w:p w:rsidR="00DA2247" w:rsidRPr="009E5B5E" w:rsidRDefault="00DA2247" w:rsidP="00DA2247">
      <w:pPr>
        <w:autoSpaceDE w:val="0"/>
        <w:autoSpaceDN w:val="0"/>
        <w:adjustRightInd w:val="0"/>
        <w:spacing w:after="0" w:line="400" w:lineRule="atLeast"/>
        <w:rPr>
          <w:rFonts w:cs="Times New Roman"/>
          <w:sz w:val="24"/>
          <w:szCs w:val="24"/>
          <w:lang w:bidi="th-TH"/>
        </w:rPr>
      </w:pPr>
    </w:p>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r w:rsidRPr="009E5B5E">
        <w:rPr>
          <w:b/>
          <w:bCs/>
          <w:sz w:val="32"/>
          <w:szCs w:val="32"/>
        </w:rPr>
        <w:lastRenderedPageBreak/>
        <w:t xml:space="preserve">Appendix 14: </w:t>
      </w:r>
      <w:r w:rsidRPr="009E5B5E">
        <w:rPr>
          <w:b/>
          <w:bCs/>
          <w:color w:val="000000" w:themeColor="text1"/>
          <w:sz w:val="32"/>
          <w:szCs w:val="32"/>
        </w:rPr>
        <w:t>Logistic regression analysis of gender specific mode</w:t>
      </w:r>
      <w:r w:rsidRPr="009E5B5E">
        <w:rPr>
          <w:b/>
          <w:bCs/>
          <w:sz w:val="32"/>
          <w:szCs w:val="32"/>
        </w:rPr>
        <w:t>l</w:t>
      </w:r>
    </w:p>
    <w:tbl>
      <w:tblPr>
        <w:tblpPr w:leftFromText="180" w:rightFromText="180" w:vertAnchor="page" w:tblpY="2339"/>
        <w:tblW w:w="96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7"/>
        <w:gridCol w:w="2484"/>
        <w:gridCol w:w="850"/>
        <w:gridCol w:w="709"/>
        <w:gridCol w:w="850"/>
        <w:gridCol w:w="606"/>
        <w:gridCol w:w="849"/>
        <w:gridCol w:w="849"/>
        <w:gridCol w:w="849"/>
        <w:gridCol w:w="850"/>
      </w:tblGrid>
      <w:tr w:rsidR="00CF7589" w:rsidRPr="00B326F5" w:rsidTr="00A53F4E">
        <w:trPr>
          <w:cantSplit/>
          <w:trHeight w:val="304"/>
          <w:tblHeader/>
        </w:trPr>
        <w:tc>
          <w:tcPr>
            <w:tcW w:w="9673" w:type="dxa"/>
            <w:gridSpan w:val="10"/>
            <w:tcBorders>
              <w:top w:val="nil"/>
              <w:left w:val="nil"/>
              <w:bottom w:val="nil"/>
              <w:right w:val="nil"/>
            </w:tcBorders>
            <w:shd w:val="clear" w:color="auto" w:fill="FFFFFF"/>
            <w:vAlign w:val="center"/>
          </w:tcPr>
          <w:p w:rsidR="00CF7589" w:rsidRPr="00B326F5" w:rsidRDefault="00CF7589" w:rsidP="00A53F4E">
            <w:pPr>
              <w:autoSpaceDE w:val="0"/>
              <w:autoSpaceDN w:val="0"/>
              <w:adjustRightInd w:val="0"/>
              <w:spacing w:after="0" w:line="360" w:lineRule="auto"/>
              <w:ind w:left="60" w:right="60"/>
              <w:jc w:val="center"/>
              <w:rPr>
                <w:rFonts w:ascii="Arial" w:hAnsi="Arial" w:cs="Arial"/>
                <w:color w:val="000000"/>
                <w:sz w:val="18"/>
                <w:szCs w:val="18"/>
              </w:rPr>
            </w:pPr>
            <w:r w:rsidRPr="00B326F5">
              <w:rPr>
                <w:rFonts w:ascii="Arial" w:hAnsi="Arial" w:cs="Arial"/>
                <w:b/>
                <w:bCs/>
                <w:color w:val="000000"/>
                <w:sz w:val="18"/>
                <w:szCs w:val="18"/>
              </w:rPr>
              <w:t>Variables in the Equation</w:t>
            </w:r>
          </w:p>
        </w:tc>
      </w:tr>
      <w:tr w:rsidR="00CF7589" w:rsidRPr="00B326F5" w:rsidTr="00A53F4E">
        <w:trPr>
          <w:cantSplit/>
          <w:trHeight w:val="291"/>
          <w:tblHeader/>
        </w:trPr>
        <w:tc>
          <w:tcPr>
            <w:tcW w:w="3261"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F7589" w:rsidRPr="00B326F5" w:rsidRDefault="00CF7589" w:rsidP="00A53F4E">
            <w:pPr>
              <w:autoSpaceDE w:val="0"/>
              <w:autoSpaceDN w:val="0"/>
              <w:adjustRightInd w:val="0"/>
              <w:spacing w:after="0"/>
              <w:jc w:val="center"/>
              <w:rPr>
                <w:rFonts w:ascii="Arial" w:hAnsi="Arial" w:cs="Arial"/>
                <w:sz w:val="18"/>
                <w:szCs w:val="18"/>
              </w:rPr>
            </w:pPr>
          </w:p>
        </w:tc>
        <w:tc>
          <w:tcPr>
            <w:tcW w:w="850" w:type="dxa"/>
            <w:vMerge w:val="restart"/>
            <w:tcBorders>
              <w:top w:val="single" w:sz="16" w:space="0" w:color="000000"/>
              <w:left w:val="single" w:sz="16" w:space="0" w:color="000000"/>
              <w:bottom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B</w:t>
            </w:r>
          </w:p>
        </w:tc>
        <w:tc>
          <w:tcPr>
            <w:tcW w:w="709" w:type="dxa"/>
            <w:vMerge w:val="restart"/>
            <w:tcBorders>
              <w:top w:val="single" w:sz="16" w:space="0" w:color="000000"/>
              <w:bottom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S.E.</w:t>
            </w:r>
          </w:p>
        </w:tc>
        <w:tc>
          <w:tcPr>
            <w:tcW w:w="850" w:type="dxa"/>
            <w:vMerge w:val="restart"/>
            <w:tcBorders>
              <w:top w:val="single" w:sz="16" w:space="0" w:color="000000"/>
              <w:bottom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Wald</w:t>
            </w:r>
          </w:p>
        </w:tc>
        <w:tc>
          <w:tcPr>
            <w:tcW w:w="606" w:type="dxa"/>
            <w:vMerge w:val="restart"/>
            <w:tcBorders>
              <w:top w:val="single" w:sz="16" w:space="0" w:color="000000"/>
              <w:bottom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df</w:t>
            </w:r>
          </w:p>
        </w:tc>
        <w:tc>
          <w:tcPr>
            <w:tcW w:w="849" w:type="dxa"/>
            <w:vMerge w:val="restart"/>
            <w:tcBorders>
              <w:top w:val="single" w:sz="16" w:space="0" w:color="000000"/>
              <w:bottom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Sig.</w:t>
            </w:r>
          </w:p>
        </w:tc>
        <w:tc>
          <w:tcPr>
            <w:tcW w:w="849" w:type="dxa"/>
            <w:vMerge w:val="restart"/>
            <w:tcBorders>
              <w:top w:val="single" w:sz="16" w:space="0" w:color="000000"/>
              <w:bottom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Exp(B)</w:t>
            </w:r>
          </w:p>
        </w:tc>
        <w:tc>
          <w:tcPr>
            <w:tcW w:w="1699" w:type="dxa"/>
            <w:gridSpan w:val="2"/>
            <w:tcBorders>
              <w:top w:val="single" w:sz="16" w:space="0" w:color="000000"/>
              <w:right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95% C.I.for EXP(B)</w:t>
            </w:r>
          </w:p>
        </w:tc>
      </w:tr>
      <w:tr w:rsidR="00CF7589" w:rsidRPr="00B326F5" w:rsidTr="00A53F4E">
        <w:trPr>
          <w:cantSplit/>
          <w:trHeight w:val="133"/>
          <w:tblHeader/>
        </w:trPr>
        <w:tc>
          <w:tcPr>
            <w:tcW w:w="3261" w:type="dxa"/>
            <w:gridSpan w:val="2"/>
            <w:vMerge/>
            <w:tcBorders>
              <w:top w:val="single" w:sz="16" w:space="0" w:color="000000"/>
              <w:left w:val="single" w:sz="16" w:space="0" w:color="000000"/>
              <w:bottom w:val="single" w:sz="18" w:space="0" w:color="000000"/>
              <w:right w:val="single" w:sz="16" w:space="0" w:color="000000"/>
            </w:tcBorders>
            <w:shd w:val="clear" w:color="auto" w:fill="FFFFFF"/>
            <w:vAlign w:val="center"/>
          </w:tcPr>
          <w:p w:rsidR="00CF7589" w:rsidRPr="00B326F5" w:rsidRDefault="00CF7589" w:rsidP="00A53F4E">
            <w:pPr>
              <w:autoSpaceDE w:val="0"/>
              <w:autoSpaceDN w:val="0"/>
              <w:adjustRightInd w:val="0"/>
              <w:spacing w:after="0"/>
              <w:rPr>
                <w:rFonts w:ascii="Arial" w:hAnsi="Arial" w:cs="Arial"/>
                <w:color w:val="000000"/>
                <w:sz w:val="18"/>
                <w:szCs w:val="18"/>
              </w:rPr>
            </w:pPr>
          </w:p>
        </w:tc>
        <w:tc>
          <w:tcPr>
            <w:tcW w:w="850" w:type="dxa"/>
            <w:vMerge/>
            <w:tcBorders>
              <w:top w:val="single" w:sz="16" w:space="0" w:color="000000"/>
              <w:left w:val="single" w:sz="16" w:space="0" w:color="000000"/>
              <w:bottom w:val="single" w:sz="18" w:space="0" w:color="000000"/>
            </w:tcBorders>
            <w:shd w:val="clear" w:color="auto" w:fill="FFFFFF"/>
            <w:vAlign w:val="bottom"/>
          </w:tcPr>
          <w:p w:rsidR="00CF7589" w:rsidRPr="00B326F5" w:rsidRDefault="00CF7589" w:rsidP="00A53F4E">
            <w:pPr>
              <w:autoSpaceDE w:val="0"/>
              <w:autoSpaceDN w:val="0"/>
              <w:adjustRightInd w:val="0"/>
              <w:spacing w:after="0"/>
              <w:rPr>
                <w:rFonts w:ascii="Arial" w:hAnsi="Arial" w:cs="Arial"/>
                <w:color w:val="000000"/>
                <w:sz w:val="18"/>
                <w:szCs w:val="18"/>
              </w:rPr>
            </w:pPr>
          </w:p>
        </w:tc>
        <w:tc>
          <w:tcPr>
            <w:tcW w:w="709" w:type="dxa"/>
            <w:vMerge/>
            <w:tcBorders>
              <w:top w:val="single" w:sz="16" w:space="0" w:color="000000"/>
              <w:bottom w:val="single" w:sz="18" w:space="0" w:color="000000"/>
            </w:tcBorders>
            <w:shd w:val="clear" w:color="auto" w:fill="FFFFFF"/>
            <w:vAlign w:val="bottom"/>
          </w:tcPr>
          <w:p w:rsidR="00CF7589" w:rsidRPr="00B326F5" w:rsidRDefault="00CF7589" w:rsidP="00A53F4E">
            <w:pPr>
              <w:autoSpaceDE w:val="0"/>
              <w:autoSpaceDN w:val="0"/>
              <w:adjustRightInd w:val="0"/>
              <w:spacing w:after="0"/>
              <w:rPr>
                <w:rFonts w:ascii="Arial" w:hAnsi="Arial" w:cs="Arial"/>
                <w:color w:val="000000"/>
                <w:sz w:val="18"/>
                <w:szCs w:val="18"/>
              </w:rPr>
            </w:pPr>
          </w:p>
        </w:tc>
        <w:tc>
          <w:tcPr>
            <w:tcW w:w="850" w:type="dxa"/>
            <w:vMerge/>
            <w:tcBorders>
              <w:top w:val="single" w:sz="16" w:space="0" w:color="000000"/>
              <w:bottom w:val="single" w:sz="18" w:space="0" w:color="000000"/>
            </w:tcBorders>
            <w:shd w:val="clear" w:color="auto" w:fill="FFFFFF"/>
            <w:vAlign w:val="bottom"/>
          </w:tcPr>
          <w:p w:rsidR="00CF7589" w:rsidRPr="00B326F5" w:rsidRDefault="00CF7589" w:rsidP="00A53F4E">
            <w:pPr>
              <w:autoSpaceDE w:val="0"/>
              <w:autoSpaceDN w:val="0"/>
              <w:adjustRightInd w:val="0"/>
              <w:spacing w:after="0"/>
              <w:rPr>
                <w:rFonts w:ascii="Arial" w:hAnsi="Arial" w:cs="Arial"/>
                <w:color w:val="000000"/>
                <w:sz w:val="18"/>
                <w:szCs w:val="18"/>
              </w:rPr>
            </w:pPr>
          </w:p>
        </w:tc>
        <w:tc>
          <w:tcPr>
            <w:tcW w:w="606" w:type="dxa"/>
            <w:vMerge/>
            <w:tcBorders>
              <w:top w:val="single" w:sz="16" w:space="0" w:color="000000"/>
              <w:bottom w:val="single" w:sz="18" w:space="0" w:color="000000"/>
            </w:tcBorders>
            <w:shd w:val="clear" w:color="auto" w:fill="FFFFFF"/>
            <w:vAlign w:val="bottom"/>
          </w:tcPr>
          <w:p w:rsidR="00CF7589" w:rsidRPr="00B326F5" w:rsidRDefault="00CF7589" w:rsidP="00A53F4E">
            <w:pPr>
              <w:autoSpaceDE w:val="0"/>
              <w:autoSpaceDN w:val="0"/>
              <w:adjustRightInd w:val="0"/>
              <w:spacing w:after="0"/>
              <w:rPr>
                <w:rFonts w:ascii="Arial" w:hAnsi="Arial" w:cs="Arial"/>
                <w:color w:val="000000"/>
                <w:sz w:val="18"/>
                <w:szCs w:val="18"/>
              </w:rPr>
            </w:pPr>
          </w:p>
        </w:tc>
        <w:tc>
          <w:tcPr>
            <w:tcW w:w="849" w:type="dxa"/>
            <w:vMerge/>
            <w:tcBorders>
              <w:top w:val="single" w:sz="16" w:space="0" w:color="000000"/>
              <w:bottom w:val="single" w:sz="18" w:space="0" w:color="000000"/>
            </w:tcBorders>
            <w:shd w:val="clear" w:color="auto" w:fill="FFFFFF"/>
            <w:vAlign w:val="bottom"/>
          </w:tcPr>
          <w:p w:rsidR="00CF7589" w:rsidRPr="00B326F5" w:rsidRDefault="00CF7589" w:rsidP="00A53F4E">
            <w:pPr>
              <w:autoSpaceDE w:val="0"/>
              <w:autoSpaceDN w:val="0"/>
              <w:adjustRightInd w:val="0"/>
              <w:spacing w:after="0"/>
              <w:rPr>
                <w:rFonts w:ascii="Arial" w:hAnsi="Arial" w:cs="Arial"/>
                <w:color w:val="000000"/>
                <w:sz w:val="18"/>
                <w:szCs w:val="18"/>
              </w:rPr>
            </w:pPr>
          </w:p>
        </w:tc>
        <w:tc>
          <w:tcPr>
            <w:tcW w:w="849" w:type="dxa"/>
            <w:vMerge/>
            <w:tcBorders>
              <w:top w:val="single" w:sz="16" w:space="0" w:color="000000"/>
              <w:bottom w:val="single" w:sz="18" w:space="0" w:color="000000"/>
            </w:tcBorders>
            <w:shd w:val="clear" w:color="auto" w:fill="FFFFFF"/>
            <w:vAlign w:val="bottom"/>
          </w:tcPr>
          <w:p w:rsidR="00CF7589" w:rsidRPr="00B326F5" w:rsidRDefault="00CF7589" w:rsidP="00A53F4E">
            <w:pPr>
              <w:autoSpaceDE w:val="0"/>
              <w:autoSpaceDN w:val="0"/>
              <w:adjustRightInd w:val="0"/>
              <w:spacing w:after="0"/>
              <w:rPr>
                <w:rFonts w:ascii="Arial" w:hAnsi="Arial" w:cs="Arial"/>
                <w:color w:val="000000"/>
                <w:sz w:val="18"/>
                <w:szCs w:val="18"/>
              </w:rPr>
            </w:pPr>
          </w:p>
        </w:tc>
        <w:tc>
          <w:tcPr>
            <w:tcW w:w="849" w:type="dxa"/>
            <w:tcBorders>
              <w:bottom w:val="single" w:sz="18"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Lower</w:t>
            </w:r>
          </w:p>
        </w:tc>
        <w:tc>
          <w:tcPr>
            <w:tcW w:w="850" w:type="dxa"/>
            <w:tcBorders>
              <w:bottom w:val="single" w:sz="18" w:space="0" w:color="000000"/>
              <w:right w:val="single" w:sz="16" w:space="0" w:color="000000"/>
            </w:tcBorders>
            <w:shd w:val="clear" w:color="auto" w:fill="FFFFFF"/>
            <w:vAlign w:val="bottom"/>
          </w:tcPr>
          <w:p w:rsidR="00CF7589" w:rsidRPr="00B326F5" w:rsidRDefault="00CF7589" w:rsidP="00A53F4E">
            <w:pPr>
              <w:autoSpaceDE w:val="0"/>
              <w:autoSpaceDN w:val="0"/>
              <w:adjustRightInd w:val="0"/>
              <w:spacing w:after="0"/>
              <w:ind w:left="60" w:right="60"/>
              <w:jc w:val="center"/>
              <w:rPr>
                <w:rFonts w:ascii="Arial" w:hAnsi="Arial" w:cs="Arial"/>
                <w:color w:val="000000"/>
                <w:sz w:val="18"/>
                <w:szCs w:val="18"/>
              </w:rPr>
            </w:pPr>
            <w:r w:rsidRPr="00B326F5">
              <w:rPr>
                <w:rFonts w:ascii="Arial" w:hAnsi="Arial" w:cs="Arial"/>
                <w:color w:val="000000"/>
                <w:sz w:val="18"/>
                <w:szCs w:val="18"/>
              </w:rPr>
              <w:t>Upper</w:t>
            </w:r>
          </w:p>
        </w:tc>
      </w:tr>
      <w:tr w:rsidR="00CF7589" w:rsidRPr="00B326F5" w:rsidTr="00A53F4E">
        <w:trPr>
          <w:cantSplit/>
          <w:trHeight w:val="291"/>
          <w:tblHeader/>
        </w:trPr>
        <w:tc>
          <w:tcPr>
            <w:tcW w:w="777" w:type="dxa"/>
            <w:vMerge w:val="restart"/>
            <w:tcBorders>
              <w:top w:val="single" w:sz="18" w:space="0" w:color="000000"/>
              <w:left w:val="single" w:sz="18" w:space="0" w:color="000000"/>
              <w:bottom w:val="single" w:sz="16" w:space="0" w:color="000000"/>
              <w:right w:val="nil"/>
            </w:tcBorders>
            <w:shd w:val="clear" w:color="auto" w:fill="FFFFFF"/>
          </w:tcPr>
          <w:p w:rsidR="00CF7589" w:rsidRPr="00B326F5" w:rsidRDefault="00CF7589" w:rsidP="00A53F4E">
            <w:pPr>
              <w:autoSpaceDE w:val="0"/>
              <w:autoSpaceDN w:val="0"/>
              <w:adjustRightInd w:val="0"/>
              <w:spacing w:after="0" w:line="360" w:lineRule="auto"/>
              <w:ind w:left="60" w:right="60"/>
              <w:rPr>
                <w:rFonts w:ascii="Arial" w:hAnsi="Arial" w:cs="Arial"/>
                <w:color w:val="000000"/>
                <w:sz w:val="18"/>
                <w:szCs w:val="18"/>
              </w:rPr>
            </w:pPr>
            <w:r w:rsidRPr="00B326F5">
              <w:rPr>
                <w:rFonts w:ascii="Arial" w:hAnsi="Arial" w:cs="Arial"/>
                <w:color w:val="000000"/>
                <w:sz w:val="18"/>
                <w:szCs w:val="18"/>
              </w:rPr>
              <w:t>Step 1</w:t>
            </w:r>
            <w:r w:rsidRPr="00B326F5">
              <w:rPr>
                <w:rFonts w:ascii="Arial" w:hAnsi="Arial" w:cs="Arial"/>
                <w:color w:val="000000"/>
                <w:sz w:val="18"/>
                <w:szCs w:val="18"/>
                <w:vertAlign w:val="superscript"/>
              </w:rPr>
              <w:t>a</w:t>
            </w:r>
          </w:p>
        </w:tc>
        <w:tc>
          <w:tcPr>
            <w:tcW w:w="2484" w:type="dxa"/>
            <w:tcBorders>
              <w:top w:val="single" w:sz="18" w:space="0" w:color="000000"/>
              <w:left w:val="nil"/>
              <w:bottom w:val="nil"/>
              <w:right w:val="single" w:sz="16" w:space="0" w:color="000000"/>
            </w:tcBorders>
            <w:shd w:val="clear" w:color="auto" w:fill="FFFFFF"/>
          </w:tcPr>
          <w:p w:rsidR="00CF7589" w:rsidRPr="00B326F5" w:rsidRDefault="00CF7589" w:rsidP="00A53F4E">
            <w:pPr>
              <w:autoSpaceDE w:val="0"/>
              <w:autoSpaceDN w:val="0"/>
              <w:adjustRightInd w:val="0"/>
              <w:spacing w:after="0" w:line="360" w:lineRule="auto"/>
              <w:ind w:left="60" w:right="60"/>
              <w:rPr>
                <w:rFonts w:ascii="Arial" w:hAnsi="Arial" w:cs="Arial"/>
                <w:color w:val="000000"/>
                <w:sz w:val="18"/>
                <w:szCs w:val="18"/>
              </w:rPr>
            </w:pPr>
            <w:r w:rsidRPr="00B326F5">
              <w:rPr>
                <w:rFonts w:ascii="Arial" w:hAnsi="Arial" w:cs="Arial"/>
                <w:color w:val="000000"/>
                <w:sz w:val="18"/>
                <w:szCs w:val="18"/>
              </w:rPr>
              <w:t>InStMkt(1)</w:t>
            </w:r>
          </w:p>
        </w:tc>
        <w:tc>
          <w:tcPr>
            <w:tcW w:w="850" w:type="dxa"/>
            <w:tcBorders>
              <w:top w:val="single" w:sz="18" w:space="0" w:color="000000"/>
              <w:left w:val="single" w:sz="16"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-.025</w:t>
            </w:r>
          </w:p>
        </w:tc>
        <w:tc>
          <w:tcPr>
            <w:tcW w:w="709" w:type="dxa"/>
            <w:tcBorders>
              <w:top w:val="single" w:sz="18"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.236</w:t>
            </w:r>
          </w:p>
        </w:tc>
        <w:tc>
          <w:tcPr>
            <w:tcW w:w="850" w:type="dxa"/>
            <w:tcBorders>
              <w:top w:val="single" w:sz="18"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.011</w:t>
            </w:r>
          </w:p>
        </w:tc>
        <w:tc>
          <w:tcPr>
            <w:tcW w:w="606" w:type="dxa"/>
            <w:tcBorders>
              <w:top w:val="single" w:sz="18"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1</w:t>
            </w:r>
          </w:p>
        </w:tc>
        <w:tc>
          <w:tcPr>
            <w:tcW w:w="849" w:type="dxa"/>
            <w:tcBorders>
              <w:top w:val="single" w:sz="18"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.917</w:t>
            </w:r>
          </w:p>
        </w:tc>
        <w:tc>
          <w:tcPr>
            <w:tcW w:w="849" w:type="dxa"/>
            <w:tcBorders>
              <w:top w:val="single" w:sz="18"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.976</w:t>
            </w:r>
          </w:p>
        </w:tc>
        <w:tc>
          <w:tcPr>
            <w:tcW w:w="849" w:type="dxa"/>
            <w:tcBorders>
              <w:top w:val="single" w:sz="18"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.614</w:t>
            </w:r>
          </w:p>
        </w:tc>
        <w:tc>
          <w:tcPr>
            <w:tcW w:w="850" w:type="dxa"/>
            <w:tcBorders>
              <w:top w:val="single" w:sz="18" w:space="0" w:color="000000"/>
              <w:bottom w:val="nil"/>
              <w:right w:val="single" w:sz="18" w:space="0" w:color="000000"/>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color w:val="000000"/>
                <w:sz w:val="18"/>
                <w:szCs w:val="18"/>
              </w:rPr>
            </w:pPr>
            <w:r w:rsidRPr="00B326F5">
              <w:rPr>
                <w:rFonts w:ascii="Arial" w:hAnsi="Arial" w:cs="Arial"/>
                <w:color w:val="000000"/>
                <w:sz w:val="18"/>
                <w:szCs w:val="18"/>
              </w:rPr>
              <w:t>1.549</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A53F4E">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A53F4E">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FRIEND(1)</w:t>
            </w:r>
          </w:p>
        </w:tc>
        <w:tc>
          <w:tcPr>
            <w:tcW w:w="850" w:type="dxa"/>
            <w:tcBorders>
              <w:top w:val="nil"/>
              <w:left w:val="single" w:sz="16"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.679</w:t>
            </w:r>
          </w:p>
        </w:tc>
        <w:tc>
          <w:tcPr>
            <w:tcW w:w="70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.164</w:t>
            </w:r>
          </w:p>
        </w:tc>
        <w:tc>
          <w:tcPr>
            <w:tcW w:w="850"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17.059</w:t>
            </w:r>
          </w:p>
        </w:tc>
        <w:tc>
          <w:tcPr>
            <w:tcW w:w="606"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.000</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1.972</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1.429</w:t>
            </w:r>
          </w:p>
        </w:tc>
        <w:tc>
          <w:tcPr>
            <w:tcW w:w="850" w:type="dxa"/>
            <w:tcBorders>
              <w:top w:val="nil"/>
              <w:bottom w:val="nil"/>
              <w:right w:val="single" w:sz="18" w:space="0" w:color="000000"/>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2.721</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A53F4E">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A53F4E">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DT</w:t>
            </w:r>
          </w:p>
        </w:tc>
        <w:tc>
          <w:tcPr>
            <w:tcW w:w="850" w:type="dxa"/>
            <w:tcBorders>
              <w:top w:val="nil"/>
              <w:left w:val="single" w:sz="16"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.000</w:t>
            </w:r>
          </w:p>
        </w:tc>
        <w:tc>
          <w:tcPr>
            <w:tcW w:w="70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.000</w:t>
            </w:r>
          </w:p>
        </w:tc>
        <w:tc>
          <w:tcPr>
            <w:tcW w:w="850"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.062</w:t>
            </w:r>
          </w:p>
        </w:tc>
        <w:tc>
          <w:tcPr>
            <w:tcW w:w="606"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.803</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1.000</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1.000</w:t>
            </w:r>
          </w:p>
        </w:tc>
        <w:tc>
          <w:tcPr>
            <w:tcW w:w="850" w:type="dxa"/>
            <w:tcBorders>
              <w:top w:val="nil"/>
              <w:bottom w:val="nil"/>
              <w:right w:val="single" w:sz="18" w:space="0" w:color="000000"/>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1.000</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A53F4E">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A53F4E">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EC(1)</w:t>
            </w:r>
          </w:p>
        </w:tc>
        <w:tc>
          <w:tcPr>
            <w:tcW w:w="850" w:type="dxa"/>
            <w:tcBorders>
              <w:top w:val="nil"/>
              <w:left w:val="single" w:sz="16" w:space="0" w:color="000000"/>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.200</w:t>
            </w:r>
          </w:p>
        </w:tc>
        <w:tc>
          <w:tcPr>
            <w:tcW w:w="70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.152</w:t>
            </w:r>
          </w:p>
        </w:tc>
        <w:tc>
          <w:tcPr>
            <w:tcW w:w="850"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1.735</w:t>
            </w:r>
          </w:p>
        </w:tc>
        <w:tc>
          <w:tcPr>
            <w:tcW w:w="606"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.188</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1.222</w:t>
            </w:r>
          </w:p>
        </w:tc>
        <w:tc>
          <w:tcPr>
            <w:tcW w:w="849" w:type="dxa"/>
            <w:tcBorders>
              <w:top w:val="nil"/>
              <w:bottom w:val="nil"/>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.907</w:t>
            </w:r>
          </w:p>
        </w:tc>
        <w:tc>
          <w:tcPr>
            <w:tcW w:w="850" w:type="dxa"/>
            <w:tcBorders>
              <w:top w:val="nil"/>
              <w:bottom w:val="nil"/>
              <w:right w:val="single" w:sz="18" w:space="0" w:color="000000"/>
            </w:tcBorders>
            <w:shd w:val="clear" w:color="auto" w:fill="FFFFFF"/>
          </w:tcPr>
          <w:p w:rsidR="00CF7589" w:rsidRPr="00B326F5" w:rsidRDefault="00CF7589" w:rsidP="00A53F4E">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1.646</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CF7589">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NA(1)</w:t>
            </w:r>
          </w:p>
        </w:tc>
        <w:tc>
          <w:tcPr>
            <w:tcW w:w="850" w:type="dxa"/>
            <w:tcBorders>
              <w:top w:val="nil"/>
              <w:left w:val="single" w:sz="16" w:space="0" w:color="000000"/>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.790</w:t>
            </w:r>
          </w:p>
        </w:tc>
        <w:tc>
          <w:tcPr>
            <w:tcW w:w="70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1.234</w:t>
            </w:r>
          </w:p>
        </w:tc>
        <w:tc>
          <w:tcPr>
            <w:tcW w:w="850"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.410</w:t>
            </w:r>
          </w:p>
        </w:tc>
        <w:tc>
          <w:tcPr>
            <w:tcW w:w="606"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.522</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2.203</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.196</w:t>
            </w:r>
          </w:p>
        </w:tc>
        <w:tc>
          <w:tcPr>
            <w:tcW w:w="850" w:type="dxa"/>
            <w:tcBorders>
              <w:top w:val="nil"/>
              <w:bottom w:val="nil"/>
              <w:right w:val="single" w:sz="18" w:space="0" w:color="000000"/>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24.722</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CF7589">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INNOV</w:t>
            </w:r>
          </w:p>
        </w:tc>
        <w:tc>
          <w:tcPr>
            <w:tcW w:w="850" w:type="dxa"/>
            <w:tcBorders>
              <w:top w:val="nil"/>
              <w:left w:val="single" w:sz="16" w:space="0" w:color="000000"/>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.101</w:t>
            </w:r>
          </w:p>
        </w:tc>
        <w:tc>
          <w:tcPr>
            <w:tcW w:w="70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.405</w:t>
            </w:r>
          </w:p>
        </w:tc>
        <w:tc>
          <w:tcPr>
            <w:tcW w:w="850"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.062</w:t>
            </w:r>
          </w:p>
        </w:tc>
        <w:tc>
          <w:tcPr>
            <w:tcW w:w="606"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.804</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1.106</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.500</w:t>
            </w:r>
          </w:p>
        </w:tc>
        <w:tc>
          <w:tcPr>
            <w:tcW w:w="850" w:type="dxa"/>
            <w:tcBorders>
              <w:top w:val="nil"/>
              <w:bottom w:val="nil"/>
              <w:right w:val="single" w:sz="18" w:space="0" w:color="000000"/>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2.448</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CF7589">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INVOL</w:t>
            </w:r>
          </w:p>
        </w:tc>
        <w:tc>
          <w:tcPr>
            <w:tcW w:w="850" w:type="dxa"/>
            <w:tcBorders>
              <w:top w:val="nil"/>
              <w:left w:val="single" w:sz="16" w:space="0" w:color="000000"/>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-.163</w:t>
            </w:r>
          </w:p>
        </w:tc>
        <w:tc>
          <w:tcPr>
            <w:tcW w:w="70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.129</w:t>
            </w:r>
          </w:p>
        </w:tc>
        <w:tc>
          <w:tcPr>
            <w:tcW w:w="850"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1.616</w:t>
            </w:r>
          </w:p>
        </w:tc>
        <w:tc>
          <w:tcPr>
            <w:tcW w:w="606"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.204</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.849</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.660</w:t>
            </w:r>
          </w:p>
        </w:tc>
        <w:tc>
          <w:tcPr>
            <w:tcW w:w="850" w:type="dxa"/>
            <w:tcBorders>
              <w:top w:val="nil"/>
              <w:bottom w:val="nil"/>
              <w:right w:val="single" w:sz="18" w:space="0" w:color="000000"/>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1.093</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CF7589">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FRIEND(1) by InStMkt</w:t>
            </w:r>
          </w:p>
        </w:tc>
        <w:tc>
          <w:tcPr>
            <w:tcW w:w="850" w:type="dxa"/>
            <w:tcBorders>
              <w:top w:val="nil"/>
              <w:left w:val="single" w:sz="16" w:space="0" w:color="000000"/>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.362</w:t>
            </w:r>
          </w:p>
        </w:tc>
        <w:tc>
          <w:tcPr>
            <w:tcW w:w="70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.426</w:t>
            </w:r>
          </w:p>
        </w:tc>
        <w:tc>
          <w:tcPr>
            <w:tcW w:w="850"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.724</w:t>
            </w:r>
          </w:p>
        </w:tc>
        <w:tc>
          <w:tcPr>
            <w:tcW w:w="606"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.395</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1.437</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.624</w:t>
            </w:r>
          </w:p>
        </w:tc>
        <w:tc>
          <w:tcPr>
            <w:tcW w:w="850" w:type="dxa"/>
            <w:tcBorders>
              <w:top w:val="nil"/>
              <w:bottom w:val="nil"/>
              <w:right w:val="single" w:sz="18" w:space="0" w:color="000000"/>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3.310</w:t>
            </w:r>
          </w:p>
        </w:tc>
      </w:tr>
      <w:tr w:rsidR="00CF7589" w:rsidRPr="00B326F5" w:rsidTr="00A53F4E">
        <w:trPr>
          <w:cantSplit/>
          <w:trHeight w:val="133"/>
          <w:tblHeader/>
        </w:trPr>
        <w:tc>
          <w:tcPr>
            <w:tcW w:w="777" w:type="dxa"/>
            <w:vMerge/>
            <w:tcBorders>
              <w:top w:val="single" w:sz="16" w:space="0" w:color="000000"/>
              <w:left w:val="single" w:sz="18" w:space="0" w:color="000000"/>
              <w:bottom w:val="single" w:sz="16" w:space="0" w:color="000000"/>
              <w:right w:val="nil"/>
            </w:tcBorders>
            <w:shd w:val="clear" w:color="auto" w:fill="FFFFFF"/>
          </w:tcPr>
          <w:p w:rsidR="00CF7589" w:rsidRPr="00B326F5" w:rsidRDefault="00CF7589" w:rsidP="00CF7589">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nil"/>
              <w:right w:val="single" w:sz="16" w:space="0" w:color="000000"/>
            </w:tcBorders>
            <w:shd w:val="clear" w:color="auto" w:fill="FFFFFF"/>
          </w:tcPr>
          <w:p w:rsidR="00CF7589" w:rsidRPr="00B326F5"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FRIEND(1) by GENDER</w:t>
            </w:r>
          </w:p>
        </w:tc>
        <w:tc>
          <w:tcPr>
            <w:tcW w:w="850" w:type="dxa"/>
            <w:tcBorders>
              <w:top w:val="nil"/>
              <w:left w:val="single" w:sz="16" w:space="0" w:color="000000"/>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.860</w:t>
            </w:r>
          </w:p>
        </w:tc>
        <w:tc>
          <w:tcPr>
            <w:tcW w:w="70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.230</w:t>
            </w:r>
          </w:p>
        </w:tc>
        <w:tc>
          <w:tcPr>
            <w:tcW w:w="850"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13.925</w:t>
            </w:r>
          </w:p>
        </w:tc>
        <w:tc>
          <w:tcPr>
            <w:tcW w:w="606"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.000</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2.362</w:t>
            </w:r>
          </w:p>
        </w:tc>
        <w:tc>
          <w:tcPr>
            <w:tcW w:w="849" w:type="dxa"/>
            <w:tcBorders>
              <w:top w:val="nil"/>
              <w:bottom w:val="nil"/>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1.504</w:t>
            </w:r>
          </w:p>
        </w:tc>
        <w:tc>
          <w:tcPr>
            <w:tcW w:w="850" w:type="dxa"/>
            <w:tcBorders>
              <w:top w:val="nil"/>
              <w:bottom w:val="nil"/>
              <w:right w:val="single" w:sz="18" w:space="0" w:color="000000"/>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3.710</w:t>
            </w:r>
          </w:p>
        </w:tc>
      </w:tr>
      <w:tr w:rsidR="00CF7589" w:rsidRPr="00B326F5" w:rsidTr="00A53F4E">
        <w:trPr>
          <w:cantSplit/>
          <w:trHeight w:val="133"/>
          <w:tblHeader/>
        </w:trPr>
        <w:tc>
          <w:tcPr>
            <w:tcW w:w="777" w:type="dxa"/>
            <w:vMerge/>
            <w:tcBorders>
              <w:top w:val="single" w:sz="16" w:space="0" w:color="000000"/>
              <w:left w:val="single" w:sz="18" w:space="0" w:color="000000"/>
              <w:bottom w:val="single" w:sz="4" w:space="0" w:color="auto"/>
              <w:right w:val="nil"/>
            </w:tcBorders>
            <w:shd w:val="clear" w:color="auto" w:fill="FFFFFF"/>
          </w:tcPr>
          <w:p w:rsidR="00CF7589" w:rsidRPr="00B326F5" w:rsidRDefault="00CF7589" w:rsidP="00CF7589">
            <w:pPr>
              <w:autoSpaceDE w:val="0"/>
              <w:autoSpaceDN w:val="0"/>
              <w:adjustRightInd w:val="0"/>
              <w:spacing w:after="0" w:line="360" w:lineRule="auto"/>
              <w:rPr>
                <w:rFonts w:ascii="Arial" w:hAnsi="Arial" w:cs="Arial"/>
                <w:color w:val="000000"/>
                <w:sz w:val="18"/>
                <w:szCs w:val="18"/>
              </w:rPr>
            </w:pPr>
          </w:p>
        </w:tc>
        <w:tc>
          <w:tcPr>
            <w:tcW w:w="2484" w:type="dxa"/>
            <w:tcBorders>
              <w:top w:val="nil"/>
              <w:left w:val="nil"/>
              <w:bottom w:val="single" w:sz="4" w:space="0" w:color="auto"/>
              <w:right w:val="single" w:sz="16" w:space="0" w:color="000000"/>
            </w:tcBorders>
            <w:shd w:val="clear" w:color="auto" w:fill="FFFFFF"/>
          </w:tcPr>
          <w:p w:rsidR="00CF7589" w:rsidRPr="00B326F5" w:rsidRDefault="00CF7589" w:rsidP="00CF7589">
            <w:pPr>
              <w:tabs>
                <w:tab w:val="right" w:pos="1960"/>
              </w:tabs>
              <w:autoSpaceDE w:val="0"/>
              <w:autoSpaceDN w:val="0"/>
              <w:adjustRightInd w:val="0"/>
              <w:spacing w:after="0" w:line="360" w:lineRule="auto"/>
              <w:ind w:left="60" w:right="60"/>
              <w:rPr>
                <w:rFonts w:ascii="Arial" w:hAnsi="Arial" w:cs="Arial"/>
                <w:bCs/>
                <w:color w:val="000000"/>
                <w:sz w:val="18"/>
                <w:szCs w:val="18"/>
              </w:rPr>
            </w:pPr>
            <w:r w:rsidRPr="00B326F5">
              <w:rPr>
                <w:rFonts w:ascii="Arial" w:hAnsi="Arial" w:cs="Arial"/>
                <w:bCs/>
                <w:color w:val="000000"/>
                <w:sz w:val="18"/>
                <w:szCs w:val="18"/>
              </w:rPr>
              <w:t>Constant</w:t>
            </w:r>
            <w:r w:rsidRPr="00B326F5">
              <w:rPr>
                <w:rFonts w:ascii="Arial" w:hAnsi="Arial" w:cs="Arial"/>
                <w:bCs/>
                <w:color w:val="000000"/>
                <w:sz w:val="18"/>
                <w:szCs w:val="18"/>
              </w:rPr>
              <w:tab/>
            </w:r>
          </w:p>
        </w:tc>
        <w:tc>
          <w:tcPr>
            <w:tcW w:w="850" w:type="dxa"/>
            <w:tcBorders>
              <w:top w:val="nil"/>
              <w:left w:val="single" w:sz="16" w:space="0" w:color="000000"/>
              <w:bottom w:val="single" w:sz="4" w:space="0" w:color="auto"/>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-2.411</w:t>
            </w:r>
          </w:p>
        </w:tc>
        <w:tc>
          <w:tcPr>
            <w:tcW w:w="709" w:type="dxa"/>
            <w:tcBorders>
              <w:top w:val="nil"/>
              <w:bottom w:val="single" w:sz="4" w:space="0" w:color="auto"/>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.524</w:t>
            </w:r>
          </w:p>
        </w:tc>
        <w:tc>
          <w:tcPr>
            <w:tcW w:w="850" w:type="dxa"/>
            <w:tcBorders>
              <w:top w:val="nil"/>
              <w:bottom w:val="single" w:sz="4" w:space="0" w:color="auto"/>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21.202</w:t>
            </w:r>
          </w:p>
        </w:tc>
        <w:tc>
          <w:tcPr>
            <w:tcW w:w="606" w:type="dxa"/>
            <w:tcBorders>
              <w:top w:val="nil"/>
              <w:bottom w:val="single" w:sz="4" w:space="0" w:color="auto"/>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1</w:t>
            </w:r>
          </w:p>
        </w:tc>
        <w:tc>
          <w:tcPr>
            <w:tcW w:w="849" w:type="dxa"/>
            <w:tcBorders>
              <w:top w:val="nil"/>
              <w:bottom w:val="single" w:sz="4" w:space="0" w:color="auto"/>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.000</w:t>
            </w:r>
          </w:p>
        </w:tc>
        <w:tc>
          <w:tcPr>
            <w:tcW w:w="849" w:type="dxa"/>
            <w:tcBorders>
              <w:top w:val="nil"/>
              <w:bottom w:val="single" w:sz="4" w:space="0" w:color="auto"/>
            </w:tcBorders>
            <w:shd w:val="clear" w:color="auto" w:fill="FFFFFF"/>
          </w:tcPr>
          <w:p w:rsidR="00CF7589" w:rsidRPr="00B326F5"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B326F5">
              <w:rPr>
                <w:rFonts w:ascii="Arial" w:hAnsi="Arial" w:cs="Arial"/>
                <w:bCs/>
                <w:color w:val="000000"/>
                <w:sz w:val="18"/>
                <w:szCs w:val="18"/>
              </w:rPr>
              <w:t>.090</w:t>
            </w:r>
          </w:p>
        </w:tc>
        <w:tc>
          <w:tcPr>
            <w:tcW w:w="849" w:type="dxa"/>
            <w:tcBorders>
              <w:top w:val="nil"/>
              <w:bottom w:val="single" w:sz="4" w:space="0" w:color="auto"/>
            </w:tcBorders>
            <w:shd w:val="clear" w:color="auto" w:fill="FFFFFF"/>
            <w:vAlign w:val="center"/>
          </w:tcPr>
          <w:p w:rsidR="00CF7589" w:rsidRPr="00B326F5" w:rsidRDefault="00CF7589" w:rsidP="00CF7589">
            <w:pPr>
              <w:autoSpaceDE w:val="0"/>
              <w:autoSpaceDN w:val="0"/>
              <w:adjustRightInd w:val="0"/>
              <w:spacing w:after="0" w:line="360" w:lineRule="auto"/>
              <w:jc w:val="center"/>
              <w:rPr>
                <w:rFonts w:ascii="Arial" w:hAnsi="Arial" w:cs="Arial"/>
                <w:bCs/>
                <w:sz w:val="18"/>
                <w:szCs w:val="18"/>
              </w:rPr>
            </w:pPr>
          </w:p>
        </w:tc>
        <w:tc>
          <w:tcPr>
            <w:tcW w:w="850" w:type="dxa"/>
            <w:tcBorders>
              <w:top w:val="nil"/>
              <w:bottom w:val="single" w:sz="4" w:space="0" w:color="auto"/>
              <w:right w:val="single" w:sz="18" w:space="0" w:color="000000"/>
            </w:tcBorders>
            <w:shd w:val="clear" w:color="auto" w:fill="FFFFFF"/>
            <w:vAlign w:val="center"/>
          </w:tcPr>
          <w:p w:rsidR="00CF7589" w:rsidRPr="00B326F5" w:rsidRDefault="00CF7589" w:rsidP="00CF7589">
            <w:pPr>
              <w:autoSpaceDE w:val="0"/>
              <w:autoSpaceDN w:val="0"/>
              <w:adjustRightInd w:val="0"/>
              <w:spacing w:after="0" w:line="360" w:lineRule="auto"/>
              <w:jc w:val="center"/>
              <w:rPr>
                <w:rFonts w:ascii="Arial" w:hAnsi="Arial" w:cs="Arial"/>
                <w:bCs/>
                <w:sz w:val="18"/>
                <w:szCs w:val="18"/>
              </w:rPr>
            </w:pPr>
          </w:p>
        </w:tc>
      </w:tr>
      <w:tr w:rsidR="00CF7589" w:rsidRPr="00B326F5" w:rsidTr="00A53F4E">
        <w:trPr>
          <w:cantSplit/>
          <w:trHeight w:val="133"/>
          <w:tblHeader/>
        </w:trPr>
        <w:tc>
          <w:tcPr>
            <w:tcW w:w="9673" w:type="dxa"/>
            <w:gridSpan w:val="10"/>
            <w:tcBorders>
              <w:top w:val="single" w:sz="4" w:space="0" w:color="auto"/>
              <w:left w:val="nil"/>
              <w:bottom w:val="nil"/>
              <w:right w:val="nil"/>
            </w:tcBorders>
            <w:shd w:val="clear" w:color="auto" w:fill="FFFFFF"/>
          </w:tcPr>
          <w:p w:rsidR="00CF7589" w:rsidRPr="00B326F5" w:rsidRDefault="00CF7589" w:rsidP="00CF7589">
            <w:pPr>
              <w:autoSpaceDE w:val="0"/>
              <w:autoSpaceDN w:val="0"/>
              <w:adjustRightInd w:val="0"/>
              <w:spacing w:after="0" w:line="360" w:lineRule="auto"/>
              <w:rPr>
                <w:rFonts w:ascii="Arial" w:hAnsi="Arial" w:cs="Arial"/>
                <w:sz w:val="18"/>
                <w:szCs w:val="18"/>
              </w:rPr>
            </w:pPr>
            <w:r w:rsidRPr="00B326F5">
              <w:rPr>
                <w:rFonts w:ascii="Arial" w:hAnsi="Arial" w:cs="Arial"/>
                <w:color w:val="000000"/>
                <w:sz w:val="18"/>
                <w:szCs w:val="18"/>
              </w:rPr>
              <w:t>a. Variable(s) entered on step 1: InStMkt, FRIEND, DT, EC, NA, INNOV, INVOL, FRIEND * InStMkt, FRIEND * GENDER</w:t>
            </w:r>
            <w:r w:rsidRPr="00B326F5">
              <w:rPr>
                <w:rFonts w:ascii="Arial" w:hAnsi="Arial" w:cs="Arial"/>
                <w:sz w:val="18"/>
                <w:szCs w:val="18"/>
              </w:rPr>
              <w:t>.</w:t>
            </w:r>
          </w:p>
          <w:p w:rsidR="00CF7589" w:rsidRPr="00B326F5" w:rsidRDefault="00CF7589" w:rsidP="00CF7589">
            <w:pPr>
              <w:autoSpaceDE w:val="0"/>
              <w:autoSpaceDN w:val="0"/>
              <w:adjustRightInd w:val="0"/>
              <w:spacing w:after="0" w:line="360" w:lineRule="auto"/>
              <w:ind w:left="60" w:right="60"/>
              <w:rPr>
                <w:rFonts w:ascii="Arial" w:hAnsi="Arial" w:cs="Arial"/>
                <w:color w:val="000000"/>
                <w:sz w:val="18"/>
                <w:szCs w:val="18"/>
              </w:rPr>
            </w:pPr>
          </w:p>
        </w:tc>
      </w:tr>
    </w:tbl>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DA2247" w:rsidRPr="009E5B5E" w:rsidRDefault="00DA2247" w:rsidP="00DA2247">
      <w:pPr>
        <w:tabs>
          <w:tab w:val="left" w:pos="709"/>
          <w:tab w:val="left" w:pos="993"/>
        </w:tabs>
        <w:suppressAutoHyphens/>
        <w:spacing w:line="360" w:lineRule="auto"/>
        <w:rPr>
          <w:b/>
          <w:bCs/>
          <w:sz w:val="32"/>
          <w:szCs w:val="32"/>
        </w:rPr>
      </w:pPr>
    </w:p>
    <w:p w:rsidR="00CF7589" w:rsidRDefault="00CF7589">
      <w:pPr>
        <w:rPr>
          <w:b/>
          <w:bCs/>
          <w:sz w:val="32"/>
          <w:szCs w:val="32"/>
        </w:rPr>
      </w:pPr>
    </w:p>
    <w:p w:rsidR="00DA2247" w:rsidRPr="009E5B5E" w:rsidRDefault="00DA2247" w:rsidP="00DA2247">
      <w:pPr>
        <w:tabs>
          <w:tab w:val="left" w:pos="709"/>
          <w:tab w:val="left" w:pos="993"/>
        </w:tabs>
        <w:suppressAutoHyphens/>
        <w:rPr>
          <w:b/>
          <w:bCs/>
          <w:sz w:val="32"/>
          <w:szCs w:val="32"/>
        </w:rPr>
      </w:pPr>
      <w:r w:rsidRPr="009E5B5E">
        <w:rPr>
          <w:b/>
          <w:bCs/>
          <w:sz w:val="32"/>
          <w:szCs w:val="32"/>
        </w:rPr>
        <w:lastRenderedPageBreak/>
        <w:t>Appendix 15</w:t>
      </w:r>
      <w:r w:rsidRPr="009E5B5E">
        <w:rPr>
          <w:b/>
          <w:bCs/>
          <w:color w:val="000000" w:themeColor="text1"/>
          <w:sz w:val="32"/>
          <w:szCs w:val="32"/>
        </w:rPr>
        <w:t>:  Logistic regression analysis of three-way interaction included model</w:t>
      </w:r>
    </w:p>
    <w:tbl>
      <w:tblPr>
        <w:tblpPr w:leftFromText="180" w:rightFromText="180" w:vertAnchor="text" w:horzAnchor="margin" w:tblpY="364"/>
        <w:tblW w:w="97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4"/>
        <w:gridCol w:w="2618"/>
        <w:gridCol w:w="851"/>
        <w:gridCol w:w="709"/>
        <w:gridCol w:w="850"/>
        <w:gridCol w:w="522"/>
        <w:gridCol w:w="857"/>
        <w:gridCol w:w="857"/>
        <w:gridCol w:w="857"/>
        <w:gridCol w:w="857"/>
      </w:tblGrid>
      <w:tr w:rsidR="00DA2247" w:rsidRPr="009E5B5E" w:rsidTr="005A408B">
        <w:trPr>
          <w:cantSplit/>
          <w:trHeight w:val="347"/>
          <w:tblHeader/>
        </w:trPr>
        <w:tc>
          <w:tcPr>
            <w:tcW w:w="9762" w:type="dxa"/>
            <w:gridSpan w:val="10"/>
            <w:tcBorders>
              <w:top w:val="nil"/>
              <w:left w:val="nil"/>
              <w:bottom w:val="nil"/>
              <w:right w:val="nil"/>
            </w:tcBorders>
            <w:shd w:val="clear" w:color="auto" w:fill="FFFFFF"/>
            <w:vAlign w:val="center"/>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b/>
                <w:bCs/>
                <w:color w:val="000000"/>
                <w:sz w:val="18"/>
                <w:szCs w:val="18"/>
              </w:rPr>
              <w:t>Variables in the Equation</w:t>
            </w:r>
          </w:p>
        </w:tc>
      </w:tr>
      <w:tr w:rsidR="00DA2247" w:rsidRPr="009E5B5E" w:rsidTr="005A408B">
        <w:trPr>
          <w:cantSplit/>
          <w:trHeight w:val="320"/>
          <w:tblHeader/>
        </w:trPr>
        <w:tc>
          <w:tcPr>
            <w:tcW w:w="340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jc w:val="center"/>
              <w:rPr>
                <w:rFonts w:ascii="Arial" w:hAnsi="Arial" w:cs="Arial"/>
                <w:sz w:val="18"/>
                <w:szCs w:val="18"/>
              </w:rPr>
            </w:pPr>
          </w:p>
        </w:tc>
        <w:tc>
          <w:tcPr>
            <w:tcW w:w="851" w:type="dxa"/>
            <w:vMerge w:val="restart"/>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B</w:t>
            </w:r>
          </w:p>
        </w:tc>
        <w:tc>
          <w:tcPr>
            <w:tcW w:w="709"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S.E.</w:t>
            </w:r>
          </w:p>
        </w:tc>
        <w:tc>
          <w:tcPr>
            <w:tcW w:w="850"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Wald</w:t>
            </w:r>
          </w:p>
        </w:tc>
        <w:tc>
          <w:tcPr>
            <w:tcW w:w="522"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df</w:t>
            </w:r>
          </w:p>
        </w:tc>
        <w:tc>
          <w:tcPr>
            <w:tcW w:w="857"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Sig.</w:t>
            </w:r>
          </w:p>
        </w:tc>
        <w:tc>
          <w:tcPr>
            <w:tcW w:w="857" w:type="dxa"/>
            <w:vMerge w:val="restart"/>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Exp(B)</w:t>
            </w:r>
          </w:p>
        </w:tc>
        <w:tc>
          <w:tcPr>
            <w:tcW w:w="1714" w:type="dxa"/>
            <w:gridSpan w:val="2"/>
            <w:tcBorders>
              <w:top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95% C.I.for EXP(B)</w:t>
            </w:r>
          </w:p>
        </w:tc>
      </w:tr>
      <w:tr w:rsidR="00DA2247" w:rsidRPr="009E5B5E" w:rsidTr="005A408B">
        <w:trPr>
          <w:cantSplit/>
          <w:trHeight w:val="155"/>
          <w:tblHeader/>
        </w:trPr>
        <w:tc>
          <w:tcPr>
            <w:tcW w:w="340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851" w:type="dxa"/>
            <w:vMerge/>
            <w:tcBorders>
              <w:top w:val="single" w:sz="16" w:space="0" w:color="000000"/>
              <w:left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709"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850"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522"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857"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857" w:type="dxa"/>
            <w:vMerge/>
            <w:tcBorders>
              <w:top w:val="single" w:sz="16" w:space="0" w:color="000000"/>
              <w:bottom w:val="single" w:sz="16" w:space="0" w:color="000000"/>
            </w:tcBorders>
            <w:shd w:val="clear" w:color="auto" w:fill="FFFFFF"/>
            <w:vAlign w:val="bottom"/>
          </w:tcPr>
          <w:p w:rsidR="00DA2247" w:rsidRPr="009E5B5E" w:rsidRDefault="00DA2247" w:rsidP="005A408B">
            <w:pPr>
              <w:autoSpaceDE w:val="0"/>
              <w:autoSpaceDN w:val="0"/>
              <w:adjustRightInd w:val="0"/>
              <w:spacing w:after="0"/>
              <w:rPr>
                <w:rFonts w:ascii="Arial" w:hAnsi="Arial" w:cs="Arial"/>
                <w:color w:val="000000"/>
                <w:sz w:val="18"/>
                <w:szCs w:val="18"/>
              </w:rPr>
            </w:pPr>
          </w:p>
        </w:tc>
        <w:tc>
          <w:tcPr>
            <w:tcW w:w="857" w:type="dxa"/>
            <w:tcBorders>
              <w:bottom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Lower</w:t>
            </w:r>
          </w:p>
        </w:tc>
        <w:tc>
          <w:tcPr>
            <w:tcW w:w="857" w:type="dxa"/>
            <w:tcBorders>
              <w:bottom w:val="single" w:sz="16" w:space="0" w:color="000000"/>
              <w:right w:val="single" w:sz="16" w:space="0" w:color="000000"/>
            </w:tcBorders>
            <w:shd w:val="clear" w:color="auto" w:fill="FFFFFF"/>
            <w:vAlign w:val="bottom"/>
          </w:tcPr>
          <w:p w:rsidR="00DA2247" w:rsidRPr="009E5B5E" w:rsidRDefault="00DA2247" w:rsidP="005A408B">
            <w:pPr>
              <w:autoSpaceDE w:val="0"/>
              <w:autoSpaceDN w:val="0"/>
              <w:adjustRightInd w:val="0"/>
              <w:spacing w:after="0"/>
              <w:ind w:left="60" w:right="60"/>
              <w:jc w:val="center"/>
              <w:rPr>
                <w:rFonts w:ascii="Arial" w:hAnsi="Arial" w:cs="Arial"/>
                <w:color w:val="000000"/>
                <w:sz w:val="18"/>
                <w:szCs w:val="18"/>
              </w:rPr>
            </w:pPr>
            <w:r w:rsidRPr="009E5B5E">
              <w:rPr>
                <w:rFonts w:ascii="Arial" w:hAnsi="Arial" w:cs="Arial"/>
                <w:color w:val="000000"/>
                <w:sz w:val="18"/>
                <w:szCs w:val="18"/>
              </w:rPr>
              <w:t>Upper</w:t>
            </w:r>
          </w:p>
        </w:tc>
      </w:tr>
      <w:tr w:rsidR="00DA2247" w:rsidRPr="009E5B5E" w:rsidTr="005A408B">
        <w:trPr>
          <w:cantSplit/>
          <w:trHeight w:val="320"/>
          <w:tblHeader/>
        </w:trPr>
        <w:tc>
          <w:tcPr>
            <w:tcW w:w="784" w:type="dxa"/>
            <w:vMerge w:val="restart"/>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60" w:lineRule="auto"/>
              <w:ind w:left="60" w:right="60"/>
              <w:rPr>
                <w:rFonts w:ascii="Arial" w:hAnsi="Arial" w:cs="Arial"/>
                <w:color w:val="000000"/>
                <w:sz w:val="18"/>
                <w:szCs w:val="18"/>
              </w:rPr>
            </w:pPr>
            <w:r w:rsidRPr="009E5B5E">
              <w:rPr>
                <w:rFonts w:ascii="Arial" w:hAnsi="Arial" w:cs="Arial"/>
                <w:color w:val="000000"/>
                <w:sz w:val="18"/>
                <w:szCs w:val="18"/>
              </w:rPr>
              <w:t>Step 1</w:t>
            </w:r>
            <w:r w:rsidRPr="009E5B5E">
              <w:rPr>
                <w:rFonts w:ascii="Arial" w:hAnsi="Arial" w:cs="Arial"/>
                <w:color w:val="000000"/>
                <w:sz w:val="18"/>
                <w:szCs w:val="18"/>
                <w:vertAlign w:val="superscript"/>
              </w:rPr>
              <w:t>a</w:t>
            </w:r>
          </w:p>
        </w:tc>
        <w:tc>
          <w:tcPr>
            <w:tcW w:w="2618" w:type="dxa"/>
            <w:tcBorders>
              <w:top w:val="single" w:sz="16" w:space="0" w:color="000000"/>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rPr>
                <w:rFonts w:ascii="Arial" w:hAnsi="Arial" w:cs="Arial"/>
                <w:color w:val="000000"/>
                <w:sz w:val="18"/>
                <w:szCs w:val="18"/>
              </w:rPr>
            </w:pPr>
            <w:r w:rsidRPr="009E5B5E">
              <w:rPr>
                <w:rFonts w:ascii="Arial" w:hAnsi="Arial" w:cs="Arial"/>
                <w:color w:val="000000"/>
                <w:sz w:val="18"/>
                <w:szCs w:val="18"/>
              </w:rPr>
              <w:t>InStMkt(1)</w:t>
            </w:r>
          </w:p>
        </w:tc>
        <w:tc>
          <w:tcPr>
            <w:tcW w:w="851" w:type="dxa"/>
            <w:tcBorders>
              <w:top w:val="single" w:sz="16" w:space="0" w:color="000000"/>
              <w:left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-.025</w:t>
            </w:r>
          </w:p>
        </w:tc>
        <w:tc>
          <w:tcPr>
            <w:tcW w:w="709"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.236</w:t>
            </w:r>
          </w:p>
        </w:tc>
        <w:tc>
          <w:tcPr>
            <w:tcW w:w="850"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.011</w:t>
            </w:r>
          </w:p>
        </w:tc>
        <w:tc>
          <w:tcPr>
            <w:tcW w:w="522"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1</w:t>
            </w:r>
          </w:p>
        </w:tc>
        <w:tc>
          <w:tcPr>
            <w:tcW w:w="857"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.917</w:t>
            </w:r>
          </w:p>
        </w:tc>
        <w:tc>
          <w:tcPr>
            <w:tcW w:w="857"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.976</w:t>
            </w:r>
          </w:p>
        </w:tc>
        <w:tc>
          <w:tcPr>
            <w:tcW w:w="857" w:type="dxa"/>
            <w:tcBorders>
              <w:top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.614</w:t>
            </w:r>
          </w:p>
        </w:tc>
        <w:tc>
          <w:tcPr>
            <w:tcW w:w="857" w:type="dxa"/>
            <w:tcBorders>
              <w:top w:val="single" w:sz="16" w:space="0" w:color="000000"/>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color w:val="000000"/>
                <w:sz w:val="18"/>
                <w:szCs w:val="18"/>
              </w:rPr>
            </w:pPr>
            <w:r w:rsidRPr="009E5B5E">
              <w:rPr>
                <w:rFonts w:ascii="Arial" w:hAnsi="Arial" w:cs="Arial"/>
                <w:color w:val="000000"/>
                <w:sz w:val="18"/>
                <w:szCs w:val="18"/>
              </w:rPr>
              <w:t>1.549</w:t>
            </w:r>
          </w:p>
        </w:tc>
      </w:tr>
      <w:tr w:rsidR="00DA2247"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FRIEND(1)</w:t>
            </w:r>
          </w:p>
        </w:tc>
        <w:tc>
          <w:tcPr>
            <w:tcW w:w="85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.679</w:t>
            </w:r>
          </w:p>
        </w:tc>
        <w:tc>
          <w:tcPr>
            <w:tcW w:w="709"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.164</w:t>
            </w:r>
          </w:p>
        </w:tc>
        <w:tc>
          <w:tcPr>
            <w:tcW w:w="850"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17.059</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.000</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1.972</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1.429</w:t>
            </w:r>
          </w:p>
        </w:tc>
        <w:tc>
          <w:tcPr>
            <w:tcW w:w="8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2.721</w:t>
            </w:r>
          </w:p>
        </w:tc>
      </w:tr>
      <w:tr w:rsidR="00DA2247"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DT</w:t>
            </w:r>
          </w:p>
        </w:tc>
        <w:tc>
          <w:tcPr>
            <w:tcW w:w="85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.000</w:t>
            </w:r>
          </w:p>
        </w:tc>
        <w:tc>
          <w:tcPr>
            <w:tcW w:w="709"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.000</w:t>
            </w:r>
          </w:p>
        </w:tc>
        <w:tc>
          <w:tcPr>
            <w:tcW w:w="850"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.062</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.803</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1.000</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1.000</w:t>
            </w:r>
          </w:p>
        </w:tc>
        <w:tc>
          <w:tcPr>
            <w:tcW w:w="8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1.000</w:t>
            </w:r>
          </w:p>
        </w:tc>
      </w:tr>
      <w:tr w:rsidR="00DA2247"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DA2247" w:rsidRPr="009E5B5E" w:rsidRDefault="00DA2247" w:rsidP="005A408B">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EC(1)</w:t>
            </w:r>
          </w:p>
        </w:tc>
        <w:tc>
          <w:tcPr>
            <w:tcW w:w="851" w:type="dxa"/>
            <w:tcBorders>
              <w:top w:val="nil"/>
              <w:left w:val="single" w:sz="16" w:space="0" w:color="000000"/>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.200</w:t>
            </w:r>
          </w:p>
        </w:tc>
        <w:tc>
          <w:tcPr>
            <w:tcW w:w="709"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.152</w:t>
            </w:r>
          </w:p>
        </w:tc>
        <w:tc>
          <w:tcPr>
            <w:tcW w:w="850"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1.735</w:t>
            </w:r>
          </w:p>
        </w:tc>
        <w:tc>
          <w:tcPr>
            <w:tcW w:w="522"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.188</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1.222</w:t>
            </w:r>
          </w:p>
        </w:tc>
        <w:tc>
          <w:tcPr>
            <w:tcW w:w="857" w:type="dxa"/>
            <w:tcBorders>
              <w:top w:val="nil"/>
              <w:bottom w:val="nil"/>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.907</w:t>
            </w:r>
          </w:p>
        </w:tc>
        <w:tc>
          <w:tcPr>
            <w:tcW w:w="857" w:type="dxa"/>
            <w:tcBorders>
              <w:top w:val="nil"/>
              <w:bottom w:val="nil"/>
              <w:right w:val="single" w:sz="16" w:space="0" w:color="000000"/>
            </w:tcBorders>
            <w:shd w:val="clear" w:color="auto" w:fill="FFFFFF"/>
          </w:tcPr>
          <w:p w:rsidR="00DA2247" w:rsidRPr="009E5B5E" w:rsidRDefault="00DA2247" w:rsidP="005A408B">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1.646</w:t>
            </w:r>
          </w:p>
        </w:tc>
      </w:tr>
      <w:tr w:rsidR="00CF7589"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CF7589" w:rsidRPr="009E5B5E" w:rsidRDefault="00CF7589" w:rsidP="00CF7589">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NA(1)</w:t>
            </w:r>
          </w:p>
        </w:tc>
        <w:tc>
          <w:tcPr>
            <w:tcW w:w="851" w:type="dxa"/>
            <w:tcBorders>
              <w:top w:val="nil"/>
              <w:left w:val="single" w:sz="16" w:space="0" w:color="000000"/>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.790</w:t>
            </w:r>
          </w:p>
        </w:tc>
        <w:tc>
          <w:tcPr>
            <w:tcW w:w="709"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1.234</w:t>
            </w:r>
          </w:p>
        </w:tc>
        <w:tc>
          <w:tcPr>
            <w:tcW w:w="850"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.410</w:t>
            </w:r>
          </w:p>
        </w:tc>
        <w:tc>
          <w:tcPr>
            <w:tcW w:w="522"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.522</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2.203</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.196</w:t>
            </w:r>
          </w:p>
        </w:tc>
        <w:tc>
          <w:tcPr>
            <w:tcW w:w="857" w:type="dxa"/>
            <w:tcBorders>
              <w:top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24.722</w:t>
            </w:r>
          </w:p>
        </w:tc>
      </w:tr>
      <w:tr w:rsidR="00CF7589"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CF7589" w:rsidRPr="009E5B5E" w:rsidRDefault="00CF7589" w:rsidP="00CF7589">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INNOV</w:t>
            </w:r>
          </w:p>
        </w:tc>
        <w:tc>
          <w:tcPr>
            <w:tcW w:w="851" w:type="dxa"/>
            <w:tcBorders>
              <w:top w:val="nil"/>
              <w:left w:val="single" w:sz="16" w:space="0" w:color="000000"/>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.101</w:t>
            </w:r>
          </w:p>
        </w:tc>
        <w:tc>
          <w:tcPr>
            <w:tcW w:w="709"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.405</w:t>
            </w:r>
          </w:p>
        </w:tc>
        <w:tc>
          <w:tcPr>
            <w:tcW w:w="850"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.062</w:t>
            </w:r>
          </w:p>
        </w:tc>
        <w:tc>
          <w:tcPr>
            <w:tcW w:w="522"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.804</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1.106</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.500</w:t>
            </w:r>
          </w:p>
        </w:tc>
        <w:tc>
          <w:tcPr>
            <w:tcW w:w="857" w:type="dxa"/>
            <w:tcBorders>
              <w:top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2.448</w:t>
            </w:r>
          </w:p>
        </w:tc>
      </w:tr>
      <w:tr w:rsidR="00CF7589"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CF7589" w:rsidRPr="009E5B5E" w:rsidRDefault="00CF7589" w:rsidP="00CF7589">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INVOL</w:t>
            </w:r>
          </w:p>
        </w:tc>
        <w:tc>
          <w:tcPr>
            <w:tcW w:w="851" w:type="dxa"/>
            <w:tcBorders>
              <w:top w:val="nil"/>
              <w:left w:val="single" w:sz="16" w:space="0" w:color="000000"/>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-.163</w:t>
            </w:r>
          </w:p>
        </w:tc>
        <w:tc>
          <w:tcPr>
            <w:tcW w:w="709"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.129</w:t>
            </w:r>
          </w:p>
        </w:tc>
        <w:tc>
          <w:tcPr>
            <w:tcW w:w="850"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1.616</w:t>
            </w:r>
          </w:p>
        </w:tc>
        <w:tc>
          <w:tcPr>
            <w:tcW w:w="522"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.204</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.849</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.660</w:t>
            </w:r>
          </w:p>
        </w:tc>
        <w:tc>
          <w:tcPr>
            <w:tcW w:w="857" w:type="dxa"/>
            <w:tcBorders>
              <w:top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1.093</w:t>
            </w:r>
          </w:p>
        </w:tc>
      </w:tr>
      <w:tr w:rsidR="00CF7589"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CF7589" w:rsidRPr="009E5B5E" w:rsidRDefault="00CF7589" w:rsidP="00CF7589">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FRIEND(1) by InStMkt</w:t>
            </w:r>
          </w:p>
        </w:tc>
        <w:tc>
          <w:tcPr>
            <w:tcW w:w="851" w:type="dxa"/>
            <w:tcBorders>
              <w:top w:val="nil"/>
              <w:left w:val="single" w:sz="16" w:space="0" w:color="000000"/>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.362</w:t>
            </w:r>
          </w:p>
        </w:tc>
        <w:tc>
          <w:tcPr>
            <w:tcW w:w="709"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.426</w:t>
            </w:r>
          </w:p>
        </w:tc>
        <w:tc>
          <w:tcPr>
            <w:tcW w:w="850"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.724</w:t>
            </w:r>
          </w:p>
        </w:tc>
        <w:tc>
          <w:tcPr>
            <w:tcW w:w="522"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.395</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1.437</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.624</w:t>
            </w:r>
          </w:p>
        </w:tc>
        <w:tc>
          <w:tcPr>
            <w:tcW w:w="857" w:type="dxa"/>
            <w:tcBorders>
              <w:top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3.310</w:t>
            </w:r>
          </w:p>
        </w:tc>
      </w:tr>
      <w:tr w:rsidR="00CF7589"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CF7589" w:rsidRPr="009E5B5E" w:rsidRDefault="00CF7589" w:rsidP="00CF7589">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FRIEND(1) by GENDER</w:t>
            </w:r>
          </w:p>
        </w:tc>
        <w:tc>
          <w:tcPr>
            <w:tcW w:w="851" w:type="dxa"/>
            <w:tcBorders>
              <w:top w:val="nil"/>
              <w:left w:val="single" w:sz="16" w:space="0" w:color="000000"/>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.860</w:t>
            </w:r>
          </w:p>
        </w:tc>
        <w:tc>
          <w:tcPr>
            <w:tcW w:w="709"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.230</w:t>
            </w:r>
          </w:p>
        </w:tc>
        <w:tc>
          <w:tcPr>
            <w:tcW w:w="850"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13.925</w:t>
            </w:r>
          </w:p>
        </w:tc>
        <w:tc>
          <w:tcPr>
            <w:tcW w:w="522"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.000</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2.362</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1.504</w:t>
            </w:r>
          </w:p>
        </w:tc>
        <w:tc>
          <w:tcPr>
            <w:tcW w:w="857" w:type="dxa"/>
            <w:tcBorders>
              <w:top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3.710</w:t>
            </w:r>
          </w:p>
        </w:tc>
      </w:tr>
      <w:tr w:rsidR="00CF7589"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CF7589" w:rsidRPr="009E5B5E" w:rsidRDefault="00CF7589" w:rsidP="00CF7589">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FRIEND(1) by GENDER(1) by InStMkt(1)</w:t>
            </w:r>
          </w:p>
        </w:tc>
        <w:tc>
          <w:tcPr>
            <w:tcW w:w="851" w:type="dxa"/>
            <w:tcBorders>
              <w:top w:val="nil"/>
              <w:left w:val="single" w:sz="16" w:space="0" w:color="000000"/>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.101</w:t>
            </w:r>
          </w:p>
        </w:tc>
        <w:tc>
          <w:tcPr>
            <w:tcW w:w="709"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.165</w:t>
            </w:r>
          </w:p>
        </w:tc>
        <w:tc>
          <w:tcPr>
            <w:tcW w:w="850"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.378</w:t>
            </w:r>
          </w:p>
        </w:tc>
        <w:tc>
          <w:tcPr>
            <w:tcW w:w="522"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.539</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1.107</w:t>
            </w:r>
          </w:p>
        </w:tc>
        <w:tc>
          <w:tcPr>
            <w:tcW w:w="857" w:type="dxa"/>
            <w:tcBorders>
              <w:top w:val="nil"/>
              <w:bottom w:val="nil"/>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.801</w:t>
            </w:r>
          </w:p>
        </w:tc>
        <w:tc>
          <w:tcPr>
            <w:tcW w:w="857" w:type="dxa"/>
            <w:tcBorders>
              <w:top w:val="nil"/>
              <w:bottom w:val="nil"/>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1.528</w:t>
            </w:r>
          </w:p>
        </w:tc>
      </w:tr>
      <w:tr w:rsidR="00CF7589" w:rsidRPr="009E5B5E" w:rsidTr="005A408B">
        <w:trPr>
          <w:cantSplit/>
          <w:trHeight w:val="155"/>
          <w:tblHeader/>
        </w:trPr>
        <w:tc>
          <w:tcPr>
            <w:tcW w:w="784" w:type="dxa"/>
            <w:vMerge/>
            <w:tcBorders>
              <w:top w:val="single" w:sz="16" w:space="0" w:color="000000"/>
              <w:left w:val="single" w:sz="16" w:space="0" w:color="000000"/>
              <w:bottom w:val="single" w:sz="16" w:space="0" w:color="000000"/>
              <w:right w:val="nil"/>
            </w:tcBorders>
            <w:shd w:val="clear" w:color="auto" w:fill="FFFFFF"/>
          </w:tcPr>
          <w:p w:rsidR="00CF7589" w:rsidRPr="009E5B5E" w:rsidRDefault="00CF7589" w:rsidP="00CF7589">
            <w:pPr>
              <w:autoSpaceDE w:val="0"/>
              <w:autoSpaceDN w:val="0"/>
              <w:adjustRightInd w:val="0"/>
              <w:spacing w:after="0" w:line="360" w:lineRule="auto"/>
              <w:rPr>
                <w:rFonts w:ascii="Arial" w:hAnsi="Arial" w:cs="Arial"/>
                <w:color w:val="000000"/>
                <w:sz w:val="18"/>
                <w:szCs w:val="18"/>
              </w:rPr>
            </w:pPr>
          </w:p>
        </w:tc>
        <w:tc>
          <w:tcPr>
            <w:tcW w:w="2618" w:type="dxa"/>
            <w:tcBorders>
              <w:top w:val="nil"/>
              <w:left w:val="nil"/>
              <w:bottom w:val="single" w:sz="16" w:space="0" w:color="000000"/>
              <w:right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rPr>
                <w:rFonts w:ascii="Arial" w:hAnsi="Arial" w:cs="Arial"/>
                <w:bCs/>
                <w:color w:val="000000"/>
                <w:sz w:val="18"/>
                <w:szCs w:val="18"/>
              </w:rPr>
            </w:pPr>
            <w:r w:rsidRPr="009E5B5E">
              <w:rPr>
                <w:rFonts w:ascii="Arial" w:hAnsi="Arial" w:cs="Arial"/>
                <w:bCs/>
                <w:color w:val="000000"/>
                <w:sz w:val="18"/>
                <w:szCs w:val="18"/>
              </w:rPr>
              <w:t>Constant</w:t>
            </w:r>
          </w:p>
        </w:tc>
        <w:tc>
          <w:tcPr>
            <w:tcW w:w="851" w:type="dxa"/>
            <w:tcBorders>
              <w:top w:val="nil"/>
              <w:left w:val="single" w:sz="16" w:space="0" w:color="000000"/>
              <w:bottom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-2.411</w:t>
            </w:r>
          </w:p>
        </w:tc>
        <w:tc>
          <w:tcPr>
            <w:tcW w:w="709" w:type="dxa"/>
            <w:tcBorders>
              <w:top w:val="nil"/>
              <w:bottom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.524</w:t>
            </w:r>
          </w:p>
        </w:tc>
        <w:tc>
          <w:tcPr>
            <w:tcW w:w="850" w:type="dxa"/>
            <w:tcBorders>
              <w:top w:val="nil"/>
              <w:bottom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21.202</w:t>
            </w:r>
          </w:p>
        </w:tc>
        <w:tc>
          <w:tcPr>
            <w:tcW w:w="522" w:type="dxa"/>
            <w:tcBorders>
              <w:top w:val="nil"/>
              <w:bottom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1</w:t>
            </w:r>
          </w:p>
        </w:tc>
        <w:tc>
          <w:tcPr>
            <w:tcW w:w="857" w:type="dxa"/>
            <w:tcBorders>
              <w:top w:val="nil"/>
              <w:bottom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.000</w:t>
            </w:r>
          </w:p>
        </w:tc>
        <w:tc>
          <w:tcPr>
            <w:tcW w:w="857" w:type="dxa"/>
            <w:tcBorders>
              <w:top w:val="nil"/>
              <w:bottom w:val="single" w:sz="16" w:space="0" w:color="000000"/>
            </w:tcBorders>
            <w:shd w:val="clear" w:color="auto" w:fill="FFFFFF"/>
          </w:tcPr>
          <w:p w:rsidR="00CF7589" w:rsidRPr="009E5B5E" w:rsidRDefault="00CF7589" w:rsidP="00CF7589">
            <w:pPr>
              <w:autoSpaceDE w:val="0"/>
              <w:autoSpaceDN w:val="0"/>
              <w:adjustRightInd w:val="0"/>
              <w:spacing w:after="0" w:line="360" w:lineRule="auto"/>
              <w:ind w:left="60" w:right="60"/>
              <w:jc w:val="right"/>
              <w:rPr>
                <w:rFonts w:ascii="Arial" w:hAnsi="Arial" w:cs="Arial"/>
                <w:bCs/>
                <w:color w:val="000000"/>
                <w:sz w:val="18"/>
                <w:szCs w:val="18"/>
              </w:rPr>
            </w:pPr>
            <w:r w:rsidRPr="009E5B5E">
              <w:rPr>
                <w:rFonts w:ascii="Arial" w:hAnsi="Arial" w:cs="Arial"/>
                <w:bCs/>
                <w:color w:val="000000"/>
                <w:sz w:val="18"/>
                <w:szCs w:val="18"/>
              </w:rPr>
              <w:t>.090</w:t>
            </w:r>
          </w:p>
        </w:tc>
        <w:tc>
          <w:tcPr>
            <w:tcW w:w="857" w:type="dxa"/>
            <w:tcBorders>
              <w:top w:val="nil"/>
              <w:bottom w:val="single" w:sz="16" w:space="0" w:color="000000"/>
            </w:tcBorders>
            <w:shd w:val="clear" w:color="auto" w:fill="FFFFFF"/>
            <w:vAlign w:val="center"/>
          </w:tcPr>
          <w:p w:rsidR="00CF7589" w:rsidRPr="009E5B5E" w:rsidRDefault="00CF7589" w:rsidP="00CF7589">
            <w:pPr>
              <w:autoSpaceDE w:val="0"/>
              <w:autoSpaceDN w:val="0"/>
              <w:adjustRightInd w:val="0"/>
              <w:spacing w:after="0" w:line="360" w:lineRule="auto"/>
              <w:jc w:val="center"/>
              <w:rPr>
                <w:rFonts w:ascii="Arial" w:hAnsi="Arial" w:cs="Arial"/>
                <w:bCs/>
                <w:sz w:val="18"/>
                <w:szCs w:val="18"/>
              </w:rPr>
            </w:pPr>
          </w:p>
        </w:tc>
        <w:tc>
          <w:tcPr>
            <w:tcW w:w="857" w:type="dxa"/>
            <w:tcBorders>
              <w:top w:val="nil"/>
              <w:bottom w:val="single" w:sz="16" w:space="0" w:color="000000"/>
              <w:right w:val="single" w:sz="16" w:space="0" w:color="000000"/>
            </w:tcBorders>
            <w:shd w:val="clear" w:color="auto" w:fill="FFFFFF"/>
            <w:vAlign w:val="center"/>
          </w:tcPr>
          <w:p w:rsidR="00CF7589" w:rsidRPr="009E5B5E" w:rsidRDefault="00CF7589" w:rsidP="00CF7589">
            <w:pPr>
              <w:autoSpaceDE w:val="0"/>
              <w:autoSpaceDN w:val="0"/>
              <w:adjustRightInd w:val="0"/>
              <w:spacing w:after="0" w:line="360" w:lineRule="auto"/>
              <w:jc w:val="center"/>
              <w:rPr>
                <w:rFonts w:ascii="Arial" w:hAnsi="Arial" w:cs="Arial"/>
                <w:bCs/>
                <w:sz w:val="18"/>
                <w:szCs w:val="18"/>
              </w:rPr>
            </w:pPr>
          </w:p>
        </w:tc>
      </w:tr>
      <w:tr w:rsidR="00CF7589" w:rsidRPr="00B326F5" w:rsidTr="005A408B">
        <w:trPr>
          <w:cantSplit/>
          <w:trHeight w:val="668"/>
        </w:trPr>
        <w:tc>
          <w:tcPr>
            <w:tcW w:w="9762" w:type="dxa"/>
            <w:gridSpan w:val="10"/>
            <w:tcBorders>
              <w:top w:val="nil"/>
              <w:left w:val="nil"/>
              <w:bottom w:val="nil"/>
              <w:right w:val="nil"/>
            </w:tcBorders>
            <w:shd w:val="clear" w:color="auto" w:fill="FFFFFF"/>
          </w:tcPr>
          <w:p w:rsidR="00CF7589" w:rsidRPr="00B326F5" w:rsidRDefault="00CF7589" w:rsidP="00CF7589">
            <w:pPr>
              <w:autoSpaceDE w:val="0"/>
              <w:autoSpaceDN w:val="0"/>
              <w:adjustRightInd w:val="0"/>
              <w:spacing w:after="0" w:line="360" w:lineRule="auto"/>
              <w:ind w:left="60" w:right="60"/>
              <w:rPr>
                <w:rFonts w:ascii="Arial" w:hAnsi="Arial" w:cs="Arial"/>
                <w:color w:val="000000"/>
                <w:sz w:val="18"/>
                <w:szCs w:val="18"/>
              </w:rPr>
            </w:pPr>
            <w:r w:rsidRPr="009E5B5E">
              <w:rPr>
                <w:rFonts w:ascii="Arial" w:hAnsi="Arial" w:cs="Arial"/>
                <w:color w:val="000000"/>
                <w:sz w:val="18"/>
                <w:szCs w:val="18"/>
              </w:rPr>
              <w:t>a. Variable(s) entered on step 1:  InSTMkt, FRIEND, DT, EC, NA, INNOV, FRIEND * InSTMkt, FRIEND * GENDER, FRIEND * GENDER * InSTMkt.</w:t>
            </w:r>
          </w:p>
          <w:p w:rsidR="00CF7589" w:rsidRPr="00B326F5" w:rsidRDefault="00CF7589" w:rsidP="00CF7589">
            <w:pPr>
              <w:autoSpaceDE w:val="0"/>
              <w:autoSpaceDN w:val="0"/>
              <w:adjustRightInd w:val="0"/>
              <w:spacing w:after="0" w:line="360" w:lineRule="auto"/>
              <w:ind w:left="60" w:right="60"/>
              <w:rPr>
                <w:rFonts w:ascii="Arial" w:hAnsi="Arial" w:cs="Arial"/>
                <w:color w:val="000000"/>
                <w:sz w:val="18"/>
                <w:szCs w:val="18"/>
              </w:rPr>
            </w:pPr>
          </w:p>
        </w:tc>
      </w:tr>
    </w:tbl>
    <w:p w:rsidR="00DA2247" w:rsidRPr="00692B31" w:rsidRDefault="00DA2247" w:rsidP="00DA2247"/>
    <w:p w:rsidR="009C651A" w:rsidRDefault="009C651A"/>
    <w:sectPr w:rsidR="009C651A" w:rsidSect="005A408B">
      <w:headerReference w:type="first" r:id="rId30"/>
      <w:pgSz w:w="11906" w:h="16838"/>
      <w:pgMar w:top="1440" w:right="1080" w:bottom="1440" w:left="108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1996" w:rsidRDefault="000D1996" w:rsidP="00DA2247">
      <w:pPr>
        <w:spacing w:after="0" w:line="240" w:lineRule="auto"/>
      </w:pPr>
      <w:r>
        <w:separator/>
      </w:r>
    </w:p>
  </w:endnote>
  <w:endnote w:type="continuationSeparator" w:id="0">
    <w:p w:rsidR="000D1996" w:rsidRDefault="000D1996" w:rsidP="00DA22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ode">
    <w:altName w:val="Arial"/>
    <w:panose1 w:val="00000000000000000000"/>
    <w:charset w:val="00"/>
    <w:family w:val="swiss"/>
    <w:notTrueType/>
    <w:pitch w:val="default"/>
    <w:sig w:usb0="00000003" w:usb1="00000000" w:usb2="00000000" w:usb3="00000000" w:csb0="00000001" w:csb1="00000000"/>
  </w:font>
  <w:font w:name="PANKAK+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1000003" w:usb1="00000000" w:usb2="00000000" w:usb3="00000000" w:csb0="00010001" w:csb1="00000000"/>
  </w:font>
  <w:font w:name="Times-Italic">
    <w:altName w:val="Times New Roman"/>
    <w:panose1 w:val="00000000000000000000"/>
    <w:charset w:val="00"/>
    <w:family w:val="roman"/>
    <w:notTrueType/>
    <w:pitch w:val="default"/>
    <w:sig w:usb0="01000003" w:usb1="00000000" w:usb2="00000000" w:usb3="00000000" w:csb0="00010001" w:csb1="00000000"/>
  </w:font>
  <w:font w:name="RMTMI">
    <w:altName w:val="Times New Roman"/>
    <w:panose1 w:val="00000000000000000000"/>
    <w:charset w:val="A1"/>
    <w:family w:val="auto"/>
    <w:notTrueType/>
    <w:pitch w:val="default"/>
    <w:sig w:usb0="00000081" w:usb1="08070000" w:usb2="00000010" w:usb3="00000000" w:csb0="00020008" w:csb1="00000000"/>
  </w:font>
  <w:font w:name="ClassicalGaramondBT-Roman">
    <w:altName w:val="Times New Roman"/>
    <w:panose1 w:val="00000000000000000000"/>
    <w:charset w:val="00"/>
    <w:family w:val="roman"/>
    <w:notTrueType/>
    <w:pitch w:val="default"/>
    <w:sig w:usb0="01000003" w:usb1="00000000" w:usb2="00000000" w:usb3="00000000" w:csb0="00010001" w:csb1="00000000"/>
  </w:font>
  <w:font w:name="PANKGI+TimesNewRoman,Italic">
    <w:altName w:val="Times New Roman"/>
    <w:panose1 w:val="00000000000000000000"/>
    <w:charset w:val="00"/>
    <w:family w:val="roman"/>
    <w:notTrueType/>
    <w:pitch w:val="default"/>
    <w:sig w:usb0="00000003" w:usb1="00000000" w:usb2="00000000" w:usb3="00000000" w:csb0="00000001" w:csb1="00000000"/>
  </w:font>
  <w:font w:name="AdvPS405B6">
    <w:altName w:val="Times New Roman"/>
    <w:panose1 w:val="00000000000000000000"/>
    <w:charset w:val="00"/>
    <w:family w:val="roman"/>
    <w:notTrueType/>
    <w:pitch w:val="default"/>
    <w:sig w:usb0="00000003" w:usb1="00000000" w:usb2="00000000" w:usb3="00000000" w:csb0="00000001" w:csb1="00000000"/>
  </w:font>
  <w:font w:name="AdvPS405B7">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50072"/>
      <w:docPartObj>
        <w:docPartGallery w:val="Page Numbers (Bottom of Page)"/>
        <w:docPartUnique/>
      </w:docPartObj>
    </w:sdtPr>
    <w:sdtContent>
      <w:p w:rsidR="005A408B" w:rsidRDefault="00AD7D97">
        <w:pPr>
          <w:pStyle w:val="Footer"/>
          <w:jc w:val="right"/>
        </w:pPr>
        <w:fldSimple w:instr=" PAGE   \* MERGEFORMAT ">
          <w:r w:rsidR="00C73AAE">
            <w:rPr>
              <w:noProof/>
            </w:rPr>
            <w:t>1</w:t>
          </w:r>
        </w:fldSimple>
      </w:p>
    </w:sdtContent>
  </w:sdt>
  <w:p w:rsidR="005A408B" w:rsidRDefault="005A40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1996" w:rsidRDefault="000D1996" w:rsidP="00DA2247">
      <w:pPr>
        <w:spacing w:after="0" w:line="240" w:lineRule="auto"/>
      </w:pPr>
      <w:r>
        <w:separator/>
      </w:r>
    </w:p>
  </w:footnote>
  <w:footnote w:type="continuationSeparator" w:id="0">
    <w:p w:rsidR="000D1996" w:rsidRDefault="000D1996" w:rsidP="00DA2247">
      <w:pPr>
        <w:spacing w:after="0" w:line="240" w:lineRule="auto"/>
      </w:pPr>
      <w:r>
        <w:continuationSeparator/>
      </w:r>
    </w:p>
  </w:footnote>
  <w:footnote w:id="1">
    <w:p w:rsidR="005A408B" w:rsidRPr="00B30304" w:rsidRDefault="005A408B" w:rsidP="00DA2247">
      <w:pPr>
        <w:pStyle w:val="FootnoteText"/>
        <w:rPr>
          <w:lang w:val="en-US"/>
        </w:rPr>
      </w:pPr>
      <w:r>
        <w:rPr>
          <w:rStyle w:val="FootnoteReference"/>
        </w:rPr>
        <w:footnoteRef/>
      </w:r>
      <w:r w:rsidRPr="00B30304">
        <w:rPr>
          <w:lang w:val="en-US"/>
        </w:rPr>
        <w:t xml:space="preserve"> See page 63 and 64  for the comprehensive explanation and calculation. </w:t>
      </w:r>
    </w:p>
  </w:footnote>
  <w:footnote w:id="2">
    <w:p w:rsidR="005A408B" w:rsidRPr="00085685" w:rsidRDefault="005A408B" w:rsidP="00DA2247">
      <w:pPr>
        <w:autoSpaceDE w:val="0"/>
        <w:autoSpaceDN w:val="0"/>
        <w:adjustRightInd w:val="0"/>
        <w:spacing w:after="0" w:line="240" w:lineRule="auto"/>
        <w:jc w:val="both"/>
        <w:rPr>
          <w:rFonts w:cs="Times New Roman"/>
          <w:color w:val="0070C0"/>
          <w:sz w:val="20"/>
          <w:szCs w:val="20"/>
        </w:rPr>
      </w:pPr>
      <w:r w:rsidRPr="00085685">
        <w:rPr>
          <w:rStyle w:val="FootnoteReference"/>
        </w:rPr>
        <w:footnoteRef/>
      </w:r>
      <w:r w:rsidRPr="006618A3">
        <w:rPr>
          <w:sz w:val="20"/>
          <w:szCs w:val="20"/>
        </w:rPr>
        <w:t>In Baken’s view (1966), agency is modality found in a person who desire for indivi</w:t>
      </w:r>
      <w:r>
        <w:rPr>
          <w:sz w:val="20"/>
          <w:szCs w:val="20"/>
        </w:rPr>
        <w:t>duality, superiority, mastery, as it</w:t>
      </w:r>
      <w:r w:rsidRPr="006618A3">
        <w:rPr>
          <w:sz w:val="20"/>
          <w:szCs w:val="20"/>
        </w:rPr>
        <w:t xml:space="preserve"> manifest</w:t>
      </w:r>
      <w:r>
        <w:rPr>
          <w:sz w:val="20"/>
          <w:szCs w:val="20"/>
        </w:rPr>
        <w:t>s</w:t>
      </w:r>
      <w:r w:rsidRPr="006618A3">
        <w:rPr>
          <w:sz w:val="20"/>
          <w:szCs w:val="20"/>
        </w:rPr>
        <w:t xml:space="preserve"> in </w:t>
      </w:r>
      <w:r w:rsidRPr="00554FE9">
        <w:rPr>
          <w:i/>
          <w:iCs/>
          <w:sz w:val="20"/>
          <w:szCs w:val="20"/>
        </w:rPr>
        <w:t>“self-protection, self-assertion, and self-expansion… in the</w:t>
      </w:r>
      <w:r>
        <w:rPr>
          <w:i/>
          <w:iCs/>
          <w:sz w:val="20"/>
          <w:szCs w:val="20"/>
        </w:rPr>
        <w:t xml:space="preserve"> formation </w:t>
      </w:r>
      <w:r w:rsidRPr="00554FE9">
        <w:rPr>
          <w:i/>
          <w:iCs/>
          <w:sz w:val="20"/>
          <w:szCs w:val="20"/>
        </w:rPr>
        <w:t>of separations, isolation, alienation, and aloneness”</w:t>
      </w:r>
      <w:r>
        <w:rPr>
          <w:sz w:val="20"/>
          <w:szCs w:val="20"/>
        </w:rPr>
        <w:t xml:space="preserve"> </w:t>
      </w:r>
      <w:r w:rsidRPr="00554FE9">
        <w:rPr>
          <w:sz w:val="20"/>
          <w:szCs w:val="20"/>
        </w:rPr>
        <w:t>(p</w:t>
      </w:r>
      <w:r w:rsidRPr="00F17413">
        <w:rPr>
          <w:sz w:val="20"/>
          <w:szCs w:val="20"/>
        </w:rPr>
        <w:t>.</w:t>
      </w:r>
      <w:r>
        <w:rPr>
          <w:sz w:val="20"/>
          <w:szCs w:val="20"/>
        </w:rPr>
        <w:t>15</w:t>
      </w:r>
      <w:r w:rsidRPr="00F17413">
        <w:rPr>
          <w:sz w:val="20"/>
          <w:szCs w:val="20"/>
        </w:rPr>
        <w:t>). On the other hand, communion is for a person who desire intimacy, union, and bel</w:t>
      </w:r>
      <w:r>
        <w:rPr>
          <w:sz w:val="20"/>
          <w:szCs w:val="20"/>
        </w:rPr>
        <w:t xml:space="preserve">ongingness, as it manifests in </w:t>
      </w:r>
      <w:r w:rsidRPr="00517B75">
        <w:rPr>
          <w:i/>
          <w:iCs/>
          <w:sz w:val="20"/>
          <w:szCs w:val="20"/>
        </w:rPr>
        <w:t>“the sense of being at one with other organism…. in the lack of separations, and in contact, openness, and union”</w:t>
      </w:r>
      <w:r>
        <w:rPr>
          <w:sz w:val="20"/>
          <w:szCs w:val="20"/>
        </w:rPr>
        <w:t xml:space="preserve"> (Baken 1966, p.15).</w:t>
      </w:r>
      <w:r w:rsidRPr="00F17413">
        <w:rPr>
          <w:sz w:val="20"/>
          <w:szCs w:val="20"/>
        </w:rPr>
        <w:t xml:space="preserve"> Therefore, it would be reasonable to construe that agency-oriented people are likely to engage in the actions or consumption choices that allows them to differentiate from others; whereas, communion-oriented people is likely to engage in behavior or consumption choices</w:t>
      </w:r>
      <w:r w:rsidRPr="00F17413">
        <w:rPr>
          <w:rFonts w:cs="Times New Roman"/>
          <w:sz w:val="20"/>
          <w:szCs w:val="20"/>
        </w:rPr>
        <w:t xml:space="preserve"> </w:t>
      </w:r>
      <w:r>
        <w:rPr>
          <w:rFonts w:cs="Times New Roman"/>
          <w:sz w:val="20"/>
          <w:szCs w:val="20"/>
        </w:rPr>
        <w:t>which demonstrate the unity with social entity.</w:t>
      </w:r>
    </w:p>
  </w:footnote>
  <w:footnote w:id="3">
    <w:p w:rsidR="005A408B" w:rsidRPr="00085685" w:rsidRDefault="005A408B" w:rsidP="00DA2247">
      <w:pPr>
        <w:pStyle w:val="FootnoteText"/>
        <w:jc w:val="both"/>
        <w:rPr>
          <w:color w:val="0070C0"/>
          <w:lang w:val="en-US"/>
        </w:rPr>
      </w:pPr>
      <w:r w:rsidRPr="00723318">
        <w:rPr>
          <w:rStyle w:val="FootnoteReference"/>
        </w:rPr>
        <w:footnoteRef/>
      </w:r>
      <w:r w:rsidRPr="000A6A39">
        <w:rPr>
          <w:lang w:val="en-US"/>
        </w:rPr>
        <w:t xml:space="preserve"> </w:t>
      </w:r>
      <w:r w:rsidRPr="000A6A39">
        <w:rPr>
          <w:rFonts w:cstheme="minorHAnsi"/>
          <w:lang w:val="en-US"/>
        </w:rPr>
        <w:t xml:space="preserve">Gender identity is defined as the </w:t>
      </w:r>
      <w:r w:rsidRPr="00934693">
        <w:rPr>
          <w:rFonts w:cstheme="minorHAnsi"/>
          <w:i/>
          <w:iCs/>
          <w:lang w:val="en-US"/>
        </w:rPr>
        <w:t xml:space="preserve">"fundamental, existential sense of one’s maleness or femaleness" </w:t>
      </w:r>
      <w:r w:rsidRPr="000A6A39">
        <w:rPr>
          <w:rFonts w:cstheme="minorHAnsi"/>
          <w:lang w:val="en-US"/>
        </w:rPr>
        <w:t xml:space="preserve">(Spence 1984, p. 83). Similar to gender, gender identity is culturally derived from </w:t>
      </w:r>
      <w:r w:rsidRPr="00490471">
        <w:rPr>
          <w:rFonts w:cstheme="minorHAnsi"/>
          <w:i/>
          <w:iCs/>
          <w:lang w:val="en-US"/>
        </w:rPr>
        <w:t>“the understandings of what it means to be masculine or feminine”</w:t>
      </w:r>
      <w:r w:rsidRPr="000A6A39">
        <w:rPr>
          <w:rFonts w:cstheme="minorHAnsi"/>
          <w:lang w:val="en-US"/>
        </w:rPr>
        <w:t xml:space="preserve"> </w:t>
      </w:r>
      <w:r>
        <w:rPr>
          <w:rFonts w:cstheme="minorHAnsi"/>
          <w:lang w:val="en-US"/>
        </w:rPr>
        <w:t xml:space="preserve">(Palan 2001, p.1) </w:t>
      </w:r>
      <w:r w:rsidRPr="000A6A39">
        <w:rPr>
          <w:rFonts w:cstheme="minorHAnsi"/>
          <w:lang w:val="en-US"/>
        </w:rPr>
        <w:t>(Firat 1991; Lerner 1986).</w:t>
      </w:r>
      <w:r w:rsidRPr="000A6A39">
        <w:rPr>
          <w:rFonts w:cs="PANKAK+TimesNewRoman"/>
          <w:color w:val="0070C0"/>
          <w:sz w:val="22"/>
          <w:szCs w:val="22"/>
          <w:lang w:val="en-US"/>
        </w:rPr>
        <w:t xml:space="preserve"> </w:t>
      </w:r>
      <w:r w:rsidRPr="000A6A39">
        <w:rPr>
          <w:rFonts w:cs="PANKAK+TimesNewRoman"/>
          <w:lang w:val="en-US"/>
        </w:rPr>
        <w:t>The Gender identity concept first documented in</w:t>
      </w:r>
      <w:r w:rsidRPr="000A6A39">
        <w:rPr>
          <w:rFonts w:cs="PANKAK+TimesNewRoman"/>
          <w:color w:val="0070C0"/>
          <w:lang w:val="en-US"/>
        </w:rPr>
        <w:t xml:space="preserve"> </w:t>
      </w:r>
      <w:r w:rsidRPr="000A6A39">
        <w:rPr>
          <w:rFonts w:cs="PANKAK+TimesNewRoman"/>
          <w:lang w:val="en-US"/>
        </w:rPr>
        <w:t>consumer-related studies</w:t>
      </w:r>
      <w:r w:rsidRPr="000A6A39">
        <w:rPr>
          <w:rFonts w:cs="PANKAK+TimesNewRoman"/>
          <w:color w:val="0070C0"/>
          <w:lang w:val="en-US"/>
        </w:rPr>
        <w:t xml:space="preserve"> </w:t>
      </w:r>
      <w:r w:rsidRPr="000A6A39">
        <w:rPr>
          <w:rFonts w:cs="PANKAK+TimesNewRoman"/>
          <w:lang w:val="en-US"/>
        </w:rPr>
        <w:t>the 1960’s</w:t>
      </w:r>
      <w:r w:rsidRPr="000A6A39">
        <w:rPr>
          <w:rFonts w:cs="PANKAK+TimesNewRoman"/>
          <w:color w:val="0070C0"/>
          <w:lang w:val="en-US"/>
        </w:rPr>
        <w:t xml:space="preserve"> </w:t>
      </w:r>
      <w:r w:rsidRPr="000A6A39">
        <w:rPr>
          <w:rFonts w:cs="PANKAK+TimesNewRoman"/>
          <w:lang w:val="en-US"/>
        </w:rPr>
        <w:t>(Aiken 1963; Vitz and Johnston 1965). The appearance of gender identity in consumer</w:t>
      </w:r>
      <w:r w:rsidRPr="000A6A39">
        <w:rPr>
          <w:rFonts w:cs="PANKAK+TimesNewRoman"/>
          <w:color w:val="0070C0"/>
          <w:lang w:val="en-US"/>
        </w:rPr>
        <w:t xml:space="preserve"> </w:t>
      </w:r>
      <w:r w:rsidRPr="000A6A39">
        <w:rPr>
          <w:rFonts w:cs="PANKAK+TimesNewRoman"/>
          <w:lang w:val="en-US"/>
        </w:rPr>
        <w:t xml:space="preserve">research </w:t>
      </w:r>
      <w:r>
        <w:rPr>
          <w:rFonts w:cs="PANKAK+TimesNewRoman"/>
          <w:lang w:val="en-US"/>
        </w:rPr>
        <w:t xml:space="preserve">then </w:t>
      </w:r>
      <w:r w:rsidRPr="000A6A39">
        <w:rPr>
          <w:rFonts w:cs="PANKAK+TimesNewRoman"/>
          <w:lang w:val="en-US"/>
        </w:rPr>
        <w:t>escalated from mid-1970s on</w:t>
      </w:r>
      <w:r>
        <w:rPr>
          <w:rFonts w:cs="PANKAK+TimesNewRoman"/>
          <w:lang w:val="en-US"/>
        </w:rPr>
        <w:t>,</w:t>
      </w:r>
      <w:r w:rsidRPr="000A6A39">
        <w:rPr>
          <w:rFonts w:cs="PANKAK+TimesNewRoman"/>
          <w:lang w:val="en-US"/>
        </w:rPr>
        <w:t xml:space="preserve"> with</w:t>
      </w:r>
      <w:r>
        <w:rPr>
          <w:rFonts w:cs="PANKAK+TimesNewRoman"/>
          <w:lang w:val="en-US"/>
        </w:rPr>
        <w:t xml:space="preserve"> the</w:t>
      </w:r>
      <w:r w:rsidRPr="000A6A39">
        <w:rPr>
          <w:rFonts w:cs="PANKAK+TimesNewRoman"/>
          <w:lang w:val="en-US"/>
        </w:rPr>
        <w:t xml:space="preserve"> new concep</w:t>
      </w:r>
      <w:r>
        <w:rPr>
          <w:rFonts w:cs="PANKAK+TimesNewRoman"/>
          <w:lang w:val="en-US"/>
        </w:rPr>
        <w:t xml:space="preserve">tualizations of gender identity </w:t>
      </w:r>
      <w:r w:rsidRPr="000A6A39">
        <w:rPr>
          <w:rFonts w:cs="PANKAK+TimesNewRoman"/>
          <w:lang w:val="en-US"/>
        </w:rPr>
        <w:t>(e.g., Bem 1974; Spence</w:t>
      </w:r>
      <w:r>
        <w:rPr>
          <w:rFonts w:cs="PANKAK+TimesNewRoman"/>
          <w:lang w:val="en-US"/>
        </w:rPr>
        <w:t xml:space="preserve"> et al.</w:t>
      </w:r>
      <w:r w:rsidRPr="000A6A39">
        <w:rPr>
          <w:rFonts w:cs="PANKAK+TimesNewRoman"/>
          <w:lang w:val="en-US"/>
        </w:rPr>
        <w:t xml:space="preserve"> 1975).  .</w:t>
      </w:r>
    </w:p>
  </w:footnote>
  <w:footnote w:id="4">
    <w:p w:rsidR="005A408B" w:rsidRPr="00906521" w:rsidRDefault="005A408B" w:rsidP="00DA2247">
      <w:pPr>
        <w:pStyle w:val="FootnoteText"/>
        <w:rPr>
          <w:color w:val="000000" w:themeColor="text1"/>
          <w:lang w:val="en-US"/>
        </w:rPr>
      </w:pPr>
      <w:r w:rsidRPr="00906521">
        <w:rPr>
          <w:rStyle w:val="FootnoteReference"/>
          <w:color w:val="000000" w:themeColor="text1"/>
        </w:rPr>
        <w:footnoteRef/>
      </w:r>
      <w:r w:rsidRPr="00CD29CF">
        <w:rPr>
          <w:color w:val="000000" w:themeColor="text1"/>
          <w:lang w:val="en-US"/>
        </w:rPr>
        <w:t xml:space="preserve"> </w:t>
      </w:r>
      <w:hyperlink r:id="rId1" w:history="1">
        <w:r w:rsidRPr="00CD29CF">
          <w:rPr>
            <w:rStyle w:val="Hyperlink"/>
            <w:color w:val="000000" w:themeColor="text1"/>
            <w:lang w:val="en-US"/>
          </w:rPr>
          <w:t>http://www.mitportugal.org/latest/innovation-and-entrepreneurship-initiative-grand-finale-winner-announced.html</w:t>
        </w:r>
      </w:hyperlink>
    </w:p>
  </w:footnote>
  <w:footnote w:id="5">
    <w:p w:rsidR="005A408B" w:rsidRPr="00B30304" w:rsidRDefault="005A408B" w:rsidP="00DA2247">
      <w:pPr>
        <w:pStyle w:val="FootnoteText"/>
        <w:rPr>
          <w:lang w:val="en-US"/>
        </w:rPr>
      </w:pPr>
      <w:r w:rsidRPr="00D220DB">
        <w:rPr>
          <w:rStyle w:val="FootnoteReference"/>
        </w:rPr>
        <w:footnoteRef/>
      </w:r>
      <w:r w:rsidRPr="00B30304">
        <w:rPr>
          <w:lang w:val="en-US"/>
        </w:rPr>
        <w:t xml:space="preserve"> According to the store map, new arrival items are located in region E. Therefore, it is likely that region E variable is related to the measures of new arrivals </w:t>
      </w:r>
      <w:r w:rsidRPr="00B30304">
        <w:rPr>
          <w:rFonts w:cs="Times New Roman"/>
          <w:color w:val="222222"/>
          <w:shd w:val="clear" w:color="auto" w:fill="FFFFFF"/>
          <w:lang w:val="en-US"/>
        </w:rPr>
        <w:t>(NA</w:t>
      </w:r>
      <w:r w:rsidRPr="00B30304">
        <w:rPr>
          <w:rFonts w:cs="Times New Roman"/>
          <w:color w:val="222222"/>
          <w:shd w:val="clear" w:color="auto" w:fill="FFFFFF"/>
          <w:vertAlign w:val="subscript"/>
          <w:lang w:val="en-US"/>
        </w:rPr>
        <w:t>i</w:t>
      </w:r>
      <w:r w:rsidRPr="00B30304">
        <w:rPr>
          <w:rFonts w:cs="Times New Roman"/>
          <w:color w:val="222222"/>
          <w:shd w:val="clear" w:color="auto" w:fill="FFFFFF"/>
          <w:lang w:val="en-US"/>
        </w:rPr>
        <w:t>) and innovativeness (INNOVi) variables</w:t>
      </w:r>
      <w:r w:rsidRPr="00B30304">
        <w:rPr>
          <w:lang w:val="en-US"/>
        </w:rPr>
        <w:t>. With respec to region F, it is the area where the fitting room is located, thus it tends to be related the measure of product involvement (INVOLi) variable. For region H which is the window display area., this variable is likely to affect the decision to enter the store, but not the decision to buy. Lastly, with respect to region F, there is the overlap with the measure  of region D. Therefore, these region variables are not included as control variables in this study.</w:t>
      </w:r>
    </w:p>
  </w:footnote>
  <w:footnote w:id="6">
    <w:p w:rsidR="005A408B" w:rsidRPr="003954FD" w:rsidRDefault="005A408B" w:rsidP="00DA2247">
      <w:pPr>
        <w:pStyle w:val="FootnoteText"/>
        <w:rPr>
          <w:lang w:val="en-US"/>
        </w:rPr>
      </w:pPr>
      <w:r w:rsidRPr="00D220DB">
        <w:rPr>
          <w:rStyle w:val="FootnoteReference"/>
        </w:rPr>
        <w:footnoteRef/>
      </w:r>
      <w:r w:rsidRPr="00D220DB">
        <w:rPr>
          <w:lang w:val="en-US"/>
        </w:rPr>
        <w:t xml:space="preserve"> These issues were communicated to AK who has in the meantime solved most if not all of the problems in data</w:t>
      </w:r>
      <w:r>
        <w:rPr>
          <w:lang w:val="en-US"/>
        </w:rPr>
        <w:t xml:space="preserve"> aggregation. Yet, for my data I decided to delete them in the reduced dataset and run a robustness check of my models in this reduced dataset.</w:t>
      </w:r>
    </w:p>
  </w:footnote>
  <w:footnote w:id="7">
    <w:p w:rsidR="005A408B" w:rsidRPr="00F96E97" w:rsidRDefault="005A408B" w:rsidP="00DA2247">
      <w:pPr>
        <w:pStyle w:val="FootnoteText"/>
        <w:rPr>
          <w:lang w:val="en-US"/>
        </w:rPr>
      </w:pPr>
      <w:r w:rsidRPr="00F96E97">
        <w:rPr>
          <w:rStyle w:val="FootnoteReference"/>
        </w:rPr>
        <w:footnoteRef/>
      </w:r>
      <w:r w:rsidRPr="00F96E97">
        <w:rPr>
          <w:lang w:val="en-US"/>
        </w:rPr>
        <w:t xml:space="preserve"> This percentage of purchases in this dataset is much higher than than in the original dataset. The possible explanation is to the definition of gender. The observations in gender restricted dataset are those who have already visited the fit room, which may indicate higher likelihood of buying.</w:t>
      </w:r>
    </w:p>
  </w:footnote>
  <w:footnote w:id="8">
    <w:p w:rsidR="005A408B" w:rsidRPr="00F96E97" w:rsidRDefault="005A408B" w:rsidP="00DA2247">
      <w:pPr>
        <w:pStyle w:val="CommentText"/>
      </w:pPr>
      <w:r>
        <w:rPr>
          <w:rStyle w:val="FootnoteReference"/>
        </w:rPr>
        <w:footnoteRef/>
      </w:r>
      <w:r>
        <w:t xml:space="preserve"> </w:t>
      </w:r>
      <w:r w:rsidR="00D80310" w:rsidRPr="00F96E97">
        <w:t>For the interpretation purpose, t</w:t>
      </w:r>
      <w:r w:rsidRPr="00F96E97">
        <w:t>he coefficient is multiplied by 1,000 to avoid the low value due to the scale of the dwell variable.</w:t>
      </w:r>
    </w:p>
  </w:footnote>
  <w:footnote w:id="9">
    <w:p w:rsidR="005A408B" w:rsidRPr="00DA2247" w:rsidRDefault="005A408B">
      <w:pPr>
        <w:pStyle w:val="FootnoteText"/>
        <w:rPr>
          <w:lang w:val="en-US"/>
        </w:rPr>
      </w:pPr>
      <w:r w:rsidRPr="00F96E97">
        <w:rPr>
          <w:rStyle w:val="FootnoteReference"/>
        </w:rPr>
        <w:footnoteRef/>
      </w:r>
      <w:r w:rsidRPr="00F96E97">
        <w:t xml:space="preserve"> </w:t>
      </w:r>
      <w:r w:rsidRPr="00F96E97">
        <w:rPr>
          <w:lang w:val="en-US"/>
        </w:rPr>
        <w:t>Ibid.</w:t>
      </w:r>
    </w:p>
  </w:footnote>
  <w:footnote w:id="10">
    <w:p w:rsidR="005A408B" w:rsidRPr="00DA2247" w:rsidRDefault="005A408B" w:rsidP="00DA2247">
      <w:pPr>
        <w:pStyle w:val="FootnoteText"/>
      </w:pPr>
      <w:r>
        <w:rPr>
          <w:rStyle w:val="FootnoteReference"/>
        </w:rPr>
        <w:footnoteRef/>
      </w:r>
      <w:r w:rsidRPr="00DA2247">
        <w:t xml:space="preserve"> </w:t>
      </w:r>
      <m:oMath>
        <m:r>
          <m:rPr>
            <m:sty m:val="p"/>
          </m:rPr>
          <m:t xml:space="preserve">Probability </m:t>
        </m:r>
        <m:d>
          <m:dPr>
            <m:ctrlPr>
              <w:rPr>
                <w:rFonts w:ascii="Cambria Math" w:hAnsi="Cambria Math"/>
              </w:rPr>
            </m:ctrlPr>
          </m:dPr>
          <m:e>
            <m:sSub>
              <m:sSubPr>
                <m:ctrlPr>
                  <w:rPr>
                    <w:rFonts w:ascii="Cambria Math" w:hAnsi="Cambria Math"/>
                    <w:iCs/>
                  </w:rPr>
                </m:ctrlPr>
              </m:sSubPr>
              <m:e>
                <m:r>
                  <m:rPr>
                    <m:sty m:val="p"/>
                  </m:rPr>
                  <m:t>BUY</m:t>
                </m:r>
              </m:e>
              <m:sub>
                <m:r>
                  <m:rPr>
                    <m:sty m:val="p"/>
                  </m:rPr>
                  <m:t>i</m:t>
                </m:r>
              </m:sub>
            </m:sSub>
            <m:r>
              <m:rPr>
                <m:sty m:val="p"/>
              </m:rPr>
              <m:t>=1</m:t>
            </m:r>
          </m:e>
        </m:d>
        <m:r>
          <m:rPr>
            <m:sty m:val="p"/>
          </m:rPr>
          <m:t xml:space="preserve">= </m:t>
        </m:r>
        <m:f>
          <m:fPr>
            <m:ctrlPr>
              <w:rPr>
                <w:rFonts w:ascii="Cambria Math" w:hAnsi="Cambria Math"/>
                <w:iCs/>
              </w:rPr>
            </m:ctrlPr>
          </m:fPr>
          <m:num>
            <m:r>
              <m:rPr>
                <m:sty m:val="p"/>
              </m:rPr>
              <m:t>1</m:t>
            </m:r>
          </m:num>
          <m:den>
            <m:r>
              <m:rPr>
                <m:sty m:val="p"/>
              </m:rPr>
              <m:t>1+</m:t>
            </m:r>
            <m:sSup>
              <m:sSupPr>
                <m:ctrlPr>
                  <w:rPr>
                    <w:rFonts w:ascii="Cambria Math" w:hAnsi="Cambria Math"/>
                    <w:iCs/>
                  </w:rPr>
                </m:ctrlPr>
              </m:sSupPr>
              <m:e>
                <m:r>
                  <m:rPr>
                    <m:sty m:val="p"/>
                  </m:rPr>
                  <m:t>e</m:t>
                </m:r>
              </m:e>
              <m:sup>
                <m:r>
                  <m:rPr>
                    <m:sty m:val="p"/>
                  </m:rPr>
                  <m:t>-</m:t>
                </m:r>
                <m:d>
                  <m:dPr>
                    <m:ctrlPr>
                      <w:rPr>
                        <w:rFonts w:ascii="Cambria Math" w:hAnsi="Cambria Math"/>
                      </w:rPr>
                    </m:ctrlPr>
                  </m:dPr>
                  <m:e>
                    <m:r>
                      <m:rPr>
                        <m:sty m:val="p"/>
                      </m:rPr>
                      <m:t>-2.411+</m:t>
                    </m:r>
                    <m:d>
                      <m:dPr>
                        <m:ctrlPr>
                          <w:rPr>
                            <w:rFonts w:ascii="Cambria Math" w:hAnsi="Cambria Math"/>
                          </w:rPr>
                        </m:ctrlPr>
                      </m:dPr>
                      <m:e>
                        <m:r>
                          <m:rPr>
                            <m:sty m:val="p"/>
                          </m:rPr>
                          <m:t>0.679*</m:t>
                        </m:r>
                        <m:r>
                          <m:rPr>
                            <m:sty m:val="p"/>
                          </m:rPr>
                          <w:rPr>
                            <w:rFonts w:ascii="Cambria Math" w:hAnsi="Cambria Math"/>
                          </w:rPr>
                          <m:t>1</m:t>
                        </m:r>
                        <m:ctrlPr>
                          <w:rPr>
                            <w:rFonts w:ascii="Cambria Math" w:hAnsi="Cambria Math"/>
                            <w:iCs/>
                          </w:rPr>
                        </m:ctrlPr>
                      </m:e>
                    </m:d>
                    <m:r>
                      <m:rPr>
                        <m:sty m:val="p"/>
                      </m:rPr>
                      <m:t>+</m:t>
                    </m:r>
                    <m:d>
                      <m:dPr>
                        <m:ctrlPr>
                          <w:rPr>
                            <w:rFonts w:ascii="Cambria Math" w:hAnsi="Cambria Math"/>
                          </w:rPr>
                        </m:ctrlPr>
                      </m:dPr>
                      <m:e>
                        <m:r>
                          <m:rPr>
                            <m:sty m:val="p"/>
                          </m:rPr>
                          <m:t>0.860*</m:t>
                        </m:r>
                        <m:r>
                          <m:rPr>
                            <m:sty m:val="p"/>
                          </m:rPr>
                          <w:rPr>
                            <w:rFonts w:ascii="Cambria Math" w:hAnsi="Cambria Math"/>
                          </w:rPr>
                          <m:t>1</m:t>
                        </m:r>
                        <m:r>
                          <m:rPr>
                            <m:sty m:val="p"/>
                          </m:rPr>
                          <m:t>*1</m:t>
                        </m:r>
                      </m:e>
                    </m:d>
                  </m:e>
                </m:d>
              </m:sup>
            </m:sSup>
          </m:den>
        </m:f>
        <m:r>
          <m:rPr>
            <m:sty m:val="p"/>
          </m:rPr>
          <w:rPr>
            <w:rFonts w:ascii="Cambria Math" w:hAnsi="Cambria Math"/>
          </w:rPr>
          <m:t>= 0.2948</m:t>
        </m:r>
      </m:oMath>
    </w:p>
  </w:footnote>
  <w:footnote w:id="11">
    <w:p w:rsidR="005A408B" w:rsidRPr="00DA2247" w:rsidRDefault="005A408B" w:rsidP="00DA2247">
      <w:pPr>
        <w:pStyle w:val="FootnoteText"/>
      </w:pPr>
      <w:r>
        <w:rPr>
          <w:rStyle w:val="FootnoteReference"/>
        </w:rPr>
        <w:footnoteRef/>
      </w:r>
      <w:r w:rsidRPr="00DA2247">
        <w:t xml:space="preserve"> </w:t>
      </w:r>
      <m:oMath>
        <m:r>
          <m:rPr>
            <m:sty m:val="p"/>
          </m:rPr>
          <m:t xml:space="preserve">Probability </m:t>
        </m:r>
        <m:d>
          <m:dPr>
            <m:ctrlPr>
              <w:rPr>
                <w:rFonts w:ascii="Cambria Math" w:hAnsi="Cambria Math"/>
              </w:rPr>
            </m:ctrlPr>
          </m:dPr>
          <m:e>
            <m:sSub>
              <m:sSubPr>
                <m:ctrlPr>
                  <w:rPr>
                    <w:rFonts w:ascii="Cambria Math" w:hAnsi="Cambria Math"/>
                    <w:iCs/>
                  </w:rPr>
                </m:ctrlPr>
              </m:sSubPr>
              <m:e>
                <m:r>
                  <m:rPr>
                    <m:sty m:val="p"/>
                  </m:rPr>
                  <m:t>BUY</m:t>
                </m:r>
              </m:e>
              <m:sub>
                <m:r>
                  <m:rPr>
                    <m:sty m:val="p"/>
                  </m:rPr>
                  <m:t>i</m:t>
                </m:r>
              </m:sub>
            </m:sSub>
            <m:r>
              <m:rPr>
                <m:sty m:val="p"/>
              </m:rPr>
              <m:t>=1</m:t>
            </m:r>
          </m:e>
        </m:d>
        <m:r>
          <m:rPr>
            <m:sty m:val="p"/>
          </m:rPr>
          <m:t xml:space="preserve">= </m:t>
        </m:r>
        <m:f>
          <m:fPr>
            <m:ctrlPr>
              <w:rPr>
                <w:rFonts w:ascii="Cambria Math" w:hAnsi="Cambria Math"/>
                <w:iCs/>
              </w:rPr>
            </m:ctrlPr>
          </m:fPr>
          <m:num>
            <m:r>
              <m:rPr>
                <m:sty m:val="p"/>
              </m:rPr>
              <m:t>1</m:t>
            </m:r>
          </m:num>
          <m:den>
            <m:r>
              <m:rPr>
                <m:sty m:val="p"/>
              </m:rPr>
              <m:t>1+</m:t>
            </m:r>
            <m:sSup>
              <m:sSupPr>
                <m:ctrlPr>
                  <w:rPr>
                    <w:rFonts w:ascii="Cambria Math" w:hAnsi="Cambria Math"/>
                    <w:iCs/>
                  </w:rPr>
                </m:ctrlPr>
              </m:sSupPr>
              <m:e>
                <m:r>
                  <m:rPr>
                    <m:sty m:val="p"/>
                  </m:rPr>
                  <m:t>e</m:t>
                </m:r>
              </m:e>
              <m:sup>
                <m:r>
                  <m:rPr>
                    <m:sty m:val="p"/>
                  </m:rPr>
                  <m:t>-</m:t>
                </m:r>
                <m:d>
                  <m:dPr>
                    <m:ctrlPr>
                      <w:rPr>
                        <w:rFonts w:ascii="Cambria Math" w:hAnsi="Cambria Math"/>
                      </w:rPr>
                    </m:ctrlPr>
                  </m:dPr>
                  <m:e>
                    <m:r>
                      <m:rPr>
                        <m:sty m:val="p"/>
                      </m:rPr>
                      <m:t>-2.411+</m:t>
                    </m:r>
                    <m:d>
                      <m:dPr>
                        <m:ctrlPr>
                          <w:rPr>
                            <w:rFonts w:ascii="Cambria Math" w:hAnsi="Cambria Math"/>
                          </w:rPr>
                        </m:ctrlPr>
                      </m:dPr>
                      <m:e>
                        <m:r>
                          <m:rPr>
                            <m:sty m:val="p"/>
                          </m:rPr>
                          <m:t>0.679*</m:t>
                        </m:r>
                        <m:r>
                          <m:rPr>
                            <m:sty m:val="p"/>
                          </m:rPr>
                          <w:rPr>
                            <w:rFonts w:ascii="Cambria Math" w:hAnsi="Cambria Math"/>
                          </w:rPr>
                          <m:t>0</m:t>
                        </m:r>
                        <m:ctrlPr>
                          <w:rPr>
                            <w:rFonts w:ascii="Cambria Math" w:hAnsi="Cambria Math"/>
                            <w:iCs/>
                          </w:rPr>
                        </m:ctrlPr>
                      </m:e>
                    </m:d>
                    <m:r>
                      <m:rPr>
                        <m:sty m:val="p"/>
                      </m:rPr>
                      <m:t>+</m:t>
                    </m:r>
                    <m:d>
                      <m:dPr>
                        <m:ctrlPr>
                          <w:rPr>
                            <w:rFonts w:ascii="Cambria Math" w:hAnsi="Cambria Math"/>
                          </w:rPr>
                        </m:ctrlPr>
                      </m:dPr>
                      <m:e>
                        <m:r>
                          <m:rPr>
                            <m:sty m:val="p"/>
                          </m:rPr>
                          <m:t>0.860*</m:t>
                        </m:r>
                        <m:r>
                          <m:rPr>
                            <m:sty m:val="p"/>
                          </m:rPr>
                          <w:rPr>
                            <w:rFonts w:ascii="Cambria Math" w:hAnsi="Cambria Math"/>
                          </w:rPr>
                          <m:t>0</m:t>
                        </m:r>
                        <m:r>
                          <m:rPr>
                            <m:sty m:val="p"/>
                          </m:rPr>
                          <m:t>*0</m:t>
                        </m:r>
                      </m:e>
                    </m:d>
                  </m:e>
                </m:d>
              </m:sup>
            </m:sSup>
          </m:den>
        </m:f>
        <m:r>
          <w:rPr>
            <w:rFonts w:ascii="Cambria Math" w:hAnsi="Cambria Math"/>
          </w:rPr>
          <m:t>= .0823</m:t>
        </m:r>
      </m:oMath>
    </w:p>
  </w:footnote>
  <w:footnote w:id="12">
    <w:p w:rsidR="005A408B" w:rsidRPr="00B30304" w:rsidRDefault="005A408B" w:rsidP="00DA2247">
      <w:pPr>
        <w:pStyle w:val="FootnoteText"/>
        <w:rPr>
          <w:lang w:val="en-US"/>
        </w:rPr>
      </w:pPr>
      <w:r>
        <w:rPr>
          <w:rStyle w:val="FootnoteReference"/>
        </w:rPr>
        <w:footnoteRef/>
      </w:r>
      <w:r w:rsidRPr="00B30304">
        <w:rPr>
          <w:lang w:val="en-US"/>
        </w:rPr>
        <w:t xml:space="preserve"> Frequ</w:t>
      </w:r>
      <w:r w:rsidR="00B922B6">
        <w:rPr>
          <w:lang w:val="en-US"/>
        </w:rPr>
        <w:t>e</w:t>
      </w:r>
      <w:r w:rsidRPr="00B30304">
        <w:rPr>
          <w:lang w:val="en-US"/>
        </w:rPr>
        <w:t>ncy/ Total number of observations in the origina</w:t>
      </w:r>
      <w:r w:rsidR="00B922B6">
        <w:rPr>
          <w:lang w:val="en-US"/>
        </w:rPr>
        <w:t>l</w:t>
      </w:r>
      <w:r w:rsidRPr="00B30304">
        <w:rPr>
          <w:lang w:val="en-US"/>
        </w:rPr>
        <w:t xml:space="preserve"> dataset (9,577).</w:t>
      </w:r>
    </w:p>
  </w:footnote>
  <w:footnote w:id="13">
    <w:p w:rsidR="005A408B" w:rsidRPr="00B30304" w:rsidRDefault="005A408B" w:rsidP="00DA2247">
      <w:pPr>
        <w:pStyle w:val="FootnoteText"/>
        <w:rPr>
          <w:lang w:val="en-US"/>
        </w:rPr>
      </w:pPr>
      <w:r w:rsidRPr="00F059F8">
        <w:rPr>
          <w:rStyle w:val="FootnoteReference"/>
        </w:rPr>
        <w:footnoteRef/>
      </w:r>
      <w:r w:rsidRPr="00B30304">
        <w:rPr>
          <w:lang w:val="en-US"/>
        </w:rPr>
        <w:t xml:space="preserve"> </w:t>
      </w:r>
      <m:oMath>
        <m:r>
          <m:rPr>
            <m:sty m:val="p"/>
          </m:rPr>
          <w:rPr>
            <w:lang w:val="en-US"/>
          </w:rPr>
          <m:t>Probability (</m:t>
        </m:r>
        <m:sSub>
          <m:sSubPr>
            <m:ctrlPr>
              <w:rPr>
                <w:rFonts w:ascii="Cambria Math" w:hAnsi="Cambria Math"/>
                <w:iCs/>
              </w:rPr>
            </m:ctrlPr>
          </m:sSubPr>
          <m:e>
            <m:r>
              <m:rPr>
                <m:sty m:val="p"/>
              </m:rPr>
              <w:rPr>
                <w:lang w:val="en-US"/>
              </w:rPr>
              <m:t>BUY</m:t>
            </m:r>
          </m:e>
          <m:sub>
            <m:r>
              <m:rPr>
                <m:sty m:val="p"/>
              </m:rPr>
              <w:rPr>
                <w:lang w:val="en-US"/>
              </w:rPr>
              <m:t>i</m:t>
            </m:r>
          </m:sub>
        </m:sSub>
        <m:r>
          <m:rPr>
            <m:sty m:val="p"/>
          </m:rPr>
          <w:rPr>
            <w:lang w:val="en-US"/>
          </w:rPr>
          <m:t xml:space="preserve">=1)= </m:t>
        </m:r>
        <m:f>
          <m:fPr>
            <m:ctrlPr>
              <w:rPr>
                <w:rFonts w:ascii="Cambria Math" w:hAnsi="Cambria Math"/>
                <w:iCs/>
              </w:rPr>
            </m:ctrlPr>
          </m:fPr>
          <m:num>
            <m:r>
              <m:rPr>
                <m:sty m:val="p"/>
              </m:rPr>
              <w:rPr>
                <w:lang w:val="en-US"/>
              </w:rPr>
              <m:t>1</m:t>
            </m:r>
          </m:num>
          <m:den>
            <m:r>
              <m:rPr>
                <m:sty m:val="p"/>
              </m:rPr>
              <w:rPr>
                <w:lang w:val="en-US"/>
              </w:rPr>
              <m:t>1+</m:t>
            </m:r>
            <m:sSup>
              <m:sSupPr>
                <m:ctrlPr>
                  <w:rPr>
                    <w:rFonts w:ascii="Cambria Math" w:hAnsi="Cambria Math"/>
                    <w:iCs/>
                  </w:rPr>
                </m:ctrlPr>
              </m:sSupPr>
              <m:e>
                <m:r>
                  <m:rPr>
                    <m:sty m:val="p"/>
                  </m:rPr>
                  <w:rPr>
                    <w:lang w:val="en-US"/>
                  </w:rPr>
                  <m:t>e</m:t>
                </m:r>
              </m:e>
              <m:sup>
                <m:r>
                  <m:rPr>
                    <m:sty m:val="p"/>
                  </m:rPr>
                  <w:rPr>
                    <w:lang w:val="en-US"/>
                  </w:rPr>
                  <m:t>-(-2.411+0.679*</m:t>
                </m:r>
                <m:sSub>
                  <m:sSubPr>
                    <m:ctrlPr>
                      <w:rPr>
                        <w:rFonts w:ascii="Cambria Math" w:hAnsi="Cambria Math"/>
                        <w:iCs/>
                      </w:rPr>
                    </m:ctrlPr>
                  </m:sSubPr>
                  <m:e>
                    <m:r>
                      <m:rPr>
                        <m:sty m:val="p"/>
                      </m:rPr>
                      <w:rPr>
                        <w:lang w:val="en-US"/>
                      </w:rPr>
                      <m:t>FRIEND</m:t>
                    </m:r>
                  </m:e>
                  <m:sub>
                    <m:r>
                      <m:rPr>
                        <m:sty m:val="p"/>
                      </m:rPr>
                      <w:rPr>
                        <w:lang w:val="en-US"/>
                      </w:rPr>
                      <m:t>i</m:t>
                    </m:r>
                  </m:sub>
                </m:sSub>
                <m:r>
                  <m:rPr>
                    <m:sty m:val="p"/>
                  </m:rPr>
                  <w:rPr>
                    <w:lang w:val="en-US"/>
                  </w:rPr>
                  <m:t>+0.860*</m:t>
                </m:r>
                <m:sSub>
                  <m:sSubPr>
                    <m:ctrlPr>
                      <w:rPr>
                        <w:rFonts w:ascii="Cambria Math" w:hAnsi="Cambria Math"/>
                        <w:iCs/>
                      </w:rPr>
                    </m:ctrlPr>
                  </m:sSubPr>
                  <m:e>
                    <m:r>
                      <m:rPr>
                        <m:sty m:val="p"/>
                      </m:rPr>
                      <w:rPr>
                        <w:lang w:val="en-US"/>
                      </w:rPr>
                      <m:t>FRIEND</m:t>
                    </m:r>
                  </m:e>
                  <m:sub>
                    <m:r>
                      <m:rPr>
                        <m:sty m:val="p"/>
                      </m:rPr>
                      <w:rPr>
                        <w:lang w:val="en-US"/>
                      </w:rPr>
                      <m:t>i</m:t>
                    </m:r>
                  </m:sub>
                </m:sSub>
                <m:r>
                  <m:rPr>
                    <m:sty m:val="p"/>
                  </m:rPr>
                  <w:rPr>
                    <w:lang w:val="en-US"/>
                  </w:rPr>
                  <m:t>*GENDER)</m:t>
                </m:r>
              </m:sup>
            </m:sSup>
          </m:den>
        </m:f>
      </m:oMath>
    </w:p>
  </w:footnote>
  <w:footnote w:id="14">
    <w:p w:rsidR="005A408B" w:rsidRPr="00D847BE" w:rsidRDefault="005A408B" w:rsidP="00DA2247">
      <w:pPr>
        <w:pStyle w:val="FootnoteText"/>
        <w:rPr>
          <w:lang w:val="en-US"/>
        </w:rPr>
      </w:pPr>
      <w:r>
        <w:rPr>
          <w:rStyle w:val="FootnoteReference"/>
        </w:rPr>
        <w:footnoteRef/>
      </w:r>
      <w:r w:rsidRPr="00B30304">
        <w:rPr>
          <w:lang w:val="en-US"/>
        </w:rPr>
        <w:t xml:space="preserve"> </w:t>
      </w:r>
      <w:r>
        <w:rPr>
          <w:lang w:val="en-US"/>
        </w:rPr>
        <w:t>97/(285+38)</w:t>
      </w:r>
    </w:p>
  </w:footnote>
  <w:footnote w:id="15">
    <w:p w:rsidR="005A408B" w:rsidRPr="00B30304" w:rsidRDefault="005A408B" w:rsidP="00DA2247">
      <w:pPr>
        <w:pStyle w:val="FootnoteText"/>
        <w:rPr>
          <w:lang w:val="en-US"/>
        </w:rPr>
      </w:pPr>
      <w:r>
        <w:rPr>
          <w:rStyle w:val="FootnoteReference"/>
        </w:rPr>
        <w:footnoteRef/>
      </w:r>
      <w:r w:rsidRPr="00B30304">
        <w:rPr>
          <w:lang w:val="en-US"/>
        </w:rPr>
        <w:t xml:space="preserve"> Confidential source due to privacy matter</w:t>
      </w:r>
    </w:p>
  </w:footnote>
  <w:footnote w:id="16">
    <w:p w:rsidR="005A408B" w:rsidRPr="00B30304" w:rsidRDefault="005A408B" w:rsidP="00DA2247">
      <w:pPr>
        <w:pStyle w:val="FootnoteText"/>
        <w:rPr>
          <w:lang w:val="en-US"/>
        </w:rPr>
      </w:pPr>
      <w:r>
        <w:rPr>
          <w:rStyle w:val="FootnoteReference"/>
        </w:rPr>
        <w:footnoteRef/>
      </w:r>
      <w:r w:rsidRPr="00B30304">
        <w:rPr>
          <w:lang w:val="en-US"/>
        </w:rPr>
        <w:t xml:space="preserve"> EUR 130M*30.03%*4.78%</w:t>
      </w:r>
    </w:p>
  </w:footnote>
  <w:footnote w:id="17">
    <w:p w:rsidR="005A408B" w:rsidRPr="009A11A9" w:rsidRDefault="005A408B" w:rsidP="00DA2247">
      <w:pPr>
        <w:pStyle w:val="FootnoteText"/>
        <w:rPr>
          <w:lang w:val="en-US"/>
        </w:rPr>
      </w:pPr>
      <w:r>
        <w:rPr>
          <w:rStyle w:val="FootnoteReference"/>
        </w:rPr>
        <w:footnoteRef/>
      </w:r>
      <w:r w:rsidRPr="00CD29CF">
        <w:rPr>
          <w:lang w:val="en-US"/>
        </w:rPr>
        <w:t xml:space="preserve"> </w:t>
      </w:r>
      <w:r>
        <w:rPr>
          <w:lang w:val="en-US"/>
        </w:rPr>
        <w:t>This table is taken from the article “</w:t>
      </w:r>
      <w:r w:rsidRPr="009A11A9">
        <w:rPr>
          <w:lang w:val="en-US"/>
        </w:rPr>
        <w:t xml:space="preserve">Agency </w:t>
      </w:r>
      <w:r>
        <w:rPr>
          <w:lang w:val="en-US"/>
        </w:rPr>
        <w:t>A</w:t>
      </w:r>
      <w:r w:rsidRPr="009A11A9">
        <w:rPr>
          <w:lang w:val="en-US"/>
        </w:rPr>
        <w:t xml:space="preserve">nd </w:t>
      </w:r>
      <w:r>
        <w:rPr>
          <w:lang w:val="en-US"/>
        </w:rPr>
        <w:t>Communion As Conceptual Coordinates For The Understanding And Measurement Of Interpersonal B</w:t>
      </w:r>
      <w:r w:rsidRPr="009A11A9">
        <w:rPr>
          <w:lang w:val="en-US"/>
        </w:rPr>
        <w:t>ehavior</w:t>
      </w:r>
      <w:r>
        <w:rPr>
          <w:lang w:val="en-US"/>
        </w:rPr>
        <w:t>” written by Jerry S. Wiggins (1991), published in “Thinking Clearly A</w:t>
      </w:r>
      <w:r w:rsidRPr="009A11A9">
        <w:rPr>
          <w:lang w:val="en-US"/>
        </w:rPr>
        <w:t>bou</w:t>
      </w:r>
      <w:r>
        <w:rPr>
          <w:lang w:val="en-US"/>
        </w:rPr>
        <w:t>t P</w:t>
      </w:r>
      <w:r w:rsidRPr="009A11A9">
        <w:rPr>
          <w:lang w:val="en-US"/>
        </w:rPr>
        <w:t>sychology</w:t>
      </w:r>
      <w:r>
        <w:rPr>
          <w:lang w:val="en-US"/>
        </w:rPr>
        <w:t xml:space="preserve">” in the purpose to illustrate how the concept of agency and communion orientation has been extensively documented. </w:t>
      </w:r>
    </w:p>
  </w:footnote>
  <w:footnote w:id="18">
    <w:p w:rsidR="005A408B" w:rsidRPr="003D337B" w:rsidRDefault="005A408B" w:rsidP="00DA2247">
      <w:pPr>
        <w:pStyle w:val="FootnoteText"/>
        <w:rPr>
          <w:lang w:val="en-US"/>
        </w:rPr>
      </w:pPr>
      <w:r w:rsidRPr="003D337B">
        <w:rPr>
          <w:rStyle w:val="FootnoteReference"/>
        </w:rPr>
        <w:footnoteRef/>
      </w:r>
      <w:r w:rsidRPr="00B30304">
        <w:rPr>
          <w:lang w:val="en-US"/>
        </w:rPr>
        <w:t xml:space="preserve"> </w:t>
      </w:r>
      <w:r w:rsidRPr="003D337B">
        <w:rPr>
          <w:lang w:val="en-US"/>
        </w:rPr>
        <w:t>It is important to note that the degrees of freedom provided by SPSS in ‘Omnibus Tests of Model Coefficients’ table is not the one used in calculation of the ratio of model chi-squared statistic to its degree of freedom as it is the number of independent variables in the model. According to McCullagh and Nelder (1989), the degree of freedom used in this calculation is the number of the observations (n) subtracts the number of independent variables in the model (p). Therefore, DF= n-p degrees of freedom.</w:t>
      </w:r>
    </w:p>
  </w:footnote>
  <w:footnote w:id="19">
    <w:p w:rsidR="005A408B" w:rsidRPr="003D337B" w:rsidRDefault="005A408B" w:rsidP="00DA2247">
      <w:pPr>
        <w:pStyle w:val="FootnoteText"/>
        <w:rPr>
          <w:lang w:val="en-US"/>
        </w:rPr>
      </w:pPr>
      <w:r>
        <w:rPr>
          <w:rStyle w:val="FootnoteReference"/>
        </w:rPr>
        <w:footnoteRef/>
      </w:r>
      <w:r w:rsidRPr="00B30304">
        <w:rPr>
          <w:lang w:val="en-US"/>
        </w:rPr>
        <w:t xml:space="preserve"> </w:t>
      </w:r>
      <w:r>
        <w:rPr>
          <w:lang w:val="en-US"/>
        </w:rPr>
        <w:t xml:space="preserve">Original dataset: 1,041.314/ (9,577-13) = 0.108. Reduced dataset : </w:t>
      </w:r>
      <w:r w:rsidRPr="00B30304">
        <w:rPr>
          <w:lang w:val="en-US"/>
        </w:rPr>
        <w:t xml:space="preserve">992.529 </w:t>
      </w:r>
      <w:r>
        <w:rPr>
          <w:lang w:val="en-US"/>
        </w:rPr>
        <w:t>/(9,179-13) = 0.108</w:t>
      </w:r>
    </w:p>
  </w:footnote>
  <w:footnote w:id="20">
    <w:p w:rsidR="005A408B" w:rsidRPr="003D337B" w:rsidRDefault="005A408B" w:rsidP="00DA2247">
      <w:pPr>
        <w:pStyle w:val="FootnoteText"/>
        <w:rPr>
          <w:lang w:val="en-US"/>
        </w:rPr>
      </w:pPr>
      <w:r>
        <w:rPr>
          <w:rStyle w:val="FootnoteReference"/>
        </w:rPr>
        <w:footnoteRef/>
      </w:r>
      <w:r>
        <w:t xml:space="preserve"> </w:t>
      </w:r>
      <w:r>
        <w:rPr>
          <w:lang w:val="en-US"/>
        </w:rPr>
        <w:t>102.606/(2,653-9) = 0.039</w:t>
      </w:r>
    </w:p>
  </w:footnote>
  <w:footnote w:id="21">
    <w:p w:rsidR="005A408B" w:rsidRPr="003D337B" w:rsidRDefault="005A408B" w:rsidP="00DA2247">
      <w:pPr>
        <w:pStyle w:val="FootnoteText"/>
        <w:rPr>
          <w:lang w:val="en-US"/>
        </w:rPr>
      </w:pPr>
      <w:r>
        <w:rPr>
          <w:rStyle w:val="FootnoteReference"/>
        </w:rPr>
        <w:footnoteRef/>
      </w:r>
      <w:r>
        <w:t xml:space="preserve"> </w:t>
      </w:r>
      <w:r>
        <w:rPr>
          <w:lang w:val="en-US"/>
        </w:rPr>
        <w:t>102.606/(2,653-10)= 0.039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08B" w:rsidRDefault="005A408B">
    <w:pPr>
      <w:pStyle w:val="Header"/>
    </w:pPr>
    <w:r>
      <w:t>Table of contents</w:t>
    </w:r>
    <w:r w:rsidR="00AD7D97">
      <w:fldChar w:fldCharType="begin"/>
    </w:r>
    <w:r>
      <w:instrText xml:space="preserve"> STYLEREF  "Überschrift 1"  \* MERGEFORMAT </w:instrText>
    </w:r>
    <w:r w:rsidR="00AD7D97">
      <w:fldChar w:fldCharType="separate"/>
    </w:r>
    <w:r>
      <w:rPr>
        <w:noProof/>
        <w:lang w:val="en-US"/>
      </w:rPr>
      <w:t>Error! Use the Home tab to apply Überschrift 1 to the text that you want to appear here.</w:t>
    </w:r>
    <w:r w:rsidR="00AD7D97">
      <w:fldChar w:fldCharType="end"/>
    </w:r>
    <w:r>
      <w:tab/>
    </w:r>
    <w:r>
      <w:tab/>
    </w:r>
    <w:r w:rsidR="00AD7D97">
      <w:rPr>
        <w:rStyle w:val="PageNumber"/>
        <w:rFonts w:eastAsiaTheme="majorEastAsia"/>
      </w:rPr>
      <w:fldChar w:fldCharType="begin"/>
    </w:r>
    <w:r>
      <w:rPr>
        <w:rStyle w:val="PageNumber"/>
        <w:rFonts w:eastAsiaTheme="majorEastAsia"/>
      </w:rPr>
      <w:instrText xml:space="preserve"> PAGE </w:instrText>
    </w:r>
    <w:r w:rsidR="00AD7D97">
      <w:rPr>
        <w:rStyle w:val="PageNumber"/>
        <w:rFonts w:eastAsiaTheme="majorEastAsia"/>
      </w:rPr>
      <w:fldChar w:fldCharType="separate"/>
    </w:r>
    <w:r>
      <w:rPr>
        <w:rStyle w:val="PageNumber"/>
        <w:rFonts w:eastAsiaTheme="majorEastAsia"/>
        <w:noProof/>
      </w:rPr>
      <w:t>3</w:t>
    </w:r>
    <w:r w:rsidR="00AD7D97">
      <w:rPr>
        <w:rStyle w:val="PageNumber"/>
        <w:rFonts w:eastAsiaTheme="majorEastAsia"/>
      </w:rPr>
      <w:fldChar w:fldCharType="end"/>
    </w:r>
  </w:p>
  <w:p w:rsidR="005A408B" w:rsidRDefault="005A408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825F2"/>
    <w:multiLevelType w:val="hybridMultilevel"/>
    <w:tmpl w:val="E2766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3C2B6E"/>
    <w:multiLevelType w:val="hybridMultilevel"/>
    <w:tmpl w:val="CD3AC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3674AE"/>
    <w:multiLevelType w:val="hybridMultilevel"/>
    <w:tmpl w:val="33F0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1E44CA"/>
    <w:multiLevelType w:val="hybridMultilevel"/>
    <w:tmpl w:val="E48A25B2"/>
    <w:lvl w:ilvl="0" w:tplc="D8D63F9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856670"/>
    <w:multiLevelType w:val="hybridMultilevel"/>
    <w:tmpl w:val="24CAB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65D523A"/>
    <w:multiLevelType w:val="hybridMultilevel"/>
    <w:tmpl w:val="6A1C4FE6"/>
    <w:lvl w:ilvl="0" w:tplc="3130754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713179"/>
    <w:multiLevelType w:val="hybridMultilevel"/>
    <w:tmpl w:val="C9D8EDEE"/>
    <w:lvl w:ilvl="0" w:tplc="BB181B6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EF4548"/>
    <w:multiLevelType w:val="hybridMultilevel"/>
    <w:tmpl w:val="3A84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CA7E2C"/>
    <w:multiLevelType w:val="hybridMultilevel"/>
    <w:tmpl w:val="4B3C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E165E4"/>
    <w:multiLevelType w:val="hybridMultilevel"/>
    <w:tmpl w:val="23FE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425F25"/>
    <w:multiLevelType w:val="hybridMultilevel"/>
    <w:tmpl w:val="DEACF66E"/>
    <w:lvl w:ilvl="0" w:tplc="0409000F">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11">
    <w:nsid w:val="5C9462C1"/>
    <w:multiLevelType w:val="hybridMultilevel"/>
    <w:tmpl w:val="87A2E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551DAA"/>
    <w:multiLevelType w:val="hybridMultilevel"/>
    <w:tmpl w:val="DEACF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86531F"/>
    <w:multiLevelType w:val="hybridMultilevel"/>
    <w:tmpl w:val="719E5D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1C347D"/>
    <w:multiLevelType w:val="hybridMultilevel"/>
    <w:tmpl w:val="BA70F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14"/>
  </w:num>
  <w:num w:numId="6">
    <w:abstractNumId w:val="1"/>
  </w:num>
  <w:num w:numId="7">
    <w:abstractNumId w:val="8"/>
  </w:num>
  <w:num w:numId="8">
    <w:abstractNumId w:val="2"/>
  </w:num>
  <w:num w:numId="9">
    <w:abstractNumId w:val="11"/>
  </w:num>
  <w:num w:numId="10">
    <w:abstractNumId w:val="12"/>
  </w:num>
  <w:num w:numId="11">
    <w:abstractNumId w:val="9"/>
  </w:num>
  <w:num w:numId="12">
    <w:abstractNumId w:val="13"/>
  </w:num>
  <w:num w:numId="13">
    <w:abstractNumId w:val="3"/>
  </w:num>
  <w:num w:numId="14">
    <w:abstractNumId w:val="4"/>
  </w:num>
  <w:num w:numId="1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applyBreakingRules/>
  </w:compat>
  <w:rsids>
    <w:rsidRoot w:val="00DA2247"/>
    <w:rsid w:val="00025E86"/>
    <w:rsid w:val="000624F7"/>
    <w:rsid w:val="000D1996"/>
    <w:rsid w:val="00154E76"/>
    <w:rsid w:val="00155999"/>
    <w:rsid w:val="00183CFB"/>
    <w:rsid w:val="001E1B3C"/>
    <w:rsid w:val="00211465"/>
    <w:rsid w:val="002C15DA"/>
    <w:rsid w:val="00387360"/>
    <w:rsid w:val="003A32BC"/>
    <w:rsid w:val="003B1CBD"/>
    <w:rsid w:val="00471A56"/>
    <w:rsid w:val="00495CB9"/>
    <w:rsid w:val="004C27DE"/>
    <w:rsid w:val="00510679"/>
    <w:rsid w:val="005A408B"/>
    <w:rsid w:val="005F5A2E"/>
    <w:rsid w:val="00662C3C"/>
    <w:rsid w:val="007575BF"/>
    <w:rsid w:val="00884154"/>
    <w:rsid w:val="00885279"/>
    <w:rsid w:val="009B3E3F"/>
    <w:rsid w:val="009C651A"/>
    <w:rsid w:val="00A732A5"/>
    <w:rsid w:val="00A75D21"/>
    <w:rsid w:val="00AD7D97"/>
    <w:rsid w:val="00AE0B66"/>
    <w:rsid w:val="00B922B6"/>
    <w:rsid w:val="00C73AAE"/>
    <w:rsid w:val="00CB18B5"/>
    <w:rsid w:val="00CF7589"/>
    <w:rsid w:val="00D007C7"/>
    <w:rsid w:val="00D3449F"/>
    <w:rsid w:val="00D6284D"/>
    <w:rsid w:val="00D80310"/>
    <w:rsid w:val="00DA2247"/>
    <w:rsid w:val="00DE5DF4"/>
    <w:rsid w:val="00F96E97"/>
    <w:rsid w:val="00F97476"/>
    <w:rsid w:val="00FE00D9"/>
    <w:rsid w:val="00FF12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rules v:ext="edit">
        <o:r id="V:Rule28" type="connector" idref="#_x0000_s1055"/>
        <o:r id="V:Rule29" type="connector" idref="#_x0000_s1042"/>
        <o:r id="V:Rule30" type="connector" idref="#_x0000_s1065"/>
        <o:r id="V:Rule31" type="connector" idref="#_x0000_s1050"/>
        <o:r id="V:Rule32" type="connector" idref="#_x0000_s1052"/>
        <o:r id="V:Rule33" type="connector" idref="#_x0000_s1064"/>
        <o:r id="V:Rule34" type="connector" idref="#_x0000_s1043"/>
        <o:r id="V:Rule35" type="connector" idref="#_x0000_s1046"/>
        <o:r id="V:Rule36" type="connector" idref="#_x0000_s1031"/>
        <o:r id="V:Rule37" type="connector" idref="#_x0000_s1059"/>
        <o:r id="V:Rule38" type="connector" idref="#_x0000_s1049"/>
        <o:r id="V:Rule39" type="connector" idref="#_x0000_s1027"/>
        <o:r id="V:Rule40" type="connector" idref="#_x0000_s1054"/>
        <o:r id="V:Rule41" type="connector" idref="#_x0000_s1061"/>
        <o:r id="V:Rule42" type="connector" idref="#_x0000_s1053"/>
        <o:r id="V:Rule43" type="connector" idref="#_x0000_s1032"/>
        <o:r id="V:Rule44" type="connector" idref="#_x0000_s1057"/>
        <o:r id="V:Rule45" type="connector" idref="#_x0000_s1062"/>
        <o:r id="V:Rule46" type="connector" idref="#_x0000_s1058"/>
        <o:r id="V:Rule47" type="connector" idref="#_x0000_s1038"/>
        <o:r id="V:Rule48" type="connector" idref="#_x0000_s1063"/>
        <o:r id="V:Rule49" type="connector" idref="#_x0000_s1060"/>
        <o:r id="V:Rule50" type="connector" idref="#_x0000_s1028"/>
        <o:r id="V:Rule51" type="connector" idref="#_x0000_s1029"/>
        <o:r id="V:Rule52" type="connector" idref="#_x0000_s1039"/>
        <o:r id="V:Rule53" type="connector" idref="#_x0000_s1033"/>
        <o:r id="V:Rule5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247"/>
    <w:rPr>
      <w:rFonts w:asciiTheme="majorHAnsi" w:eastAsiaTheme="majorEastAsia" w:hAnsiTheme="majorHAnsi" w:cstheme="majorBidi"/>
      <w:szCs w:val="22"/>
      <w:lang w:bidi="en-US"/>
    </w:rPr>
  </w:style>
  <w:style w:type="paragraph" w:styleId="Heading1">
    <w:name w:val="heading 1"/>
    <w:basedOn w:val="Normal"/>
    <w:next w:val="Normal"/>
    <w:link w:val="Heading1Char"/>
    <w:uiPriority w:val="9"/>
    <w:qFormat/>
    <w:rsid w:val="00DA224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DA2247"/>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DA224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DA224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DA224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DA224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DA224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DA224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DA224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247"/>
    <w:rPr>
      <w:rFonts w:asciiTheme="majorHAnsi" w:eastAsiaTheme="majorEastAsia" w:hAnsiTheme="majorHAnsi" w:cstheme="majorBidi"/>
      <w:smallCaps/>
      <w:spacing w:val="5"/>
      <w:sz w:val="36"/>
      <w:szCs w:val="36"/>
      <w:lang w:bidi="en-US"/>
    </w:rPr>
  </w:style>
  <w:style w:type="character" w:customStyle="1" w:styleId="Heading2Char">
    <w:name w:val="Heading 2 Char"/>
    <w:basedOn w:val="DefaultParagraphFont"/>
    <w:link w:val="Heading2"/>
    <w:uiPriority w:val="9"/>
    <w:rsid w:val="00DA2247"/>
    <w:rPr>
      <w:rFonts w:asciiTheme="majorHAnsi" w:eastAsiaTheme="majorEastAsia" w:hAnsiTheme="majorHAnsi" w:cstheme="majorBidi"/>
      <w:smallCaps/>
      <w:sz w:val="28"/>
      <w:lang w:bidi="en-US"/>
    </w:rPr>
  </w:style>
  <w:style w:type="character" w:customStyle="1" w:styleId="Heading3Char">
    <w:name w:val="Heading 3 Char"/>
    <w:basedOn w:val="DefaultParagraphFont"/>
    <w:link w:val="Heading3"/>
    <w:uiPriority w:val="9"/>
    <w:rsid w:val="00DA2247"/>
    <w:rPr>
      <w:rFonts w:asciiTheme="majorHAnsi" w:eastAsiaTheme="majorEastAsia" w:hAnsiTheme="majorHAnsi" w:cstheme="majorBidi"/>
      <w:i/>
      <w:iCs/>
      <w:smallCaps/>
      <w:spacing w:val="5"/>
      <w:sz w:val="26"/>
      <w:szCs w:val="26"/>
      <w:lang w:bidi="en-US"/>
    </w:rPr>
  </w:style>
  <w:style w:type="character" w:customStyle="1" w:styleId="Heading4Char">
    <w:name w:val="Heading 4 Char"/>
    <w:basedOn w:val="DefaultParagraphFont"/>
    <w:link w:val="Heading4"/>
    <w:uiPriority w:val="9"/>
    <w:semiHidden/>
    <w:rsid w:val="00DA2247"/>
    <w:rPr>
      <w:rFonts w:asciiTheme="majorHAnsi" w:eastAsiaTheme="majorEastAsia" w:hAnsiTheme="majorHAnsi" w:cstheme="majorBidi"/>
      <w:b/>
      <w:bCs/>
      <w:spacing w:val="5"/>
      <w:sz w:val="24"/>
      <w:szCs w:val="24"/>
      <w:lang w:bidi="en-US"/>
    </w:rPr>
  </w:style>
  <w:style w:type="character" w:customStyle="1" w:styleId="Heading5Char">
    <w:name w:val="Heading 5 Char"/>
    <w:basedOn w:val="DefaultParagraphFont"/>
    <w:link w:val="Heading5"/>
    <w:uiPriority w:val="9"/>
    <w:semiHidden/>
    <w:rsid w:val="00DA2247"/>
    <w:rPr>
      <w:rFonts w:asciiTheme="majorHAnsi" w:eastAsiaTheme="majorEastAsia" w:hAnsiTheme="majorHAnsi" w:cstheme="majorBidi"/>
      <w:i/>
      <w:iCs/>
      <w:sz w:val="24"/>
      <w:szCs w:val="24"/>
      <w:lang w:bidi="en-US"/>
    </w:rPr>
  </w:style>
  <w:style w:type="character" w:customStyle="1" w:styleId="Heading6Char">
    <w:name w:val="Heading 6 Char"/>
    <w:basedOn w:val="DefaultParagraphFont"/>
    <w:link w:val="Heading6"/>
    <w:uiPriority w:val="9"/>
    <w:semiHidden/>
    <w:rsid w:val="00DA2247"/>
    <w:rPr>
      <w:rFonts w:asciiTheme="majorHAnsi" w:eastAsiaTheme="majorEastAsia" w:hAnsiTheme="majorHAnsi" w:cstheme="majorBidi"/>
      <w:b/>
      <w:bCs/>
      <w:color w:val="595959" w:themeColor="text1" w:themeTint="A6"/>
      <w:spacing w:val="5"/>
      <w:szCs w:val="22"/>
      <w:shd w:val="clear" w:color="auto" w:fill="FFFFFF" w:themeFill="background1"/>
      <w:lang w:bidi="en-US"/>
    </w:rPr>
  </w:style>
  <w:style w:type="character" w:customStyle="1" w:styleId="Heading7Char">
    <w:name w:val="Heading 7 Char"/>
    <w:basedOn w:val="DefaultParagraphFont"/>
    <w:link w:val="Heading7"/>
    <w:uiPriority w:val="9"/>
    <w:semiHidden/>
    <w:rsid w:val="00DA2247"/>
    <w:rPr>
      <w:rFonts w:asciiTheme="majorHAnsi" w:eastAsiaTheme="majorEastAsia" w:hAnsiTheme="majorHAnsi" w:cstheme="majorBidi"/>
      <w:b/>
      <w:bCs/>
      <w:i/>
      <w:iCs/>
      <w:color w:val="5A5A5A" w:themeColor="text1" w:themeTint="A5"/>
      <w:sz w:val="20"/>
      <w:szCs w:val="20"/>
      <w:lang w:bidi="en-US"/>
    </w:rPr>
  </w:style>
  <w:style w:type="character" w:customStyle="1" w:styleId="Heading8Char">
    <w:name w:val="Heading 8 Char"/>
    <w:basedOn w:val="DefaultParagraphFont"/>
    <w:link w:val="Heading8"/>
    <w:uiPriority w:val="9"/>
    <w:semiHidden/>
    <w:rsid w:val="00DA2247"/>
    <w:rPr>
      <w:rFonts w:asciiTheme="majorHAnsi" w:eastAsiaTheme="majorEastAsia" w:hAnsiTheme="majorHAnsi" w:cstheme="majorBidi"/>
      <w:b/>
      <w:bCs/>
      <w:color w:val="7F7F7F" w:themeColor="text1" w:themeTint="80"/>
      <w:sz w:val="20"/>
      <w:szCs w:val="20"/>
      <w:lang w:bidi="en-US"/>
    </w:rPr>
  </w:style>
  <w:style w:type="character" w:customStyle="1" w:styleId="Heading9Char">
    <w:name w:val="Heading 9 Char"/>
    <w:basedOn w:val="DefaultParagraphFont"/>
    <w:link w:val="Heading9"/>
    <w:uiPriority w:val="9"/>
    <w:semiHidden/>
    <w:rsid w:val="00DA2247"/>
    <w:rPr>
      <w:rFonts w:asciiTheme="majorHAnsi" w:eastAsiaTheme="majorEastAsia" w:hAnsiTheme="majorHAnsi" w:cstheme="majorBidi"/>
      <w:b/>
      <w:bCs/>
      <w:i/>
      <w:iCs/>
      <w:color w:val="7F7F7F" w:themeColor="text1" w:themeTint="80"/>
      <w:sz w:val="18"/>
      <w:szCs w:val="18"/>
      <w:lang w:bidi="en-US"/>
    </w:rPr>
  </w:style>
  <w:style w:type="paragraph" w:styleId="ListParagraph">
    <w:name w:val="List Paragraph"/>
    <w:basedOn w:val="Normal"/>
    <w:uiPriority w:val="34"/>
    <w:qFormat/>
    <w:rsid w:val="00DA2247"/>
    <w:pPr>
      <w:ind w:left="720"/>
      <w:contextualSpacing/>
    </w:pPr>
  </w:style>
  <w:style w:type="paragraph" w:styleId="NoSpacing">
    <w:name w:val="No Spacing"/>
    <w:basedOn w:val="Normal"/>
    <w:link w:val="NoSpacingChar"/>
    <w:uiPriority w:val="1"/>
    <w:qFormat/>
    <w:rsid w:val="00DA2247"/>
    <w:pPr>
      <w:spacing w:after="0" w:line="240" w:lineRule="auto"/>
    </w:pPr>
  </w:style>
  <w:style w:type="paragraph" w:styleId="BalloonText">
    <w:name w:val="Balloon Text"/>
    <w:basedOn w:val="Normal"/>
    <w:link w:val="BalloonTextChar"/>
    <w:uiPriority w:val="99"/>
    <w:semiHidden/>
    <w:unhideWhenUsed/>
    <w:rsid w:val="00DA2247"/>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DA2247"/>
    <w:rPr>
      <w:rFonts w:ascii="Tahoma" w:eastAsiaTheme="majorEastAsia" w:hAnsi="Tahoma" w:cs="Angsana New"/>
      <w:sz w:val="16"/>
      <w:szCs w:val="20"/>
      <w:lang w:bidi="en-US"/>
    </w:rPr>
  </w:style>
  <w:style w:type="table" w:styleId="TableGrid">
    <w:name w:val="Table Grid"/>
    <w:basedOn w:val="TableNormal"/>
    <w:uiPriority w:val="59"/>
    <w:rsid w:val="00DA2247"/>
    <w:pPr>
      <w:spacing w:after="0" w:line="240" w:lineRule="auto"/>
    </w:pPr>
    <w:rPr>
      <w:rFonts w:asciiTheme="majorHAnsi" w:eastAsiaTheme="majorEastAsia" w:hAnsiTheme="majorHAnsi" w:cstheme="majorBidi"/>
      <w:szCs w:val="22"/>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DA2247"/>
    <w:pPr>
      <w:spacing w:after="0" w:line="240" w:lineRule="auto"/>
    </w:pPr>
    <w:rPr>
      <w:rFonts w:asciiTheme="majorHAnsi" w:eastAsiaTheme="majorEastAsia" w:hAnsiTheme="majorHAnsi" w:cstheme="majorBidi"/>
      <w:color w:val="000000" w:themeColor="text1" w:themeShade="BF"/>
      <w:szCs w:val="22"/>
      <w:lang w:bidi="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DA2247"/>
    <w:rPr>
      <w:color w:val="0000FF" w:themeColor="hyperlink"/>
      <w:u w:val="single"/>
    </w:rPr>
  </w:style>
  <w:style w:type="character" w:customStyle="1" w:styleId="apple-converted-space">
    <w:name w:val="apple-converted-space"/>
    <w:basedOn w:val="DefaultParagraphFont"/>
    <w:rsid w:val="00DA2247"/>
  </w:style>
  <w:style w:type="paragraph" w:customStyle="1" w:styleId="Default">
    <w:name w:val="Default"/>
    <w:rsid w:val="00DA2247"/>
    <w:pPr>
      <w:autoSpaceDE w:val="0"/>
      <w:autoSpaceDN w:val="0"/>
      <w:adjustRightInd w:val="0"/>
      <w:spacing w:after="0" w:line="240" w:lineRule="auto"/>
    </w:pPr>
    <w:rPr>
      <w:rFonts w:ascii="Code" w:eastAsiaTheme="majorEastAsia" w:hAnsi="Code" w:cs="Code"/>
      <w:color w:val="000000"/>
      <w:sz w:val="24"/>
      <w:szCs w:val="24"/>
      <w:lang w:bidi="en-US"/>
    </w:rPr>
  </w:style>
  <w:style w:type="paragraph" w:styleId="FootnoteText">
    <w:name w:val="footnote text"/>
    <w:basedOn w:val="Normal"/>
    <w:link w:val="FootnoteTextChar"/>
    <w:uiPriority w:val="99"/>
    <w:semiHidden/>
    <w:unhideWhenUsed/>
    <w:rsid w:val="00DA2247"/>
    <w:pPr>
      <w:spacing w:after="0" w:line="240" w:lineRule="auto"/>
    </w:pPr>
    <w:rPr>
      <w:sz w:val="20"/>
      <w:szCs w:val="20"/>
      <w:lang w:val="nl-NL" w:bidi="ar-SA"/>
    </w:rPr>
  </w:style>
  <w:style w:type="character" w:customStyle="1" w:styleId="FootnoteTextChar">
    <w:name w:val="Footnote Text Char"/>
    <w:basedOn w:val="DefaultParagraphFont"/>
    <w:link w:val="FootnoteText"/>
    <w:uiPriority w:val="99"/>
    <w:semiHidden/>
    <w:rsid w:val="00DA2247"/>
    <w:rPr>
      <w:rFonts w:asciiTheme="majorHAnsi" w:eastAsiaTheme="majorEastAsia" w:hAnsiTheme="majorHAnsi" w:cstheme="majorBidi"/>
      <w:sz w:val="20"/>
      <w:szCs w:val="20"/>
      <w:lang w:val="nl-NL" w:bidi="ar-SA"/>
    </w:rPr>
  </w:style>
  <w:style w:type="character" w:styleId="FootnoteReference">
    <w:name w:val="footnote reference"/>
    <w:basedOn w:val="DefaultParagraphFont"/>
    <w:uiPriority w:val="99"/>
    <w:semiHidden/>
    <w:unhideWhenUsed/>
    <w:rsid w:val="00DA2247"/>
    <w:rPr>
      <w:vertAlign w:val="superscript"/>
    </w:rPr>
  </w:style>
  <w:style w:type="paragraph" w:styleId="Caption">
    <w:name w:val="caption"/>
    <w:basedOn w:val="Normal"/>
    <w:next w:val="Normal"/>
    <w:uiPriority w:val="35"/>
    <w:unhideWhenUsed/>
    <w:rsid w:val="00DA2247"/>
    <w:rPr>
      <w:b/>
      <w:bCs/>
      <w:color w:val="365F91" w:themeColor="accent1" w:themeShade="BF"/>
      <w:sz w:val="16"/>
      <w:szCs w:val="16"/>
    </w:rPr>
  </w:style>
  <w:style w:type="character" w:customStyle="1" w:styleId="EndnoteTextChar">
    <w:name w:val="Endnote Text Char"/>
    <w:basedOn w:val="DefaultParagraphFont"/>
    <w:link w:val="EndnoteText"/>
    <w:uiPriority w:val="99"/>
    <w:semiHidden/>
    <w:rsid w:val="00DA2247"/>
    <w:rPr>
      <w:sz w:val="20"/>
      <w:szCs w:val="25"/>
    </w:rPr>
  </w:style>
  <w:style w:type="paragraph" w:styleId="EndnoteText">
    <w:name w:val="endnote text"/>
    <w:basedOn w:val="Normal"/>
    <w:link w:val="EndnoteTextChar"/>
    <w:uiPriority w:val="99"/>
    <w:semiHidden/>
    <w:unhideWhenUsed/>
    <w:rsid w:val="00DA2247"/>
    <w:pPr>
      <w:spacing w:after="0" w:line="240" w:lineRule="auto"/>
    </w:pPr>
    <w:rPr>
      <w:rFonts w:asciiTheme="minorHAnsi" w:eastAsiaTheme="minorHAnsi" w:hAnsiTheme="minorHAnsi" w:cstheme="minorBidi"/>
      <w:sz w:val="20"/>
      <w:szCs w:val="25"/>
      <w:lang w:bidi="th-TH"/>
    </w:rPr>
  </w:style>
  <w:style w:type="character" w:customStyle="1" w:styleId="EndnoteTextChar1">
    <w:name w:val="Endnote Text Char1"/>
    <w:basedOn w:val="DefaultParagraphFont"/>
    <w:link w:val="EndnoteText"/>
    <w:uiPriority w:val="99"/>
    <w:semiHidden/>
    <w:rsid w:val="00DA2247"/>
    <w:rPr>
      <w:rFonts w:asciiTheme="majorHAnsi" w:eastAsiaTheme="majorEastAsia" w:hAnsiTheme="majorHAnsi" w:cstheme="majorBidi"/>
      <w:sz w:val="20"/>
      <w:szCs w:val="20"/>
      <w:lang w:bidi="en-US"/>
    </w:rPr>
  </w:style>
  <w:style w:type="paragraph" w:customStyle="1" w:styleId="H5">
    <w:name w:val="H5"/>
    <w:basedOn w:val="Default"/>
    <w:next w:val="Default"/>
    <w:uiPriority w:val="99"/>
    <w:rsid w:val="00DA2247"/>
    <w:rPr>
      <w:rFonts w:ascii="PANKAK+TimesNewRoman" w:hAnsi="PANKAK+TimesNewRoman" w:cstheme="minorBidi"/>
      <w:color w:val="auto"/>
    </w:rPr>
  </w:style>
  <w:style w:type="character" w:styleId="CommentReference">
    <w:name w:val="annotation reference"/>
    <w:basedOn w:val="DefaultParagraphFont"/>
    <w:uiPriority w:val="99"/>
    <w:semiHidden/>
    <w:unhideWhenUsed/>
    <w:rsid w:val="00DA2247"/>
    <w:rPr>
      <w:sz w:val="16"/>
      <w:szCs w:val="16"/>
    </w:rPr>
  </w:style>
  <w:style w:type="paragraph" w:styleId="CommentText">
    <w:name w:val="annotation text"/>
    <w:basedOn w:val="Normal"/>
    <w:link w:val="CommentTextChar"/>
    <w:uiPriority w:val="99"/>
    <w:unhideWhenUsed/>
    <w:rsid w:val="00DA2247"/>
    <w:pPr>
      <w:spacing w:line="240" w:lineRule="auto"/>
    </w:pPr>
    <w:rPr>
      <w:sz w:val="20"/>
      <w:szCs w:val="25"/>
    </w:rPr>
  </w:style>
  <w:style w:type="character" w:customStyle="1" w:styleId="CommentTextChar">
    <w:name w:val="Comment Text Char"/>
    <w:basedOn w:val="DefaultParagraphFont"/>
    <w:link w:val="CommentText"/>
    <w:uiPriority w:val="99"/>
    <w:rsid w:val="00DA2247"/>
    <w:rPr>
      <w:rFonts w:asciiTheme="majorHAnsi" w:eastAsiaTheme="majorEastAsia" w:hAnsiTheme="majorHAnsi" w:cstheme="majorBidi"/>
      <w:sz w:val="20"/>
      <w:szCs w:val="25"/>
      <w:lang w:bidi="en-US"/>
    </w:rPr>
  </w:style>
  <w:style w:type="character" w:customStyle="1" w:styleId="CommentSubjectChar">
    <w:name w:val="Comment Subject Char"/>
    <w:basedOn w:val="CommentTextChar"/>
    <w:link w:val="CommentSubject"/>
    <w:uiPriority w:val="99"/>
    <w:semiHidden/>
    <w:rsid w:val="00DA2247"/>
    <w:rPr>
      <w:b/>
      <w:bCs/>
    </w:rPr>
  </w:style>
  <w:style w:type="paragraph" w:styleId="CommentSubject">
    <w:name w:val="annotation subject"/>
    <w:basedOn w:val="CommentText"/>
    <w:next w:val="CommentText"/>
    <w:link w:val="CommentSubjectChar"/>
    <w:uiPriority w:val="99"/>
    <w:semiHidden/>
    <w:unhideWhenUsed/>
    <w:rsid w:val="00DA2247"/>
    <w:rPr>
      <w:b/>
      <w:bCs/>
    </w:rPr>
  </w:style>
  <w:style w:type="character" w:customStyle="1" w:styleId="CommentSubjectChar1">
    <w:name w:val="Comment Subject Char1"/>
    <w:basedOn w:val="CommentTextChar"/>
    <w:link w:val="CommentSubject"/>
    <w:uiPriority w:val="99"/>
    <w:semiHidden/>
    <w:rsid w:val="00DA2247"/>
    <w:rPr>
      <w:b/>
      <w:bCs/>
    </w:rPr>
  </w:style>
  <w:style w:type="character" w:styleId="SubtleEmphasis">
    <w:name w:val="Subtle Emphasis"/>
    <w:uiPriority w:val="19"/>
    <w:qFormat/>
    <w:rsid w:val="00DA2247"/>
    <w:rPr>
      <w:i/>
      <w:iCs/>
    </w:rPr>
  </w:style>
  <w:style w:type="paragraph" w:styleId="Header">
    <w:name w:val="header"/>
    <w:basedOn w:val="Normal"/>
    <w:link w:val="HeaderChar"/>
    <w:rsid w:val="00DA2247"/>
    <w:pPr>
      <w:pBdr>
        <w:bottom w:val="single" w:sz="8" w:space="0" w:color="auto"/>
      </w:pBdr>
      <w:tabs>
        <w:tab w:val="center" w:pos="4536"/>
        <w:tab w:val="right" w:pos="8789"/>
      </w:tabs>
      <w:autoSpaceDE w:val="0"/>
      <w:autoSpaceDN w:val="0"/>
      <w:spacing w:after="120" w:line="360" w:lineRule="auto"/>
      <w:jc w:val="both"/>
    </w:pPr>
    <w:rPr>
      <w:rFonts w:ascii="Times New Roman" w:eastAsia="Times New Roman" w:hAnsi="Times New Roman" w:cs="Times New Roman"/>
      <w:b/>
      <w:bCs/>
      <w:sz w:val="20"/>
      <w:szCs w:val="20"/>
      <w:lang w:val="de-DE" w:eastAsia="de-DE" w:bidi="ar-SA"/>
    </w:rPr>
  </w:style>
  <w:style w:type="character" w:customStyle="1" w:styleId="HeaderChar">
    <w:name w:val="Header Char"/>
    <w:basedOn w:val="DefaultParagraphFont"/>
    <w:link w:val="Header"/>
    <w:rsid w:val="00DA2247"/>
    <w:rPr>
      <w:rFonts w:ascii="Times New Roman" w:eastAsia="Times New Roman" w:hAnsi="Times New Roman" w:cs="Times New Roman"/>
      <w:b/>
      <w:bCs/>
      <w:sz w:val="20"/>
      <w:szCs w:val="20"/>
      <w:lang w:val="de-DE" w:eastAsia="de-DE" w:bidi="ar-SA"/>
    </w:rPr>
  </w:style>
  <w:style w:type="character" w:styleId="PageNumber">
    <w:name w:val="page number"/>
    <w:basedOn w:val="DefaultParagraphFont"/>
    <w:rsid w:val="00DA2247"/>
  </w:style>
  <w:style w:type="paragraph" w:styleId="TOC1">
    <w:name w:val="toc 1"/>
    <w:basedOn w:val="Normal"/>
    <w:next w:val="Normal"/>
    <w:autoRedefine/>
    <w:semiHidden/>
    <w:rsid w:val="00DA2247"/>
    <w:pPr>
      <w:autoSpaceDE w:val="0"/>
      <w:autoSpaceDN w:val="0"/>
      <w:spacing w:before="120" w:after="0" w:line="360" w:lineRule="auto"/>
    </w:pPr>
    <w:rPr>
      <w:rFonts w:ascii="Times New Roman" w:eastAsia="Times New Roman" w:hAnsi="Times New Roman" w:cs="Times New Roman"/>
      <w:b/>
      <w:i/>
      <w:sz w:val="24"/>
      <w:szCs w:val="24"/>
      <w:lang w:val="de-DE" w:eastAsia="de-DE" w:bidi="ar-SA"/>
    </w:rPr>
  </w:style>
  <w:style w:type="character" w:customStyle="1" w:styleId="FooterChar">
    <w:name w:val="Footer Char"/>
    <w:basedOn w:val="DefaultParagraphFont"/>
    <w:link w:val="Footer"/>
    <w:uiPriority w:val="99"/>
    <w:rsid w:val="00DA2247"/>
    <w:rPr>
      <w:rFonts w:asciiTheme="majorHAnsi" w:eastAsiaTheme="majorEastAsia" w:hAnsiTheme="majorHAnsi" w:cstheme="majorBidi"/>
      <w:szCs w:val="22"/>
      <w:lang w:bidi="en-US"/>
    </w:rPr>
  </w:style>
  <w:style w:type="paragraph" w:styleId="Footer">
    <w:name w:val="footer"/>
    <w:basedOn w:val="Normal"/>
    <w:link w:val="FooterChar"/>
    <w:uiPriority w:val="99"/>
    <w:unhideWhenUsed/>
    <w:rsid w:val="00DA2247"/>
    <w:pPr>
      <w:tabs>
        <w:tab w:val="center" w:pos="4513"/>
        <w:tab w:val="right" w:pos="9026"/>
      </w:tabs>
      <w:spacing w:after="0" w:line="240" w:lineRule="auto"/>
    </w:pPr>
  </w:style>
  <w:style w:type="character" w:customStyle="1" w:styleId="FooterChar1">
    <w:name w:val="Footer Char1"/>
    <w:basedOn w:val="DefaultParagraphFont"/>
    <w:link w:val="Footer"/>
    <w:uiPriority w:val="99"/>
    <w:semiHidden/>
    <w:rsid w:val="00DA2247"/>
    <w:rPr>
      <w:rFonts w:asciiTheme="majorHAnsi" w:eastAsiaTheme="majorEastAsia" w:hAnsiTheme="majorHAnsi" w:cstheme="majorBidi"/>
      <w:szCs w:val="22"/>
      <w:lang w:bidi="en-US"/>
    </w:rPr>
  </w:style>
  <w:style w:type="table" w:styleId="LightList-Accent2">
    <w:name w:val="Light List Accent 2"/>
    <w:basedOn w:val="TableNormal"/>
    <w:uiPriority w:val="61"/>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2-Accent2">
    <w:name w:val="Medium Shading 2 Accent 2"/>
    <w:basedOn w:val="TableNormal"/>
    <w:uiPriority w:val="64"/>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5">
    <w:name w:val="Medium Grid 3 Accent 5"/>
    <w:basedOn w:val="TableNormal"/>
    <w:uiPriority w:val="69"/>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PlaceholderText">
    <w:name w:val="Placeholder Text"/>
    <w:basedOn w:val="DefaultParagraphFont"/>
    <w:uiPriority w:val="99"/>
    <w:semiHidden/>
    <w:rsid w:val="00DA2247"/>
    <w:rPr>
      <w:color w:val="808080"/>
    </w:rPr>
  </w:style>
  <w:style w:type="table" w:customStyle="1" w:styleId="MediumShading1-Accent11">
    <w:name w:val="Medium Shading 1 - Accent 11"/>
    <w:basedOn w:val="TableNormal"/>
    <w:uiPriority w:val="63"/>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DA2247"/>
    <w:pPr>
      <w:spacing w:after="0" w:line="240" w:lineRule="auto"/>
    </w:pPr>
    <w:rPr>
      <w:rFonts w:asciiTheme="majorHAnsi" w:eastAsiaTheme="majorEastAsia" w:hAnsiTheme="majorHAnsi" w:cstheme="majorBidi"/>
      <w:szCs w:val="22"/>
      <w:lang w:bidi="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itle">
    <w:name w:val="Title"/>
    <w:basedOn w:val="Normal"/>
    <w:next w:val="Normal"/>
    <w:link w:val="TitleChar"/>
    <w:uiPriority w:val="10"/>
    <w:qFormat/>
    <w:rsid w:val="00DA224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DA2247"/>
    <w:rPr>
      <w:rFonts w:asciiTheme="majorHAnsi" w:eastAsiaTheme="majorEastAsia" w:hAnsiTheme="majorHAnsi" w:cstheme="majorBidi"/>
      <w:smallCaps/>
      <w:sz w:val="52"/>
      <w:szCs w:val="52"/>
      <w:lang w:bidi="en-US"/>
    </w:rPr>
  </w:style>
  <w:style w:type="paragraph" w:styleId="Subtitle">
    <w:name w:val="Subtitle"/>
    <w:basedOn w:val="Normal"/>
    <w:next w:val="Normal"/>
    <w:link w:val="SubtitleChar"/>
    <w:uiPriority w:val="11"/>
    <w:qFormat/>
    <w:rsid w:val="00DA2247"/>
    <w:rPr>
      <w:i/>
      <w:iCs/>
      <w:smallCaps/>
      <w:spacing w:val="10"/>
      <w:sz w:val="28"/>
      <w:szCs w:val="28"/>
    </w:rPr>
  </w:style>
  <w:style w:type="character" w:customStyle="1" w:styleId="SubtitleChar">
    <w:name w:val="Subtitle Char"/>
    <w:basedOn w:val="DefaultParagraphFont"/>
    <w:link w:val="Subtitle"/>
    <w:uiPriority w:val="11"/>
    <w:rsid w:val="00DA2247"/>
    <w:rPr>
      <w:rFonts w:asciiTheme="majorHAnsi" w:eastAsiaTheme="majorEastAsia" w:hAnsiTheme="majorHAnsi" w:cstheme="majorBidi"/>
      <w:i/>
      <w:iCs/>
      <w:smallCaps/>
      <w:spacing w:val="10"/>
      <w:sz w:val="28"/>
      <w:lang w:bidi="en-US"/>
    </w:rPr>
  </w:style>
  <w:style w:type="character" w:styleId="Strong">
    <w:name w:val="Strong"/>
    <w:uiPriority w:val="22"/>
    <w:qFormat/>
    <w:rsid w:val="00DA2247"/>
    <w:rPr>
      <w:b/>
      <w:bCs/>
    </w:rPr>
  </w:style>
  <w:style w:type="character" w:styleId="Emphasis">
    <w:name w:val="Emphasis"/>
    <w:uiPriority w:val="20"/>
    <w:qFormat/>
    <w:rsid w:val="00DA2247"/>
    <w:rPr>
      <w:b/>
      <w:bCs/>
      <w:i/>
      <w:iCs/>
      <w:spacing w:val="10"/>
    </w:rPr>
  </w:style>
  <w:style w:type="character" w:customStyle="1" w:styleId="NoSpacingChar">
    <w:name w:val="No Spacing Char"/>
    <w:basedOn w:val="DefaultParagraphFont"/>
    <w:link w:val="NoSpacing"/>
    <w:uiPriority w:val="1"/>
    <w:rsid w:val="00DA2247"/>
    <w:rPr>
      <w:rFonts w:asciiTheme="majorHAnsi" w:eastAsiaTheme="majorEastAsia" w:hAnsiTheme="majorHAnsi" w:cstheme="majorBidi"/>
      <w:szCs w:val="22"/>
      <w:lang w:bidi="en-US"/>
    </w:rPr>
  </w:style>
  <w:style w:type="paragraph" w:styleId="Quote">
    <w:name w:val="Quote"/>
    <w:basedOn w:val="Normal"/>
    <w:next w:val="Normal"/>
    <w:link w:val="QuoteChar"/>
    <w:uiPriority w:val="29"/>
    <w:qFormat/>
    <w:rsid w:val="00DA2247"/>
    <w:rPr>
      <w:i/>
      <w:iCs/>
    </w:rPr>
  </w:style>
  <w:style w:type="character" w:customStyle="1" w:styleId="QuoteChar">
    <w:name w:val="Quote Char"/>
    <w:basedOn w:val="DefaultParagraphFont"/>
    <w:link w:val="Quote"/>
    <w:uiPriority w:val="29"/>
    <w:rsid w:val="00DA2247"/>
    <w:rPr>
      <w:rFonts w:asciiTheme="majorHAnsi" w:eastAsiaTheme="majorEastAsia" w:hAnsiTheme="majorHAnsi" w:cstheme="majorBidi"/>
      <w:i/>
      <w:iCs/>
      <w:szCs w:val="22"/>
      <w:lang w:bidi="en-US"/>
    </w:rPr>
  </w:style>
  <w:style w:type="paragraph" w:styleId="IntenseQuote">
    <w:name w:val="Intense Quote"/>
    <w:basedOn w:val="Normal"/>
    <w:next w:val="Normal"/>
    <w:link w:val="IntenseQuoteChar"/>
    <w:uiPriority w:val="30"/>
    <w:qFormat/>
    <w:rsid w:val="00DA224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DA2247"/>
    <w:rPr>
      <w:rFonts w:asciiTheme="majorHAnsi" w:eastAsiaTheme="majorEastAsia" w:hAnsiTheme="majorHAnsi" w:cstheme="majorBidi"/>
      <w:i/>
      <w:iCs/>
      <w:szCs w:val="22"/>
      <w:lang w:bidi="en-US"/>
    </w:rPr>
  </w:style>
  <w:style w:type="character" w:styleId="IntenseEmphasis">
    <w:name w:val="Intense Emphasis"/>
    <w:uiPriority w:val="21"/>
    <w:qFormat/>
    <w:rsid w:val="00DA2247"/>
    <w:rPr>
      <w:b/>
      <w:bCs/>
      <w:i/>
      <w:iCs/>
    </w:rPr>
  </w:style>
  <w:style w:type="character" w:styleId="SubtleReference">
    <w:name w:val="Subtle Reference"/>
    <w:basedOn w:val="DefaultParagraphFont"/>
    <w:uiPriority w:val="31"/>
    <w:qFormat/>
    <w:rsid w:val="00DA2247"/>
    <w:rPr>
      <w:smallCaps/>
    </w:rPr>
  </w:style>
  <w:style w:type="character" w:styleId="IntenseReference">
    <w:name w:val="Intense Reference"/>
    <w:uiPriority w:val="32"/>
    <w:qFormat/>
    <w:rsid w:val="00DA2247"/>
    <w:rPr>
      <w:b/>
      <w:bCs/>
      <w:smallCaps/>
    </w:rPr>
  </w:style>
  <w:style w:type="character" w:styleId="BookTitle">
    <w:name w:val="Book Title"/>
    <w:basedOn w:val="DefaultParagraphFont"/>
    <w:uiPriority w:val="33"/>
    <w:qFormat/>
    <w:rsid w:val="00DA2247"/>
    <w:rPr>
      <w:i/>
      <w:iCs/>
      <w:smallCaps/>
      <w:spacing w:val="5"/>
    </w:rPr>
  </w:style>
  <w:style w:type="paragraph" w:styleId="TOCHeading">
    <w:name w:val="TOC Heading"/>
    <w:basedOn w:val="Heading1"/>
    <w:next w:val="Normal"/>
    <w:uiPriority w:val="39"/>
    <w:semiHidden/>
    <w:unhideWhenUsed/>
    <w:qFormat/>
    <w:rsid w:val="00DA2247"/>
    <w:pPr>
      <w:outlineLvl w:val="9"/>
    </w:pPr>
  </w:style>
  <w:style w:type="table" w:styleId="MediumList2-Accent1">
    <w:name w:val="Medium List 2 Accent 1"/>
    <w:basedOn w:val="TableNormal"/>
    <w:uiPriority w:val="66"/>
    <w:rsid w:val="00DA2247"/>
    <w:pPr>
      <w:spacing w:after="0" w:line="240" w:lineRule="auto"/>
    </w:pPr>
    <w:rPr>
      <w:rFonts w:asciiTheme="majorHAnsi" w:eastAsiaTheme="majorEastAsia" w:hAnsiTheme="majorHAnsi" w:cstheme="majorBidi"/>
      <w:color w:val="000000" w:themeColor="text1"/>
      <w:szCs w:val="22"/>
      <w:lang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11">
    <w:name w:val="Light Shading - Accent 11"/>
    <w:basedOn w:val="TableNormal"/>
    <w:uiPriority w:val="60"/>
    <w:rsid w:val="00DA2247"/>
    <w:pPr>
      <w:spacing w:after="0" w:line="240" w:lineRule="auto"/>
    </w:pPr>
    <w:rPr>
      <w:rFonts w:asciiTheme="majorHAnsi" w:eastAsiaTheme="majorEastAsia" w:hAnsiTheme="majorHAnsi" w:cstheme="majorBidi"/>
      <w:color w:val="365F91" w:themeColor="accent1" w:themeShade="BF"/>
      <w:szCs w:val="22"/>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contributornametrigger">
    <w:name w:val="contributornametrigger"/>
    <w:basedOn w:val="DefaultParagraphFont"/>
    <w:rsid w:val="00DA224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diagramLayout" Target="diagrams/layout1.xml"/><Relationship Id="rId26" Type="http://schemas.openxmlformats.org/officeDocument/2006/relationships/diagramQuickStyle" Target="diagrams/quickStyle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Data" Target="diagrams/data1.xml"/><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hyperlink" Target="http://search.proquest.com/indexinglinkhandler/sng/author/Palan,+Kay+M/$N?accountid=13598" TargetMode="External"/><Relationship Id="rId20" Type="http://schemas.openxmlformats.org/officeDocument/2006/relationships/diagramColors" Target="diagrams/colors1.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jpeg"/><Relationship Id="rId28"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diagramColors" Target="diagrams/colors2.xm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mitportugal.org/latest/innovation-and-entrepreneurship-initiative-grand-finale-winner-announced.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pieChart>
        <c:varyColors val="1"/>
        <c:ser>
          <c:idx val="0"/>
          <c:order val="0"/>
          <c:tx>
            <c:strRef>
              <c:f>Sheet1!$B$1</c:f>
              <c:strCache>
                <c:ptCount val="1"/>
                <c:pt idx="0">
                  <c:v>Gender</c:v>
                </c:pt>
              </c:strCache>
            </c:strRef>
          </c:tx>
          <c:dLbls>
            <c:txPr>
              <a:bodyPr/>
              <a:lstStyle/>
              <a:p>
                <a:pPr>
                  <a:defRPr b="1"/>
                </a:pPr>
                <a:endParaRPr lang="en-US"/>
              </a:p>
            </c:txPr>
            <c:showPercent val="1"/>
            <c:showLeaderLines val="1"/>
          </c:dLbls>
          <c:cat>
            <c:strRef>
              <c:f>Sheet1!$A$2:$A$4</c:f>
              <c:strCache>
                <c:ptCount val="3"/>
                <c:pt idx="0">
                  <c:v>Male (N=1,424 )</c:v>
                </c:pt>
                <c:pt idx="1">
                  <c:v>Female (N=1,229)</c:v>
                </c:pt>
                <c:pt idx="2">
                  <c:v>Unidentified (N=6,924)</c:v>
                </c:pt>
              </c:strCache>
            </c:strRef>
          </c:cat>
          <c:val>
            <c:numRef>
              <c:f>Sheet1!$B$2:$B$4</c:f>
              <c:numCache>
                <c:formatCode>0%</c:formatCode>
                <c:ptCount val="3"/>
                <c:pt idx="0">
                  <c:v>0.14868956875848388</c:v>
                </c:pt>
                <c:pt idx="1">
                  <c:v>0.12832828651978698</c:v>
                </c:pt>
                <c:pt idx="2">
                  <c:v>0.72298214472172528</c:v>
                </c:pt>
              </c:numCache>
            </c:numRef>
          </c:val>
        </c:ser>
        <c:dLbls>
          <c:showPercent val="1"/>
        </c:dLbls>
        <c:firstSliceAng val="0"/>
      </c:pieChart>
    </c:plotArea>
    <c:legend>
      <c:legendPos val="r"/>
    </c:legend>
    <c:plotVisOnly val="1"/>
  </c:chart>
  <c:spPr>
    <a:ln>
      <a:solidFill>
        <a:schemeClr val="accent1">
          <a:lumMod val="60000"/>
          <a:lumOff val="40000"/>
        </a:schemeClr>
      </a:solidFill>
    </a:ln>
  </c:spPr>
  <c:txPr>
    <a:bodyPr/>
    <a:lstStyle/>
    <a:p>
      <a:pPr>
        <a:defRPr>
          <a:latin typeface="+mj-lt"/>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pieChart>
        <c:varyColors val="1"/>
        <c:ser>
          <c:idx val="0"/>
          <c:order val="0"/>
          <c:tx>
            <c:strRef>
              <c:f>Sheet1!$B$1</c:f>
              <c:strCache>
                <c:ptCount val="1"/>
                <c:pt idx="0">
                  <c:v>Sales</c:v>
                </c:pt>
              </c:strCache>
            </c:strRef>
          </c:tx>
          <c:dLbls>
            <c:txPr>
              <a:bodyPr/>
              <a:lstStyle/>
              <a:p>
                <a:pPr>
                  <a:defRPr b="1"/>
                </a:pPr>
                <a:endParaRPr lang="en-US"/>
              </a:p>
            </c:txPr>
            <c:showPercent val="1"/>
            <c:showLeaderLines val="1"/>
          </c:dLbls>
          <c:cat>
            <c:strRef>
              <c:f>Sheet1!$A$2:$A$3</c:f>
              <c:strCache>
                <c:ptCount val="2"/>
                <c:pt idx="0">
                  <c:v>Consumers visited on sale period (N=7,120)</c:v>
                </c:pt>
                <c:pt idx="1">
                  <c:v>Consumers visited off sale period (N=2,457)</c:v>
                </c:pt>
              </c:strCache>
            </c:strRef>
          </c:cat>
          <c:val>
            <c:numRef>
              <c:f>Sheet1!$B$2:$B$3</c:f>
              <c:numCache>
                <c:formatCode>0%</c:formatCode>
                <c:ptCount val="2"/>
                <c:pt idx="0">
                  <c:v>0.74344784379241935</c:v>
                </c:pt>
                <c:pt idx="1">
                  <c:v>0.25655215620758065</c:v>
                </c:pt>
              </c:numCache>
            </c:numRef>
          </c:val>
        </c:ser>
        <c:dLbls>
          <c:showPercent val="1"/>
        </c:dLbls>
        <c:firstSliceAng val="0"/>
      </c:pieChart>
    </c:plotArea>
    <c:legend>
      <c:legendPos val="r"/>
    </c:legend>
    <c:plotVisOnly val="1"/>
  </c:chart>
  <c:spPr>
    <a:ln>
      <a:solidFill>
        <a:schemeClr val="accent1">
          <a:lumMod val="60000"/>
          <a:lumOff val="40000"/>
        </a:schemeClr>
      </a:solidFill>
    </a:ln>
  </c:spPr>
  <c:txPr>
    <a:bodyPr/>
    <a:lstStyle/>
    <a:p>
      <a:pPr>
        <a:defRPr>
          <a:latin typeface="+mj-lt"/>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pieChart>
        <c:varyColors val="1"/>
        <c:ser>
          <c:idx val="0"/>
          <c:order val="0"/>
          <c:tx>
            <c:strRef>
              <c:f>Sheet1!$B$1</c:f>
              <c:strCache>
                <c:ptCount val="1"/>
                <c:pt idx="0">
                  <c:v>The presence of friends</c:v>
                </c:pt>
              </c:strCache>
            </c:strRef>
          </c:tx>
          <c:spPr>
            <a:ln>
              <a:solidFill>
                <a:schemeClr val="accent1">
                  <a:lumMod val="60000"/>
                  <a:lumOff val="40000"/>
                </a:schemeClr>
              </a:solidFill>
            </a:ln>
          </c:spPr>
          <c:dLbls>
            <c:dLbl>
              <c:idx val="0"/>
              <c:tx>
                <c:rich>
                  <a:bodyPr/>
                  <a:lstStyle/>
                  <a:p>
                    <a:r>
                      <a:rPr lang="en-US" b="1"/>
                      <a:t>6</a:t>
                    </a:r>
                    <a:r>
                      <a:rPr lang="en-US"/>
                      <a:t>7.5%</a:t>
                    </a:r>
                  </a:p>
                </c:rich>
              </c:tx>
              <c:showPercent val="1"/>
            </c:dLbl>
            <c:dLbl>
              <c:idx val="1"/>
              <c:tx>
                <c:rich>
                  <a:bodyPr/>
                  <a:lstStyle/>
                  <a:p>
                    <a:r>
                      <a:rPr lang="en-US" b="1"/>
                      <a:t>3</a:t>
                    </a:r>
                    <a:r>
                      <a:rPr lang="en-US"/>
                      <a:t>2.5%</a:t>
                    </a:r>
                  </a:p>
                </c:rich>
              </c:tx>
              <c:showPercent val="1"/>
            </c:dLbl>
            <c:txPr>
              <a:bodyPr/>
              <a:lstStyle/>
              <a:p>
                <a:pPr>
                  <a:defRPr b="1"/>
                </a:pPr>
                <a:endParaRPr lang="en-US"/>
              </a:p>
            </c:txPr>
            <c:showPercent val="1"/>
            <c:showLeaderLines val="1"/>
          </c:dLbls>
          <c:cat>
            <c:strRef>
              <c:f>Sheet1!$A$2:$A$3</c:f>
              <c:strCache>
                <c:ptCount val="2"/>
                <c:pt idx="0">
                  <c:v>Consumers shopping with friends (N=6,464)</c:v>
                </c:pt>
                <c:pt idx="1">
                  <c:v>Consumers shopping without friends (N=3,113)</c:v>
                </c:pt>
              </c:strCache>
            </c:strRef>
          </c:cat>
          <c:val>
            <c:numRef>
              <c:f>Sheet1!$B$2:$B$3</c:f>
              <c:numCache>
                <c:formatCode>0%</c:formatCode>
                <c:ptCount val="2"/>
                <c:pt idx="0">
                  <c:v>0.67495040200481105</c:v>
                </c:pt>
                <c:pt idx="1">
                  <c:v>0.32504959799519872</c:v>
                </c:pt>
              </c:numCache>
            </c:numRef>
          </c:val>
        </c:ser>
        <c:dLbls>
          <c:showPercent val="1"/>
        </c:dLbls>
        <c:firstSliceAng val="0"/>
      </c:pieChart>
    </c:plotArea>
    <c:legend>
      <c:legendPos val="r"/>
    </c:legend>
    <c:plotVisOnly val="1"/>
  </c:chart>
  <c:spPr>
    <a:ln>
      <a:solidFill>
        <a:schemeClr val="accent1">
          <a:lumMod val="60000"/>
          <a:lumOff val="40000"/>
        </a:schemeClr>
      </a:solidFill>
    </a:ln>
  </c:spPr>
  <c:txPr>
    <a:bodyPr/>
    <a:lstStyle/>
    <a:p>
      <a:pPr>
        <a:defRPr>
          <a:latin typeface="+mj-lt"/>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pieChart>
        <c:varyColors val="1"/>
        <c:ser>
          <c:idx val="0"/>
          <c:order val="0"/>
          <c:tx>
            <c:strRef>
              <c:f>Sheet1!$B$1</c:f>
              <c:strCache>
                <c:ptCount val="1"/>
                <c:pt idx="0">
                  <c:v>Gender</c:v>
                </c:pt>
              </c:strCache>
            </c:strRef>
          </c:tx>
          <c:dLbls>
            <c:txPr>
              <a:bodyPr/>
              <a:lstStyle/>
              <a:p>
                <a:pPr>
                  <a:defRPr b="1"/>
                </a:pPr>
                <a:endParaRPr lang="en-US"/>
              </a:p>
            </c:txPr>
            <c:showPercent val="1"/>
            <c:showLeaderLines val="1"/>
          </c:dLbls>
          <c:cat>
            <c:strRef>
              <c:f>Sheet1!$A$2:$A$3</c:f>
              <c:strCache>
                <c:ptCount val="2"/>
                <c:pt idx="0">
                  <c:v>Male (N=1,424)</c:v>
                </c:pt>
                <c:pt idx="1">
                  <c:v>Female (N=1,229)</c:v>
                </c:pt>
              </c:strCache>
            </c:strRef>
          </c:cat>
          <c:val>
            <c:numRef>
              <c:f>Sheet1!$B$2:$B$3</c:f>
              <c:numCache>
                <c:formatCode>0%</c:formatCode>
                <c:ptCount val="2"/>
                <c:pt idx="0">
                  <c:v>0.53675084809649465</c:v>
                </c:pt>
                <c:pt idx="1">
                  <c:v>0.46324915190350524</c:v>
                </c:pt>
              </c:numCache>
            </c:numRef>
          </c:val>
        </c:ser>
        <c:dLbls>
          <c:showPercent val="1"/>
        </c:dLbls>
        <c:firstSliceAng val="0"/>
      </c:pieChart>
    </c:plotArea>
    <c:legend>
      <c:legendPos val="r"/>
    </c:legend>
    <c:plotVisOnly val="1"/>
  </c:chart>
  <c:spPr>
    <a:ln>
      <a:solidFill>
        <a:schemeClr val="accent1">
          <a:lumMod val="60000"/>
          <a:lumOff val="40000"/>
        </a:schemeClr>
      </a:solidFill>
    </a:ln>
  </c:spPr>
  <c:txPr>
    <a:bodyPr/>
    <a:lstStyle/>
    <a:p>
      <a:pPr>
        <a:defRPr>
          <a:latin typeface="+mj-lt"/>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pieChart>
        <c:varyColors val="1"/>
        <c:ser>
          <c:idx val="0"/>
          <c:order val="0"/>
          <c:tx>
            <c:strRef>
              <c:f>Sheet1!$B$1</c:f>
              <c:strCache>
                <c:ptCount val="1"/>
                <c:pt idx="0">
                  <c:v>Consumers visited in the presence of in-store marketing</c:v>
                </c:pt>
              </c:strCache>
            </c:strRef>
          </c:tx>
          <c:dLbls>
            <c:txPr>
              <a:bodyPr/>
              <a:lstStyle/>
              <a:p>
                <a:pPr>
                  <a:defRPr b="1"/>
                </a:pPr>
                <a:endParaRPr lang="en-US"/>
              </a:p>
            </c:txPr>
            <c:showPercent val="1"/>
            <c:showLeaderLines val="1"/>
          </c:dLbls>
          <c:cat>
            <c:strRef>
              <c:f>Sheet1!$A$2:$A$3</c:f>
              <c:strCache>
                <c:ptCount val="2"/>
                <c:pt idx="0">
                  <c:v>In-store marketing (N=2,222)</c:v>
                </c:pt>
                <c:pt idx="1">
                  <c:v>No in-store marketing (N=431)</c:v>
                </c:pt>
              </c:strCache>
            </c:strRef>
          </c:cat>
          <c:val>
            <c:numRef>
              <c:f>Sheet1!$B$2:$B$3</c:f>
              <c:numCache>
                <c:formatCode>0%</c:formatCode>
                <c:ptCount val="2"/>
                <c:pt idx="0">
                  <c:v>0.83754240482472653</c:v>
                </c:pt>
                <c:pt idx="1">
                  <c:v>0.16245759517527344</c:v>
                </c:pt>
              </c:numCache>
            </c:numRef>
          </c:val>
        </c:ser>
        <c:dLbls>
          <c:showPercent val="1"/>
        </c:dLbls>
        <c:firstSliceAng val="0"/>
      </c:pieChart>
    </c:plotArea>
    <c:legend>
      <c:legendPos val="r"/>
    </c:legend>
    <c:plotVisOnly val="1"/>
  </c:chart>
  <c:spPr>
    <a:ln>
      <a:solidFill>
        <a:schemeClr val="accent1">
          <a:lumMod val="60000"/>
          <a:lumOff val="40000"/>
        </a:schemeClr>
      </a:solidFill>
    </a:ln>
  </c:spPr>
  <c:txPr>
    <a:bodyPr/>
    <a:lstStyle/>
    <a:p>
      <a:pPr>
        <a:defRPr>
          <a:latin typeface="+mj-lt"/>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E5AB59-51A7-43B9-8623-9B9FB240F7CB}" type="doc">
      <dgm:prSet loTypeId="urn:microsoft.com/office/officeart/2005/8/layout/process3" loCatId="process" qsTypeId="urn:microsoft.com/office/officeart/2005/8/quickstyle/simple2" qsCatId="simple" csTypeId="urn:microsoft.com/office/officeart/2005/8/colors/colorful4" csCatId="colorful" phldr="1"/>
      <dgm:spPr/>
      <dgm:t>
        <a:bodyPr/>
        <a:lstStyle/>
        <a:p>
          <a:endParaRPr lang="th-TH"/>
        </a:p>
      </dgm:t>
    </dgm:pt>
    <dgm:pt modelId="{D3B6D359-0AF5-4E4D-8A55-2F2CF4E96922}">
      <dgm:prSet phldrT="[Text]"/>
      <dgm:spPr/>
      <dgm:t>
        <a:bodyPr/>
        <a:lstStyle/>
        <a:p>
          <a:r>
            <a:rPr lang="en-US">
              <a:latin typeface="+mj-lt"/>
            </a:rPr>
            <a:t>Stimuli</a:t>
          </a:r>
          <a:endParaRPr lang="th-TH">
            <a:latin typeface="+mj-lt"/>
          </a:endParaRPr>
        </a:p>
      </dgm:t>
    </dgm:pt>
    <dgm:pt modelId="{199128B9-E05B-4BC8-A6D8-616ABB633C0B}" type="parTrans" cxnId="{DBF8B1F2-7764-45F6-AA70-5D2FC0D15203}">
      <dgm:prSet/>
      <dgm:spPr/>
      <dgm:t>
        <a:bodyPr/>
        <a:lstStyle/>
        <a:p>
          <a:endParaRPr lang="th-TH">
            <a:latin typeface="+mj-lt"/>
          </a:endParaRPr>
        </a:p>
      </dgm:t>
    </dgm:pt>
    <dgm:pt modelId="{F456C727-714E-41E7-9573-2F7866FC381D}" type="sibTrans" cxnId="{DBF8B1F2-7764-45F6-AA70-5D2FC0D15203}">
      <dgm:prSet/>
      <dgm:spPr/>
      <dgm:t>
        <a:bodyPr/>
        <a:lstStyle/>
        <a:p>
          <a:endParaRPr lang="th-TH">
            <a:latin typeface="+mj-lt"/>
          </a:endParaRPr>
        </a:p>
      </dgm:t>
    </dgm:pt>
    <dgm:pt modelId="{8F51467B-5B76-4AC1-B170-FC949DF776A1}">
      <dgm:prSet phldrT="[Text]"/>
      <dgm:spPr/>
      <dgm:t>
        <a:bodyPr/>
        <a:lstStyle/>
        <a:p>
          <a:r>
            <a:rPr lang="en-US">
              <a:latin typeface="+mj-lt"/>
            </a:rPr>
            <a:t> </a:t>
          </a:r>
          <a:r>
            <a:rPr lang="en-US" b="1" u="sng">
              <a:latin typeface="+mj-lt"/>
            </a:rPr>
            <a:t>Marketing Stimuli</a:t>
          </a:r>
          <a:endParaRPr lang="th-TH" b="1" u="sng">
            <a:latin typeface="+mj-lt"/>
          </a:endParaRPr>
        </a:p>
      </dgm:t>
    </dgm:pt>
    <dgm:pt modelId="{3A31CCC0-9CEC-4C74-8E0D-0A120AD34224}" type="parTrans" cxnId="{F22B14CA-5637-4C3D-8B9A-951DD2A7B282}">
      <dgm:prSet/>
      <dgm:spPr/>
      <dgm:t>
        <a:bodyPr/>
        <a:lstStyle/>
        <a:p>
          <a:endParaRPr lang="th-TH">
            <a:latin typeface="+mj-lt"/>
          </a:endParaRPr>
        </a:p>
      </dgm:t>
    </dgm:pt>
    <dgm:pt modelId="{68AE2D09-3AAD-4190-873E-834B0A6E33BB}" type="sibTrans" cxnId="{F22B14CA-5637-4C3D-8B9A-951DD2A7B282}">
      <dgm:prSet/>
      <dgm:spPr/>
      <dgm:t>
        <a:bodyPr/>
        <a:lstStyle/>
        <a:p>
          <a:endParaRPr lang="th-TH">
            <a:latin typeface="+mj-lt"/>
          </a:endParaRPr>
        </a:p>
      </dgm:t>
    </dgm:pt>
    <dgm:pt modelId="{029E20C3-F8CB-4F7F-9B14-4200635903D6}">
      <dgm:prSet phldrT="[Text]"/>
      <dgm:spPr/>
      <dgm:t>
        <a:bodyPr/>
        <a:lstStyle/>
        <a:p>
          <a:r>
            <a:rPr lang="en-US">
              <a:latin typeface="+mj-lt"/>
            </a:rPr>
            <a:t>Buyer's  black box</a:t>
          </a:r>
          <a:endParaRPr lang="th-TH">
            <a:latin typeface="+mj-lt"/>
          </a:endParaRPr>
        </a:p>
      </dgm:t>
    </dgm:pt>
    <dgm:pt modelId="{9BAD35FC-2F9E-4391-AAFE-03E4F5926229}" type="parTrans" cxnId="{33B6EAFB-1B73-4176-B4A8-447D3807A880}">
      <dgm:prSet/>
      <dgm:spPr/>
      <dgm:t>
        <a:bodyPr/>
        <a:lstStyle/>
        <a:p>
          <a:endParaRPr lang="th-TH">
            <a:latin typeface="+mj-lt"/>
          </a:endParaRPr>
        </a:p>
      </dgm:t>
    </dgm:pt>
    <dgm:pt modelId="{EF99E326-0E26-43DD-8F9A-E78A49A81FE0}" type="sibTrans" cxnId="{33B6EAFB-1B73-4176-B4A8-447D3807A880}">
      <dgm:prSet/>
      <dgm:spPr/>
      <dgm:t>
        <a:bodyPr/>
        <a:lstStyle/>
        <a:p>
          <a:endParaRPr lang="th-TH">
            <a:latin typeface="+mj-lt"/>
          </a:endParaRPr>
        </a:p>
      </dgm:t>
    </dgm:pt>
    <dgm:pt modelId="{EEC5C6D4-4001-4AB2-AC93-43403C38848C}">
      <dgm:prSet phldrT="[Text]"/>
      <dgm:spPr/>
      <dgm:t>
        <a:bodyPr/>
        <a:lstStyle/>
        <a:p>
          <a:r>
            <a:rPr lang="en-US" b="1" u="sng">
              <a:latin typeface="+mj-lt"/>
            </a:rPr>
            <a:t>Buyer's Characteristics</a:t>
          </a:r>
          <a:endParaRPr lang="th-TH" b="1" u="sng">
            <a:latin typeface="+mj-lt"/>
          </a:endParaRPr>
        </a:p>
      </dgm:t>
    </dgm:pt>
    <dgm:pt modelId="{601DB46A-94B8-452E-BE18-2D75A9D2D9FD}" type="parTrans" cxnId="{AAB62173-59B1-44C9-8A5B-7F028AC57441}">
      <dgm:prSet/>
      <dgm:spPr/>
      <dgm:t>
        <a:bodyPr/>
        <a:lstStyle/>
        <a:p>
          <a:endParaRPr lang="th-TH">
            <a:latin typeface="+mj-lt"/>
          </a:endParaRPr>
        </a:p>
      </dgm:t>
    </dgm:pt>
    <dgm:pt modelId="{91C57AEC-EEC1-4CEC-9F11-6297DB6D71ED}" type="sibTrans" cxnId="{AAB62173-59B1-44C9-8A5B-7F028AC57441}">
      <dgm:prSet/>
      <dgm:spPr/>
      <dgm:t>
        <a:bodyPr/>
        <a:lstStyle/>
        <a:p>
          <a:endParaRPr lang="th-TH">
            <a:latin typeface="+mj-lt"/>
          </a:endParaRPr>
        </a:p>
      </dgm:t>
    </dgm:pt>
    <dgm:pt modelId="{E018762C-7529-405E-9E59-5EC8B90277E9}">
      <dgm:prSet phldrT="[Text]"/>
      <dgm:spPr/>
      <dgm:t>
        <a:bodyPr/>
        <a:lstStyle/>
        <a:p>
          <a:r>
            <a:rPr lang="en-US">
              <a:latin typeface="+mj-lt"/>
            </a:rPr>
            <a:t>Buyer responses</a:t>
          </a:r>
          <a:endParaRPr lang="th-TH">
            <a:latin typeface="+mj-lt"/>
          </a:endParaRPr>
        </a:p>
      </dgm:t>
    </dgm:pt>
    <dgm:pt modelId="{9E731FD2-75FD-4E59-9652-503F8051E2AE}" type="parTrans" cxnId="{9B60252A-C897-4EE7-BE6B-C66A90495DAC}">
      <dgm:prSet/>
      <dgm:spPr/>
      <dgm:t>
        <a:bodyPr/>
        <a:lstStyle/>
        <a:p>
          <a:endParaRPr lang="th-TH">
            <a:latin typeface="+mj-lt"/>
          </a:endParaRPr>
        </a:p>
      </dgm:t>
    </dgm:pt>
    <dgm:pt modelId="{3DEF4DA6-077E-477E-B095-B9EDA78BC0B4}" type="sibTrans" cxnId="{9B60252A-C897-4EE7-BE6B-C66A90495DAC}">
      <dgm:prSet/>
      <dgm:spPr/>
      <dgm:t>
        <a:bodyPr/>
        <a:lstStyle/>
        <a:p>
          <a:endParaRPr lang="th-TH">
            <a:latin typeface="+mj-lt"/>
          </a:endParaRPr>
        </a:p>
      </dgm:t>
    </dgm:pt>
    <dgm:pt modelId="{CD63278E-5DE8-4242-B479-51466CF36ED0}">
      <dgm:prSet phldrT="[Text]"/>
      <dgm:spPr/>
      <dgm:t>
        <a:bodyPr/>
        <a:lstStyle/>
        <a:p>
          <a:r>
            <a:rPr lang="en-US">
              <a:latin typeface="+mj-lt"/>
            </a:rPr>
            <a:t> </a:t>
          </a:r>
          <a:r>
            <a:rPr lang="en-US" b="1">
              <a:latin typeface="+mj-lt"/>
            </a:rPr>
            <a:t>Purchase behavior: buy or not</a:t>
          </a:r>
          <a:endParaRPr lang="th-TH" b="1">
            <a:latin typeface="+mj-lt"/>
          </a:endParaRPr>
        </a:p>
      </dgm:t>
    </dgm:pt>
    <dgm:pt modelId="{B2B68DA3-5ED7-4BE8-A98B-FDF730B3DFB0}" type="parTrans" cxnId="{59157962-5452-4C52-B409-052E022D1F19}">
      <dgm:prSet/>
      <dgm:spPr/>
      <dgm:t>
        <a:bodyPr/>
        <a:lstStyle/>
        <a:p>
          <a:endParaRPr lang="th-TH">
            <a:latin typeface="+mj-lt"/>
          </a:endParaRPr>
        </a:p>
      </dgm:t>
    </dgm:pt>
    <dgm:pt modelId="{4CB52824-2DC0-4E2C-8238-FBAFFB33C2EC}" type="sibTrans" cxnId="{59157962-5452-4C52-B409-052E022D1F19}">
      <dgm:prSet/>
      <dgm:spPr/>
      <dgm:t>
        <a:bodyPr/>
        <a:lstStyle/>
        <a:p>
          <a:endParaRPr lang="th-TH">
            <a:latin typeface="+mj-lt"/>
          </a:endParaRPr>
        </a:p>
      </dgm:t>
    </dgm:pt>
    <dgm:pt modelId="{4F180685-BF91-492B-97E5-C0F28BBBA764}">
      <dgm:prSet phldrT="[Text]"/>
      <dgm:spPr/>
      <dgm:t>
        <a:bodyPr/>
        <a:lstStyle/>
        <a:p>
          <a:r>
            <a:rPr lang="en-US">
              <a:latin typeface="+mj-lt"/>
            </a:rPr>
            <a:t> Product</a:t>
          </a:r>
          <a:endParaRPr lang="th-TH">
            <a:latin typeface="+mj-lt"/>
          </a:endParaRPr>
        </a:p>
      </dgm:t>
    </dgm:pt>
    <dgm:pt modelId="{525BCB4E-1062-4D30-B429-0AC3E2680943}" type="parTrans" cxnId="{86F9A4F1-2FFF-4392-ACF4-08BB7B9B63A0}">
      <dgm:prSet/>
      <dgm:spPr/>
      <dgm:t>
        <a:bodyPr/>
        <a:lstStyle/>
        <a:p>
          <a:endParaRPr lang="th-TH">
            <a:latin typeface="+mj-lt"/>
          </a:endParaRPr>
        </a:p>
      </dgm:t>
    </dgm:pt>
    <dgm:pt modelId="{498DBC55-F651-4C76-9EE3-4E4632340ABA}" type="sibTrans" cxnId="{86F9A4F1-2FFF-4392-ACF4-08BB7B9B63A0}">
      <dgm:prSet/>
      <dgm:spPr/>
      <dgm:t>
        <a:bodyPr/>
        <a:lstStyle/>
        <a:p>
          <a:endParaRPr lang="th-TH">
            <a:latin typeface="+mj-lt"/>
          </a:endParaRPr>
        </a:p>
      </dgm:t>
    </dgm:pt>
    <dgm:pt modelId="{2E2C2345-D772-4C96-80FD-E902C20E7159}">
      <dgm:prSet phldrT="[Text]"/>
      <dgm:spPr/>
      <dgm:t>
        <a:bodyPr/>
        <a:lstStyle/>
        <a:p>
          <a:r>
            <a:rPr lang="en-US">
              <a:latin typeface="+mj-lt"/>
            </a:rPr>
            <a:t> Price</a:t>
          </a:r>
          <a:endParaRPr lang="th-TH">
            <a:latin typeface="+mj-lt"/>
          </a:endParaRPr>
        </a:p>
      </dgm:t>
    </dgm:pt>
    <dgm:pt modelId="{CF4354B8-29D5-433F-AE0F-15B8CEB036BB}" type="parTrans" cxnId="{F8EFCA3D-4BC2-4A64-8499-EE6BE23CE39C}">
      <dgm:prSet/>
      <dgm:spPr/>
      <dgm:t>
        <a:bodyPr/>
        <a:lstStyle/>
        <a:p>
          <a:endParaRPr lang="th-TH">
            <a:latin typeface="+mj-lt"/>
          </a:endParaRPr>
        </a:p>
      </dgm:t>
    </dgm:pt>
    <dgm:pt modelId="{895982A7-CCF4-4EC3-8DA0-0498D687058C}" type="sibTrans" cxnId="{F8EFCA3D-4BC2-4A64-8499-EE6BE23CE39C}">
      <dgm:prSet/>
      <dgm:spPr/>
      <dgm:t>
        <a:bodyPr/>
        <a:lstStyle/>
        <a:p>
          <a:endParaRPr lang="th-TH">
            <a:latin typeface="+mj-lt"/>
          </a:endParaRPr>
        </a:p>
      </dgm:t>
    </dgm:pt>
    <dgm:pt modelId="{3DBA2C6E-F830-4D06-90C7-F5EE36C8F893}">
      <dgm:prSet phldrT="[Text]"/>
      <dgm:spPr/>
      <dgm:t>
        <a:bodyPr/>
        <a:lstStyle/>
        <a:p>
          <a:r>
            <a:rPr lang="en-US">
              <a:latin typeface="+mj-lt"/>
            </a:rPr>
            <a:t> Place</a:t>
          </a:r>
          <a:endParaRPr lang="th-TH">
            <a:latin typeface="+mj-lt"/>
          </a:endParaRPr>
        </a:p>
      </dgm:t>
    </dgm:pt>
    <dgm:pt modelId="{00578E30-7311-4A8D-B15F-7823251DFB8C}" type="parTrans" cxnId="{7D162292-D98B-4458-B2B2-79B7C175DDA5}">
      <dgm:prSet/>
      <dgm:spPr/>
      <dgm:t>
        <a:bodyPr/>
        <a:lstStyle/>
        <a:p>
          <a:endParaRPr lang="th-TH">
            <a:latin typeface="+mj-lt"/>
          </a:endParaRPr>
        </a:p>
      </dgm:t>
    </dgm:pt>
    <dgm:pt modelId="{76E43C42-C215-4DD5-A97D-19D3D559976C}" type="sibTrans" cxnId="{7D162292-D98B-4458-B2B2-79B7C175DDA5}">
      <dgm:prSet/>
      <dgm:spPr/>
      <dgm:t>
        <a:bodyPr/>
        <a:lstStyle/>
        <a:p>
          <a:endParaRPr lang="th-TH">
            <a:latin typeface="+mj-lt"/>
          </a:endParaRPr>
        </a:p>
      </dgm:t>
    </dgm:pt>
    <dgm:pt modelId="{F0A3A0AE-13F0-4158-829F-239F901793FF}">
      <dgm:prSet phldrT="[Text]"/>
      <dgm:spPr/>
      <dgm:t>
        <a:bodyPr/>
        <a:lstStyle/>
        <a:p>
          <a:r>
            <a:rPr lang="en-US" b="1">
              <a:latin typeface="+mj-lt"/>
            </a:rPr>
            <a:t> Promotion</a:t>
          </a:r>
          <a:endParaRPr lang="th-TH" b="1">
            <a:latin typeface="+mj-lt"/>
          </a:endParaRPr>
        </a:p>
      </dgm:t>
    </dgm:pt>
    <dgm:pt modelId="{CD630AEB-FE57-46F0-90C4-5B4F46BF63DE}" type="parTrans" cxnId="{AF5ADC66-7934-4A41-8A0A-5A0DB749C954}">
      <dgm:prSet/>
      <dgm:spPr/>
      <dgm:t>
        <a:bodyPr/>
        <a:lstStyle/>
        <a:p>
          <a:endParaRPr lang="th-TH">
            <a:latin typeface="+mj-lt"/>
          </a:endParaRPr>
        </a:p>
      </dgm:t>
    </dgm:pt>
    <dgm:pt modelId="{FBEB1BED-8190-474E-B74F-0D15D57639BE}" type="sibTrans" cxnId="{AF5ADC66-7934-4A41-8A0A-5A0DB749C954}">
      <dgm:prSet/>
      <dgm:spPr/>
      <dgm:t>
        <a:bodyPr/>
        <a:lstStyle/>
        <a:p>
          <a:endParaRPr lang="th-TH">
            <a:latin typeface="+mj-lt"/>
          </a:endParaRPr>
        </a:p>
      </dgm:t>
    </dgm:pt>
    <dgm:pt modelId="{A70DDC38-3532-4FE4-B796-A00FA698EE0A}">
      <dgm:prSet phldrT="[Text]"/>
      <dgm:spPr/>
      <dgm:t>
        <a:bodyPr/>
        <a:lstStyle/>
        <a:p>
          <a:r>
            <a:rPr lang="en-US">
              <a:latin typeface="+mj-lt"/>
            </a:rPr>
            <a:t> Economic</a:t>
          </a:r>
          <a:endParaRPr lang="th-TH">
            <a:latin typeface="+mj-lt"/>
          </a:endParaRPr>
        </a:p>
      </dgm:t>
    </dgm:pt>
    <dgm:pt modelId="{DEFE4E99-F9AE-4935-95C4-F0D164D934E2}" type="parTrans" cxnId="{BF70A993-61D6-4EE0-BC6C-B9750049C6B7}">
      <dgm:prSet/>
      <dgm:spPr/>
      <dgm:t>
        <a:bodyPr/>
        <a:lstStyle/>
        <a:p>
          <a:endParaRPr lang="th-TH">
            <a:latin typeface="+mj-lt"/>
          </a:endParaRPr>
        </a:p>
      </dgm:t>
    </dgm:pt>
    <dgm:pt modelId="{6900E27E-2993-4193-AF1C-0F92B3330542}" type="sibTrans" cxnId="{BF70A993-61D6-4EE0-BC6C-B9750049C6B7}">
      <dgm:prSet/>
      <dgm:spPr/>
      <dgm:t>
        <a:bodyPr/>
        <a:lstStyle/>
        <a:p>
          <a:endParaRPr lang="th-TH">
            <a:latin typeface="+mj-lt"/>
          </a:endParaRPr>
        </a:p>
      </dgm:t>
    </dgm:pt>
    <dgm:pt modelId="{E67C2C81-198F-4909-B861-9A2F94FAB412}">
      <dgm:prSet phldrT="[Text]"/>
      <dgm:spPr/>
      <dgm:t>
        <a:bodyPr/>
        <a:lstStyle/>
        <a:p>
          <a:r>
            <a:rPr lang="en-US">
              <a:latin typeface="+mj-lt"/>
            </a:rPr>
            <a:t>Technological</a:t>
          </a:r>
          <a:endParaRPr lang="th-TH">
            <a:latin typeface="+mj-lt"/>
          </a:endParaRPr>
        </a:p>
      </dgm:t>
    </dgm:pt>
    <dgm:pt modelId="{5FB953F4-115D-4BF1-B7C3-F6225035E89E}" type="parTrans" cxnId="{29091C21-91AF-407A-BBE8-F4E430E76775}">
      <dgm:prSet/>
      <dgm:spPr/>
      <dgm:t>
        <a:bodyPr/>
        <a:lstStyle/>
        <a:p>
          <a:endParaRPr lang="th-TH">
            <a:latin typeface="+mj-lt"/>
          </a:endParaRPr>
        </a:p>
      </dgm:t>
    </dgm:pt>
    <dgm:pt modelId="{094FFB80-4FA9-4C70-B751-0B220C68BEAD}" type="sibTrans" cxnId="{29091C21-91AF-407A-BBE8-F4E430E76775}">
      <dgm:prSet/>
      <dgm:spPr/>
      <dgm:t>
        <a:bodyPr/>
        <a:lstStyle/>
        <a:p>
          <a:endParaRPr lang="th-TH">
            <a:latin typeface="+mj-lt"/>
          </a:endParaRPr>
        </a:p>
      </dgm:t>
    </dgm:pt>
    <dgm:pt modelId="{ED61AC60-0B72-4D37-AD99-FFFE5921E78F}">
      <dgm:prSet phldrT="[Text]"/>
      <dgm:spPr/>
      <dgm:t>
        <a:bodyPr/>
        <a:lstStyle/>
        <a:p>
          <a:r>
            <a:rPr lang="en-US">
              <a:latin typeface="+mj-lt"/>
            </a:rPr>
            <a:t> Social </a:t>
          </a:r>
          <a:endParaRPr lang="th-TH">
            <a:latin typeface="+mj-lt"/>
          </a:endParaRPr>
        </a:p>
      </dgm:t>
    </dgm:pt>
    <dgm:pt modelId="{EC7C8FF8-DB3D-46D2-A2CE-A7E0216E7CE8}" type="parTrans" cxnId="{AA0BDFE4-1C0F-4673-8053-63843AC99371}">
      <dgm:prSet/>
      <dgm:spPr/>
      <dgm:t>
        <a:bodyPr/>
        <a:lstStyle/>
        <a:p>
          <a:endParaRPr lang="th-TH">
            <a:latin typeface="+mj-lt"/>
          </a:endParaRPr>
        </a:p>
      </dgm:t>
    </dgm:pt>
    <dgm:pt modelId="{8BF65457-B689-4600-88DC-8FB341EE591A}" type="sibTrans" cxnId="{AA0BDFE4-1C0F-4673-8053-63843AC99371}">
      <dgm:prSet/>
      <dgm:spPr/>
      <dgm:t>
        <a:bodyPr/>
        <a:lstStyle/>
        <a:p>
          <a:endParaRPr lang="th-TH">
            <a:latin typeface="+mj-lt"/>
          </a:endParaRPr>
        </a:p>
      </dgm:t>
    </dgm:pt>
    <dgm:pt modelId="{E9D003F3-1F84-4E22-8125-A7951F4E6611}">
      <dgm:prSet phldrT="[Text]"/>
      <dgm:spPr/>
      <dgm:t>
        <a:bodyPr/>
        <a:lstStyle/>
        <a:p>
          <a:r>
            <a:rPr lang="en-US">
              <a:latin typeface="+mj-lt"/>
            </a:rPr>
            <a:t> Cultural</a:t>
          </a:r>
          <a:endParaRPr lang="th-TH">
            <a:latin typeface="+mj-lt"/>
          </a:endParaRPr>
        </a:p>
      </dgm:t>
    </dgm:pt>
    <dgm:pt modelId="{F347DD34-2ED8-4FB3-99D3-4638E0A18882}" type="parTrans" cxnId="{5F6D7043-DA44-4B54-83EF-C3EEF936951B}">
      <dgm:prSet/>
      <dgm:spPr/>
      <dgm:t>
        <a:bodyPr/>
        <a:lstStyle/>
        <a:p>
          <a:endParaRPr lang="th-TH">
            <a:latin typeface="+mj-lt"/>
          </a:endParaRPr>
        </a:p>
      </dgm:t>
    </dgm:pt>
    <dgm:pt modelId="{41010AC8-3AAD-4397-84C4-DD002F491A73}" type="sibTrans" cxnId="{5F6D7043-DA44-4B54-83EF-C3EEF936951B}">
      <dgm:prSet/>
      <dgm:spPr/>
      <dgm:t>
        <a:bodyPr/>
        <a:lstStyle/>
        <a:p>
          <a:endParaRPr lang="th-TH">
            <a:latin typeface="+mj-lt"/>
          </a:endParaRPr>
        </a:p>
      </dgm:t>
    </dgm:pt>
    <dgm:pt modelId="{9ADA9B75-9E5A-48FB-8A8A-8CD0C98FAB18}">
      <dgm:prSet phldrT="[Text]"/>
      <dgm:spPr/>
      <dgm:t>
        <a:bodyPr/>
        <a:lstStyle/>
        <a:p>
          <a:r>
            <a:rPr lang="en-US">
              <a:latin typeface="+mj-lt"/>
            </a:rPr>
            <a:t> </a:t>
          </a:r>
          <a:r>
            <a:rPr lang="en-US" b="1" u="sng">
              <a:latin typeface="+mj-lt"/>
            </a:rPr>
            <a:t>Other</a:t>
          </a:r>
          <a:endParaRPr lang="th-TH" b="1" u="sng">
            <a:latin typeface="+mj-lt"/>
          </a:endParaRPr>
        </a:p>
      </dgm:t>
    </dgm:pt>
    <dgm:pt modelId="{DB6DAA44-447C-4802-B9D2-C4EA3D1650FE}" type="sibTrans" cxnId="{9CBB99C6-86F5-481F-A29F-9055039B3138}">
      <dgm:prSet/>
      <dgm:spPr/>
      <dgm:t>
        <a:bodyPr/>
        <a:lstStyle/>
        <a:p>
          <a:endParaRPr lang="th-TH">
            <a:latin typeface="+mj-lt"/>
          </a:endParaRPr>
        </a:p>
      </dgm:t>
    </dgm:pt>
    <dgm:pt modelId="{835659E3-E671-49DE-9F2E-31DF6EB218C4}" type="parTrans" cxnId="{9CBB99C6-86F5-481F-A29F-9055039B3138}">
      <dgm:prSet/>
      <dgm:spPr/>
      <dgm:t>
        <a:bodyPr/>
        <a:lstStyle/>
        <a:p>
          <a:endParaRPr lang="th-TH">
            <a:latin typeface="+mj-lt"/>
          </a:endParaRPr>
        </a:p>
      </dgm:t>
    </dgm:pt>
    <dgm:pt modelId="{12351AA9-4F53-4FE6-9CDD-1A9D1F5D4B8B}">
      <dgm:prSet phldrT="[Text]"/>
      <dgm:spPr/>
      <dgm:t>
        <a:bodyPr/>
        <a:lstStyle/>
        <a:p>
          <a:r>
            <a:rPr lang="en-US">
              <a:latin typeface="+mj-lt"/>
            </a:rPr>
            <a:t>Cultural</a:t>
          </a:r>
          <a:endParaRPr lang="th-TH">
            <a:latin typeface="+mj-lt"/>
          </a:endParaRPr>
        </a:p>
      </dgm:t>
    </dgm:pt>
    <dgm:pt modelId="{48DC4135-E436-49C5-906A-9D143A0FBF26}" type="parTrans" cxnId="{87E9484F-7EAA-4EE3-AABD-6C5F7D322B00}">
      <dgm:prSet/>
      <dgm:spPr/>
      <dgm:t>
        <a:bodyPr/>
        <a:lstStyle/>
        <a:p>
          <a:endParaRPr lang="th-TH">
            <a:latin typeface="+mj-lt"/>
          </a:endParaRPr>
        </a:p>
      </dgm:t>
    </dgm:pt>
    <dgm:pt modelId="{D1ABF699-9B02-4E9F-A143-703CBD3E3B95}" type="sibTrans" cxnId="{87E9484F-7EAA-4EE3-AABD-6C5F7D322B00}">
      <dgm:prSet/>
      <dgm:spPr/>
      <dgm:t>
        <a:bodyPr/>
        <a:lstStyle/>
        <a:p>
          <a:endParaRPr lang="th-TH">
            <a:latin typeface="+mj-lt"/>
          </a:endParaRPr>
        </a:p>
      </dgm:t>
    </dgm:pt>
    <dgm:pt modelId="{D03D84BD-B43A-477B-BD59-3EA26BE163BE}">
      <dgm:prSet phldrT="[Text]"/>
      <dgm:spPr/>
      <dgm:t>
        <a:bodyPr/>
        <a:lstStyle/>
        <a:p>
          <a:r>
            <a:rPr lang="en-US" b="1">
              <a:latin typeface="+mj-lt"/>
            </a:rPr>
            <a:t>Social</a:t>
          </a:r>
          <a:endParaRPr lang="th-TH" b="1">
            <a:latin typeface="+mj-lt"/>
          </a:endParaRPr>
        </a:p>
      </dgm:t>
    </dgm:pt>
    <dgm:pt modelId="{4A092EB9-E40E-4BBE-8C0B-4CE8D5BC7F45}" type="parTrans" cxnId="{699CEE0B-3063-4AD1-9579-BC7683DA17FC}">
      <dgm:prSet/>
      <dgm:spPr/>
      <dgm:t>
        <a:bodyPr/>
        <a:lstStyle/>
        <a:p>
          <a:endParaRPr lang="th-TH">
            <a:latin typeface="+mj-lt"/>
          </a:endParaRPr>
        </a:p>
      </dgm:t>
    </dgm:pt>
    <dgm:pt modelId="{8DB5DA94-FC00-4E3C-B903-D8A5059C6AA8}" type="sibTrans" cxnId="{699CEE0B-3063-4AD1-9579-BC7683DA17FC}">
      <dgm:prSet/>
      <dgm:spPr/>
      <dgm:t>
        <a:bodyPr/>
        <a:lstStyle/>
        <a:p>
          <a:endParaRPr lang="th-TH">
            <a:latin typeface="+mj-lt"/>
          </a:endParaRPr>
        </a:p>
      </dgm:t>
    </dgm:pt>
    <dgm:pt modelId="{5CD8A391-4949-465F-8010-AF2CAFF4A54F}">
      <dgm:prSet phldrT="[Text]"/>
      <dgm:spPr/>
      <dgm:t>
        <a:bodyPr/>
        <a:lstStyle/>
        <a:p>
          <a:r>
            <a:rPr lang="en-US" b="1">
              <a:latin typeface="+mj-lt"/>
            </a:rPr>
            <a:t>Personal</a:t>
          </a:r>
          <a:endParaRPr lang="th-TH" b="1">
            <a:latin typeface="+mj-lt"/>
          </a:endParaRPr>
        </a:p>
      </dgm:t>
    </dgm:pt>
    <dgm:pt modelId="{1A4D250A-F3CB-4D33-A1F5-DDD2E923436A}" type="parTrans" cxnId="{9EB2D276-0A2D-4290-8C58-C23C063D7E03}">
      <dgm:prSet/>
      <dgm:spPr/>
      <dgm:t>
        <a:bodyPr/>
        <a:lstStyle/>
        <a:p>
          <a:endParaRPr lang="th-TH">
            <a:latin typeface="+mj-lt"/>
          </a:endParaRPr>
        </a:p>
      </dgm:t>
    </dgm:pt>
    <dgm:pt modelId="{A34F320F-4DB3-4559-A962-049E901833F2}" type="sibTrans" cxnId="{9EB2D276-0A2D-4290-8C58-C23C063D7E03}">
      <dgm:prSet/>
      <dgm:spPr/>
      <dgm:t>
        <a:bodyPr/>
        <a:lstStyle/>
        <a:p>
          <a:endParaRPr lang="th-TH">
            <a:latin typeface="+mj-lt"/>
          </a:endParaRPr>
        </a:p>
      </dgm:t>
    </dgm:pt>
    <dgm:pt modelId="{D4FB8510-BAC2-44E7-A766-52BF68FAD594}">
      <dgm:prSet phldrT="[Text]"/>
      <dgm:spPr/>
      <dgm:t>
        <a:bodyPr/>
        <a:lstStyle/>
        <a:p>
          <a:r>
            <a:rPr lang="en-US" b="1">
              <a:latin typeface="+mj-lt"/>
            </a:rPr>
            <a:t>Physiological</a:t>
          </a:r>
          <a:endParaRPr lang="th-TH" b="1">
            <a:latin typeface="+mj-lt"/>
          </a:endParaRPr>
        </a:p>
      </dgm:t>
    </dgm:pt>
    <dgm:pt modelId="{D2AB56C9-85A6-4152-87D8-CD4C8F9E0840}" type="parTrans" cxnId="{6F84A3F6-EF0B-4E84-91DB-41B2C92FA3C6}">
      <dgm:prSet/>
      <dgm:spPr/>
      <dgm:t>
        <a:bodyPr/>
        <a:lstStyle/>
        <a:p>
          <a:endParaRPr lang="th-TH">
            <a:latin typeface="+mj-lt"/>
          </a:endParaRPr>
        </a:p>
      </dgm:t>
    </dgm:pt>
    <dgm:pt modelId="{88AFB344-7339-439F-9430-347131EB3AF8}" type="sibTrans" cxnId="{6F84A3F6-EF0B-4E84-91DB-41B2C92FA3C6}">
      <dgm:prSet/>
      <dgm:spPr/>
      <dgm:t>
        <a:bodyPr/>
        <a:lstStyle/>
        <a:p>
          <a:endParaRPr lang="th-TH">
            <a:latin typeface="+mj-lt"/>
          </a:endParaRPr>
        </a:p>
      </dgm:t>
    </dgm:pt>
    <dgm:pt modelId="{4779E70B-9630-4430-9B35-43F4681E1D84}">
      <dgm:prSet phldrT="[Text]"/>
      <dgm:spPr/>
      <dgm:t>
        <a:bodyPr/>
        <a:lstStyle/>
        <a:p>
          <a:r>
            <a:rPr lang="en-US" b="1" i="0" u="sng">
              <a:latin typeface="+mj-lt"/>
            </a:rPr>
            <a:t> Buyer's Decision Process</a:t>
          </a:r>
          <a:endParaRPr lang="th-TH" b="1" i="0" u="sng">
            <a:latin typeface="+mj-lt"/>
          </a:endParaRPr>
        </a:p>
      </dgm:t>
    </dgm:pt>
    <dgm:pt modelId="{24357C7B-E6E9-44B0-825B-9A736A6ECFA4}" type="parTrans" cxnId="{8502D65B-F8C3-4352-872F-4B01FD17C838}">
      <dgm:prSet/>
      <dgm:spPr/>
      <dgm:t>
        <a:bodyPr/>
        <a:lstStyle/>
        <a:p>
          <a:endParaRPr lang="th-TH">
            <a:latin typeface="+mj-lt"/>
          </a:endParaRPr>
        </a:p>
      </dgm:t>
    </dgm:pt>
    <dgm:pt modelId="{A3743820-9E36-4195-A32E-A831999E926F}" type="sibTrans" cxnId="{8502D65B-F8C3-4352-872F-4B01FD17C838}">
      <dgm:prSet/>
      <dgm:spPr/>
      <dgm:t>
        <a:bodyPr/>
        <a:lstStyle/>
        <a:p>
          <a:endParaRPr lang="th-TH">
            <a:latin typeface="+mj-lt"/>
          </a:endParaRPr>
        </a:p>
      </dgm:t>
    </dgm:pt>
    <dgm:pt modelId="{98B88FA2-3830-429B-A21D-2159E3B468E5}">
      <dgm:prSet phldrT="[Text]"/>
      <dgm:spPr/>
      <dgm:t>
        <a:bodyPr/>
        <a:lstStyle/>
        <a:p>
          <a:r>
            <a:rPr lang="en-US">
              <a:latin typeface="+mj-lt"/>
            </a:rPr>
            <a:t>Problem Solving</a:t>
          </a:r>
          <a:endParaRPr lang="th-TH">
            <a:latin typeface="+mj-lt"/>
          </a:endParaRPr>
        </a:p>
      </dgm:t>
    </dgm:pt>
    <dgm:pt modelId="{10A1E532-C818-4BB9-8FF3-F186E1CB635E}" type="parTrans" cxnId="{63DF7504-598D-462C-9AC9-C3EBD88025FF}">
      <dgm:prSet/>
      <dgm:spPr/>
      <dgm:t>
        <a:bodyPr/>
        <a:lstStyle/>
        <a:p>
          <a:endParaRPr lang="th-TH">
            <a:latin typeface="+mj-lt"/>
          </a:endParaRPr>
        </a:p>
      </dgm:t>
    </dgm:pt>
    <dgm:pt modelId="{9D92DFEF-8B98-441E-878C-652E6A23E82D}" type="sibTrans" cxnId="{63DF7504-598D-462C-9AC9-C3EBD88025FF}">
      <dgm:prSet/>
      <dgm:spPr/>
      <dgm:t>
        <a:bodyPr/>
        <a:lstStyle/>
        <a:p>
          <a:endParaRPr lang="th-TH">
            <a:latin typeface="+mj-lt"/>
          </a:endParaRPr>
        </a:p>
      </dgm:t>
    </dgm:pt>
    <dgm:pt modelId="{D82E683A-4D6A-4D28-860C-A680B67A0203}">
      <dgm:prSet phldrT="[Text]"/>
      <dgm:spPr/>
      <dgm:t>
        <a:bodyPr/>
        <a:lstStyle/>
        <a:p>
          <a:r>
            <a:rPr lang="en-US">
              <a:latin typeface="+mj-lt"/>
            </a:rPr>
            <a:t>Information Search</a:t>
          </a:r>
          <a:endParaRPr lang="th-TH">
            <a:latin typeface="+mj-lt"/>
          </a:endParaRPr>
        </a:p>
      </dgm:t>
    </dgm:pt>
    <dgm:pt modelId="{58D2D55E-6B8C-46D5-B156-154184145B56}" type="parTrans" cxnId="{8A145D66-0C2D-47D5-BAFC-BEA0F386C78D}">
      <dgm:prSet/>
      <dgm:spPr/>
      <dgm:t>
        <a:bodyPr/>
        <a:lstStyle/>
        <a:p>
          <a:endParaRPr lang="th-TH">
            <a:latin typeface="+mj-lt"/>
          </a:endParaRPr>
        </a:p>
      </dgm:t>
    </dgm:pt>
    <dgm:pt modelId="{485ED617-A1A8-4FBA-A5F4-17D7B4406631}" type="sibTrans" cxnId="{8A145D66-0C2D-47D5-BAFC-BEA0F386C78D}">
      <dgm:prSet/>
      <dgm:spPr/>
      <dgm:t>
        <a:bodyPr/>
        <a:lstStyle/>
        <a:p>
          <a:endParaRPr lang="th-TH">
            <a:latin typeface="+mj-lt"/>
          </a:endParaRPr>
        </a:p>
      </dgm:t>
    </dgm:pt>
    <dgm:pt modelId="{3497621F-56A3-4E50-8DA2-AA3F178168B4}">
      <dgm:prSet phldrT="[Text]"/>
      <dgm:spPr/>
      <dgm:t>
        <a:bodyPr/>
        <a:lstStyle/>
        <a:p>
          <a:r>
            <a:rPr lang="en-US">
              <a:latin typeface="+mj-lt"/>
            </a:rPr>
            <a:t>Alternate evaluation</a:t>
          </a:r>
          <a:endParaRPr lang="th-TH">
            <a:latin typeface="+mj-lt"/>
          </a:endParaRPr>
        </a:p>
      </dgm:t>
    </dgm:pt>
    <dgm:pt modelId="{27099DE5-5B1F-41E6-81EF-E57743EAAD1C}" type="parTrans" cxnId="{F717B134-2E42-4735-A900-38FF190B0E13}">
      <dgm:prSet/>
      <dgm:spPr/>
      <dgm:t>
        <a:bodyPr/>
        <a:lstStyle/>
        <a:p>
          <a:endParaRPr lang="th-TH">
            <a:latin typeface="+mj-lt"/>
          </a:endParaRPr>
        </a:p>
      </dgm:t>
    </dgm:pt>
    <dgm:pt modelId="{98BB76E5-5B00-4D9E-9DA1-1D1FD80CF6DE}" type="sibTrans" cxnId="{F717B134-2E42-4735-A900-38FF190B0E13}">
      <dgm:prSet/>
      <dgm:spPr/>
      <dgm:t>
        <a:bodyPr/>
        <a:lstStyle/>
        <a:p>
          <a:endParaRPr lang="th-TH">
            <a:latin typeface="+mj-lt"/>
          </a:endParaRPr>
        </a:p>
      </dgm:t>
    </dgm:pt>
    <dgm:pt modelId="{6A7A0677-DB47-4829-870F-C2D2F75ADA9B}">
      <dgm:prSet phldrT="[Text]"/>
      <dgm:spPr/>
      <dgm:t>
        <a:bodyPr/>
        <a:lstStyle/>
        <a:p>
          <a:r>
            <a:rPr lang="en-US">
              <a:latin typeface="+mj-lt"/>
            </a:rPr>
            <a:t>Purchase</a:t>
          </a:r>
          <a:endParaRPr lang="th-TH">
            <a:latin typeface="+mj-lt"/>
          </a:endParaRPr>
        </a:p>
      </dgm:t>
    </dgm:pt>
    <dgm:pt modelId="{DB29D239-B2D6-49BE-B850-189008DF3332}" type="parTrans" cxnId="{B19195E6-CC1B-41FD-A501-1E822DC80761}">
      <dgm:prSet/>
      <dgm:spPr/>
      <dgm:t>
        <a:bodyPr/>
        <a:lstStyle/>
        <a:p>
          <a:endParaRPr lang="th-TH">
            <a:latin typeface="+mj-lt"/>
          </a:endParaRPr>
        </a:p>
      </dgm:t>
    </dgm:pt>
    <dgm:pt modelId="{AEFB8366-5600-4CFC-A0DA-563D94C2C291}" type="sibTrans" cxnId="{B19195E6-CC1B-41FD-A501-1E822DC80761}">
      <dgm:prSet/>
      <dgm:spPr/>
      <dgm:t>
        <a:bodyPr/>
        <a:lstStyle/>
        <a:p>
          <a:endParaRPr lang="th-TH">
            <a:latin typeface="+mj-lt"/>
          </a:endParaRPr>
        </a:p>
      </dgm:t>
    </dgm:pt>
    <dgm:pt modelId="{94EC6661-E16B-4858-86E8-7624CDA4F27B}">
      <dgm:prSet phldrT="[Text]"/>
      <dgm:spPr/>
      <dgm:t>
        <a:bodyPr/>
        <a:lstStyle/>
        <a:p>
          <a:r>
            <a:rPr lang="en-US">
              <a:latin typeface="+mj-lt"/>
            </a:rPr>
            <a:t>Post purchase</a:t>
          </a:r>
          <a:endParaRPr lang="th-TH">
            <a:latin typeface="+mj-lt"/>
          </a:endParaRPr>
        </a:p>
      </dgm:t>
    </dgm:pt>
    <dgm:pt modelId="{4D41547E-8B64-44D8-AD20-BF2CD075C1FC}" type="parTrans" cxnId="{6B39C147-81CB-41A9-A2DF-073482C22308}">
      <dgm:prSet/>
      <dgm:spPr/>
      <dgm:t>
        <a:bodyPr/>
        <a:lstStyle/>
        <a:p>
          <a:endParaRPr lang="th-TH">
            <a:latin typeface="+mj-lt"/>
          </a:endParaRPr>
        </a:p>
      </dgm:t>
    </dgm:pt>
    <dgm:pt modelId="{12A807D9-103E-4C56-822A-783B705F5C54}" type="sibTrans" cxnId="{6B39C147-81CB-41A9-A2DF-073482C22308}">
      <dgm:prSet/>
      <dgm:spPr/>
      <dgm:t>
        <a:bodyPr/>
        <a:lstStyle/>
        <a:p>
          <a:endParaRPr lang="th-TH">
            <a:latin typeface="+mj-lt"/>
          </a:endParaRPr>
        </a:p>
      </dgm:t>
    </dgm:pt>
    <dgm:pt modelId="{8D541482-D9E2-45D6-BD51-1D3621FE01F7}">
      <dgm:prSet phldrT="[Text]"/>
      <dgm:spPr/>
      <dgm:t>
        <a:bodyPr/>
        <a:lstStyle/>
        <a:p>
          <a:r>
            <a:rPr lang="en-US">
              <a:latin typeface="+mj-lt"/>
            </a:rPr>
            <a:t>Evaluation</a:t>
          </a:r>
          <a:endParaRPr lang="th-TH">
            <a:latin typeface="+mj-lt"/>
          </a:endParaRPr>
        </a:p>
      </dgm:t>
    </dgm:pt>
    <dgm:pt modelId="{9AD3B753-6A09-41F2-97B5-B1BC142633BB}" type="parTrans" cxnId="{A29C7B64-5D0A-4BF5-847D-355C76254708}">
      <dgm:prSet/>
      <dgm:spPr/>
      <dgm:t>
        <a:bodyPr/>
        <a:lstStyle/>
        <a:p>
          <a:endParaRPr lang="th-TH">
            <a:latin typeface="+mj-lt"/>
          </a:endParaRPr>
        </a:p>
      </dgm:t>
    </dgm:pt>
    <dgm:pt modelId="{643D99D2-C686-4FB6-9E20-4DC2D947E539}" type="sibTrans" cxnId="{A29C7B64-5D0A-4BF5-847D-355C76254708}">
      <dgm:prSet/>
      <dgm:spPr/>
      <dgm:t>
        <a:bodyPr/>
        <a:lstStyle/>
        <a:p>
          <a:endParaRPr lang="th-TH">
            <a:latin typeface="+mj-lt"/>
          </a:endParaRPr>
        </a:p>
      </dgm:t>
    </dgm:pt>
    <dgm:pt modelId="{5473EC6C-1B82-4270-BBA6-A0EF1C37EEFE}">
      <dgm:prSet phldrT="[Text]"/>
      <dgm:spPr/>
      <dgm:t>
        <a:bodyPr/>
        <a:lstStyle/>
        <a:p>
          <a:r>
            <a:rPr lang="en-US">
              <a:latin typeface="+mj-lt"/>
            </a:rPr>
            <a:t>Buying attitudes and preferences</a:t>
          </a:r>
          <a:endParaRPr lang="th-TH">
            <a:latin typeface="+mj-lt"/>
          </a:endParaRPr>
        </a:p>
      </dgm:t>
    </dgm:pt>
    <dgm:pt modelId="{DED15F0C-5E17-402E-A6DC-AFF30915A032}" type="parTrans" cxnId="{02AFEF16-28EB-4809-82C7-CD71C5CE6577}">
      <dgm:prSet/>
      <dgm:spPr/>
      <dgm:t>
        <a:bodyPr/>
        <a:lstStyle/>
        <a:p>
          <a:endParaRPr lang="th-TH">
            <a:latin typeface="+mj-lt"/>
          </a:endParaRPr>
        </a:p>
      </dgm:t>
    </dgm:pt>
    <dgm:pt modelId="{2303DA90-0E38-45DE-A12F-5A1D1C48D352}" type="sibTrans" cxnId="{02AFEF16-28EB-4809-82C7-CD71C5CE6577}">
      <dgm:prSet/>
      <dgm:spPr/>
      <dgm:t>
        <a:bodyPr/>
        <a:lstStyle/>
        <a:p>
          <a:endParaRPr lang="th-TH">
            <a:latin typeface="+mj-lt"/>
          </a:endParaRPr>
        </a:p>
      </dgm:t>
    </dgm:pt>
    <dgm:pt modelId="{BE7B1E0C-D707-490F-8E81-7F6B8D6F9D59}">
      <dgm:prSet phldrT="[Text]"/>
      <dgm:spPr/>
      <dgm:t>
        <a:bodyPr/>
        <a:lstStyle/>
        <a:p>
          <a:r>
            <a:rPr lang="en-US">
              <a:latin typeface="+mj-lt"/>
            </a:rPr>
            <a:t>Brand and company relationship behavior</a:t>
          </a:r>
          <a:endParaRPr lang="th-TH">
            <a:latin typeface="+mj-lt"/>
          </a:endParaRPr>
        </a:p>
      </dgm:t>
    </dgm:pt>
    <dgm:pt modelId="{416C8924-B0A9-4456-88DC-B83C1DCC0AA3}" type="parTrans" cxnId="{5724D06D-69D4-4DAE-9939-85AD0AE759FD}">
      <dgm:prSet/>
      <dgm:spPr/>
      <dgm:t>
        <a:bodyPr/>
        <a:lstStyle/>
        <a:p>
          <a:endParaRPr lang="th-TH">
            <a:latin typeface="+mj-lt"/>
          </a:endParaRPr>
        </a:p>
      </dgm:t>
    </dgm:pt>
    <dgm:pt modelId="{D332D1F6-8DC4-459F-90FC-1E6428EA53AC}" type="sibTrans" cxnId="{5724D06D-69D4-4DAE-9939-85AD0AE759FD}">
      <dgm:prSet/>
      <dgm:spPr/>
      <dgm:t>
        <a:bodyPr/>
        <a:lstStyle/>
        <a:p>
          <a:endParaRPr lang="th-TH">
            <a:latin typeface="+mj-lt"/>
          </a:endParaRPr>
        </a:p>
      </dgm:t>
    </dgm:pt>
    <dgm:pt modelId="{7F0BC01F-329A-4D5E-9B10-CA0263BB7310}">
      <dgm:prSet phldrT="[Text]"/>
      <dgm:spPr/>
      <dgm:t>
        <a:bodyPr/>
        <a:lstStyle/>
        <a:p>
          <a:endParaRPr lang="th-TH">
            <a:latin typeface="+mj-lt"/>
          </a:endParaRPr>
        </a:p>
      </dgm:t>
    </dgm:pt>
    <dgm:pt modelId="{AEB4DCDB-B474-492F-AFA4-5CD2DD64A8D8}" type="parTrans" cxnId="{D4C2C3EF-8B0D-4150-906B-56ABB3715633}">
      <dgm:prSet/>
      <dgm:spPr/>
      <dgm:t>
        <a:bodyPr/>
        <a:lstStyle/>
        <a:p>
          <a:endParaRPr lang="th-TH">
            <a:latin typeface="+mj-lt"/>
          </a:endParaRPr>
        </a:p>
      </dgm:t>
    </dgm:pt>
    <dgm:pt modelId="{00F2D5A1-12FF-4D06-8306-11DFF3FFC056}" type="sibTrans" cxnId="{D4C2C3EF-8B0D-4150-906B-56ABB3715633}">
      <dgm:prSet/>
      <dgm:spPr/>
      <dgm:t>
        <a:bodyPr/>
        <a:lstStyle/>
        <a:p>
          <a:endParaRPr lang="th-TH">
            <a:latin typeface="+mj-lt"/>
          </a:endParaRPr>
        </a:p>
      </dgm:t>
    </dgm:pt>
    <dgm:pt modelId="{037A66CE-54FE-4C4E-8529-4F1450A7D764}">
      <dgm:prSet phldrT="[Text]"/>
      <dgm:spPr/>
      <dgm:t>
        <a:bodyPr/>
        <a:lstStyle/>
        <a:p>
          <a:endParaRPr lang="th-TH">
            <a:latin typeface="+mj-lt"/>
          </a:endParaRPr>
        </a:p>
      </dgm:t>
    </dgm:pt>
    <dgm:pt modelId="{74553ACE-2DB0-4750-A176-ED1F1BFC141C}" type="parTrans" cxnId="{5DC05737-C185-43A9-B8D5-8309AF02E861}">
      <dgm:prSet/>
      <dgm:spPr/>
      <dgm:t>
        <a:bodyPr/>
        <a:lstStyle/>
        <a:p>
          <a:endParaRPr lang="th-TH">
            <a:latin typeface="+mj-lt"/>
          </a:endParaRPr>
        </a:p>
      </dgm:t>
    </dgm:pt>
    <dgm:pt modelId="{D0CB47BE-DCEB-499F-A8A5-BAC1662074CA}" type="sibTrans" cxnId="{5DC05737-C185-43A9-B8D5-8309AF02E861}">
      <dgm:prSet/>
      <dgm:spPr/>
      <dgm:t>
        <a:bodyPr/>
        <a:lstStyle/>
        <a:p>
          <a:endParaRPr lang="th-TH">
            <a:latin typeface="+mj-lt"/>
          </a:endParaRPr>
        </a:p>
      </dgm:t>
    </dgm:pt>
    <dgm:pt modelId="{0458613F-9851-42F6-B49A-CA252C6F080A}">
      <dgm:prSet phldrT="[Text]"/>
      <dgm:spPr/>
      <dgm:t>
        <a:bodyPr/>
        <a:lstStyle/>
        <a:p>
          <a:endParaRPr lang="th-TH" b="1">
            <a:solidFill>
              <a:srgbClr val="C00000"/>
            </a:solidFill>
            <a:latin typeface="+mj-lt"/>
          </a:endParaRPr>
        </a:p>
      </dgm:t>
    </dgm:pt>
    <dgm:pt modelId="{A10BE4B8-7FC2-477D-A92A-9598686BE055}" type="parTrans" cxnId="{A7AE0F32-C63B-49AD-9042-A1CFEF4ADDD3}">
      <dgm:prSet/>
      <dgm:spPr/>
      <dgm:t>
        <a:bodyPr/>
        <a:lstStyle/>
        <a:p>
          <a:endParaRPr lang="th-TH"/>
        </a:p>
      </dgm:t>
    </dgm:pt>
    <dgm:pt modelId="{288F178E-4B99-4390-A48F-FA4D9B70DEBF}" type="sibTrans" cxnId="{A7AE0F32-C63B-49AD-9042-A1CFEF4ADDD3}">
      <dgm:prSet/>
      <dgm:spPr/>
      <dgm:t>
        <a:bodyPr/>
        <a:lstStyle/>
        <a:p>
          <a:endParaRPr lang="th-TH"/>
        </a:p>
      </dgm:t>
    </dgm:pt>
    <dgm:pt modelId="{F671F3F2-0B0E-435A-98DD-7C6950170964}">
      <dgm:prSet phldrT="[Text]"/>
      <dgm:spPr/>
      <dgm:t>
        <a:bodyPr/>
        <a:lstStyle/>
        <a:p>
          <a:endParaRPr lang="th-TH">
            <a:latin typeface="+mj-lt"/>
          </a:endParaRPr>
        </a:p>
      </dgm:t>
    </dgm:pt>
    <dgm:pt modelId="{934EC93C-6096-49F8-9127-E2509750368B}" type="parTrans" cxnId="{00035AFB-CA4B-4C55-AF32-A99A0F1AA211}">
      <dgm:prSet/>
      <dgm:spPr/>
      <dgm:t>
        <a:bodyPr/>
        <a:lstStyle/>
        <a:p>
          <a:endParaRPr lang="th-TH"/>
        </a:p>
      </dgm:t>
    </dgm:pt>
    <dgm:pt modelId="{01BA2356-1360-4570-BA88-9E5797F1C125}" type="sibTrans" cxnId="{00035AFB-CA4B-4C55-AF32-A99A0F1AA211}">
      <dgm:prSet/>
      <dgm:spPr/>
      <dgm:t>
        <a:bodyPr/>
        <a:lstStyle/>
        <a:p>
          <a:endParaRPr lang="th-TH"/>
        </a:p>
      </dgm:t>
    </dgm:pt>
    <dgm:pt modelId="{B7789E6A-5BB0-4CC8-A193-7DF33F33BDFD}" type="pres">
      <dgm:prSet presAssocID="{FEE5AB59-51A7-43B9-8623-9B9FB240F7CB}" presName="linearFlow" presStyleCnt="0">
        <dgm:presLayoutVars>
          <dgm:dir/>
          <dgm:animLvl val="lvl"/>
          <dgm:resizeHandles val="exact"/>
        </dgm:presLayoutVars>
      </dgm:prSet>
      <dgm:spPr/>
      <dgm:t>
        <a:bodyPr/>
        <a:lstStyle/>
        <a:p>
          <a:endParaRPr lang="th-TH"/>
        </a:p>
      </dgm:t>
    </dgm:pt>
    <dgm:pt modelId="{452FBAE2-803F-4928-841C-187ECAFD534B}" type="pres">
      <dgm:prSet presAssocID="{D3B6D359-0AF5-4E4D-8A55-2F2CF4E96922}" presName="composite" presStyleCnt="0"/>
      <dgm:spPr/>
    </dgm:pt>
    <dgm:pt modelId="{A34C8CD9-ABC9-454C-B101-C4365ED6BE67}" type="pres">
      <dgm:prSet presAssocID="{D3B6D359-0AF5-4E4D-8A55-2F2CF4E96922}" presName="parTx" presStyleLbl="node1" presStyleIdx="0" presStyleCnt="3">
        <dgm:presLayoutVars>
          <dgm:chMax val="0"/>
          <dgm:chPref val="0"/>
          <dgm:bulletEnabled val="1"/>
        </dgm:presLayoutVars>
      </dgm:prSet>
      <dgm:spPr/>
      <dgm:t>
        <a:bodyPr/>
        <a:lstStyle/>
        <a:p>
          <a:endParaRPr lang="th-TH"/>
        </a:p>
      </dgm:t>
    </dgm:pt>
    <dgm:pt modelId="{EDAD00D5-469A-4AC9-9D32-0DC4A82D75E7}" type="pres">
      <dgm:prSet presAssocID="{D3B6D359-0AF5-4E4D-8A55-2F2CF4E96922}" presName="parSh" presStyleLbl="node1" presStyleIdx="0" presStyleCnt="3"/>
      <dgm:spPr/>
      <dgm:t>
        <a:bodyPr/>
        <a:lstStyle/>
        <a:p>
          <a:endParaRPr lang="th-TH"/>
        </a:p>
      </dgm:t>
    </dgm:pt>
    <dgm:pt modelId="{41A6F96A-0D5D-40A9-90D8-2084D7A7BE95}" type="pres">
      <dgm:prSet presAssocID="{D3B6D359-0AF5-4E4D-8A55-2F2CF4E96922}" presName="desTx" presStyleLbl="fgAcc1" presStyleIdx="0" presStyleCnt="3" custLinFactNeighborX="-38585" custLinFactNeighborY="28230">
        <dgm:presLayoutVars>
          <dgm:bulletEnabled val="1"/>
        </dgm:presLayoutVars>
      </dgm:prSet>
      <dgm:spPr/>
      <dgm:t>
        <a:bodyPr/>
        <a:lstStyle/>
        <a:p>
          <a:endParaRPr lang="th-TH"/>
        </a:p>
      </dgm:t>
    </dgm:pt>
    <dgm:pt modelId="{215D3734-A592-45D1-BB99-06BDA9B81F56}" type="pres">
      <dgm:prSet presAssocID="{F456C727-714E-41E7-9573-2F7866FC381D}" presName="sibTrans" presStyleLbl="sibTrans2D1" presStyleIdx="0" presStyleCnt="2"/>
      <dgm:spPr/>
      <dgm:t>
        <a:bodyPr/>
        <a:lstStyle/>
        <a:p>
          <a:endParaRPr lang="th-TH"/>
        </a:p>
      </dgm:t>
    </dgm:pt>
    <dgm:pt modelId="{9EC10BFD-42DF-46A1-BDDB-52B946A90486}" type="pres">
      <dgm:prSet presAssocID="{F456C727-714E-41E7-9573-2F7866FC381D}" presName="connTx" presStyleLbl="sibTrans2D1" presStyleIdx="0" presStyleCnt="2"/>
      <dgm:spPr/>
      <dgm:t>
        <a:bodyPr/>
        <a:lstStyle/>
        <a:p>
          <a:endParaRPr lang="th-TH"/>
        </a:p>
      </dgm:t>
    </dgm:pt>
    <dgm:pt modelId="{6DFCFF6B-B0AF-4228-8442-AED8FE630059}" type="pres">
      <dgm:prSet presAssocID="{029E20C3-F8CB-4F7F-9B14-4200635903D6}" presName="composite" presStyleCnt="0"/>
      <dgm:spPr/>
    </dgm:pt>
    <dgm:pt modelId="{775A7764-F9FB-4ADD-8884-F6ACCC94195A}" type="pres">
      <dgm:prSet presAssocID="{029E20C3-F8CB-4F7F-9B14-4200635903D6}" presName="parTx" presStyleLbl="node1" presStyleIdx="0" presStyleCnt="3">
        <dgm:presLayoutVars>
          <dgm:chMax val="0"/>
          <dgm:chPref val="0"/>
          <dgm:bulletEnabled val="1"/>
        </dgm:presLayoutVars>
      </dgm:prSet>
      <dgm:spPr/>
      <dgm:t>
        <a:bodyPr/>
        <a:lstStyle/>
        <a:p>
          <a:endParaRPr lang="th-TH"/>
        </a:p>
      </dgm:t>
    </dgm:pt>
    <dgm:pt modelId="{CADE8A18-7036-48AB-9960-3432BC5876F6}" type="pres">
      <dgm:prSet presAssocID="{029E20C3-F8CB-4F7F-9B14-4200635903D6}" presName="parSh" presStyleLbl="node1" presStyleIdx="1" presStyleCnt="3"/>
      <dgm:spPr/>
      <dgm:t>
        <a:bodyPr/>
        <a:lstStyle/>
        <a:p>
          <a:endParaRPr lang="th-TH"/>
        </a:p>
      </dgm:t>
    </dgm:pt>
    <dgm:pt modelId="{D4D06CF5-15A9-41DA-BB26-0550E1DA3D74}" type="pres">
      <dgm:prSet presAssocID="{029E20C3-F8CB-4F7F-9B14-4200635903D6}" presName="desTx" presStyleLbl="fgAcc1" presStyleIdx="1" presStyleCnt="3">
        <dgm:presLayoutVars>
          <dgm:bulletEnabled val="1"/>
        </dgm:presLayoutVars>
      </dgm:prSet>
      <dgm:spPr/>
      <dgm:t>
        <a:bodyPr/>
        <a:lstStyle/>
        <a:p>
          <a:endParaRPr lang="th-TH"/>
        </a:p>
      </dgm:t>
    </dgm:pt>
    <dgm:pt modelId="{F62B3997-1273-41FE-B34E-644DD98928EB}" type="pres">
      <dgm:prSet presAssocID="{EF99E326-0E26-43DD-8F9A-E78A49A81FE0}" presName="sibTrans" presStyleLbl="sibTrans2D1" presStyleIdx="1" presStyleCnt="2"/>
      <dgm:spPr/>
      <dgm:t>
        <a:bodyPr/>
        <a:lstStyle/>
        <a:p>
          <a:endParaRPr lang="th-TH"/>
        </a:p>
      </dgm:t>
    </dgm:pt>
    <dgm:pt modelId="{7671D7A9-EE13-45EF-9087-884343D0BEE6}" type="pres">
      <dgm:prSet presAssocID="{EF99E326-0E26-43DD-8F9A-E78A49A81FE0}" presName="connTx" presStyleLbl="sibTrans2D1" presStyleIdx="1" presStyleCnt="2"/>
      <dgm:spPr/>
      <dgm:t>
        <a:bodyPr/>
        <a:lstStyle/>
        <a:p>
          <a:endParaRPr lang="th-TH"/>
        </a:p>
      </dgm:t>
    </dgm:pt>
    <dgm:pt modelId="{1FFCC6CE-047E-4E9F-8108-928750F9D9D1}" type="pres">
      <dgm:prSet presAssocID="{E018762C-7529-405E-9E59-5EC8B90277E9}" presName="composite" presStyleCnt="0"/>
      <dgm:spPr/>
    </dgm:pt>
    <dgm:pt modelId="{B610C87B-4422-4485-B62C-E032C9132D86}" type="pres">
      <dgm:prSet presAssocID="{E018762C-7529-405E-9E59-5EC8B90277E9}" presName="parTx" presStyleLbl="node1" presStyleIdx="1" presStyleCnt="3">
        <dgm:presLayoutVars>
          <dgm:chMax val="0"/>
          <dgm:chPref val="0"/>
          <dgm:bulletEnabled val="1"/>
        </dgm:presLayoutVars>
      </dgm:prSet>
      <dgm:spPr/>
      <dgm:t>
        <a:bodyPr/>
        <a:lstStyle/>
        <a:p>
          <a:endParaRPr lang="th-TH"/>
        </a:p>
      </dgm:t>
    </dgm:pt>
    <dgm:pt modelId="{E6D6E718-8F1D-4AF1-8DF5-0F2F793EEE72}" type="pres">
      <dgm:prSet presAssocID="{E018762C-7529-405E-9E59-5EC8B90277E9}" presName="parSh" presStyleLbl="node1" presStyleIdx="2" presStyleCnt="3"/>
      <dgm:spPr/>
      <dgm:t>
        <a:bodyPr/>
        <a:lstStyle/>
        <a:p>
          <a:endParaRPr lang="th-TH"/>
        </a:p>
      </dgm:t>
    </dgm:pt>
    <dgm:pt modelId="{D571BB65-256C-4A0C-A475-3F0DBBB0497D}" type="pres">
      <dgm:prSet presAssocID="{E018762C-7529-405E-9E59-5EC8B90277E9}" presName="desTx" presStyleLbl="fgAcc1" presStyleIdx="2" presStyleCnt="3">
        <dgm:presLayoutVars>
          <dgm:bulletEnabled val="1"/>
        </dgm:presLayoutVars>
      </dgm:prSet>
      <dgm:spPr/>
      <dgm:t>
        <a:bodyPr/>
        <a:lstStyle/>
        <a:p>
          <a:endParaRPr lang="th-TH"/>
        </a:p>
      </dgm:t>
    </dgm:pt>
  </dgm:ptLst>
  <dgm:cxnLst>
    <dgm:cxn modelId="{1A9ABAD3-5A09-480F-B7C2-A6523DE4D73E}" type="presOf" srcId="{4F180685-BF91-492B-97E5-C0F28BBBA764}" destId="{41A6F96A-0D5D-40A9-90D8-2084D7A7BE95}" srcOrd="0" destOrd="1" presId="urn:microsoft.com/office/officeart/2005/8/layout/process3"/>
    <dgm:cxn modelId="{B19195E6-CC1B-41FD-A501-1E822DC80761}" srcId="{4779E70B-9630-4430-9B35-43F4681E1D84}" destId="{6A7A0677-DB47-4829-870F-C2D2F75ADA9B}" srcOrd="3" destOrd="0" parTransId="{DB29D239-B2D6-49BE-B850-189008DF3332}" sibTransId="{AEFB8366-5600-4CFC-A0DA-563D94C2C291}"/>
    <dgm:cxn modelId="{098703F0-C004-4996-AAD4-8E93E2EFAF05}" type="presOf" srcId="{F671F3F2-0B0E-435A-98DD-7C6950170964}" destId="{D571BB65-256C-4A0C-A475-3F0DBBB0497D}" srcOrd="0" destOrd="3" presId="urn:microsoft.com/office/officeart/2005/8/layout/process3"/>
    <dgm:cxn modelId="{6F84A3F6-EF0B-4E84-91DB-41B2C92FA3C6}" srcId="{EEC5C6D4-4001-4AB2-AC93-43403C38848C}" destId="{D4FB8510-BAC2-44E7-A766-52BF68FAD594}" srcOrd="3" destOrd="0" parTransId="{D2AB56C9-85A6-4152-87D8-CD4C8F9E0840}" sibTransId="{88AFB344-7339-439F-9430-347131EB3AF8}"/>
    <dgm:cxn modelId="{F8EFCA3D-4BC2-4A64-8499-EE6BE23CE39C}" srcId="{8F51467B-5B76-4AC1-B170-FC949DF776A1}" destId="{2E2C2345-D772-4C96-80FD-E902C20E7159}" srcOrd="1" destOrd="0" parTransId="{CF4354B8-29D5-433F-AE0F-15B8CEB036BB}" sibTransId="{895982A7-CCF4-4EC3-8DA0-0498D687058C}"/>
    <dgm:cxn modelId="{F22B14CA-5637-4C3D-8B9A-951DD2A7B282}" srcId="{D3B6D359-0AF5-4E4D-8A55-2F2CF4E96922}" destId="{8F51467B-5B76-4AC1-B170-FC949DF776A1}" srcOrd="0" destOrd="0" parTransId="{3A31CCC0-9CEC-4C74-8E0D-0A120AD34224}" sibTransId="{68AE2D09-3AAD-4190-873E-834B0A6E33BB}"/>
    <dgm:cxn modelId="{D4C2C3EF-8B0D-4150-906B-56ABB3715633}" srcId="{D3B6D359-0AF5-4E4D-8A55-2F2CF4E96922}" destId="{7F0BC01F-329A-4D5E-9B10-CA0263BB7310}" srcOrd="1" destOrd="0" parTransId="{AEB4DCDB-B474-492F-AFA4-5CD2DD64A8D8}" sibTransId="{00F2D5A1-12FF-4D06-8306-11DFF3FFC056}"/>
    <dgm:cxn modelId="{B3237C98-37F5-42E1-83AB-B32DAECEC375}" type="presOf" srcId="{E018762C-7529-405E-9E59-5EC8B90277E9}" destId="{B610C87B-4422-4485-B62C-E032C9132D86}" srcOrd="0" destOrd="0" presId="urn:microsoft.com/office/officeart/2005/8/layout/process3"/>
    <dgm:cxn modelId="{29091C21-91AF-407A-BBE8-F4E430E76775}" srcId="{9ADA9B75-9E5A-48FB-8A8A-8CD0C98FAB18}" destId="{E67C2C81-198F-4909-B861-9A2F94FAB412}" srcOrd="1" destOrd="0" parTransId="{5FB953F4-115D-4BF1-B7C3-F6225035E89E}" sibTransId="{094FFB80-4FA9-4C70-B751-0B220C68BEAD}"/>
    <dgm:cxn modelId="{82985230-3EA0-471F-9553-E5812545B09A}" type="presOf" srcId="{A70DDC38-3532-4FE4-B796-A00FA698EE0A}" destId="{41A6F96A-0D5D-40A9-90D8-2084D7A7BE95}" srcOrd="0" destOrd="7" presId="urn:microsoft.com/office/officeart/2005/8/layout/process3"/>
    <dgm:cxn modelId="{5F6D7043-DA44-4B54-83EF-C3EEF936951B}" srcId="{9ADA9B75-9E5A-48FB-8A8A-8CD0C98FAB18}" destId="{E9D003F3-1F84-4E22-8125-A7951F4E6611}" srcOrd="3" destOrd="0" parTransId="{F347DD34-2ED8-4FB3-99D3-4638E0A18882}" sibTransId="{41010AC8-3AAD-4397-84C4-DD002F491A73}"/>
    <dgm:cxn modelId="{00035AFB-CA4B-4C55-AF32-A99A0F1AA211}" srcId="{E018762C-7529-405E-9E59-5EC8B90277E9}" destId="{F671F3F2-0B0E-435A-98DD-7C6950170964}" srcOrd="3" destOrd="0" parTransId="{934EC93C-6096-49F8-9127-E2509750368B}" sibTransId="{01BA2356-1360-4570-BA88-9E5797F1C125}"/>
    <dgm:cxn modelId="{62DF5671-F071-4391-9507-1E5F6666A06A}" type="presOf" srcId="{4779E70B-9630-4430-9B35-43F4681E1D84}" destId="{D4D06CF5-15A9-41DA-BB26-0550E1DA3D74}" srcOrd="0" destOrd="6" presId="urn:microsoft.com/office/officeart/2005/8/layout/process3"/>
    <dgm:cxn modelId="{C76F1858-CFE1-42EB-B5B2-CDAF25378929}" type="presOf" srcId="{98B88FA2-3830-429B-A21D-2159E3B468E5}" destId="{D4D06CF5-15A9-41DA-BB26-0550E1DA3D74}" srcOrd="0" destOrd="7" presId="urn:microsoft.com/office/officeart/2005/8/layout/process3"/>
    <dgm:cxn modelId="{AF8CA5F4-0DCC-460D-B32B-588C7298CEF1}" type="presOf" srcId="{E67C2C81-198F-4909-B861-9A2F94FAB412}" destId="{41A6F96A-0D5D-40A9-90D8-2084D7A7BE95}" srcOrd="0" destOrd="8" presId="urn:microsoft.com/office/officeart/2005/8/layout/process3"/>
    <dgm:cxn modelId="{184EBE9D-5159-469A-8399-2F49FE209156}" type="presOf" srcId="{D3B6D359-0AF5-4E4D-8A55-2F2CF4E96922}" destId="{EDAD00D5-469A-4AC9-9D32-0DC4A82D75E7}" srcOrd="1" destOrd="0" presId="urn:microsoft.com/office/officeart/2005/8/layout/process3"/>
    <dgm:cxn modelId="{CA3F6CAD-4848-492B-8C08-30F62D7AD19C}" type="presOf" srcId="{ED61AC60-0B72-4D37-AD99-FFFE5921E78F}" destId="{41A6F96A-0D5D-40A9-90D8-2084D7A7BE95}" srcOrd="0" destOrd="9" presId="urn:microsoft.com/office/officeart/2005/8/layout/process3"/>
    <dgm:cxn modelId="{9EB2D276-0A2D-4290-8C58-C23C063D7E03}" srcId="{EEC5C6D4-4001-4AB2-AC93-43403C38848C}" destId="{5CD8A391-4949-465F-8010-AF2CAFF4A54F}" srcOrd="2" destOrd="0" parTransId="{1A4D250A-F3CB-4D33-A1F5-DDD2E923436A}" sibTransId="{A34F320F-4DB3-4559-A962-049E901833F2}"/>
    <dgm:cxn modelId="{59157962-5452-4C52-B409-052E022D1F19}" srcId="{E018762C-7529-405E-9E59-5EC8B90277E9}" destId="{CD63278E-5DE8-4242-B479-51466CF36ED0}" srcOrd="0" destOrd="0" parTransId="{B2B68DA3-5ED7-4BE8-A98B-FDF730B3DFB0}" sibTransId="{4CB52824-2DC0-4E2C-8238-FBAFFB33C2EC}"/>
    <dgm:cxn modelId="{7E61B87D-4720-4108-A368-23F9289B00DE}" type="presOf" srcId="{EF99E326-0E26-43DD-8F9A-E78A49A81FE0}" destId="{F62B3997-1273-41FE-B34E-644DD98928EB}" srcOrd="0" destOrd="0" presId="urn:microsoft.com/office/officeart/2005/8/layout/process3"/>
    <dgm:cxn modelId="{A7AE0F32-C63B-49AD-9042-A1CFEF4ADDD3}" srcId="{E018762C-7529-405E-9E59-5EC8B90277E9}" destId="{0458613F-9851-42F6-B49A-CA252C6F080A}" srcOrd="1" destOrd="0" parTransId="{A10BE4B8-7FC2-477D-A92A-9598686BE055}" sibTransId="{288F178E-4B99-4390-A48F-FA4D9B70DEBF}"/>
    <dgm:cxn modelId="{2C3609EE-8DA1-41CD-A6C5-C75CE29661AE}" type="presOf" srcId="{6A7A0677-DB47-4829-870F-C2D2F75ADA9B}" destId="{D4D06CF5-15A9-41DA-BB26-0550E1DA3D74}" srcOrd="0" destOrd="10" presId="urn:microsoft.com/office/officeart/2005/8/layout/process3"/>
    <dgm:cxn modelId="{9CBB99C6-86F5-481F-A29F-9055039B3138}" srcId="{D3B6D359-0AF5-4E4D-8A55-2F2CF4E96922}" destId="{9ADA9B75-9E5A-48FB-8A8A-8CD0C98FAB18}" srcOrd="2" destOrd="0" parTransId="{835659E3-E671-49DE-9F2E-31DF6EB218C4}" sibTransId="{DB6DAA44-447C-4802-B9D2-C4EA3D1650FE}"/>
    <dgm:cxn modelId="{F717B134-2E42-4735-A900-38FF190B0E13}" srcId="{4779E70B-9630-4430-9B35-43F4681E1D84}" destId="{3497621F-56A3-4E50-8DA2-AA3F178168B4}" srcOrd="2" destOrd="0" parTransId="{27099DE5-5B1F-41E6-81EF-E57743EAAD1C}" sibTransId="{98BB76E5-5B00-4D9E-9DA1-1D1FD80CF6DE}"/>
    <dgm:cxn modelId="{A1B5744B-15C9-4EEC-8B37-CFA1894B788C}" type="presOf" srcId="{EEC5C6D4-4001-4AB2-AC93-43403C38848C}" destId="{D4D06CF5-15A9-41DA-BB26-0550E1DA3D74}" srcOrd="0" destOrd="0" presId="urn:microsoft.com/office/officeart/2005/8/layout/process3"/>
    <dgm:cxn modelId="{699CEE0B-3063-4AD1-9579-BC7683DA17FC}" srcId="{EEC5C6D4-4001-4AB2-AC93-43403C38848C}" destId="{D03D84BD-B43A-477B-BD59-3EA26BE163BE}" srcOrd="1" destOrd="0" parTransId="{4A092EB9-E40E-4BBE-8C0B-4CE8D5BC7F45}" sibTransId="{8DB5DA94-FC00-4E3C-B903-D8A5059C6AA8}"/>
    <dgm:cxn modelId="{AA0BDFE4-1C0F-4673-8053-63843AC99371}" srcId="{9ADA9B75-9E5A-48FB-8A8A-8CD0C98FAB18}" destId="{ED61AC60-0B72-4D37-AD99-FFFE5921E78F}" srcOrd="2" destOrd="0" parTransId="{EC7C8FF8-DB3D-46D2-A2CE-A7E0216E7CE8}" sibTransId="{8BF65457-B689-4600-88DC-8FB341EE591A}"/>
    <dgm:cxn modelId="{60DBDAF0-4F00-4354-8882-ADF639CFDCFE}" type="presOf" srcId="{BE7B1E0C-D707-490F-8E81-7F6B8D6F9D59}" destId="{D571BB65-256C-4A0C-A475-3F0DBBB0497D}" srcOrd="0" destOrd="4" presId="urn:microsoft.com/office/officeart/2005/8/layout/process3"/>
    <dgm:cxn modelId="{52AD97C7-5CAE-4913-A4C5-9A3BAE1BBA4D}" type="presOf" srcId="{CD63278E-5DE8-4242-B479-51466CF36ED0}" destId="{D571BB65-256C-4A0C-A475-3F0DBBB0497D}" srcOrd="0" destOrd="0" presId="urn:microsoft.com/office/officeart/2005/8/layout/process3"/>
    <dgm:cxn modelId="{9B60252A-C897-4EE7-BE6B-C66A90495DAC}" srcId="{FEE5AB59-51A7-43B9-8623-9B9FB240F7CB}" destId="{E018762C-7529-405E-9E59-5EC8B90277E9}" srcOrd="2" destOrd="0" parTransId="{9E731FD2-75FD-4E59-9652-503F8051E2AE}" sibTransId="{3DEF4DA6-077E-477E-B095-B9EDA78BC0B4}"/>
    <dgm:cxn modelId="{94A4DD10-D795-4813-B963-F140843A9C5C}" type="presOf" srcId="{9ADA9B75-9E5A-48FB-8A8A-8CD0C98FAB18}" destId="{41A6F96A-0D5D-40A9-90D8-2084D7A7BE95}" srcOrd="0" destOrd="6" presId="urn:microsoft.com/office/officeart/2005/8/layout/process3"/>
    <dgm:cxn modelId="{0E49EC07-DA6A-46FB-BAE4-590F67C8F920}" type="presOf" srcId="{E018762C-7529-405E-9E59-5EC8B90277E9}" destId="{E6D6E718-8F1D-4AF1-8DF5-0F2F793EEE72}" srcOrd="1" destOrd="0" presId="urn:microsoft.com/office/officeart/2005/8/layout/process3"/>
    <dgm:cxn modelId="{02AFEF16-28EB-4809-82C7-CD71C5CE6577}" srcId="{E018762C-7529-405E-9E59-5EC8B90277E9}" destId="{5473EC6C-1B82-4270-BBA6-A0EF1C37EEFE}" srcOrd="2" destOrd="0" parTransId="{DED15F0C-5E17-402E-A6DC-AFF30915A032}" sibTransId="{2303DA90-0E38-45DE-A12F-5A1D1C48D352}"/>
    <dgm:cxn modelId="{FED00F4D-AD69-43FB-8B0D-2E78EB5A4AD9}" type="presOf" srcId="{037A66CE-54FE-4C4E-8529-4F1450A7D764}" destId="{D4D06CF5-15A9-41DA-BB26-0550E1DA3D74}" srcOrd="0" destOrd="5" presId="urn:microsoft.com/office/officeart/2005/8/layout/process3"/>
    <dgm:cxn modelId="{4FC28C51-26FA-4004-8A25-B6BF904B0C72}" type="presOf" srcId="{8D541482-D9E2-45D6-BD51-1D3621FE01F7}" destId="{D4D06CF5-15A9-41DA-BB26-0550E1DA3D74}" srcOrd="0" destOrd="12" presId="urn:microsoft.com/office/officeart/2005/8/layout/process3"/>
    <dgm:cxn modelId="{AA358A7E-6A0B-4A89-A795-EAF34D1C062E}" type="presOf" srcId="{029E20C3-F8CB-4F7F-9B14-4200635903D6}" destId="{775A7764-F9FB-4ADD-8884-F6ACCC94195A}" srcOrd="0" destOrd="0" presId="urn:microsoft.com/office/officeart/2005/8/layout/process3"/>
    <dgm:cxn modelId="{8502D65B-F8C3-4352-872F-4B01FD17C838}" srcId="{029E20C3-F8CB-4F7F-9B14-4200635903D6}" destId="{4779E70B-9630-4430-9B35-43F4681E1D84}" srcOrd="1" destOrd="0" parTransId="{24357C7B-E6E9-44B0-825B-9A736A6ECFA4}" sibTransId="{A3743820-9E36-4195-A32E-A831999E926F}"/>
    <dgm:cxn modelId="{F82663EC-D9D5-489A-8994-BF09BB5CD427}" type="presOf" srcId="{D3B6D359-0AF5-4E4D-8A55-2F2CF4E96922}" destId="{A34C8CD9-ABC9-454C-B101-C4365ED6BE67}" srcOrd="0" destOrd="0" presId="urn:microsoft.com/office/officeart/2005/8/layout/process3"/>
    <dgm:cxn modelId="{86F9A4F1-2FFF-4392-ACF4-08BB7B9B63A0}" srcId="{8F51467B-5B76-4AC1-B170-FC949DF776A1}" destId="{4F180685-BF91-492B-97E5-C0F28BBBA764}" srcOrd="0" destOrd="0" parTransId="{525BCB4E-1062-4D30-B429-0AC3E2680943}" sibTransId="{498DBC55-F651-4C76-9EE3-4E4632340ABA}"/>
    <dgm:cxn modelId="{69C188A1-ACF8-49CE-8EA6-0102B674178B}" type="presOf" srcId="{94EC6661-E16B-4858-86E8-7624CDA4F27B}" destId="{D4D06CF5-15A9-41DA-BB26-0550E1DA3D74}" srcOrd="0" destOrd="11" presId="urn:microsoft.com/office/officeart/2005/8/layout/process3"/>
    <dgm:cxn modelId="{E70EC7A5-B316-4B4D-B465-EE9D6B044586}" type="presOf" srcId="{8F51467B-5B76-4AC1-B170-FC949DF776A1}" destId="{41A6F96A-0D5D-40A9-90D8-2084D7A7BE95}" srcOrd="0" destOrd="0" presId="urn:microsoft.com/office/officeart/2005/8/layout/process3"/>
    <dgm:cxn modelId="{BF4082C4-29D7-40A6-BD2C-5B7FA914FE45}" type="presOf" srcId="{0458613F-9851-42F6-B49A-CA252C6F080A}" destId="{D571BB65-256C-4A0C-A475-3F0DBBB0497D}" srcOrd="0" destOrd="1" presId="urn:microsoft.com/office/officeart/2005/8/layout/process3"/>
    <dgm:cxn modelId="{A934E3A5-AC8C-43C1-9778-2E0DEDA2F54B}" type="presOf" srcId="{FEE5AB59-51A7-43B9-8623-9B9FB240F7CB}" destId="{B7789E6A-5BB0-4CC8-A193-7DF33F33BDFD}" srcOrd="0" destOrd="0" presId="urn:microsoft.com/office/officeart/2005/8/layout/process3"/>
    <dgm:cxn modelId="{A29C7B64-5D0A-4BF5-847D-355C76254708}" srcId="{4779E70B-9630-4430-9B35-43F4681E1D84}" destId="{8D541482-D9E2-45D6-BD51-1D3621FE01F7}" srcOrd="5" destOrd="0" parTransId="{9AD3B753-6A09-41F2-97B5-B1BC142633BB}" sibTransId="{643D99D2-C686-4FB6-9E20-4DC2D947E539}"/>
    <dgm:cxn modelId="{33B6EAFB-1B73-4176-B4A8-447D3807A880}" srcId="{FEE5AB59-51A7-43B9-8623-9B9FB240F7CB}" destId="{029E20C3-F8CB-4F7F-9B14-4200635903D6}" srcOrd="1" destOrd="0" parTransId="{9BAD35FC-2F9E-4391-AAFE-03E4F5926229}" sibTransId="{EF99E326-0E26-43DD-8F9A-E78A49A81FE0}"/>
    <dgm:cxn modelId="{AF5ADC66-7934-4A41-8A0A-5A0DB749C954}" srcId="{8F51467B-5B76-4AC1-B170-FC949DF776A1}" destId="{F0A3A0AE-13F0-4158-829F-239F901793FF}" srcOrd="3" destOrd="0" parTransId="{CD630AEB-FE57-46F0-90C4-5B4F46BF63DE}" sibTransId="{FBEB1BED-8190-474E-B74F-0D15D57639BE}"/>
    <dgm:cxn modelId="{8CD3D373-1E1D-4247-8E6F-748EFC6BD1B8}" type="presOf" srcId="{3497621F-56A3-4E50-8DA2-AA3F178168B4}" destId="{D4D06CF5-15A9-41DA-BB26-0550E1DA3D74}" srcOrd="0" destOrd="9" presId="urn:microsoft.com/office/officeart/2005/8/layout/process3"/>
    <dgm:cxn modelId="{07E404A0-C473-48E4-9011-D2F72687598F}" type="presOf" srcId="{7F0BC01F-329A-4D5E-9B10-CA0263BB7310}" destId="{41A6F96A-0D5D-40A9-90D8-2084D7A7BE95}" srcOrd="0" destOrd="5" presId="urn:microsoft.com/office/officeart/2005/8/layout/process3"/>
    <dgm:cxn modelId="{47A39274-913E-4030-8748-5172153C0087}" type="presOf" srcId="{D03D84BD-B43A-477B-BD59-3EA26BE163BE}" destId="{D4D06CF5-15A9-41DA-BB26-0550E1DA3D74}" srcOrd="0" destOrd="2" presId="urn:microsoft.com/office/officeart/2005/8/layout/process3"/>
    <dgm:cxn modelId="{4E485ACF-7F86-4EF4-B547-643935B99061}" type="presOf" srcId="{5CD8A391-4949-465F-8010-AF2CAFF4A54F}" destId="{D4D06CF5-15A9-41DA-BB26-0550E1DA3D74}" srcOrd="0" destOrd="3" presId="urn:microsoft.com/office/officeart/2005/8/layout/process3"/>
    <dgm:cxn modelId="{AAB62173-59B1-44C9-8A5B-7F028AC57441}" srcId="{029E20C3-F8CB-4F7F-9B14-4200635903D6}" destId="{EEC5C6D4-4001-4AB2-AC93-43403C38848C}" srcOrd="0" destOrd="0" parTransId="{601DB46A-94B8-452E-BE18-2D75A9D2D9FD}" sibTransId="{91C57AEC-EEC1-4CEC-9F11-6297DB6D71ED}"/>
    <dgm:cxn modelId="{5F976DE3-D3F0-4875-84FE-7F8BA6900891}" type="presOf" srcId="{F0A3A0AE-13F0-4158-829F-239F901793FF}" destId="{41A6F96A-0D5D-40A9-90D8-2084D7A7BE95}" srcOrd="0" destOrd="4" presId="urn:microsoft.com/office/officeart/2005/8/layout/process3"/>
    <dgm:cxn modelId="{63DF7504-598D-462C-9AC9-C3EBD88025FF}" srcId="{4779E70B-9630-4430-9B35-43F4681E1D84}" destId="{98B88FA2-3830-429B-A21D-2159E3B468E5}" srcOrd="0" destOrd="0" parTransId="{10A1E532-C818-4BB9-8FF3-F186E1CB635E}" sibTransId="{9D92DFEF-8B98-441E-878C-652E6A23E82D}"/>
    <dgm:cxn modelId="{2D1AE661-AD66-46F8-BF84-71FBA907E6E1}" type="presOf" srcId="{E9D003F3-1F84-4E22-8125-A7951F4E6611}" destId="{41A6F96A-0D5D-40A9-90D8-2084D7A7BE95}" srcOrd="0" destOrd="10" presId="urn:microsoft.com/office/officeart/2005/8/layout/process3"/>
    <dgm:cxn modelId="{48F5AAC2-3B41-4303-AE13-A32538B0DDCB}" type="presOf" srcId="{2E2C2345-D772-4C96-80FD-E902C20E7159}" destId="{41A6F96A-0D5D-40A9-90D8-2084D7A7BE95}" srcOrd="0" destOrd="2" presId="urn:microsoft.com/office/officeart/2005/8/layout/process3"/>
    <dgm:cxn modelId="{00663933-7693-4CA0-880C-B0DE1CFE1CF7}" type="presOf" srcId="{029E20C3-F8CB-4F7F-9B14-4200635903D6}" destId="{CADE8A18-7036-48AB-9960-3432BC5876F6}" srcOrd="1" destOrd="0" presId="urn:microsoft.com/office/officeart/2005/8/layout/process3"/>
    <dgm:cxn modelId="{6B39C147-81CB-41A9-A2DF-073482C22308}" srcId="{4779E70B-9630-4430-9B35-43F4681E1D84}" destId="{94EC6661-E16B-4858-86E8-7624CDA4F27B}" srcOrd="4" destOrd="0" parTransId="{4D41547E-8B64-44D8-AD20-BF2CD075C1FC}" sibTransId="{12A807D9-103E-4C56-822A-783B705F5C54}"/>
    <dgm:cxn modelId="{BF70A993-61D6-4EE0-BC6C-B9750049C6B7}" srcId="{9ADA9B75-9E5A-48FB-8A8A-8CD0C98FAB18}" destId="{A70DDC38-3532-4FE4-B796-A00FA698EE0A}" srcOrd="0" destOrd="0" parTransId="{DEFE4E99-F9AE-4935-95C4-F0D164D934E2}" sibTransId="{6900E27E-2993-4193-AF1C-0F92B3330542}"/>
    <dgm:cxn modelId="{9910632B-D876-4D25-9CBE-C6AD33408E9C}" type="presOf" srcId="{3DBA2C6E-F830-4D06-90C7-F5EE36C8F893}" destId="{41A6F96A-0D5D-40A9-90D8-2084D7A7BE95}" srcOrd="0" destOrd="3" presId="urn:microsoft.com/office/officeart/2005/8/layout/process3"/>
    <dgm:cxn modelId="{AFCD9B4C-DD74-4285-B3D3-DA5B07F7DFAF}" type="presOf" srcId="{5473EC6C-1B82-4270-BBA6-A0EF1C37EEFE}" destId="{D571BB65-256C-4A0C-A475-3F0DBBB0497D}" srcOrd="0" destOrd="2" presId="urn:microsoft.com/office/officeart/2005/8/layout/process3"/>
    <dgm:cxn modelId="{59ED0E35-B20F-4FB6-9BDB-4EA3DF879486}" type="presOf" srcId="{D4FB8510-BAC2-44E7-A766-52BF68FAD594}" destId="{D4D06CF5-15A9-41DA-BB26-0550E1DA3D74}" srcOrd="0" destOrd="4" presId="urn:microsoft.com/office/officeart/2005/8/layout/process3"/>
    <dgm:cxn modelId="{7B8C11B2-D47F-4142-BCDF-27955222365A}" type="presOf" srcId="{12351AA9-4F53-4FE6-9CDD-1A9D1F5D4B8B}" destId="{D4D06CF5-15A9-41DA-BB26-0550E1DA3D74}" srcOrd="0" destOrd="1" presId="urn:microsoft.com/office/officeart/2005/8/layout/process3"/>
    <dgm:cxn modelId="{DBF8B1F2-7764-45F6-AA70-5D2FC0D15203}" srcId="{FEE5AB59-51A7-43B9-8623-9B9FB240F7CB}" destId="{D3B6D359-0AF5-4E4D-8A55-2F2CF4E96922}" srcOrd="0" destOrd="0" parTransId="{199128B9-E05B-4BC8-A6D8-616ABB633C0B}" sibTransId="{F456C727-714E-41E7-9573-2F7866FC381D}"/>
    <dgm:cxn modelId="{5DC05737-C185-43A9-B8D5-8309AF02E861}" srcId="{EEC5C6D4-4001-4AB2-AC93-43403C38848C}" destId="{037A66CE-54FE-4C4E-8529-4F1450A7D764}" srcOrd="4" destOrd="0" parTransId="{74553ACE-2DB0-4750-A176-ED1F1BFC141C}" sibTransId="{D0CB47BE-DCEB-499F-A8A5-BAC1662074CA}"/>
    <dgm:cxn modelId="{5724D06D-69D4-4DAE-9939-85AD0AE759FD}" srcId="{E018762C-7529-405E-9E59-5EC8B90277E9}" destId="{BE7B1E0C-D707-490F-8E81-7F6B8D6F9D59}" srcOrd="4" destOrd="0" parTransId="{416C8924-B0A9-4456-88DC-B83C1DCC0AA3}" sibTransId="{D332D1F6-8DC4-459F-90FC-1E6428EA53AC}"/>
    <dgm:cxn modelId="{2BBA4623-37F2-4A82-B1A9-F70543146206}" type="presOf" srcId="{F456C727-714E-41E7-9573-2F7866FC381D}" destId="{9EC10BFD-42DF-46A1-BDDB-52B946A90486}" srcOrd="1" destOrd="0" presId="urn:microsoft.com/office/officeart/2005/8/layout/process3"/>
    <dgm:cxn modelId="{87E9484F-7EAA-4EE3-AABD-6C5F7D322B00}" srcId="{EEC5C6D4-4001-4AB2-AC93-43403C38848C}" destId="{12351AA9-4F53-4FE6-9CDD-1A9D1F5D4B8B}" srcOrd="0" destOrd="0" parTransId="{48DC4135-E436-49C5-906A-9D143A0FBF26}" sibTransId="{D1ABF699-9B02-4E9F-A143-703CBD3E3B95}"/>
    <dgm:cxn modelId="{36B51E9D-EEF2-4D2A-B77E-654604957DFC}" type="presOf" srcId="{D82E683A-4D6A-4D28-860C-A680B67A0203}" destId="{D4D06CF5-15A9-41DA-BB26-0550E1DA3D74}" srcOrd="0" destOrd="8" presId="urn:microsoft.com/office/officeart/2005/8/layout/process3"/>
    <dgm:cxn modelId="{E223458D-204D-4EB6-ABB6-BC94476211E6}" type="presOf" srcId="{F456C727-714E-41E7-9573-2F7866FC381D}" destId="{215D3734-A592-45D1-BB99-06BDA9B81F56}" srcOrd="0" destOrd="0" presId="urn:microsoft.com/office/officeart/2005/8/layout/process3"/>
    <dgm:cxn modelId="{7D162292-D98B-4458-B2B2-79B7C175DDA5}" srcId="{8F51467B-5B76-4AC1-B170-FC949DF776A1}" destId="{3DBA2C6E-F830-4D06-90C7-F5EE36C8F893}" srcOrd="2" destOrd="0" parTransId="{00578E30-7311-4A8D-B15F-7823251DFB8C}" sibTransId="{76E43C42-C215-4DD5-A97D-19D3D559976C}"/>
    <dgm:cxn modelId="{C8D2F705-1AC6-43F6-9256-FD996D50AA04}" type="presOf" srcId="{EF99E326-0E26-43DD-8F9A-E78A49A81FE0}" destId="{7671D7A9-EE13-45EF-9087-884343D0BEE6}" srcOrd="1" destOrd="0" presId="urn:microsoft.com/office/officeart/2005/8/layout/process3"/>
    <dgm:cxn modelId="{8A145D66-0C2D-47D5-BAFC-BEA0F386C78D}" srcId="{4779E70B-9630-4430-9B35-43F4681E1D84}" destId="{D82E683A-4D6A-4D28-860C-A680B67A0203}" srcOrd="1" destOrd="0" parTransId="{58D2D55E-6B8C-46D5-B156-154184145B56}" sibTransId="{485ED617-A1A8-4FBA-A5F4-17D7B4406631}"/>
    <dgm:cxn modelId="{69C27084-ECA7-4C5F-836C-2F838E718B30}" type="presParOf" srcId="{B7789E6A-5BB0-4CC8-A193-7DF33F33BDFD}" destId="{452FBAE2-803F-4928-841C-187ECAFD534B}" srcOrd="0" destOrd="0" presId="urn:microsoft.com/office/officeart/2005/8/layout/process3"/>
    <dgm:cxn modelId="{047EF2F1-0C23-4E21-98BB-6332DBBBD42D}" type="presParOf" srcId="{452FBAE2-803F-4928-841C-187ECAFD534B}" destId="{A34C8CD9-ABC9-454C-B101-C4365ED6BE67}" srcOrd="0" destOrd="0" presId="urn:microsoft.com/office/officeart/2005/8/layout/process3"/>
    <dgm:cxn modelId="{0FF0F820-A170-4D9F-BA51-FE173B06DB5F}" type="presParOf" srcId="{452FBAE2-803F-4928-841C-187ECAFD534B}" destId="{EDAD00D5-469A-4AC9-9D32-0DC4A82D75E7}" srcOrd="1" destOrd="0" presId="urn:microsoft.com/office/officeart/2005/8/layout/process3"/>
    <dgm:cxn modelId="{12B7D686-7120-42B1-B37F-2E111D092497}" type="presParOf" srcId="{452FBAE2-803F-4928-841C-187ECAFD534B}" destId="{41A6F96A-0D5D-40A9-90D8-2084D7A7BE95}" srcOrd="2" destOrd="0" presId="urn:microsoft.com/office/officeart/2005/8/layout/process3"/>
    <dgm:cxn modelId="{B2EACEF8-EE28-411E-8BA6-3D5AA3823DE2}" type="presParOf" srcId="{B7789E6A-5BB0-4CC8-A193-7DF33F33BDFD}" destId="{215D3734-A592-45D1-BB99-06BDA9B81F56}" srcOrd="1" destOrd="0" presId="urn:microsoft.com/office/officeart/2005/8/layout/process3"/>
    <dgm:cxn modelId="{EBCB7DDF-15C9-4E8E-AC8B-B6DA9C8FA2FD}" type="presParOf" srcId="{215D3734-A592-45D1-BB99-06BDA9B81F56}" destId="{9EC10BFD-42DF-46A1-BDDB-52B946A90486}" srcOrd="0" destOrd="0" presId="urn:microsoft.com/office/officeart/2005/8/layout/process3"/>
    <dgm:cxn modelId="{7B8A43C0-8274-414A-81CB-6B474CB6E1B8}" type="presParOf" srcId="{B7789E6A-5BB0-4CC8-A193-7DF33F33BDFD}" destId="{6DFCFF6B-B0AF-4228-8442-AED8FE630059}" srcOrd="2" destOrd="0" presId="urn:microsoft.com/office/officeart/2005/8/layout/process3"/>
    <dgm:cxn modelId="{2A3FB8B7-6D17-471A-9BFE-2D850EC4F71E}" type="presParOf" srcId="{6DFCFF6B-B0AF-4228-8442-AED8FE630059}" destId="{775A7764-F9FB-4ADD-8884-F6ACCC94195A}" srcOrd="0" destOrd="0" presId="urn:microsoft.com/office/officeart/2005/8/layout/process3"/>
    <dgm:cxn modelId="{9631DCFE-65D8-459D-BE0C-989AE8D60423}" type="presParOf" srcId="{6DFCFF6B-B0AF-4228-8442-AED8FE630059}" destId="{CADE8A18-7036-48AB-9960-3432BC5876F6}" srcOrd="1" destOrd="0" presId="urn:microsoft.com/office/officeart/2005/8/layout/process3"/>
    <dgm:cxn modelId="{69FB61EF-26DE-4CE2-8588-3D2DC438C81A}" type="presParOf" srcId="{6DFCFF6B-B0AF-4228-8442-AED8FE630059}" destId="{D4D06CF5-15A9-41DA-BB26-0550E1DA3D74}" srcOrd="2" destOrd="0" presId="urn:microsoft.com/office/officeart/2005/8/layout/process3"/>
    <dgm:cxn modelId="{8240A5C7-A033-4D10-B44F-9E043DE65EEA}" type="presParOf" srcId="{B7789E6A-5BB0-4CC8-A193-7DF33F33BDFD}" destId="{F62B3997-1273-41FE-B34E-644DD98928EB}" srcOrd="3" destOrd="0" presId="urn:microsoft.com/office/officeart/2005/8/layout/process3"/>
    <dgm:cxn modelId="{EB4E85A1-BBA9-41EC-863C-485528AF19E2}" type="presParOf" srcId="{F62B3997-1273-41FE-B34E-644DD98928EB}" destId="{7671D7A9-EE13-45EF-9087-884343D0BEE6}" srcOrd="0" destOrd="0" presId="urn:microsoft.com/office/officeart/2005/8/layout/process3"/>
    <dgm:cxn modelId="{5A92B7E9-56DE-410C-BE77-703DBA8DACE1}" type="presParOf" srcId="{B7789E6A-5BB0-4CC8-A193-7DF33F33BDFD}" destId="{1FFCC6CE-047E-4E9F-8108-928750F9D9D1}" srcOrd="4" destOrd="0" presId="urn:microsoft.com/office/officeart/2005/8/layout/process3"/>
    <dgm:cxn modelId="{24BE73E6-07B3-4D33-B917-E9D48DA5CB26}" type="presParOf" srcId="{1FFCC6CE-047E-4E9F-8108-928750F9D9D1}" destId="{B610C87B-4422-4485-B62C-E032C9132D86}" srcOrd="0" destOrd="0" presId="urn:microsoft.com/office/officeart/2005/8/layout/process3"/>
    <dgm:cxn modelId="{E53B7508-EA89-4095-A197-33CDEA510B02}" type="presParOf" srcId="{1FFCC6CE-047E-4E9F-8108-928750F9D9D1}" destId="{E6D6E718-8F1D-4AF1-8DF5-0F2F793EEE72}" srcOrd="1" destOrd="0" presId="urn:microsoft.com/office/officeart/2005/8/layout/process3"/>
    <dgm:cxn modelId="{CEF4BFC9-9954-4B7D-8899-955CB00DA22A}" type="presParOf" srcId="{1FFCC6CE-047E-4E9F-8108-928750F9D9D1}" destId="{D571BB65-256C-4A0C-A475-3F0DBBB0497D}" srcOrd="2" destOrd="0" presId="urn:microsoft.com/office/officeart/2005/8/layout/process3"/>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51F860-0FE5-42DE-B049-F81D4EE6DCD2}" type="doc">
      <dgm:prSet loTypeId="urn:microsoft.com/office/officeart/2005/8/layout/pyramid1" loCatId="pyramid" qsTypeId="urn:microsoft.com/office/officeart/2005/8/quickstyle/simple3" qsCatId="simple" csTypeId="urn:microsoft.com/office/officeart/2005/8/colors/colorful4" csCatId="colorful" phldr="1"/>
      <dgm:spPr/>
    </dgm:pt>
    <dgm:pt modelId="{F80C3AAD-78D3-4356-AE6D-23C4173966B7}">
      <dgm:prSet phldrT="[Text]" custT="1"/>
      <dgm:spPr/>
      <dgm:t>
        <a:bodyPr/>
        <a:lstStyle/>
        <a:p>
          <a:r>
            <a:rPr lang="en-US" sz="1000" b="1">
              <a:latin typeface="+mj-lt"/>
            </a:rPr>
            <a:t>Social needs</a:t>
          </a:r>
        </a:p>
        <a:p>
          <a:r>
            <a:rPr lang="en-US" sz="1000">
              <a:latin typeface="+mj-lt"/>
            </a:rPr>
            <a:t>Sense of belonging, love</a:t>
          </a:r>
          <a:endParaRPr lang="th-TH" sz="1000">
            <a:latin typeface="+mj-lt"/>
          </a:endParaRPr>
        </a:p>
      </dgm:t>
    </dgm:pt>
    <dgm:pt modelId="{496B5A28-7679-4FB2-8161-A7C6E22BEDF1}" type="parTrans" cxnId="{318C993D-80C5-40CE-A88C-1B25CD4BE7FF}">
      <dgm:prSet/>
      <dgm:spPr/>
      <dgm:t>
        <a:bodyPr/>
        <a:lstStyle/>
        <a:p>
          <a:endParaRPr lang="th-TH" sz="1000">
            <a:latin typeface="+mj-lt"/>
          </a:endParaRPr>
        </a:p>
      </dgm:t>
    </dgm:pt>
    <dgm:pt modelId="{E61F4896-3590-4AA6-82FA-121528A8C9BD}" type="sibTrans" cxnId="{318C993D-80C5-40CE-A88C-1B25CD4BE7FF}">
      <dgm:prSet/>
      <dgm:spPr/>
      <dgm:t>
        <a:bodyPr/>
        <a:lstStyle/>
        <a:p>
          <a:endParaRPr lang="th-TH" sz="1000">
            <a:latin typeface="+mj-lt"/>
          </a:endParaRPr>
        </a:p>
      </dgm:t>
    </dgm:pt>
    <dgm:pt modelId="{7DD6906B-53C0-411E-B2FE-9A9F956E173A}">
      <dgm:prSet phldrT="[Text]" custT="1"/>
      <dgm:spPr/>
      <dgm:t>
        <a:bodyPr/>
        <a:lstStyle/>
        <a:p>
          <a:r>
            <a:rPr lang="en-US" sz="1000" b="1">
              <a:latin typeface="+mj-lt"/>
            </a:rPr>
            <a:t>Safety needs</a:t>
          </a:r>
        </a:p>
        <a:p>
          <a:r>
            <a:rPr lang="en-US" sz="1000">
              <a:latin typeface="+mj-lt"/>
            </a:rPr>
            <a:t>Security, protection</a:t>
          </a:r>
          <a:endParaRPr lang="th-TH" sz="1000">
            <a:latin typeface="+mj-lt"/>
          </a:endParaRPr>
        </a:p>
      </dgm:t>
    </dgm:pt>
    <dgm:pt modelId="{1A25205F-B125-4A95-8749-D2880180A105}" type="parTrans" cxnId="{4E98E67F-26C4-44C8-AAD0-82F7B0D3254B}">
      <dgm:prSet/>
      <dgm:spPr/>
      <dgm:t>
        <a:bodyPr/>
        <a:lstStyle/>
        <a:p>
          <a:endParaRPr lang="th-TH" sz="1000">
            <a:latin typeface="+mj-lt"/>
          </a:endParaRPr>
        </a:p>
      </dgm:t>
    </dgm:pt>
    <dgm:pt modelId="{80480FB5-8978-4AC7-A8D5-48CA58A8BD12}" type="sibTrans" cxnId="{4E98E67F-26C4-44C8-AAD0-82F7B0D3254B}">
      <dgm:prSet/>
      <dgm:spPr/>
      <dgm:t>
        <a:bodyPr/>
        <a:lstStyle/>
        <a:p>
          <a:endParaRPr lang="th-TH" sz="1000">
            <a:latin typeface="+mj-lt"/>
          </a:endParaRPr>
        </a:p>
      </dgm:t>
    </dgm:pt>
    <dgm:pt modelId="{5A3F448D-ED27-4D87-8CFA-71C2D7053B39}">
      <dgm:prSet phldrT="[Text]" custT="1"/>
      <dgm:spPr/>
      <dgm:t>
        <a:bodyPr/>
        <a:lstStyle/>
        <a:p>
          <a:r>
            <a:rPr lang="en-US" sz="1000" b="1">
              <a:latin typeface="+mj-lt"/>
            </a:rPr>
            <a:t>Physiological needs</a:t>
          </a:r>
        </a:p>
        <a:p>
          <a:r>
            <a:rPr lang="en-US" sz="1000">
              <a:latin typeface="+mj-lt"/>
            </a:rPr>
            <a:t>Hunger, thirst</a:t>
          </a:r>
          <a:endParaRPr lang="th-TH" sz="1000">
            <a:latin typeface="+mj-lt"/>
          </a:endParaRPr>
        </a:p>
      </dgm:t>
    </dgm:pt>
    <dgm:pt modelId="{33242DC4-5EEF-485F-A4FC-9F60AB1F79EA}" type="parTrans" cxnId="{75A0F129-87CF-4E1F-B434-6EF27DB615CC}">
      <dgm:prSet/>
      <dgm:spPr/>
      <dgm:t>
        <a:bodyPr/>
        <a:lstStyle/>
        <a:p>
          <a:endParaRPr lang="th-TH" sz="1000">
            <a:latin typeface="+mj-lt"/>
          </a:endParaRPr>
        </a:p>
      </dgm:t>
    </dgm:pt>
    <dgm:pt modelId="{A939831E-673A-47AC-8B38-AA90B6F48BB3}" type="sibTrans" cxnId="{75A0F129-87CF-4E1F-B434-6EF27DB615CC}">
      <dgm:prSet/>
      <dgm:spPr/>
      <dgm:t>
        <a:bodyPr/>
        <a:lstStyle/>
        <a:p>
          <a:endParaRPr lang="th-TH" sz="1000">
            <a:latin typeface="+mj-lt"/>
          </a:endParaRPr>
        </a:p>
      </dgm:t>
    </dgm:pt>
    <dgm:pt modelId="{BDFEC2F8-0A03-468C-97EC-3F06166D1D17}">
      <dgm:prSet custT="1"/>
      <dgm:spPr/>
      <dgm:t>
        <a:bodyPr/>
        <a:lstStyle/>
        <a:p>
          <a:r>
            <a:rPr lang="en-US" sz="1000" b="1">
              <a:latin typeface="+mj-lt"/>
            </a:rPr>
            <a:t>Esteem needs</a:t>
          </a:r>
        </a:p>
        <a:p>
          <a:r>
            <a:rPr lang="en-US" sz="1000">
              <a:latin typeface="+mj-lt"/>
            </a:rPr>
            <a:t>Seld-esteem, recognition, status</a:t>
          </a:r>
          <a:endParaRPr lang="th-TH" sz="1000">
            <a:latin typeface="+mj-lt"/>
          </a:endParaRPr>
        </a:p>
      </dgm:t>
    </dgm:pt>
    <dgm:pt modelId="{05DD3BE5-355D-451A-8588-4554B71951D4}" type="parTrans" cxnId="{3F03840D-8D43-4C6C-A74C-5DF161D85A70}">
      <dgm:prSet/>
      <dgm:spPr/>
      <dgm:t>
        <a:bodyPr/>
        <a:lstStyle/>
        <a:p>
          <a:endParaRPr lang="th-TH" sz="1000">
            <a:latin typeface="+mj-lt"/>
          </a:endParaRPr>
        </a:p>
      </dgm:t>
    </dgm:pt>
    <dgm:pt modelId="{9047BE5B-E622-4BF3-B39F-128D487057BE}" type="sibTrans" cxnId="{3F03840D-8D43-4C6C-A74C-5DF161D85A70}">
      <dgm:prSet/>
      <dgm:spPr/>
      <dgm:t>
        <a:bodyPr/>
        <a:lstStyle/>
        <a:p>
          <a:endParaRPr lang="th-TH" sz="1000">
            <a:latin typeface="+mj-lt"/>
          </a:endParaRPr>
        </a:p>
      </dgm:t>
    </dgm:pt>
    <dgm:pt modelId="{CD1FF273-3E10-4020-9F3D-44A122544273}">
      <dgm:prSet custT="1"/>
      <dgm:spPr/>
      <dgm:t>
        <a:bodyPr/>
        <a:lstStyle/>
        <a:p>
          <a:r>
            <a:rPr lang="en-US" sz="1000" b="1">
              <a:latin typeface="+mj-lt"/>
            </a:rPr>
            <a:t>Self-actualisation needs</a:t>
          </a:r>
        </a:p>
        <a:p>
          <a:r>
            <a:rPr lang="en-US" sz="1000">
              <a:latin typeface="+mj-lt"/>
            </a:rPr>
            <a:t>Self-development</a:t>
          </a:r>
        </a:p>
        <a:p>
          <a:r>
            <a:rPr lang="en-US" sz="1000">
              <a:latin typeface="+mj-lt"/>
            </a:rPr>
            <a:t>and realization</a:t>
          </a:r>
        </a:p>
        <a:p>
          <a:endParaRPr lang="th-TH" sz="1000">
            <a:latin typeface="+mj-lt"/>
          </a:endParaRPr>
        </a:p>
      </dgm:t>
    </dgm:pt>
    <dgm:pt modelId="{894853F2-453B-489F-9C71-9F9AC7612A4F}" type="parTrans" cxnId="{7C229B9B-C93F-463A-9613-681AA1468841}">
      <dgm:prSet/>
      <dgm:spPr/>
      <dgm:t>
        <a:bodyPr/>
        <a:lstStyle/>
        <a:p>
          <a:endParaRPr lang="th-TH" sz="1000">
            <a:latin typeface="+mj-lt"/>
          </a:endParaRPr>
        </a:p>
      </dgm:t>
    </dgm:pt>
    <dgm:pt modelId="{6710B78F-6F63-4491-9A89-DD95A75321C6}" type="sibTrans" cxnId="{7C229B9B-C93F-463A-9613-681AA1468841}">
      <dgm:prSet/>
      <dgm:spPr/>
      <dgm:t>
        <a:bodyPr/>
        <a:lstStyle/>
        <a:p>
          <a:endParaRPr lang="th-TH" sz="1000">
            <a:latin typeface="+mj-lt"/>
          </a:endParaRPr>
        </a:p>
      </dgm:t>
    </dgm:pt>
    <dgm:pt modelId="{589BC976-F70C-4235-8588-649344BDDE45}" type="pres">
      <dgm:prSet presAssocID="{5851F860-0FE5-42DE-B049-F81D4EE6DCD2}" presName="Name0" presStyleCnt="0">
        <dgm:presLayoutVars>
          <dgm:dir/>
          <dgm:animLvl val="lvl"/>
          <dgm:resizeHandles val="exact"/>
        </dgm:presLayoutVars>
      </dgm:prSet>
      <dgm:spPr/>
    </dgm:pt>
    <dgm:pt modelId="{5F3E5496-2989-4021-A21D-09FBE6D4BB0E}" type="pres">
      <dgm:prSet presAssocID="{CD1FF273-3E10-4020-9F3D-44A122544273}" presName="Name8" presStyleCnt="0"/>
      <dgm:spPr/>
    </dgm:pt>
    <dgm:pt modelId="{A63F3D92-B171-42D3-9208-341662EF8DD9}" type="pres">
      <dgm:prSet presAssocID="{CD1FF273-3E10-4020-9F3D-44A122544273}" presName="level" presStyleLbl="node1" presStyleIdx="0" presStyleCnt="5">
        <dgm:presLayoutVars>
          <dgm:chMax val="1"/>
          <dgm:bulletEnabled val="1"/>
        </dgm:presLayoutVars>
      </dgm:prSet>
      <dgm:spPr/>
      <dgm:t>
        <a:bodyPr/>
        <a:lstStyle/>
        <a:p>
          <a:endParaRPr lang="th-TH"/>
        </a:p>
      </dgm:t>
    </dgm:pt>
    <dgm:pt modelId="{FA597428-1532-4EC2-84E0-010F728D6848}" type="pres">
      <dgm:prSet presAssocID="{CD1FF273-3E10-4020-9F3D-44A122544273}" presName="levelTx" presStyleLbl="revTx" presStyleIdx="0" presStyleCnt="0">
        <dgm:presLayoutVars>
          <dgm:chMax val="1"/>
          <dgm:bulletEnabled val="1"/>
        </dgm:presLayoutVars>
      </dgm:prSet>
      <dgm:spPr/>
      <dgm:t>
        <a:bodyPr/>
        <a:lstStyle/>
        <a:p>
          <a:endParaRPr lang="th-TH"/>
        </a:p>
      </dgm:t>
    </dgm:pt>
    <dgm:pt modelId="{06E5AB06-67DC-4547-90DB-DE808969D488}" type="pres">
      <dgm:prSet presAssocID="{BDFEC2F8-0A03-468C-97EC-3F06166D1D17}" presName="Name8" presStyleCnt="0"/>
      <dgm:spPr/>
    </dgm:pt>
    <dgm:pt modelId="{F5B057F7-4B5E-464A-8766-4FADE15C631B}" type="pres">
      <dgm:prSet presAssocID="{BDFEC2F8-0A03-468C-97EC-3F06166D1D17}" presName="level" presStyleLbl="node1" presStyleIdx="1" presStyleCnt="5">
        <dgm:presLayoutVars>
          <dgm:chMax val="1"/>
          <dgm:bulletEnabled val="1"/>
        </dgm:presLayoutVars>
      </dgm:prSet>
      <dgm:spPr/>
      <dgm:t>
        <a:bodyPr/>
        <a:lstStyle/>
        <a:p>
          <a:endParaRPr lang="th-TH"/>
        </a:p>
      </dgm:t>
    </dgm:pt>
    <dgm:pt modelId="{FE9F5DDE-6522-4AF9-92FF-66ECF4BD0DBA}" type="pres">
      <dgm:prSet presAssocID="{BDFEC2F8-0A03-468C-97EC-3F06166D1D17}" presName="levelTx" presStyleLbl="revTx" presStyleIdx="0" presStyleCnt="0">
        <dgm:presLayoutVars>
          <dgm:chMax val="1"/>
          <dgm:bulletEnabled val="1"/>
        </dgm:presLayoutVars>
      </dgm:prSet>
      <dgm:spPr/>
      <dgm:t>
        <a:bodyPr/>
        <a:lstStyle/>
        <a:p>
          <a:endParaRPr lang="th-TH"/>
        </a:p>
      </dgm:t>
    </dgm:pt>
    <dgm:pt modelId="{33FC0041-06CD-4D3E-A952-50989301B93C}" type="pres">
      <dgm:prSet presAssocID="{F80C3AAD-78D3-4356-AE6D-23C4173966B7}" presName="Name8" presStyleCnt="0"/>
      <dgm:spPr/>
    </dgm:pt>
    <dgm:pt modelId="{408115FB-7F83-4EF1-B1D8-13993A6C8B61}" type="pres">
      <dgm:prSet presAssocID="{F80C3AAD-78D3-4356-AE6D-23C4173966B7}" presName="level" presStyleLbl="node1" presStyleIdx="2" presStyleCnt="5">
        <dgm:presLayoutVars>
          <dgm:chMax val="1"/>
          <dgm:bulletEnabled val="1"/>
        </dgm:presLayoutVars>
      </dgm:prSet>
      <dgm:spPr/>
      <dgm:t>
        <a:bodyPr/>
        <a:lstStyle/>
        <a:p>
          <a:endParaRPr lang="th-TH"/>
        </a:p>
      </dgm:t>
    </dgm:pt>
    <dgm:pt modelId="{FA9B53FD-F168-479A-A83D-DC940AD3E430}" type="pres">
      <dgm:prSet presAssocID="{F80C3AAD-78D3-4356-AE6D-23C4173966B7}" presName="levelTx" presStyleLbl="revTx" presStyleIdx="0" presStyleCnt="0">
        <dgm:presLayoutVars>
          <dgm:chMax val="1"/>
          <dgm:bulletEnabled val="1"/>
        </dgm:presLayoutVars>
      </dgm:prSet>
      <dgm:spPr/>
      <dgm:t>
        <a:bodyPr/>
        <a:lstStyle/>
        <a:p>
          <a:endParaRPr lang="th-TH"/>
        </a:p>
      </dgm:t>
    </dgm:pt>
    <dgm:pt modelId="{CBCD500C-B269-4145-BB70-2221044F4A3D}" type="pres">
      <dgm:prSet presAssocID="{7DD6906B-53C0-411E-B2FE-9A9F956E173A}" presName="Name8" presStyleCnt="0"/>
      <dgm:spPr/>
    </dgm:pt>
    <dgm:pt modelId="{20AFC26B-8225-4AD8-A2F4-550C7E22226A}" type="pres">
      <dgm:prSet presAssocID="{7DD6906B-53C0-411E-B2FE-9A9F956E173A}" presName="level" presStyleLbl="node1" presStyleIdx="3" presStyleCnt="5">
        <dgm:presLayoutVars>
          <dgm:chMax val="1"/>
          <dgm:bulletEnabled val="1"/>
        </dgm:presLayoutVars>
      </dgm:prSet>
      <dgm:spPr/>
      <dgm:t>
        <a:bodyPr/>
        <a:lstStyle/>
        <a:p>
          <a:endParaRPr lang="th-TH"/>
        </a:p>
      </dgm:t>
    </dgm:pt>
    <dgm:pt modelId="{67D82497-8EE7-4FE7-943E-78C88F0B77E8}" type="pres">
      <dgm:prSet presAssocID="{7DD6906B-53C0-411E-B2FE-9A9F956E173A}" presName="levelTx" presStyleLbl="revTx" presStyleIdx="0" presStyleCnt="0">
        <dgm:presLayoutVars>
          <dgm:chMax val="1"/>
          <dgm:bulletEnabled val="1"/>
        </dgm:presLayoutVars>
      </dgm:prSet>
      <dgm:spPr/>
      <dgm:t>
        <a:bodyPr/>
        <a:lstStyle/>
        <a:p>
          <a:endParaRPr lang="th-TH"/>
        </a:p>
      </dgm:t>
    </dgm:pt>
    <dgm:pt modelId="{9090CE37-ABBD-49CC-A2C4-655DB2285280}" type="pres">
      <dgm:prSet presAssocID="{5A3F448D-ED27-4D87-8CFA-71C2D7053B39}" presName="Name8" presStyleCnt="0"/>
      <dgm:spPr/>
    </dgm:pt>
    <dgm:pt modelId="{562C79D1-E5EF-44FF-9D8C-C6499EECD256}" type="pres">
      <dgm:prSet presAssocID="{5A3F448D-ED27-4D87-8CFA-71C2D7053B39}" presName="level" presStyleLbl="node1" presStyleIdx="4" presStyleCnt="5">
        <dgm:presLayoutVars>
          <dgm:chMax val="1"/>
          <dgm:bulletEnabled val="1"/>
        </dgm:presLayoutVars>
      </dgm:prSet>
      <dgm:spPr/>
      <dgm:t>
        <a:bodyPr/>
        <a:lstStyle/>
        <a:p>
          <a:endParaRPr lang="th-TH"/>
        </a:p>
      </dgm:t>
    </dgm:pt>
    <dgm:pt modelId="{F800EB94-F007-43C2-AA3C-9FB13869769F}" type="pres">
      <dgm:prSet presAssocID="{5A3F448D-ED27-4D87-8CFA-71C2D7053B39}" presName="levelTx" presStyleLbl="revTx" presStyleIdx="0" presStyleCnt="0">
        <dgm:presLayoutVars>
          <dgm:chMax val="1"/>
          <dgm:bulletEnabled val="1"/>
        </dgm:presLayoutVars>
      </dgm:prSet>
      <dgm:spPr/>
      <dgm:t>
        <a:bodyPr/>
        <a:lstStyle/>
        <a:p>
          <a:endParaRPr lang="th-TH"/>
        </a:p>
      </dgm:t>
    </dgm:pt>
  </dgm:ptLst>
  <dgm:cxnLst>
    <dgm:cxn modelId="{40D408CF-8914-48F0-9C9F-9A7954E8193C}" type="presOf" srcId="{BDFEC2F8-0A03-468C-97EC-3F06166D1D17}" destId="{F5B057F7-4B5E-464A-8766-4FADE15C631B}" srcOrd="0" destOrd="0" presId="urn:microsoft.com/office/officeart/2005/8/layout/pyramid1"/>
    <dgm:cxn modelId="{DA912D63-FA96-4DC4-8CA1-5950920E9362}" type="presOf" srcId="{BDFEC2F8-0A03-468C-97EC-3F06166D1D17}" destId="{FE9F5DDE-6522-4AF9-92FF-66ECF4BD0DBA}" srcOrd="1" destOrd="0" presId="urn:microsoft.com/office/officeart/2005/8/layout/pyramid1"/>
    <dgm:cxn modelId="{D12160EC-D8F7-429F-8904-4FCC68DD81E4}" type="presOf" srcId="{CD1FF273-3E10-4020-9F3D-44A122544273}" destId="{A63F3D92-B171-42D3-9208-341662EF8DD9}" srcOrd="0" destOrd="0" presId="urn:microsoft.com/office/officeart/2005/8/layout/pyramid1"/>
    <dgm:cxn modelId="{4E98E67F-26C4-44C8-AAD0-82F7B0D3254B}" srcId="{5851F860-0FE5-42DE-B049-F81D4EE6DCD2}" destId="{7DD6906B-53C0-411E-B2FE-9A9F956E173A}" srcOrd="3" destOrd="0" parTransId="{1A25205F-B125-4A95-8749-D2880180A105}" sibTransId="{80480FB5-8978-4AC7-A8D5-48CA58A8BD12}"/>
    <dgm:cxn modelId="{318C993D-80C5-40CE-A88C-1B25CD4BE7FF}" srcId="{5851F860-0FE5-42DE-B049-F81D4EE6DCD2}" destId="{F80C3AAD-78D3-4356-AE6D-23C4173966B7}" srcOrd="2" destOrd="0" parTransId="{496B5A28-7679-4FB2-8161-A7C6E22BEDF1}" sibTransId="{E61F4896-3590-4AA6-82FA-121528A8C9BD}"/>
    <dgm:cxn modelId="{3F03840D-8D43-4C6C-A74C-5DF161D85A70}" srcId="{5851F860-0FE5-42DE-B049-F81D4EE6DCD2}" destId="{BDFEC2F8-0A03-468C-97EC-3F06166D1D17}" srcOrd="1" destOrd="0" parTransId="{05DD3BE5-355D-451A-8588-4554B71951D4}" sibTransId="{9047BE5B-E622-4BF3-B39F-128D487057BE}"/>
    <dgm:cxn modelId="{18612633-DC0E-422B-B2CA-BBEED80D2E30}" type="presOf" srcId="{5A3F448D-ED27-4D87-8CFA-71C2D7053B39}" destId="{562C79D1-E5EF-44FF-9D8C-C6499EECD256}" srcOrd="0" destOrd="0" presId="urn:microsoft.com/office/officeart/2005/8/layout/pyramid1"/>
    <dgm:cxn modelId="{11056249-1611-4BE4-8C16-D42ED1EA8771}" type="presOf" srcId="{F80C3AAD-78D3-4356-AE6D-23C4173966B7}" destId="{408115FB-7F83-4EF1-B1D8-13993A6C8B61}" srcOrd="0" destOrd="0" presId="urn:microsoft.com/office/officeart/2005/8/layout/pyramid1"/>
    <dgm:cxn modelId="{34021748-5C7E-4E18-B7EA-FD2EEAD2879C}" type="presOf" srcId="{5A3F448D-ED27-4D87-8CFA-71C2D7053B39}" destId="{F800EB94-F007-43C2-AA3C-9FB13869769F}" srcOrd="1" destOrd="0" presId="urn:microsoft.com/office/officeart/2005/8/layout/pyramid1"/>
    <dgm:cxn modelId="{F056B4DB-A4B9-420B-89B3-E6B9C36E31F0}" type="presOf" srcId="{7DD6906B-53C0-411E-B2FE-9A9F956E173A}" destId="{67D82497-8EE7-4FE7-943E-78C88F0B77E8}" srcOrd="1" destOrd="0" presId="urn:microsoft.com/office/officeart/2005/8/layout/pyramid1"/>
    <dgm:cxn modelId="{75A0F129-87CF-4E1F-B434-6EF27DB615CC}" srcId="{5851F860-0FE5-42DE-B049-F81D4EE6DCD2}" destId="{5A3F448D-ED27-4D87-8CFA-71C2D7053B39}" srcOrd="4" destOrd="0" parTransId="{33242DC4-5EEF-485F-A4FC-9F60AB1F79EA}" sibTransId="{A939831E-673A-47AC-8B38-AA90B6F48BB3}"/>
    <dgm:cxn modelId="{6AF67052-5704-494C-8C0D-6B4830C0093B}" type="presOf" srcId="{CD1FF273-3E10-4020-9F3D-44A122544273}" destId="{FA597428-1532-4EC2-84E0-010F728D6848}" srcOrd="1" destOrd="0" presId="urn:microsoft.com/office/officeart/2005/8/layout/pyramid1"/>
    <dgm:cxn modelId="{7C229B9B-C93F-463A-9613-681AA1468841}" srcId="{5851F860-0FE5-42DE-B049-F81D4EE6DCD2}" destId="{CD1FF273-3E10-4020-9F3D-44A122544273}" srcOrd="0" destOrd="0" parTransId="{894853F2-453B-489F-9C71-9F9AC7612A4F}" sibTransId="{6710B78F-6F63-4491-9A89-DD95A75321C6}"/>
    <dgm:cxn modelId="{A7E738E9-051C-48E2-8B0C-C84EB51040ED}" type="presOf" srcId="{7DD6906B-53C0-411E-B2FE-9A9F956E173A}" destId="{20AFC26B-8225-4AD8-A2F4-550C7E22226A}" srcOrd="0" destOrd="0" presId="urn:microsoft.com/office/officeart/2005/8/layout/pyramid1"/>
    <dgm:cxn modelId="{F424CE6E-4F89-4C34-921B-B479762835E9}" type="presOf" srcId="{5851F860-0FE5-42DE-B049-F81D4EE6DCD2}" destId="{589BC976-F70C-4235-8588-649344BDDE45}" srcOrd="0" destOrd="0" presId="urn:microsoft.com/office/officeart/2005/8/layout/pyramid1"/>
    <dgm:cxn modelId="{3946FB48-D6A9-45EE-BEB1-E1E70C07A292}" type="presOf" srcId="{F80C3AAD-78D3-4356-AE6D-23C4173966B7}" destId="{FA9B53FD-F168-479A-A83D-DC940AD3E430}" srcOrd="1" destOrd="0" presId="urn:microsoft.com/office/officeart/2005/8/layout/pyramid1"/>
    <dgm:cxn modelId="{D2995C93-155E-4A6D-AD60-99333B9DC185}" type="presParOf" srcId="{589BC976-F70C-4235-8588-649344BDDE45}" destId="{5F3E5496-2989-4021-A21D-09FBE6D4BB0E}" srcOrd="0" destOrd="0" presId="urn:microsoft.com/office/officeart/2005/8/layout/pyramid1"/>
    <dgm:cxn modelId="{7774DB52-D983-4151-83A8-722DA35E7979}" type="presParOf" srcId="{5F3E5496-2989-4021-A21D-09FBE6D4BB0E}" destId="{A63F3D92-B171-42D3-9208-341662EF8DD9}" srcOrd="0" destOrd="0" presId="urn:microsoft.com/office/officeart/2005/8/layout/pyramid1"/>
    <dgm:cxn modelId="{40E76F34-E831-40B7-BE70-5831B5E53FE0}" type="presParOf" srcId="{5F3E5496-2989-4021-A21D-09FBE6D4BB0E}" destId="{FA597428-1532-4EC2-84E0-010F728D6848}" srcOrd="1" destOrd="0" presId="urn:microsoft.com/office/officeart/2005/8/layout/pyramid1"/>
    <dgm:cxn modelId="{7A2F10EA-BACD-40A8-B490-B36D3EA9A6DD}" type="presParOf" srcId="{589BC976-F70C-4235-8588-649344BDDE45}" destId="{06E5AB06-67DC-4547-90DB-DE808969D488}" srcOrd="1" destOrd="0" presId="urn:microsoft.com/office/officeart/2005/8/layout/pyramid1"/>
    <dgm:cxn modelId="{38948F8E-5333-4642-B448-170E01CCB003}" type="presParOf" srcId="{06E5AB06-67DC-4547-90DB-DE808969D488}" destId="{F5B057F7-4B5E-464A-8766-4FADE15C631B}" srcOrd="0" destOrd="0" presId="urn:microsoft.com/office/officeart/2005/8/layout/pyramid1"/>
    <dgm:cxn modelId="{C45236BE-93B3-4A85-91E3-7BE54E4CFD2E}" type="presParOf" srcId="{06E5AB06-67DC-4547-90DB-DE808969D488}" destId="{FE9F5DDE-6522-4AF9-92FF-66ECF4BD0DBA}" srcOrd="1" destOrd="0" presId="urn:microsoft.com/office/officeart/2005/8/layout/pyramid1"/>
    <dgm:cxn modelId="{EE75405E-461D-493B-BE5F-1D203DAA05FF}" type="presParOf" srcId="{589BC976-F70C-4235-8588-649344BDDE45}" destId="{33FC0041-06CD-4D3E-A952-50989301B93C}" srcOrd="2" destOrd="0" presId="urn:microsoft.com/office/officeart/2005/8/layout/pyramid1"/>
    <dgm:cxn modelId="{C802F8A8-AE8B-47CA-87F3-25853888D1F9}" type="presParOf" srcId="{33FC0041-06CD-4D3E-A952-50989301B93C}" destId="{408115FB-7F83-4EF1-B1D8-13993A6C8B61}" srcOrd="0" destOrd="0" presId="urn:microsoft.com/office/officeart/2005/8/layout/pyramid1"/>
    <dgm:cxn modelId="{158E5CB3-869A-475B-A67C-6817B87D815C}" type="presParOf" srcId="{33FC0041-06CD-4D3E-A952-50989301B93C}" destId="{FA9B53FD-F168-479A-A83D-DC940AD3E430}" srcOrd="1" destOrd="0" presId="urn:microsoft.com/office/officeart/2005/8/layout/pyramid1"/>
    <dgm:cxn modelId="{542BFDC8-303B-4DFC-9B1B-58FE24B4A9AA}" type="presParOf" srcId="{589BC976-F70C-4235-8588-649344BDDE45}" destId="{CBCD500C-B269-4145-BB70-2221044F4A3D}" srcOrd="3" destOrd="0" presId="urn:microsoft.com/office/officeart/2005/8/layout/pyramid1"/>
    <dgm:cxn modelId="{2307B07A-8D88-45F8-886B-CD82E4E0C30C}" type="presParOf" srcId="{CBCD500C-B269-4145-BB70-2221044F4A3D}" destId="{20AFC26B-8225-4AD8-A2F4-550C7E22226A}" srcOrd="0" destOrd="0" presId="urn:microsoft.com/office/officeart/2005/8/layout/pyramid1"/>
    <dgm:cxn modelId="{9E45FDE1-82DD-4E66-966D-CA680DC99A99}" type="presParOf" srcId="{CBCD500C-B269-4145-BB70-2221044F4A3D}" destId="{67D82497-8EE7-4FE7-943E-78C88F0B77E8}" srcOrd="1" destOrd="0" presId="urn:microsoft.com/office/officeart/2005/8/layout/pyramid1"/>
    <dgm:cxn modelId="{4E0213E6-CB17-4B6A-894E-25A65521C709}" type="presParOf" srcId="{589BC976-F70C-4235-8588-649344BDDE45}" destId="{9090CE37-ABBD-49CC-A2C4-655DB2285280}" srcOrd="4" destOrd="0" presId="urn:microsoft.com/office/officeart/2005/8/layout/pyramid1"/>
    <dgm:cxn modelId="{D9E6A158-7696-43EB-ABC6-38005092F65C}" type="presParOf" srcId="{9090CE37-ABBD-49CC-A2C4-655DB2285280}" destId="{562C79D1-E5EF-44FF-9D8C-C6499EECD256}" srcOrd="0" destOrd="0" presId="urn:microsoft.com/office/officeart/2005/8/layout/pyramid1"/>
    <dgm:cxn modelId="{137B491F-5E00-4D57-8B8B-DFABF65A3785}" type="presParOf" srcId="{9090CE37-ABBD-49CC-A2C4-655DB2285280}" destId="{F800EB94-F007-43C2-AA3C-9FB13869769F}" srcOrd="1" destOrd="0" presId="urn:microsoft.com/office/officeart/2005/8/layout/pyramid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DAD00D5-469A-4AC9-9D32-0DC4A82D75E7}">
      <dsp:nvSpPr>
        <dsp:cNvPr id="0" name=""/>
        <dsp:cNvSpPr/>
      </dsp:nvSpPr>
      <dsp:spPr>
        <a:xfrm>
          <a:off x="2942" y="358186"/>
          <a:ext cx="1337743" cy="475199"/>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mj-lt"/>
            </a:rPr>
            <a:t>Stimuli</a:t>
          </a:r>
          <a:endParaRPr lang="th-TH" sz="1100" kern="1200">
            <a:latin typeface="+mj-lt"/>
          </a:endParaRPr>
        </a:p>
      </dsp:txBody>
      <dsp:txXfrm>
        <a:off x="2942" y="358186"/>
        <a:ext cx="1337743" cy="316800"/>
      </dsp:txXfrm>
    </dsp:sp>
    <dsp:sp modelId="{41A6F96A-0D5D-40A9-90D8-2084D7A7BE95}">
      <dsp:nvSpPr>
        <dsp:cNvPr id="0" name=""/>
        <dsp:cNvSpPr/>
      </dsp:nvSpPr>
      <dsp:spPr>
        <a:xfrm>
          <a:off x="0" y="1033173"/>
          <a:ext cx="1337743" cy="370259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mj-lt"/>
            </a:rPr>
            <a:t> </a:t>
          </a:r>
          <a:r>
            <a:rPr lang="en-US" sz="1100" b="1" u="sng" kern="1200">
              <a:latin typeface="+mj-lt"/>
            </a:rPr>
            <a:t>Marketing Stimuli</a:t>
          </a:r>
          <a:endParaRPr lang="th-TH" sz="1100" b="1" u="sng" kern="1200">
            <a:latin typeface="+mj-lt"/>
          </a:endParaRPr>
        </a:p>
        <a:p>
          <a:pPr marL="114300" lvl="2" indent="-57150" algn="l" defTabSz="488950">
            <a:lnSpc>
              <a:spcPct val="90000"/>
            </a:lnSpc>
            <a:spcBef>
              <a:spcPct val="0"/>
            </a:spcBef>
            <a:spcAft>
              <a:spcPct val="15000"/>
            </a:spcAft>
            <a:buChar char="••"/>
          </a:pPr>
          <a:r>
            <a:rPr lang="en-US" sz="1100" kern="1200">
              <a:latin typeface="+mj-lt"/>
            </a:rPr>
            <a:t> Product</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 Price</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 Place</a:t>
          </a:r>
          <a:endParaRPr lang="th-TH" sz="1100" kern="1200">
            <a:latin typeface="+mj-lt"/>
          </a:endParaRPr>
        </a:p>
        <a:p>
          <a:pPr marL="114300" lvl="2" indent="-57150" algn="l" defTabSz="488950">
            <a:lnSpc>
              <a:spcPct val="90000"/>
            </a:lnSpc>
            <a:spcBef>
              <a:spcPct val="0"/>
            </a:spcBef>
            <a:spcAft>
              <a:spcPct val="15000"/>
            </a:spcAft>
            <a:buChar char="••"/>
          </a:pPr>
          <a:r>
            <a:rPr lang="en-US" sz="1100" b="1" kern="1200">
              <a:latin typeface="+mj-lt"/>
            </a:rPr>
            <a:t> Promotion</a:t>
          </a:r>
          <a:endParaRPr lang="th-TH" sz="1100" b="1" kern="1200">
            <a:latin typeface="+mj-lt"/>
          </a:endParaRPr>
        </a:p>
        <a:p>
          <a:pPr marL="57150" lvl="1" indent="-57150" algn="l" defTabSz="488950">
            <a:lnSpc>
              <a:spcPct val="90000"/>
            </a:lnSpc>
            <a:spcBef>
              <a:spcPct val="0"/>
            </a:spcBef>
            <a:spcAft>
              <a:spcPct val="15000"/>
            </a:spcAft>
            <a:buChar char="••"/>
          </a:pPr>
          <a:endParaRPr lang="th-TH" sz="1100" kern="1200">
            <a:latin typeface="+mj-lt"/>
          </a:endParaRPr>
        </a:p>
        <a:p>
          <a:pPr marL="57150" lvl="1" indent="-57150" algn="l" defTabSz="488950">
            <a:lnSpc>
              <a:spcPct val="90000"/>
            </a:lnSpc>
            <a:spcBef>
              <a:spcPct val="0"/>
            </a:spcBef>
            <a:spcAft>
              <a:spcPct val="15000"/>
            </a:spcAft>
            <a:buChar char="••"/>
          </a:pPr>
          <a:r>
            <a:rPr lang="en-US" sz="1100" kern="1200">
              <a:latin typeface="+mj-lt"/>
            </a:rPr>
            <a:t> </a:t>
          </a:r>
          <a:r>
            <a:rPr lang="en-US" sz="1100" b="1" u="sng" kern="1200">
              <a:latin typeface="+mj-lt"/>
            </a:rPr>
            <a:t>Other</a:t>
          </a:r>
          <a:endParaRPr lang="th-TH" sz="1100" b="1" u="sng" kern="1200">
            <a:latin typeface="+mj-lt"/>
          </a:endParaRPr>
        </a:p>
        <a:p>
          <a:pPr marL="114300" lvl="2" indent="-57150" algn="l" defTabSz="488950">
            <a:lnSpc>
              <a:spcPct val="90000"/>
            </a:lnSpc>
            <a:spcBef>
              <a:spcPct val="0"/>
            </a:spcBef>
            <a:spcAft>
              <a:spcPct val="15000"/>
            </a:spcAft>
            <a:buChar char="••"/>
          </a:pPr>
          <a:r>
            <a:rPr lang="en-US" sz="1100" kern="1200">
              <a:latin typeface="+mj-lt"/>
            </a:rPr>
            <a:t> Economic</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Technological</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 Social </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 Cultural</a:t>
          </a:r>
          <a:endParaRPr lang="th-TH" sz="1100" kern="1200">
            <a:latin typeface="+mj-lt"/>
          </a:endParaRPr>
        </a:p>
      </dsp:txBody>
      <dsp:txXfrm>
        <a:off x="0" y="1033173"/>
        <a:ext cx="1337743" cy="3702599"/>
      </dsp:txXfrm>
    </dsp:sp>
    <dsp:sp modelId="{215D3734-A592-45D1-BB99-06BDA9B81F56}">
      <dsp:nvSpPr>
        <dsp:cNvPr id="0" name=""/>
        <dsp:cNvSpPr/>
      </dsp:nvSpPr>
      <dsp:spPr>
        <a:xfrm>
          <a:off x="1543483" y="350056"/>
          <a:ext cx="429929" cy="333059"/>
        </a:xfrm>
        <a:prstGeom prst="righ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h-TH" sz="900" kern="1200">
            <a:latin typeface="+mj-lt"/>
          </a:endParaRPr>
        </a:p>
      </dsp:txBody>
      <dsp:txXfrm>
        <a:off x="1543483" y="350056"/>
        <a:ext cx="429929" cy="333059"/>
      </dsp:txXfrm>
    </dsp:sp>
    <dsp:sp modelId="{CADE8A18-7036-48AB-9960-3432BC5876F6}">
      <dsp:nvSpPr>
        <dsp:cNvPr id="0" name=""/>
        <dsp:cNvSpPr/>
      </dsp:nvSpPr>
      <dsp:spPr>
        <a:xfrm>
          <a:off x="2151874" y="358186"/>
          <a:ext cx="1337743" cy="475199"/>
        </a:xfrm>
        <a:prstGeom prst="roundRect">
          <a:avLst>
            <a:gd name="adj" fmla="val 10000"/>
          </a:avLst>
        </a:prstGeom>
        <a:solidFill>
          <a:schemeClr val="accent4">
            <a:hueOff val="-2232385"/>
            <a:satOff val="13449"/>
            <a:lumOff val="1078"/>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mj-lt"/>
            </a:rPr>
            <a:t>Buyer's  black box</a:t>
          </a:r>
          <a:endParaRPr lang="th-TH" sz="1100" kern="1200">
            <a:latin typeface="+mj-lt"/>
          </a:endParaRPr>
        </a:p>
      </dsp:txBody>
      <dsp:txXfrm>
        <a:off x="2151874" y="358186"/>
        <a:ext cx="1337743" cy="316800"/>
      </dsp:txXfrm>
    </dsp:sp>
    <dsp:sp modelId="{D4D06CF5-15A9-41DA-BB26-0550E1DA3D74}">
      <dsp:nvSpPr>
        <dsp:cNvPr id="0" name=""/>
        <dsp:cNvSpPr/>
      </dsp:nvSpPr>
      <dsp:spPr>
        <a:xfrm>
          <a:off x="2425870" y="674986"/>
          <a:ext cx="1337743" cy="370259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b="1" u="sng" kern="1200">
              <a:latin typeface="+mj-lt"/>
            </a:rPr>
            <a:t>Buyer's Characteristics</a:t>
          </a:r>
          <a:endParaRPr lang="th-TH" sz="1100" b="1" u="sng" kern="1200">
            <a:latin typeface="+mj-lt"/>
          </a:endParaRPr>
        </a:p>
        <a:p>
          <a:pPr marL="114300" lvl="2" indent="-57150" algn="l" defTabSz="488950">
            <a:lnSpc>
              <a:spcPct val="90000"/>
            </a:lnSpc>
            <a:spcBef>
              <a:spcPct val="0"/>
            </a:spcBef>
            <a:spcAft>
              <a:spcPct val="15000"/>
            </a:spcAft>
            <a:buChar char="••"/>
          </a:pPr>
          <a:r>
            <a:rPr lang="en-US" sz="1100" kern="1200">
              <a:latin typeface="+mj-lt"/>
            </a:rPr>
            <a:t>Cultural</a:t>
          </a:r>
          <a:endParaRPr lang="th-TH" sz="1100" kern="1200">
            <a:latin typeface="+mj-lt"/>
          </a:endParaRPr>
        </a:p>
        <a:p>
          <a:pPr marL="114300" lvl="2" indent="-57150" algn="l" defTabSz="488950">
            <a:lnSpc>
              <a:spcPct val="90000"/>
            </a:lnSpc>
            <a:spcBef>
              <a:spcPct val="0"/>
            </a:spcBef>
            <a:spcAft>
              <a:spcPct val="15000"/>
            </a:spcAft>
            <a:buChar char="••"/>
          </a:pPr>
          <a:r>
            <a:rPr lang="en-US" sz="1100" b="1" kern="1200">
              <a:latin typeface="+mj-lt"/>
            </a:rPr>
            <a:t>Social</a:t>
          </a:r>
          <a:endParaRPr lang="th-TH" sz="1100" b="1" kern="1200">
            <a:latin typeface="+mj-lt"/>
          </a:endParaRPr>
        </a:p>
        <a:p>
          <a:pPr marL="114300" lvl="2" indent="-57150" algn="l" defTabSz="488950">
            <a:lnSpc>
              <a:spcPct val="90000"/>
            </a:lnSpc>
            <a:spcBef>
              <a:spcPct val="0"/>
            </a:spcBef>
            <a:spcAft>
              <a:spcPct val="15000"/>
            </a:spcAft>
            <a:buChar char="••"/>
          </a:pPr>
          <a:r>
            <a:rPr lang="en-US" sz="1100" b="1" kern="1200">
              <a:latin typeface="+mj-lt"/>
            </a:rPr>
            <a:t>Personal</a:t>
          </a:r>
          <a:endParaRPr lang="th-TH" sz="1100" b="1" kern="1200">
            <a:latin typeface="+mj-lt"/>
          </a:endParaRPr>
        </a:p>
        <a:p>
          <a:pPr marL="114300" lvl="2" indent="-57150" algn="l" defTabSz="488950">
            <a:lnSpc>
              <a:spcPct val="90000"/>
            </a:lnSpc>
            <a:spcBef>
              <a:spcPct val="0"/>
            </a:spcBef>
            <a:spcAft>
              <a:spcPct val="15000"/>
            </a:spcAft>
            <a:buChar char="••"/>
          </a:pPr>
          <a:r>
            <a:rPr lang="en-US" sz="1100" b="1" kern="1200">
              <a:latin typeface="+mj-lt"/>
            </a:rPr>
            <a:t>Physiological</a:t>
          </a:r>
          <a:endParaRPr lang="th-TH" sz="1100" b="1" kern="1200">
            <a:latin typeface="+mj-lt"/>
          </a:endParaRPr>
        </a:p>
        <a:p>
          <a:pPr marL="114300" lvl="2" indent="-57150" algn="l" defTabSz="488950">
            <a:lnSpc>
              <a:spcPct val="90000"/>
            </a:lnSpc>
            <a:spcBef>
              <a:spcPct val="0"/>
            </a:spcBef>
            <a:spcAft>
              <a:spcPct val="15000"/>
            </a:spcAft>
            <a:buChar char="••"/>
          </a:pPr>
          <a:endParaRPr lang="th-TH" sz="1100" kern="1200">
            <a:latin typeface="+mj-lt"/>
          </a:endParaRPr>
        </a:p>
        <a:p>
          <a:pPr marL="57150" lvl="1" indent="-57150" algn="l" defTabSz="488950">
            <a:lnSpc>
              <a:spcPct val="90000"/>
            </a:lnSpc>
            <a:spcBef>
              <a:spcPct val="0"/>
            </a:spcBef>
            <a:spcAft>
              <a:spcPct val="15000"/>
            </a:spcAft>
            <a:buChar char="••"/>
          </a:pPr>
          <a:r>
            <a:rPr lang="en-US" sz="1100" b="1" i="0" u="sng" kern="1200">
              <a:latin typeface="+mj-lt"/>
            </a:rPr>
            <a:t> Buyer's Decision Process</a:t>
          </a:r>
          <a:endParaRPr lang="th-TH" sz="1100" b="1" i="0" u="sng" kern="1200">
            <a:latin typeface="+mj-lt"/>
          </a:endParaRPr>
        </a:p>
        <a:p>
          <a:pPr marL="114300" lvl="2" indent="-57150" algn="l" defTabSz="488950">
            <a:lnSpc>
              <a:spcPct val="90000"/>
            </a:lnSpc>
            <a:spcBef>
              <a:spcPct val="0"/>
            </a:spcBef>
            <a:spcAft>
              <a:spcPct val="15000"/>
            </a:spcAft>
            <a:buChar char="••"/>
          </a:pPr>
          <a:r>
            <a:rPr lang="en-US" sz="1100" kern="1200">
              <a:latin typeface="+mj-lt"/>
            </a:rPr>
            <a:t>Problem Solving</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Information Search</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Alternate evaluation</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Purchase</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Post purchase</a:t>
          </a:r>
          <a:endParaRPr lang="th-TH" sz="1100" kern="1200">
            <a:latin typeface="+mj-lt"/>
          </a:endParaRPr>
        </a:p>
        <a:p>
          <a:pPr marL="114300" lvl="2" indent="-57150" algn="l" defTabSz="488950">
            <a:lnSpc>
              <a:spcPct val="90000"/>
            </a:lnSpc>
            <a:spcBef>
              <a:spcPct val="0"/>
            </a:spcBef>
            <a:spcAft>
              <a:spcPct val="15000"/>
            </a:spcAft>
            <a:buChar char="••"/>
          </a:pPr>
          <a:r>
            <a:rPr lang="en-US" sz="1100" kern="1200">
              <a:latin typeface="+mj-lt"/>
            </a:rPr>
            <a:t>Evaluation</a:t>
          </a:r>
          <a:endParaRPr lang="th-TH" sz="1100" kern="1200">
            <a:latin typeface="+mj-lt"/>
          </a:endParaRPr>
        </a:p>
      </dsp:txBody>
      <dsp:txXfrm>
        <a:off x="2425870" y="674986"/>
        <a:ext cx="1337743" cy="3702599"/>
      </dsp:txXfrm>
    </dsp:sp>
    <dsp:sp modelId="{F62B3997-1273-41FE-B34E-644DD98928EB}">
      <dsp:nvSpPr>
        <dsp:cNvPr id="0" name=""/>
        <dsp:cNvSpPr/>
      </dsp:nvSpPr>
      <dsp:spPr>
        <a:xfrm>
          <a:off x="3692415" y="350056"/>
          <a:ext cx="429929" cy="333059"/>
        </a:xfrm>
        <a:prstGeom prst="rightArrow">
          <a:avLst>
            <a:gd name="adj1" fmla="val 60000"/>
            <a:gd name="adj2" fmla="val 50000"/>
          </a:avLst>
        </a:prstGeom>
        <a:solidFill>
          <a:schemeClr val="accent4">
            <a:hueOff val="-4464770"/>
            <a:satOff val="26899"/>
            <a:lumOff val="2156"/>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th-TH" sz="900" kern="1200">
            <a:latin typeface="+mj-lt"/>
          </a:endParaRPr>
        </a:p>
      </dsp:txBody>
      <dsp:txXfrm>
        <a:off x="3692415" y="350056"/>
        <a:ext cx="429929" cy="333059"/>
      </dsp:txXfrm>
    </dsp:sp>
    <dsp:sp modelId="{E6D6E718-8F1D-4AF1-8DF5-0F2F793EEE72}">
      <dsp:nvSpPr>
        <dsp:cNvPr id="0" name=""/>
        <dsp:cNvSpPr/>
      </dsp:nvSpPr>
      <dsp:spPr>
        <a:xfrm>
          <a:off x="4300807" y="358186"/>
          <a:ext cx="1337743" cy="475199"/>
        </a:xfrm>
        <a:prstGeom prst="roundRect">
          <a:avLst>
            <a:gd name="adj" fmla="val 10000"/>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en-US" sz="1100" kern="1200">
              <a:latin typeface="+mj-lt"/>
            </a:rPr>
            <a:t>Buyer responses</a:t>
          </a:r>
          <a:endParaRPr lang="th-TH" sz="1100" kern="1200">
            <a:latin typeface="+mj-lt"/>
          </a:endParaRPr>
        </a:p>
      </dsp:txBody>
      <dsp:txXfrm>
        <a:off x="4300807" y="358186"/>
        <a:ext cx="1337743" cy="316800"/>
      </dsp:txXfrm>
    </dsp:sp>
    <dsp:sp modelId="{D571BB65-256C-4A0C-A475-3F0DBBB0497D}">
      <dsp:nvSpPr>
        <dsp:cNvPr id="0" name=""/>
        <dsp:cNvSpPr/>
      </dsp:nvSpPr>
      <dsp:spPr>
        <a:xfrm>
          <a:off x="4574802" y="674986"/>
          <a:ext cx="1337743" cy="3702599"/>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mj-lt"/>
            </a:rPr>
            <a:t> </a:t>
          </a:r>
          <a:r>
            <a:rPr lang="en-US" sz="1100" b="1" kern="1200">
              <a:latin typeface="+mj-lt"/>
            </a:rPr>
            <a:t>Purchase behavior: buy or not</a:t>
          </a:r>
          <a:endParaRPr lang="th-TH" sz="1100" b="1" kern="1200">
            <a:latin typeface="+mj-lt"/>
          </a:endParaRPr>
        </a:p>
        <a:p>
          <a:pPr marL="57150" lvl="1" indent="-57150" algn="l" defTabSz="488950">
            <a:lnSpc>
              <a:spcPct val="90000"/>
            </a:lnSpc>
            <a:spcBef>
              <a:spcPct val="0"/>
            </a:spcBef>
            <a:spcAft>
              <a:spcPct val="15000"/>
            </a:spcAft>
            <a:buChar char="••"/>
          </a:pPr>
          <a:endParaRPr lang="th-TH" sz="1100" b="1" kern="1200">
            <a:solidFill>
              <a:srgbClr val="C00000"/>
            </a:solidFill>
            <a:latin typeface="+mj-lt"/>
          </a:endParaRPr>
        </a:p>
        <a:p>
          <a:pPr marL="57150" lvl="1" indent="-57150" algn="l" defTabSz="488950">
            <a:lnSpc>
              <a:spcPct val="90000"/>
            </a:lnSpc>
            <a:spcBef>
              <a:spcPct val="0"/>
            </a:spcBef>
            <a:spcAft>
              <a:spcPct val="15000"/>
            </a:spcAft>
            <a:buChar char="••"/>
          </a:pPr>
          <a:r>
            <a:rPr lang="en-US" sz="1100" kern="1200">
              <a:latin typeface="+mj-lt"/>
            </a:rPr>
            <a:t>Buying attitudes and preferences</a:t>
          </a:r>
          <a:endParaRPr lang="th-TH" sz="1100" kern="1200">
            <a:latin typeface="+mj-lt"/>
          </a:endParaRPr>
        </a:p>
        <a:p>
          <a:pPr marL="57150" lvl="1" indent="-57150" algn="l" defTabSz="488950">
            <a:lnSpc>
              <a:spcPct val="90000"/>
            </a:lnSpc>
            <a:spcBef>
              <a:spcPct val="0"/>
            </a:spcBef>
            <a:spcAft>
              <a:spcPct val="15000"/>
            </a:spcAft>
            <a:buChar char="••"/>
          </a:pPr>
          <a:endParaRPr lang="th-TH" sz="1100" kern="1200">
            <a:latin typeface="+mj-lt"/>
          </a:endParaRPr>
        </a:p>
        <a:p>
          <a:pPr marL="57150" lvl="1" indent="-57150" algn="l" defTabSz="488950">
            <a:lnSpc>
              <a:spcPct val="90000"/>
            </a:lnSpc>
            <a:spcBef>
              <a:spcPct val="0"/>
            </a:spcBef>
            <a:spcAft>
              <a:spcPct val="15000"/>
            </a:spcAft>
            <a:buChar char="••"/>
          </a:pPr>
          <a:r>
            <a:rPr lang="en-US" sz="1100" kern="1200">
              <a:latin typeface="+mj-lt"/>
            </a:rPr>
            <a:t>Brand and company relationship behavior</a:t>
          </a:r>
          <a:endParaRPr lang="th-TH" sz="1100" kern="1200">
            <a:latin typeface="+mj-lt"/>
          </a:endParaRPr>
        </a:p>
      </dsp:txBody>
      <dsp:txXfrm>
        <a:off x="4574802" y="674986"/>
        <a:ext cx="1337743" cy="370259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3F3D92-B171-42D3-9208-341662EF8DD9}">
      <dsp:nvSpPr>
        <dsp:cNvPr id="0" name=""/>
        <dsp:cNvSpPr/>
      </dsp:nvSpPr>
      <dsp:spPr>
        <a:xfrm>
          <a:off x="2370215" y="0"/>
          <a:ext cx="1185107" cy="819842"/>
        </a:xfrm>
        <a:prstGeom prst="trapezoid">
          <a:avLst>
            <a:gd name="adj" fmla="val 72277"/>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mj-lt"/>
            </a:rPr>
            <a:t>Self-actualisation needs</a:t>
          </a:r>
        </a:p>
        <a:p>
          <a:pPr lvl="0" algn="ctr" defTabSz="444500">
            <a:lnSpc>
              <a:spcPct val="90000"/>
            </a:lnSpc>
            <a:spcBef>
              <a:spcPct val="0"/>
            </a:spcBef>
            <a:spcAft>
              <a:spcPct val="35000"/>
            </a:spcAft>
          </a:pPr>
          <a:r>
            <a:rPr lang="en-US" sz="1000" kern="1200">
              <a:latin typeface="+mj-lt"/>
            </a:rPr>
            <a:t>Self-development</a:t>
          </a:r>
        </a:p>
        <a:p>
          <a:pPr lvl="0" algn="ctr" defTabSz="444500">
            <a:lnSpc>
              <a:spcPct val="90000"/>
            </a:lnSpc>
            <a:spcBef>
              <a:spcPct val="0"/>
            </a:spcBef>
            <a:spcAft>
              <a:spcPct val="35000"/>
            </a:spcAft>
          </a:pPr>
          <a:r>
            <a:rPr lang="en-US" sz="1000" kern="1200">
              <a:latin typeface="+mj-lt"/>
            </a:rPr>
            <a:t>and realization</a:t>
          </a:r>
        </a:p>
        <a:p>
          <a:pPr lvl="0" algn="ctr" defTabSz="444500">
            <a:lnSpc>
              <a:spcPct val="90000"/>
            </a:lnSpc>
            <a:spcBef>
              <a:spcPct val="0"/>
            </a:spcBef>
            <a:spcAft>
              <a:spcPct val="35000"/>
            </a:spcAft>
          </a:pPr>
          <a:endParaRPr lang="th-TH" sz="1000" kern="1200">
            <a:latin typeface="+mj-lt"/>
          </a:endParaRPr>
        </a:p>
      </dsp:txBody>
      <dsp:txXfrm>
        <a:off x="2370215" y="0"/>
        <a:ext cx="1185107" cy="819842"/>
      </dsp:txXfrm>
    </dsp:sp>
    <dsp:sp modelId="{F5B057F7-4B5E-464A-8766-4FADE15C631B}">
      <dsp:nvSpPr>
        <dsp:cNvPr id="0" name=""/>
        <dsp:cNvSpPr/>
      </dsp:nvSpPr>
      <dsp:spPr>
        <a:xfrm>
          <a:off x="1777661" y="819842"/>
          <a:ext cx="2370215" cy="819842"/>
        </a:xfrm>
        <a:prstGeom prst="trapezoid">
          <a:avLst>
            <a:gd name="adj" fmla="val 72277"/>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mj-lt"/>
            </a:rPr>
            <a:t>Esteem needs</a:t>
          </a:r>
        </a:p>
        <a:p>
          <a:pPr lvl="0" algn="ctr" defTabSz="444500">
            <a:lnSpc>
              <a:spcPct val="90000"/>
            </a:lnSpc>
            <a:spcBef>
              <a:spcPct val="0"/>
            </a:spcBef>
            <a:spcAft>
              <a:spcPct val="35000"/>
            </a:spcAft>
          </a:pPr>
          <a:r>
            <a:rPr lang="en-US" sz="1000" kern="1200">
              <a:latin typeface="+mj-lt"/>
            </a:rPr>
            <a:t>Seld-esteem, recognition, status</a:t>
          </a:r>
          <a:endParaRPr lang="th-TH" sz="1000" kern="1200">
            <a:latin typeface="+mj-lt"/>
          </a:endParaRPr>
        </a:p>
      </dsp:txBody>
      <dsp:txXfrm>
        <a:off x="2192449" y="819842"/>
        <a:ext cx="1540640" cy="819842"/>
      </dsp:txXfrm>
    </dsp:sp>
    <dsp:sp modelId="{408115FB-7F83-4EF1-B1D8-13993A6C8B61}">
      <dsp:nvSpPr>
        <dsp:cNvPr id="0" name=""/>
        <dsp:cNvSpPr/>
      </dsp:nvSpPr>
      <dsp:spPr>
        <a:xfrm>
          <a:off x="1185107" y="1639685"/>
          <a:ext cx="3555323" cy="819842"/>
        </a:xfrm>
        <a:prstGeom prst="trapezoid">
          <a:avLst>
            <a:gd name="adj" fmla="val 72277"/>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mj-lt"/>
            </a:rPr>
            <a:t>Social needs</a:t>
          </a:r>
        </a:p>
        <a:p>
          <a:pPr lvl="0" algn="ctr" defTabSz="444500">
            <a:lnSpc>
              <a:spcPct val="90000"/>
            </a:lnSpc>
            <a:spcBef>
              <a:spcPct val="0"/>
            </a:spcBef>
            <a:spcAft>
              <a:spcPct val="35000"/>
            </a:spcAft>
          </a:pPr>
          <a:r>
            <a:rPr lang="en-US" sz="1000" kern="1200">
              <a:latin typeface="+mj-lt"/>
            </a:rPr>
            <a:t>Sense of belonging, love</a:t>
          </a:r>
          <a:endParaRPr lang="th-TH" sz="1000" kern="1200">
            <a:latin typeface="+mj-lt"/>
          </a:endParaRPr>
        </a:p>
      </dsp:txBody>
      <dsp:txXfrm>
        <a:off x="1807289" y="1639685"/>
        <a:ext cx="2310960" cy="819842"/>
      </dsp:txXfrm>
    </dsp:sp>
    <dsp:sp modelId="{20AFC26B-8225-4AD8-A2F4-550C7E22226A}">
      <dsp:nvSpPr>
        <dsp:cNvPr id="0" name=""/>
        <dsp:cNvSpPr/>
      </dsp:nvSpPr>
      <dsp:spPr>
        <a:xfrm>
          <a:off x="592553" y="2459528"/>
          <a:ext cx="4740431" cy="819842"/>
        </a:xfrm>
        <a:prstGeom prst="trapezoid">
          <a:avLst>
            <a:gd name="adj" fmla="val 72277"/>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mj-lt"/>
            </a:rPr>
            <a:t>Safety needs</a:t>
          </a:r>
        </a:p>
        <a:p>
          <a:pPr lvl="0" algn="ctr" defTabSz="444500">
            <a:lnSpc>
              <a:spcPct val="90000"/>
            </a:lnSpc>
            <a:spcBef>
              <a:spcPct val="0"/>
            </a:spcBef>
            <a:spcAft>
              <a:spcPct val="35000"/>
            </a:spcAft>
          </a:pPr>
          <a:r>
            <a:rPr lang="en-US" sz="1000" kern="1200">
              <a:latin typeface="+mj-lt"/>
            </a:rPr>
            <a:t>Security, protection</a:t>
          </a:r>
          <a:endParaRPr lang="th-TH" sz="1000" kern="1200">
            <a:latin typeface="+mj-lt"/>
          </a:endParaRPr>
        </a:p>
      </dsp:txBody>
      <dsp:txXfrm>
        <a:off x="1422129" y="2459528"/>
        <a:ext cx="3081280" cy="819842"/>
      </dsp:txXfrm>
    </dsp:sp>
    <dsp:sp modelId="{562C79D1-E5EF-44FF-9D8C-C6499EECD256}">
      <dsp:nvSpPr>
        <dsp:cNvPr id="0" name=""/>
        <dsp:cNvSpPr/>
      </dsp:nvSpPr>
      <dsp:spPr>
        <a:xfrm>
          <a:off x="0" y="3279371"/>
          <a:ext cx="5925539" cy="819842"/>
        </a:xfrm>
        <a:prstGeom prst="trapezoid">
          <a:avLst>
            <a:gd name="adj" fmla="val 72277"/>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latin typeface="+mj-lt"/>
            </a:rPr>
            <a:t>Physiological needs</a:t>
          </a:r>
        </a:p>
        <a:p>
          <a:pPr lvl="0" algn="ctr" defTabSz="444500">
            <a:lnSpc>
              <a:spcPct val="90000"/>
            </a:lnSpc>
            <a:spcBef>
              <a:spcPct val="0"/>
            </a:spcBef>
            <a:spcAft>
              <a:spcPct val="35000"/>
            </a:spcAft>
          </a:pPr>
          <a:r>
            <a:rPr lang="en-US" sz="1000" kern="1200">
              <a:latin typeface="+mj-lt"/>
            </a:rPr>
            <a:t>Hunger, thirst</a:t>
          </a:r>
          <a:endParaRPr lang="th-TH" sz="1000" kern="1200">
            <a:latin typeface="+mj-lt"/>
          </a:endParaRPr>
        </a:p>
      </dsp:txBody>
      <dsp:txXfrm>
        <a:off x="1036969" y="3279371"/>
        <a:ext cx="3851600" cy="8198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2BC2B9-99DF-4B52-86D8-2438C08B0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24258</Words>
  <Characters>138271</Characters>
  <Application>Microsoft Office Word</Application>
  <DocSecurity>4</DocSecurity>
  <Lines>1152</Lines>
  <Paragraphs>324</Paragraphs>
  <ScaleCrop>false</ScaleCrop>
  <HeadingPairs>
    <vt:vector size="2" baseType="variant">
      <vt:variant>
        <vt:lpstr>Title</vt:lpstr>
      </vt:variant>
      <vt:variant>
        <vt:i4>1</vt:i4>
      </vt:variant>
    </vt:vector>
  </HeadingPairs>
  <TitlesOfParts>
    <vt:vector size="1" baseType="lpstr">
      <vt:lpstr/>
    </vt:vector>
  </TitlesOfParts>
  <Company>Erasmus Universiteit Rotterdam</Company>
  <LinksUpToDate>false</LinksUpToDate>
  <CharactersWithSpaces>162205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Tulay Varisli</cp:lastModifiedBy>
  <cp:revision>2</cp:revision>
  <dcterms:created xsi:type="dcterms:W3CDTF">2012-07-31T10:31:00Z</dcterms:created>
  <dcterms:modified xsi:type="dcterms:W3CDTF">2012-07-31T10:31:00Z</dcterms:modified>
</cp:coreProperties>
</file>