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F82" w:rsidRDefault="00294F82"/>
    <w:p w:rsidR="00294F82" w:rsidRDefault="00294F82"/>
    <w:p w:rsidR="00021ED5" w:rsidRDefault="00021ED5"/>
    <w:p w:rsidR="00021ED5" w:rsidRDefault="00021ED5"/>
    <w:p w:rsidR="00021ED5" w:rsidRDefault="00021ED5"/>
    <w:p w:rsidR="00021ED5" w:rsidRDefault="00021ED5"/>
    <w:p w:rsidR="00021ED5" w:rsidRDefault="00021ED5"/>
    <w:p w:rsidR="00021ED5" w:rsidRDefault="00021ED5"/>
    <w:p w:rsidR="00021ED5" w:rsidRDefault="00021ED5"/>
    <w:p w:rsidR="00021ED5" w:rsidRDefault="00021ED5"/>
    <w:p w:rsidR="00021ED5" w:rsidRDefault="00021ED5"/>
    <w:p w:rsidR="00021ED5" w:rsidRDefault="00021ED5"/>
    <w:p w:rsidR="00DA40D3" w:rsidRDefault="00DA40D3" w:rsidP="00DA40D3">
      <w:pPr>
        <w:pStyle w:val="NoSpacing"/>
        <w:spacing w:line="360" w:lineRule="auto"/>
        <w:rPr>
          <w:rFonts w:ascii="Times New Roman" w:eastAsia="Times New Roman" w:hAnsi="Times New Roman" w:cs="Times New Roman"/>
          <w:sz w:val="24"/>
          <w:szCs w:val="24"/>
          <w:lang w:val="en-GB"/>
        </w:rPr>
      </w:pPr>
    </w:p>
    <w:p w:rsidR="00294F82" w:rsidRPr="00276247" w:rsidRDefault="00294F82" w:rsidP="00DA40D3">
      <w:pPr>
        <w:pStyle w:val="NoSpacing"/>
        <w:spacing w:line="360" w:lineRule="auto"/>
        <w:jc w:val="center"/>
        <w:rPr>
          <w:rFonts w:ascii="Times New Roman" w:hAnsi="Times New Roman" w:cs="Times New Roman"/>
          <w:b/>
          <w:sz w:val="32"/>
          <w:szCs w:val="32"/>
          <w:lang w:val="en-GB"/>
        </w:rPr>
      </w:pPr>
      <w:r w:rsidRPr="00276247">
        <w:rPr>
          <w:rFonts w:ascii="Times New Roman" w:hAnsi="Times New Roman" w:cs="Times New Roman"/>
          <w:sz w:val="32"/>
          <w:szCs w:val="32"/>
          <w:lang w:val="en-GB"/>
        </w:rPr>
        <w:t>D</w:t>
      </w:r>
      <w:r w:rsidRPr="00276247">
        <w:rPr>
          <w:rFonts w:ascii="Times New Roman" w:hAnsi="Times New Roman" w:cs="Times New Roman"/>
          <w:b/>
          <w:sz w:val="32"/>
          <w:szCs w:val="32"/>
          <w:lang w:val="en-GB"/>
        </w:rPr>
        <w:t>ealing with current demographic changes:</w:t>
      </w:r>
    </w:p>
    <w:p w:rsidR="00294F82" w:rsidRPr="00276247" w:rsidRDefault="00294F82" w:rsidP="00DA40D3">
      <w:pPr>
        <w:pStyle w:val="NoSpacing"/>
        <w:spacing w:line="360" w:lineRule="auto"/>
        <w:jc w:val="center"/>
        <w:rPr>
          <w:rFonts w:ascii="Times New Roman" w:hAnsi="Times New Roman" w:cs="Times New Roman"/>
          <w:b/>
          <w:i/>
          <w:sz w:val="32"/>
          <w:szCs w:val="32"/>
          <w:lang w:val="en-GB"/>
        </w:rPr>
      </w:pPr>
      <w:r w:rsidRPr="00276247">
        <w:rPr>
          <w:rFonts w:ascii="Times New Roman" w:hAnsi="Times New Roman" w:cs="Times New Roman"/>
          <w:b/>
          <w:i/>
          <w:sz w:val="32"/>
          <w:szCs w:val="32"/>
          <w:lang w:val="en-GB"/>
        </w:rPr>
        <w:t>How does the ageing of the population affect the old-age pension systems</w:t>
      </w:r>
      <w:r>
        <w:rPr>
          <w:rFonts w:ascii="Times New Roman" w:hAnsi="Times New Roman" w:cs="Times New Roman"/>
          <w:b/>
          <w:i/>
          <w:sz w:val="32"/>
          <w:szCs w:val="32"/>
          <w:lang w:val="en-GB"/>
        </w:rPr>
        <w:t xml:space="preserve"> in Europe</w:t>
      </w:r>
      <w:r w:rsidRPr="00276247">
        <w:rPr>
          <w:rFonts w:ascii="Times New Roman" w:hAnsi="Times New Roman" w:cs="Times New Roman"/>
          <w:b/>
          <w:i/>
          <w:sz w:val="32"/>
          <w:szCs w:val="32"/>
          <w:lang w:val="en-GB"/>
        </w:rPr>
        <w:t>?</w:t>
      </w:r>
    </w:p>
    <w:p w:rsidR="00294F82" w:rsidRDefault="00294F82" w:rsidP="00294F82">
      <w:pPr>
        <w:spacing w:line="360" w:lineRule="auto"/>
        <w:rPr>
          <w:sz w:val="48"/>
          <w:szCs w:val="48"/>
        </w:rPr>
      </w:pPr>
    </w:p>
    <w:p w:rsidR="005D378B" w:rsidRDefault="005D378B" w:rsidP="00294F82">
      <w:pPr>
        <w:spacing w:line="360" w:lineRule="auto"/>
        <w:rPr>
          <w:sz w:val="48"/>
          <w:szCs w:val="48"/>
        </w:rPr>
      </w:pPr>
    </w:p>
    <w:p w:rsidR="005D378B" w:rsidRDefault="005D378B" w:rsidP="00294F82">
      <w:pPr>
        <w:spacing w:line="360" w:lineRule="auto"/>
        <w:rPr>
          <w:sz w:val="48"/>
          <w:szCs w:val="48"/>
        </w:rPr>
      </w:pPr>
    </w:p>
    <w:p w:rsidR="005D378B" w:rsidRDefault="005D378B" w:rsidP="00294F82">
      <w:pPr>
        <w:spacing w:line="360" w:lineRule="auto"/>
        <w:rPr>
          <w:sz w:val="48"/>
          <w:szCs w:val="48"/>
        </w:rPr>
      </w:pPr>
    </w:p>
    <w:p w:rsidR="005D378B" w:rsidRDefault="005D378B" w:rsidP="00294F82">
      <w:pPr>
        <w:spacing w:line="360" w:lineRule="auto"/>
        <w:rPr>
          <w:sz w:val="48"/>
          <w:szCs w:val="48"/>
        </w:rPr>
      </w:pPr>
    </w:p>
    <w:p w:rsidR="00294F82" w:rsidRDefault="00294F82" w:rsidP="00294F82">
      <w:pPr>
        <w:autoSpaceDE w:val="0"/>
        <w:autoSpaceDN w:val="0"/>
        <w:adjustRightInd w:val="0"/>
        <w:spacing w:line="360" w:lineRule="auto"/>
        <w:rPr>
          <w:color w:val="000000"/>
          <w:sz w:val="23"/>
          <w:szCs w:val="23"/>
          <w:lang w:val="en-US"/>
        </w:rPr>
      </w:pPr>
      <w:r>
        <w:rPr>
          <w:color w:val="000000"/>
          <w:sz w:val="23"/>
          <w:szCs w:val="23"/>
          <w:lang w:val="en-US"/>
        </w:rPr>
        <w:t>ERASMUS UNIVERSITY ROTTERDAM</w:t>
      </w:r>
    </w:p>
    <w:p w:rsidR="00294F82" w:rsidRDefault="00294F82" w:rsidP="00294F82">
      <w:pPr>
        <w:autoSpaceDE w:val="0"/>
        <w:autoSpaceDN w:val="0"/>
        <w:adjustRightInd w:val="0"/>
        <w:spacing w:line="360" w:lineRule="auto"/>
        <w:rPr>
          <w:color w:val="000000"/>
          <w:sz w:val="23"/>
          <w:szCs w:val="23"/>
          <w:lang w:val="en-US"/>
        </w:rPr>
      </w:pPr>
      <w:smartTag w:uri="urn:schemas-microsoft-com:office:smarttags" w:element="place">
        <w:smartTag w:uri="urn:schemas-microsoft-com:office:smarttags" w:element="PlaceName">
          <w:r>
            <w:rPr>
              <w:color w:val="000000"/>
              <w:sz w:val="23"/>
              <w:szCs w:val="23"/>
              <w:lang w:val="en-US"/>
            </w:rPr>
            <w:t>Erasmus</w:t>
          </w:r>
        </w:smartTag>
        <w:r>
          <w:rPr>
            <w:color w:val="000000"/>
            <w:sz w:val="23"/>
            <w:szCs w:val="23"/>
            <w:lang w:val="en-US"/>
          </w:rPr>
          <w:t xml:space="preserve"> </w:t>
        </w:r>
        <w:smartTag w:uri="urn:schemas-microsoft-com:office:smarttags" w:element="PlaceType">
          <w:r>
            <w:rPr>
              <w:color w:val="000000"/>
              <w:sz w:val="23"/>
              <w:szCs w:val="23"/>
              <w:lang w:val="en-US"/>
            </w:rPr>
            <w:t>School</w:t>
          </w:r>
        </w:smartTag>
      </w:smartTag>
      <w:r>
        <w:rPr>
          <w:color w:val="000000"/>
          <w:sz w:val="23"/>
          <w:szCs w:val="23"/>
          <w:lang w:val="en-US"/>
        </w:rPr>
        <w:t xml:space="preserve"> of Economics</w:t>
      </w:r>
    </w:p>
    <w:p w:rsidR="00294F82" w:rsidRDefault="00294F82" w:rsidP="00294F82">
      <w:pPr>
        <w:autoSpaceDE w:val="0"/>
        <w:autoSpaceDN w:val="0"/>
        <w:adjustRightInd w:val="0"/>
        <w:spacing w:line="360" w:lineRule="auto"/>
        <w:rPr>
          <w:color w:val="000000"/>
          <w:sz w:val="23"/>
          <w:szCs w:val="23"/>
          <w:lang w:val="en-US"/>
        </w:rPr>
      </w:pPr>
      <w:r>
        <w:rPr>
          <w:color w:val="000000"/>
          <w:sz w:val="23"/>
          <w:szCs w:val="23"/>
          <w:lang w:val="en-US"/>
        </w:rPr>
        <w:t>Department of Economics</w:t>
      </w:r>
    </w:p>
    <w:p w:rsidR="00294F82" w:rsidRDefault="00294F82" w:rsidP="00294F82">
      <w:pPr>
        <w:autoSpaceDE w:val="0"/>
        <w:autoSpaceDN w:val="0"/>
        <w:adjustRightInd w:val="0"/>
        <w:spacing w:line="360" w:lineRule="auto"/>
        <w:rPr>
          <w:color w:val="000000"/>
          <w:sz w:val="23"/>
          <w:szCs w:val="23"/>
          <w:lang w:val="en-US"/>
        </w:rPr>
      </w:pPr>
    </w:p>
    <w:p w:rsidR="00294F82" w:rsidRDefault="00294F82" w:rsidP="00294F82">
      <w:pPr>
        <w:autoSpaceDE w:val="0"/>
        <w:autoSpaceDN w:val="0"/>
        <w:adjustRightInd w:val="0"/>
        <w:spacing w:line="360" w:lineRule="auto"/>
        <w:rPr>
          <w:color w:val="000000"/>
          <w:sz w:val="23"/>
          <w:szCs w:val="23"/>
          <w:lang w:val="en-US"/>
        </w:rPr>
      </w:pPr>
      <w:r>
        <w:rPr>
          <w:color w:val="000000"/>
          <w:sz w:val="23"/>
          <w:szCs w:val="23"/>
          <w:lang w:val="en-US"/>
        </w:rPr>
        <w:t>Supervisor: Y. Adema</w:t>
      </w:r>
    </w:p>
    <w:p w:rsidR="00294F82" w:rsidRDefault="00294F82" w:rsidP="00294F82">
      <w:pPr>
        <w:autoSpaceDE w:val="0"/>
        <w:autoSpaceDN w:val="0"/>
        <w:adjustRightInd w:val="0"/>
        <w:spacing w:line="360" w:lineRule="auto"/>
        <w:rPr>
          <w:color w:val="000000"/>
          <w:sz w:val="23"/>
          <w:szCs w:val="23"/>
          <w:lang w:val="en-US"/>
        </w:rPr>
      </w:pPr>
    </w:p>
    <w:p w:rsidR="00294F82" w:rsidRDefault="00294F82" w:rsidP="00294F82">
      <w:pPr>
        <w:autoSpaceDE w:val="0"/>
        <w:autoSpaceDN w:val="0"/>
        <w:adjustRightInd w:val="0"/>
        <w:spacing w:line="360" w:lineRule="auto"/>
        <w:rPr>
          <w:color w:val="000000"/>
          <w:sz w:val="23"/>
          <w:szCs w:val="23"/>
          <w:lang w:val="en-US"/>
        </w:rPr>
      </w:pPr>
      <w:r>
        <w:rPr>
          <w:color w:val="000000"/>
          <w:sz w:val="23"/>
          <w:szCs w:val="23"/>
          <w:lang w:val="en-US"/>
        </w:rPr>
        <w:t>Name: Galina Markova</w:t>
      </w:r>
      <w:r>
        <w:rPr>
          <w:color w:val="000000"/>
          <w:sz w:val="23"/>
          <w:szCs w:val="23"/>
          <w:lang w:val="en-US"/>
        </w:rPr>
        <w:tab/>
      </w:r>
      <w:r>
        <w:rPr>
          <w:color w:val="000000"/>
          <w:sz w:val="23"/>
          <w:szCs w:val="23"/>
          <w:lang w:val="en-US"/>
        </w:rPr>
        <w:tab/>
      </w:r>
      <w:r>
        <w:rPr>
          <w:color w:val="000000"/>
          <w:sz w:val="23"/>
          <w:szCs w:val="23"/>
          <w:lang w:val="en-US"/>
        </w:rPr>
        <w:tab/>
      </w:r>
    </w:p>
    <w:p w:rsidR="00294F82" w:rsidRDefault="00294F82" w:rsidP="00294F82">
      <w:pPr>
        <w:autoSpaceDE w:val="0"/>
        <w:autoSpaceDN w:val="0"/>
        <w:adjustRightInd w:val="0"/>
        <w:spacing w:line="360" w:lineRule="auto"/>
        <w:rPr>
          <w:color w:val="000000"/>
          <w:sz w:val="23"/>
          <w:szCs w:val="23"/>
          <w:lang w:val="en-US"/>
        </w:rPr>
      </w:pPr>
      <w:r>
        <w:rPr>
          <w:color w:val="000000"/>
          <w:sz w:val="23"/>
          <w:szCs w:val="23"/>
          <w:lang w:val="en-US"/>
        </w:rPr>
        <w:t>Exam number:  325429</w:t>
      </w:r>
    </w:p>
    <w:p w:rsidR="00294F82" w:rsidRPr="00E170FF" w:rsidRDefault="00294F82" w:rsidP="00294F82">
      <w:pPr>
        <w:spacing w:line="360" w:lineRule="auto"/>
      </w:pPr>
      <w:r>
        <w:rPr>
          <w:color w:val="000000"/>
          <w:sz w:val="23"/>
          <w:szCs w:val="23"/>
          <w:lang w:val="en-US"/>
        </w:rPr>
        <w:t>E-mail address: 325429gm@student.eur.nl</w:t>
      </w:r>
    </w:p>
    <w:p w:rsidR="00294F82" w:rsidRDefault="00294F82" w:rsidP="00294F82"/>
    <w:p w:rsidR="00294F82" w:rsidRDefault="00294F82" w:rsidP="00294F82"/>
    <w:p w:rsidR="00294F82" w:rsidRDefault="00294F82" w:rsidP="00294F82"/>
    <w:p w:rsidR="00294F82" w:rsidRDefault="00294F82" w:rsidP="00294F82"/>
    <w:p w:rsidR="00294F82" w:rsidRDefault="00294F82" w:rsidP="00294F82"/>
    <w:p w:rsidR="00294F82" w:rsidRDefault="00294F82" w:rsidP="00294F82"/>
    <w:p w:rsidR="00294F82" w:rsidRDefault="00294F82" w:rsidP="00294F82"/>
    <w:p w:rsidR="00294F82" w:rsidRPr="00A02A59" w:rsidRDefault="00294F82" w:rsidP="00294F82">
      <w:pPr>
        <w:pStyle w:val="Heading1"/>
        <w:rPr>
          <w:sz w:val="32"/>
          <w:szCs w:val="32"/>
        </w:rPr>
      </w:pPr>
      <w:r w:rsidRPr="00A02A59">
        <w:rPr>
          <w:sz w:val="32"/>
          <w:szCs w:val="32"/>
        </w:rPr>
        <w:t xml:space="preserve">Table of contents </w:t>
      </w:r>
    </w:p>
    <w:p w:rsidR="00294F82" w:rsidRDefault="00294F82" w:rsidP="00294F82"/>
    <w:p w:rsidR="00294F82" w:rsidRPr="00527318" w:rsidRDefault="00294F82" w:rsidP="00294F82">
      <w:pPr>
        <w:autoSpaceDE w:val="0"/>
        <w:autoSpaceDN w:val="0"/>
        <w:adjustRightInd w:val="0"/>
        <w:rPr>
          <w:rFonts w:eastAsiaTheme="minorHAnsi"/>
          <w:sz w:val="26"/>
          <w:szCs w:val="26"/>
          <w:lang w:val="en-US"/>
        </w:rPr>
      </w:pPr>
      <w:r w:rsidRPr="00527318">
        <w:rPr>
          <w:rFonts w:eastAsiaTheme="minorHAnsi"/>
          <w:sz w:val="26"/>
          <w:szCs w:val="26"/>
          <w:lang w:val="en-US"/>
        </w:rPr>
        <w:t>Abstract</w:t>
      </w:r>
      <w:r>
        <w:rPr>
          <w:rFonts w:eastAsiaTheme="minorHAnsi"/>
          <w:sz w:val="26"/>
          <w:szCs w:val="26"/>
          <w:lang w:val="en-US"/>
        </w:rPr>
        <w:t xml:space="preserve"> </w:t>
      </w:r>
    </w:p>
    <w:p w:rsidR="00294F82" w:rsidRPr="00527318" w:rsidRDefault="00294F82" w:rsidP="00294F82">
      <w:pPr>
        <w:autoSpaceDE w:val="0"/>
        <w:autoSpaceDN w:val="0"/>
        <w:adjustRightInd w:val="0"/>
        <w:rPr>
          <w:rFonts w:eastAsiaTheme="minorHAnsi"/>
          <w:sz w:val="26"/>
          <w:szCs w:val="26"/>
          <w:lang w:val="en-US"/>
        </w:rPr>
      </w:pPr>
    </w:p>
    <w:p w:rsidR="00294F82" w:rsidRDefault="00294F82" w:rsidP="00294F82">
      <w:pPr>
        <w:pStyle w:val="ListParagraph"/>
        <w:numPr>
          <w:ilvl w:val="0"/>
          <w:numId w:val="3"/>
        </w:numPr>
        <w:autoSpaceDE w:val="0"/>
        <w:autoSpaceDN w:val="0"/>
        <w:adjustRightInd w:val="0"/>
        <w:rPr>
          <w:rFonts w:eastAsiaTheme="minorHAnsi"/>
          <w:sz w:val="26"/>
          <w:szCs w:val="26"/>
          <w:lang w:val="en-US"/>
        </w:rPr>
      </w:pPr>
      <w:r w:rsidRPr="002B4AF1">
        <w:rPr>
          <w:rFonts w:eastAsiaTheme="minorHAnsi"/>
          <w:sz w:val="26"/>
          <w:szCs w:val="26"/>
          <w:lang w:val="en-US"/>
        </w:rPr>
        <w:t xml:space="preserve"> Introduction</w:t>
      </w:r>
    </w:p>
    <w:p w:rsidR="00294F82" w:rsidRDefault="00294F82" w:rsidP="00294F82">
      <w:pPr>
        <w:autoSpaceDE w:val="0"/>
        <w:autoSpaceDN w:val="0"/>
        <w:adjustRightInd w:val="0"/>
        <w:rPr>
          <w:rFonts w:eastAsiaTheme="minorHAnsi"/>
          <w:sz w:val="26"/>
          <w:szCs w:val="26"/>
          <w:lang w:val="en-US"/>
        </w:rPr>
      </w:pPr>
    </w:p>
    <w:p w:rsidR="00294F82" w:rsidRPr="00527318" w:rsidRDefault="00294F82" w:rsidP="00294F82">
      <w:pPr>
        <w:autoSpaceDE w:val="0"/>
        <w:autoSpaceDN w:val="0"/>
        <w:adjustRightInd w:val="0"/>
        <w:rPr>
          <w:rFonts w:eastAsiaTheme="minorHAnsi"/>
          <w:sz w:val="26"/>
          <w:szCs w:val="26"/>
          <w:lang w:val="en-US"/>
        </w:rPr>
      </w:pPr>
    </w:p>
    <w:p w:rsidR="00294F82" w:rsidRDefault="00294F82" w:rsidP="00294F82">
      <w:pPr>
        <w:pStyle w:val="ListParagraph"/>
        <w:numPr>
          <w:ilvl w:val="0"/>
          <w:numId w:val="2"/>
        </w:numPr>
        <w:autoSpaceDE w:val="0"/>
        <w:autoSpaceDN w:val="0"/>
        <w:adjustRightInd w:val="0"/>
        <w:rPr>
          <w:rFonts w:eastAsiaTheme="minorHAnsi"/>
          <w:sz w:val="26"/>
          <w:szCs w:val="26"/>
          <w:lang w:val="en-US"/>
        </w:rPr>
      </w:pPr>
      <w:r w:rsidRPr="002B4AF1">
        <w:rPr>
          <w:rFonts w:eastAsiaTheme="minorHAnsi"/>
          <w:sz w:val="26"/>
          <w:szCs w:val="26"/>
          <w:lang w:val="en-US"/>
        </w:rPr>
        <w:t>Understanding the importance of the pension system structure</w:t>
      </w:r>
      <w:r>
        <w:rPr>
          <w:rFonts w:eastAsiaTheme="minorHAnsi"/>
          <w:sz w:val="26"/>
          <w:szCs w:val="26"/>
          <w:lang w:val="en-US"/>
        </w:rPr>
        <w:t xml:space="preserve"> </w:t>
      </w:r>
    </w:p>
    <w:p w:rsidR="00294F82" w:rsidRDefault="00294F82" w:rsidP="00294F82">
      <w:pPr>
        <w:pStyle w:val="ListParagraph"/>
        <w:autoSpaceDE w:val="0"/>
        <w:autoSpaceDN w:val="0"/>
        <w:adjustRightInd w:val="0"/>
        <w:rPr>
          <w:rFonts w:eastAsiaTheme="minorHAnsi"/>
          <w:sz w:val="26"/>
          <w:szCs w:val="26"/>
          <w:lang w:val="en-US"/>
        </w:rPr>
      </w:pPr>
    </w:p>
    <w:p w:rsidR="00294F82" w:rsidRDefault="00294F82" w:rsidP="00294F82">
      <w:pPr>
        <w:pStyle w:val="ListParagraph"/>
        <w:numPr>
          <w:ilvl w:val="1"/>
          <w:numId w:val="2"/>
        </w:numPr>
        <w:autoSpaceDE w:val="0"/>
        <w:autoSpaceDN w:val="0"/>
        <w:adjustRightInd w:val="0"/>
        <w:rPr>
          <w:rFonts w:eastAsiaTheme="minorHAnsi"/>
          <w:sz w:val="26"/>
          <w:szCs w:val="26"/>
          <w:lang w:val="en-US"/>
        </w:rPr>
      </w:pPr>
      <w:r w:rsidRPr="002B4AF1">
        <w:rPr>
          <w:rFonts w:eastAsiaTheme="minorHAnsi"/>
          <w:sz w:val="26"/>
          <w:szCs w:val="26"/>
          <w:lang w:val="en-US"/>
        </w:rPr>
        <w:t>Objectives</w:t>
      </w:r>
    </w:p>
    <w:p w:rsidR="00294F82" w:rsidRPr="002B4AF1" w:rsidRDefault="00294F82" w:rsidP="00294F82">
      <w:pPr>
        <w:pStyle w:val="ListParagraph"/>
        <w:autoSpaceDE w:val="0"/>
        <w:autoSpaceDN w:val="0"/>
        <w:adjustRightInd w:val="0"/>
        <w:ind w:left="1080"/>
        <w:rPr>
          <w:rFonts w:eastAsiaTheme="minorHAnsi"/>
          <w:sz w:val="26"/>
          <w:szCs w:val="26"/>
          <w:lang w:val="en-US"/>
        </w:rPr>
      </w:pPr>
    </w:p>
    <w:p w:rsidR="00294F82" w:rsidRDefault="00294F82" w:rsidP="00294F82">
      <w:pPr>
        <w:pStyle w:val="ListParagraph"/>
        <w:numPr>
          <w:ilvl w:val="1"/>
          <w:numId w:val="2"/>
        </w:numPr>
        <w:autoSpaceDE w:val="0"/>
        <w:autoSpaceDN w:val="0"/>
        <w:adjustRightInd w:val="0"/>
        <w:rPr>
          <w:rFonts w:eastAsiaTheme="minorHAnsi"/>
          <w:sz w:val="26"/>
          <w:szCs w:val="26"/>
          <w:lang w:val="en-US"/>
        </w:rPr>
      </w:pPr>
      <w:r w:rsidRPr="002B4AF1">
        <w:rPr>
          <w:rFonts w:eastAsiaTheme="minorHAnsi"/>
          <w:sz w:val="26"/>
          <w:szCs w:val="26"/>
          <w:lang w:val="en-US"/>
        </w:rPr>
        <w:t>Formal arrangements</w:t>
      </w:r>
    </w:p>
    <w:p w:rsidR="00294F82" w:rsidRPr="003C5052" w:rsidRDefault="00294F82" w:rsidP="00294F82">
      <w:pPr>
        <w:pStyle w:val="ListParagraph"/>
        <w:rPr>
          <w:rFonts w:eastAsiaTheme="minorHAnsi"/>
          <w:sz w:val="26"/>
          <w:szCs w:val="26"/>
          <w:lang w:val="en-US"/>
        </w:rPr>
      </w:pPr>
    </w:p>
    <w:p w:rsidR="00294F82" w:rsidRPr="003C5052" w:rsidRDefault="00294F82" w:rsidP="00294F82">
      <w:pPr>
        <w:autoSpaceDE w:val="0"/>
        <w:autoSpaceDN w:val="0"/>
        <w:adjustRightInd w:val="0"/>
        <w:rPr>
          <w:rFonts w:eastAsiaTheme="minorHAnsi"/>
          <w:sz w:val="26"/>
          <w:szCs w:val="26"/>
          <w:lang w:val="en-US"/>
        </w:rPr>
      </w:pPr>
    </w:p>
    <w:p w:rsidR="00294F82" w:rsidRPr="00527318" w:rsidRDefault="00294F82" w:rsidP="00294F82">
      <w:pPr>
        <w:autoSpaceDE w:val="0"/>
        <w:autoSpaceDN w:val="0"/>
        <w:adjustRightInd w:val="0"/>
        <w:rPr>
          <w:rFonts w:eastAsiaTheme="minorHAnsi"/>
          <w:sz w:val="26"/>
          <w:szCs w:val="26"/>
          <w:lang w:val="en-US"/>
        </w:rPr>
      </w:pPr>
    </w:p>
    <w:p w:rsidR="00294F82" w:rsidRPr="00094177" w:rsidRDefault="00294F82" w:rsidP="00294F82">
      <w:pPr>
        <w:pStyle w:val="ListParagraph"/>
        <w:numPr>
          <w:ilvl w:val="0"/>
          <w:numId w:val="2"/>
        </w:numPr>
        <w:autoSpaceDE w:val="0"/>
        <w:autoSpaceDN w:val="0"/>
        <w:adjustRightInd w:val="0"/>
        <w:rPr>
          <w:rFonts w:eastAsiaTheme="minorHAnsi"/>
          <w:sz w:val="26"/>
          <w:szCs w:val="26"/>
          <w:lang w:val="en-US"/>
        </w:rPr>
      </w:pPr>
      <w:r w:rsidRPr="00094177">
        <w:rPr>
          <w:rFonts w:eastAsiaTheme="minorHAnsi"/>
          <w:sz w:val="26"/>
          <w:szCs w:val="26"/>
          <w:lang w:val="en-US"/>
        </w:rPr>
        <w:t>Demographic dynamics: Population ageing</w:t>
      </w:r>
    </w:p>
    <w:p w:rsidR="00294F82" w:rsidRDefault="00294F82" w:rsidP="00294F82">
      <w:pPr>
        <w:autoSpaceDE w:val="0"/>
        <w:autoSpaceDN w:val="0"/>
        <w:adjustRightInd w:val="0"/>
        <w:rPr>
          <w:rFonts w:eastAsiaTheme="minorHAnsi"/>
          <w:sz w:val="26"/>
          <w:szCs w:val="26"/>
          <w:lang w:val="en-US"/>
        </w:rPr>
      </w:pPr>
    </w:p>
    <w:p w:rsidR="00294F82" w:rsidRPr="00527318" w:rsidRDefault="00294F82" w:rsidP="00294F82">
      <w:pPr>
        <w:autoSpaceDE w:val="0"/>
        <w:autoSpaceDN w:val="0"/>
        <w:adjustRightInd w:val="0"/>
        <w:rPr>
          <w:rFonts w:eastAsiaTheme="minorHAnsi"/>
          <w:sz w:val="26"/>
          <w:szCs w:val="26"/>
          <w:lang w:val="en-US"/>
        </w:rPr>
      </w:pPr>
    </w:p>
    <w:p w:rsidR="00294F82" w:rsidRPr="00A2376F" w:rsidRDefault="00294F82" w:rsidP="00294F82">
      <w:pPr>
        <w:pStyle w:val="ListParagraph"/>
        <w:numPr>
          <w:ilvl w:val="0"/>
          <w:numId w:val="2"/>
        </w:numPr>
        <w:autoSpaceDE w:val="0"/>
        <w:autoSpaceDN w:val="0"/>
        <w:adjustRightInd w:val="0"/>
        <w:rPr>
          <w:rFonts w:eastAsiaTheme="minorHAnsi"/>
          <w:sz w:val="26"/>
          <w:szCs w:val="26"/>
          <w:lang w:val="en-US"/>
        </w:rPr>
      </w:pPr>
      <w:r w:rsidRPr="00A2376F">
        <w:rPr>
          <w:sz w:val="26"/>
          <w:szCs w:val="26"/>
        </w:rPr>
        <w:t>Dealing with Ageing: Pension systems in Europe</w:t>
      </w:r>
    </w:p>
    <w:p w:rsidR="00294F82" w:rsidRPr="00527318" w:rsidRDefault="00294F82" w:rsidP="00294F82">
      <w:pPr>
        <w:autoSpaceDE w:val="0"/>
        <w:autoSpaceDN w:val="0"/>
        <w:adjustRightInd w:val="0"/>
        <w:rPr>
          <w:rFonts w:eastAsiaTheme="minorHAnsi"/>
          <w:sz w:val="26"/>
          <w:szCs w:val="26"/>
          <w:lang w:val="en-US"/>
        </w:rPr>
      </w:pPr>
    </w:p>
    <w:p w:rsidR="00294F82" w:rsidRPr="003C5052" w:rsidRDefault="00294F82" w:rsidP="00294F82">
      <w:pPr>
        <w:pStyle w:val="ListParagraph"/>
        <w:numPr>
          <w:ilvl w:val="1"/>
          <w:numId w:val="2"/>
        </w:numPr>
        <w:autoSpaceDE w:val="0"/>
        <w:autoSpaceDN w:val="0"/>
        <w:adjustRightInd w:val="0"/>
        <w:rPr>
          <w:rFonts w:eastAsiaTheme="minorHAnsi"/>
          <w:sz w:val="26"/>
          <w:szCs w:val="26"/>
          <w:lang w:val="en-US"/>
        </w:rPr>
      </w:pPr>
      <w:r w:rsidRPr="003C5052">
        <w:rPr>
          <w:rFonts w:eastAsiaTheme="minorHAnsi"/>
          <w:sz w:val="26"/>
          <w:szCs w:val="26"/>
          <w:lang w:val="en-US"/>
        </w:rPr>
        <w:t>Developments in Old-age security system in Europe</w:t>
      </w:r>
    </w:p>
    <w:p w:rsidR="00294F82" w:rsidRPr="00527318" w:rsidRDefault="00294F82" w:rsidP="00294F82">
      <w:pPr>
        <w:pStyle w:val="ListParagraph"/>
        <w:autoSpaceDE w:val="0"/>
        <w:autoSpaceDN w:val="0"/>
        <w:adjustRightInd w:val="0"/>
        <w:ind w:left="1440"/>
        <w:rPr>
          <w:rFonts w:eastAsiaTheme="minorHAnsi"/>
          <w:sz w:val="26"/>
          <w:szCs w:val="26"/>
          <w:lang w:val="en-US"/>
        </w:rPr>
      </w:pPr>
    </w:p>
    <w:p w:rsidR="00294F82" w:rsidRPr="003C5052" w:rsidRDefault="00294F82" w:rsidP="00294F82">
      <w:pPr>
        <w:autoSpaceDE w:val="0"/>
        <w:autoSpaceDN w:val="0"/>
        <w:adjustRightInd w:val="0"/>
        <w:ind w:left="720"/>
        <w:rPr>
          <w:rFonts w:eastAsiaTheme="minorHAnsi"/>
          <w:sz w:val="26"/>
          <w:szCs w:val="26"/>
          <w:lang w:val="en-US"/>
        </w:rPr>
      </w:pPr>
      <w:r>
        <w:rPr>
          <w:rFonts w:eastAsiaTheme="minorHAnsi"/>
          <w:sz w:val="26"/>
          <w:szCs w:val="26"/>
          <w:lang w:val="en-US"/>
        </w:rPr>
        <w:t xml:space="preserve">4.2. </w:t>
      </w:r>
      <w:r w:rsidRPr="003C5052">
        <w:rPr>
          <w:rFonts w:eastAsiaTheme="minorHAnsi"/>
          <w:sz w:val="26"/>
          <w:szCs w:val="26"/>
          <w:lang w:val="en-US"/>
        </w:rPr>
        <w:t>Reform Issues</w:t>
      </w:r>
    </w:p>
    <w:p w:rsidR="00294F82" w:rsidRPr="00527318" w:rsidRDefault="00294F82" w:rsidP="00294F82">
      <w:pPr>
        <w:autoSpaceDE w:val="0"/>
        <w:autoSpaceDN w:val="0"/>
        <w:adjustRightInd w:val="0"/>
        <w:rPr>
          <w:rFonts w:eastAsiaTheme="minorHAnsi"/>
          <w:sz w:val="26"/>
          <w:szCs w:val="26"/>
          <w:lang w:val="en-US"/>
        </w:rPr>
      </w:pPr>
    </w:p>
    <w:p w:rsidR="00294F82" w:rsidRDefault="00294F82" w:rsidP="00294F82">
      <w:pPr>
        <w:autoSpaceDE w:val="0"/>
        <w:autoSpaceDN w:val="0"/>
        <w:adjustRightInd w:val="0"/>
        <w:ind w:firstLine="720"/>
        <w:rPr>
          <w:rFonts w:eastAsiaTheme="minorHAnsi"/>
          <w:sz w:val="26"/>
          <w:szCs w:val="26"/>
          <w:lang w:val="en-US"/>
        </w:rPr>
      </w:pPr>
      <w:r>
        <w:rPr>
          <w:rFonts w:eastAsiaTheme="minorHAnsi"/>
          <w:sz w:val="26"/>
          <w:szCs w:val="26"/>
          <w:lang w:val="en-US"/>
        </w:rPr>
        <w:t>4</w:t>
      </w:r>
      <w:r w:rsidRPr="00A2376F">
        <w:rPr>
          <w:rFonts w:eastAsiaTheme="minorHAnsi"/>
          <w:sz w:val="26"/>
          <w:szCs w:val="26"/>
          <w:lang w:val="en-US"/>
        </w:rPr>
        <w:t>.3</w:t>
      </w:r>
      <w:r>
        <w:rPr>
          <w:rFonts w:eastAsiaTheme="minorHAnsi"/>
          <w:sz w:val="26"/>
          <w:szCs w:val="26"/>
          <w:lang w:val="en-US"/>
        </w:rPr>
        <w:t xml:space="preserve">. Case studies: The </w:t>
      </w:r>
      <w:r w:rsidRPr="00A2376F">
        <w:rPr>
          <w:rFonts w:eastAsiaTheme="minorHAnsi"/>
          <w:sz w:val="26"/>
          <w:szCs w:val="26"/>
          <w:lang w:val="en-US"/>
        </w:rPr>
        <w:t>Netherlands</w:t>
      </w:r>
      <w:r>
        <w:rPr>
          <w:rFonts w:eastAsiaTheme="minorHAnsi"/>
          <w:sz w:val="26"/>
          <w:szCs w:val="26"/>
          <w:lang w:val="en-US"/>
        </w:rPr>
        <w:t>,</w:t>
      </w:r>
      <w:r w:rsidRPr="00A2376F">
        <w:rPr>
          <w:rFonts w:eastAsiaTheme="minorHAnsi"/>
          <w:sz w:val="26"/>
          <w:szCs w:val="26"/>
          <w:lang w:val="en-US"/>
        </w:rPr>
        <w:t xml:space="preserve"> Germany</w:t>
      </w:r>
      <w:r>
        <w:rPr>
          <w:rFonts w:eastAsiaTheme="minorHAnsi"/>
          <w:sz w:val="26"/>
          <w:szCs w:val="26"/>
          <w:lang w:val="en-US"/>
        </w:rPr>
        <w:t>, Italy, Spain</w:t>
      </w:r>
    </w:p>
    <w:p w:rsidR="00294F82" w:rsidRPr="00A2376F" w:rsidRDefault="00294F82" w:rsidP="00294F82">
      <w:pPr>
        <w:autoSpaceDE w:val="0"/>
        <w:autoSpaceDN w:val="0"/>
        <w:adjustRightInd w:val="0"/>
        <w:ind w:firstLine="720"/>
        <w:rPr>
          <w:rFonts w:eastAsiaTheme="minorHAnsi"/>
          <w:sz w:val="26"/>
          <w:szCs w:val="26"/>
          <w:lang w:val="en-US"/>
        </w:rPr>
      </w:pPr>
    </w:p>
    <w:p w:rsidR="00294F82" w:rsidRPr="00527318" w:rsidRDefault="00294F82" w:rsidP="00294F82">
      <w:pPr>
        <w:autoSpaceDE w:val="0"/>
        <w:autoSpaceDN w:val="0"/>
        <w:adjustRightInd w:val="0"/>
        <w:rPr>
          <w:rFonts w:eastAsiaTheme="minorHAnsi"/>
          <w:sz w:val="26"/>
          <w:szCs w:val="26"/>
          <w:lang w:val="en-US"/>
        </w:rPr>
      </w:pPr>
    </w:p>
    <w:p w:rsidR="00294F82" w:rsidRDefault="00294F82" w:rsidP="00294F82">
      <w:pPr>
        <w:pStyle w:val="ListParagraph"/>
        <w:numPr>
          <w:ilvl w:val="0"/>
          <w:numId w:val="2"/>
        </w:numPr>
        <w:autoSpaceDE w:val="0"/>
        <w:autoSpaceDN w:val="0"/>
        <w:adjustRightInd w:val="0"/>
        <w:rPr>
          <w:rFonts w:eastAsiaTheme="minorHAnsi"/>
          <w:sz w:val="26"/>
          <w:szCs w:val="26"/>
          <w:lang w:val="en-US"/>
        </w:rPr>
      </w:pPr>
      <w:r w:rsidRPr="003C5052">
        <w:rPr>
          <w:rFonts w:eastAsiaTheme="minorHAnsi"/>
          <w:sz w:val="26"/>
          <w:szCs w:val="26"/>
          <w:lang w:val="en-US"/>
        </w:rPr>
        <w:t xml:space="preserve"> Conclusion</w:t>
      </w:r>
    </w:p>
    <w:p w:rsidR="00294F82" w:rsidRDefault="00294F82" w:rsidP="00294F82">
      <w:pPr>
        <w:pStyle w:val="ListParagraph"/>
        <w:autoSpaceDE w:val="0"/>
        <w:autoSpaceDN w:val="0"/>
        <w:adjustRightInd w:val="0"/>
        <w:rPr>
          <w:rFonts w:eastAsiaTheme="minorHAnsi"/>
          <w:sz w:val="26"/>
          <w:szCs w:val="26"/>
          <w:lang w:val="en-US"/>
        </w:rPr>
      </w:pPr>
    </w:p>
    <w:p w:rsidR="00294F82" w:rsidRDefault="00294F82" w:rsidP="00294F82">
      <w:pPr>
        <w:pStyle w:val="ListParagraph"/>
        <w:autoSpaceDE w:val="0"/>
        <w:autoSpaceDN w:val="0"/>
        <w:adjustRightInd w:val="0"/>
        <w:rPr>
          <w:rFonts w:eastAsiaTheme="minorHAnsi"/>
          <w:sz w:val="26"/>
          <w:szCs w:val="26"/>
          <w:lang w:val="en-US"/>
        </w:rPr>
      </w:pPr>
    </w:p>
    <w:p w:rsidR="00294F82" w:rsidRPr="00F825F1" w:rsidRDefault="00294F82" w:rsidP="00F825F1">
      <w:pPr>
        <w:autoSpaceDE w:val="0"/>
        <w:autoSpaceDN w:val="0"/>
        <w:adjustRightInd w:val="0"/>
        <w:rPr>
          <w:rFonts w:eastAsiaTheme="minorHAnsi"/>
          <w:sz w:val="26"/>
          <w:szCs w:val="26"/>
          <w:lang w:val="en-US"/>
        </w:rPr>
      </w:pPr>
      <w:r w:rsidRPr="00F825F1">
        <w:rPr>
          <w:rFonts w:eastAsiaTheme="minorHAnsi"/>
          <w:sz w:val="26"/>
          <w:szCs w:val="26"/>
          <w:lang w:val="en-US"/>
        </w:rPr>
        <w:t>Bibliography</w:t>
      </w:r>
    </w:p>
    <w:p w:rsidR="00294F82" w:rsidRDefault="00294F82" w:rsidP="00294F82">
      <w:pPr>
        <w:spacing w:line="360" w:lineRule="auto"/>
        <w:rPr>
          <w:rFonts w:eastAsiaTheme="minorHAnsi"/>
          <w:sz w:val="26"/>
          <w:szCs w:val="26"/>
          <w:lang w:val="en-US"/>
        </w:rPr>
      </w:pPr>
    </w:p>
    <w:p w:rsidR="005D378B" w:rsidRDefault="005D378B" w:rsidP="00294F82">
      <w:pPr>
        <w:spacing w:line="360" w:lineRule="auto"/>
        <w:rPr>
          <w:rFonts w:eastAsiaTheme="minorHAnsi"/>
          <w:sz w:val="26"/>
          <w:szCs w:val="26"/>
          <w:lang w:val="en-US"/>
        </w:rPr>
      </w:pPr>
    </w:p>
    <w:p w:rsidR="005D378B" w:rsidRDefault="005D378B" w:rsidP="00294F82">
      <w:pPr>
        <w:spacing w:line="360" w:lineRule="auto"/>
        <w:rPr>
          <w:rFonts w:eastAsiaTheme="minorHAnsi"/>
          <w:sz w:val="26"/>
          <w:szCs w:val="26"/>
          <w:lang w:val="en-US"/>
        </w:rPr>
      </w:pPr>
    </w:p>
    <w:p w:rsidR="005D378B" w:rsidRDefault="005D378B" w:rsidP="00294F82">
      <w:pPr>
        <w:spacing w:line="360" w:lineRule="auto"/>
        <w:rPr>
          <w:rFonts w:eastAsiaTheme="minorHAnsi"/>
          <w:sz w:val="26"/>
          <w:szCs w:val="26"/>
          <w:lang w:val="en-US"/>
        </w:rPr>
      </w:pPr>
    </w:p>
    <w:p w:rsidR="005D378B" w:rsidRDefault="005D378B" w:rsidP="00294F82">
      <w:pPr>
        <w:spacing w:line="360" w:lineRule="auto"/>
        <w:rPr>
          <w:rFonts w:eastAsiaTheme="minorHAnsi"/>
          <w:sz w:val="26"/>
          <w:szCs w:val="26"/>
          <w:lang w:val="en-US"/>
        </w:rPr>
      </w:pPr>
    </w:p>
    <w:p w:rsidR="005D378B" w:rsidRDefault="005D378B" w:rsidP="005D378B">
      <w:pPr>
        <w:pStyle w:val="Heading2"/>
        <w:spacing w:before="480" w:line="360" w:lineRule="auto"/>
        <w:jc w:val="both"/>
        <w:rPr>
          <w:sz w:val="28"/>
          <w:szCs w:val="28"/>
          <w:lang w:val="en-US"/>
        </w:rPr>
      </w:pPr>
      <w:r>
        <w:rPr>
          <w:sz w:val="28"/>
          <w:szCs w:val="28"/>
          <w:lang w:val="en-US"/>
        </w:rPr>
        <w:lastRenderedPageBreak/>
        <w:t>ABSTRACT</w:t>
      </w:r>
    </w:p>
    <w:p w:rsidR="005D378B" w:rsidRDefault="005D378B" w:rsidP="005D378B">
      <w:pPr>
        <w:rPr>
          <w:lang w:val="en-US"/>
        </w:rPr>
      </w:pPr>
    </w:p>
    <w:p w:rsidR="005D378B" w:rsidRDefault="005D378B" w:rsidP="005D378B">
      <w:pPr>
        <w:rPr>
          <w:lang w:val="en-US"/>
        </w:rPr>
      </w:pPr>
    </w:p>
    <w:p w:rsidR="005D378B" w:rsidRDefault="005D378B" w:rsidP="005D378B">
      <w:pPr>
        <w:spacing w:line="360" w:lineRule="auto"/>
        <w:rPr>
          <w:lang w:val="en-US"/>
        </w:rPr>
      </w:pPr>
      <w:r>
        <w:rPr>
          <w:lang w:val="en-US"/>
        </w:rPr>
        <w:t>In this thesis I examine</w:t>
      </w:r>
      <w:r w:rsidRPr="006863DB">
        <w:rPr>
          <w:lang w:val="en-US"/>
        </w:rPr>
        <w:t xml:space="preserve"> the effects of </w:t>
      </w:r>
      <w:r w:rsidR="005E4374">
        <w:rPr>
          <w:lang w:val="en-US"/>
        </w:rPr>
        <w:t xml:space="preserve">the </w:t>
      </w:r>
      <w:r>
        <w:rPr>
          <w:lang w:val="en-US"/>
        </w:rPr>
        <w:t>demographic changes experienced</w:t>
      </w:r>
      <w:r w:rsidRPr="006863DB">
        <w:rPr>
          <w:lang w:val="en-US"/>
        </w:rPr>
        <w:t xml:space="preserve"> nowadays </w:t>
      </w:r>
      <w:r>
        <w:rPr>
          <w:lang w:val="en-US"/>
        </w:rPr>
        <w:t>in almost every developed country. The main question addressed is “What are the effects of population ageing on the old-age pension systems in Europe?</w:t>
      </w:r>
      <w:r w:rsidR="005E4374">
        <w:rPr>
          <w:lang w:val="en-US"/>
        </w:rPr>
        <w:t>”</w:t>
      </w:r>
      <w:r>
        <w:rPr>
          <w:lang w:val="en-US"/>
        </w:rPr>
        <w:t xml:space="preserve"> I explore the answer of this question by first describing the concept of old-age</w:t>
      </w:r>
      <w:r w:rsidR="005E4374">
        <w:rPr>
          <w:lang w:val="en-US"/>
        </w:rPr>
        <w:t xml:space="preserve"> pension systems by stressing</w:t>
      </w:r>
      <w:r>
        <w:rPr>
          <w:lang w:val="en-US"/>
        </w:rPr>
        <w:t xml:space="preserve"> the importance of its deep understanding. The paper narrows down its focus by bringing the attention to European level. It tracks down the developments in the different systems in Europe</w:t>
      </w:r>
      <w:r w:rsidR="005E4374">
        <w:rPr>
          <w:lang w:val="en-US"/>
        </w:rPr>
        <w:t xml:space="preserve"> and</w:t>
      </w:r>
      <w:r>
        <w:rPr>
          <w:lang w:val="en-US"/>
        </w:rPr>
        <w:t xml:space="preserve"> their responsiveness to changes in the demographic </w:t>
      </w:r>
      <w:r w:rsidR="005E4374">
        <w:rPr>
          <w:lang w:val="en-US"/>
        </w:rPr>
        <w:t>situation</w:t>
      </w:r>
      <w:r>
        <w:rPr>
          <w:lang w:val="en-US"/>
        </w:rPr>
        <w:t>. The stud</w:t>
      </w:r>
      <w:r w:rsidR="005E4374">
        <w:rPr>
          <w:lang w:val="en-US"/>
        </w:rPr>
        <w:t xml:space="preserve">y finishes with examples of four of the </w:t>
      </w:r>
      <w:r>
        <w:rPr>
          <w:lang w:val="en-US"/>
        </w:rPr>
        <w:t>European welfare states: The Nether</w:t>
      </w:r>
      <w:r w:rsidR="005E4374">
        <w:rPr>
          <w:lang w:val="en-US"/>
        </w:rPr>
        <w:t>lands, Germany, Italy and Spain</w:t>
      </w:r>
      <w:r>
        <w:rPr>
          <w:lang w:val="en-US"/>
        </w:rPr>
        <w:t xml:space="preserve">. </w:t>
      </w:r>
      <w:r w:rsidR="005E4374">
        <w:rPr>
          <w:lang w:val="en-US"/>
        </w:rPr>
        <w:t>I chose to examine th</w:t>
      </w:r>
      <w:r w:rsidR="008554ED">
        <w:rPr>
          <w:lang w:val="en-US"/>
        </w:rPr>
        <w:t>e</w:t>
      </w:r>
      <w:r w:rsidR="005E4374">
        <w:rPr>
          <w:lang w:val="en-US"/>
        </w:rPr>
        <w:t xml:space="preserve">se countries in order to show how even developed countries could suffer greatly in the future if </w:t>
      </w:r>
      <w:r w:rsidR="008554ED">
        <w:rPr>
          <w:lang w:val="en-US"/>
        </w:rPr>
        <w:t xml:space="preserve">proper </w:t>
      </w:r>
      <w:r w:rsidR="005E4374">
        <w:rPr>
          <w:lang w:val="en-US"/>
        </w:rPr>
        <w:t>measures are not taken to adjust to the changing environment.</w:t>
      </w:r>
    </w:p>
    <w:p w:rsidR="005D378B" w:rsidRDefault="005D378B" w:rsidP="005D378B">
      <w:pPr>
        <w:spacing w:line="360" w:lineRule="auto"/>
        <w:rPr>
          <w:lang w:val="en-US"/>
        </w:rPr>
      </w:pPr>
    </w:p>
    <w:p w:rsidR="005D378B" w:rsidRDefault="005D378B" w:rsidP="005D378B">
      <w:pPr>
        <w:spacing w:line="360" w:lineRule="auto"/>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Pr="009B2A62" w:rsidRDefault="005D378B" w:rsidP="005D378B">
      <w:pPr>
        <w:rPr>
          <w:lang w:val="en-US"/>
        </w:rPr>
      </w:pPr>
    </w:p>
    <w:p w:rsidR="005D378B" w:rsidRPr="00882BD5" w:rsidRDefault="005D378B" w:rsidP="005D378B">
      <w:pPr>
        <w:pStyle w:val="Heading2"/>
        <w:numPr>
          <w:ilvl w:val="0"/>
          <w:numId w:val="29"/>
        </w:numPr>
        <w:spacing w:before="480" w:line="360" w:lineRule="auto"/>
        <w:jc w:val="both"/>
        <w:rPr>
          <w:sz w:val="28"/>
          <w:szCs w:val="28"/>
          <w:lang w:val="en-US"/>
        </w:rPr>
      </w:pPr>
      <w:r w:rsidRPr="002F0F1A">
        <w:rPr>
          <w:sz w:val="28"/>
          <w:szCs w:val="28"/>
          <w:lang w:val="en-US"/>
        </w:rPr>
        <w:lastRenderedPageBreak/>
        <w:t>INTRODUCTION</w:t>
      </w:r>
    </w:p>
    <w:p w:rsidR="005D378B" w:rsidRDefault="005D378B" w:rsidP="005D378B">
      <w:pPr>
        <w:pStyle w:val="NormalWeb"/>
        <w:spacing w:before="0" w:beforeAutospacing="0" w:after="0" w:afterAutospacing="0" w:line="360" w:lineRule="auto"/>
        <w:rPr>
          <w:lang w:val="en-US"/>
        </w:rPr>
      </w:pPr>
      <w:r>
        <w:rPr>
          <w:lang w:val="en-US"/>
        </w:rPr>
        <w:t>The concept of the modern social welfare state was introduced by the German Otto von Bismarck in the 19</w:t>
      </w:r>
      <w:r w:rsidRPr="00BC6792">
        <w:rPr>
          <w:vertAlign w:val="superscript"/>
          <w:lang w:val="en-US"/>
        </w:rPr>
        <w:t>th</w:t>
      </w:r>
      <w:r>
        <w:rPr>
          <w:lang w:val="en-US"/>
        </w:rPr>
        <w:t xml:space="preserve"> century, and consisted of social security programs designed to help alleviate poverty and preserve the well-being of the citizens in a country. This model still serves as a foundation for most of</w:t>
      </w:r>
      <w:r w:rsidR="005979FE">
        <w:rPr>
          <w:lang w:val="en-US"/>
        </w:rPr>
        <w:t xml:space="preserve"> the</w:t>
      </w:r>
      <w:r>
        <w:rPr>
          <w:lang w:val="en-US"/>
        </w:rPr>
        <w:t xml:space="preserve"> European countries’ social systems. One of the major programs is the old-age pension arrangement which has the aim to decrease the sharp drop in the income of people of a certain age that are no longer able or willing to be part of the working force. This first public pension system was set in an economic and demographic environment that h</w:t>
      </w:r>
      <w:r w:rsidR="00EB463F">
        <w:rPr>
          <w:lang w:val="en-US"/>
        </w:rPr>
        <w:t>as been changing</w:t>
      </w:r>
      <w:r>
        <w:rPr>
          <w:lang w:val="en-US"/>
        </w:rPr>
        <w:t xml:space="preserve"> fundamentally</w:t>
      </w:r>
      <w:r w:rsidR="00496D83">
        <w:rPr>
          <w:lang w:val="en-US"/>
        </w:rPr>
        <w:t xml:space="preserve"> ever since</w:t>
      </w:r>
      <w:r>
        <w:rPr>
          <w:lang w:val="en-US"/>
        </w:rPr>
        <w:t xml:space="preserve">. The initial retirement </w:t>
      </w:r>
      <w:r>
        <w:t xml:space="preserve">age in Germany was set at 70, with life expectancy at birth </w:t>
      </w:r>
      <w:r w:rsidR="00496D83">
        <w:rPr>
          <w:lang w:val="en-GB"/>
        </w:rPr>
        <w:t xml:space="preserve">of </w:t>
      </w:r>
      <w:r w:rsidR="00496D83">
        <w:t>45 years for men</w:t>
      </w:r>
      <w:r w:rsidR="00496D83">
        <w:rPr>
          <w:lang w:val="en-GB"/>
        </w:rPr>
        <w:t>. N</w:t>
      </w:r>
      <w:r>
        <w:t>ow</w:t>
      </w:r>
      <w:r w:rsidR="00496D83">
        <w:rPr>
          <w:lang w:val="en-GB"/>
        </w:rPr>
        <w:t>,</w:t>
      </w:r>
      <w:r>
        <w:t xml:space="preserve"> the official retirement age has dropped to 65 while life expectancy keeps increasing, currently exceeding 75.</w:t>
      </w:r>
      <w:r w:rsidR="009B4831">
        <w:rPr>
          <w:rStyle w:val="FootnoteReference"/>
        </w:rPr>
        <w:footnoteReference w:id="1"/>
      </w:r>
      <w:r>
        <w:t xml:space="preserve"> Although those numbers concern Germany there is a similar trend in most west-European countries. </w:t>
      </w:r>
    </w:p>
    <w:p w:rsidR="005D378B" w:rsidRPr="009B2A62" w:rsidRDefault="005D378B" w:rsidP="005D378B">
      <w:pPr>
        <w:pStyle w:val="NormalWeb"/>
        <w:spacing w:before="0" w:beforeAutospacing="0" w:after="0" w:afterAutospacing="0" w:line="360" w:lineRule="auto"/>
        <w:rPr>
          <w:lang w:val="en-US"/>
        </w:rPr>
      </w:pPr>
      <w:r>
        <w:t>The progressive ageing of the population, the exponential increase of life expectancy and the constant decrease in mortality</w:t>
      </w:r>
      <w:r w:rsidR="003007E0">
        <w:t xml:space="preserve"> rates</w:t>
      </w:r>
      <w:r>
        <w:t xml:space="preserve"> observed in past decades, along with the entering of the so-called “baby-boom” cohort in retirement age put severe pressure on the fiscal sustainability of the current pension systems. Those problems can be observed in most industrialized countries, but seem to be most prominent in</w:t>
      </w:r>
      <w:r w:rsidRPr="0015213B">
        <w:rPr>
          <w:lang w:val="en-US"/>
        </w:rPr>
        <w:t xml:space="preserve"> Europe. One of the major reasons for that is the fact that many of the pension systems still heavily </w:t>
      </w:r>
      <w:r>
        <w:rPr>
          <w:lang w:val="en-US"/>
        </w:rPr>
        <w:t>rely on the pay-as-you-go (PAYG</w:t>
      </w:r>
      <w:r w:rsidRPr="0015213B">
        <w:rPr>
          <w:lang w:val="en-US"/>
        </w:rPr>
        <w:t>) schemes to provide the old-age retirement income of the</w:t>
      </w:r>
      <w:r w:rsidR="003007E0">
        <w:rPr>
          <w:lang w:val="en-US"/>
        </w:rPr>
        <w:t xml:space="preserve"> population, and those schemes have </w:t>
      </w:r>
      <w:r w:rsidRPr="0015213B">
        <w:rPr>
          <w:lang w:val="en-US"/>
        </w:rPr>
        <w:t>proved to be vulnerable to demographic changes.</w:t>
      </w:r>
      <w:r>
        <w:rPr>
          <w:lang w:val="en-US"/>
        </w:rPr>
        <w:t xml:space="preserve"> In addition, the looming financial problems along with other concerns regarding the functioning of the labor markets are posing more challenges to the social welfare systems.</w:t>
      </w:r>
      <w:r w:rsidR="003007E0">
        <w:rPr>
          <w:lang w:val="en-US"/>
        </w:rPr>
        <w:t xml:space="preserve"> </w:t>
      </w:r>
      <w:r>
        <w:rPr>
          <w:lang w:val="en-US"/>
        </w:rPr>
        <w:t>As a result, the pension reforms are placed high on the political agenda of most European governments. The proper understanding of the demographic changes and their effects on the future of the social security systems is of cruc</w:t>
      </w:r>
      <w:r w:rsidR="003007E0">
        <w:rPr>
          <w:lang w:val="en-US"/>
        </w:rPr>
        <w:t>ial importance for preserving</w:t>
      </w:r>
      <w:r>
        <w:rPr>
          <w:lang w:val="en-US"/>
        </w:rPr>
        <w:t xml:space="preserve"> the </w:t>
      </w:r>
      <w:r w:rsidR="003007E0">
        <w:rPr>
          <w:lang w:val="en-US"/>
        </w:rPr>
        <w:t>welfare of the population</w:t>
      </w:r>
      <w:r>
        <w:rPr>
          <w:lang w:val="en-US"/>
        </w:rPr>
        <w:t>.</w:t>
      </w:r>
    </w:p>
    <w:p w:rsidR="005D378B" w:rsidRDefault="005D378B" w:rsidP="005D378B">
      <w:pPr>
        <w:autoSpaceDE w:val="0"/>
        <w:autoSpaceDN w:val="0"/>
        <w:adjustRightInd w:val="0"/>
        <w:spacing w:before="240" w:line="360" w:lineRule="auto"/>
        <w:jc w:val="both"/>
        <w:rPr>
          <w:rFonts w:eastAsiaTheme="minorHAnsi"/>
          <w:iCs/>
          <w:lang w:val="en-US"/>
        </w:rPr>
      </w:pPr>
      <w:r>
        <w:rPr>
          <w:rFonts w:eastAsiaTheme="minorHAnsi"/>
          <w:iCs/>
          <w:lang w:val="en-US"/>
        </w:rPr>
        <w:t>Around the world, even in the wealthiest countries, the elderly part of the population has smaller income than the actively working part. Modigliani’s theory for consumpti</w:t>
      </w:r>
      <w:r w:rsidR="000E13A1">
        <w:rPr>
          <w:rFonts w:eastAsiaTheme="minorHAnsi"/>
          <w:iCs/>
          <w:lang w:val="en-US"/>
        </w:rPr>
        <w:t>on function and the life cycles</w:t>
      </w:r>
      <w:r>
        <w:rPr>
          <w:rFonts w:eastAsiaTheme="minorHAnsi"/>
          <w:iCs/>
          <w:lang w:val="en-US"/>
        </w:rPr>
        <w:t xml:space="preserve"> states that human life could be hypothetically divided into three phases: youth, middle-age working years and retirement age years (Modigliani and </w:t>
      </w:r>
      <w:proofErr w:type="spellStart"/>
      <w:r>
        <w:rPr>
          <w:rFonts w:eastAsiaTheme="minorHAnsi"/>
          <w:iCs/>
          <w:lang w:val="en-US"/>
        </w:rPr>
        <w:t>Brumberg</w:t>
      </w:r>
      <w:proofErr w:type="spellEnd"/>
      <w:r>
        <w:rPr>
          <w:rFonts w:eastAsiaTheme="minorHAnsi"/>
          <w:iCs/>
          <w:lang w:val="en-US"/>
        </w:rPr>
        <w:t xml:space="preserve">, 1954). According to the theory, the individual is assumed to seek consumption smoothing throughout his life, irrespective of his current income. During the youth years, the consumption is less </w:t>
      </w:r>
      <w:r>
        <w:rPr>
          <w:rFonts w:eastAsiaTheme="minorHAnsi"/>
          <w:iCs/>
          <w:lang w:val="en-US"/>
        </w:rPr>
        <w:lastRenderedPageBreak/>
        <w:t>compared to the middle years, when the individual is earning significantly more, due to developments in his life. In this middle part of the lifecycle, the worker normally repays eventual debts from the earlier phase, and saves what is left for the later stages of life. The person in the retirement phase of life enjoys the savings accumulated earlier. Although entering retirement age leads</w:t>
      </w:r>
      <w:r w:rsidR="000E13A1">
        <w:rPr>
          <w:rFonts w:eastAsiaTheme="minorHAnsi"/>
          <w:iCs/>
          <w:lang w:val="en-US"/>
        </w:rPr>
        <w:t xml:space="preserve"> to a</w:t>
      </w:r>
      <w:r>
        <w:rPr>
          <w:rFonts w:eastAsiaTheme="minorHAnsi"/>
          <w:iCs/>
          <w:lang w:val="en-US"/>
        </w:rPr>
        <w:t xml:space="preserve"> fall in the income level, in developed countries this decline is not as drastic as in some </w:t>
      </w:r>
      <w:r w:rsidR="00EA0AD5">
        <w:rPr>
          <w:rFonts w:eastAsiaTheme="minorHAnsi"/>
          <w:iCs/>
          <w:lang w:val="en-US"/>
        </w:rPr>
        <w:t xml:space="preserve">of their </w:t>
      </w:r>
      <w:r>
        <w:rPr>
          <w:rFonts w:eastAsiaTheme="minorHAnsi"/>
          <w:iCs/>
          <w:lang w:val="en-US"/>
        </w:rPr>
        <w:t xml:space="preserve">less developed </w:t>
      </w:r>
      <w:r w:rsidR="00EA0AD5">
        <w:rPr>
          <w:rFonts w:eastAsiaTheme="minorHAnsi"/>
          <w:iCs/>
          <w:lang w:val="en-US"/>
        </w:rPr>
        <w:t>counterparts.</w:t>
      </w:r>
      <w:r>
        <w:rPr>
          <w:rFonts w:eastAsiaTheme="minorHAnsi"/>
          <w:iCs/>
          <w:lang w:val="en-US"/>
        </w:rPr>
        <w:t xml:space="preserve"> An example here could be again the case of Germany, where the retirement income of the elderly is around 70% of the average lifetime earnings</w:t>
      </w:r>
      <w:r>
        <w:rPr>
          <w:rStyle w:val="FootnoteReference"/>
          <w:rFonts w:eastAsiaTheme="minorHAnsi"/>
          <w:iCs/>
          <w:lang w:val="en-US"/>
        </w:rPr>
        <w:footnoteReference w:id="2"/>
      </w:r>
      <w:r>
        <w:rPr>
          <w:rFonts w:eastAsiaTheme="minorHAnsi"/>
          <w:iCs/>
          <w:lang w:val="en-US"/>
        </w:rPr>
        <w:t xml:space="preserve"> (</w:t>
      </w:r>
      <w:proofErr w:type="spellStart"/>
      <w:r>
        <w:rPr>
          <w:rFonts w:eastAsiaTheme="minorHAnsi"/>
          <w:iCs/>
          <w:lang w:val="en-US"/>
        </w:rPr>
        <w:t>Legros</w:t>
      </w:r>
      <w:proofErr w:type="spellEnd"/>
      <w:r>
        <w:rPr>
          <w:rFonts w:eastAsiaTheme="minorHAnsi"/>
          <w:iCs/>
          <w:lang w:val="en-US"/>
        </w:rPr>
        <w:t>, 2001).</w:t>
      </w:r>
      <w:r w:rsidR="007F49EC">
        <w:rPr>
          <w:rFonts w:eastAsiaTheme="minorHAnsi"/>
          <w:iCs/>
          <w:lang w:val="en-US"/>
        </w:rPr>
        <w:t xml:space="preserve"> </w:t>
      </w:r>
      <w:r>
        <w:rPr>
          <w:rFonts w:eastAsiaTheme="minorHAnsi"/>
          <w:iCs/>
          <w:lang w:val="en-US"/>
        </w:rPr>
        <w:t xml:space="preserve">The sustainability of such a replacement rate is one of the main problems of the current welfare states. Through the past decades many organizations have been raising awareness of this problem caused to a high extend by the demographic movements (EU commission, 2009). </w:t>
      </w:r>
    </w:p>
    <w:p w:rsidR="005D378B" w:rsidRDefault="005D378B" w:rsidP="005D378B">
      <w:pPr>
        <w:autoSpaceDE w:val="0"/>
        <w:autoSpaceDN w:val="0"/>
        <w:adjustRightInd w:val="0"/>
        <w:spacing w:line="360" w:lineRule="auto"/>
        <w:jc w:val="both"/>
        <w:rPr>
          <w:rFonts w:eastAsiaTheme="minorHAnsi"/>
          <w:iCs/>
          <w:lang w:val="en-US"/>
        </w:rPr>
      </w:pPr>
      <w:r>
        <w:rPr>
          <w:rFonts w:eastAsiaTheme="minorHAnsi"/>
          <w:iCs/>
          <w:lang w:val="en-US"/>
        </w:rPr>
        <w:t xml:space="preserve">Many of the challenges that most of the European </w:t>
      </w:r>
      <w:r w:rsidR="007F49EC">
        <w:rPr>
          <w:rFonts w:eastAsiaTheme="minorHAnsi"/>
          <w:iCs/>
          <w:lang w:val="en-US"/>
        </w:rPr>
        <w:t>countries’ pension systems face</w:t>
      </w:r>
      <w:r>
        <w:rPr>
          <w:rFonts w:eastAsiaTheme="minorHAnsi"/>
          <w:iCs/>
          <w:lang w:val="en-US"/>
        </w:rPr>
        <w:t xml:space="preserve"> stem from the overall ageing of the population.</w:t>
      </w:r>
    </w:p>
    <w:p w:rsidR="005D378B" w:rsidRDefault="005D378B" w:rsidP="005D378B">
      <w:pPr>
        <w:autoSpaceDE w:val="0"/>
        <w:autoSpaceDN w:val="0"/>
        <w:adjustRightInd w:val="0"/>
        <w:spacing w:before="240" w:line="360" w:lineRule="auto"/>
        <w:jc w:val="both"/>
        <w:rPr>
          <w:rFonts w:eastAsiaTheme="minorHAnsi"/>
          <w:iCs/>
          <w:lang w:val="en-US"/>
        </w:rPr>
      </w:pPr>
      <w:r w:rsidRPr="00FC48A7">
        <w:rPr>
          <w:rFonts w:eastAsiaTheme="minorHAnsi"/>
          <w:iCs/>
          <w:lang w:val="en-US"/>
        </w:rPr>
        <w:t xml:space="preserve">The main purpose of this </w:t>
      </w:r>
      <w:r>
        <w:rPr>
          <w:rFonts w:eastAsiaTheme="minorHAnsi"/>
          <w:iCs/>
          <w:lang w:val="en-US"/>
        </w:rPr>
        <w:t xml:space="preserve">review </w:t>
      </w:r>
      <w:r w:rsidRPr="00FC48A7">
        <w:rPr>
          <w:rFonts w:eastAsiaTheme="minorHAnsi"/>
          <w:iCs/>
          <w:lang w:val="en-US"/>
        </w:rPr>
        <w:t>paper is to determine the effects of the</w:t>
      </w:r>
      <w:r>
        <w:rPr>
          <w:rFonts w:eastAsiaTheme="minorHAnsi"/>
          <w:iCs/>
          <w:lang w:val="en-US"/>
        </w:rPr>
        <w:t xml:space="preserve"> </w:t>
      </w:r>
      <w:r w:rsidRPr="00FC48A7">
        <w:rPr>
          <w:rFonts w:eastAsiaTheme="minorHAnsi"/>
          <w:iCs/>
          <w:lang w:val="en-US"/>
        </w:rPr>
        <w:t xml:space="preserve">population ageing on the sustainability of old-age pension systems in Europe. </w:t>
      </w:r>
      <w:r>
        <w:rPr>
          <w:rFonts w:eastAsiaTheme="minorHAnsi"/>
          <w:iCs/>
          <w:lang w:val="en-US"/>
        </w:rPr>
        <w:t xml:space="preserve">In order to do this, the research will depart from a point of presentation of the general structure of pension systems within the welfare states. Central to the study will be a literature review of the work done by the scholars in the relevant economic field. The research will then be brought to the European level, as the problem of population ageing among countries there is </w:t>
      </w:r>
      <w:r w:rsidRPr="00F93634">
        <w:rPr>
          <w:rFonts w:eastAsiaTheme="minorHAnsi"/>
          <w:iCs/>
          <w:lang w:val="en-US"/>
        </w:rPr>
        <w:t>considered to b</w:t>
      </w:r>
      <w:r w:rsidR="00E32B43">
        <w:rPr>
          <w:rFonts w:eastAsiaTheme="minorHAnsi"/>
          <w:iCs/>
          <w:lang w:val="en-US"/>
        </w:rPr>
        <w:t>e visible to the greatest extent</w:t>
      </w:r>
      <w:r>
        <w:rPr>
          <w:rFonts w:eastAsiaTheme="minorHAnsi"/>
          <w:iCs/>
          <w:lang w:val="en-US"/>
        </w:rPr>
        <w:t>.</w:t>
      </w:r>
      <w:r w:rsidRPr="00F93634">
        <w:rPr>
          <w:rStyle w:val="FootnoteReference"/>
          <w:rFonts w:eastAsiaTheme="minorHAnsi"/>
          <w:iCs/>
          <w:lang w:val="en-US"/>
        </w:rPr>
        <w:footnoteReference w:id="3"/>
      </w:r>
    </w:p>
    <w:p w:rsidR="005D378B" w:rsidRPr="00003C93" w:rsidRDefault="005D378B" w:rsidP="005D378B">
      <w:pPr>
        <w:autoSpaceDE w:val="0"/>
        <w:autoSpaceDN w:val="0"/>
        <w:adjustRightInd w:val="0"/>
        <w:spacing w:line="360" w:lineRule="auto"/>
        <w:jc w:val="both"/>
        <w:rPr>
          <w:rFonts w:eastAsiaTheme="minorHAnsi"/>
          <w:iCs/>
          <w:lang w:val="en-US"/>
        </w:rPr>
      </w:pPr>
      <w:r>
        <w:rPr>
          <w:rFonts w:eastAsiaTheme="minorHAnsi"/>
          <w:iCs/>
          <w:lang w:val="en-US"/>
        </w:rPr>
        <w:t>The paper will give an overview of the pension systems of the Netherlands, Germany, Italy and Spain. The choice is based on the ground</w:t>
      </w:r>
      <w:r w:rsidR="00E32B43">
        <w:rPr>
          <w:rFonts w:eastAsiaTheme="minorHAnsi"/>
          <w:iCs/>
          <w:lang w:val="en-US"/>
        </w:rPr>
        <w:t>s of the argument that those four welfare states</w:t>
      </w:r>
      <w:r>
        <w:rPr>
          <w:rFonts w:eastAsiaTheme="minorHAnsi"/>
          <w:iCs/>
          <w:lang w:val="en-US"/>
        </w:rPr>
        <w:t xml:space="preserve"> have adopted quite different financial arrangements, </w:t>
      </w:r>
      <w:r w:rsidR="00E32B43">
        <w:rPr>
          <w:rFonts w:eastAsiaTheme="minorHAnsi"/>
          <w:iCs/>
          <w:lang w:val="en-US"/>
        </w:rPr>
        <w:t>while in the same time</w:t>
      </w:r>
      <w:r>
        <w:rPr>
          <w:rFonts w:eastAsiaTheme="minorHAnsi"/>
          <w:iCs/>
          <w:lang w:val="en-US"/>
        </w:rPr>
        <w:t xml:space="preserve"> there are still some similarities in the institutional settings and the political legacies of the countries (</w:t>
      </w:r>
      <w:proofErr w:type="spellStart"/>
      <w:r>
        <w:rPr>
          <w:rFonts w:eastAsiaTheme="minorHAnsi"/>
          <w:iCs/>
          <w:lang w:val="en-US"/>
        </w:rPr>
        <w:t>Haverland</w:t>
      </w:r>
      <w:proofErr w:type="spellEnd"/>
      <w:r>
        <w:rPr>
          <w:rFonts w:eastAsiaTheme="minorHAnsi"/>
          <w:iCs/>
          <w:lang w:val="en-US"/>
        </w:rPr>
        <w:t xml:space="preserve"> 2001). This would serve as a comparison of how a different setting of the social security system responds to changes in the demographic developments.</w:t>
      </w:r>
    </w:p>
    <w:p w:rsidR="005D378B" w:rsidRDefault="00F5458A" w:rsidP="005D378B">
      <w:pPr>
        <w:autoSpaceDE w:val="0"/>
        <w:autoSpaceDN w:val="0"/>
        <w:adjustRightInd w:val="0"/>
        <w:spacing w:line="360" w:lineRule="auto"/>
        <w:jc w:val="both"/>
        <w:rPr>
          <w:rFonts w:eastAsiaTheme="minorHAnsi"/>
          <w:iCs/>
          <w:lang w:val="en-US"/>
        </w:rPr>
      </w:pPr>
      <w:r>
        <w:rPr>
          <w:rFonts w:eastAsiaTheme="minorHAnsi"/>
          <w:iCs/>
          <w:lang w:val="en-US"/>
        </w:rPr>
        <w:t>It is important to note that</w:t>
      </w:r>
      <w:r w:rsidR="005D378B">
        <w:rPr>
          <w:rFonts w:eastAsiaTheme="minorHAnsi"/>
          <w:iCs/>
          <w:lang w:val="en-US"/>
        </w:rPr>
        <w:t xml:space="preserve"> recently, there are many contributions in the literature on the question of the impact of the European integration on the domestic political decisions concerning the welfare states, and more precisely the pension systems. However, the results of the studies are contradictory and it has been concluded that there is insufficient evidence to </w:t>
      </w:r>
      <w:r w:rsidR="005D378B">
        <w:rPr>
          <w:rFonts w:eastAsiaTheme="minorHAnsi"/>
          <w:iCs/>
          <w:lang w:val="en-US"/>
        </w:rPr>
        <w:lastRenderedPageBreak/>
        <w:t xml:space="preserve">conclude the causal relation between EU-level influence and the pension systems’ structural changes in many countries across Europe in the last few decades (Anderson, 2001). In addition, in his paper, </w:t>
      </w:r>
      <w:proofErr w:type="spellStart"/>
      <w:r w:rsidR="005D378B">
        <w:rPr>
          <w:rFonts w:eastAsiaTheme="minorHAnsi"/>
          <w:iCs/>
          <w:lang w:val="en-US"/>
        </w:rPr>
        <w:t>Haverland</w:t>
      </w:r>
      <w:proofErr w:type="spellEnd"/>
      <w:r w:rsidR="005D378B">
        <w:rPr>
          <w:rFonts w:eastAsiaTheme="minorHAnsi"/>
          <w:iCs/>
          <w:lang w:val="en-US"/>
        </w:rPr>
        <w:t xml:space="preserve"> (2006</w:t>
      </w:r>
      <w:r>
        <w:rPr>
          <w:rFonts w:eastAsiaTheme="minorHAnsi"/>
          <w:iCs/>
          <w:lang w:val="en-US"/>
        </w:rPr>
        <w:t>)</w:t>
      </w:r>
      <w:r w:rsidR="005D378B">
        <w:rPr>
          <w:rFonts w:eastAsiaTheme="minorHAnsi"/>
          <w:iCs/>
          <w:lang w:val="en-US"/>
        </w:rPr>
        <w:t xml:space="preserve"> argues that the exclusion of non-E</w:t>
      </w:r>
      <w:r>
        <w:rPr>
          <w:rFonts w:eastAsiaTheme="minorHAnsi"/>
          <w:iCs/>
          <w:lang w:val="en-US"/>
        </w:rPr>
        <w:t>U member states in such studies</w:t>
      </w:r>
      <w:r w:rsidR="005D378B">
        <w:rPr>
          <w:rFonts w:eastAsiaTheme="minorHAnsi"/>
          <w:iCs/>
          <w:lang w:val="en-US"/>
        </w:rPr>
        <w:t xml:space="preserve"> makes it unlikely to isolate the real causal effect of Europeanization. Based on those arguments, the aspect of the Europeanization will not be considered in this paper as it is beyond its explanatory scope.</w:t>
      </w:r>
    </w:p>
    <w:p w:rsidR="005D378B" w:rsidRDefault="005D378B" w:rsidP="005D378B">
      <w:pPr>
        <w:autoSpaceDE w:val="0"/>
        <w:autoSpaceDN w:val="0"/>
        <w:adjustRightInd w:val="0"/>
        <w:spacing w:before="240" w:line="360" w:lineRule="auto"/>
        <w:jc w:val="both"/>
        <w:rPr>
          <w:rFonts w:eastAsiaTheme="minorHAnsi"/>
          <w:iCs/>
          <w:lang w:val="en-US"/>
        </w:rPr>
      </w:pPr>
      <w:r w:rsidRPr="00FC48A7">
        <w:rPr>
          <w:rFonts w:eastAsiaTheme="minorHAnsi"/>
          <w:iCs/>
          <w:lang w:val="en-US"/>
        </w:rPr>
        <w:t xml:space="preserve">There is voluminous amount of academic literature on the subjects of population ageing, pension systems, and pension policy change. The area that these topics cover is extensive and the main </w:t>
      </w:r>
      <w:r>
        <w:rPr>
          <w:rFonts w:eastAsiaTheme="minorHAnsi"/>
          <w:iCs/>
          <w:lang w:val="en-US"/>
        </w:rPr>
        <w:t>methodological procedure</w:t>
      </w:r>
      <w:r w:rsidRPr="00FC48A7">
        <w:rPr>
          <w:rFonts w:eastAsiaTheme="minorHAnsi"/>
          <w:iCs/>
          <w:lang w:val="en-US"/>
        </w:rPr>
        <w:t xml:space="preserve"> of the paper will </w:t>
      </w:r>
      <w:r w:rsidR="00F5458A">
        <w:rPr>
          <w:rFonts w:eastAsiaTheme="minorHAnsi"/>
          <w:iCs/>
          <w:lang w:val="en-US"/>
        </w:rPr>
        <w:t xml:space="preserve">be </w:t>
      </w:r>
      <w:r>
        <w:rPr>
          <w:rFonts w:eastAsiaTheme="minorHAnsi"/>
          <w:iCs/>
          <w:lang w:val="en-US"/>
        </w:rPr>
        <w:t>to provide</w:t>
      </w:r>
      <w:r w:rsidRPr="00FC48A7">
        <w:rPr>
          <w:rFonts w:eastAsiaTheme="minorHAnsi"/>
          <w:iCs/>
          <w:lang w:val="en-US"/>
        </w:rPr>
        <w:t xml:space="preserve"> a literature review. The theoretical setting of the structure of old-age pension systems will be present</w:t>
      </w:r>
      <w:r>
        <w:rPr>
          <w:rFonts w:eastAsiaTheme="minorHAnsi"/>
          <w:iCs/>
          <w:lang w:val="en-US"/>
        </w:rPr>
        <w:t xml:space="preserve">, along with the </w:t>
      </w:r>
      <w:bookmarkStart w:id="0" w:name="_GoBack"/>
      <w:bookmarkEnd w:id="0"/>
      <w:r>
        <w:rPr>
          <w:rFonts w:eastAsiaTheme="minorHAnsi"/>
          <w:iCs/>
          <w:lang w:val="en-US"/>
        </w:rPr>
        <w:t xml:space="preserve">current demographic situation and some future projections and their impact on the welfare states. Data is mostly gathered from official reports of public organizations. Following this, a review </w:t>
      </w:r>
      <w:r w:rsidRPr="00FC48A7">
        <w:rPr>
          <w:rFonts w:eastAsiaTheme="minorHAnsi"/>
          <w:iCs/>
          <w:lang w:val="en-US"/>
        </w:rPr>
        <w:t>of the main features of pension systems in Europe</w:t>
      </w:r>
      <w:r>
        <w:rPr>
          <w:rFonts w:eastAsiaTheme="minorHAnsi"/>
          <w:iCs/>
          <w:lang w:val="en-US"/>
        </w:rPr>
        <w:t xml:space="preserve"> will be sketched</w:t>
      </w:r>
      <w:r w:rsidRPr="00FC48A7">
        <w:rPr>
          <w:rFonts w:eastAsiaTheme="minorHAnsi"/>
          <w:iCs/>
          <w:lang w:val="en-US"/>
        </w:rPr>
        <w:t>,</w:t>
      </w:r>
      <w:r>
        <w:rPr>
          <w:rFonts w:eastAsiaTheme="minorHAnsi"/>
          <w:iCs/>
          <w:lang w:val="en-US"/>
        </w:rPr>
        <w:t xml:space="preserve"> along with</w:t>
      </w:r>
      <w:r w:rsidRPr="00FC48A7">
        <w:rPr>
          <w:rFonts w:eastAsiaTheme="minorHAnsi"/>
          <w:iCs/>
          <w:lang w:val="en-US"/>
        </w:rPr>
        <w:t xml:space="preserve"> the issues that concern </w:t>
      </w:r>
      <w:r>
        <w:rPr>
          <w:rFonts w:eastAsiaTheme="minorHAnsi"/>
          <w:iCs/>
          <w:lang w:val="en-US"/>
        </w:rPr>
        <w:t xml:space="preserve">the </w:t>
      </w:r>
      <w:r w:rsidRPr="00FC48A7">
        <w:rPr>
          <w:rFonts w:eastAsiaTheme="minorHAnsi"/>
          <w:iCs/>
          <w:lang w:val="en-US"/>
        </w:rPr>
        <w:t>policy changes</w:t>
      </w:r>
      <w:r>
        <w:rPr>
          <w:rFonts w:eastAsiaTheme="minorHAnsi"/>
          <w:iCs/>
          <w:lang w:val="en-US"/>
        </w:rPr>
        <w:t xml:space="preserve"> in response of the population ageing</w:t>
      </w:r>
      <w:r w:rsidRPr="00FC48A7">
        <w:rPr>
          <w:rFonts w:eastAsiaTheme="minorHAnsi"/>
          <w:iCs/>
          <w:lang w:val="en-US"/>
        </w:rPr>
        <w:t xml:space="preserve">. Furthermore, the research will be narrowed down by presenting </w:t>
      </w:r>
      <w:r>
        <w:rPr>
          <w:rFonts w:eastAsiaTheme="minorHAnsi"/>
          <w:iCs/>
          <w:lang w:val="en-US"/>
        </w:rPr>
        <w:t xml:space="preserve">four of </w:t>
      </w:r>
      <w:r w:rsidRPr="00FC48A7">
        <w:rPr>
          <w:rFonts w:eastAsiaTheme="minorHAnsi"/>
          <w:iCs/>
          <w:lang w:val="en-US"/>
        </w:rPr>
        <w:t>Europe’s welfare states</w:t>
      </w:r>
      <w:r>
        <w:rPr>
          <w:rFonts w:eastAsiaTheme="minorHAnsi"/>
          <w:iCs/>
          <w:lang w:val="en-US"/>
        </w:rPr>
        <w:t xml:space="preserve"> – </w:t>
      </w:r>
      <w:r w:rsidRPr="00FC48A7">
        <w:rPr>
          <w:rFonts w:eastAsiaTheme="minorHAnsi"/>
          <w:iCs/>
          <w:lang w:val="en-US"/>
        </w:rPr>
        <w:t>the Netherlands,</w:t>
      </w:r>
      <w:r>
        <w:rPr>
          <w:rFonts w:eastAsiaTheme="minorHAnsi"/>
          <w:iCs/>
          <w:lang w:val="en-US"/>
        </w:rPr>
        <w:t xml:space="preserve"> Germany, Italy and Spain,</w:t>
      </w:r>
      <w:r w:rsidRPr="00FC48A7">
        <w:rPr>
          <w:rFonts w:eastAsiaTheme="minorHAnsi"/>
          <w:iCs/>
          <w:lang w:val="en-US"/>
        </w:rPr>
        <w:t xml:space="preserve"> and the ways their different institutional settings manage to cope with the problem of population ageing.</w:t>
      </w:r>
    </w:p>
    <w:p w:rsidR="005D378B" w:rsidRDefault="005D378B" w:rsidP="005D378B">
      <w:pPr>
        <w:autoSpaceDE w:val="0"/>
        <w:autoSpaceDN w:val="0"/>
        <w:adjustRightInd w:val="0"/>
        <w:spacing w:before="240" w:line="360" w:lineRule="auto"/>
        <w:jc w:val="both"/>
      </w:pPr>
      <w:r w:rsidRPr="00D50C43">
        <w:rPr>
          <w:iCs/>
          <w:lang w:val="en-US"/>
        </w:rPr>
        <w:t xml:space="preserve">The </w:t>
      </w:r>
      <w:r>
        <w:rPr>
          <w:iCs/>
          <w:lang w:val="en-US"/>
        </w:rPr>
        <w:t xml:space="preserve">main </w:t>
      </w:r>
      <w:r w:rsidRPr="00D50C43">
        <w:rPr>
          <w:iCs/>
          <w:lang w:val="en-US"/>
        </w:rPr>
        <w:t>problem this paper is addressing is</w:t>
      </w:r>
      <w:r>
        <w:rPr>
          <w:iCs/>
          <w:lang w:val="en-US"/>
        </w:rPr>
        <w:t xml:space="preserve"> “</w:t>
      </w:r>
      <w:r w:rsidRPr="00D50C43">
        <w:rPr>
          <w:i/>
        </w:rPr>
        <w:t>How does the ageing of the population affect the old-age pension systems</w:t>
      </w:r>
      <w:r>
        <w:rPr>
          <w:i/>
        </w:rPr>
        <w:t xml:space="preserve"> in Europe</w:t>
      </w:r>
      <w:r w:rsidRPr="00D50C43">
        <w:rPr>
          <w:i/>
        </w:rPr>
        <w:t>?</w:t>
      </w:r>
      <w:r>
        <w:rPr>
          <w:i/>
        </w:rPr>
        <w:t>”</w:t>
      </w:r>
      <w:r>
        <w:t xml:space="preserve"> In the process of examining this question, the following partial questions will be addressed in the consecutive sections of the paper. Section 2 will outline the objectives and the formal arrangements of different pension systems and their dimensions. The se</w:t>
      </w:r>
      <w:r w:rsidR="005B1A7A">
        <w:t>ction’s main aim is to stress</w:t>
      </w:r>
      <w:r>
        <w:t xml:space="preserve"> what is the importance of understanding the pension system structure. </w:t>
      </w:r>
    </w:p>
    <w:p w:rsidR="005D378B" w:rsidRDefault="005B1A7A" w:rsidP="005D378B">
      <w:pPr>
        <w:autoSpaceDE w:val="0"/>
        <w:autoSpaceDN w:val="0"/>
        <w:adjustRightInd w:val="0"/>
        <w:spacing w:line="360" w:lineRule="auto"/>
        <w:jc w:val="both"/>
      </w:pPr>
      <w:r>
        <w:t>Next, S</w:t>
      </w:r>
      <w:r w:rsidR="005D378B">
        <w:t xml:space="preserve">ection 3 will introduce the demographic dynamics observed nowadays, what are the main causes of population ageing and the impact of this demographic change. </w:t>
      </w:r>
    </w:p>
    <w:p w:rsidR="005D378B" w:rsidRDefault="005D378B" w:rsidP="005D378B">
      <w:pPr>
        <w:autoSpaceDE w:val="0"/>
        <w:autoSpaceDN w:val="0"/>
        <w:adjustRightInd w:val="0"/>
        <w:spacing w:line="360" w:lineRule="auto"/>
        <w:jc w:val="both"/>
      </w:pPr>
      <w:r>
        <w:t>Section 4 will shift the attention to</w:t>
      </w:r>
      <w:r w:rsidR="005B1A7A">
        <w:t xml:space="preserve"> the</w:t>
      </w:r>
      <w:r>
        <w:t xml:space="preserve"> European level by examining how different welfare states cope with ageing. The section will present the developments of Eu</w:t>
      </w:r>
      <w:r w:rsidR="006F36B8">
        <w:t>ropean old-age security systems</w:t>
      </w:r>
      <w:r>
        <w:t xml:space="preserve"> and introduce the reform issues that most governments face. The section will then narrow down the research even further, by presenting the cases of The Netherlands, Germany, Italy and Spain. </w:t>
      </w:r>
    </w:p>
    <w:p w:rsidR="005D378B" w:rsidRDefault="005B1A7A" w:rsidP="005D378B">
      <w:pPr>
        <w:autoSpaceDE w:val="0"/>
        <w:autoSpaceDN w:val="0"/>
        <w:adjustRightInd w:val="0"/>
        <w:spacing w:line="360" w:lineRule="auto"/>
        <w:jc w:val="both"/>
        <w:rPr>
          <w:rFonts w:eastAsiaTheme="minorHAnsi"/>
          <w:color w:val="000000" w:themeColor="text1"/>
          <w:sz w:val="26"/>
          <w:szCs w:val="26"/>
          <w:lang w:val="en-US"/>
        </w:rPr>
      </w:pPr>
      <w:r>
        <w:t>At the end, S</w:t>
      </w:r>
      <w:r w:rsidR="005D378B">
        <w:t>ection 5 will summarize the main issues and conclusions drawn.</w:t>
      </w:r>
    </w:p>
    <w:p w:rsidR="005D378B" w:rsidRDefault="005D378B" w:rsidP="005D378B">
      <w:pPr>
        <w:spacing w:line="360" w:lineRule="auto"/>
        <w:jc w:val="both"/>
        <w:rPr>
          <w:lang w:val="en-US"/>
        </w:rPr>
      </w:pPr>
    </w:p>
    <w:p w:rsidR="005D378B" w:rsidRDefault="005D378B" w:rsidP="005D378B">
      <w:pPr>
        <w:pStyle w:val="Heading2"/>
        <w:spacing w:before="360"/>
        <w:jc w:val="both"/>
        <w:rPr>
          <w:sz w:val="28"/>
          <w:szCs w:val="28"/>
          <w:lang w:val="en-US"/>
        </w:rPr>
      </w:pPr>
      <w:r>
        <w:rPr>
          <w:sz w:val="28"/>
          <w:szCs w:val="28"/>
          <w:lang w:val="en-US"/>
        </w:rPr>
        <w:lastRenderedPageBreak/>
        <w:t>2.</w:t>
      </w:r>
      <w:r w:rsidRPr="00A2376F">
        <w:rPr>
          <w:sz w:val="28"/>
          <w:szCs w:val="28"/>
          <w:lang w:val="en-US"/>
        </w:rPr>
        <w:t xml:space="preserve"> Understanding the importance of the pension system structure</w:t>
      </w:r>
    </w:p>
    <w:p w:rsidR="005D378B" w:rsidRDefault="005D378B" w:rsidP="005D378B">
      <w:pPr>
        <w:spacing w:before="360" w:line="360" w:lineRule="auto"/>
        <w:jc w:val="both"/>
        <w:rPr>
          <w:lang w:val="en-US"/>
        </w:rPr>
      </w:pPr>
      <w:r>
        <w:rPr>
          <w:lang w:val="en-US"/>
        </w:rPr>
        <w:t>The concept of social security in a country, with all the different programs that constitute it, has the main objective to promote and enhance the well</w:t>
      </w:r>
      <w:r w:rsidR="00142684">
        <w:rPr>
          <w:lang w:val="en-US"/>
        </w:rPr>
        <w:t>-</w:t>
      </w:r>
      <w:proofErr w:type="spellStart"/>
      <w:r w:rsidR="009D55B1">
        <w:rPr>
          <w:lang w:val="en-US"/>
        </w:rPr>
        <w:t>b</w:t>
      </w:r>
      <w:r>
        <w:rPr>
          <w:lang w:val="en-US"/>
        </w:rPr>
        <w:t>being</w:t>
      </w:r>
      <w:proofErr w:type="spellEnd"/>
      <w:r>
        <w:rPr>
          <w:lang w:val="en-US"/>
        </w:rPr>
        <w:t xml:space="preserve"> of the population. Therefore, an old-age security system, as part of this concept, can be organized in a number of different ways. Possible differences stem from the various dimensions and arrangements concerning the setup of the system. The following section will be divided into subsections regarding the main objectives and the types of the formal arrangements within a pension system.</w:t>
      </w:r>
    </w:p>
    <w:p w:rsidR="005D378B" w:rsidRPr="009769BE" w:rsidRDefault="005D378B" w:rsidP="005D378B">
      <w:pPr>
        <w:pStyle w:val="Subtitle"/>
        <w:numPr>
          <w:ilvl w:val="1"/>
          <w:numId w:val="30"/>
        </w:numPr>
        <w:spacing w:before="360" w:line="360" w:lineRule="auto"/>
        <w:jc w:val="both"/>
        <w:rPr>
          <w:lang w:val="en-US"/>
        </w:rPr>
      </w:pPr>
      <w:r w:rsidRPr="009769BE">
        <w:rPr>
          <w:lang w:val="en-US"/>
        </w:rPr>
        <w:t>Objectives</w:t>
      </w:r>
    </w:p>
    <w:p w:rsidR="005D378B" w:rsidRDefault="005D378B" w:rsidP="005D378B">
      <w:pPr>
        <w:spacing w:before="120" w:line="360" w:lineRule="auto"/>
        <w:jc w:val="both"/>
        <w:rPr>
          <w:lang w:val="en-US"/>
        </w:rPr>
      </w:pPr>
      <w:r>
        <w:rPr>
          <w:lang w:val="en-US"/>
        </w:rPr>
        <w:t>In their influential paper, Economics of Pensions, Barr and Diamond (2006) claim that four primary objectives constitute a pension system: consumption smoothing, insurance, poverty relief and redistribution.</w:t>
      </w:r>
    </w:p>
    <w:p w:rsidR="005D378B" w:rsidRDefault="005D378B" w:rsidP="005D378B">
      <w:pPr>
        <w:spacing w:before="120" w:line="360" w:lineRule="auto"/>
        <w:jc w:val="both"/>
        <w:rPr>
          <w:rStyle w:val="words"/>
          <w:color w:val="000000" w:themeColor="text1"/>
        </w:rPr>
      </w:pPr>
      <w:r>
        <w:rPr>
          <w:rStyle w:val="words"/>
          <w:color w:val="000000" w:themeColor="text1"/>
        </w:rPr>
        <w:t>People save for the future mainly because they believe that they will enjoy this additional future consumption more than they would enjoy it now, and also because of the fact that it is impossible to keep the same income level at an older age. This is so, because they are assumed to maximize their utility throughout their whole life. This desire is translated to, and used as one of the main principles behind any old-age pension system. Such a system is required to allow people to decide upon their transfers of income from one point in their life to other, leading to smoothing of the consumption in the long run.</w:t>
      </w:r>
    </w:p>
    <w:p w:rsidR="005D378B" w:rsidRPr="008A6822" w:rsidRDefault="005D378B" w:rsidP="005D378B">
      <w:pPr>
        <w:spacing w:before="120" w:line="360" w:lineRule="auto"/>
        <w:jc w:val="both"/>
        <w:rPr>
          <w:lang w:val="en-US"/>
        </w:rPr>
      </w:pPr>
      <w:r>
        <w:rPr>
          <w:lang w:val="en-US"/>
        </w:rPr>
        <w:t>Another</w:t>
      </w:r>
      <w:r w:rsidRPr="00F541D9">
        <w:rPr>
          <w:lang w:val="en-US"/>
        </w:rPr>
        <w:t xml:space="preserve"> purpose of a social security system is to insure elderly people against the uncertainties that surround their live. For example, as trivial as it may seem, no individual knows with certainty how </w:t>
      </w:r>
      <w:r>
        <w:rPr>
          <w:lang w:val="en-US"/>
        </w:rPr>
        <w:t>much</w:t>
      </w:r>
      <w:r w:rsidRPr="00751273">
        <w:rPr>
          <w:lang w:val="en-US"/>
        </w:rPr>
        <w:t xml:space="preserve"> their life will continue. In a situation, where no government-regulated pension system is present, any person financing their retirement faces the risk of living longer than their accumulated savings could provide. Therefore, another main objective of the old-age income security system is to insure people against any drastic decrease in their standard of living, at any point</w:t>
      </w:r>
      <w:r>
        <w:rPr>
          <w:lang w:val="en-US"/>
        </w:rPr>
        <w:t xml:space="preserve"> in time</w:t>
      </w:r>
      <w:r w:rsidRPr="00751273">
        <w:rPr>
          <w:lang w:val="en-US"/>
        </w:rPr>
        <w:t xml:space="preserve"> after retirement, relative to their middle age income. In principle, the solution to the problem of</w:t>
      </w:r>
      <w:r>
        <w:rPr>
          <w:lang w:val="en-US"/>
        </w:rPr>
        <w:t xml:space="preserve"> the</w:t>
      </w:r>
      <w:r w:rsidRPr="00751273">
        <w:rPr>
          <w:lang w:val="en-US"/>
        </w:rPr>
        <w:t xml:space="preserve"> uncertainty</w:t>
      </w:r>
      <w:r>
        <w:rPr>
          <w:lang w:val="en-US"/>
        </w:rPr>
        <w:t xml:space="preserve"> just mentioned</w:t>
      </w:r>
      <w:r w:rsidRPr="00751273">
        <w:rPr>
          <w:lang w:val="en-US"/>
        </w:rPr>
        <w:t xml:space="preserve"> is</w:t>
      </w:r>
      <w:r>
        <w:rPr>
          <w:lang w:val="en-US"/>
        </w:rPr>
        <w:t xml:space="preserve"> the introduction of</w:t>
      </w:r>
      <w:r w:rsidRPr="00751273">
        <w:rPr>
          <w:lang w:val="en-US"/>
        </w:rPr>
        <w:t xml:space="preserve"> a voluntary, pub</w:t>
      </w:r>
      <w:r>
        <w:rPr>
          <w:lang w:val="en-US"/>
        </w:rPr>
        <w:t>lic agreement between people, which</w:t>
      </w:r>
      <w:r w:rsidRPr="00751273">
        <w:rPr>
          <w:lang w:val="en-US"/>
        </w:rPr>
        <w:t xml:space="preserve"> combine</w:t>
      </w:r>
      <w:r>
        <w:rPr>
          <w:lang w:val="en-US"/>
        </w:rPr>
        <w:t>s</w:t>
      </w:r>
      <w:r w:rsidRPr="00751273">
        <w:rPr>
          <w:lang w:val="en-US"/>
        </w:rPr>
        <w:t xml:space="preserve"> their savings and then</w:t>
      </w:r>
      <w:r>
        <w:rPr>
          <w:lang w:val="en-US"/>
        </w:rPr>
        <w:t xml:space="preserve"> each person</w:t>
      </w:r>
      <w:r w:rsidRPr="00751273">
        <w:rPr>
          <w:lang w:val="en-US"/>
        </w:rPr>
        <w:t xml:space="preserve"> receive</w:t>
      </w:r>
      <w:r>
        <w:rPr>
          <w:lang w:val="en-US"/>
        </w:rPr>
        <w:t>s a</w:t>
      </w:r>
      <w:r w:rsidRPr="00751273">
        <w:rPr>
          <w:lang w:val="en-US"/>
        </w:rPr>
        <w:t xml:space="preserve"> pension</w:t>
      </w:r>
      <w:r>
        <w:rPr>
          <w:lang w:val="en-US"/>
        </w:rPr>
        <w:t>,</w:t>
      </w:r>
      <w:r w:rsidRPr="00751273">
        <w:rPr>
          <w:lang w:val="en-US"/>
        </w:rPr>
        <w:t xml:space="preserve"> calculated by taking into account the combination of the amount of contributions</w:t>
      </w:r>
      <w:r>
        <w:rPr>
          <w:lang w:val="en-US"/>
        </w:rPr>
        <w:t xml:space="preserve"> made</w:t>
      </w:r>
      <w:r w:rsidRPr="00751273">
        <w:rPr>
          <w:lang w:val="en-US"/>
        </w:rPr>
        <w:t xml:space="preserve"> throughout their individual lifetime</w:t>
      </w:r>
      <w:r>
        <w:rPr>
          <w:lang w:val="en-US"/>
        </w:rPr>
        <w:t>,</w:t>
      </w:r>
      <w:r w:rsidRPr="00751273">
        <w:rPr>
          <w:lang w:val="en-US"/>
        </w:rPr>
        <w:t xml:space="preserve"> and the expected lifespan of the</w:t>
      </w:r>
      <w:r>
        <w:rPr>
          <w:lang w:val="en-US"/>
        </w:rPr>
        <w:t xml:space="preserve"> average participant</w:t>
      </w:r>
      <w:r w:rsidRPr="00751273">
        <w:rPr>
          <w:lang w:val="en-US"/>
        </w:rPr>
        <w:t xml:space="preserve"> of the society. </w:t>
      </w:r>
    </w:p>
    <w:p w:rsidR="005D378B" w:rsidRPr="008A6822" w:rsidRDefault="005D378B" w:rsidP="005D378B">
      <w:pPr>
        <w:pStyle w:val="ListParagraph"/>
        <w:autoSpaceDE w:val="0"/>
        <w:autoSpaceDN w:val="0"/>
        <w:adjustRightInd w:val="0"/>
        <w:spacing w:before="120" w:line="360" w:lineRule="auto"/>
        <w:ind w:left="0"/>
        <w:jc w:val="both"/>
        <w:rPr>
          <w:lang w:val="en-US"/>
        </w:rPr>
      </w:pPr>
      <w:r>
        <w:rPr>
          <w:lang w:val="en-US"/>
        </w:rPr>
        <w:lastRenderedPageBreak/>
        <w:t>Some people, during</w:t>
      </w:r>
      <w:r w:rsidRPr="004355E2">
        <w:rPr>
          <w:lang w:val="en-US"/>
        </w:rPr>
        <w:t xml:space="preserve"> their whole</w:t>
      </w:r>
      <w:r>
        <w:rPr>
          <w:lang w:val="en-US"/>
        </w:rPr>
        <w:t xml:space="preserve"> working</w:t>
      </w:r>
      <w:r w:rsidRPr="004355E2">
        <w:rPr>
          <w:lang w:val="en-US"/>
        </w:rPr>
        <w:t xml:space="preserve"> life, are unable to obtain sufficient income that would allow them to save for their retirement. Therefo</w:t>
      </w:r>
      <w:r>
        <w:rPr>
          <w:lang w:val="en-US"/>
        </w:rPr>
        <w:t>re, pension systems also have the aim</w:t>
      </w:r>
      <w:r w:rsidRPr="004355E2">
        <w:rPr>
          <w:lang w:val="en-US"/>
        </w:rPr>
        <w:t xml:space="preserve"> to promote solidarity among the members of a society</w:t>
      </w:r>
      <w:r>
        <w:rPr>
          <w:lang w:val="en-US"/>
        </w:rPr>
        <w:t xml:space="preserve"> and to alleviate poverty</w:t>
      </w:r>
      <w:r w:rsidRPr="004355E2">
        <w:rPr>
          <w:lang w:val="en-US"/>
        </w:rPr>
        <w:t>.</w:t>
      </w:r>
      <w:r>
        <w:rPr>
          <w:lang w:val="en-US"/>
        </w:rPr>
        <w:t xml:space="preserve"> </w:t>
      </w:r>
      <w:r w:rsidRPr="004355E2">
        <w:rPr>
          <w:lang w:val="en-US"/>
        </w:rPr>
        <w:t xml:space="preserve">This can serve as an argument in favor of the involvement of the state into the accumulation and provision of retirement income security. Despite the fact that there are numerous proponents of this notion, there is </w:t>
      </w:r>
      <w:r>
        <w:rPr>
          <w:lang w:val="en-US"/>
        </w:rPr>
        <w:t>contradictory</w:t>
      </w:r>
      <w:r w:rsidRPr="004355E2">
        <w:rPr>
          <w:lang w:val="en-US"/>
        </w:rPr>
        <w:t xml:space="preserve"> view, expressed in the paper of Baldwin (1990), who argu</w:t>
      </w:r>
      <w:r>
        <w:rPr>
          <w:lang w:val="en-US"/>
        </w:rPr>
        <w:t>es that the welfare states are among all things, also a</w:t>
      </w:r>
      <w:r w:rsidRPr="004355E2">
        <w:rPr>
          <w:lang w:val="en-US"/>
        </w:rPr>
        <w:t xml:space="preserve"> result of self-interest of the middle and upper social classes</w:t>
      </w:r>
      <w:r>
        <w:rPr>
          <w:rStyle w:val="FootnoteReference"/>
          <w:lang w:val="en-US"/>
        </w:rPr>
        <w:footnoteReference w:id="4"/>
      </w:r>
      <w:r w:rsidRPr="004355E2">
        <w:rPr>
          <w:lang w:val="en-US"/>
        </w:rPr>
        <w:t>.</w:t>
      </w:r>
    </w:p>
    <w:p w:rsidR="005D378B" w:rsidRPr="004355E2" w:rsidRDefault="005D378B" w:rsidP="005D378B">
      <w:pPr>
        <w:pStyle w:val="ListParagraph"/>
        <w:spacing w:before="240" w:line="360" w:lineRule="auto"/>
        <w:ind w:left="0"/>
        <w:jc w:val="both"/>
        <w:rPr>
          <w:lang w:val="en-US"/>
        </w:rPr>
      </w:pPr>
      <w:r w:rsidRPr="004A7885">
        <w:rPr>
          <w:shd w:val="clear" w:color="auto" w:fill="FFFFFF"/>
        </w:rPr>
        <w:t>An old-age pension syste</w:t>
      </w:r>
      <w:r w:rsidR="009D55B1">
        <w:rPr>
          <w:shd w:val="clear" w:color="auto" w:fill="FFFFFF"/>
        </w:rPr>
        <w:t>m can redistribute wealth</w:t>
      </w:r>
      <w:r>
        <w:rPr>
          <w:shd w:val="clear" w:color="auto" w:fill="FFFFFF"/>
        </w:rPr>
        <w:t xml:space="preserve"> either</w:t>
      </w:r>
      <w:r w:rsidRPr="004A7885">
        <w:rPr>
          <w:shd w:val="clear" w:color="auto" w:fill="FFFFFF"/>
        </w:rPr>
        <w:t xml:space="preserve"> throughout the individual's lifetime</w:t>
      </w:r>
      <w:r>
        <w:rPr>
          <w:shd w:val="clear" w:color="auto" w:fill="FFFFFF"/>
        </w:rPr>
        <w:t>,</w:t>
      </w:r>
      <w:r w:rsidRPr="004A7885">
        <w:rPr>
          <w:shd w:val="clear" w:color="auto" w:fill="FFFFFF"/>
        </w:rPr>
        <w:t xml:space="preserve"> or across generations. The so-called lifetime redistribution is accomplished by providing higher replacement rate to individuals with relatively low earnings, on the expense of people that have contributed more due to</w:t>
      </w:r>
      <w:r>
        <w:rPr>
          <w:shd w:val="clear" w:color="auto" w:fill="FFFFFF"/>
        </w:rPr>
        <w:t xml:space="preserve"> their</w:t>
      </w:r>
      <w:r w:rsidRPr="004A7885">
        <w:rPr>
          <w:shd w:val="clear" w:color="auto" w:fill="FFFFFF"/>
        </w:rPr>
        <w:t xml:space="preserve"> higher income. This </w:t>
      </w:r>
      <w:r>
        <w:rPr>
          <w:shd w:val="clear" w:color="auto" w:fill="FFFFFF"/>
        </w:rPr>
        <w:t>helps achieving</w:t>
      </w:r>
      <w:r w:rsidRPr="004A7885">
        <w:rPr>
          <w:shd w:val="clear" w:color="auto" w:fill="FFFFFF"/>
        </w:rPr>
        <w:t xml:space="preserve"> the first objective,</w:t>
      </w:r>
      <w:r>
        <w:rPr>
          <w:shd w:val="clear" w:color="auto" w:fill="FFFFFF"/>
        </w:rPr>
        <w:t xml:space="preserve"> namely</w:t>
      </w:r>
      <w:r w:rsidRPr="004A7885">
        <w:rPr>
          <w:shd w:val="clear" w:color="auto" w:fill="FFFFFF"/>
        </w:rPr>
        <w:t xml:space="preserve"> the consumption smoothing.</w:t>
      </w:r>
      <w:r>
        <w:rPr>
          <w:shd w:val="clear" w:color="auto" w:fill="FFFFFF"/>
        </w:rPr>
        <w:t xml:space="preserve"> </w:t>
      </w:r>
      <w:r w:rsidRPr="004A7885">
        <w:rPr>
          <w:shd w:val="clear" w:color="auto" w:fill="FFFFFF"/>
        </w:rPr>
        <w:t xml:space="preserve">The redistribution across generations concerns the change in the amount of contribution rates or pensions of the members of the current generation, which in turn influences the amount of contribution or pensions received by the </w:t>
      </w:r>
      <w:r>
        <w:rPr>
          <w:shd w:val="clear" w:color="auto" w:fill="FFFFFF"/>
        </w:rPr>
        <w:t>future generations</w:t>
      </w:r>
      <w:r w:rsidRPr="004A7885">
        <w:rPr>
          <w:shd w:val="clear" w:color="auto" w:fill="FFFFFF"/>
        </w:rPr>
        <w:t>.</w:t>
      </w:r>
    </w:p>
    <w:p w:rsidR="005D378B" w:rsidRPr="00D176A6" w:rsidRDefault="005D378B" w:rsidP="005D378B">
      <w:pPr>
        <w:pStyle w:val="ListParagraph"/>
        <w:spacing w:before="360" w:line="360" w:lineRule="auto"/>
        <w:ind w:left="0"/>
        <w:jc w:val="both"/>
        <w:rPr>
          <w:lang w:val="en-US"/>
        </w:rPr>
      </w:pPr>
      <w:r>
        <w:rPr>
          <w:lang w:val="en-US"/>
        </w:rPr>
        <w:t>The first two objectives concern the individual level requirements of the old-age pension system in old age, while the second two provide additional provision of retirement income by the state.</w:t>
      </w:r>
    </w:p>
    <w:p w:rsidR="005D378B" w:rsidRPr="004959EB" w:rsidRDefault="005D378B" w:rsidP="005D378B">
      <w:pPr>
        <w:pStyle w:val="Subtitle"/>
        <w:spacing w:before="240"/>
        <w:rPr>
          <w:rFonts w:eastAsiaTheme="minorHAnsi"/>
          <w:lang w:val="en-US"/>
        </w:rPr>
      </w:pPr>
      <w:r>
        <w:rPr>
          <w:rFonts w:eastAsiaTheme="minorHAnsi"/>
          <w:lang w:val="en-US"/>
        </w:rPr>
        <w:t>2.2 Formal arrangements</w:t>
      </w:r>
    </w:p>
    <w:p w:rsidR="005D378B" w:rsidRDefault="005D378B" w:rsidP="005D378B">
      <w:pPr>
        <w:autoSpaceDE w:val="0"/>
        <w:autoSpaceDN w:val="0"/>
        <w:adjustRightInd w:val="0"/>
        <w:spacing w:before="240" w:line="360" w:lineRule="auto"/>
        <w:rPr>
          <w:rFonts w:eastAsiaTheme="minorHAnsi"/>
          <w:lang w:val="en-US"/>
        </w:rPr>
      </w:pPr>
      <w:r w:rsidRPr="000C119E">
        <w:rPr>
          <w:rFonts w:eastAsiaTheme="minorHAnsi"/>
          <w:lang w:val="en-US"/>
        </w:rPr>
        <w:t>In almost all developed countries, the old age pension system uses a mandatory public plan as a starting point for the provision of pensions. Th</w:t>
      </w:r>
      <w:r w:rsidR="00B941FC">
        <w:rPr>
          <w:rFonts w:eastAsiaTheme="minorHAnsi"/>
          <w:lang w:val="en-US"/>
        </w:rPr>
        <w:t>e formal financial arrangements</w:t>
      </w:r>
      <w:r w:rsidRPr="000C119E">
        <w:rPr>
          <w:rFonts w:eastAsiaTheme="minorHAnsi"/>
          <w:lang w:val="en-US"/>
        </w:rPr>
        <w:t xml:space="preserve"> however, may differ significantly, leading to different outcomes and results. </w:t>
      </w:r>
    </w:p>
    <w:p w:rsidR="005D378B" w:rsidRPr="005B1CCC" w:rsidRDefault="005D378B" w:rsidP="005D378B">
      <w:pPr>
        <w:autoSpaceDE w:val="0"/>
        <w:autoSpaceDN w:val="0"/>
        <w:adjustRightInd w:val="0"/>
        <w:spacing w:before="120" w:line="360" w:lineRule="auto"/>
        <w:rPr>
          <w:rFonts w:eastAsiaTheme="minorHAnsi"/>
          <w:lang w:val="en-US"/>
        </w:rPr>
      </w:pPr>
      <w:r w:rsidRPr="000C119E">
        <w:rPr>
          <w:rFonts w:eastAsiaTheme="minorHAnsi"/>
          <w:lang w:val="en-US"/>
        </w:rPr>
        <w:t xml:space="preserve">Two broad dimensions concerning the financial arrangements of a pension system can be distinguished. On one hand, they may stipulate </w:t>
      </w:r>
      <w:r>
        <w:rPr>
          <w:rFonts w:eastAsiaTheme="minorHAnsi"/>
          <w:lang w:val="en-US"/>
        </w:rPr>
        <w:t>that either</w:t>
      </w:r>
      <w:r w:rsidRPr="000C119E">
        <w:rPr>
          <w:rFonts w:eastAsiaTheme="minorHAnsi"/>
          <w:lang w:val="en-US"/>
        </w:rPr>
        <w:t xml:space="preserve"> the benefits received are de</w:t>
      </w:r>
      <w:r>
        <w:rPr>
          <w:rFonts w:eastAsiaTheme="minorHAnsi"/>
          <w:lang w:val="en-US"/>
        </w:rPr>
        <w:t xml:space="preserve">fined or the contributions made, or the relatively new concept called notional defined contribution. </w:t>
      </w:r>
      <w:r w:rsidRPr="000C119E">
        <w:rPr>
          <w:rFonts w:eastAsiaTheme="minorHAnsi"/>
          <w:lang w:val="en-US"/>
        </w:rPr>
        <w:t>On the other hand, the second dimension concerns the way the pension provisions are financed, either o</w:t>
      </w:r>
      <w:r>
        <w:rPr>
          <w:rFonts w:eastAsiaTheme="minorHAnsi"/>
          <w:lang w:val="en-US"/>
        </w:rPr>
        <w:t>n a funded basis or on a pay-as-you-</w:t>
      </w:r>
      <w:r w:rsidRPr="000C119E">
        <w:rPr>
          <w:rFonts w:eastAsiaTheme="minorHAnsi"/>
          <w:lang w:val="en-US"/>
        </w:rPr>
        <w:t>go basis</w:t>
      </w:r>
      <w:r>
        <w:rPr>
          <w:rFonts w:eastAsiaTheme="minorHAnsi"/>
          <w:lang w:val="en-US"/>
        </w:rPr>
        <w:t>. This subsection is organized as follows: each dimension will be discussed somewhat in detail, followed by description of the three pillar model which is the most widely used way to describe the structure of a pension system and make it comparable to others.</w:t>
      </w:r>
    </w:p>
    <w:p w:rsidR="005D378B" w:rsidRPr="00F14E5E" w:rsidRDefault="005D378B" w:rsidP="005D378B">
      <w:pPr>
        <w:autoSpaceDE w:val="0"/>
        <w:autoSpaceDN w:val="0"/>
        <w:adjustRightInd w:val="0"/>
        <w:spacing w:before="120" w:line="360" w:lineRule="auto"/>
        <w:jc w:val="both"/>
        <w:rPr>
          <w:color w:val="000000" w:themeColor="text1"/>
          <w:lang w:val="en-US"/>
        </w:rPr>
      </w:pPr>
      <w:r>
        <w:rPr>
          <w:color w:val="000000" w:themeColor="text1"/>
          <w:lang w:val="en-US"/>
        </w:rPr>
        <w:lastRenderedPageBreak/>
        <w:t>In a defined contributions</w:t>
      </w:r>
      <w:r w:rsidRPr="00F14E5E">
        <w:rPr>
          <w:color w:val="000000" w:themeColor="text1"/>
          <w:lang w:val="en-US"/>
        </w:rPr>
        <w:t xml:space="preserve"> plan </w:t>
      </w:r>
      <w:r>
        <w:rPr>
          <w:color w:val="000000" w:themeColor="text1"/>
          <w:lang w:val="en-US"/>
        </w:rPr>
        <w:t xml:space="preserve">(DC), </w:t>
      </w:r>
      <w:r w:rsidRPr="00F14E5E">
        <w:rPr>
          <w:color w:val="000000" w:themeColor="text1"/>
          <w:lang w:val="en-US"/>
        </w:rPr>
        <w:t>either the worker or his employer makes contributions as a fixed fraction of the earnings, to an individual account, on a regular basis. Those contributions, although fixed, are not necessarily constant through</w:t>
      </w:r>
      <w:r w:rsidR="005C03AE">
        <w:rPr>
          <w:color w:val="000000" w:themeColor="text1"/>
          <w:lang w:val="en-US"/>
        </w:rPr>
        <w:t>out</w:t>
      </w:r>
      <w:r w:rsidRPr="00F14E5E">
        <w:rPr>
          <w:color w:val="000000" w:themeColor="text1"/>
          <w:lang w:val="en-US"/>
        </w:rPr>
        <w:t xml:space="preserve"> the whole working life of the individual. In most cases</w:t>
      </w:r>
      <w:r>
        <w:rPr>
          <w:color w:val="000000" w:themeColor="text1"/>
          <w:lang w:val="en-US"/>
        </w:rPr>
        <w:t>,</w:t>
      </w:r>
      <w:r w:rsidRPr="00F14E5E">
        <w:rPr>
          <w:color w:val="000000" w:themeColor="text1"/>
          <w:lang w:val="en-US"/>
        </w:rPr>
        <w:t xml:space="preserve"> they are tax deductible, and are used to purchase financial assets, or as investments on financial market</w:t>
      </w:r>
      <w:r>
        <w:rPr>
          <w:color w:val="000000" w:themeColor="text1"/>
          <w:lang w:val="en-US"/>
        </w:rPr>
        <w:t>s</w:t>
      </w:r>
      <w:r w:rsidRPr="00F14E5E">
        <w:rPr>
          <w:color w:val="000000" w:themeColor="text1"/>
          <w:lang w:val="en-US"/>
        </w:rPr>
        <w:t>. Those assets are kept in the individual account, often also c</w:t>
      </w:r>
      <w:r w:rsidR="005C03AE">
        <w:rPr>
          <w:color w:val="000000" w:themeColor="text1"/>
          <w:lang w:val="en-US"/>
        </w:rPr>
        <w:t>alled funded individual account</w:t>
      </w:r>
      <w:r w:rsidRPr="00F14E5E">
        <w:rPr>
          <w:color w:val="000000" w:themeColor="text1"/>
          <w:lang w:val="en-US"/>
        </w:rPr>
        <w:t>, along with the accumulated retu</w:t>
      </w:r>
      <w:r w:rsidR="005C03AE">
        <w:rPr>
          <w:color w:val="000000" w:themeColor="text1"/>
          <w:lang w:val="en-US"/>
        </w:rPr>
        <w:t>rns earned by</w:t>
      </w:r>
      <w:r w:rsidRPr="00F14E5E">
        <w:rPr>
          <w:color w:val="000000" w:themeColor="text1"/>
          <w:lang w:val="en-US"/>
        </w:rPr>
        <w:t xml:space="preserve"> those investments. Usually, but sti</w:t>
      </w:r>
      <w:r w:rsidR="00583785">
        <w:rPr>
          <w:color w:val="000000" w:themeColor="text1"/>
          <w:lang w:val="en-US"/>
        </w:rPr>
        <w:t>ll depending on the government</w:t>
      </w:r>
      <w:r w:rsidRPr="00F14E5E">
        <w:rPr>
          <w:color w:val="000000" w:themeColor="text1"/>
          <w:lang w:val="en-US"/>
        </w:rPr>
        <w:t xml:space="preserve"> regulations, each member is kept informed about the amount of the accumulated assets on annual or biannual basis. When the participant reaches retirement</w:t>
      </w:r>
      <w:r>
        <w:rPr>
          <w:color w:val="000000" w:themeColor="text1"/>
          <w:lang w:val="en-US"/>
        </w:rPr>
        <w:t>,</w:t>
      </w:r>
      <w:r w:rsidRPr="00F14E5E">
        <w:rPr>
          <w:color w:val="000000" w:themeColor="text1"/>
          <w:lang w:val="en-US"/>
        </w:rPr>
        <w:t xml:space="preserve"> the pension received is calculated by estimating the amount of contributions made and is</w:t>
      </w:r>
      <w:r>
        <w:rPr>
          <w:color w:val="000000" w:themeColor="text1"/>
          <w:lang w:val="en-US"/>
        </w:rPr>
        <w:t xml:space="preserve"> usually</w:t>
      </w:r>
      <w:r w:rsidRPr="00F14E5E">
        <w:rPr>
          <w:color w:val="000000" w:themeColor="text1"/>
          <w:lang w:val="en-US"/>
        </w:rPr>
        <w:t xml:space="preserve"> in the form of annuity. Therefore, the size of the retirement income depends on the efficiency of the pension fund, the current interest rate, and the income history of the individual.</w:t>
      </w:r>
    </w:p>
    <w:p w:rsidR="005D378B" w:rsidRPr="00F14E5E" w:rsidRDefault="005D378B" w:rsidP="005D378B">
      <w:pPr>
        <w:autoSpaceDE w:val="0"/>
        <w:autoSpaceDN w:val="0"/>
        <w:adjustRightInd w:val="0"/>
        <w:spacing w:line="360" w:lineRule="auto"/>
        <w:jc w:val="both"/>
        <w:rPr>
          <w:color w:val="000000" w:themeColor="text1"/>
          <w:lang w:val="en-US"/>
        </w:rPr>
      </w:pPr>
      <w:r w:rsidRPr="00F14E5E">
        <w:rPr>
          <w:color w:val="000000" w:themeColor="text1"/>
          <w:lang w:val="en-US"/>
        </w:rPr>
        <w:t xml:space="preserve"> In the so-called pure DC scheme, there is no redistribution between personal accounts. As a result, the employee is not at all pr</w:t>
      </w:r>
      <w:r w:rsidR="00583785">
        <w:rPr>
          <w:color w:val="000000" w:themeColor="text1"/>
          <w:lang w:val="en-US"/>
        </w:rPr>
        <w:t>otected against the risk related to</w:t>
      </w:r>
      <w:r w:rsidRPr="00F14E5E">
        <w:rPr>
          <w:color w:val="000000" w:themeColor="text1"/>
          <w:lang w:val="en-US"/>
        </w:rPr>
        <w:t xml:space="preserve"> the realization of the returns. The consequences of longevity in this case, although absorbed by the use of annuities, can be decreased even more by pooling part of the members’ contributions.</w:t>
      </w:r>
      <w:r w:rsidR="00827759">
        <w:rPr>
          <w:color w:val="000000" w:themeColor="text1"/>
          <w:lang w:val="en-US"/>
        </w:rPr>
        <w:t xml:space="preserve"> In cas</w:t>
      </w:r>
      <w:r w:rsidR="00F16C14">
        <w:rPr>
          <w:color w:val="000000" w:themeColor="text1"/>
          <w:lang w:val="en-US"/>
        </w:rPr>
        <w:t>e of serious downturns</w:t>
      </w:r>
      <w:r w:rsidRPr="00F14E5E">
        <w:rPr>
          <w:color w:val="000000" w:themeColor="text1"/>
          <w:lang w:val="en-US"/>
        </w:rPr>
        <w:t xml:space="preserve"> on the financial markets in times of unfavorable economic environment, the government could promise to provide a minimum pension by legislative response</w:t>
      </w:r>
      <w:r>
        <w:rPr>
          <w:color w:val="000000" w:themeColor="text1"/>
          <w:lang w:val="en-US"/>
        </w:rPr>
        <w:t>s</w:t>
      </w:r>
      <w:r w:rsidRPr="00F14E5E">
        <w:rPr>
          <w:color w:val="000000" w:themeColor="text1"/>
          <w:lang w:val="en-US"/>
        </w:rPr>
        <w:t xml:space="preserve">. </w:t>
      </w:r>
    </w:p>
    <w:p w:rsidR="005D378B" w:rsidRDefault="005D378B" w:rsidP="005D378B">
      <w:pPr>
        <w:autoSpaceDE w:val="0"/>
        <w:autoSpaceDN w:val="0"/>
        <w:adjustRightInd w:val="0"/>
        <w:spacing w:line="360" w:lineRule="auto"/>
        <w:jc w:val="both"/>
        <w:rPr>
          <w:color w:val="000000" w:themeColor="text1"/>
          <w:lang w:val="en-US"/>
        </w:rPr>
      </w:pPr>
      <w:r>
        <w:rPr>
          <w:color w:val="000000" w:themeColor="text1"/>
          <w:lang w:val="en-US"/>
        </w:rPr>
        <w:t xml:space="preserve">The </w:t>
      </w:r>
      <w:r w:rsidRPr="00F14E5E">
        <w:rPr>
          <w:color w:val="000000" w:themeColor="text1"/>
          <w:lang w:val="en-US"/>
        </w:rPr>
        <w:t xml:space="preserve">advantages of DC plans, as recognized and studied by </w:t>
      </w:r>
      <w:proofErr w:type="spellStart"/>
      <w:r w:rsidRPr="00F14E5E">
        <w:rPr>
          <w:color w:val="000000" w:themeColor="text1"/>
          <w:lang w:val="en-US"/>
        </w:rPr>
        <w:t>Bodie</w:t>
      </w:r>
      <w:proofErr w:type="spellEnd"/>
      <w:r w:rsidRPr="00F14E5E">
        <w:rPr>
          <w:color w:val="000000" w:themeColor="text1"/>
          <w:lang w:val="en-US"/>
        </w:rPr>
        <w:t xml:space="preserve"> et al. (1988) become mostly visible during periods of inflation uncertainty. </w:t>
      </w:r>
      <w:r>
        <w:rPr>
          <w:color w:val="000000" w:themeColor="text1"/>
          <w:lang w:val="en-US"/>
        </w:rPr>
        <w:t xml:space="preserve">They include the ability to anticipate the financial worth of the pension resources, and the possibility to monitor the present value of the future </w:t>
      </w:r>
      <w:r w:rsidRPr="00CD10AC">
        <w:rPr>
          <w:color w:val="000000" w:themeColor="text1"/>
          <w:lang w:val="en-US"/>
        </w:rPr>
        <w:t>pensions that are earned in a certain year. However, often less informed individuals could easily misestimate the true</w:t>
      </w:r>
      <w:r>
        <w:rPr>
          <w:color w:val="000000" w:themeColor="text1"/>
          <w:lang w:val="en-US"/>
        </w:rPr>
        <w:t xml:space="preserve"> value of the retirement worth, but usually governments conform to this problem</w:t>
      </w:r>
      <w:r>
        <w:rPr>
          <w:color w:val="000000" w:themeColor="text1"/>
          <w:lang w:val="bg-BG"/>
        </w:rPr>
        <w:t>.</w:t>
      </w:r>
    </w:p>
    <w:p w:rsidR="005D378B" w:rsidRDefault="005D378B" w:rsidP="005D378B">
      <w:pPr>
        <w:autoSpaceDE w:val="0"/>
        <w:autoSpaceDN w:val="0"/>
        <w:adjustRightInd w:val="0"/>
        <w:spacing w:before="120" w:line="360" w:lineRule="auto"/>
        <w:jc w:val="both"/>
        <w:rPr>
          <w:color w:val="000000" w:themeColor="text1"/>
          <w:lang w:val="en-US"/>
        </w:rPr>
      </w:pPr>
      <w:r w:rsidRPr="00F14E5E">
        <w:rPr>
          <w:color w:val="000000" w:themeColor="text1"/>
          <w:lang w:val="en-US"/>
        </w:rPr>
        <w:t>Pension schemes that are charact</w:t>
      </w:r>
      <w:r>
        <w:rPr>
          <w:color w:val="000000" w:themeColor="text1"/>
          <w:lang w:val="en-US"/>
        </w:rPr>
        <w:t>erized with defined benefits</w:t>
      </w:r>
      <w:r w:rsidRPr="00F14E5E">
        <w:rPr>
          <w:color w:val="000000" w:themeColor="text1"/>
          <w:lang w:val="en-US"/>
        </w:rPr>
        <w:t xml:space="preserve"> </w:t>
      </w:r>
      <w:r>
        <w:rPr>
          <w:color w:val="000000" w:themeColor="text1"/>
          <w:lang w:val="en-US"/>
        </w:rPr>
        <w:t>(DB</w:t>
      </w:r>
      <w:r w:rsidRPr="00F14E5E">
        <w:rPr>
          <w:color w:val="000000" w:themeColor="text1"/>
          <w:lang w:val="en-US"/>
        </w:rPr>
        <w:t xml:space="preserve">) are considered to be theoretically </w:t>
      </w:r>
      <w:r>
        <w:rPr>
          <w:color w:val="000000" w:themeColor="text1"/>
          <w:lang w:val="en-US"/>
        </w:rPr>
        <w:t>more</w:t>
      </w:r>
      <w:r w:rsidRPr="00F14E5E">
        <w:rPr>
          <w:color w:val="000000" w:themeColor="text1"/>
          <w:lang w:val="en-US"/>
        </w:rPr>
        <w:t xml:space="preserve"> complica</w:t>
      </w:r>
      <w:r>
        <w:rPr>
          <w:color w:val="000000" w:themeColor="text1"/>
          <w:lang w:val="en-US"/>
        </w:rPr>
        <w:t>ted compared to defined contributions</w:t>
      </w:r>
      <w:r w:rsidRPr="00F14E5E">
        <w:rPr>
          <w:color w:val="000000" w:themeColor="text1"/>
          <w:lang w:val="en-US"/>
        </w:rPr>
        <w:t xml:space="preserve"> plans.</w:t>
      </w:r>
      <w:r>
        <w:rPr>
          <w:color w:val="000000" w:themeColor="text1"/>
          <w:lang w:val="en-US"/>
        </w:rPr>
        <w:t xml:space="preserve"> In a defined benefits plan the main focus is shifted from the contributions that are made by an individual to the amount of benefits that are to be received as retirement income in the third phase of the life cycle. The pension benefits are calculate</w:t>
      </w:r>
      <w:r w:rsidR="00DC1092">
        <w:rPr>
          <w:color w:val="000000" w:themeColor="text1"/>
          <w:lang w:val="en-US"/>
        </w:rPr>
        <w:t>d</w:t>
      </w:r>
      <w:r>
        <w:rPr>
          <w:color w:val="000000" w:themeColor="text1"/>
          <w:lang w:val="en-US"/>
        </w:rPr>
        <w:t xml:space="preserve"> using a benefit formula, and are a function of both the wage of the employee and the number of years of employment. The differences in the characteristics of such plans stem mainly from the wage estimation used. One of the possibilities uses the average wage in th</w:t>
      </w:r>
      <w:r w:rsidR="00DC1092">
        <w:rPr>
          <w:color w:val="000000" w:themeColor="text1"/>
          <w:lang w:val="en-US"/>
        </w:rPr>
        <w:t>e last few years of work</w:t>
      </w:r>
      <w:r>
        <w:rPr>
          <w:color w:val="000000" w:themeColor="text1"/>
          <w:lang w:val="en-US"/>
        </w:rPr>
        <w:t xml:space="preserve">. Another possibility is to calculate the retirement income using the real or relative salary over </w:t>
      </w:r>
      <w:r w:rsidR="00DC1092">
        <w:rPr>
          <w:color w:val="000000" w:themeColor="text1"/>
          <w:lang w:val="en-US"/>
        </w:rPr>
        <w:t>a large</w:t>
      </w:r>
      <w:r>
        <w:rPr>
          <w:color w:val="000000" w:themeColor="text1"/>
          <w:lang w:val="en-US"/>
        </w:rPr>
        <w:t xml:space="preserve">r number of years, </w:t>
      </w:r>
      <w:r>
        <w:rPr>
          <w:color w:val="000000" w:themeColor="text1"/>
          <w:lang w:val="en-US"/>
        </w:rPr>
        <w:lastRenderedPageBreak/>
        <w:t>sometimes even the entire employment period, wi</w:t>
      </w:r>
      <w:r w:rsidR="00DC1092">
        <w:rPr>
          <w:color w:val="000000" w:themeColor="text1"/>
          <w:lang w:val="en-US"/>
        </w:rPr>
        <w:t>th length depending on the domestic</w:t>
      </w:r>
      <w:r>
        <w:rPr>
          <w:color w:val="000000" w:themeColor="text1"/>
          <w:lang w:val="en-US"/>
        </w:rPr>
        <w:t xml:space="preserve"> legislation. </w:t>
      </w:r>
    </w:p>
    <w:p w:rsidR="005D378B" w:rsidRDefault="005D378B" w:rsidP="005D378B">
      <w:pPr>
        <w:autoSpaceDE w:val="0"/>
        <w:autoSpaceDN w:val="0"/>
        <w:adjustRightInd w:val="0"/>
        <w:spacing w:line="360" w:lineRule="auto"/>
        <w:jc w:val="both"/>
        <w:rPr>
          <w:color w:val="000000" w:themeColor="text1"/>
          <w:lang w:val="en-US"/>
        </w:rPr>
      </w:pPr>
      <w:r>
        <w:rPr>
          <w:color w:val="000000" w:themeColor="text1"/>
          <w:lang w:val="en-US"/>
        </w:rPr>
        <w:t>In most cases where DB schemes are in action, the contributions, which here are again a fraction of the worker’s wage, are commonly pooled in a public fund or institution and can be ei</w:t>
      </w:r>
      <w:r w:rsidR="00DC1092">
        <w:rPr>
          <w:color w:val="000000" w:themeColor="text1"/>
          <w:lang w:val="en-US"/>
        </w:rPr>
        <w:t>ther controlled by the employer</w:t>
      </w:r>
      <w:r>
        <w:rPr>
          <w:color w:val="000000" w:themeColor="text1"/>
          <w:lang w:val="en-US"/>
        </w:rPr>
        <w:t xml:space="preserve"> or run by the government. In instances where the current working population is financing the scheme by its contributions, also called a state plan, the risk of economic downturns is enti</w:t>
      </w:r>
      <w:r w:rsidR="00163385">
        <w:rPr>
          <w:color w:val="000000" w:themeColor="text1"/>
          <w:lang w:val="en-US"/>
        </w:rPr>
        <w:t>rely carried by the workers. These</w:t>
      </w:r>
      <w:r>
        <w:rPr>
          <w:color w:val="000000" w:themeColor="text1"/>
          <w:lang w:val="en-US"/>
        </w:rPr>
        <w:t xml:space="preserve"> imbalances are covered by</w:t>
      </w:r>
      <w:r w:rsidR="00163385">
        <w:rPr>
          <w:color w:val="000000" w:themeColor="text1"/>
          <w:lang w:val="en-US"/>
        </w:rPr>
        <w:t xml:space="preserve"> the</w:t>
      </w:r>
      <w:r>
        <w:rPr>
          <w:color w:val="000000" w:themeColor="text1"/>
          <w:lang w:val="en-US"/>
        </w:rPr>
        <w:t xml:space="preserve"> taxes. If there are discrepancies in the revenue-expenditure ratio, the state could modify the benefit-contribution rates. In the other case, where pensions are governed by the employer, the burden of carrying the consequences from unfavorable economic environment falls directly on the employer. </w:t>
      </w:r>
      <w:r w:rsidRPr="00B1370F">
        <w:rPr>
          <w:color w:val="000000" w:themeColor="text1"/>
          <w:lang w:val="en-US"/>
        </w:rPr>
        <w:t xml:space="preserve">However, </w:t>
      </w:r>
      <w:r w:rsidRPr="00B1370F">
        <w:rPr>
          <w:lang w:val="en-US"/>
        </w:rPr>
        <w:t xml:space="preserve">Barr and Diamond (2006) argue that this burden </w:t>
      </w:r>
      <w:r>
        <w:rPr>
          <w:lang w:val="en-US"/>
        </w:rPr>
        <w:t xml:space="preserve">only formally falls on the employers while </w:t>
      </w:r>
      <w:r w:rsidRPr="00B1370F">
        <w:rPr>
          <w:color w:val="000000" w:themeColor="text1"/>
          <w:lang w:val="en-US"/>
        </w:rPr>
        <w:t>indirectly</w:t>
      </w:r>
      <w:r w:rsidR="00497E43">
        <w:rPr>
          <w:color w:val="000000" w:themeColor="text1"/>
          <w:lang w:val="en-US"/>
        </w:rPr>
        <w:t>, it is covered</w:t>
      </w:r>
      <w:r>
        <w:rPr>
          <w:color w:val="000000" w:themeColor="text1"/>
          <w:lang w:val="en-US"/>
        </w:rPr>
        <w:t xml:space="preserve"> by the individuals</w:t>
      </w:r>
      <w:r w:rsidRPr="00B1370F">
        <w:rPr>
          <w:color w:val="000000" w:themeColor="text1"/>
          <w:lang w:val="en-US"/>
        </w:rPr>
        <w:t xml:space="preserve"> as the wage level</w:t>
      </w:r>
      <w:r>
        <w:rPr>
          <w:color w:val="000000" w:themeColor="text1"/>
          <w:lang w:val="en-US"/>
        </w:rPr>
        <w:t>s change, as well as by</w:t>
      </w:r>
      <w:r w:rsidRPr="00B1370F">
        <w:rPr>
          <w:color w:val="000000" w:themeColor="text1"/>
          <w:lang w:val="en-US"/>
        </w:rPr>
        <w:t xml:space="preserve"> shareholders</w:t>
      </w:r>
      <w:r>
        <w:rPr>
          <w:color w:val="000000" w:themeColor="text1"/>
          <w:lang w:val="en-US"/>
        </w:rPr>
        <w:t xml:space="preserve"> and taxpayers by decreasing profits and </w:t>
      </w:r>
      <w:r w:rsidR="00497E43">
        <w:rPr>
          <w:color w:val="000000" w:themeColor="text1"/>
          <w:lang w:val="en-US"/>
        </w:rPr>
        <w:t xml:space="preserve">finally </w:t>
      </w:r>
      <w:r>
        <w:rPr>
          <w:color w:val="000000" w:themeColor="text1"/>
          <w:lang w:val="en-US"/>
        </w:rPr>
        <w:t>on the customers because of the general change in prices. It therefore, seems straightforward that, with DB schemes, the current retirees are free of carrying the risk. However, this is only so in cases where the be</w:t>
      </w:r>
      <w:r w:rsidR="00345DA8">
        <w:rPr>
          <w:color w:val="000000" w:themeColor="text1"/>
          <w:lang w:val="en-US"/>
        </w:rPr>
        <w:t>nefits remain unchanged which is</w:t>
      </w:r>
      <w:r>
        <w:rPr>
          <w:color w:val="000000" w:themeColor="text1"/>
          <w:lang w:val="en-US"/>
        </w:rPr>
        <w:t xml:space="preserve"> </w:t>
      </w:r>
      <w:r w:rsidR="00345DA8">
        <w:rPr>
          <w:color w:val="000000" w:themeColor="text1"/>
          <w:lang w:val="en-US"/>
        </w:rPr>
        <w:t>rarely</w:t>
      </w:r>
      <w:r>
        <w:rPr>
          <w:color w:val="000000" w:themeColor="text1"/>
          <w:lang w:val="en-US"/>
        </w:rPr>
        <w:t xml:space="preserve"> the case</w:t>
      </w:r>
      <w:r w:rsidR="00345DA8">
        <w:rPr>
          <w:color w:val="000000" w:themeColor="text1"/>
          <w:lang w:val="en-US"/>
        </w:rPr>
        <w:t xml:space="preserve"> in reality</w:t>
      </w:r>
      <w:r>
        <w:rPr>
          <w:color w:val="000000" w:themeColor="text1"/>
          <w:lang w:val="en-US"/>
        </w:rPr>
        <w:t xml:space="preserve">. </w:t>
      </w:r>
    </w:p>
    <w:p w:rsidR="005D378B" w:rsidRDefault="005D378B" w:rsidP="005D378B">
      <w:pPr>
        <w:autoSpaceDE w:val="0"/>
        <w:autoSpaceDN w:val="0"/>
        <w:adjustRightInd w:val="0"/>
        <w:spacing w:line="360" w:lineRule="auto"/>
        <w:jc w:val="both"/>
        <w:rPr>
          <w:color w:val="000000" w:themeColor="text1"/>
          <w:lang w:val="en-US"/>
        </w:rPr>
      </w:pPr>
      <w:r>
        <w:rPr>
          <w:color w:val="000000" w:themeColor="text1"/>
          <w:lang w:val="en-US"/>
        </w:rPr>
        <w:t>The potential of DB plans to offer secure retirement rate as a percentage of the income received in the active working years, could be seen as their main advantage. The employee is not dependent on the investment outcomes and is to a great extent aware of the pension that will be received upon retirement. The impact of demographic changes is on the current employed generation, and in case of populat</w:t>
      </w:r>
      <w:r w:rsidR="00D6594D">
        <w:rPr>
          <w:color w:val="000000" w:themeColor="text1"/>
          <w:lang w:val="en-US"/>
        </w:rPr>
        <w:t>ion ageing the tax base will have</w:t>
      </w:r>
      <w:r>
        <w:rPr>
          <w:color w:val="000000" w:themeColor="text1"/>
          <w:lang w:val="en-US"/>
        </w:rPr>
        <w:t xml:space="preserve"> to be adjusted which automatically transfers the burden to the taxpayers. In contrast,</w:t>
      </w:r>
      <w:r w:rsidR="00021491">
        <w:rPr>
          <w:color w:val="000000" w:themeColor="text1"/>
          <w:lang w:val="en-US"/>
        </w:rPr>
        <w:t xml:space="preserve"> in</w:t>
      </w:r>
      <w:r>
        <w:rPr>
          <w:color w:val="000000" w:themeColor="text1"/>
          <w:lang w:val="en-US"/>
        </w:rPr>
        <w:t xml:space="preserve"> the DC case</w:t>
      </w:r>
      <w:r w:rsidR="00021491">
        <w:rPr>
          <w:color w:val="000000" w:themeColor="text1"/>
          <w:lang w:val="en-US"/>
        </w:rPr>
        <w:t>,</w:t>
      </w:r>
      <w:r>
        <w:rPr>
          <w:color w:val="000000" w:themeColor="text1"/>
          <w:lang w:val="en-US"/>
        </w:rPr>
        <w:t xml:space="preserve"> the burden of the increased number of elderly people is borne by the retirees. </w:t>
      </w:r>
    </w:p>
    <w:p w:rsidR="005D378B" w:rsidRDefault="005D378B" w:rsidP="005D378B">
      <w:pPr>
        <w:autoSpaceDE w:val="0"/>
        <w:autoSpaceDN w:val="0"/>
        <w:adjustRightInd w:val="0"/>
        <w:spacing w:before="120" w:line="360" w:lineRule="auto"/>
        <w:rPr>
          <w:rFonts w:ascii="TimesNewRoman,Bold" w:hAnsi="TimesNewRoman,Bold" w:cs="TimesNewRoman,Bold"/>
          <w:bCs/>
          <w:lang w:val="en-US"/>
        </w:rPr>
      </w:pPr>
      <w:r>
        <w:rPr>
          <w:rFonts w:ascii="TimesNewRoman,Bold" w:hAnsi="TimesNewRoman,Bold" w:cs="TimesNewRoman,Bold"/>
          <w:bCs/>
          <w:lang w:val="en-US"/>
        </w:rPr>
        <w:t xml:space="preserve">The concept of notional defined-contribution (NDC) schemes is perceived as an innovation that gains popularity in the academic field in the recent years. In essence, they are similar to the pure DC schemes. The main difference is that they are not as heavily funded as pension systems characterized by defined contributions. In fact, depending on the setting, it is even possible for them to be completely unfunded. The risk associated with the DC plans is again on the side of the benefits that are received. Basically, the NDC plans work on the principle that contributions are again collected by the state from the workers, but the government acts as if financial assets are accumulated. Records of the contributions are kept, and when the individual enters retirement, </w:t>
      </w:r>
      <w:r w:rsidR="00AC0CA9">
        <w:rPr>
          <w:rFonts w:ascii="TimesNewRoman,Bold" w:hAnsi="TimesNewRoman,Bold" w:cs="TimesNewRoman,Bold"/>
          <w:bCs/>
          <w:lang w:val="en-US"/>
        </w:rPr>
        <w:t xml:space="preserve">they are used to calculate </w:t>
      </w:r>
      <w:r>
        <w:rPr>
          <w:rFonts w:ascii="TimesNewRoman,Bold" w:hAnsi="TimesNewRoman,Bold" w:cs="TimesNewRoman,Bold"/>
          <w:bCs/>
          <w:lang w:val="en-US"/>
        </w:rPr>
        <w:t>the pension on</w:t>
      </w:r>
      <w:r w:rsidR="00AC0CA9">
        <w:rPr>
          <w:rFonts w:ascii="TimesNewRoman,Bold" w:hAnsi="TimesNewRoman,Bold" w:cs="TimesNewRoman,Bold"/>
          <w:bCs/>
          <w:lang w:val="en-US"/>
        </w:rPr>
        <w:t xml:space="preserve"> the basis of those notional, or referred to</w:t>
      </w:r>
      <w:r>
        <w:rPr>
          <w:rFonts w:ascii="TimesNewRoman,Bold" w:hAnsi="TimesNewRoman,Bold" w:cs="TimesNewRoman,Bold"/>
          <w:bCs/>
          <w:lang w:val="en-US"/>
        </w:rPr>
        <w:t xml:space="preserve"> by some</w:t>
      </w:r>
      <w:r w:rsidR="00AC0CA9">
        <w:rPr>
          <w:rFonts w:ascii="TimesNewRoman,Bold" w:hAnsi="TimesNewRoman,Bold" w:cs="TimesNewRoman,Bold"/>
          <w:bCs/>
          <w:lang w:val="en-US"/>
        </w:rPr>
        <w:t xml:space="preserve"> as</w:t>
      </w:r>
      <w:r>
        <w:rPr>
          <w:rFonts w:ascii="TimesNewRoman,Bold" w:hAnsi="TimesNewRoman,Bold" w:cs="TimesNewRoman,Bold"/>
          <w:bCs/>
          <w:lang w:val="en-US"/>
        </w:rPr>
        <w:t xml:space="preserve"> “fictitious” savings that would supposedly be accumulated</w:t>
      </w:r>
      <w:r w:rsidR="00DB0C11">
        <w:rPr>
          <w:rFonts w:ascii="TimesNewRoman,Bold" w:hAnsi="TimesNewRoman,Bold" w:cs="TimesNewRoman,Bold"/>
          <w:bCs/>
          <w:lang w:val="en-US"/>
        </w:rPr>
        <w:t xml:space="preserve"> </w:t>
      </w:r>
      <w:r w:rsidR="00DB0C11">
        <w:rPr>
          <w:rFonts w:ascii="TimesNewRoman,Bold" w:hAnsi="TimesNewRoman,Bold" w:cs="TimesNewRoman,Bold"/>
          <w:bCs/>
          <w:lang w:val="en-US"/>
        </w:rPr>
        <w:lastRenderedPageBreak/>
        <w:t>so far</w:t>
      </w:r>
      <w:r>
        <w:rPr>
          <w:rFonts w:ascii="TimesNewRoman,Bold" w:hAnsi="TimesNewRoman,Bold" w:cs="TimesNewRoman,Bold"/>
          <w:bCs/>
          <w:lang w:val="en-US"/>
        </w:rPr>
        <w:t xml:space="preserve">. The main difference with DC systems that could be distinguished here is the interest rate. In the case where the contributions are defined, the interest rate is dependent on the returns of the financial markets, whereas, with the notional defined contribution plans, the interest rate is called notional because it is set by the state. Although in its theoretical sense the NDC plan seems conceptually similar to the defined contribution plans, </w:t>
      </w:r>
      <w:proofErr w:type="spellStart"/>
      <w:r>
        <w:rPr>
          <w:rFonts w:ascii="TimesNewRoman,Bold" w:hAnsi="TimesNewRoman,Bold" w:cs="TimesNewRoman,Bold"/>
          <w:bCs/>
          <w:lang w:val="en-US"/>
        </w:rPr>
        <w:t>Clichon</w:t>
      </w:r>
      <w:proofErr w:type="spellEnd"/>
      <w:r>
        <w:rPr>
          <w:rFonts w:ascii="TimesNewRoman,Bold" w:hAnsi="TimesNewRoman,Bold" w:cs="TimesNewRoman,Bold"/>
          <w:bCs/>
          <w:lang w:val="en-US"/>
        </w:rPr>
        <w:t xml:space="preserve"> (1999) shows in his article how this approach does not serve different a purpose than the standard defined benefit pension system. All the effects that are associated with NDC schemes could be accomplished through policy changes in the current DB</w:t>
      </w:r>
      <w:r w:rsidR="00EE7953">
        <w:rPr>
          <w:rFonts w:ascii="TimesNewRoman,Bold" w:hAnsi="TimesNewRoman,Bold" w:cs="TimesNewRoman,Bold"/>
          <w:bCs/>
          <w:lang w:val="en-US"/>
        </w:rPr>
        <w:t xml:space="preserve"> schemes. He points out that</w:t>
      </w:r>
      <w:r>
        <w:rPr>
          <w:rFonts w:ascii="TimesNewRoman,Bold" w:hAnsi="TimesNewRoman,Bold" w:cs="TimesNewRoman,Bold"/>
          <w:bCs/>
          <w:lang w:val="en-US"/>
        </w:rPr>
        <w:t xml:space="preserve"> “it is the packaging that differs”</w:t>
      </w:r>
      <w:r>
        <w:rPr>
          <w:rStyle w:val="FootnoteReference"/>
          <w:rFonts w:ascii="TimesNewRoman,Bold" w:hAnsi="TimesNewRoman,Bold" w:cs="TimesNewRoman,Bold"/>
          <w:bCs/>
          <w:lang w:val="en-US"/>
        </w:rPr>
        <w:footnoteReference w:id="5"/>
      </w:r>
      <w:r>
        <w:rPr>
          <w:rFonts w:ascii="TimesNewRoman,Bold" w:hAnsi="TimesNewRoman,Bold" w:cs="TimesNewRoman,Bold"/>
          <w:bCs/>
          <w:lang w:val="en-US"/>
        </w:rPr>
        <w:t>, but also recognizes the fact that this could serve as a political instrument, and as such it could be seen as a viable reason for recognition.</w:t>
      </w:r>
    </w:p>
    <w:p w:rsidR="005D378B" w:rsidRDefault="005D378B" w:rsidP="005D378B">
      <w:pPr>
        <w:autoSpaceDE w:val="0"/>
        <w:autoSpaceDN w:val="0"/>
        <w:adjustRightInd w:val="0"/>
        <w:spacing w:before="120" w:line="360" w:lineRule="auto"/>
        <w:rPr>
          <w:rFonts w:eastAsiaTheme="minorHAnsi"/>
          <w:lang w:val="en-US"/>
        </w:rPr>
      </w:pPr>
      <w:r w:rsidRPr="00493EA3">
        <w:rPr>
          <w:rFonts w:eastAsiaTheme="minorHAnsi"/>
          <w:color w:val="000000" w:themeColor="text1"/>
          <w:lang w:val="en-US"/>
        </w:rPr>
        <w:t xml:space="preserve">There are opinions that there is an overall trend toward a shift from DB plans to DC schemes. However, </w:t>
      </w:r>
      <w:proofErr w:type="spellStart"/>
      <w:r w:rsidRPr="00493EA3">
        <w:rPr>
          <w:rFonts w:eastAsiaTheme="minorHAnsi"/>
          <w:color w:val="000000" w:themeColor="text1"/>
          <w:lang w:val="en-US"/>
        </w:rPr>
        <w:t>Gustman</w:t>
      </w:r>
      <w:proofErr w:type="spellEnd"/>
      <w:r w:rsidRPr="00493EA3">
        <w:rPr>
          <w:rFonts w:eastAsiaTheme="minorHAnsi"/>
          <w:color w:val="000000" w:themeColor="text1"/>
          <w:lang w:val="en-US"/>
        </w:rPr>
        <w:t xml:space="preserve"> and </w:t>
      </w:r>
      <w:proofErr w:type="spellStart"/>
      <w:r w:rsidRPr="00493EA3">
        <w:rPr>
          <w:rFonts w:eastAsiaTheme="minorHAnsi"/>
          <w:color w:val="000000" w:themeColor="text1"/>
          <w:lang w:val="en-US"/>
        </w:rPr>
        <w:t>Steinmer</w:t>
      </w:r>
      <w:proofErr w:type="spellEnd"/>
      <w:r w:rsidRPr="00493EA3">
        <w:rPr>
          <w:rFonts w:eastAsiaTheme="minorHAnsi"/>
          <w:color w:val="000000" w:themeColor="text1"/>
          <w:lang w:val="en-US"/>
        </w:rPr>
        <w:t xml:space="preserve"> (1992) investigate this, but find no significant results to support such hypothesis. Rather, they find that such</w:t>
      </w:r>
      <w:r w:rsidR="00C25034">
        <w:rPr>
          <w:rFonts w:eastAsiaTheme="minorHAnsi"/>
          <w:color w:val="000000" w:themeColor="text1"/>
          <w:lang w:val="en-US"/>
        </w:rPr>
        <w:t xml:space="preserve"> a</w:t>
      </w:r>
      <w:r w:rsidRPr="00493EA3">
        <w:rPr>
          <w:rFonts w:eastAsiaTheme="minorHAnsi"/>
          <w:color w:val="000000" w:themeColor="text1"/>
          <w:lang w:val="en-US"/>
        </w:rPr>
        <w:t xml:space="preserve"> possible trend toward DC </w:t>
      </w:r>
      <w:r w:rsidR="00C25034" w:rsidRPr="00493EA3">
        <w:rPr>
          <w:rFonts w:eastAsiaTheme="minorHAnsi"/>
          <w:color w:val="000000" w:themeColor="text1"/>
          <w:lang w:val="en-US"/>
        </w:rPr>
        <w:t>plans</w:t>
      </w:r>
      <w:r w:rsidRPr="00493EA3">
        <w:rPr>
          <w:rFonts w:eastAsiaTheme="minorHAnsi"/>
          <w:color w:val="000000" w:themeColor="text1"/>
          <w:lang w:val="en-US"/>
        </w:rPr>
        <w:t xml:space="preserve"> may be due to the accidental movement of workers from firms that had</w:t>
      </w:r>
      <w:r w:rsidR="00C25034">
        <w:rPr>
          <w:rFonts w:eastAsiaTheme="minorHAnsi"/>
          <w:color w:val="000000" w:themeColor="text1"/>
          <w:lang w:val="en-US"/>
        </w:rPr>
        <w:t xml:space="preserve"> been using</w:t>
      </w:r>
      <w:r w:rsidRPr="00493EA3">
        <w:rPr>
          <w:rFonts w:eastAsiaTheme="minorHAnsi"/>
          <w:color w:val="000000" w:themeColor="text1"/>
          <w:lang w:val="en-US"/>
        </w:rPr>
        <w:t xml:space="preserve"> DC plans for years already. They </w:t>
      </w:r>
      <w:r w:rsidR="00C25034">
        <w:rPr>
          <w:rFonts w:eastAsiaTheme="minorHAnsi"/>
          <w:color w:val="000000" w:themeColor="text1"/>
          <w:lang w:val="en-US"/>
        </w:rPr>
        <w:t xml:space="preserve">come to this </w:t>
      </w:r>
      <w:r w:rsidRPr="00493EA3">
        <w:rPr>
          <w:rFonts w:eastAsiaTheme="minorHAnsi"/>
          <w:color w:val="000000" w:themeColor="text1"/>
          <w:lang w:val="en-US"/>
        </w:rPr>
        <w:t>con</w:t>
      </w:r>
      <w:r w:rsidR="00C25034">
        <w:rPr>
          <w:rFonts w:eastAsiaTheme="minorHAnsi"/>
          <w:color w:val="000000" w:themeColor="text1"/>
          <w:lang w:val="en-US"/>
        </w:rPr>
        <w:t>clusion</w:t>
      </w:r>
      <w:r w:rsidRPr="00493EA3">
        <w:rPr>
          <w:rFonts w:eastAsiaTheme="minorHAnsi"/>
          <w:color w:val="000000" w:themeColor="text1"/>
          <w:lang w:val="en-US"/>
        </w:rPr>
        <w:t xml:space="preserve"> by finding</w:t>
      </w:r>
      <w:r w:rsidR="00C25034">
        <w:rPr>
          <w:rFonts w:eastAsiaTheme="minorHAnsi"/>
          <w:color w:val="000000" w:themeColor="text1"/>
          <w:lang w:val="en-US"/>
        </w:rPr>
        <w:t xml:space="preserve"> a</w:t>
      </w:r>
      <w:r w:rsidRPr="00493EA3">
        <w:rPr>
          <w:rFonts w:eastAsiaTheme="minorHAnsi"/>
          <w:color w:val="000000" w:themeColor="text1"/>
          <w:lang w:val="en-US"/>
        </w:rPr>
        <w:t xml:space="preserve"> lower probability of firms to offer DB plans.</w:t>
      </w:r>
      <w:r>
        <w:rPr>
          <w:rFonts w:eastAsiaTheme="minorHAnsi"/>
          <w:lang w:val="en-US"/>
        </w:rPr>
        <w:t xml:space="preserve"> </w:t>
      </w:r>
    </w:p>
    <w:p w:rsidR="005D378B" w:rsidRDefault="005D378B" w:rsidP="005D378B">
      <w:pPr>
        <w:autoSpaceDE w:val="0"/>
        <w:autoSpaceDN w:val="0"/>
        <w:adjustRightInd w:val="0"/>
        <w:spacing w:before="120" w:line="360" w:lineRule="auto"/>
        <w:rPr>
          <w:rFonts w:eastAsiaTheme="minorHAnsi"/>
          <w:lang w:val="en-US"/>
        </w:rPr>
      </w:pPr>
      <w:r>
        <w:rPr>
          <w:rFonts w:eastAsiaTheme="minorHAnsi"/>
          <w:lang w:val="en-US"/>
        </w:rPr>
        <w:t>Turning to the financing part of the formal agreements in pension systems, it is good to start with the p</w:t>
      </w:r>
      <w:r w:rsidRPr="00EE0BCF">
        <w:rPr>
          <w:rFonts w:eastAsiaTheme="minorHAnsi"/>
          <w:lang w:val="en-US"/>
        </w:rPr>
        <w:t>ay-as-you-go</w:t>
      </w:r>
      <w:r>
        <w:rPr>
          <w:rFonts w:eastAsiaTheme="minorHAnsi"/>
          <w:lang w:val="en-US"/>
        </w:rPr>
        <w:t xml:space="preserve"> (PAYG) system. Such financing implies that the government collects social security contributions from the current workers and redistributes those contributions as pensions received by the current retired part of the population. As Murray (1968) states, the PAYG arrangements use the taxing power of the government. However, the main disadvantage of those schemes is that their sustainability is highly dependent on the demographic changes as they do not contribute to any future accumulation of assets.</w:t>
      </w:r>
    </w:p>
    <w:p w:rsidR="005D378B" w:rsidRDefault="00136359" w:rsidP="005D378B">
      <w:pPr>
        <w:autoSpaceDE w:val="0"/>
        <w:autoSpaceDN w:val="0"/>
        <w:adjustRightInd w:val="0"/>
        <w:spacing w:before="120" w:line="360" w:lineRule="auto"/>
        <w:rPr>
          <w:rFonts w:eastAsiaTheme="minorHAnsi"/>
          <w:lang w:val="en-US"/>
        </w:rPr>
      </w:pPr>
      <w:r>
        <w:rPr>
          <w:rFonts w:eastAsiaTheme="minorHAnsi"/>
          <w:lang w:val="en-US"/>
        </w:rPr>
        <w:t>Funded schemes, on</w:t>
      </w:r>
      <w:r w:rsidR="005D378B">
        <w:rPr>
          <w:rFonts w:eastAsiaTheme="minorHAnsi"/>
          <w:lang w:val="en-US"/>
        </w:rPr>
        <w:t xml:space="preserve"> the contrary, are arrangements where the workers pay contributions, as in PAYG schemes, with the difference that the pensions are paid out of a fund that has collected the workers individual contributions throughout the years. If there is no redistribution bet</w:t>
      </w:r>
      <w:r>
        <w:rPr>
          <w:rFonts w:eastAsiaTheme="minorHAnsi"/>
          <w:lang w:val="en-US"/>
        </w:rPr>
        <w:t>ween generations the individual’s</w:t>
      </w:r>
      <w:r w:rsidR="005D378B">
        <w:rPr>
          <w:rFonts w:eastAsiaTheme="minorHAnsi"/>
          <w:lang w:val="en-US"/>
        </w:rPr>
        <w:t xml:space="preserve"> pension consists only of the accumulated assets, from his own past contributions, and is therefore highly dependent on the rate of return on the financial markets. After retireme</w:t>
      </w:r>
      <w:r>
        <w:rPr>
          <w:rFonts w:eastAsiaTheme="minorHAnsi"/>
          <w:lang w:val="en-US"/>
        </w:rPr>
        <w:t>nt, the income of the person</w:t>
      </w:r>
      <w:r w:rsidR="005D378B">
        <w:rPr>
          <w:rFonts w:eastAsiaTheme="minorHAnsi"/>
          <w:lang w:val="en-US"/>
        </w:rPr>
        <w:t xml:space="preserve"> is paid, in most cases by the use of annuities. The main disadvantage of funded schemes is the sensitivity of those financial assets to changes of the rate of return which induces higher risk than the unfunded PAYG systems. </w:t>
      </w:r>
    </w:p>
    <w:p w:rsidR="005D378B" w:rsidRPr="00BB6271" w:rsidRDefault="005D378B" w:rsidP="005D378B">
      <w:pPr>
        <w:spacing w:before="120" w:line="360" w:lineRule="auto"/>
        <w:rPr>
          <w:lang w:val="en-US"/>
        </w:rPr>
      </w:pPr>
      <w:r w:rsidRPr="00BB6271">
        <w:rPr>
          <w:lang w:val="en-US"/>
        </w:rPr>
        <w:lastRenderedPageBreak/>
        <w:t xml:space="preserve">As said previously, there are many ways to outline a specific framework for the retirement income provision. Another useful and quite popular way is by the means of the three pillar doctrine which was first proposed in its formal way by the World Bank </w:t>
      </w:r>
      <w:r w:rsidR="0069577C">
        <w:rPr>
          <w:lang w:val="en-US"/>
        </w:rPr>
        <w:t>in the paper “Averting the Old Age C</w:t>
      </w:r>
      <w:r w:rsidRPr="00BB6271">
        <w:rPr>
          <w:lang w:val="en-US"/>
        </w:rPr>
        <w:t xml:space="preserve">risis”, 1994. However, </w:t>
      </w:r>
      <w:proofErr w:type="spellStart"/>
      <w:r>
        <w:rPr>
          <w:lang w:val="en-US"/>
        </w:rPr>
        <w:t>Leimgruber</w:t>
      </w:r>
      <w:proofErr w:type="spellEnd"/>
      <w:r>
        <w:rPr>
          <w:lang w:val="en-US"/>
        </w:rPr>
        <w:t xml:space="preserve"> (2012)</w:t>
      </w:r>
      <w:r w:rsidRPr="00BB6271">
        <w:rPr>
          <w:lang w:val="en-US"/>
        </w:rPr>
        <w:t xml:space="preserve"> traces the historical developments of the concept through the years and gives a thorough overview of the origins and the importance of the concept. He presents evidence that the roots of the concept go back to the </w:t>
      </w:r>
      <w:r w:rsidR="0069577C">
        <w:rPr>
          <w:lang w:val="en-US"/>
        </w:rPr>
        <w:t>19</w:t>
      </w:r>
      <w:r w:rsidRPr="00BB6271">
        <w:rPr>
          <w:lang w:val="en-US"/>
        </w:rPr>
        <w:t>60s in Switzerland. There are certain</w:t>
      </w:r>
      <w:r>
        <w:rPr>
          <w:lang w:val="en-US"/>
        </w:rPr>
        <w:t xml:space="preserve"> developments and changes after the first recognition</w:t>
      </w:r>
      <w:r w:rsidRPr="00BB6271">
        <w:rPr>
          <w:lang w:val="en-US"/>
        </w:rPr>
        <w:t xml:space="preserve">, but </w:t>
      </w:r>
      <w:r>
        <w:rPr>
          <w:lang w:val="en-US"/>
        </w:rPr>
        <w:t>the main concept is still widely</w:t>
      </w:r>
      <w:r w:rsidRPr="00BB6271">
        <w:rPr>
          <w:lang w:val="en-US"/>
        </w:rPr>
        <w:t xml:space="preserve"> used. The biggest advantage of this way of looking at pensions is </w:t>
      </w:r>
      <w:r w:rsidR="0069577C">
        <w:rPr>
          <w:lang w:val="en-US"/>
        </w:rPr>
        <w:t>that it provides a useful tool for a comparison of</w:t>
      </w:r>
      <w:r w:rsidRPr="00BB6271">
        <w:rPr>
          <w:lang w:val="en-US"/>
        </w:rPr>
        <w:t xml:space="preserve"> pension systems in different countries.</w:t>
      </w:r>
    </w:p>
    <w:p w:rsidR="005D378B" w:rsidRDefault="005D378B" w:rsidP="005D378B">
      <w:pPr>
        <w:autoSpaceDE w:val="0"/>
        <w:autoSpaceDN w:val="0"/>
        <w:adjustRightInd w:val="0"/>
        <w:spacing w:line="360" w:lineRule="auto"/>
        <w:rPr>
          <w:lang w:val="en-US"/>
        </w:rPr>
      </w:pPr>
      <w:r w:rsidRPr="00BB6271">
        <w:rPr>
          <w:lang w:val="en-US"/>
        </w:rPr>
        <w:t xml:space="preserve">Basically, it can be </w:t>
      </w:r>
      <w:r>
        <w:rPr>
          <w:lang w:val="en-US"/>
        </w:rPr>
        <w:t>stated</w:t>
      </w:r>
      <w:r w:rsidRPr="00BB6271">
        <w:rPr>
          <w:lang w:val="en-US"/>
        </w:rPr>
        <w:t xml:space="preserve"> that the income of retired people comes from three major sources</w:t>
      </w:r>
      <w:r>
        <w:rPr>
          <w:lang w:val="en-US"/>
        </w:rPr>
        <w:t>:</w:t>
      </w:r>
      <w:r w:rsidRPr="00BB6271">
        <w:rPr>
          <w:lang w:val="en-US"/>
        </w:rPr>
        <w:t xml:space="preserve"> public pensions, occupational pens</w:t>
      </w:r>
      <w:r w:rsidR="0069577C">
        <w:rPr>
          <w:lang w:val="en-US"/>
        </w:rPr>
        <w:t>ions and individual savings. The</w:t>
      </w:r>
      <w:r w:rsidRPr="00BB6271">
        <w:rPr>
          <w:lang w:val="en-US"/>
        </w:rPr>
        <w:t>se three sources constitute the three pillars. The first pillar provides a basic income for pensioners. Its main purpose is to insure against poverty and to provide a minimum standard of living among re</w:t>
      </w:r>
      <w:r w:rsidR="0069577C">
        <w:rPr>
          <w:lang w:val="en-US"/>
        </w:rPr>
        <w:t>tirees. It is often referred to</w:t>
      </w:r>
      <w:r w:rsidRPr="00BB6271">
        <w:rPr>
          <w:lang w:val="en-US"/>
        </w:rPr>
        <w:t xml:space="preserve"> as the anti-poverty pillar.  </w:t>
      </w:r>
    </w:p>
    <w:p w:rsidR="005D378B" w:rsidRPr="00BB6271" w:rsidRDefault="005D378B" w:rsidP="005D378B">
      <w:pPr>
        <w:autoSpaceDE w:val="0"/>
        <w:autoSpaceDN w:val="0"/>
        <w:adjustRightInd w:val="0"/>
        <w:spacing w:line="360" w:lineRule="auto"/>
        <w:rPr>
          <w:rFonts w:eastAsiaTheme="minorHAnsi"/>
          <w:lang w:val="en-US"/>
        </w:rPr>
      </w:pPr>
      <w:r w:rsidRPr="00BB6271">
        <w:rPr>
          <w:lang w:val="en-US"/>
        </w:rPr>
        <w:t xml:space="preserve">The second pillar is in most cases mandatory and earnings-related. It is connected to the amount of past contributions made by individuals. </w:t>
      </w:r>
      <w:r w:rsidRPr="00BB6271">
        <w:rPr>
          <w:rFonts w:eastAsiaTheme="minorHAnsi"/>
          <w:lang w:val="en-US"/>
        </w:rPr>
        <w:t>The relative role of occupational pensions as a source of retirement income is found to be dependent on the scale of public pension provision, especially if there is generous provision for individuals with higher income levels (Davis 1998).</w:t>
      </w:r>
    </w:p>
    <w:p w:rsidR="005D378B" w:rsidRPr="00BB6271" w:rsidRDefault="005D378B" w:rsidP="005D378B">
      <w:pPr>
        <w:spacing w:line="360" w:lineRule="auto"/>
        <w:rPr>
          <w:lang w:val="en-US"/>
        </w:rPr>
      </w:pPr>
      <w:r w:rsidRPr="00BB6271">
        <w:rPr>
          <w:lang w:val="en-US"/>
        </w:rPr>
        <w:t xml:space="preserve">The third pillar aims to provide an additional income for people that are able to afford a higher standard of life and greater security at old age. It is voluntary and can be </w:t>
      </w:r>
      <w:r>
        <w:rPr>
          <w:lang w:val="en-US"/>
        </w:rPr>
        <w:t>either</w:t>
      </w:r>
      <w:r w:rsidRPr="00BB6271">
        <w:rPr>
          <w:lang w:val="en-US"/>
        </w:rPr>
        <w:t xml:space="preserve"> occupational </w:t>
      </w:r>
      <w:r>
        <w:rPr>
          <w:lang w:val="en-US"/>
        </w:rPr>
        <w:t xml:space="preserve">or </w:t>
      </w:r>
      <w:r w:rsidRPr="00BB6271">
        <w:rPr>
          <w:lang w:val="en-US"/>
        </w:rPr>
        <w:t>individual. In practice there is no</w:t>
      </w:r>
      <w:r>
        <w:rPr>
          <w:lang w:val="en-US"/>
        </w:rPr>
        <w:t>t</w:t>
      </w:r>
      <w:r w:rsidR="00156897">
        <w:rPr>
          <w:lang w:val="en-US"/>
        </w:rPr>
        <w:t xml:space="preserve"> much data concerning</w:t>
      </w:r>
      <w:r w:rsidRPr="00BB6271">
        <w:rPr>
          <w:lang w:val="en-US"/>
        </w:rPr>
        <w:t xml:space="preserve"> this t</w:t>
      </w:r>
      <w:r w:rsidR="006B54F1">
        <w:rPr>
          <w:lang w:val="en-US"/>
        </w:rPr>
        <w:t xml:space="preserve">hird pillar as it is particularly difficult </w:t>
      </w:r>
      <w:r w:rsidRPr="00BB6271">
        <w:rPr>
          <w:lang w:val="en-US"/>
        </w:rPr>
        <w:t>to distinguish between regular saving and saving for old-age.</w:t>
      </w:r>
    </w:p>
    <w:p w:rsidR="005D378B" w:rsidRDefault="005D378B" w:rsidP="005D378B">
      <w:pPr>
        <w:autoSpaceDE w:val="0"/>
        <w:autoSpaceDN w:val="0"/>
        <w:adjustRightInd w:val="0"/>
        <w:spacing w:before="120" w:line="360" w:lineRule="auto"/>
        <w:rPr>
          <w:lang w:val="en-US"/>
        </w:rPr>
      </w:pPr>
      <w:r w:rsidRPr="00BB6271">
        <w:rPr>
          <w:lang w:val="en-US"/>
        </w:rPr>
        <w:t>The differences in the organization of the old-age public systems are the main reason for the differences in the extent to which countries experience problems and manage to cope with them. In the context of this paper it should be stressed that an important factor for the sustainability of a system is the degree of population ageing.</w:t>
      </w:r>
    </w:p>
    <w:p w:rsidR="008D5853" w:rsidRDefault="008D5853" w:rsidP="005D378B">
      <w:pPr>
        <w:autoSpaceDE w:val="0"/>
        <w:autoSpaceDN w:val="0"/>
        <w:adjustRightInd w:val="0"/>
        <w:spacing w:before="120" w:line="360" w:lineRule="auto"/>
        <w:rPr>
          <w:lang w:val="en-US"/>
        </w:rPr>
      </w:pPr>
    </w:p>
    <w:p w:rsidR="008D5853" w:rsidRPr="00821456" w:rsidRDefault="008D5853" w:rsidP="005D378B">
      <w:pPr>
        <w:autoSpaceDE w:val="0"/>
        <w:autoSpaceDN w:val="0"/>
        <w:adjustRightInd w:val="0"/>
        <w:spacing w:before="120" w:line="360" w:lineRule="auto"/>
        <w:rPr>
          <w:lang w:val="en-US"/>
        </w:rPr>
      </w:pPr>
    </w:p>
    <w:p w:rsidR="005D378B" w:rsidRPr="0040632E" w:rsidRDefault="005D378B" w:rsidP="005D378B">
      <w:pPr>
        <w:pStyle w:val="Heading2"/>
        <w:spacing w:before="360"/>
        <w:rPr>
          <w:rFonts w:eastAsiaTheme="minorHAnsi"/>
          <w:sz w:val="28"/>
          <w:szCs w:val="28"/>
          <w:lang w:val="en-US"/>
        </w:rPr>
      </w:pPr>
      <w:r>
        <w:rPr>
          <w:rFonts w:eastAsiaTheme="minorHAnsi"/>
          <w:sz w:val="28"/>
          <w:szCs w:val="28"/>
          <w:lang w:val="en-US"/>
        </w:rPr>
        <w:lastRenderedPageBreak/>
        <w:t>3</w:t>
      </w:r>
      <w:r w:rsidRPr="00297C9B">
        <w:rPr>
          <w:rFonts w:eastAsiaTheme="minorHAnsi"/>
          <w:sz w:val="28"/>
          <w:szCs w:val="28"/>
          <w:lang w:val="en-US"/>
        </w:rPr>
        <w:t>. Demographic dynamics: Population ageing</w:t>
      </w:r>
    </w:p>
    <w:p w:rsidR="005D378B" w:rsidRDefault="005C3DAC" w:rsidP="005D378B">
      <w:pPr>
        <w:autoSpaceDE w:val="0"/>
        <w:autoSpaceDN w:val="0"/>
        <w:adjustRightInd w:val="0"/>
        <w:spacing w:before="360" w:line="360" w:lineRule="auto"/>
        <w:jc w:val="both"/>
        <w:rPr>
          <w:lang w:val="en-US"/>
        </w:rPr>
      </w:pPr>
      <w:r>
        <w:rPr>
          <w:lang w:val="en-US"/>
        </w:rPr>
        <w:t>Population ageing has been</w:t>
      </w:r>
      <w:r w:rsidR="005D378B" w:rsidRPr="00777303">
        <w:rPr>
          <w:lang w:val="en-US"/>
        </w:rPr>
        <w:t xml:space="preserve"> a well-known demographic problem for decades, but it seems that countries are still struggling to find a way to deal with it and</w:t>
      </w:r>
      <w:r w:rsidR="005D378B">
        <w:rPr>
          <w:lang w:val="en-US"/>
        </w:rPr>
        <w:t xml:space="preserve"> the </w:t>
      </w:r>
      <w:r w:rsidR="005D378B" w:rsidRPr="00777303">
        <w:rPr>
          <w:lang w:val="en-US"/>
        </w:rPr>
        <w:t>consequences</w:t>
      </w:r>
      <w:r w:rsidR="005D378B">
        <w:rPr>
          <w:lang w:val="en-US"/>
        </w:rPr>
        <w:t xml:space="preserve"> that follow</w:t>
      </w:r>
      <w:r w:rsidR="005D378B" w:rsidRPr="00777303">
        <w:rPr>
          <w:lang w:val="en-US"/>
        </w:rPr>
        <w:t>. It could be argued that it is one of the biggest determining factors for the future of the social security systems. The demographic developments such as the decrease</w:t>
      </w:r>
      <w:r w:rsidR="005D378B">
        <w:rPr>
          <w:lang w:val="en-US"/>
        </w:rPr>
        <w:t xml:space="preserve"> of birth rates, increase in</w:t>
      </w:r>
      <w:r w:rsidR="005D378B" w:rsidRPr="00777303">
        <w:rPr>
          <w:lang w:val="en-US"/>
        </w:rPr>
        <w:t xml:space="preserve"> life expectancy</w:t>
      </w:r>
      <w:r w:rsidR="005D378B">
        <w:rPr>
          <w:lang w:val="en-US"/>
        </w:rPr>
        <w:t xml:space="preserve"> and </w:t>
      </w:r>
      <w:r w:rsidR="005D378B" w:rsidRPr="00777303">
        <w:rPr>
          <w:lang w:val="en-US"/>
        </w:rPr>
        <w:t xml:space="preserve">the baby-boom </w:t>
      </w:r>
      <w:r w:rsidR="005D378B" w:rsidRPr="000D273C">
        <w:rPr>
          <w:color w:val="000000"/>
          <w:lang w:val="en-US"/>
        </w:rPr>
        <w:t>cohorts reaching the eligible retirement</w:t>
      </w:r>
      <w:r w:rsidR="005D378B" w:rsidRPr="00777303">
        <w:rPr>
          <w:lang w:val="en-US"/>
        </w:rPr>
        <w:t xml:space="preserve">, are some of the main causes for the graying of the population and pose many challenges to the </w:t>
      </w:r>
      <w:r w:rsidR="005D378B">
        <w:rPr>
          <w:lang w:val="en-US"/>
        </w:rPr>
        <w:t>welfare system in many countries</w:t>
      </w:r>
      <w:r w:rsidR="005D378B" w:rsidRPr="00777303">
        <w:rPr>
          <w:lang w:val="en-US"/>
        </w:rPr>
        <w:t>.</w:t>
      </w:r>
      <w:r w:rsidR="005D378B">
        <w:rPr>
          <w:lang w:val="en-US"/>
        </w:rPr>
        <w:t xml:space="preserve"> The degree of population ageing is an important factor when assessing the sustainability of old-age pension system in the long run. This section mainly deals with the dynamics of population ageing and it summarizes the main findings regarding this demographic change of some published reports of public organizations such as the Organisation of Economic Co-operation and Development (OECD), the EU commission.</w:t>
      </w:r>
    </w:p>
    <w:p w:rsidR="005D378B" w:rsidRDefault="005D378B" w:rsidP="005D378B">
      <w:pPr>
        <w:autoSpaceDE w:val="0"/>
        <w:autoSpaceDN w:val="0"/>
        <w:adjustRightInd w:val="0"/>
        <w:spacing w:before="120" w:line="360" w:lineRule="auto"/>
        <w:jc w:val="both"/>
        <w:rPr>
          <w:lang w:val="en-US"/>
        </w:rPr>
      </w:pPr>
      <w:r>
        <w:rPr>
          <w:lang w:val="en-US"/>
        </w:rPr>
        <w:t>According to the data reported by the United Nations’ world population data (UN, 2011), the oldest population in Europe for 2010 is in Germany with age of the median person 44.3, making Germany the 2</w:t>
      </w:r>
      <w:r w:rsidRPr="002F2DB4">
        <w:rPr>
          <w:vertAlign w:val="superscript"/>
          <w:lang w:val="en-US"/>
        </w:rPr>
        <w:t>nd</w:t>
      </w:r>
      <w:r>
        <w:rPr>
          <w:lang w:val="en-US"/>
        </w:rPr>
        <w:t xml:space="preserve"> oldest country in the world after Japan. Italy’s median person age is estimated to be 43.2; the Netherlands takes the 3</w:t>
      </w:r>
      <w:r w:rsidRPr="00D314CE">
        <w:rPr>
          <w:vertAlign w:val="superscript"/>
          <w:lang w:val="en-US"/>
        </w:rPr>
        <w:t>rd</w:t>
      </w:r>
      <w:r>
        <w:rPr>
          <w:lang w:val="en-US"/>
        </w:rPr>
        <w:t xml:space="preserve"> place in Europe with median age of 41.7, followed by Spain which takes the 4</w:t>
      </w:r>
      <w:r w:rsidRPr="00D314CE">
        <w:rPr>
          <w:vertAlign w:val="superscript"/>
          <w:lang w:val="en-US"/>
        </w:rPr>
        <w:t>th</w:t>
      </w:r>
      <w:r>
        <w:rPr>
          <w:lang w:val="en-US"/>
        </w:rPr>
        <w:t xml:space="preserve"> with 41.1.</w:t>
      </w:r>
    </w:p>
    <w:p w:rsidR="005D378B" w:rsidRDefault="005D378B" w:rsidP="005D378B">
      <w:pPr>
        <w:autoSpaceDE w:val="0"/>
        <w:autoSpaceDN w:val="0"/>
        <w:adjustRightInd w:val="0"/>
        <w:spacing w:before="120" w:line="360" w:lineRule="auto"/>
        <w:jc w:val="both"/>
        <w:rPr>
          <w:lang w:val="en-US"/>
        </w:rPr>
      </w:pPr>
      <w:r>
        <w:rPr>
          <w:lang w:val="en-US"/>
        </w:rPr>
        <w:t>The graying of the population in Europe is said to be a consequence of two main factors: an observed change in fertility rates and increase life expectancy.</w:t>
      </w:r>
    </w:p>
    <w:p w:rsidR="005D378B" w:rsidRDefault="005D378B" w:rsidP="005D378B">
      <w:pPr>
        <w:spacing w:line="360" w:lineRule="auto"/>
        <w:jc w:val="both"/>
        <w:rPr>
          <w:lang w:val="en-US"/>
        </w:rPr>
      </w:pPr>
      <w:r>
        <w:rPr>
          <w:lang w:val="en-US"/>
        </w:rPr>
        <w:t>Regarding the change in fertility rates experienced in the past half a century, there are two historical events that are s</w:t>
      </w:r>
      <w:r w:rsidR="00603B0B">
        <w:rPr>
          <w:lang w:val="en-US"/>
        </w:rPr>
        <w:t>aid to be responsible. After</w:t>
      </w:r>
      <w:r>
        <w:rPr>
          <w:lang w:val="en-US"/>
        </w:rPr>
        <w:t xml:space="preserve"> World War II, many countries encountered the phenomenon called baby-boom, which can be considered, to an extent, a natural consequence of such a major war. There was a large increase in birth rates during this period, followed by a sharp decrease which continued to present days, and is projected to continue for the future, although not with the same magnitude. It his controversial paper, Sinn (2005) gives as a main reason for this decline the reduced incentives for families to raise children. This reduction is mainly driven by the generous provision of old-age pensions insurance and the policies adopted by governments to increase the labor force participation of women. The birth rates further decreased by the introduction on the mass market of</w:t>
      </w:r>
      <w:r w:rsidR="00603B0B">
        <w:rPr>
          <w:lang w:val="en-US"/>
        </w:rPr>
        <w:t xml:space="preserve"> contraceptive methods to prevent</w:t>
      </w:r>
      <w:r>
        <w:rPr>
          <w:lang w:val="en-US"/>
        </w:rPr>
        <w:t xml:space="preserve"> pregnancy. Figure 1 visualizes the decrease described above. It shows the number of births per 1000 people. </w:t>
      </w:r>
    </w:p>
    <w:p w:rsidR="005D378B" w:rsidRDefault="005D378B" w:rsidP="005D378B">
      <w:pPr>
        <w:rPr>
          <w:lang w:val="en-US"/>
        </w:rPr>
      </w:pPr>
    </w:p>
    <w:p w:rsidR="005D378B" w:rsidRDefault="005D378B" w:rsidP="005D378B">
      <w:pPr>
        <w:rPr>
          <w:lang w:val="en-US"/>
        </w:rPr>
      </w:pPr>
    </w:p>
    <w:p w:rsidR="005D378B" w:rsidRDefault="005D378B" w:rsidP="005D378B">
      <w:pPr>
        <w:jc w:val="center"/>
        <w:rPr>
          <w:color w:val="000000" w:themeColor="text1"/>
          <w:lang w:val="en-US"/>
        </w:rPr>
      </w:pPr>
      <w:proofErr w:type="gramStart"/>
      <w:r>
        <w:rPr>
          <w:color w:val="000000" w:themeColor="text1"/>
          <w:lang w:val="en-US"/>
        </w:rPr>
        <w:lastRenderedPageBreak/>
        <w:t>Figure.</w:t>
      </w:r>
      <w:proofErr w:type="gramEnd"/>
      <w:r>
        <w:rPr>
          <w:color w:val="000000" w:themeColor="text1"/>
          <w:lang w:val="en-US"/>
        </w:rPr>
        <w:t xml:space="preserve"> 1.</w:t>
      </w:r>
      <w:r w:rsidRPr="00747E26">
        <w:rPr>
          <w:color w:val="000000" w:themeColor="text1"/>
          <w:lang w:val="en-US"/>
        </w:rPr>
        <w:t xml:space="preserve"> Crude birth ra</w:t>
      </w:r>
      <w:r>
        <w:rPr>
          <w:color w:val="000000" w:themeColor="text1"/>
          <w:lang w:val="en-US"/>
        </w:rPr>
        <w:t>te (the vertical axis -number of births per 1,000 people; the horizontal axis - decades)</w:t>
      </w:r>
    </w:p>
    <w:p w:rsidR="005D378B" w:rsidRPr="002F1B1A" w:rsidRDefault="005D378B" w:rsidP="005D378B">
      <w:pPr>
        <w:jc w:val="center"/>
        <w:rPr>
          <w:color w:val="000000" w:themeColor="text1"/>
          <w:lang w:val="en-US"/>
        </w:rPr>
      </w:pPr>
    </w:p>
    <w:p w:rsidR="005D378B" w:rsidRDefault="005D378B" w:rsidP="005D378B">
      <w:pPr>
        <w:jc w:val="both"/>
        <w:rPr>
          <w:color w:val="FF3399"/>
          <w:lang w:val="en-US"/>
        </w:rPr>
      </w:pPr>
      <w:r w:rsidRPr="00747E26">
        <w:rPr>
          <w:noProof/>
          <w:color w:val="FF3399"/>
          <w:lang w:val="en-US"/>
        </w:rPr>
        <w:drawing>
          <wp:inline distT="0" distB="0" distL="0" distR="0">
            <wp:extent cx="5760720" cy="3074478"/>
            <wp:effectExtent l="76200" t="0" r="68580" b="87822"/>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D378B" w:rsidRDefault="005D378B" w:rsidP="005D378B">
      <w:pPr>
        <w:rPr>
          <w:color w:val="000000" w:themeColor="text1"/>
          <w:lang w:val="en-US"/>
        </w:rPr>
      </w:pPr>
      <w:r w:rsidRPr="002C1317">
        <w:rPr>
          <w:color w:val="000000" w:themeColor="text1"/>
          <w:lang w:val="en-US"/>
        </w:rPr>
        <w:t>Source: United Nations, (2011)</w:t>
      </w:r>
    </w:p>
    <w:p w:rsidR="005D378B" w:rsidRDefault="005D378B" w:rsidP="005D378B">
      <w:pPr>
        <w:rPr>
          <w:color w:val="000000" w:themeColor="text1"/>
          <w:lang w:val="en-US"/>
        </w:rPr>
      </w:pPr>
    </w:p>
    <w:p w:rsidR="005D378B" w:rsidRDefault="005D378B" w:rsidP="005D378B">
      <w:pPr>
        <w:rPr>
          <w:color w:val="000000" w:themeColor="text1"/>
          <w:lang w:val="en-US"/>
        </w:rPr>
      </w:pPr>
    </w:p>
    <w:p w:rsidR="005D378B" w:rsidRDefault="005D378B" w:rsidP="005D378B">
      <w:pPr>
        <w:rPr>
          <w:color w:val="000000" w:themeColor="text1"/>
          <w:lang w:val="en-US"/>
        </w:rPr>
      </w:pPr>
    </w:p>
    <w:p w:rsidR="005D378B" w:rsidRDefault="005D378B" w:rsidP="005D378B">
      <w:pPr>
        <w:jc w:val="center"/>
        <w:rPr>
          <w:color w:val="000000" w:themeColor="text1"/>
          <w:lang w:val="en-US"/>
        </w:rPr>
      </w:pPr>
      <w:proofErr w:type="gramStart"/>
      <w:r>
        <w:rPr>
          <w:lang w:val="en-US"/>
        </w:rPr>
        <w:t>Figure.</w:t>
      </w:r>
      <w:proofErr w:type="gramEnd"/>
      <w:r>
        <w:rPr>
          <w:lang w:val="en-US"/>
        </w:rPr>
        <w:t xml:space="preserve"> 2. Life expectancy at birth (</w:t>
      </w:r>
      <w:r>
        <w:rPr>
          <w:color w:val="000000" w:themeColor="text1"/>
          <w:lang w:val="en-US"/>
        </w:rPr>
        <w:t>the vertical axis – age; the horizontal axis – decades)</w:t>
      </w:r>
    </w:p>
    <w:p w:rsidR="005D378B" w:rsidRPr="002C6554" w:rsidRDefault="005D378B" w:rsidP="005D378B">
      <w:pPr>
        <w:jc w:val="center"/>
        <w:rPr>
          <w:color w:val="000000" w:themeColor="text1"/>
          <w:lang w:val="en-US"/>
        </w:rPr>
      </w:pPr>
    </w:p>
    <w:p w:rsidR="005D378B" w:rsidRDefault="005D378B" w:rsidP="005D378B">
      <w:pPr>
        <w:autoSpaceDE w:val="0"/>
        <w:autoSpaceDN w:val="0"/>
        <w:adjustRightInd w:val="0"/>
        <w:spacing w:before="120" w:line="360" w:lineRule="auto"/>
        <w:jc w:val="both"/>
        <w:rPr>
          <w:lang w:val="en-US"/>
        </w:rPr>
      </w:pPr>
      <w:r w:rsidRPr="002C6554">
        <w:rPr>
          <w:noProof/>
          <w:lang w:val="en-US"/>
        </w:rPr>
        <w:drawing>
          <wp:inline distT="0" distB="0" distL="0" distR="0">
            <wp:extent cx="5731510" cy="3245810"/>
            <wp:effectExtent l="19050" t="0" r="21590" b="0"/>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D378B" w:rsidRDefault="005D378B" w:rsidP="005D378B">
      <w:pPr>
        <w:autoSpaceDE w:val="0"/>
        <w:autoSpaceDN w:val="0"/>
        <w:adjustRightInd w:val="0"/>
        <w:spacing w:before="120" w:line="360" w:lineRule="auto"/>
        <w:jc w:val="both"/>
        <w:rPr>
          <w:lang w:val="en-US"/>
        </w:rPr>
      </w:pPr>
      <w:r>
        <w:rPr>
          <w:lang w:val="en-US"/>
        </w:rPr>
        <w:t>Source: United Nations, (2011)</w:t>
      </w:r>
    </w:p>
    <w:p w:rsidR="005D378B" w:rsidRDefault="005D378B" w:rsidP="005D378B">
      <w:pPr>
        <w:autoSpaceDE w:val="0"/>
        <w:autoSpaceDN w:val="0"/>
        <w:adjustRightInd w:val="0"/>
        <w:spacing w:before="120" w:line="360" w:lineRule="auto"/>
        <w:rPr>
          <w:lang w:val="en-US"/>
        </w:rPr>
      </w:pPr>
    </w:p>
    <w:p w:rsidR="005D378B" w:rsidRDefault="005D378B" w:rsidP="005D378B">
      <w:pPr>
        <w:autoSpaceDE w:val="0"/>
        <w:autoSpaceDN w:val="0"/>
        <w:adjustRightInd w:val="0"/>
        <w:spacing w:before="120" w:line="360" w:lineRule="auto"/>
        <w:rPr>
          <w:lang w:val="en-US"/>
        </w:rPr>
      </w:pPr>
      <w:r>
        <w:rPr>
          <w:lang w:val="en-US"/>
        </w:rPr>
        <w:lastRenderedPageBreak/>
        <w:t>The prolonged life of people is mainly caused by the constant developments of the medical care</w:t>
      </w:r>
      <w:r w:rsidR="00DA107B">
        <w:rPr>
          <w:lang w:val="en-US"/>
        </w:rPr>
        <w:t xml:space="preserve"> system</w:t>
      </w:r>
      <w:r>
        <w:rPr>
          <w:lang w:val="en-US"/>
        </w:rPr>
        <w:t xml:space="preserve"> and the increase in the quality of life. There are contradicting opinions in the literature about the extent to which the length of life will continue to increase. In the ageing report of EU commission (2009), it is argued that, although there are too many factors pushing the longevity in both directions, governments still tend to underestimate the expected length of life at birth and therefore, underestimate the cost of this demographic change on the social welfare programs. Figure 2 illustrates the life expectancy at birth for the four countries which are part of this study and the European average life expectancy. There is </w:t>
      </w:r>
      <w:r w:rsidR="00FD460D">
        <w:rPr>
          <w:lang w:val="en-US"/>
        </w:rPr>
        <w:t xml:space="preserve">a </w:t>
      </w:r>
      <w:r>
        <w:rPr>
          <w:lang w:val="en-US"/>
        </w:rPr>
        <w:t>clearly visible trend for increase in longevity. The longer the life expectancy</w:t>
      </w:r>
      <w:r w:rsidR="00FD460D">
        <w:rPr>
          <w:lang w:val="en-US"/>
        </w:rPr>
        <w:t>,</w:t>
      </w:r>
      <w:r>
        <w:rPr>
          <w:lang w:val="en-US"/>
        </w:rPr>
        <w:t xml:space="preserve"> the higher the spending on pensions in countries with defined benefit plans. On the contrary, defined contribution schemes are affected differently as they are usually considering the expected duration of benefit claims at retirement. From this it can be concluded that the degree to which a pension scheme is affected and manage to cope with changes in life expectancy entirely depends on the structural setting of the retirement system in a country. The cases where the calculation of annuities is dependent on the estimated length of life at retirement are managing to react better to changes in longevity, whereas states with higher expenditure levels whose system is not structured to respond to changes in life expectancy are exposed to higher risks of fiscal discrepancies.</w:t>
      </w:r>
    </w:p>
    <w:p w:rsidR="005D378B" w:rsidRDefault="005D378B" w:rsidP="005D378B">
      <w:pPr>
        <w:autoSpaceDE w:val="0"/>
        <w:autoSpaceDN w:val="0"/>
        <w:adjustRightInd w:val="0"/>
        <w:spacing w:before="120" w:line="360" w:lineRule="auto"/>
        <w:jc w:val="both"/>
        <w:rPr>
          <w:rFonts w:eastAsiaTheme="minorHAnsi"/>
          <w:lang w:val="en-US"/>
        </w:rPr>
      </w:pPr>
      <w:r>
        <w:rPr>
          <w:rFonts w:eastAsiaTheme="minorHAnsi"/>
          <w:lang w:val="en-US"/>
        </w:rPr>
        <w:t>Although it was already shown that the two main components of a demographic crisis are present, t</w:t>
      </w:r>
      <w:r w:rsidRPr="000658A1">
        <w:rPr>
          <w:rFonts w:eastAsiaTheme="minorHAnsi"/>
          <w:lang w:val="en-US"/>
        </w:rPr>
        <w:t>he</w:t>
      </w:r>
      <w:r>
        <w:rPr>
          <w:rFonts w:eastAsiaTheme="minorHAnsi"/>
          <w:lang w:val="en-US"/>
        </w:rPr>
        <w:t xml:space="preserve">re seems to be a </w:t>
      </w:r>
      <w:r w:rsidR="00FD460D">
        <w:rPr>
          <w:rFonts w:eastAsiaTheme="minorHAnsi"/>
          <w:lang w:val="en-US"/>
        </w:rPr>
        <w:t>consensus in the academic field</w:t>
      </w:r>
      <w:r>
        <w:rPr>
          <w:rFonts w:eastAsiaTheme="minorHAnsi"/>
          <w:lang w:val="en-US"/>
        </w:rPr>
        <w:t xml:space="preserve"> that the</w:t>
      </w:r>
      <w:r w:rsidRPr="000658A1">
        <w:rPr>
          <w:rFonts w:eastAsiaTheme="minorHAnsi"/>
          <w:lang w:val="en-US"/>
        </w:rPr>
        <w:t xml:space="preserve"> most relevant way to give an insight of the demographic movements </w:t>
      </w:r>
      <w:r w:rsidR="00FD460D">
        <w:rPr>
          <w:rFonts w:eastAsiaTheme="minorHAnsi"/>
          <w:lang w:val="en-US"/>
        </w:rPr>
        <w:t>is</w:t>
      </w:r>
      <w:r>
        <w:rPr>
          <w:rFonts w:eastAsiaTheme="minorHAnsi"/>
          <w:lang w:val="en-US"/>
        </w:rPr>
        <w:t xml:space="preserve"> by comparing</w:t>
      </w:r>
      <w:r w:rsidRPr="000658A1">
        <w:rPr>
          <w:rFonts w:eastAsiaTheme="minorHAnsi"/>
          <w:lang w:val="en-US"/>
        </w:rPr>
        <w:t xml:space="preserve"> the so-called</w:t>
      </w:r>
      <w:r>
        <w:rPr>
          <w:rFonts w:eastAsiaTheme="minorHAnsi"/>
          <w:lang w:val="en-US"/>
        </w:rPr>
        <w:t xml:space="preserve"> old-age dependency ratios. The calculations of the term appear to be more or less done in the same fashion. It is said to be the ratio between</w:t>
      </w:r>
      <w:r w:rsidR="00FD460D">
        <w:rPr>
          <w:rFonts w:eastAsiaTheme="minorHAnsi"/>
          <w:lang w:val="en-US"/>
        </w:rPr>
        <w:t xml:space="preserve"> the number of </w:t>
      </w:r>
      <w:r>
        <w:rPr>
          <w:rFonts w:eastAsiaTheme="minorHAnsi"/>
          <w:lang w:val="en-US"/>
        </w:rPr>
        <w:t>retire</w:t>
      </w:r>
      <w:r w:rsidR="00FD460D">
        <w:rPr>
          <w:rFonts w:eastAsiaTheme="minorHAnsi"/>
          <w:lang w:val="en-US"/>
        </w:rPr>
        <w:t>d people</w:t>
      </w:r>
      <w:r>
        <w:rPr>
          <w:rFonts w:eastAsiaTheme="minorHAnsi"/>
          <w:lang w:val="en-US"/>
        </w:rPr>
        <w:t>, usually over the age of 65, relative to the number of people in the working force, falling in the range from 15 to 64.</w:t>
      </w:r>
    </w:p>
    <w:p w:rsidR="005D378B" w:rsidRDefault="005D378B" w:rsidP="005D378B">
      <w:pPr>
        <w:autoSpaceDE w:val="0"/>
        <w:autoSpaceDN w:val="0"/>
        <w:adjustRightInd w:val="0"/>
        <w:spacing w:line="360" w:lineRule="auto"/>
        <w:jc w:val="both"/>
        <w:rPr>
          <w:rFonts w:eastAsiaTheme="minorHAnsi"/>
          <w:lang w:val="en-US"/>
        </w:rPr>
      </w:pPr>
      <w:r>
        <w:rPr>
          <w:rFonts w:eastAsiaTheme="minorHAnsi"/>
          <w:lang w:val="en-US"/>
        </w:rPr>
        <w:t>First, Table 1 shows the dependency ratios derived from the EUROSTAT data. From the table it becomes clear that there is</w:t>
      </w:r>
      <w:r w:rsidR="00FD460D">
        <w:rPr>
          <w:rFonts w:eastAsiaTheme="minorHAnsi"/>
          <w:lang w:val="en-US"/>
        </w:rPr>
        <w:t xml:space="preserve"> a</w:t>
      </w:r>
      <w:r>
        <w:rPr>
          <w:rFonts w:eastAsiaTheme="minorHAnsi"/>
          <w:lang w:val="en-US"/>
        </w:rPr>
        <w:t xml:space="preserve"> tendency for the ratio to increase, further indicating the increase in the number of elderly in comparison to the people that are being currently active in the labor force. </w:t>
      </w:r>
    </w:p>
    <w:p w:rsidR="005D378B" w:rsidRPr="00821456" w:rsidRDefault="005D378B" w:rsidP="005D378B">
      <w:pPr>
        <w:autoSpaceDE w:val="0"/>
        <w:autoSpaceDN w:val="0"/>
        <w:adjustRightInd w:val="0"/>
        <w:spacing w:line="360" w:lineRule="auto"/>
        <w:jc w:val="both"/>
        <w:rPr>
          <w:rFonts w:eastAsiaTheme="minorHAnsi"/>
          <w:lang w:val="en-US"/>
        </w:rPr>
      </w:pPr>
      <w:r>
        <w:rPr>
          <w:rFonts w:eastAsiaTheme="minorHAnsi"/>
          <w:lang w:val="en-US"/>
        </w:rPr>
        <w:t>Second, Table 2 provides the relevant numbers of the projections published in the ageing report of the European Commission for the values of the old-age dependency ratio. There may be small differences of the methods of calculation, but in any case the idea here is to show that the demographic changes are expected to continue in the years to come, and to raise awareness of the demographic crisis that European countries face.</w:t>
      </w:r>
    </w:p>
    <w:p w:rsidR="005D378B" w:rsidRPr="00DF7D65" w:rsidRDefault="005D378B" w:rsidP="005D378B">
      <w:pPr>
        <w:pStyle w:val="ListParagraph"/>
        <w:spacing w:line="360" w:lineRule="auto"/>
        <w:ind w:left="360"/>
        <w:rPr>
          <w:rFonts w:eastAsiaTheme="minorHAnsi"/>
          <w:lang w:val="en-US"/>
        </w:rPr>
      </w:pPr>
      <w:proofErr w:type="gramStart"/>
      <w:r w:rsidRPr="00DF7D65">
        <w:rPr>
          <w:rFonts w:eastAsiaTheme="minorHAnsi"/>
          <w:i/>
          <w:lang w:val="en-US"/>
        </w:rPr>
        <w:lastRenderedPageBreak/>
        <w:t>Table 1.</w:t>
      </w:r>
      <w:proofErr w:type="gramEnd"/>
      <w:r w:rsidRPr="00DF7D65">
        <w:rPr>
          <w:rFonts w:eastAsiaTheme="minorHAnsi"/>
          <w:i/>
          <w:lang w:val="en-US"/>
        </w:rPr>
        <w:t xml:space="preserve"> Old-age dependency ratios (1990-2010)</w:t>
      </w:r>
    </w:p>
    <w:tbl>
      <w:tblPr>
        <w:tblStyle w:val="TableGrid"/>
        <w:tblW w:w="9060" w:type="dxa"/>
        <w:tblLook w:val="04A0"/>
      </w:tblPr>
      <w:tblGrid>
        <w:gridCol w:w="3045"/>
        <w:gridCol w:w="1233"/>
        <w:gridCol w:w="1233"/>
        <w:gridCol w:w="1183"/>
        <w:gridCol w:w="1183"/>
        <w:gridCol w:w="1183"/>
      </w:tblGrid>
      <w:tr w:rsidR="005D378B" w:rsidTr="007F49EC">
        <w:trPr>
          <w:trHeight w:val="374"/>
        </w:trPr>
        <w:tc>
          <w:tcPr>
            <w:tcW w:w="0" w:type="auto"/>
          </w:tcPr>
          <w:p w:rsidR="005D378B" w:rsidRPr="00E57F0B" w:rsidRDefault="005D378B" w:rsidP="005D378B">
            <w:pPr>
              <w:pStyle w:val="ListParagraph"/>
              <w:numPr>
                <w:ilvl w:val="0"/>
                <w:numId w:val="24"/>
              </w:numPr>
              <w:rPr>
                <w:b/>
                <w:i/>
                <w:sz w:val="26"/>
                <w:szCs w:val="26"/>
              </w:rPr>
            </w:pPr>
            <w:r w:rsidRPr="00E57F0B">
              <w:rPr>
                <w:b/>
                <w:i/>
                <w:sz w:val="26"/>
                <w:szCs w:val="26"/>
              </w:rPr>
              <w:t>Geo/Year</w:t>
            </w:r>
          </w:p>
        </w:tc>
        <w:tc>
          <w:tcPr>
            <w:tcW w:w="1233" w:type="dxa"/>
          </w:tcPr>
          <w:p w:rsidR="005D378B" w:rsidRPr="00A6436B" w:rsidRDefault="005D378B" w:rsidP="007F49EC">
            <w:pPr>
              <w:rPr>
                <w:b/>
              </w:rPr>
            </w:pPr>
            <w:r w:rsidRPr="00A6436B">
              <w:rPr>
                <w:b/>
              </w:rPr>
              <w:t>1990</w:t>
            </w:r>
          </w:p>
        </w:tc>
        <w:tc>
          <w:tcPr>
            <w:tcW w:w="1233" w:type="dxa"/>
          </w:tcPr>
          <w:p w:rsidR="005D378B" w:rsidRPr="00A6436B" w:rsidRDefault="005D378B" w:rsidP="007F49EC">
            <w:pPr>
              <w:rPr>
                <w:b/>
              </w:rPr>
            </w:pPr>
            <w:r w:rsidRPr="00A6436B">
              <w:rPr>
                <w:b/>
              </w:rPr>
              <w:t>1995</w:t>
            </w:r>
          </w:p>
        </w:tc>
        <w:tc>
          <w:tcPr>
            <w:tcW w:w="0" w:type="auto"/>
          </w:tcPr>
          <w:p w:rsidR="005D378B" w:rsidRPr="00A6436B" w:rsidRDefault="005D378B" w:rsidP="007F49EC">
            <w:pPr>
              <w:rPr>
                <w:b/>
              </w:rPr>
            </w:pPr>
            <w:r w:rsidRPr="00A6436B">
              <w:rPr>
                <w:b/>
              </w:rPr>
              <w:t>2000</w:t>
            </w:r>
          </w:p>
        </w:tc>
        <w:tc>
          <w:tcPr>
            <w:tcW w:w="0" w:type="auto"/>
          </w:tcPr>
          <w:p w:rsidR="005D378B" w:rsidRPr="00A6436B" w:rsidRDefault="005D378B" w:rsidP="007F49EC">
            <w:pPr>
              <w:rPr>
                <w:b/>
              </w:rPr>
            </w:pPr>
            <w:r w:rsidRPr="00A6436B">
              <w:rPr>
                <w:b/>
              </w:rPr>
              <w:t>2005</w:t>
            </w:r>
          </w:p>
        </w:tc>
        <w:tc>
          <w:tcPr>
            <w:tcW w:w="0" w:type="auto"/>
          </w:tcPr>
          <w:p w:rsidR="005D378B" w:rsidRPr="00A6436B" w:rsidRDefault="005D378B" w:rsidP="007F49EC">
            <w:pPr>
              <w:rPr>
                <w:b/>
              </w:rPr>
            </w:pPr>
            <w:r w:rsidRPr="00A6436B">
              <w:rPr>
                <w:b/>
              </w:rPr>
              <w:t>2011</w:t>
            </w:r>
          </w:p>
        </w:tc>
      </w:tr>
      <w:tr w:rsidR="005D378B" w:rsidTr="007F49EC">
        <w:trPr>
          <w:trHeight w:val="396"/>
        </w:trPr>
        <w:tc>
          <w:tcPr>
            <w:tcW w:w="0" w:type="auto"/>
          </w:tcPr>
          <w:p w:rsidR="005D378B" w:rsidRPr="00A6436B" w:rsidRDefault="005D378B" w:rsidP="007F49EC">
            <w:pPr>
              <w:rPr>
                <w:b/>
              </w:rPr>
            </w:pPr>
            <w:r w:rsidRPr="00A6436B">
              <w:rPr>
                <w:b/>
              </w:rPr>
              <w:t>EU 27</w:t>
            </w:r>
          </w:p>
        </w:tc>
        <w:tc>
          <w:tcPr>
            <w:tcW w:w="1233" w:type="dxa"/>
          </w:tcPr>
          <w:p w:rsidR="005D378B" w:rsidRDefault="005D378B" w:rsidP="007F49EC">
            <w:r>
              <w:t>20.6</w:t>
            </w:r>
          </w:p>
        </w:tc>
        <w:tc>
          <w:tcPr>
            <w:tcW w:w="1233" w:type="dxa"/>
          </w:tcPr>
          <w:p w:rsidR="005D378B" w:rsidRDefault="005D378B" w:rsidP="007F49EC">
            <w:r>
              <w:t>21.9</w:t>
            </w:r>
          </w:p>
        </w:tc>
        <w:tc>
          <w:tcPr>
            <w:tcW w:w="0" w:type="auto"/>
          </w:tcPr>
          <w:p w:rsidR="005D378B" w:rsidRDefault="005D378B" w:rsidP="007F49EC">
            <w:r>
              <w:t>23.2</w:t>
            </w:r>
          </w:p>
        </w:tc>
        <w:tc>
          <w:tcPr>
            <w:tcW w:w="0" w:type="auto"/>
          </w:tcPr>
          <w:p w:rsidR="005D378B" w:rsidRDefault="005D378B" w:rsidP="007F49EC">
            <w:r>
              <w:t>24.7</w:t>
            </w:r>
          </w:p>
        </w:tc>
        <w:tc>
          <w:tcPr>
            <w:tcW w:w="0" w:type="auto"/>
          </w:tcPr>
          <w:p w:rsidR="005D378B" w:rsidRDefault="005D378B" w:rsidP="007F49EC">
            <w:r>
              <w:t>25.9</w:t>
            </w:r>
          </w:p>
        </w:tc>
      </w:tr>
      <w:tr w:rsidR="005D378B" w:rsidTr="007F49EC">
        <w:trPr>
          <w:trHeight w:val="374"/>
        </w:trPr>
        <w:tc>
          <w:tcPr>
            <w:tcW w:w="0" w:type="auto"/>
          </w:tcPr>
          <w:p w:rsidR="005D378B" w:rsidRPr="00A6436B" w:rsidRDefault="005D378B" w:rsidP="007F49EC">
            <w:pPr>
              <w:rPr>
                <w:b/>
              </w:rPr>
            </w:pPr>
            <w:r w:rsidRPr="00A6436B">
              <w:rPr>
                <w:b/>
              </w:rPr>
              <w:t>Bulgaria</w:t>
            </w:r>
          </w:p>
        </w:tc>
        <w:tc>
          <w:tcPr>
            <w:tcW w:w="1233" w:type="dxa"/>
          </w:tcPr>
          <w:p w:rsidR="005D378B" w:rsidRDefault="005D378B" w:rsidP="007F49EC">
            <w:r>
              <w:t>19.5</w:t>
            </w:r>
          </w:p>
        </w:tc>
        <w:tc>
          <w:tcPr>
            <w:tcW w:w="1233" w:type="dxa"/>
          </w:tcPr>
          <w:p w:rsidR="005D378B" w:rsidRDefault="005D378B" w:rsidP="007F49EC">
            <w:r>
              <w:t>22.2</w:t>
            </w:r>
          </w:p>
        </w:tc>
        <w:tc>
          <w:tcPr>
            <w:tcW w:w="0" w:type="auto"/>
          </w:tcPr>
          <w:p w:rsidR="005D378B" w:rsidRDefault="005D378B" w:rsidP="007F49EC">
            <w:r>
              <w:t>23.8</w:t>
            </w:r>
          </w:p>
        </w:tc>
        <w:tc>
          <w:tcPr>
            <w:tcW w:w="0" w:type="auto"/>
          </w:tcPr>
          <w:p w:rsidR="005D378B" w:rsidRDefault="005D378B" w:rsidP="007F49EC">
            <w:r>
              <w:t>24.8</w:t>
            </w:r>
          </w:p>
        </w:tc>
        <w:tc>
          <w:tcPr>
            <w:tcW w:w="0" w:type="auto"/>
          </w:tcPr>
          <w:p w:rsidR="005D378B" w:rsidRDefault="005D378B" w:rsidP="007F49EC">
            <w:r>
              <w:t>25.4</w:t>
            </w:r>
          </w:p>
        </w:tc>
      </w:tr>
      <w:tr w:rsidR="005D378B" w:rsidTr="007F49EC">
        <w:trPr>
          <w:trHeight w:val="396"/>
        </w:trPr>
        <w:tc>
          <w:tcPr>
            <w:tcW w:w="0" w:type="auto"/>
          </w:tcPr>
          <w:p w:rsidR="005D378B" w:rsidRPr="00A6436B" w:rsidRDefault="005D378B" w:rsidP="007F49EC">
            <w:pPr>
              <w:rPr>
                <w:b/>
              </w:rPr>
            </w:pPr>
            <w:r w:rsidRPr="00A6436B">
              <w:rPr>
                <w:b/>
              </w:rPr>
              <w:t>Czech Republic</w:t>
            </w:r>
          </w:p>
        </w:tc>
        <w:tc>
          <w:tcPr>
            <w:tcW w:w="1233" w:type="dxa"/>
          </w:tcPr>
          <w:p w:rsidR="005D378B" w:rsidRDefault="005D378B" w:rsidP="007F49EC">
            <w:r>
              <w:t>19</w:t>
            </w:r>
          </w:p>
        </w:tc>
        <w:tc>
          <w:tcPr>
            <w:tcW w:w="1233" w:type="dxa"/>
          </w:tcPr>
          <w:p w:rsidR="005D378B" w:rsidRDefault="005D378B" w:rsidP="007F49EC">
            <w:r>
              <w:t>19.3</w:t>
            </w:r>
          </w:p>
        </w:tc>
        <w:tc>
          <w:tcPr>
            <w:tcW w:w="0" w:type="auto"/>
          </w:tcPr>
          <w:p w:rsidR="005D378B" w:rsidRDefault="005D378B" w:rsidP="007F49EC">
            <w:r>
              <w:t>19.8</w:t>
            </w:r>
          </w:p>
        </w:tc>
        <w:tc>
          <w:tcPr>
            <w:tcW w:w="0" w:type="auto"/>
          </w:tcPr>
          <w:p w:rsidR="005D378B" w:rsidRDefault="005D378B" w:rsidP="007F49EC">
            <w:r>
              <w:t>19.8</w:t>
            </w:r>
          </w:p>
        </w:tc>
        <w:tc>
          <w:tcPr>
            <w:tcW w:w="0" w:type="auto"/>
          </w:tcPr>
          <w:p w:rsidR="005D378B" w:rsidRDefault="005D378B" w:rsidP="007F49EC">
            <w:r>
              <w:t>21.6</w:t>
            </w:r>
          </w:p>
        </w:tc>
      </w:tr>
      <w:tr w:rsidR="005D378B" w:rsidTr="007F49EC">
        <w:trPr>
          <w:trHeight w:val="374"/>
        </w:trPr>
        <w:tc>
          <w:tcPr>
            <w:tcW w:w="0" w:type="auto"/>
          </w:tcPr>
          <w:p w:rsidR="005D378B" w:rsidRPr="00A6436B" w:rsidRDefault="005D378B" w:rsidP="007F49EC">
            <w:pPr>
              <w:rPr>
                <w:b/>
              </w:rPr>
            </w:pPr>
            <w:r w:rsidRPr="00A6436B">
              <w:rPr>
                <w:b/>
              </w:rPr>
              <w:t>France</w:t>
            </w:r>
          </w:p>
        </w:tc>
        <w:tc>
          <w:tcPr>
            <w:tcW w:w="1233" w:type="dxa"/>
          </w:tcPr>
          <w:p w:rsidR="005D378B" w:rsidRDefault="005D378B" w:rsidP="007F49EC">
            <w:r>
              <w:t>/</w:t>
            </w:r>
          </w:p>
        </w:tc>
        <w:tc>
          <w:tcPr>
            <w:tcW w:w="1233" w:type="dxa"/>
          </w:tcPr>
          <w:p w:rsidR="005D378B" w:rsidRDefault="005D378B" w:rsidP="007F49EC">
            <w:r>
              <w:t>22.7</w:t>
            </w:r>
          </w:p>
        </w:tc>
        <w:tc>
          <w:tcPr>
            <w:tcW w:w="0" w:type="auto"/>
          </w:tcPr>
          <w:p w:rsidR="005D378B" w:rsidRDefault="005D378B" w:rsidP="007F49EC">
            <w:r>
              <w:t>24.3</w:t>
            </w:r>
          </w:p>
        </w:tc>
        <w:tc>
          <w:tcPr>
            <w:tcW w:w="0" w:type="auto"/>
          </w:tcPr>
          <w:p w:rsidR="005D378B" w:rsidRDefault="005D378B" w:rsidP="007F49EC">
            <w:r>
              <w:t>25.1</w:t>
            </w:r>
          </w:p>
        </w:tc>
        <w:tc>
          <w:tcPr>
            <w:tcW w:w="0" w:type="auto"/>
          </w:tcPr>
          <w:p w:rsidR="005D378B" w:rsidRDefault="005D378B" w:rsidP="007F49EC">
            <w:r>
              <w:t>25.6</w:t>
            </w:r>
          </w:p>
        </w:tc>
      </w:tr>
      <w:tr w:rsidR="005D378B" w:rsidTr="007F49EC">
        <w:trPr>
          <w:trHeight w:val="374"/>
        </w:trPr>
        <w:tc>
          <w:tcPr>
            <w:tcW w:w="0" w:type="auto"/>
          </w:tcPr>
          <w:p w:rsidR="005D378B" w:rsidRPr="00A6436B" w:rsidRDefault="005D378B" w:rsidP="007F49EC">
            <w:pPr>
              <w:rPr>
                <w:b/>
              </w:rPr>
            </w:pPr>
            <w:r w:rsidRPr="00A6436B">
              <w:rPr>
                <w:b/>
              </w:rPr>
              <w:t>Germany</w:t>
            </w:r>
          </w:p>
        </w:tc>
        <w:tc>
          <w:tcPr>
            <w:tcW w:w="1233" w:type="dxa"/>
          </w:tcPr>
          <w:p w:rsidR="005D378B" w:rsidRDefault="005D378B" w:rsidP="007F49EC">
            <w:r>
              <w:t>22</w:t>
            </w:r>
          </w:p>
        </w:tc>
        <w:tc>
          <w:tcPr>
            <w:tcW w:w="1233" w:type="dxa"/>
          </w:tcPr>
          <w:p w:rsidR="005D378B" w:rsidRDefault="005D378B" w:rsidP="007F49EC">
            <w:r>
              <w:t>22.5</w:t>
            </w:r>
          </w:p>
        </w:tc>
        <w:tc>
          <w:tcPr>
            <w:tcW w:w="0" w:type="auto"/>
          </w:tcPr>
          <w:p w:rsidR="005D378B" w:rsidRDefault="005D378B" w:rsidP="007F49EC">
            <w:r>
              <w:t>23.9</w:t>
            </w:r>
          </w:p>
        </w:tc>
        <w:tc>
          <w:tcPr>
            <w:tcW w:w="0" w:type="auto"/>
          </w:tcPr>
          <w:p w:rsidR="005D378B" w:rsidRDefault="005D378B" w:rsidP="007F49EC">
            <w:r>
              <w:t>27.8</w:t>
            </w:r>
          </w:p>
        </w:tc>
        <w:tc>
          <w:tcPr>
            <w:tcW w:w="0" w:type="auto"/>
          </w:tcPr>
          <w:p w:rsidR="005D378B" w:rsidRDefault="005D378B" w:rsidP="007F49EC">
            <w:r>
              <w:t>31.4</w:t>
            </w:r>
          </w:p>
        </w:tc>
      </w:tr>
      <w:tr w:rsidR="005D378B" w:rsidTr="007F49EC">
        <w:trPr>
          <w:trHeight w:val="396"/>
        </w:trPr>
        <w:tc>
          <w:tcPr>
            <w:tcW w:w="0" w:type="auto"/>
          </w:tcPr>
          <w:p w:rsidR="005D378B" w:rsidRPr="00A6436B" w:rsidRDefault="005D378B" w:rsidP="007F49EC">
            <w:pPr>
              <w:rPr>
                <w:b/>
              </w:rPr>
            </w:pPr>
            <w:r w:rsidRPr="00A6436B">
              <w:rPr>
                <w:b/>
              </w:rPr>
              <w:t>Italy</w:t>
            </w:r>
          </w:p>
        </w:tc>
        <w:tc>
          <w:tcPr>
            <w:tcW w:w="1233" w:type="dxa"/>
          </w:tcPr>
          <w:p w:rsidR="005D378B" w:rsidRDefault="005D378B" w:rsidP="007F49EC">
            <w:r>
              <w:t>21.5</w:t>
            </w:r>
          </w:p>
        </w:tc>
        <w:tc>
          <w:tcPr>
            <w:tcW w:w="1233" w:type="dxa"/>
          </w:tcPr>
          <w:p w:rsidR="005D378B" w:rsidRDefault="005D378B" w:rsidP="007F49EC">
            <w:r>
              <w:t>24</w:t>
            </w:r>
          </w:p>
        </w:tc>
        <w:tc>
          <w:tcPr>
            <w:tcW w:w="0" w:type="auto"/>
          </w:tcPr>
          <w:p w:rsidR="005D378B" w:rsidRDefault="005D378B" w:rsidP="007F49EC">
            <w:r>
              <w:t>26.8</w:t>
            </w:r>
          </w:p>
        </w:tc>
        <w:tc>
          <w:tcPr>
            <w:tcW w:w="0" w:type="auto"/>
          </w:tcPr>
          <w:p w:rsidR="005D378B" w:rsidRDefault="005D378B" w:rsidP="007F49EC">
            <w:r>
              <w:t>29.3</w:t>
            </w:r>
          </w:p>
        </w:tc>
        <w:tc>
          <w:tcPr>
            <w:tcW w:w="0" w:type="auto"/>
          </w:tcPr>
          <w:p w:rsidR="005D378B" w:rsidRDefault="005D378B" w:rsidP="007F49EC">
            <w:r>
              <w:t>30.8</w:t>
            </w:r>
          </w:p>
        </w:tc>
      </w:tr>
      <w:tr w:rsidR="005D378B" w:rsidTr="007F49EC">
        <w:trPr>
          <w:trHeight w:val="374"/>
        </w:trPr>
        <w:tc>
          <w:tcPr>
            <w:tcW w:w="0" w:type="auto"/>
          </w:tcPr>
          <w:p w:rsidR="005D378B" w:rsidRPr="00A6436B" w:rsidRDefault="005D378B" w:rsidP="007F49EC">
            <w:pPr>
              <w:rPr>
                <w:b/>
              </w:rPr>
            </w:pPr>
            <w:r w:rsidRPr="00A6436B">
              <w:rPr>
                <w:b/>
              </w:rPr>
              <w:t>Netherlands</w:t>
            </w:r>
          </w:p>
        </w:tc>
        <w:tc>
          <w:tcPr>
            <w:tcW w:w="1233" w:type="dxa"/>
          </w:tcPr>
          <w:p w:rsidR="005D378B" w:rsidRDefault="005D378B" w:rsidP="007F49EC">
            <w:r>
              <w:t>18.6</w:t>
            </w:r>
          </w:p>
        </w:tc>
        <w:tc>
          <w:tcPr>
            <w:tcW w:w="1233" w:type="dxa"/>
          </w:tcPr>
          <w:p w:rsidR="005D378B" w:rsidRDefault="005D378B" w:rsidP="007F49EC">
            <w:r>
              <w:t>19.3</w:t>
            </w:r>
          </w:p>
        </w:tc>
        <w:tc>
          <w:tcPr>
            <w:tcW w:w="0" w:type="auto"/>
          </w:tcPr>
          <w:p w:rsidR="005D378B" w:rsidRDefault="005D378B" w:rsidP="007F49EC">
            <w:r>
              <w:t>20</w:t>
            </w:r>
          </w:p>
        </w:tc>
        <w:tc>
          <w:tcPr>
            <w:tcW w:w="0" w:type="auto"/>
          </w:tcPr>
          <w:p w:rsidR="005D378B" w:rsidRDefault="005D378B" w:rsidP="007F49EC">
            <w:r>
              <w:t>20.8</w:t>
            </w:r>
          </w:p>
        </w:tc>
        <w:tc>
          <w:tcPr>
            <w:tcW w:w="0" w:type="auto"/>
          </w:tcPr>
          <w:p w:rsidR="005D378B" w:rsidRDefault="005D378B" w:rsidP="007F49EC">
            <w:r>
              <w:t>22.8</w:t>
            </w:r>
          </w:p>
        </w:tc>
      </w:tr>
      <w:tr w:rsidR="005D378B" w:rsidTr="007F49EC">
        <w:trPr>
          <w:trHeight w:val="396"/>
        </w:trPr>
        <w:tc>
          <w:tcPr>
            <w:tcW w:w="0" w:type="auto"/>
          </w:tcPr>
          <w:p w:rsidR="005D378B" w:rsidRPr="00A6436B" w:rsidRDefault="005D378B" w:rsidP="007F49EC">
            <w:pPr>
              <w:rPr>
                <w:b/>
              </w:rPr>
            </w:pPr>
            <w:r w:rsidRPr="00A6436B">
              <w:rPr>
                <w:b/>
              </w:rPr>
              <w:t>Spain</w:t>
            </w:r>
          </w:p>
        </w:tc>
        <w:tc>
          <w:tcPr>
            <w:tcW w:w="1233" w:type="dxa"/>
          </w:tcPr>
          <w:p w:rsidR="005D378B" w:rsidRDefault="005D378B" w:rsidP="007F49EC">
            <w:r>
              <w:t>20.2</w:t>
            </w:r>
          </w:p>
        </w:tc>
        <w:tc>
          <w:tcPr>
            <w:tcW w:w="1233" w:type="dxa"/>
          </w:tcPr>
          <w:p w:rsidR="005D378B" w:rsidRDefault="005D378B" w:rsidP="007F49EC">
            <w:r>
              <w:t>22.2</w:t>
            </w:r>
          </w:p>
        </w:tc>
        <w:tc>
          <w:tcPr>
            <w:tcW w:w="0" w:type="auto"/>
          </w:tcPr>
          <w:p w:rsidR="005D378B" w:rsidRDefault="005D378B" w:rsidP="007F49EC">
            <w:r>
              <w:t>24.5</w:t>
            </w:r>
          </w:p>
        </w:tc>
        <w:tc>
          <w:tcPr>
            <w:tcW w:w="0" w:type="auto"/>
          </w:tcPr>
          <w:p w:rsidR="005D378B" w:rsidRDefault="005D378B" w:rsidP="007F49EC">
            <w:r>
              <w:t>24.4</w:t>
            </w:r>
          </w:p>
        </w:tc>
        <w:tc>
          <w:tcPr>
            <w:tcW w:w="0" w:type="auto"/>
          </w:tcPr>
          <w:p w:rsidR="005D378B" w:rsidRDefault="005D378B" w:rsidP="007F49EC">
            <w:r>
              <w:t>24.7</w:t>
            </w:r>
          </w:p>
        </w:tc>
      </w:tr>
    </w:tbl>
    <w:p w:rsidR="005D378B" w:rsidRPr="007D469D" w:rsidRDefault="005D378B" w:rsidP="005D378B">
      <w:pPr>
        <w:spacing w:line="360" w:lineRule="auto"/>
        <w:rPr>
          <w:sz w:val="20"/>
          <w:szCs w:val="20"/>
        </w:rPr>
      </w:pPr>
      <w:r w:rsidRPr="007D469D">
        <w:rPr>
          <w:sz w:val="20"/>
          <w:szCs w:val="20"/>
        </w:rPr>
        <w:t xml:space="preserve">Source: </w:t>
      </w:r>
      <w:proofErr w:type="spellStart"/>
      <w:r w:rsidRPr="007D469D">
        <w:rPr>
          <w:sz w:val="20"/>
          <w:szCs w:val="20"/>
        </w:rPr>
        <w:t>Eurostat</w:t>
      </w:r>
      <w:proofErr w:type="spellEnd"/>
      <w:r w:rsidRPr="007D469D">
        <w:rPr>
          <w:rStyle w:val="FootnoteReference"/>
          <w:sz w:val="20"/>
          <w:szCs w:val="20"/>
        </w:rPr>
        <w:footnoteReference w:id="6"/>
      </w:r>
      <w:r w:rsidRPr="007D469D">
        <w:rPr>
          <w:sz w:val="20"/>
          <w:szCs w:val="20"/>
        </w:rPr>
        <w:t xml:space="preserve">; </w:t>
      </w:r>
      <w:proofErr w:type="gramStart"/>
      <w:r w:rsidRPr="007D469D">
        <w:rPr>
          <w:sz w:val="20"/>
          <w:szCs w:val="20"/>
        </w:rPr>
        <w:t>( “</w:t>
      </w:r>
      <w:proofErr w:type="gramEnd"/>
      <w:r w:rsidRPr="007D469D">
        <w:rPr>
          <w:sz w:val="20"/>
          <w:szCs w:val="20"/>
        </w:rPr>
        <w:t>/” indicates that there is no observation for this year)</w:t>
      </w:r>
    </w:p>
    <w:p w:rsidR="005D378B" w:rsidRDefault="005D378B" w:rsidP="005D378B">
      <w:pPr>
        <w:spacing w:line="360" w:lineRule="auto"/>
        <w:rPr>
          <w:rFonts w:eastAsiaTheme="minorHAnsi"/>
          <w:i/>
          <w:lang w:val="en-US"/>
        </w:rPr>
      </w:pPr>
    </w:p>
    <w:p w:rsidR="005D378B" w:rsidRDefault="005D378B" w:rsidP="005D378B">
      <w:pPr>
        <w:spacing w:line="360" w:lineRule="auto"/>
        <w:rPr>
          <w:rFonts w:eastAsiaTheme="minorHAnsi"/>
          <w:i/>
          <w:lang w:val="en-US"/>
        </w:rPr>
      </w:pPr>
    </w:p>
    <w:p w:rsidR="005D378B" w:rsidRPr="00E57F0B" w:rsidRDefault="005D378B" w:rsidP="005D378B">
      <w:pPr>
        <w:spacing w:line="360" w:lineRule="auto"/>
        <w:rPr>
          <w:rFonts w:eastAsiaTheme="minorHAnsi"/>
          <w:i/>
          <w:lang w:val="en-US"/>
        </w:rPr>
      </w:pPr>
      <w:proofErr w:type="gramStart"/>
      <w:r>
        <w:rPr>
          <w:rFonts w:eastAsiaTheme="minorHAnsi"/>
          <w:i/>
          <w:lang w:val="en-US"/>
        </w:rPr>
        <w:t>Table 2.</w:t>
      </w:r>
      <w:proofErr w:type="gramEnd"/>
      <w:r>
        <w:rPr>
          <w:rFonts w:eastAsiaTheme="minorHAnsi"/>
          <w:i/>
          <w:lang w:val="en-US"/>
        </w:rPr>
        <w:t xml:space="preserve"> Proj</w:t>
      </w:r>
      <w:r w:rsidRPr="00E57F0B">
        <w:rPr>
          <w:rFonts w:eastAsiaTheme="minorHAnsi"/>
          <w:i/>
          <w:lang w:val="en-US"/>
        </w:rPr>
        <w:t>ected old-age dependency ratios (2020-2060)</w:t>
      </w:r>
    </w:p>
    <w:tbl>
      <w:tblPr>
        <w:tblStyle w:val="TableGrid"/>
        <w:tblW w:w="9075" w:type="dxa"/>
        <w:tblLook w:val="04A0"/>
      </w:tblPr>
      <w:tblGrid>
        <w:gridCol w:w="3050"/>
        <w:gridCol w:w="1235"/>
        <w:gridCol w:w="1235"/>
        <w:gridCol w:w="1185"/>
        <w:gridCol w:w="1185"/>
        <w:gridCol w:w="1185"/>
      </w:tblGrid>
      <w:tr w:rsidR="005D378B" w:rsidTr="007F49EC">
        <w:trPr>
          <w:trHeight w:val="347"/>
        </w:trPr>
        <w:tc>
          <w:tcPr>
            <w:tcW w:w="0" w:type="auto"/>
          </w:tcPr>
          <w:p w:rsidR="005D378B" w:rsidRPr="00A6436B" w:rsidRDefault="005D378B" w:rsidP="007F49EC">
            <w:pPr>
              <w:rPr>
                <w:b/>
                <w:i/>
                <w:sz w:val="26"/>
                <w:szCs w:val="26"/>
              </w:rPr>
            </w:pPr>
            <w:r w:rsidRPr="00A6436B">
              <w:rPr>
                <w:b/>
                <w:i/>
                <w:sz w:val="26"/>
                <w:szCs w:val="26"/>
              </w:rPr>
              <w:t>Geo/Year</w:t>
            </w:r>
          </w:p>
        </w:tc>
        <w:tc>
          <w:tcPr>
            <w:tcW w:w="1235" w:type="dxa"/>
          </w:tcPr>
          <w:p w:rsidR="005D378B" w:rsidRPr="00A6436B" w:rsidRDefault="005D378B" w:rsidP="007F49EC">
            <w:pPr>
              <w:rPr>
                <w:b/>
              </w:rPr>
            </w:pPr>
            <w:r>
              <w:rPr>
                <w:b/>
              </w:rPr>
              <w:t>2020</w:t>
            </w:r>
          </w:p>
        </w:tc>
        <w:tc>
          <w:tcPr>
            <w:tcW w:w="1235" w:type="dxa"/>
          </w:tcPr>
          <w:p w:rsidR="005D378B" w:rsidRPr="00A6436B" w:rsidRDefault="005D378B" w:rsidP="007F49EC">
            <w:pPr>
              <w:rPr>
                <w:b/>
              </w:rPr>
            </w:pPr>
            <w:r>
              <w:rPr>
                <w:b/>
              </w:rPr>
              <w:t>2030</w:t>
            </w:r>
          </w:p>
        </w:tc>
        <w:tc>
          <w:tcPr>
            <w:tcW w:w="0" w:type="auto"/>
          </w:tcPr>
          <w:p w:rsidR="005D378B" w:rsidRPr="00A6436B" w:rsidRDefault="005D378B" w:rsidP="007F49EC">
            <w:pPr>
              <w:rPr>
                <w:b/>
              </w:rPr>
            </w:pPr>
            <w:r>
              <w:rPr>
                <w:b/>
              </w:rPr>
              <w:t>2040</w:t>
            </w:r>
          </w:p>
        </w:tc>
        <w:tc>
          <w:tcPr>
            <w:tcW w:w="0" w:type="auto"/>
          </w:tcPr>
          <w:p w:rsidR="005D378B" w:rsidRPr="00A6436B" w:rsidRDefault="005D378B" w:rsidP="007F49EC">
            <w:pPr>
              <w:rPr>
                <w:b/>
              </w:rPr>
            </w:pPr>
            <w:r>
              <w:rPr>
                <w:b/>
              </w:rPr>
              <w:t>2050</w:t>
            </w:r>
          </w:p>
        </w:tc>
        <w:tc>
          <w:tcPr>
            <w:tcW w:w="0" w:type="auto"/>
          </w:tcPr>
          <w:p w:rsidR="005D378B" w:rsidRPr="00A6436B" w:rsidRDefault="005D378B" w:rsidP="007F49EC">
            <w:pPr>
              <w:rPr>
                <w:b/>
              </w:rPr>
            </w:pPr>
            <w:r>
              <w:rPr>
                <w:b/>
              </w:rPr>
              <w:t>2060</w:t>
            </w:r>
          </w:p>
        </w:tc>
      </w:tr>
      <w:tr w:rsidR="005D378B" w:rsidTr="007F49EC">
        <w:trPr>
          <w:trHeight w:val="367"/>
        </w:trPr>
        <w:tc>
          <w:tcPr>
            <w:tcW w:w="0" w:type="auto"/>
          </w:tcPr>
          <w:p w:rsidR="005D378B" w:rsidRPr="00A6436B" w:rsidRDefault="005D378B" w:rsidP="007F49EC">
            <w:pPr>
              <w:rPr>
                <w:b/>
              </w:rPr>
            </w:pPr>
            <w:r w:rsidRPr="00A6436B">
              <w:rPr>
                <w:b/>
              </w:rPr>
              <w:t>EU 27</w:t>
            </w:r>
          </w:p>
        </w:tc>
        <w:tc>
          <w:tcPr>
            <w:tcW w:w="1235" w:type="dxa"/>
          </w:tcPr>
          <w:p w:rsidR="005D378B" w:rsidRDefault="005D378B" w:rsidP="007F49EC">
            <w:r>
              <w:t>31</w:t>
            </w:r>
          </w:p>
        </w:tc>
        <w:tc>
          <w:tcPr>
            <w:tcW w:w="1235" w:type="dxa"/>
          </w:tcPr>
          <w:p w:rsidR="005D378B" w:rsidRDefault="005D378B" w:rsidP="007F49EC">
            <w:r>
              <w:t>38</w:t>
            </w:r>
          </w:p>
        </w:tc>
        <w:tc>
          <w:tcPr>
            <w:tcW w:w="0" w:type="auto"/>
          </w:tcPr>
          <w:p w:rsidR="005D378B" w:rsidRDefault="005D378B" w:rsidP="007F49EC">
            <w:r>
              <w:t>45</w:t>
            </w:r>
          </w:p>
        </w:tc>
        <w:tc>
          <w:tcPr>
            <w:tcW w:w="0" w:type="auto"/>
          </w:tcPr>
          <w:p w:rsidR="005D378B" w:rsidRDefault="005D378B" w:rsidP="007F49EC">
            <w:r>
              <w:t>50</w:t>
            </w:r>
          </w:p>
        </w:tc>
        <w:tc>
          <w:tcPr>
            <w:tcW w:w="0" w:type="auto"/>
          </w:tcPr>
          <w:p w:rsidR="005D378B" w:rsidRDefault="005D378B" w:rsidP="007F49EC">
            <w:r>
              <w:t>53</w:t>
            </w:r>
          </w:p>
        </w:tc>
      </w:tr>
      <w:tr w:rsidR="005D378B" w:rsidTr="007F49EC">
        <w:trPr>
          <w:trHeight w:val="347"/>
        </w:trPr>
        <w:tc>
          <w:tcPr>
            <w:tcW w:w="0" w:type="auto"/>
          </w:tcPr>
          <w:p w:rsidR="005D378B" w:rsidRPr="00A6436B" w:rsidRDefault="005D378B" w:rsidP="007F49EC">
            <w:pPr>
              <w:rPr>
                <w:b/>
              </w:rPr>
            </w:pPr>
            <w:r w:rsidRPr="00A6436B">
              <w:rPr>
                <w:b/>
              </w:rPr>
              <w:t>Bulgaria</w:t>
            </w:r>
          </w:p>
        </w:tc>
        <w:tc>
          <w:tcPr>
            <w:tcW w:w="1235" w:type="dxa"/>
          </w:tcPr>
          <w:p w:rsidR="005D378B" w:rsidRDefault="005D378B" w:rsidP="007F49EC">
            <w:r>
              <w:t>31</w:t>
            </w:r>
          </w:p>
        </w:tc>
        <w:tc>
          <w:tcPr>
            <w:tcW w:w="1235" w:type="dxa"/>
          </w:tcPr>
          <w:p w:rsidR="005D378B" w:rsidRDefault="005D378B" w:rsidP="007F49EC">
            <w:r>
              <w:t>36</w:t>
            </w:r>
          </w:p>
        </w:tc>
        <w:tc>
          <w:tcPr>
            <w:tcW w:w="0" w:type="auto"/>
          </w:tcPr>
          <w:p w:rsidR="005D378B" w:rsidRDefault="005D378B" w:rsidP="007F49EC">
            <w:r>
              <w:t>44</w:t>
            </w:r>
          </w:p>
        </w:tc>
        <w:tc>
          <w:tcPr>
            <w:tcW w:w="0" w:type="auto"/>
          </w:tcPr>
          <w:p w:rsidR="005D378B" w:rsidRDefault="005D378B" w:rsidP="007F49EC">
            <w:r>
              <w:t>55</w:t>
            </w:r>
          </w:p>
        </w:tc>
        <w:tc>
          <w:tcPr>
            <w:tcW w:w="0" w:type="auto"/>
          </w:tcPr>
          <w:p w:rsidR="005D378B" w:rsidRDefault="005D378B" w:rsidP="007F49EC">
            <w:r>
              <w:t>64</w:t>
            </w:r>
          </w:p>
        </w:tc>
      </w:tr>
      <w:tr w:rsidR="005D378B" w:rsidTr="007F49EC">
        <w:trPr>
          <w:trHeight w:val="367"/>
        </w:trPr>
        <w:tc>
          <w:tcPr>
            <w:tcW w:w="0" w:type="auto"/>
          </w:tcPr>
          <w:p w:rsidR="005D378B" w:rsidRPr="00A6436B" w:rsidRDefault="005D378B" w:rsidP="007F49EC">
            <w:pPr>
              <w:rPr>
                <w:b/>
              </w:rPr>
            </w:pPr>
            <w:r w:rsidRPr="00A6436B">
              <w:rPr>
                <w:b/>
              </w:rPr>
              <w:t>Czech Republic</w:t>
            </w:r>
          </w:p>
        </w:tc>
        <w:tc>
          <w:tcPr>
            <w:tcW w:w="1235" w:type="dxa"/>
          </w:tcPr>
          <w:p w:rsidR="005D378B" w:rsidRDefault="005D378B" w:rsidP="007F49EC">
            <w:r>
              <w:t>31</w:t>
            </w:r>
          </w:p>
        </w:tc>
        <w:tc>
          <w:tcPr>
            <w:tcW w:w="1235" w:type="dxa"/>
          </w:tcPr>
          <w:p w:rsidR="005D378B" w:rsidRDefault="005D378B" w:rsidP="007F49EC">
            <w:r>
              <w:t>36</w:t>
            </w:r>
          </w:p>
        </w:tc>
        <w:tc>
          <w:tcPr>
            <w:tcW w:w="0" w:type="auto"/>
          </w:tcPr>
          <w:p w:rsidR="005D378B" w:rsidRDefault="005D378B" w:rsidP="007F49EC">
            <w:r>
              <w:t>43</w:t>
            </w:r>
          </w:p>
        </w:tc>
        <w:tc>
          <w:tcPr>
            <w:tcW w:w="0" w:type="auto"/>
          </w:tcPr>
          <w:p w:rsidR="005D378B" w:rsidRDefault="005D378B" w:rsidP="007F49EC">
            <w:r>
              <w:t>55</w:t>
            </w:r>
          </w:p>
        </w:tc>
        <w:tc>
          <w:tcPr>
            <w:tcW w:w="0" w:type="auto"/>
          </w:tcPr>
          <w:p w:rsidR="005D378B" w:rsidRDefault="005D378B" w:rsidP="007F49EC">
            <w:r>
              <w:t>61</w:t>
            </w:r>
          </w:p>
        </w:tc>
      </w:tr>
      <w:tr w:rsidR="005D378B" w:rsidTr="007F49EC">
        <w:trPr>
          <w:trHeight w:val="347"/>
        </w:trPr>
        <w:tc>
          <w:tcPr>
            <w:tcW w:w="0" w:type="auto"/>
          </w:tcPr>
          <w:p w:rsidR="005D378B" w:rsidRPr="00A6436B" w:rsidRDefault="005D378B" w:rsidP="007F49EC">
            <w:pPr>
              <w:rPr>
                <w:b/>
              </w:rPr>
            </w:pPr>
            <w:r w:rsidRPr="00A6436B">
              <w:rPr>
                <w:b/>
              </w:rPr>
              <w:t>France</w:t>
            </w:r>
          </w:p>
        </w:tc>
        <w:tc>
          <w:tcPr>
            <w:tcW w:w="1235" w:type="dxa"/>
          </w:tcPr>
          <w:p w:rsidR="005D378B" w:rsidRDefault="005D378B" w:rsidP="007F49EC">
            <w:r>
              <w:t>33</w:t>
            </w:r>
          </w:p>
        </w:tc>
        <w:tc>
          <w:tcPr>
            <w:tcW w:w="1235" w:type="dxa"/>
          </w:tcPr>
          <w:p w:rsidR="005D378B" w:rsidRDefault="005D378B" w:rsidP="007F49EC">
            <w:r>
              <w:t>39</w:t>
            </w:r>
          </w:p>
        </w:tc>
        <w:tc>
          <w:tcPr>
            <w:tcW w:w="0" w:type="auto"/>
          </w:tcPr>
          <w:p w:rsidR="005D378B" w:rsidRDefault="005D378B" w:rsidP="007F49EC">
            <w:r>
              <w:t>44</w:t>
            </w:r>
          </w:p>
        </w:tc>
        <w:tc>
          <w:tcPr>
            <w:tcW w:w="0" w:type="auto"/>
          </w:tcPr>
          <w:p w:rsidR="005D378B" w:rsidRDefault="005D378B" w:rsidP="007F49EC">
            <w:r>
              <w:t>45</w:t>
            </w:r>
          </w:p>
        </w:tc>
        <w:tc>
          <w:tcPr>
            <w:tcW w:w="0" w:type="auto"/>
          </w:tcPr>
          <w:p w:rsidR="005D378B" w:rsidRDefault="005D378B" w:rsidP="007F49EC">
            <w:r>
              <w:t>45</w:t>
            </w:r>
          </w:p>
        </w:tc>
      </w:tr>
      <w:tr w:rsidR="005D378B" w:rsidTr="007F49EC">
        <w:trPr>
          <w:trHeight w:val="347"/>
        </w:trPr>
        <w:tc>
          <w:tcPr>
            <w:tcW w:w="0" w:type="auto"/>
          </w:tcPr>
          <w:p w:rsidR="005D378B" w:rsidRPr="00A6436B" w:rsidRDefault="005D378B" w:rsidP="007F49EC">
            <w:pPr>
              <w:rPr>
                <w:b/>
              </w:rPr>
            </w:pPr>
            <w:r w:rsidRPr="00A6436B">
              <w:rPr>
                <w:b/>
              </w:rPr>
              <w:t>Germany</w:t>
            </w:r>
          </w:p>
        </w:tc>
        <w:tc>
          <w:tcPr>
            <w:tcW w:w="1235" w:type="dxa"/>
          </w:tcPr>
          <w:p w:rsidR="005D378B" w:rsidRDefault="005D378B" w:rsidP="007F49EC">
            <w:r>
              <w:t>35</w:t>
            </w:r>
          </w:p>
        </w:tc>
        <w:tc>
          <w:tcPr>
            <w:tcW w:w="1235" w:type="dxa"/>
          </w:tcPr>
          <w:p w:rsidR="005D378B" w:rsidRDefault="005D378B" w:rsidP="007F49EC">
            <w:r>
              <w:t>46</w:t>
            </w:r>
          </w:p>
        </w:tc>
        <w:tc>
          <w:tcPr>
            <w:tcW w:w="0" w:type="auto"/>
          </w:tcPr>
          <w:p w:rsidR="005D378B" w:rsidRDefault="005D378B" w:rsidP="007F49EC">
            <w:r>
              <w:t>55</w:t>
            </w:r>
          </w:p>
        </w:tc>
        <w:tc>
          <w:tcPr>
            <w:tcW w:w="0" w:type="auto"/>
          </w:tcPr>
          <w:p w:rsidR="005D378B" w:rsidRDefault="005D378B" w:rsidP="007F49EC">
            <w:r>
              <w:t>56</w:t>
            </w:r>
          </w:p>
        </w:tc>
        <w:tc>
          <w:tcPr>
            <w:tcW w:w="0" w:type="auto"/>
          </w:tcPr>
          <w:p w:rsidR="005D378B" w:rsidRDefault="005D378B" w:rsidP="007F49EC">
            <w:r>
              <w:t>59</w:t>
            </w:r>
          </w:p>
        </w:tc>
      </w:tr>
      <w:tr w:rsidR="005D378B" w:rsidTr="007F49EC">
        <w:trPr>
          <w:trHeight w:val="367"/>
        </w:trPr>
        <w:tc>
          <w:tcPr>
            <w:tcW w:w="0" w:type="auto"/>
          </w:tcPr>
          <w:p w:rsidR="005D378B" w:rsidRPr="00A6436B" w:rsidRDefault="005D378B" w:rsidP="007F49EC">
            <w:pPr>
              <w:rPr>
                <w:b/>
              </w:rPr>
            </w:pPr>
            <w:r w:rsidRPr="00A6436B">
              <w:rPr>
                <w:b/>
              </w:rPr>
              <w:t>Italy</w:t>
            </w:r>
          </w:p>
        </w:tc>
        <w:tc>
          <w:tcPr>
            <w:tcW w:w="1235" w:type="dxa"/>
          </w:tcPr>
          <w:p w:rsidR="005D378B" w:rsidRDefault="005D378B" w:rsidP="007F49EC">
            <w:r>
              <w:t>35</w:t>
            </w:r>
          </w:p>
        </w:tc>
        <w:tc>
          <w:tcPr>
            <w:tcW w:w="1235" w:type="dxa"/>
          </w:tcPr>
          <w:p w:rsidR="005D378B" w:rsidRDefault="005D378B" w:rsidP="007F49EC">
            <w:r>
              <w:t>42</w:t>
            </w:r>
          </w:p>
        </w:tc>
        <w:tc>
          <w:tcPr>
            <w:tcW w:w="0" w:type="auto"/>
          </w:tcPr>
          <w:p w:rsidR="005D378B" w:rsidRDefault="005D378B" w:rsidP="007F49EC">
            <w:r>
              <w:t>54</w:t>
            </w:r>
          </w:p>
        </w:tc>
        <w:tc>
          <w:tcPr>
            <w:tcW w:w="0" w:type="auto"/>
          </w:tcPr>
          <w:p w:rsidR="005D378B" w:rsidRDefault="005D378B" w:rsidP="007F49EC">
            <w:r>
              <w:t>59</w:t>
            </w:r>
          </w:p>
        </w:tc>
        <w:tc>
          <w:tcPr>
            <w:tcW w:w="0" w:type="auto"/>
          </w:tcPr>
          <w:p w:rsidR="005D378B" w:rsidRDefault="005D378B" w:rsidP="007F49EC">
            <w:r>
              <w:t>59</w:t>
            </w:r>
          </w:p>
        </w:tc>
      </w:tr>
      <w:tr w:rsidR="005D378B" w:rsidTr="007F49EC">
        <w:trPr>
          <w:trHeight w:val="347"/>
        </w:trPr>
        <w:tc>
          <w:tcPr>
            <w:tcW w:w="0" w:type="auto"/>
          </w:tcPr>
          <w:p w:rsidR="005D378B" w:rsidRPr="00A6436B" w:rsidRDefault="005D378B" w:rsidP="007F49EC">
            <w:pPr>
              <w:rPr>
                <w:b/>
              </w:rPr>
            </w:pPr>
            <w:r w:rsidRPr="00A6436B">
              <w:rPr>
                <w:b/>
              </w:rPr>
              <w:t>Netherlands</w:t>
            </w:r>
          </w:p>
        </w:tc>
        <w:tc>
          <w:tcPr>
            <w:tcW w:w="1235" w:type="dxa"/>
          </w:tcPr>
          <w:p w:rsidR="005D378B" w:rsidRDefault="005D378B" w:rsidP="007F49EC">
            <w:r>
              <w:t>31</w:t>
            </w:r>
          </w:p>
        </w:tc>
        <w:tc>
          <w:tcPr>
            <w:tcW w:w="1235" w:type="dxa"/>
          </w:tcPr>
          <w:p w:rsidR="005D378B" w:rsidRDefault="005D378B" w:rsidP="007F49EC">
            <w:r>
              <w:t>40</w:t>
            </w:r>
          </w:p>
        </w:tc>
        <w:tc>
          <w:tcPr>
            <w:tcW w:w="0" w:type="auto"/>
          </w:tcPr>
          <w:p w:rsidR="005D378B" w:rsidRDefault="005D378B" w:rsidP="007F49EC">
            <w:r>
              <w:t>47</w:t>
            </w:r>
          </w:p>
        </w:tc>
        <w:tc>
          <w:tcPr>
            <w:tcW w:w="0" w:type="auto"/>
          </w:tcPr>
          <w:p w:rsidR="005D378B" w:rsidRDefault="005D378B" w:rsidP="007F49EC">
            <w:r>
              <w:t>46</w:t>
            </w:r>
          </w:p>
        </w:tc>
        <w:tc>
          <w:tcPr>
            <w:tcW w:w="0" w:type="auto"/>
          </w:tcPr>
          <w:p w:rsidR="005D378B" w:rsidRDefault="005D378B" w:rsidP="007F49EC">
            <w:r>
              <w:t>47</w:t>
            </w:r>
          </w:p>
        </w:tc>
      </w:tr>
      <w:tr w:rsidR="005D378B" w:rsidTr="007F49EC">
        <w:trPr>
          <w:trHeight w:val="367"/>
        </w:trPr>
        <w:tc>
          <w:tcPr>
            <w:tcW w:w="0" w:type="auto"/>
          </w:tcPr>
          <w:p w:rsidR="005D378B" w:rsidRPr="00A6436B" w:rsidRDefault="005D378B" w:rsidP="007F49EC">
            <w:pPr>
              <w:rPr>
                <w:b/>
              </w:rPr>
            </w:pPr>
            <w:r w:rsidRPr="00A6436B">
              <w:rPr>
                <w:b/>
              </w:rPr>
              <w:t>Spain</w:t>
            </w:r>
          </w:p>
        </w:tc>
        <w:tc>
          <w:tcPr>
            <w:tcW w:w="1235" w:type="dxa"/>
          </w:tcPr>
          <w:p w:rsidR="005D378B" w:rsidRDefault="005D378B" w:rsidP="007F49EC">
            <w:r>
              <w:t>27</w:t>
            </w:r>
          </w:p>
        </w:tc>
        <w:tc>
          <w:tcPr>
            <w:tcW w:w="1235" w:type="dxa"/>
          </w:tcPr>
          <w:p w:rsidR="005D378B" w:rsidRDefault="005D378B" w:rsidP="007F49EC">
            <w:r>
              <w:t>34</w:t>
            </w:r>
          </w:p>
        </w:tc>
        <w:tc>
          <w:tcPr>
            <w:tcW w:w="0" w:type="auto"/>
          </w:tcPr>
          <w:p w:rsidR="005D378B" w:rsidRDefault="005D378B" w:rsidP="007F49EC">
            <w:r>
              <w:t>46</w:t>
            </w:r>
          </w:p>
        </w:tc>
        <w:tc>
          <w:tcPr>
            <w:tcW w:w="0" w:type="auto"/>
          </w:tcPr>
          <w:p w:rsidR="005D378B" w:rsidRDefault="005D378B" w:rsidP="007F49EC">
            <w:r>
              <w:t>59</w:t>
            </w:r>
          </w:p>
        </w:tc>
        <w:tc>
          <w:tcPr>
            <w:tcW w:w="0" w:type="auto"/>
          </w:tcPr>
          <w:p w:rsidR="005D378B" w:rsidRDefault="005D378B" w:rsidP="007F49EC">
            <w:r>
              <w:t>59</w:t>
            </w:r>
          </w:p>
        </w:tc>
      </w:tr>
    </w:tbl>
    <w:p w:rsidR="00CA1967" w:rsidRDefault="005D378B" w:rsidP="00FD460D">
      <w:pPr>
        <w:pStyle w:val="ListParagraph"/>
        <w:spacing w:line="360" w:lineRule="auto"/>
        <w:ind w:left="360"/>
      </w:pPr>
      <w:r>
        <w:t>Source: EU Commission 2009</w:t>
      </w:r>
    </w:p>
    <w:p w:rsidR="00FD460D" w:rsidRPr="00FD460D" w:rsidRDefault="00FD460D" w:rsidP="00FD460D">
      <w:pPr>
        <w:pStyle w:val="ListParagraph"/>
        <w:spacing w:line="360" w:lineRule="auto"/>
        <w:ind w:left="360"/>
      </w:pPr>
    </w:p>
    <w:p w:rsidR="005D378B" w:rsidRDefault="005D378B" w:rsidP="005D378B">
      <w:pPr>
        <w:autoSpaceDE w:val="0"/>
        <w:autoSpaceDN w:val="0"/>
        <w:adjustRightInd w:val="0"/>
        <w:spacing w:before="120" w:line="360" w:lineRule="auto"/>
        <w:rPr>
          <w:rFonts w:eastAsiaTheme="minorHAnsi"/>
          <w:lang w:val="en-US"/>
        </w:rPr>
      </w:pPr>
      <w:r>
        <w:rPr>
          <w:rFonts w:eastAsiaTheme="minorHAnsi"/>
          <w:lang w:val="en-US"/>
        </w:rPr>
        <w:t>This observed increase in the ratio is causing the dependency-ratio effect identified by Adema, (2008)</w:t>
      </w:r>
      <w:r>
        <w:rPr>
          <w:rStyle w:val="FootnoteReference"/>
          <w:rFonts w:eastAsiaTheme="minorHAnsi"/>
          <w:lang w:val="en-US"/>
        </w:rPr>
        <w:footnoteReference w:id="7"/>
      </w:r>
      <w:r>
        <w:rPr>
          <w:rFonts w:eastAsiaTheme="minorHAnsi"/>
          <w:lang w:val="en-US"/>
        </w:rPr>
        <w:t>. Th</w:t>
      </w:r>
      <w:r w:rsidR="007D7A40">
        <w:rPr>
          <w:rFonts w:eastAsiaTheme="minorHAnsi"/>
          <w:lang w:val="en-US"/>
        </w:rPr>
        <w:t>e</w:t>
      </w:r>
      <w:r>
        <w:rPr>
          <w:rFonts w:eastAsiaTheme="minorHAnsi"/>
          <w:lang w:val="en-US"/>
        </w:rPr>
        <w:t xml:space="preserve"> effect implies that the number of young people that are contributing falls compared to the number of elderly people causing the output per person</w:t>
      </w:r>
      <w:r w:rsidR="00CE755F">
        <w:rPr>
          <w:rFonts w:eastAsiaTheme="minorHAnsi"/>
          <w:lang w:val="en-US"/>
        </w:rPr>
        <w:t xml:space="preserve"> to</w:t>
      </w:r>
      <w:r>
        <w:rPr>
          <w:rFonts w:eastAsiaTheme="minorHAnsi"/>
          <w:lang w:val="en-US"/>
        </w:rPr>
        <w:t xml:space="preserve"> decrease. It is intuitional to say that this effect will be most prominently visible when a system is characterized with defined ben</w:t>
      </w:r>
      <w:r w:rsidR="00DB3E84">
        <w:rPr>
          <w:rFonts w:eastAsiaTheme="minorHAnsi"/>
          <w:lang w:val="en-US"/>
        </w:rPr>
        <w:t>efits and is financed on a PAYG</w:t>
      </w:r>
      <w:r>
        <w:rPr>
          <w:rFonts w:eastAsiaTheme="minorHAnsi"/>
          <w:lang w:val="en-US"/>
        </w:rPr>
        <w:t xml:space="preserve"> basis, rather than with defined </w:t>
      </w:r>
      <w:r>
        <w:rPr>
          <w:rFonts w:eastAsiaTheme="minorHAnsi"/>
          <w:lang w:val="en-US"/>
        </w:rPr>
        <w:lastRenderedPageBreak/>
        <w:t xml:space="preserve">contributions or funded financing, because smaller number of active working people will have to support greater number of retirees. </w:t>
      </w:r>
    </w:p>
    <w:p w:rsidR="005D378B" w:rsidRDefault="005D378B" w:rsidP="005D378B">
      <w:pPr>
        <w:autoSpaceDE w:val="0"/>
        <w:autoSpaceDN w:val="0"/>
        <w:adjustRightInd w:val="0"/>
        <w:spacing w:line="360" w:lineRule="auto"/>
        <w:rPr>
          <w:rFonts w:eastAsiaTheme="minorHAnsi"/>
          <w:lang w:val="en-US"/>
        </w:rPr>
      </w:pPr>
      <w:proofErr w:type="spellStart"/>
      <w:r>
        <w:rPr>
          <w:rFonts w:eastAsiaTheme="minorHAnsi"/>
          <w:lang w:val="en-US"/>
        </w:rPr>
        <w:t>Carone</w:t>
      </w:r>
      <w:proofErr w:type="spellEnd"/>
      <w:r>
        <w:rPr>
          <w:rFonts w:eastAsiaTheme="minorHAnsi"/>
          <w:lang w:val="en-US"/>
        </w:rPr>
        <w:t xml:space="preserve"> and </w:t>
      </w:r>
      <w:proofErr w:type="spellStart"/>
      <w:r>
        <w:rPr>
          <w:rFonts w:eastAsiaTheme="minorHAnsi"/>
          <w:lang w:val="en-US"/>
        </w:rPr>
        <w:t>Eckfeld</w:t>
      </w:r>
      <w:proofErr w:type="spellEnd"/>
      <w:r>
        <w:rPr>
          <w:rFonts w:eastAsiaTheme="minorHAnsi"/>
          <w:lang w:val="en-US"/>
        </w:rPr>
        <w:t xml:space="preserve"> (2009) summarize the results of the EU commission ageing report (2009), and use the pension expenditure projection as an estimation of the costs of ageing. They state that the financial implications of population ageing are substantial for most European countries and tha</w:t>
      </w:r>
      <w:r w:rsidR="009E541E">
        <w:rPr>
          <w:rFonts w:eastAsiaTheme="minorHAnsi"/>
          <w:lang w:val="en-US"/>
        </w:rPr>
        <w:t>t pressures will increase, assuming</w:t>
      </w:r>
      <w:r>
        <w:rPr>
          <w:rFonts w:eastAsiaTheme="minorHAnsi"/>
          <w:lang w:val="en-US"/>
        </w:rPr>
        <w:t xml:space="preserve"> that the current policies regarding the pension systems remain the same. To support this, the pension expenditure as percentage of GDP for the coming 5 decad</w:t>
      </w:r>
      <w:r w:rsidR="00C3262D">
        <w:rPr>
          <w:rFonts w:eastAsiaTheme="minorHAnsi"/>
          <w:lang w:val="en-US"/>
        </w:rPr>
        <w:t xml:space="preserve">es is projected to increase by, on average, between 2 and 3 </w:t>
      </w:r>
      <w:r>
        <w:rPr>
          <w:rFonts w:eastAsiaTheme="minorHAnsi"/>
          <w:lang w:val="en-US"/>
        </w:rPr>
        <w:t>percent.</w:t>
      </w:r>
      <w:r w:rsidR="00C3262D">
        <w:rPr>
          <w:rFonts w:eastAsiaTheme="minorHAnsi"/>
          <w:lang w:val="en-US"/>
        </w:rPr>
        <w:t xml:space="preserve"> T</w:t>
      </w:r>
      <w:r>
        <w:rPr>
          <w:rFonts w:eastAsiaTheme="minorHAnsi"/>
          <w:lang w:val="en-US"/>
        </w:rPr>
        <w:t xml:space="preserve">he unfunded PAYG schemes would be greatly affected if the </w:t>
      </w:r>
      <w:r w:rsidR="00C3262D">
        <w:rPr>
          <w:rFonts w:eastAsiaTheme="minorHAnsi"/>
          <w:lang w:val="en-US"/>
        </w:rPr>
        <w:t>expenditure levels remain the same.</w:t>
      </w:r>
    </w:p>
    <w:p w:rsidR="005D378B" w:rsidRPr="00F21E3B" w:rsidRDefault="005D378B" w:rsidP="005D378B">
      <w:pPr>
        <w:autoSpaceDE w:val="0"/>
        <w:autoSpaceDN w:val="0"/>
        <w:adjustRightInd w:val="0"/>
        <w:spacing w:line="360" w:lineRule="auto"/>
      </w:pPr>
      <w:r>
        <w:t xml:space="preserve">Those reported forecasts are </w:t>
      </w:r>
      <w:r w:rsidR="00F21E3B">
        <w:t xml:space="preserve">an </w:t>
      </w:r>
      <w:r>
        <w:t xml:space="preserve">alarming sign that the current, </w:t>
      </w:r>
      <w:r w:rsidR="00C3262D">
        <w:t>al</w:t>
      </w:r>
      <w:r w:rsidR="00F21E3B">
        <w:t>beit</w:t>
      </w:r>
      <w:r>
        <w:t xml:space="preserve"> in some cases reformed</w:t>
      </w:r>
      <w:r w:rsidR="00F21E3B">
        <w:t>, pension systems</w:t>
      </w:r>
      <w:r>
        <w:t xml:space="preserve"> will face many challenges concerning the smaller share of active population that </w:t>
      </w:r>
      <w:r w:rsidR="00FD3D53">
        <w:t>has to support a larger</w:t>
      </w:r>
      <w:r w:rsidR="00EC3B02">
        <w:t xml:space="preserve"> proportion</w:t>
      </w:r>
      <w:r>
        <w:t xml:space="preserve"> of elderly people.</w:t>
      </w:r>
    </w:p>
    <w:p w:rsidR="005D378B" w:rsidRDefault="005D378B" w:rsidP="005D378B">
      <w:pPr>
        <w:autoSpaceDE w:val="0"/>
        <w:autoSpaceDN w:val="0"/>
        <w:adjustRightInd w:val="0"/>
        <w:spacing w:before="120" w:line="360" w:lineRule="auto"/>
        <w:rPr>
          <w:rFonts w:eastAsiaTheme="minorHAnsi"/>
          <w:lang w:val="en-US"/>
        </w:rPr>
      </w:pPr>
      <w:r>
        <w:rPr>
          <w:rFonts w:eastAsiaTheme="minorHAnsi"/>
          <w:lang w:val="en-US"/>
        </w:rPr>
        <w:t xml:space="preserve">Another way of estimating the cost of ageing has been provided by the research done by </w:t>
      </w:r>
      <w:proofErr w:type="spellStart"/>
      <w:r>
        <w:rPr>
          <w:rFonts w:eastAsiaTheme="minorHAnsi"/>
          <w:lang w:val="en-US"/>
        </w:rPr>
        <w:t>Bovenberg</w:t>
      </w:r>
      <w:proofErr w:type="spellEnd"/>
      <w:r>
        <w:rPr>
          <w:rFonts w:eastAsiaTheme="minorHAnsi"/>
          <w:lang w:val="en-US"/>
        </w:rPr>
        <w:t xml:space="preserve"> and </w:t>
      </w:r>
      <w:proofErr w:type="spellStart"/>
      <w:r>
        <w:rPr>
          <w:rFonts w:eastAsiaTheme="minorHAnsi"/>
          <w:lang w:val="en-US"/>
        </w:rPr>
        <w:t>Knaap</w:t>
      </w:r>
      <w:proofErr w:type="spellEnd"/>
      <w:r>
        <w:rPr>
          <w:rFonts w:eastAsiaTheme="minorHAnsi"/>
          <w:lang w:val="en-US"/>
        </w:rPr>
        <w:t xml:space="preserve"> (2005), who show that in theory, the main consequences of ageing are tightening </w:t>
      </w:r>
      <w:r w:rsidR="00153905">
        <w:rPr>
          <w:rFonts w:eastAsiaTheme="minorHAnsi"/>
          <w:lang w:val="en-US"/>
        </w:rPr>
        <w:t>of the labor market and increasing</w:t>
      </w:r>
      <w:r>
        <w:rPr>
          <w:rFonts w:eastAsiaTheme="minorHAnsi"/>
          <w:lang w:val="en-US"/>
        </w:rPr>
        <w:t xml:space="preserve"> the costs for the government. They use the case of a small open economy to illustrate the effects of</w:t>
      </w:r>
      <w:r w:rsidR="00153905">
        <w:rPr>
          <w:rFonts w:eastAsiaTheme="minorHAnsi"/>
          <w:lang w:val="en-US"/>
        </w:rPr>
        <w:t xml:space="preserve"> population ageing on a system</w:t>
      </w:r>
      <w:r>
        <w:rPr>
          <w:rFonts w:eastAsiaTheme="minorHAnsi"/>
          <w:lang w:val="en-US"/>
        </w:rPr>
        <w:t xml:space="preserve"> which uses more funding for financing pensions. The problems of longevity are not absent in this case as well. The larger pension funds </w:t>
      </w:r>
      <w:r w:rsidR="005D0006">
        <w:rPr>
          <w:rFonts w:eastAsiaTheme="minorHAnsi"/>
          <w:lang w:val="en-US"/>
        </w:rPr>
        <w:t xml:space="preserve">are more </w:t>
      </w:r>
      <w:r>
        <w:rPr>
          <w:rFonts w:eastAsiaTheme="minorHAnsi"/>
          <w:lang w:val="en-US"/>
        </w:rPr>
        <w:t>depend</w:t>
      </w:r>
      <w:r w:rsidR="005D0006">
        <w:rPr>
          <w:rFonts w:eastAsiaTheme="minorHAnsi"/>
          <w:lang w:val="en-US"/>
        </w:rPr>
        <w:t>ent</w:t>
      </w:r>
      <w:r>
        <w:rPr>
          <w:rFonts w:eastAsiaTheme="minorHAnsi"/>
          <w:lang w:val="en-US"/>
        </w:rPr>
        <w:t xml:space="preserve"> on the financial markets and their rates of return. The demographic devel</w:t>
      </w:r>
      <w:r w:rsidR="00FA6819">
        <w:rPr>
          <w:rFonts w:eastAsiaTheme="minorHAnsi"/>
          <w:lang w:val="en-US"/>
        </w:rPr>
        <w:t xml:space="preserve">opments put additional pressure </w:t>
      </w:r>
      <w:r>
        <w:rPr>
          <w:rFonts w:eastAsiaTheme="minorHAnsi"/>
          <w:lang w:val="en-US"/>
        </w:rPr>
        <w:t>on the pension funds because it has been historically observed t</w:t>
      </w:r>
      <w:r w:rsidR="0032505A">
        <w:rPr>
          <w:rFonts w:eastAsiaTheme="minorHAnsi"/>
          <w:lang w:val="en-US"/>
        </w:rPr>
        <w:t>hat the wage level affects</w:t>
      </w:r>
      <w:r w:rsidR="00FA6819">
        <w:rPr>
          <w:rFonts w:eastAsiaTheme="minorHAnsi"/>
          <w:lang w:val="en-US"/>
        </w:rPr>
        <w:t xml:space="preserve"> the </w:t>
      </w:r>
      <w:r>
        <w:rPr>
          <w:rFonts w:eastAsiaTheme="minorHAnsi"/>
          <w:lang w:val="en-US"/>
        </w:rPr>
        <w:t>performance</w:t>
      </w:r>
      <w:r w:rsidR="00FA6819">
        <w:rPr>
          <w:rFonts w:eastAsiaTheme="minorHAnsi"/>
          <w:lang w:val="en-US"/>
        </w:rPr>
        <w:t xml:space="preserve"> of the fund</w:t>
      </w:r>
      <w:r>
        <w:rPr>
          <w:rFonts w:eastAsiaTheme="minorHAnsi"/>
          <w:lang w:val="en-US"/>
        </w:rPr>
        <w:t>. The main solution proposed and inve</w:t>
      </w:r>
      <w:r w:rsidR="00FA6819">
        <w:rPr>
          <w:rFonts w:eastAsiaTheme="minorHAnsi"/>
          <w:lang w:val="en-US"/>
        </w:rPr>
        <w:t>stigated by the paper is the case</w:t>
      </w:r>
      <w:r>
        <w:rPr>
          <w:rFonts w:eastAsiaTheme="minorHAnsi"/>
          <w:lang w:val="en-US"/>
        </w:rPr>
        <w:t xml:space="preserve"> where the participation of people on the labor market is prolonged, because this way the increased costs for the government may be absorbed or at least alleviated.</w:t>
      </w:r>
    </w:p>
    <w:p w:rsidR="005D378B" w:rsidRDefault="005D378B" w:rsidP="005D378B">
      <w:pPr>
        <w:autoSpaceDE w:val="0"/>
        <w:autoSpaceDN w:val="0"/>
        <w:adjustRightInd w:val="0"/>
        <w:spacing w:before="120" w:line="360" w:lineRule="auto"/>
        <w:rPr>
          <w:rFonts w:eastAsiaTheme="minorHAnsi"/>
          <w:lang w:val="en-US"/>
        </w:rPr>
      </w:pPr>
      <w:r>
        <w:rPr>
          <w:rFonts w:eastAsiaTheme="minorHAnsi"/>
          <w:lang w:val="en-US"/>
        </w:rPr>
        <w:t xml:space="preserve">To conclude with, it should be said that evidence clearly suggests that it is very important for countries to work toward reforms which move away from unfunded systems, or at least to decrease the extent to which they are currently used. However, it is important to note </w:t>
      </w:r>
      <w:r w:rsidR="001252CA">
        <w:rPr>
          <w:rFonts w:eastAsiaTheme="minorHAnsi"/>
          <w:lang w:val="en-US"/>
        </w:rPr>
        <w:t>that the welfare states consist</w:t>
      </w:r>
      <w:r>
        <w:rPr>
          <w:rFonts w:eastAsiaTheme="minorHAnsi"/>
          <w:lang w:val="en-US"/>
        </w:rPr>
        <w:t xml:space="preserve"> of many programs and the whole structure sh</w:t>
      </w:r>
      <w:r w:rsidR="001252CA">
        <w:rPr>
          <w:rFonts w:eastAsiaTheme="minorHAnsi"/>
          <w:lang w:val="en-US"/>
        </w:rPr>
        <w:t>ould be connected in a conforming</w:t>
      </w:r>
      <w:r>
        <w:rPr>
          <w:rFonts w:eastAsiaTheme="minorHAnsi"/>
          <w:lang w:val="en-US"/>
        </w:rPr>
        <w:t xml:space="preserve"> way. </w:t>
      </w:r>
    </w:p>
    <w:p w:rsidR="005D378B" w:rsidRPr="00792A37" w:rsidRDefault="005D378B" w:rsidP="005D378B">
      <w:pPr>
        <w:pStyle w:val="Heading2"/>
        <w:spacing w:before="360" w:line="360" w:lineRule="auto"/>
        <w:jc w:val="both"/>
        <w:rPr>
          <w:rFonts w:eastAsiaTheme="minorHAnsi"/>
          <w:sz w:val="28"/>
          <w:szCs w:val="28"/>
          <w:lang w:val="en-US"/>
        </w:rPr>
      </w:pPr>
      <w:r>
        <w:rPr>
          <w:rFonts w:eastAsiaTheme="minorHAnsi"/>
          <w:sz w:val="28"/>
          <w:szCs w:val="28"/>
          <w:lang w:val="en-US"/>
        </w:rPr>
        <w:lastRenderedPageBreak/>
        <w:t>4</w:t>
      </w:r>
      <w:r w:rsidRPr="00297C9B">
        <w:rPr>
          <w:rFonts w:eastAsiaTheme="minorHAnsi"/>
          <w:sz w:val="28"/>
          <w:szCs w:val="28"/>
          <w:lang w:val="en-US"/>
        </w:rPr>
        <w:t xml:space="preserve">. </w:t>
      </w:r>
      <w:r w:rsidRPr="00297C9B">
        <w:rPr>
          <w:sz w:val="28"/>
          <w:szCs w:val="28"/>
        </w:rPr>
        <w:t>Dealing with Ageing: Pension systems in Europe</w:t>
      </w:r>
    </w:p>
    <w:p w:rsidR="005D378B" w:rsidRPr="00792A37" w:rsidRDefault="005D378B" w:rsidP="005D378B">
      <w:pPr>
        <w:spacing w:before="360" w:line="360" w:lineRule="auto"/>
        <w:jc w:val="both"/>
        <w:rPr>
          <w:color w:val="000000" w:themeColor="text1"/>
          <w:lang w:val="en-US"/>
        </w:rPr>
      </w:pPr>
      <w:r>
        <w:rPr>
          <w:lang w:val="en-US"/>
        </w:rPr>
        <w:t>The current general framework of European pension systems</w:t>
      </w:r>
      <w:r w:rsidR="000A5791">
        <w:rPr>
          <w:lang w:val="en-US"/>
        </w:rPr>
        <w:t xml:space="preserve"> was</w:t>
      </w:r>
      <w:r>
        <w:rPr>
          <w:lang w:val="en-US"/>
        </w:rPr>
        <w:t xml:space="preserve"> developed, for most countries, in the years following the Second World War. However, t</w:t>
      </w:r>
      <w:r w:rsidRPr="00EF45F1">
        <w:rPr>
          <w:lang w:val="en-US"/>
        </w:rPr>
        <w:t xml:space="preserve">here is considerable diversity </w:t>
      </w:r>
      <w:r>
        <w:rPr>
          <w:lang w:val="en-US"/>
        </w:rPr>
        <w:t xml:space="preserve">of </w:t>
      </w:r>
      <w:r w:rsidRPr="00EF45F1">
        <w:rPr>
          <w:lang w:val="en-US"/>
        </w:rPr>
        <w:t xml:space="preserve">pension arrangement across European countries. This </w:t>
      </w:r>
      <w:r>
        <w:rPr>
          <w:lang w:val="en-US"/>
        </w:rPr>
        <w:t>heterogeneity</w:t>
      </w:r>
      <w:r w:rsidRPr="00EF45F1">
        <w:rPr>
          <w:lang w:val="en-US"/>
        </w:rPr>
        <w:t xml:space="preserve"> could be a result of either different historical </w:t>
      </w:r>
      <w:proofErr w:type="gramStart"/>
      <w:r w:rsidR="000A5791" w:rsidRPr="00EF45F1">
        <w:rPr>
          <w:lang w:val="en-US"/>
        </w:rPr>
        <w:t>tradition</w:t>
      </w:r>
      <w:r w:rsidR="000A5791">
        <w:rPr>
          <w:lang w:val="en-US"/>
        </w:rPr>
        <w:t>s</w:t>
      </w:r>
      <w:proofErr w:type="gramEnd"/>
      <w:r w:rsidRPr="00EF45F1">
        <w:rPr>
          <w:lang w:val="en-US"/>
        </w:rPr>
        <w:t xml:space="preserve"> concernin</w:t>
      </w:r>
      <w:r w:rsidRPr="008E1393">
        <w:rPr>
          <w:color w:val="000000" w:themeColor="text1"/>
          <w:lang w:val="en-US"/>
        </w:rPr>
        <w:t xml:space="preserve">g the provision of old-age pensions, or of the </w:t>
      </w:r>
      <w:r w:rsidR="000A5791">
        <w:rPr>
          <w:color w:val="000000" w:themeColor="text1"/>
          <w:lang w:val="en-US"/>
        </w:rPr>
        <w:t>current reformulation of a country’s system</w:t>
      </w:r>
      <w:r>
        <w:rPr>
          <w:color w:val="000000" w:themeColor="text1"/>
          <w:lang w:val="en-US"/>
        </w:rPr>
        <w:t>.</w:t>
      </w:r>
      <w:r w:rsidRPr="008E1393">
        <w:rPr>
          <w:color w:val="000000" w:themeColor="text1"/>
          <w:lang w:val="en-US"/>
        </w:rPr>
        <w:t xml:space="preserve"> </w:t>
      </w:r>
      <w:r>
        <w:rPr>
          <w:color w:val="000000" w:themeColor="text1"/>
          <w:lang w:val="en-US"/>
        </w:rPr>
        <w:t>Central to this section will be the role of</w:t>
      </w:r>
      <w:r w:rsidRPr="008E1393">
        <w:rPr>
          <w:color w:val="000000" w:themeColor="text1"/>
          <w:lang w:val="en-US"/>
        </w:rPr>
        <w:t xml:space="preserve"> public</w:t>
      </w:r>
      <w:r>
        <w:rPr>
          <w:color w:val="000000" w:themeColor="text1"/>
          <w:lang w:val="en-US"/>
        </w:rPr>
        <w:t xml:space="preserve"> and private pension provision by the social security system of European countries. Furthermore, distinction will be drawn between </w:t>
      </w:r>
      <w:proofErr w:type="spellStart"/>
      <w:r>
        <w:rPr>
          <w:color w:val="000000" w:themeColor="text1"/>
          <w:lang w:val="en-US"/>
        </w:rPr>
        <w:t>Bismarckian</w:t>
      </w:r>
      <w:proofErr w:type="spellEnd"/>
      <w:r>
        <w:rPr>
          <w:color w:val="000000" w:themeColor="text1"/>
          <w:lang w:val="en-US"/>
        </w:rPr>
        <w:t xml:space="preserve"> and </w:t>
      </w:r>
      <w:proofErr w:type="spellStart"/>
      <w:r>
        <w:rPr>
          <w:color w:val="000000" w:themeColor="text1"/>
          <w:lang w:val="en-US"/>
        </w:rPr>
        <w:t>Beveridgean</w:t>
      </w:r>
      <w:proofErr w:type="spellEnd"/>
      <w:r>
        <w:rPr>
          <w:color w:val="000000" w:themeColor="text1"/>
          <w:lang w:val="en-US"/>
        </w:rPr>
        <w:t xml:space="preserve"> models of pension systems, presenting the relevant academic contributions to the topic. The policy implications will be integral part of the sub</w:t>
      </w:r>
      <w:r w:rsidR="000A5791">
        <w:rPr>
          <w:color w:val="000000" w:themeColor="text1"/>
          <w:lang w:val="en-US"/>
        </w:rPr>
        <w:t>section as well. At the end,</w:t>
      </w:r>
      <w:r>
        <w:rPr>
          <w:color w:val="000000" w:themeColor="text1"/>
          <w:lang w:val="en-US"/>
        </w:rPr>
        <w:t xml:space="preserve"> the different financial arrangements across European states</w:t>
      </w:r>
      <w:r w:rsidR="000A5791">
        <w:rPr>
          <w:color w:val="000000" w:themeColor="text1"/>
          <w:lang w:val="en-US"/>
        </w:rPr>
        <w:t xml:space="preserve"> will be discussed</w:t>
      </w:r>
      <w:r>
        <w:rPr>
          <w:color w:val="000000" w:themeColor="text1"/>
          <w:lang w:val="en-US"/>
        </w:rPr>
        <w:t>.</w:t>
      </w:r>
    </w:p>
    <w:p w:rsidR="005D378B" w:rsidRPr="00792A37" w:rsidRDefault="005D378B" w:rsidP="005D378B">
      <w:pPr>
        <w:pStyle w:val="Subtitle"/>
        <w:spacing w:before="240" w:line="360" w:lineRule="auto"/>
        <w:rPr>
          <w:rFonts w:eastAsiaTheme="minorHAnsi"/>
          <w:lang w:val="en-US"/>
        </w:rPr>
      </w:pPr>
      <w:r>
        <w:rPr>
          <w:lang w:val="en-US"/>
        </w:rPr>
        <w:t>4.1</w:t>
      </w:r>
      <w:r w:rsidRPr="0055456E">
        <w:rPr>
          <w:lang w:val="en-US"/>
        </w:rPr>
        <w:t xml:space="preserve"> </w:t>
      </w:r>
      <w:r w:rsidRPr="0055456E">
        <w:rPr>
          <w:rFonts w:eastAsiaTheme="minorHAnsi"/>
          <w:lang w:val="en-US"/>
        </w:rPr>
        <w:t>Developments in Old-age security system in Europe</w:t>
      </w:r>
    </w:p>
    <w:p w:rsidR="005D378B" w:rsidRDefault="005D378B" w:rsidP="005D378B">
      <w:pPr>
        <w:spacing w:before="240" w:line="360" w:lineRule="auto"/>
        <w:jc w:val="both"/>
        <w:rPr>
          <w:rFonts w:ascii="TimesNewRoman" w:hAnsi="TimesNewRoman" w:cs="TimesNewRoman"/>
          <w:lang w:val="en-US"/>
        </w:rPr>
      </w:pPr>
      <w:r>
        <w:rPr>
          <w:rFonts w:ascii="TimesNewRoman" w:hAnsi="TimesNewRoman" w:cs="TimesNewRoman"/>
          <w:lang w:val="en-US"/>
        </w:rPr>
        <w:t>This subsection will start by giving an overview of the current setup of pension systems in Europe. The social security systems are playing important role in the provision of retirement income for people. It can be said that the state is actively involved in this provision, either by h</w:t>
      </w:r>
      <w:r w:rsidR="000A5791">
        <w:rPr>
          <w:rFonts w:ascii="TimesNewRoman" w:hAnsi="TimesNewRoman" w:cs="TimesNewRoman"/>
          <w:lang w:val="en-US"/>
        </w:rPr>
        <w:t>eavy legislative requirements or</w:t>
      </w:r>
      <w:r>
        <w:rPr>
          <w:rFonts w:ascii="TimesNewRoman" w:hAnsi="TimesNewRoman" w:cs="TimesNewRoman"/>
          <w:lang w:val="en-US"/>
        </w:rPr>
        <w:t xml:space="preserve"> by direct financial actions. Many of the European states share</w:t>
      </w:r>
      <w:r w:rsidR="000A5791">
        <w:rPr>
          <w:rFonts w:ascii="TimesNewRoman" w:hAnsi="TimesNewRoman" w:cs="TimesNewRoman"/>
          <w:lang w:val="en-US"/>
        </w:rPr>
        <w:t xml:space="preserve"> a</w:t>
      </w:r>
      <w:r>
        <w:rPr>
          <w:rFonts w:ascii="TimesNewRoman" w:hAnsi="TimesNewRoman" w:cs="TimesNewRoman"/>
          <w:lang w:val="en-US"/>
        </w:rPr>
        <w:t xml:space="preserve"> common general scheme pattern, but sometimes there are many different schemes operating within the same system, each of them used in different circumstances. However, it is a matter of fact that although the systems are country spe</w:t>
      </w:r>
      <w:r w:rsidR="000A5791">
        <w:rPr>
          <w:rFonts w:ascii="TimesNewRoman" w:hAnsi="TimesNewRoman" w:cs="TimesNewRoman"/>
          <w:lang w:val="en-US"/>
        </w:rPr>
        <w:t>cific, all of them provide</w:t>
      </w:r>
      <w:r>
        <w:rPr>
          <w:rFonts w:ascii="TimesNewRoman" w:hAnsi="TimesNewRoman" w:cs="TimesNewRoman"/>
          <w:lang w:val="en-US"/>
        </w:rPr>
        <w:t xml:space="preserve"> a guarantee for </w:t>
      </w:r>
      <w:r w:rsidR="000A5791">
        <w:rPr>
          <w:rFonts w:ascii="TimesNewRoman" w:hAnsi="TimesNewRoman" w:cs="TimesNewRoman"/>
          <w:lang w:val="en-US"/>
        </w:rPr>
        <w:t xml:space="preserve">a </w:t>
      </w:r>
      <w:r>
        <w:rPr>
          <w:rFonts w:ascii="TimesNewRoman" w:hAnsi="TimesNewRoman" w:cs="TimesNewRoman"/>
          <w:lang w:val="en-US"/>
        </w:rPr>
        <w:t>minimum retirement income irrespective of the amount of lifetime earnings or contributions of the individual. Put differently</w:t>
      </w:r>
      <w:r w:rsidR="000A5791">
        <w:rPr>
          <w:rFonts w:ascii="TimesNewRoman" w:hAnsi="TimesNewRoman" w:cs="TimesNewRoman"/>
          <w:lang w:val="en-US"/>
        </w:rPr>
        <w:t>, it is insuring the people who</w:t>
      </w:r>
      <w:r>
        <w:rPr>
          <w:rFonts w:ascii="TimesNewRoman" w:hAnsi="TimesNewRoman" w:cs="TimesNewRoman"/>
          <w:lang w:val="en-US"/>
        </w:rPr>
        <w:t xml:space="preserve"> are not eligible for earnings related pensions. In countries like the Netherlands, Ireland, and to an extent the United Kingdom this universal pension is in the form of a flat rate benefit accompanied with an earnings related provision. Some other states like </w:t>
      </w:r>
      <w:proofErr w:type="gramStart"/>
      <w:r>
        <w:rPr>
          <w:rFonts w:ascii="TimesNewRoman" w:hAnsi="TimesNewRoman" w:cs="TimesNewRoman"/>
          <w:lang w:val="en-US"/>
        </w:rPr>
        <w:t>Hungary,</w:t>
      </w:r>
      <w:proofErr w:type="gramEnd"/>
      <w:r>
        <w:rPr>
          <w:rFonts w:ascii="TimesNewRoman" w:hAnsi="TimesNewRoman" w:cs="TimesNewRoman"/>
          <w:lang w:val="en-US"/>
        </w:rPr>
        <w:t xml:space="preserve"> have changed their system so that they shifted part of the public PAYG system to more funded. However, those changes are only gradual and it is hard to estimate the successfulness of the move. Quite commonly there</w:t>
      </w:r>
      <w:r w:rsidR="002E4A28">
        <w:rPr>
          <w:rFonts w:ascii="TimesNewRoman" w:hAnsi="TimesNewRoman" w:cs="TimesNewRoman"/>
          <w:lang w:val="en-US"/>
        </w:rPr>
        <w:t xml:space="preserve"> are some requirements, which are</w:t>
      </w:r>
      <w:r>
        <w:rPr>
          <w:rFonts w:ascii="TimesNewRoman" w:hAnsi="TimesNewRoman" w:cs="TimesNewRoman"/>
          <w:lang w:val="en-US"/>
        </w:rPr>
        <w:t xml:space="preserve"> compulsory </w:t>
      </w:r>
      <w:r w:rsidR="002E4A28">
        <w:rPr>
          <w:rFonts w:ascii="TimesNewRoman" w:hAnsi="TimesNewRoman" w:cs="TimesNewRoman"/>
          <w:lang w:val="en-US"/>
        </w:rPr>
        <w:t>for the</w:t>
      </w:r>
      <w:r>
        <w:rPr>
          <w:rFonts w:ascii="TimesNewRoman" w:hAnsi="TimesNewRoman" w:cs="TimesNewRoman"/>
          <w:lang w:val="en-US"/>
        </w:rPr>
        <w:t xml:space="preserve"> new participants, but voluntary for people that are</w:t>
      </w:r>
      <w:r w:rsidR="002E4A28">
        <w:rPr>
          <w:rFonts w:ascii="TimesNewRoman" w:hAnsi="TimesNewRoman" w:cs="TimesNewRoman"/>
          <w:lang w:val="en-US"/>
        </w:rPr>
        <w:t xml:space="preserve"> already</w:t>
      </w:r>
      <w:r>
        <w:rPr>
          <w:rFonts w:ascii="TimesNewRoman" w:hAnsi="TimesNewRoman" w:cs="TimesNewRoman"/>
          <w:lang w:val="en-US"/>
        </w:rPr>
        <w:t xml:space="preserve"> part of the work force</w:t>
      </w:r>
      <w:r w:rsidR="002E4A28">
        <w:rPr>
          <w:rFonts w:ascii="TimesNewRoman" w:hAnsi="TimesNewRoman" w:cs="TimesNewRoman"/>
          <w:lang w:val="en-US"/>
        </w:rPr>
        <w:t xml:space="preserve">. There </w:t>
      </w:r>
      <w:r w:rsidR="006C1679">
        <w:rPr>
          <w:rFonts w:ascii="TimesNewRoman" w:hAnsi="TimesNewRoman" w:cs="TimesNewRoman"/>
          <w:lang w:val="en-US"/>
        </w:rPr>
        <w:t>are some other</w:t>
      </w:r>
      <w:r>
        <w:rPr>
          <w:rFonts w:ascii="TimesNewRoman" w:hAnsi="TimesNewRoman" w:cs="TimesNewRoman"/>
          <w:lang w:val="en-US"/>
        </w:rPr>
        <w:t xml:space="preserve"> types of compensations apart from the regular retirement provision of income, such as early retirement options and the so-called “disability and survivor’s” pensions. </w:t>
      </w:r>
    </w:p>
    <w:p w:rsidR="005D378B" w:rsidRDefault="005D378B" w:rsidP="005D378B">
      <w:pPr>
        <w:spacing w:before="240" w:line="360" w:lineRule="auto"/>
        <w:jc w:val="both"/>
        <w:rPr>
          <w:rFonts w:ascii="TimesNewRoman" w:hAnsi="TimesNewRoman" w:cs="TimesNewRoman"/>
          <w:lang w:val="en-US"/>
        </w:rPr>
      </w:pPr>
      <w:r>
        <w:rPr>
          <w:rFonts w:ascii="TimesNewRoman" w:hAnsi="TimesNewRoman" w:cs="TimesNewRoman"/>
          <w:lang w:val="en-US"/>
        </w:rPr>
        <w:lastRenderedPageBreak/>
        <w:t>The next aspect from which the European systems diverge is the wa</w:t>
      </w:r>
      <w:r w:rsidR="00ED355D">
        <w:rPr>
          <w:rFonts w:ascii="TimesNewRoman" w:hAnsi="TimesNewRoman" w:cs="TimesNewRoman"/>
          <w:lang w:val="en-US"/>
        </w:rPr>
        <w:t>y their pensions are financed. O</w:t>
      </w:r>
      <w:r>
        <w:rPr>
          <w:rFonts w:ascii="TimesNewRoman" w:hAnsi="TimesNewRoman" w:cs="TimesNewRoman"/>
          <w:lang w:val="en-US"/>
        </w:rPr>
        <w:t xml:space="preserve">f course the choice of this study to investigate Europe is not random. As already discussed, the population ageing can be said to be mostly noticeable on a large scale in Europe. The main problem with this is the fact that many of the countries rely heavily on systems that are characterized with PAYG financing. This is </w:t>
      </w:r>
      <w:r w:rsidR="00ED355D">
        <w:rPr>
          <w:rFonts w:ascii="TimesNewRoman" w:hAnsi="TimesNewRoman" w:cs="TimesNewRoman"/>
          <w:lang w:val="en-US"/>
        </w:rPr>
        <w:t xml:space="preserve">only </w:t>
      </w:r>
      <w:r>
        <w:rPr>
          <w:rFonts w:ascii="TimesNewRoman" w:hAnsi="TimesNewRoman" w:cs="TimesNewRoman"/>
          <w:lang w:val="en-US"/>
        </w:rPr>
        <w:t>the general case though. There are still large differences among countries that are using this method, and the divergence comes from whether the current workers’ pension contributions are used or the general tax base, and to what extent. In the face of the looming financial difficulties and the increasing expenditures on pensions, a number of governments have recently started, or at least plan to start in the near future to pre-fund the pensions.</w:t>
      </w:r>
    </w:p>
    <w:p w:rsidR="005D378B" w:rsidRDefault="005D378B" w:rsidP="005D378B">
      <w:pPr>
        <w:spacing w:before="240" w:line="360" w:lineRule="auto"/>
        <w:jc w:val="both"/>
        <w:rPr>
          <w:lang w:val="en-US"/>
        </w:rPr>
      </w:pPr>
      <w:r w:rsidRPr="00F40A77">
        <w:rPr>
          <w:lang w:val="en-US"/>
        </w:rPr>
        <w:t>Klaus-Jurgen</w:t>
      </w:r>
      <w:r>
        <w:rPr>
          <w:lang w:val="en-US"/>
        </w:rPr>
        <w:t xml:space="preserve"> </w:t>
      </w:r>
      <w:proofErr w:type="spellStart"/>
      <w:r w:rsidRPr="00F40A77">
        <w:rPr>
          <w:lang w:val="en-US"/>
        </w:rPr>
        <w:t>Gern</w:t>
      </w:r>
      <w:proofErr w:type="spellEnd"/>
      <w:r>
        <w:rPr>
          <w:lang w:val="en-US"/>
        </w:rPr>
        <w:t xml:space="preserve"> (2002) argues that because of indicators such as the generous replacement rates and the high percentage of public expenditure</w:t>
      </w:r>
      <w:r w:rsidR="00ED355D">
        <w:rPr>
          <w:lang w:val="en-US"/>
        </w:rPr>
        <w:t>,</w:t>
      </w:r>
      <w:r>
        <w:rPr>
          <w:lang w:val="en-US"/>
        </w:rPr>
        <w:t xml:space="preserve"> the role of the public sector is considerable in continental Europe, with a few exceptions such as the cases of the Netherlands and Denmark, and less prominent in the Anglo-Saxon countries.</w:t>
      </w:r>
    </w:p>
    <w:p w:rsidR="005D378B" w:rsidRDefault="005D378B" w:rsidP="005D378B">
      <w:pPr>
        <w:spacing w:before="120" w:line="360" w:lineRule="auto"/>
        <w:jc w:val="both"/>
        <w:rPr>
          <w:rFonts w:eastAsiaTheme="minorHAnsi"/>
          <w:lang w:val="en-US"/>
        </w:rPr>
      </w:pPr>
      <w:r>
        <w:rPr>
          <w:lang w:val="en-US"/>
        </w:rPr>
        <w:t>However, there is no doubt that the involvement of the public sector in the provision of retirement income via the social security systems is substantial in almost all states, whereas the importance of the provision of private retirement income varies among the states. In a great nu</w:t>
      </w:r>
      <w:r w:rsidR="00ED355D">
        <w:rPr>
          <w:lang w:val="en-US"/>
        </w:rPr>
        <w:t>mber of European countries, it is</w:t>
      </w:r>
      <w:r>
        <w:rPr>
          <w:lang w:val="en-US"/>
        </w:rPr>
        <w:t xml:space="preserve"> central for the social pension systems to provide an insured old-age pension scheme. </w:t>
      </w:r>
      <w:r>
        <w:rPr>
          <w:rFonts w:eastAsiaTheme="minorHAnsi"/>
          <w:lang w:val="en-US"/>
        </w:rPr>
        <w:t>Also, this system is assumed to provide a minimum guarantee for social assistance for people with insufficient lifetime earnings. In some countries, such as the UK, the Netherlands and Ireland, there is a flat rate pension for all, with additional retirement income provided by an earnings-related private occupational scheme.</w:t>
      </w:r>
      <w:r w:rsidRPr="0055456E">
        <w:rPr>
          <w:rFonts w:eastAsiaTheme="minorHAnsi"/>
          <w:lang w:val="en-US"/>
        </w:rPr>
        <w:t xml:space="preserve"> In these countries, the occupational pension provision is equivalent to the earnings-related social security pension schemes in most of the </w:t>
      </w:r>
      <w:r>
        <w:rPr>
          <w:rFonts w:eastAsiaTheme="minorHAnsi"/>
          <w:lang w:val="en-US"/>
        </w:rPr>
        <w:t>European</w:t>
      </w:r>
      <w:r w:rsidRPr="0055456E">
        <w:rPr>
          <w:rFonts w:eastAsiaTheme="minorHAnsi"/>
          <w:lang w:val="en-US"/>
        </w:rPr>
        <w:t xml:space="preserve"> countries.</w:t>
      </w:r>
    </w:p>
    <w:p w:rsidR="005D378B" w:rsidRDefault="005D378B" w:rsidP="005D378B">
      <w:pPr>
        <w:spacing w:before="120" w:line="360" w:lineRule="auto"/>
        <w:jc w:val="both"/>
        <w:rPr>
          <w:rFonts w:eastAsiaTheme="minorHAnsi"/>
          <w:lang w:val="en-US"/>
        </w:rPr>
      </w:pPr>
      <w:r>
        <w:rPr>
          <w:rFonts w:eastAsiaTheme="minorHAnsi"/>
          <w:lang w:val="en-US"/>
        </w:rPr>
        <w:t xml:space="preserve">In their extensive paper, </w:t>
      </w:r>
      <w:proofErr w:type="spellStart"/>
      <w:r>
        <w:rPr>
          <w:rFonts w:eastAsiaTheme="minorHAnsi"/>
          <w:lang w:val="en-US"/>
        </w:rPr>
        <w:t>Carone</w:t>
      </w:r>
      <w:proofErr w:type="spellEnd"/>
      <w:r>
        <w:rPr>
          <w:rFonts w:eastAsiaTheme="minorHAnsi"/>
          <w:lang w:val="en-US"/>
        </w:rPr>
        <w:t xml:space="preserve"> &amp; </w:t>
      </w:r>
      <w:proofErr w:type="spellStart"/>
      <w:r>
        <w:rPr>
          <w:rFonts w:eastAsiaTheme="minorHAnsi"/>
          <w:lang w:val="en-US"/>
        </w:rPr>
        <w:t>Eckefeldt</w:t>
      </w:r>
      <w:proofErr w:type="spellEnd"/>
      <w:r>
        <w:rPr>
          <w:rFonts w:eastAsiaTheme="minorHAnsi"/>
          <w:lang w:val="en-US"/>
        </w:rPr>
        <w:t xml:space="preserve"> (2009) outline the differences concerning the financial means of provision of retirement income across different welfare states. Most of the schemes are accumul</w:t>
      </w:r>
      <w:r w:rsidR="0013334D">
        <w:rPr>
          <w:rFonts w:eastAsiaTheme="minorHAnsi"/>
          <w:lang w:val="en-US"/>
        </w:rPr>
        <w:t>ated on the well-known PAYG basis</w:t>
      </w:r>
      <w:r>
        <w:rPr>
          <w:rFonts w:eastAsiaTheme="minorHAnsi"/>
          <w:lang w:val="en-US"/>
        </w:rPr>
        <w:t>, where the revenues from contributions of the members are directly used to pay the income to current retirees. However, there are considerable differences regarding the coverage degree of the expenditure for pensions by the proceedings of the contributions collected. The most common practice, however, is for the minimum social assistance to be provided by the general tax base.</w:t>
      </w:r>
    </w:p>
    <w:p w:rsidR="005D378B" w:rsidRPr="002B5330" w:rsidRDefault="005D378B" w:rsidP="005D378B">
      <w:pPr>
        <w:spacing w:before="120" w:line="360" w:lineRule="auto"/>
        <w:jc w:val="both"/>
        <w:rPr>
          <w:rFonts w:eastAsiaTheme="minorHAnsi"/>
          <w:lang w:val="en-US"/>
        </w:rPr>
      </w:pPr>
      <w:r>
        <w:rPr>
          <w:rFonts w:eastAsiaTheme="minorHAnsi"/>
          <w:lang w:val="en-US"/>
        </w:rPr>
        <w:lastRenderedPageBreak/>
        <w:t xml:space="preserve">Turning to the financing of earnings-related pension schemes, there is </w:t>
      </w:r>
      <w:r w:rsidR="0013334D">
        <w:rPr>
          <w:rFonts w:eastAsiaTheme="minorHAnsi"/>
          <w:lang w:val="en-US"/>
        </w:rPr>
        <w:t>a common way of subsidizing. The</w:t>
      </w:r>
      <w:r>
        <w:rPr>
          <w:rFonts w:eastAsiaTheme="minorHAnsi"/>
          <w:lang w:val="en-US"/>
        </w:rPr>
        <w:t xml:space="preserve">se schemes are often financed by a state fund and the expenditure is part of the budgetary considerations of the government. Another method, mostly used when a systems is strongly characterized by PAYG schemes, is to lawfully require </w:t>
      </w:r>
      <w:r w:rsidR="0013334D">
        <w:rPr>
          <w:rFonts w:eastAsiaTheme="minorHAnsi"/>
          <w:lang w:val="en-US"/>
        </w:rPr>
        <w:t>some pre-funding. This has become more of a common practice</w:t>
      </w:r>
      <w:r>
        <w:rPr>
          <w:rFonts w:eastAsiaTheme="minorHAnsi"/>
          <w:lang w:val="en-US"/>
        </w:rPr>
        <w:t xml:space="preserve"> mostly because of the changes in the levels of expenditure on pensions. Private and occupational schemes are predominantly funded, although to a varying degree. The main cause of this variation is the way the pensions are defined, namely either as a defined benefit (DB), therefore provided from the contributions collected, or defined contribution (DC), where they are calculated on the basis of the amount of the contributions the retiree had made in previous phases in his life.</w:t>
      </w:r>
    </w:p>
    <w:p w:rsidR="005D378B" w:rsidRDefault="005D378B" w:rsidP="005D378B">
      <w:pPr>
        <w:spacing w:before="120" w:line="360" w:lineRule="auto"/>
        <w:jc w:val="both"/>
        <w:rPr>
          <w:lang w:val="en-US"/>
        </w:rPr>
      </w:pPr>
      <w:r>
        <w:rPr>
          <w:lang w:val="en-US"/>
        </w:rPr>
        <w:t>The models that will be presented in the following p</w:t>
      </w:r>
      <w:r w:rsidR="002C6813">
        <w:rPr>
          <w:lang w:val="en-US"/>
        </w:rPr>
        <w:t>aragraph have been left out of S</w:t>
      </w:r>
      <w:r>
        <w:rPr>
          <w:lang w:val="en-US"/>
        </w:rPr>
        <w:t>ection 2 because they are mostly relevant</w:t>
      </w:r>
      <w:r w:rsidR="002C6813">
        <w:rPr>
          <w:lang w:val="en-US"/>
        </w:rPr>
        <w:t xml:space="preserve"> for the case of Europe and</w:t>
      </w:r>
      <w:r>
        <w:rPr>
          <w:lang w:val="en-US"/>
        </w:rPr>
        <w:t xml:space="preserve"> fit in the geographical context of this section. </w:t>
      </w:r>
    </w:p>
    <w:p w:rsidR="005D378B" w:rsidRPr="00467982" w:rsidRDefault="005D378B" w:rsidP="005D378B">
      <w:pPr>
        <w:spacing w:line="360" w:lineRule="auto"/>
        <w:jc w:val="both"/>
        <w:rPr>
          <w:lang w:val="en-US"/>
        </w:rPr>
      </w:pPr>
      <w:r w:rsidRPr="001E6F41">
        <w:rPr>
          <w:lang w:val="en-US"/>
        </w:rPr>
        <w:t xml:space="preserve">In the literature on the topic, there are two broad classifications of welfare traditions that concern the PAYG financing of a pension system – the (Anglo-Saxon) </w:t>
      </w:r>
      <w:proofErr w:type="spellStart"/>
      <w:r w:rsidRPr="001E6F41">
        <w:rPr>
          <w:lang w:val="en-US"/>
        </w:rPr>
        <w:t>Beveridge</w:t>
      </w:r>
      <w:proofErr w:type="spellEnd"/>
      <w:r w:rsidRPr="001E6F41">
        <w:rPr>
          <w:lang w:val="en-US"/>
        </w:rPr>
        <w:t xml:space="preserve"> system and the (continental) Bismarck system.</w:t>
      </w:r>
      <w:r>
        <w:rPr>
          <w:lang w:val="en-US"/>
        </w:rPr>
        <w:t xml:space="preserve"> </w:t>
      </w:r>
      <w:r w:rsidRPr="001E6F41">
        <w:rPr>
          <w:rFonts w:eastAsiaTheme="minorHAnsi"/>
          <w:lang w:val="en-US"/>
        </w:rPr>
        <w:t>First</w:t>
      </w:r>
      <w:r>
        <w:rPr>
          <w:rFonts w:eastAsiaTheme="minorHAnsi"/>
          <w:lang w:val="en-US"/>
        </w:rPr>
        <w:t>,</w:t>
      </w:r>
      <w:r w:rsidRPr="001E6F41">
        <w:rPr>
          <w:rFonts w:eastAsiaTheme="minorHAnsi"/>
          <w:lang w:val="en-US"/>
        </w:rPr>
        <w:t xml:space="preserve"> the case of ideal </w:t>
      </w:r>
      <w:proofErr w:type="spellStart"/>
      <w:r w:rsidRPr="001E6F41">
        <w:rPr>
          <w:rFonts w:eastAsiaTheme="minorHAnsi"/>
          <w:lang w:val="en-US"/>
        </w:rPr>
        <w:t>Beveridge</w:t>
      </w:r>
      <w:proofErr w:type="spellEnd"/>
      <w:r w:rsidRPr="001E6F41">
        <w:rPr>
          <w:rFonts w:eastAsiaTheme="minorHAnsi"/>
          <w:lang w:val="en-US"/>
        </w:rPr>
        <w:t xml:space="preserve"> and Bismarck system will be revealed. The ideal </w:t>
      </w:r>
      <w:proofErr w:type="spellStart"/>
      <w:r w:rsidRPr="001E6F41">
        <w:rPr>
          <w:rFonts w:eastAsiaTheme="minorHAnsi"/>
          <w:lang w:val="en-US"/>
        </w:rPr>
        <w:t>Beveridge</w:t>
      </w:r>
      <w:proofErr w:type="spellEnd"/>
      <w:r w:rsidRPr="001E6F41">
        <w:rPr>
          <w:rFonts w:eastAsiaTheme="minorHAnsi"/>
          <w:lang w:val="en-US"/>
        </w:rPr>
        <w:t xml:space="preserve"> system is characterized by the provision of fixed or flat benefits, while the Bismarck system is concerned with the provision of salary related benefits. The redistribution of</w:t>
      </w:r>
      <w:r>
        <w:rPr>
          <w:rFonts w:eastAsiaTheme="minorHAnsi"/>
          <w:lang w:val="en-US"/>
        </w:rPr>
        <w:t xml:space="preserve"> income of</w:t>
      </w:r>
      <w:r w:rsidRPr="001E6F41">
        <w:rPr>
          <w:rFonts w:eastAsiaTheme="minorHAnsi"/>
          <w:lang w:val="en-US"/>
        </w:rPr>
        <w:t xml:space="preserve"> different classes within</w:t>
      </w:r>
      <w:r>
        <w:rPr>
          <w:rFonts w:eastAsiaTheme="minorHAnsi"/>
          <w:lang w:val="en-US"/>
        </w:rPr>
        <w:t xml:space="preserve"> a</w:t>
      </w:r>
      <w:r w:rsidR="002C6813">
        <w:rPr>
          <w:rFonts w:eastAsiaTheme="minorHAnsi"/>
          <w:lang w:val="en-US"/>
        </w:rPr>
        <w:t xml:space="preserve"> generation </w:t>
      </w:r>
      <w:r w:rsidRPr="001E6F41">
        <w:rPr>
          <w:rFonts w:eastAsiaTheme="minorHAnsi"/>
          <w:lang w:val="en-US"/>
        </w:rPr>
        <w:t xml:space="preserve">is absent in the case of </w:t>
      </w:r>
      <w:proofErr w:type="spellStart"/>
      <w:r w:rsidRPr="001E6F41">
        <w:rPr>
          <w:rFonts w:eastAsiaTheme="minorHAnsi"/>
          <w:lang w:val="en-US"/>
        </w:rPr>
        <w:t>Bismarckian</w:t>
      </w:r>
      <w:proofErr w:type="spellEnd"/>
      <w:r w:rsidRPr="001E6F41">
        <w:rPr>
          <w:rFonts w:eastAsiaTheme="minorHAnsi"/>
          <w:lang w:val="en-US"/>
        </w:rPr>
        <w:t xml:space="preserve"> system, contrary to the </w:t>
      </w:r>
      <w:proofErr w:type="spellStart"/>
      <w:r w:rsidRPr="001E6F41">
        <w:rPr>
          <w:rFonts w:eastAsiaTheme="minorHAnsi"/>
          <w:lang w:val="en-US"/>
        </w:rPr>
        <w:t>Beveridgean</w:t>
      </w:r>
      <w:proofErr w:type="spellEnd"/>
      <w:r w:rsidRPr="001E6F41">
        <w:rPr>
          <w:rFonts w:eastAsiaTheme="minorHAnsi"/>
          <w:lang w:val="en-US"/>
        </w:rPr>
        <w:t>, where there is no connection between the contributions people make during their working, or middle-age years, an</w:t>
      </w:r>
      <w:r>
        <w:rPr>
          <w:rFonts w:eastAsiaTheme="minorHAnsi"/>
          <w:lang w:val="en-US"/>
        </w:rPr>
        <w:t>d the public pensions provided</w:t>
      </w:r>
      <w:r w:rsidR="002C6813">
        <w:rPr>
          <w:rFonts w:eastAsiaTheme="minorHAnsi"/>
          <w:lang w:val="en-US"/>
        </w:rPr>
        <w:t xml:space="preserve"> making the redistribution of wealth</w:t>
      </w:r>
      <w:r>
        <w:rPr>
          <w:rFonts w:eastAsiaTheme="minorHAnsi"/>
          <w:lang w:val="en-US"/>
        </w:rPr>
        <w:t xml:space="preserve"> inevitable. Although it may seem that the implications of the two systems are only for the first pillar of a pension scheme, it is important to keep in mind that the concept translates to the second pillar as well. </w:t>
      </w:r>
    </w:p>
    <w:p w:rsidR="005D378B" w:rsidRPr="006F01F3" w:rsidRDefault="005D378B" w:rsidP="005D378B">
      <w:pPr>
        <w:autoSpaceDE w:val="0"/>
        <w:autoSpaceDN w:val="0"/>
        <w:adjustRightInd w:val="0"/>
        <w:spacing w:line="360" w:lineRule="auto"/>
        <w:jc w:val="both"/>
        <w:rPr>
          <w:rFonts w:eastAsiaTheme="minorHAnsi"/>
          <w:lang w:val="en-US"/>
        </w:rPr>
      </w:pPr>
      <w:r>
        <w:rPr>
          <w:rFonts w:eastAsiaTheme="minorHAnsi"/>
          <w:lang w:val="en-US"/>
        </w:rPr>
        <w:t>Interestingly</w:t>
      </w:r>
      <w:r w:rsidRPr="006F01F3">
        <w:rPr>
          <w:rFonts w:eastAsiaTheme="minorHAnsi"/>
          <w:lang w:val="en-US"/>
        </w:rPr>
        <w:t xml:space="preserve">, many studies have concluded that the redistribution within generations has been declining in the past couple of decades, implying that the </w:t>
      </w:r>
      <w:proofErr w:type="spellStart"/>
      <w:r w:rsidRPr="006F01F3">
        <w:rPr>
          <w:rFonts w:eastAsiaTheme="minorHAnsi"/>
          <w:lang w:val="en-US"/>
        </w:rPr>
        <w:t>Bismarckian</w:t>
      </w:r>
      <w:proofErr w:type="spellEnd"/>
      <w:r w:rsidRPr="006F01F3">
        <w:rPr>
          <w:rFonts w:eastAsiaTheme="minorHAnsi"/>
          <w:lang w:val="en-US"/>
        </w:rPr>
        <w:t xml:space="preserve"> type of systems is becoming more preferred, further implying that the pensions are connected </w:t>
      </w:r>
      <w:r>
        <w:rPr>
          <w:rFonts w:eastAsiaTheme="minorHAnsi"/>
          <w:lang w:val="en-US"/>
        </w:rPr>
        <w:t xml:space="preserve">more </w:t>
      </w:r>
      <w:r w:rsidRPr="006F01F3">
        <w:rPr>
          <w:rFonts w:eastAsiaTheme="minorHAnsi"/>
          <w:lang w:val="en-US"/>
        </w:rPr>
        <w:t>to past earning, rather than fixed benefits. (</w:t>
      </w:r>
      <w:proofErr w:type="spellStart"/>
      <w:r w:rsidRPr="006F01F3">
        <w:rPr>
          <w:rFonts w:eastAsiaTheme="minorHAnsi"/>
          <w:lang w:val="en-US"/>
        </w:rPr>
        <w:t>Queisser</w:t>
      </w:r>
      <w:proofErr w:type="spellEnd"/>
      <w:r w:rsidRPr="006F01F3">
        <w:rPr>
          <w:rFonts w:eastAsiaTheme="minorHAnsi"/>
          <w:lang w:val="en-US"/>
        </w:rPr>
        <w:t>, 2000</w:t>
      </w:r>
      <w:proofErr w:type="gramStart"/>
      <w:r w:rsidRPr="006F01F3">
        <w:rPr>
          <w:rFonts w:eastAsiaTheme="minorHAnsi"/>
          <w:lang w:val="en-US"/>
        </w:rPr>
        <w:t>;Lindbeck</w:t>
      </w:r>
      <w:proofErr w:type="gramEnd"/>
      <w:r w:rsidRPr="006F01F3">
        <w:rPr>
          <w:rFonts w:eastAsiaTheme="minorHAnsi"/>
          <w:lang w:val="en-US"/>
        </w:rPr>
        <w:t xml:space="preserve"> and </w:t>
      </w:r>
      <w:proofErr w:type="spellStart"/>
      <w:r w:rsidRPr="006F01F3">
        <w:rPr>
          <w:rFonts w:eastAsiaTheme="minorHAnsi"/>
          <w:lang w:val="en-US"/>
        </w:rPr>
        <w:t>Persson</w:t>
      </w:r>
      <w:proofErr w:type="spellEnd"/>
      <w:r w:rsidRPr="006F01F3">
        <w:rPr>
          <w:rFonts w:eastAsiaTheme="minorHAnsi"/>
          <w:lang w:val="en-US"/>
        </w:rPr>
        <w:t xml:space="preserve">, 2003; </w:t>
      </w:r>
      <w:proofErr w:type="spellStart"/>
      <w:r w:rsidRPr="006F01F3">
        <w:rPr>
          <w:rFonts w:eastAsiaTheme="minorHAnsi"/>
          <w:lang w:val="en-US"/>
        </w:rPr>
        <w:t>Werding</w:t>
      </w:r>
      <w:proofErr w:type="spellEnd"/>
      <w:r w:rsidRPr="006F01F3">
        <w:rPr>
          <w:rFonts w:eastAsiaTheme="minorHAnsi"/>
          <w:lang w:val="en-US"/>
        </w:rPr>
        <w:t>, 2003)</w:t>
      </w:r>
      <w:r>
        <w:rPr>
          <w:rFonts w:eastAsiaTheme="minorHAnsi"/>
          <w:lang w:val="en-US"/>
        </w:rPr>
        <w:t>.</w:t>
      </w:r>
    </w:p>
    <w:p w:rsidR="005D378B" w:rsidRPr="00C97A69" w:rsidRDefault="005D378B" w:rsidP="005D378B">
      <w:pPr>
        <w:spacing w:line="360" w:lineRule="auto"/>
        <w:jc w:val="both"/>
        <w:rPr>
          <w:lang w:val="en-US"/>
        </w:rPr>
      </w:pPr>
      <w:r>
        <w:rPr>
          <w:lang w:val="en-US"/>
        </w:rPr>
        <w:t>Another notable paper on the topic is the one</w:t>
      </w:r>
      <w:r w:rsidRPr="001E6F41">
        <w:rPr>
          <w:lang w:val="en-US"/>
        </w:rPr>
        <w:t xml:space="preserve"> of Kolmar (2007)</w:t>
      </w:r>
      <w:r>
        <w:rPr>
          <w:lang w:val="en-US"/>
        </w:rPr>
        <w:t>, who</w:t>
      </w:r>
      <w:r w:rsidRPr="001E6F41">
        <w:rPr>
          <w:lang w:val="en-US"/>
        </w:rPr>
        <w:t xml:space="preserve"> investigate</w:t>
      </w:r>
      <w:r>
        <w:rPr>
          <w:lang w:val="en-US"/>
        </w:rPr>
        <w:t>s</w:t>
      </w:r>
      <w:r w:rsidRPr="001E6F41">
        <w:rPr>
          <w:lang w:val="en-US"/>
        </w:rPr>
        <w:t xml:space="preserve"> under wh</w:t>
      </w:r>
      <w:r>
        <w:rPr>
          <w:lang w:val="en-US"/>
        </w:rPr>
        <w:t>at</w:t>
      </w:r>
      <w:r w:rsidRPr="001E6F41">
        <w:rPr>
          <w:lang w:val="en-US"/>
        </w:rPr>
        <w:t xml:space="preserve"> conditions a </w:t>
      </w:r>
      <w:proofErr w:type="spellStart"/>
      <w:r w:rsidRPr="001E6F41">
        <w:rPr>
          <w:lang w:val="en-US"/>
        </w:rPr>
        <w:t>Beveridge</w:t>
      </w:r>
      <w:proofErr w:type="spellEnd"/>
      <w:r w:rsidRPr="001E6F41">
        <w:rPr>
          <w:lang w:val="en-US"/>
        </w:rPr>
        <w:t xml:space="preserve"> system can be sustainable </w:t>
      </w:r>
      <w:r w:rsidR="002C6813">
        <w:rPr>
          <w:lang w:val="en-US"/>
        </w:rPr>
        <w:t>when</w:t>
      </w:r>
      <w:r>
        <w:rPr>
          <w:lang w:val="en-US"/>
        </w:rPr>
        <w:t xml:space="preserve"> a </w:t>
      </w:r>
      <w:proofErr w:type="spellStart"/>
      <w:r>
        <w:rPr>
          <w:lang w:val="en-US"/>
        </w:rPr>
        <w:t>Bismarckian</w:t>
      </w:r>
      <w:proofErr w:type="spellEnd"/>
      <w:r>
        <w:rPr>
          <w:lang w:val="en-US"/>
        </w:rPr>
        <w:t xml:space="preserve"> component is operating in the pension system as well</w:t>
      </w:r>
      <w:r w:rsidRPr="001E6F41">
        <w:rPr>
          <w:lang w:val="en-US"/>
        </w:rPr>
        <w:t>.</w:t>
      </w:r>
      <w:r>
        <w:rPr>
          <w:lang w:val="en-US"/>
        </w:rPr>
        <w:t xml:space="preserve"> The overall</w:t>
      </w:r>
      <w:r w:rsidRPr="006F01F3">
        <w:rPr>
          <w:lang w:val="en-US"/>
        </w:rPr>
        <w:t xml:space="preserve"> conclusion of the paper is that the two systems are incompatible</w:t>
      </w:r>
      <w:r>
        <w:rPr>
          <w:lang w:val="en-US"/>
        </w:rPr>
        <w:t>. However, t</w:t>
      </w:r>
      <w:r w:rsidRPr="001E6F41">
        <w:rPr>
          <w:lang w:val="en-US"/>
        </w:rPr>
        <w:t xml:space="preserve">he author finds that the </w:t>
      </w:r>
      <w:r>
        <w:rPr>
          <w:lang w:val="en-US"/>
        </w:rPr>
        <w:t>sustainability of both</w:t>
      </w:r>
      <w:r w:rsidRPr="006F01F3">
        <w:rPr>
          <w:lang w:val="en-US"/>
        </w:rPr>
        <w:t xml:space="preserve"> system</w:t>
      </w:r>
      <w:r>
        <w:rPr>
          <w:lang w:val="en-US"/>
        </w:rPr>
        <w:t>s</w:t>
      </w:r>
      <w:r w:rsidRPr="006F01F3">
        <w:rPr>
          <w:lang w:val="en-US"/>
        </w:rPr>
        <w:t xml:space="preserve"> is </w:t>
      </w:r>
      <w:r w:rsidRPr="006F01F3">
        <w:rPr>
          <w:lang w:val="en-US"/>
        </w:rPr>
        <w:lastRenderedPageBreak/>
        <w:t>conditional on the growth rate</w:t>
      </w:r>
      <w:r>
        <w:rPr>
          <w:lang w:val="en-US"/>
        </w:rPr>
        <w:t xml:space="preserve"> of the economy</w:t>
      </w:r>
      <w:r w:rsidRPr="006F01F3">
        <w:rPr>
          <w:lang w:val="en-US"/>
        </w:rPr>
        <w:t xml:space="preserve">, which contrary to the intuition, implies that a low income individual would prefer </w:t>
      </w:r>
      <w:proofErr w:type="spellStart"/>
      <w:r w:rsidRPr="006F01F3">
        <w:rPr>
          <w:lang w:val="en-US"/>
        </w:rPr>
        <w:t>Bis</w:t>
      </w:r>
      <w:r w:rsidR="00861F89">
        <w:rPr>
          <w:lang w:val="en-US"/>
        </w:rPr>
        <w:t>marckian</w:t>
      </w:r>
      <w:proofErr w:type="spellEnd"/>
      <w:r w:rsidR="00861F89">
        <w:rPr>
          <w:lang w:val="en-US"/>
        </w:rPr>
        <w:t xml:space="preserve"> system</w:t>
      </w:r>
      <w:r w:rsidRPr="006F01F3">
        <w:rPr>
          <w:lang w:val="en-US"/>
        </w:rPr>
        <w:t xml:space="preserve"> while high income one would prefer </w:t>
      </w:r>
      <w:proofErr w:type="spellStart"/>
      <w:r w:rsidRPr="006F01F3">
        <w:rPr>
          <w:lang w:val="en-US"/>
        </w:rPr>
        <w:t>Beveridgean</w:t>
      </w:r>
      <w:proofErr w:type="spellEnd"/>
      <w:r w:rsidRPr="006F01F3">
        <w:rPr>
          <w:lang w:val="en-US"/>
        </w:rPr>
        <w:t>.</w:t>
      </w:r>
    </w:p>
    <w:p w:rsidR="005D378B" w:rsidRDefault="005D378B" w:rsidP="005D378B">
      <w:pPr>
        <w:spacing w:line="360" w:lineRule="auto"/>
        <w:rPr>
          <w:lang w:val="en-US"/>
        </w:rPr>
      </w:pPr>
    </w:p>
    <w:p w:rsidR="005D378B" w:rsidRDefault="005D378B" w:rsidP="005D378B">
      <w:pPr>
        <w:pStyle w:val="Subtitle"/>
        <w:spacing w:line="360" w:lineRule="auto"/>
        <w:rPr>
          <w:lang w:val="en-US"/>
        </w:rPr>
      </w:pPr>
      <w:r>
        <w:rPr>
          <w:lang w:val="en-US"/>
        </w:rPr>
        <w:t>4.2 Reform Issues</w:t>
      </w:r>
    </w:p>
    <w:p w:rsidR="005D378B" w:rsidRPr="00C3549C" w:rsidRDefault="005D378B" w:rsidP="005D378B">
      <w:pPr>
        <w:spacing w:before="120" w:line="360" w:lineRule="auto"/>
        <w:jc w:val="both"/>
        <w:rPr>
          <w:lang w:val="en-US"/>
        </w:rPr>
      </w:pPr>
      <w:r w:rsidRPr="00C3549C">
        <w:rPr>
          <w:lang w:val="en-US"/>
        </w:rPr>
        <w:t xml:space="preserve">The pressure for reforms on the current pension policies, caused to a large extend by the ageing of the population in Europe has raised many additional considerations that have to be acknowledged by the public authorities and policy makers. Much work on the subject of pension system reform has been published in the past few decades. </w:t>
      </w:r>
    </w:p>
    <w:p w:rsidR="005D378B" w:rsidRDefault="005D378B" w:rsidP="005D378B">
      <w:pPr>
        <w:autoSpaceDE w:val="0"/>
        <w:autoSpaceDN w:val="0"/>
        <w:adjustRightInd w:val="0"/>
        <w:spacing w:before="120" w:line="360" w:lineRule="auto"/>
        <w:jc w:val="both"/>
        <w:rPr>
          <w:rFonts w:eastAsiaTheme="minorHAnsi"/>
          <w:lang w:val="en-US"/>
        </w:rPr>
      </w:pPr>
      <w:r w:rsidRPr="00C3549C">
        <w:rPr>
          <w:rFonts w:eastAsiaTheme="minorHAnsi"/>
          <w:lang w:val="en-US"/>
        </w:rPr>
        <w:t>This subsection will</w:t>
      </w:r>
      <w:r>
        <w:rPr>
          <w:rFonts w:eastAsiaTheme="minorHAnsi"/>
          <w:lang w:val="en-US"/>
        </w:rPr>
        <w:t xml:space="preserve"> consider the most discussed pension reform nowadays. As population agei</w:t>
      </w:r>
      <w:r w:rsidR="00861F89">
        <w:rPr>
          <w:rFonts w:eastAsiaTheme="minorHAnsi"/>
          <w:lang w:val="en-US"/>
        </w:rPr>
        <w:t>ng affects the PAYG</w:t>
      </w:r>
      <w:r>
        <w:rPr>
          <w:rFonts w:eastAsiaTheme="minorHAnsi"/>
          <w:lang w:val="en-US"/>
        </w:rPr>
        <w:t xml:space="preserve"> systems to the greatest extent, and the public </w:t>
      </w:r>
      <w:r w:rsidR="00D54B4B">
        <w:rPr>
          <w:rFonts w:eastAsiaTheme="minorHAnsi"/>
          <w:lang w:val="en-US"/>
        </w:rPr>
        <w:t xml:space="preserve">expenditure on pensions will continue to </w:t>
      </w:r>
      <w:r>
        <w:rPr>
          <w:rFonts w:eastAsiaTheme="minorHAnsi"/>
          <w:lang w:val="en-US"/>
        </w:rPr>
        <w:t>increas</w:t>
      </w:r>
      <w:r w:rsidR="00D54B4B">
        <w:rPr>
          <w:rFonts w:eastAsiaTheme="minorHAnsi"/>
          <w:lang w:val="en-US"/>
        </w:rPr>
        <w:t>e</w:t>
      </w:r>
      <w:r>
        <w:rPr>
          <w:rFonts w:eastAsiaTheme="minorHAnsi"/>
          <w:lang w:val="en-US"/>
        </w:rPr>
        <w:t xml:space="preserve"> in the years to come, the sustainability of those systems </w:t>
      </w:r>
      <w:r w:rsidR="00D54B4B">
        <w:rPr>
          <w:rFonts w:eastAsiaTheme="minorHAnsi"/>
          <w:lang w:val="en-US"/>
        </w:rPr>
        <w:t>in the future is highly doubtful</w:t>
      </w:r>
      <w:r>
        <w:rPr>
          <w:rFonts w:eastAsiaTheme="minorHAnsi"/>
          <w:lang w:val="en-US"/>
        </w:rPr>
        <w:t>. Without a doubt a lot has been done in the past couple of years. T</w:t>
      </w:r>
      <w:r w:rsidR="00D54B4B">
        <w:rPr>
          <w:rFonts w:eastAsiaTheme="minorHAnsi"/>
          <w:lang w:val="en-US"/>
        </w:rPr>
        <w:t>here is an overall trend of increasing the incentives to postpone</w:t>
      </w:r>
      <w:r>
        <w:rPr>
          <w:rFonts w:eastAsiaTheme="minorHAnsi"/>
          <w:lang w:val="en-US"/>
        </w:rPr>
        <w:t xml:space="preserve"> retirement in order to increase participation of elderly and therefore compensate as much as possible for expected decrease in the number of active workers. Although there is consensus on the matter that pension reforms are </w:t>
      </w:r>
      <w:r w:rsidR="00D54B4B">
        <w:rPr>
          <w:rFonts w:eastAsiaTheme="minorHAnsi"/>
          <w:lang w:val="en-US"/>
        </w:rPr>
        <w:t xml:space="preserve">present in almost every country, there is still more to be </w:t>
      </w:r>
      <w:r w:rsidR="00AB4210">
        <w:rPr>
          <w:rFonts w:eastAsiaTheme="minorHAnsi"/>
          <w:lang w:val="en-US"/>
        </w:rPr>
        <w:t>done</w:t>
      </w:r>
      <w:r>
        <w:rPr>
          <w:rFonts w:eastAsiaTheme="minorHAnsi"/>
          <w:lang w:val="en-US"/>
        </w:rPr>
        <w:t xml:space="preserve"> in order to entirely overcome the ageing problem or at least be </w:t>
      </w:r>
      <w:r w:rsidR="00D54B4B">
        <w:rPr>
          <w:rFonts w:eastAsiaTheme="minorHAnsi"/>
          <w:lang w:val="en-US"/>
        </w:rPr>
        <w:t>prepared to cope with its consequences</w:t>
      </w:r>
      <w:r>
        <w:rPr>
          <w:rFonts w:eastAsiaTheme="minorHAnsi"/>
          <w:lang w:val="en-US"/>
        </w:rPr>
        <w:t>. It seems that policymakers are reluctant to implement serious and drastic changes in the current setup. There are of course reasons for it and they will be examined in this subsection. The main things discussed will include the proble</w:t>
      </w:r>
      <w:r w:rsidR="006015B8">
        <w:rPr>
          <w:rFonts w:eastAsiaTheme="minorHAnsi"/>
          <w:color w:val="000000" w:themeColor="text1"/>
          <w:lang w:val="en-US"/>
        </w:rPr>
        <w:t>ms associated with increased funding and some</w:t>
      </w:r>
      <w:r w:rsidRPr="00574C12">
        <w:rPr>
          <w:rFonts w:eastAsiaTheme="minorHAnsi"/>
          <w:color w:val="000000" w:themeColor="text1"/>
          <w:lang w:val="en-US"/>
        </w:rPr>
        <w:t xml:space="preserve"> possible reasons for the reluctance of the policy makers</w:t>
      </w:r>
      <w:r>
        <w:rPr>
          <w:rFonts w:eastAsiaTheme="minorHAnsi"/>
          <w:color w:val="000000" w:themeColor="text1"/>
          <w:lang w:val="en-US"/>
        </w:rPr>
        <w:t>.</w:t>
      </w:r>
    </w:p>
    <w:p w:rsidR="005D378B" w:rsidRPr="00F13F4D" w:rsidRDefault="005D378B" w:rsidP="006015B8">
      <w:pPr>
        <w:autoSpaceDE w:val="0"/>
        <w:autoSpaceDN w:val="0"/>
        <w:adjustRightInd w:val="0"/>
        <w:spacing w:line="360" w:lineRule="auto"/>
        <w:jc w:val="both"/>
        <w:rPr>
          <w:lang w:val="en-US"/>
        </w:rPr>
      </w:pPr>
      <w:r>
        <w:rPr>
          <w:lang w:val="en-US"/>
        </w:rPr>
        <w:t>In the form of theoretical framework</w:t>
      </w:r>
      <w:r w:rsidRPr="00C3549C">
        <w:rPr>
          <w:lang w:val="en-US"/>
        </w:rPr>
        <w:t>,</w:t>
      </w:r>
      <w:r>
        <w:rPr>
          <w:lang w:val="en-US"/>
        </w:rPr>
        <w:t xml:space="preserve"> funded defined contribution</w:t>
      </w:r>
      <w:r w:rsidRPr="00C3549C">
        <w:rPr>
          <w:lang w:val="en-US"/>
        </w:rPr>
        <w:t xml:space="preserve"> plans seem attractive</w:t>
      </w:r>
      <w:r>
        <w:rPr>
          <w:lang w:val="en-US"/>
        </w:rPr>
        <w:t xml:space="preserve">, but </w:t>
      </w:r>
      <w:r w:rsidRPr="00C3549C">
        <w:rPr>
          <w:lang w:val="en-US"/>
        </w:rPr>
        <w:t>the high uncertainty in th</w:t>
      </w:r>
      <w:r w:rsidR="006015B8">
        <w:rPr>
          <w:lang w:val="en-US"/>
        </w:rPr>
        <w:t>e economic environment makes</w:t>
      </w:r>
      <w:r w:rsidRPr="00C3549C">
        <w:rPr>
          <w:lang w:val="en-US"/>
        </w:rPr>
        <w:t xml:space="preserve"> the funded plans vulnerable to risk. </w:t>
      </w:r>
      <w:r>
        <w:t>A major problem with a reform toward increased funding is that this would make the system more dependent on the rates of return of the pension funds. Therefore a fully funded system wo</w:t>
      </w:r>
      <w:r w:rsidR="00A6624D">
        <w:t>uld induce higher risk, and would</w:t>
      </w:r>
      <w:r>
        <w:t xml:space="preserve"> make the design of the sy</w:t>
      </w:r>
      <w:r w:rsidR="006015B8">
        <w:t>stem crucially important for preserving the</w:t>
      </w:r>
      <w:r>
        <w:t xml:space="preserve"> </w:t>
      </w:r>
      <w:r w:rsidR="006015B8">
        <w:t>welfare of the population</w:t>
      </w:r>
      <w:r>
        <w:t xml:space="preserve">. This is a starting point for many other issues concerning the risk and its distributions between and within generations. </w:t>
      </w:r>
      <w:r w:rsidRPr="00B25C69">
        <w:t xml:space="preserve">Miles &amp; Timmerman (1999) </w:t>
      </w:r>
      <w:r>
        <w:t>investigate different scenarios, varying from fully funded and entirely unfunded cases. They r</w:t>
      </w:r>
      <w:r w:rsidR="00A6624D">
        <w:t>ecognize the fact that for funded schemes</w:t>
      </w:r>
      <w:r>
        <w:t>, the degree of risk sharing is central to any pension system reform because in those cases every individual is saving for his own pension irrespective</w:t>
      </w:r>
      <w:r w:rsidR="00A6624D">
        <w:t xml:space="preserve"> of other participants</w:t>
      </w:r>
      <w:r>
        <w:t xml:space="preserve">. The state plays important role because in cases of </w:t>
      </w:r>
      <w:r>
        <w:lastRenderedPageBreak/>
        <w:t>unfortunate economic circumstances, it has to guarantee to provide some level of insurance. Thi</w:t>
      </w:r>
      <w:r w:rsidR="00A6624D">
        <w:t>s makes</w:t>
      </w:r>
      <w:r>
        <w:t xml:space="preserve"> it inevitable to share the risk to some degree, at least to assure some sort of balance in the longer run. The other situation</w:t>
      </w:r>
      <w:r w:rsidR="00F40F4D">
        <w:t>,</w:t>
      </w:r>
      <w:r>
        <w:t xml:space="preserve"> where</w:t>
      </w:r>
      <w:r w:rsidR="00F40F4D">
        <w:t xml:space="preserve"> the pension scheme is unfunded, is vulnerable to</w:t>
      </w:r>
      <w:r>
        <w:t xml:space="preserve"> the </w:t>
      </w:r>
      <w:r w:rsidR="00F40F4D">
        <w:t>risk of demographic changes. The</w:t>
      </w:r>
      <w:r>
        <w:t xml:space="preserve">se are not the only </w:t>
      </w:r>
      <w:r w:rsidRPr="00151556">
        <w:rPr>
          <w:color w:val="000000" w:themeColor="text1"/>
        </w:rPr>
        <w:t>uncertainties, b</w:t>
      </w:r>
      <w:r w:rsidR="00F40F4D">
        <w:rPr>
          <w:color w:val="000000" w:themeColor="text1"/>
        </w:rPr>
        <w:t>ut they are the relevant ones within</w:t>
      </w:r>
      <w:r w:rsidRPr="00151556">
        <w:rPr>
          <w:color w:val="000000" w:themeColor="text1"/>
        </w:rPr>
        <w:t xml:space="preserve"> the context of this paper. Despite the fact that population ageing problems are more predictable than the economic risks in funded systems, the reforms have to</w:t>
      </w:r>
      <w:r w:rsidR="00F40F4D">
        <w:rPr>
          <w:color w:val="000000" w:themeColor="text1"/>
        </w:rPr>
        <w:t xml:space="preserve"> be structural, making it more difficult to</w:t>
      </w:r>
      <w:r w:rsidRPr="00151556">
        <w:rPr>
          <w:color w:val="000000" w:themeColor="text1"/>
        </w:rPr>
        <w:t xml:space="preserve"> implement from </w:t>
      </w:r>
      <w:r w:rsidR="00F40F4D">
        <w:rPr>
          <w:color w:val="000000" w:themeColor="text1"/>
        </w:rPr>
        <w:t xml:space="preserve">a </w:t>
      </w:r>
      <w:r w:rsidRPr="00151556">
        <w:rPr>
          <w:color w:val="000000" w:themeColor="text1"/>
        </w:rPr>
        <w:t xml:space="preserve">political point of view.  </w:t>
      </w:r>
      <w:r w:rsidR="00507444">
        <w:rPr>
          <w:color w:val="000000" w:themeColor="text1"/>
        </w:rPr>
        <w:t xml:space="preserve">The problem of risk is </w:t>
      </w:r>
      <w:r>
        <w:rPr>
          <w:color w:val="000000" w:themeColor="text1"/>
        </w:rPr>
        <w:t>one of the concern</w:t>
      </w:r>
      <w:r w:rsidR="000F35EB">
        <w:rPr>
          <w:color w:val="000000" w:themeColor="text1"/>
        </w:rPr>
        <w:t xml:space="preserve">s that </w:t>
      </w:r>
      <w:proofErr w:type="gramStart"/>
      <w:r w:rsidR="000F35EB">
        <w:rPr>
          <w:color w:val="000000" w:themeColor="text1"/>
        </w:rPr>
        <w:t>has</w:t>
      </w:r>
      <w:proofErr w:type="gramEnd"/>
      <w:r>
        <w:rPr>
          <w:color w:val="000000" w:themeColor="text1"/>
        </w:rPr>
        <w:t xml:space="preserve"> to be acknowledged. There is another issue concerning reform toward</w:t>
      </w:r>
      <w:r w:rsidR="00507444">
        <w:rPr>
          <w:color w:val="000000" w:themeColor="text1"/>
        </w:rPr>
        <w:t>s</w:t>
      </w:r>
      <w:r>
        <w:rPr>
          <w:color w:val="000000" w:themeColor="text1"/>
        </w:rPr>
        <w:t xml:space="preserve"> increased funding</w:t>
      </w:r>
      <w:r>
        <w:t>, namely that of the costs of transaction.</w:t>
      </w:r>
    </w:p>
    <w:p w:rsidR="005D378B" w:rsidRDefault="005D378B" w:rsidP="005D378B">
      <w:pPr>
        <w:autoSpaceDE w:val="0"/>
        <w:autoSpaceDN w:val="0"/>
        <w:adjustRightInd w:val="0"/>
        <w:spacing w:before="120" w:line="360" w:lineRule="auto"/>
        <w:jc w:val="both"/>
        <w:rPr>
          <w:lang w:val="en-US"/>
        </w:rPr>
      </w:pPr>
      <w:r w:rsidRPr="00C3549C">
        <w:rPr>
          <w:lang w:val="en-US"/>
        </w:rPr>
        <w:t>In the literatu</w:t>
      </w:r>
      <w:r w:rsidR="00507444">
        <w:rPr>
          <w:lang w:val="en-US"/>
        </w:rPr>
        <w:t>re there are three major critiques of</w:t>
      </w:r>
      <w:r w:rsidRPr="00C3549C">
        <w:rPr>
          <w:lang w:val="en-US"/>
        </w:rPr>
        <w:t xml:space="preserve"> those investment-ba</w:t>
      </w:r>
      <w:r>
        <w:rPr>
          <w:lang w:val="en-US"/>
        </w:rPr>
        <w:t>sed plans which have to be dealt</w:t>
      </w:r>
      <w:r w:rsidRPr="00C3549C">
        <w:rPr>
          <w:lang w:val="en-US"/>
        </w:rPr>
        <w:t xml:space="preserve"> with when design</w:t>
      </w:r>
      <w:r w:rsidR="00507444">
        <w:rPr>
          <w:lang w:val="en-US"/>
        </w:rPr>
        <w:t>ing a pension scheme; t</w:t>
      </w:r>
      <w:r w:rsidRPr="00C3549C">
        <w:rPr>
          <w:lang w:val="en-US"/>
        </w:rPr>
        <w:t xml:space="preserve">he associated administrative costs, the risk and income distribution. Unfortunately, funded schemes currently offered by the financial industry are </w:t>
      </w:r>
      <w:r>
        <w:rPr>
          <w:lang w:val="en-US"/>
        </w:rPr>
        <w:t xml:space="preserve">often </w:t>
      </w:r>
      <w:r w:rsidRPr="00C3549C">
        <w:rPr>
          <w:lang w:val="en-US"/>
        </w:rPr>
        <w:t>poorly designed as earnings-related pensions. On the other hand, the transition period is hard to deal with, as a double burden emerges, which has to be borne by the transitional generation in order to accumulate sufficient amount of resources for their own pensions while</w:t>
      </w:r>
      <w:r>
        <w:rPr>
          <w:lang w:val="en-US"/>
        </w:rPr>
        <w:t xml:space="preserve"> in</w:t>
      </w:r>
      <w:r w:rsidRPr="00C3549C">
        <w:rPr>
          <w:lang w:val="en-US"/>
        </w:rPr>
        <w:t xml:space="preserve"> the same time support the current pensioners, </w:t>
      </w:r>
      <w:r w:rsidR="00507444">
        <w:rPr>
          <w:lang w:val="en-US"/>
        </w:rPr>
        <w:t>who</w:t>
      </w:r>
      <w:r w:rsidRPr="00C3549C">
        <w:rPr>
          <w:lang w:val="en-US"/>
        </w:rPr>
        <w:t xml:space="preserve"> have already made their contribution in the past. </w:t>
      </w:r>
    </w:p>
    <w:p w:rsidR="005D378B" w:rsidRDefault="005D378B" w:rsidP="005D378B">
      <w:pPr>
        <w:autoSpaceDE w:val="0"/>
        <w:autoSpaceDN w:val="0"/>
        <w:adjustRightInd w:val="0"/>
        <w:spacing w:line="360" w:lineRule="auto"/>
        <w:jc w:val="both"/>
        <w:rPr>
          <w:lang w:val="en-US"/>
        </w:rPr>
      </w:pPr>
      <w:r w:rsidRPr="00777303">
        <w:rPr>
          <w:lang w:val="en-US"/>
        </w:rPr>
        <w:t>In his widely discus</w:t>
      </w:r>
      <w:r>
        <w:rPr>
          <w:lang w:val="en-US"/>
        </w:rPr>
        <w:t>sed papers, Martin Feldstein vindicate</w:t>
      </w:r>
      <w:r w:rsidR="00507444">
        <w:rPr>
          <w:lang w:val="en-US"/>
        </w:rPr>
        <w:t>s</w:t>
      </w:r>
      <w:r>
        <w:rPr>
          <w:lang w:val="en-US"/>
        </w:rPr>
        <w:t xml:space="preserve"> the notion that the transition to other systems should not ignore the liabilities of the government to the people that have contributed in the past with the promise to be compensated for it when they enter</w:t>
      </w:r>
      <w:r w:rsidR="00507444">
        <w:rPr>
          <w:lang w:val="en-US"/>
        </w:rPr>
        <w:t xml:space="preserve"> retirement (Feldstein, 1997). At</w:t>
      </w:r>
      <w:r>
        <w:rPr>
          <w:lang w:val="en-US"/>
        </w:rPr>
        <w:t xml:space="preserve"> the same time, he suggests that the system provided should be characterized by a strong funded component, but also stresses on the importance for the country to avoid large deficits or stock of debt in order to provide for the pensions of the current workers. The author argues that a transition to increased funding, if handled in the right way could enhance the wellbeing of the citizens.</w:t>
      </w:r>
      <w:r>
        <w:rPr>
          <w:rStyle w:val="FootnoteReference"/>
          <w:lang w:val="en-US"/>
        </w:rPr>
        <w:footnoteReference w:id="8"/>
      </w:r>
    </w:p>
    <w:p w:rsidR="005D378B" w:rsidRDefault="005D378B" w:rsidP="005D378B">
      <w:pPr>
        <w:autoSpaceDE w:val="0"/>
        <w:autoSpaceDN w:val="0"/>
        <w:adjustRightInd w:val="0"/>
        <w:spacing w:line="360" w:lineRule="auto"/>
        <w:jc w:val="both"/>
        <w:rPr>
          <w:lang w:val="en-US"/>
        </w:rPr>
      </w:pPr>
      <w:r w:rsidRPr="00B25C69">
        <w:rPr>
          <w:lang w:val="en-US"/>
        </w:rPr>
        <w:t xml:space="preserve">There is </w:t>
      </w:r>
      <w:r w:rsidR="00507444">
        <w:rPr>
          <w:lang w:val="en-US"/>
        </w:rPr>
        <w:t xml:space="preserve">a </w:t>
      </w:r>
      <w:r w:rsidRPr="00B25C69">
        <w:rPr>
          <w:lang w:val="en-US"/>
        </w:rPr>
        <w:t>considerable a</w:t>
      </w:r>
      <w:r w:rsidR="00507444">
        <w:rPr>
          <w:lang w:val="en-US"/>
        </w:rPr>
        <w:t>mount of work in the literature</w:t>
      </w:r>
      <w:r w:rsidRPr="00B25C69">
        <w:rPr>
          <w:lang w:val="en-US"/>
        </w:rPr>
        <w:t xml:space="preserve"> estimating the transition costs from pay-as-you-go system to </w:t>
      </w:r>
      <w:r w:rsidR="00507444">
        <w:rPr>
          <w:lang w:val="en-US"/>
        </w:rPr>
        <w:t xml:space="preserve">a </w:t>
      </w:r>
      <w:r w:rsidRPr="00B25C69">
        <w:rPr>
          <w:lang w:val="en-US"/>
        </w:rPr>
        <w:t xml:space="preserve">system with </w:t>
      </w:r>
      <w:r>
        <w:rPr>
          <w:lang w:val="en-US"/>
        </w:rPr>
        <w:t xml:space="preserve">a </w:t>
      </w:r>
      <w:r w:rsidRPr="00B25C69">
        <w:rPr>
          <w:lang w:val="en-US"/>
        </w:rPr>
        <w:t>higher funding level.</w:t>
      </w:r>
      <w:r>
        <w:rPr>
          <w:lang w:val="en-US"/>
        </w:rPr>
        <w:t xml:space="preserve"> </w:t>
      </w:r>
      <w:r w:rsidRPr="00B25C69">
        <w:rPr>
          <w:lang w:val="en-US"/>
        </w:rPr>
        <w:t>It has become a common view that current workers wil</w:t>
      </w:r>
      <w:r w:rsidR="00507444">
        <w:rPr>
          <w:lang w:val="en-US"/>
        </w:rPr>
        <w:t>l have to pay a double “price” – first,</w:t>
      </w:r>
      <w:r>
        <w:rPr>
          <w:lang w:val="en-US"/>
        </w:rPr>
        <w:t xml:space="preserve"> they have </w:t>
      </w:r>
      <w:r w:rsidRPr="00B25C69">
        <w:rPr>
          <w:lang w:val="en-US"/>
        </w:rPr>
        <w:t>to save for</w:t>
      </w:r>
      <w:r>
        <w:rPr>
          <w:lang w:val="en-US"/>
        </w:rPr>
        <w:t xml:space="preserve"> their own pensions, and second they have </w:t>
      </w:r>
      <w:r w:rsidRPr="00B25C69">
        <w:rPr>
          <w:lang w:val="en-US"/>
        </w:rPr>
        <w:t xml:space="preserve">to repay the implicit liabilities that the state owes the elderly people. </w:t>
      </w:r>
      <w:r>
        <w:rPr>
          <w:lang w:val="en-US"/>
        </w:rPr>
        <w:t xml:space="preserve"> </w:t>
      </w:r>
      <w:r w:rsidRPr="00B25C69">
        <w:rPr>
          <w:lang w:val="en-US"/>
        </w:rPr>
        <w:t xml:space="preserve">Miles &amp; Timmerman </w:t>
      </w:r>
      <w:r>
        <w:rPr>
          <w:lang w:val="en-US"/>
        </w:rPr>
        <w:t>(1999) estimate those costs by answering the question “</w:t>
      </w:r>
      <w:r w:rsidRPr="00B25C69">
        <w:rPr>
          <w:lang w:val="en-US"/>
        </w:rPr>
        <w:t>what will be the burden that the current generation will have to carry in situation of such a transition</w:t>
      </w:r>
      <w:r w:rsidR="00507444">
        <w:rPr>
          <w:lang w:val="en-US"/>
        </w:rPr>
        <w:t>?”</w:t>
      </w:r>
      <w:r>
        <w:rPr>
          <w:lang w:val="en-US"/>
        </w:rPr>
        <w:t xml:space="preserve"> </w:t>
      </w:r>
      <w:r w:rsidRPr="00B25C69">
        <w:rPr>
          <w:lang w:val="en-US"/>
        </w:rPr>
        <w:t xml:space="preserve">The authors of the paper conclude that the costs induced by this transition are </w:t>
      </w:r>
      <w:r w:rsidRPr="00B25C69">
        <w:rPr>
          <w:lang w:val="en-US"/>
        </w:rPr>
        <w:lastRenderedPageBreak/>
        <w:t>substantial and would ce</w:t>
      </w:r>
      <w:r>
        <w:rPr>
          <w:lang w:val="en-US"/>
        </w:rPr>
        <w:t>rtainly be greater than the cal</w:t>
      </w:r>
      <w:r w:rsidRPr="00B25C69">
        <w:rPr>
          <w:lang w:val="en-US"/>
        </w:rPr>
        <w:t xml:space="preserve">culations of Feldstein show. </w:t>
      </w:r>
      <w:proofErr w:type="gramStart"/>
      <w:r w:rsidRPr="00B25C69">
        <w:rPr>
          <w:lang w:val="en-US"/>
        </w:rPr>
        <w:t>(</w:t>
      </w:r>
      <w:proofErr w:type="spellStart"/>
      <w:r w:rsidRPr="00B25C69">
        <w:rPr>
          <w:lang w:val="en-US"/>
        </w:rPr>
        <w:t>Feldsten</w:t>
      </w:r>
      <w:proofErr w:type="spellEnd"/>
      <w:r w:rsidRPr="00B25C69">
        <w:rPr>
          <w:lang w:val="en-US"/>
        </w:rPr>
        <w:t>, 1997, 1998)</w:t>
      </w:r>
      <w:r>
        <w:rPr>
          <w:lang w:val="en-US"/>
        </w:rPr>
        <w:t>.</w:t>
      </w:r>
      <w:proofErr w:type="gramEnd"/>
      <w:r w:rsidR="00972B69">
        <w:rPr>
          <w:rFonts w:eastAsiaTheme="minorHAnsi"/>
          <w:lang w:val="en-US"/>
        </w:rPr>
        <w:t xml:space="preserve"> The</w:t>
      </w:r>
      <w:r>
        <w:rPr>
          <w:rFonts w:eastAsiaTheme="minorHAnsi"/>
          <w:lang w:val="en-US"/>
        </w:rPr>
        <w:t xml:space="preserve">se arguments serve as one of the reasons why </w:t>
      </w:r>
      <w:r>
        <w:rPr>
          <w:lang w:val="en-US"/>
        </w:rPr>
        <w:t xml:space="preserve">many policy officials are reluctant to </w:t>
      </w:r>
      <w:r w:rsidR="00972B69">
        <w:rPr>
          <w:lang w:val="en-US"/>
        </w:rPr>
        <w:t xml:space="preserve">make </w:t>
      </w:r>
      <w:r>
        <w:rPr>
          <w:lang w:val="en-US"/>
        </w:rPr>
        <w:t>reforms. The possible negative public response that may arise is a reasonable cause for the hesitation of</w:t>
      </w:r>
      <w:r w:rsidR="00972B69">
        <w:rPr>
          <w:lang w:val="en-US"/>
        </w:rPr>
        <w:t xml:space="preserve"> politicians. In relation to the</w:t>
      </w:r>
      <w:r>
        <w:rPr>
          <w:lang w:val="en-US"/>
        </w:rPr>
        <w:t xml:space="preserve">se policy implications of a reform, comes the paper of </w:t>
      </w:r>
      <w:proofErr w:type="spellStart"/>
      <w:r>
        <w:rPr>
          <w:lang w:val="en-US"/>
        </w:rPr>
        <w:t>Boeri</w:t>
      </w:r>
      <w:proofErr w:type="spellEnd"/>
      <w:r>
        <w:rPr>
          <w:lang w:val="en-US"/>
        </w:rPr>
        <w:t xml:space="preserve"> et al. (2001) which surveys the opinion of European citizens on questions on the current pension state. The conclusions drawn suggest that a large part of the population is unaware of the future problems and even more, uninformed of the general setting of the pension systems. This serves as an explanation of the hesitancy of many governments to undertake drastic reforms. </w:t>
      </w:r>
    </w:p>
    <w:p w:rsidR="005D378B" w:rsidRPr="00F14450" w:rsidRDefault="005D378B" w:rsidP="005D378B">
      <w:pPr>
        <w:autoSpaceDE w:val="0"/>
        <w:autoSpaceDN w:val="0"/>
        <w:adjustRightInd w:val="0"/>
        <w:spacing w:line="360" w:lineRule="auto"/>
        <w:jc w:val="both"/>
        <w:rPr>
          <w:lang w:val="en-US"/>
        </w:rPr>
      </w:pPr>
      <w:r>
        <w:rPr>
          <w:lang w:val="en-US"/>
        </w:rPr>
        <w:t xml:space="preserve">Another set of policy issues arise from the increase of funding in pension systems. Relying heavily on the second pillar implies </w:t>
      </w:r>
      <w:r w:rsidR="00972B69">
        <w:rPr>
          <w:lang w:val="en-US"/>
        </w:rPr>
        <w:t xml:space="preserve">an </w:t>
      </w:r>
      <w:r>
        <w:rPr>
          <w:lang w:val="en-US"/>
        </w:rPr>
        <w:t>increas</w:t>
      </w:r>
      <w:r w:rsidR="00972B69">
        <w:rPr>
          <w:lang w:val="en-US"/>
        </w:rPr>
        <w:t>e of</w:t>
      </w:r>
      <w:r>
        <w:rPr>
          <w:lang w:val="en-US"/>
        </w:rPr>
        <w:t xml:space="preserve"> the private sector involvement in the provision of old-age pensions. The current financial crisis and its impact on the financial markets </w:t>
      </w:r>
      <w:r w:rsidR="00972B69">
        <w:rPr>
          <w:lang w:val="en-US"/>
        </w:rPr>
        <w:t>are</w:t>
      </w:r>
      <w:r>
        <w:rPr>
          <w:lang w:val="en-US"/>
        </w:rPr>
        <w:t xml:space="preserve"> increasing the uncertainty for the return on assets, and therefore accumulation of pensions. It is true that privatizing social security systems shift the explicit liabilities of the government, but it requires strict and strong involvement in other direction. The regulations have to be coordinated and the pension funds’ performance monitored in order to avoid severe consequences that may lead to additional problems.</w:t>
      </w:r>
    </w:p>
    <w:p w:rsidR="005D378B" w:rsidRDefault="005D378B" w:rsidP="005D378B">
      <w:pPr>
        <w:spacing w:before="240" w:line="360" w:lineRule="auto"/>
        <w:rPr>
          <w:rStyle w:val="IntenseEmphasis"/>
          <w:b w:val="0"/>
          <w:bCs w:val="0"/>
          <w:i w:val="0"/>
          <w:iCs w:val="0"/>
        </w:rPr>
      </w:pPr>
      <w:r>
        <w:rPr>
          <w:rStyle w:val="IntenseEmphasis"/>
        </w:rPr>
        <w:t>4.4</w:t>
      </w:r>
      <w:r w:rsidRPr="00272A8D">
        <w:rPr>
          <w:rStyle w:val="IntenseEmphasis"/>
        </w:rPr>
        <w:t>. The Netherlands, Germany, Italy and Spain</w:t>
      </w:r>
    </w:p>
    <w:p w:rsidR="005D378B" w:rsidRDefault="005D378B" w:rsidP="005D378B">
      <w:pPr>
        <w:spacing w:before="240" w:line="360" w:lineRule="auto"/>
        <w:rPr>
          <w:rFonts w:eastAsiaTheme="minorHAnsi"/>
          <w:lang w:val="en-US"/>
        </w:rPr>
      </w:pPr>
      <w:r>
        <w:rPr>
          <w:rFonts w:eastAsiaTheme="minorHAnsi"/>
          <w:lang w:val="en-US"/>
        </w:rPr>
        <w:t>This subsection will present the cases of four of European welfare states. Each country’s system will be</w:t>
      </w:r>
      <w:r w:rsidR="00050091">
        <w:rPr>
          <w:rFonts w:eastAsiaTheme="minorHAnsi"/>
          <w:lang w:val="en-US"/>
        </w:rPr>
        <w:t xml:space="preserve"> described, in addition to their</w:t>
      </w:r>
      <w:r>
        <w:rPr>
          <w:rFonts w:eastAsiaTheme="minorHAnsi"/>
          <w:lang w:val="en-US"/>
        </w:rPr>
        <w:t xml:space="preserve"> recent developments and examination of the ways the systems cope with the changes in the environment. Table 3 is given here, to serve as a general overview of the distribution as a percentage of the retirement income between the three pillars of each state.</w:t>
      </w:r>
    </w:p>
    <w:p w:rsidR="005D378B" w:rsidRPr="00DD0DDA" w:rsidRDefault="005D378B" w:rsidP="005D378B">
      <w:pPr>
        <w:autoSpaceDE w:val="0"/>
        <w:autoSpaceDN w:val="0"/>
        <w:adjustRightInd w:val="0"/>
        <w:rPr>
          <w:rFonts w:eastAsiaTheme="minorHAnsi"/>
          <w:lang w:val="en-US"/>
        </w:rPr>
      </w:pPr>
    </w:p>
    <w:p w:rsidR="005D378B" w:rsidRPr="00DD0DDA" w:rsidRDefault="005D378B" w:rsidP="005D378B">
      <w:pPr>
        <w:autoSpaceDE w:val="0"/>
        <w:autoSpaceDN w:val="0"/>
        <w:adjustRightInd w:val="0"/>
        <w:rPr>
          <w:rFonts w:eastAsiaTheme="minorHAnsi"/>
          <w:lang w:val="en-US"/>
        </w:rPr>
      </w:pPr>
      <w:proofErr w:type="gramStart"/>
      <w:r w:rsidRPr="00DD0DDA">
        <w:rPr>
          <w:rFonts w:eastAsiaTheme="minorHAnsi"/>
          <w:lang w:val="en-US"/>
        </w:rPr>
        <w:t>Table 3.</w:t>
      </w:r>
      <w:proofErr w:type="gramEnd"/>
      <w:r w:rsidRPr="00DD0DDA">
        <w:rPr>
          <w:rFonts w:eastAsiaTheme="minorHAnsi"/>
          <w:lang w:val="en-US"/>
        </w:rPr>
        <w:t xml:space="preserve"> Share as a percentage of the each of the three pillars in the pension system</w:t>
      </w:r>
    </w:p>
    <w:p w:rsidR="005D378B" w:rsidRPr="00DD0DDA" w:rsidRDefault="005D378B" w:rsidP="005D378B">
      <w:pPr>
        <w:autoSpaceDE w:val="0"/>
        <w:autoSpaceDN w:val="0"/>
        <w:adjustRightInd w:val="0"/>
        <w:rPr>
          <w:rFonts w:eastAsiaTheme="minorHAnsi"/>
          <w:lang w:val="en-US"/>
        </w:rPr>
      </w:pPr>
    </w:p>
    <w:tbl>
      <w:tblPr>
        <w:tblStyle w:val="TableGrid"/>
        <w:tblW w:w="9332" w:type="dxa"/>
        <w:tblLook w:val="04A0"/>
      </w:tblPr>
      <w:tblGrid>
        <w:gridCol w:w="1866"/>
        <w:gridCol w:w="1866"/>
        <w:gridCol w:w="1866"/>
        <w:gridCol w:w="1867"/>
        <w:gridCol w:w="1867"/>
      </w:tblGrid>
      <w:tr w:rsidR="005D378B" w:rsidRPr="00DD0DDA" w:rsidTr="007F49EC">
        <w:trPr>
          <w:trHeight w:val="505"/>
        </w:trPr>
        <w:tc>
          <w:tcPr>
            <w:tcW w:w="1866"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p>
        </w:tc>
        <w:tc>
          <w:tcPr>
            <w:tcW w:w="1866"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r w:rsidRPr="00DD0DDA">
              <w:rPr>
                <w:rStyle w:val="Emphasis"/>
                <w:sz w:val="24"/>
                <w:szCs w:val="24"/>
                <w:lang w:val="en-US"/>
              </w:rPr>
              <w:t>The Netherlands</w:t>
            </w:r>
          </w:p>
        </w:tc>
        <w:tc>
          <w:tcPr>
            <w:tcW w:w="1866"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r w:rsidRPr="00DD0DDA">
              <w:rPr>
                <w:rStyle w:val="Emphasis"/>
                <w:sz w:val="24"/>
                <w:szCs w:val="24"/>
                <w:lang w:val="en-US"/>
              </w:rPr>
              <w:t>Germany</w:t>
            </w:r>
          </w:p>
        </w:tc>
        <w:tc>
          <w:tcPr>
            <w:tcW w:w="1867"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r w:rsidRPr="00DD0DDA">
              <w:rPr>
                <w:rStyle w:val="Emphasis"/>
                <w:sz w:val="24"/>
                <w:szCs w:val="24"/>
                <w:lang w:val="en-US"/>
              </w:rPr>
              <w:t>Italy</w:t>
            </w:r>
          </w:p>
        </w:tc>
        <w:tc>
          <w:tcPr>
            <w:tcW w:w="1867"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r w:rsidRPr="00DD0DDA">
              <w:rPr>
                <w:rStyle w:val="Emphasis"/>
                <w:sz w:val="24"/>
                <w:szCs w:val="24"/>
                <w:lang w:val="en-US"/>
              </w:rPr>
              <w:t>Spain</w:t>
            </w:r>
          </w:p>
        </w:tc>
      </w:tr>
      <w:tr w:rsidR="005D378B" w:rsidRPr="00DD0DDA" w:rsidTr="007F49EC">
        <w:trPr>
          <w:trHeight w:val="505"/>
        </w:trPr>
        <w:tc>
          <w:tcPr>
            <w:tcW w:w="1866"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r w:rsidRPr="00DD0DDA">
              <w:rPr>
                <w:rStyle w:val="Emphasis"/>
                <w:sz w:val="24"/>
                <w:szCs w:val="24"/>
                <w:lang w:val="en-US"/>
              </w:rPr>
              <w:t>1</w:t>
            </w:r>
            <w:r w:rsidRPr="00DD0DDA">
              <w:rPr>
                <w:rStyle w:val="Emphasis"/>
                <w:sz w:val="24"/>
                <w:szCs w:val="24"/>
                <w:vertAlign w:val="superscript"/>
                <w:lang w:val="en-US"/>
              </w:rPr>
              <w:t>st</w:t>
            </w:r>
            <w:r w:rsidRPr="00DD0DDA">
              <w:rPr>
                <w:rStyle w:val="Emphasis"/>
                <w:sz w:val="24"/>
                <w:szCs w:val="24"/>
                <w:lang w:val="en-US"/>
              </w:rPr>
              <w:t xml:space="preserve"> pillar</w:t>
            </w:r>
          </w:p>
        </w:tc>
        <w:tc>
          <w:tcPr>
            <w:tcW w:w="1866"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r w:rsidRPr="00DD0DDA">
              <w:rPr>
                <w:rStyle w:val="Emphasis"/>
                <w:sz w:val="24"/>
                <w:szCs w:val="24"/>
                <w:lang w:val="en-US"/>
              </w:rPr>
              <w:t>50</w:t>
            </w:r>
          </w:p>
        </w:tc>
        <w:tc>
          <w:tcPr>
            <w:tcW w:w="1866"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r w:rsidRPr="00DD0DDA">
              <w:rPr>
                <w:rStyle w:val="Emphasis"/>
                <w:sz w:val="24"/>
                <w:szCs w:val="24"/>
                <w:lang w:val="en-US"/>
              </w:rPr>
              <w:t>85</w:t>
            </w:r>
          </w:p>
        </w:tc>
        <w:tc>
          <w:tcPr>
            <w:tcW w:w="1867"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r w:rsidRPr="00DD0DDA">
              <w:rPr>
                <w:rStyle w:val="Emphasis"/>
                <w:sz w:val="24"/>
                <w:szCs w:val="24"/>
                <w:lang w:val="en-US"/>
              </w:rPr>
              <w:t>74</w:t>
            </w:r>
          </w:p>
        </w:tc>
        <w:tc>
          <w:tcPr>
            <w:tcW w:w="1867"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r w:rsidRPr="00DD0DDA">
              <w:rPr>
                <w:rStyle w:val="Emphasis"/>
                <w:sz w:val="24"/>
                <w:szCs w:val="24"/>
                <w:lang w:val="en-US"/>
              </w:rPr>
              <w:t>92</w:t>
            </w:r>
          </w:p>
        </w:tc>
      </w:tr>
      <w:tr w:rsidR="005D378B" w:rsidRPr="00DD0DDA" w:rsidTr="007F49EC">
        <w:trPr>
          <w:trHeight w:val="482"/>
        </w:trPr>
        <w:tc>
          <w:tcPr>
            <w:tcW w:w="1866"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r w:rsidRPr="00DD0DDA">
              <w:rPr>
                <w:rStyle w:val="Emphasis"/>
                <w:sz w:val="24"/>
                <w:szCs w:val="24"/>
                <w:lang w:val="en-US"/>
              </w:rPr>
              <w:t>2</w:t>
            </w:r>
            <w:r w:rsidRPr="00DD0DDA">
              <w:rPr>
                <w:rStyle w:val="Emphasis"/>
                <w:sz w:val="24"/>
                <w:szCs w:val="24"/>
                <w:vertAlign w:val="superscript"/>
                <w:lang w:val="en-US"/>
              </w:rPr>
              <w:t>nd</w:t>
            </w:r>
            <w:r w:rsidRPr="00DD0DDA">
              <w:rPr>
                <w:rStyle w:val="Emphasis"/>
                <w:sz w:val="24"/>
                <w:szCs w:val="24"/>
                <w:lang w:val="en-US"/>
              </w:rPr>
              <w:t xml:space="preserve"> pillar</w:t>
            </w:r>
          </w:p>
        </w:tc>
        <w:tc>
          <w:tcPr>
            <w:tcW w:w="1866"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r w:rsidRPr="00DD0DDA">
              <w:rPr>
                <w:rStyle w:val="Emphasis"/>
                <w:sz w:val="24"/>
                <w:szCs w:val="24"/>
                <w:lang w:val="en-US"/>
              </w:rPr>
              <w:t>40</w:t>
            </w:r>
          </w:p>
        </w:tc>
        <w:tc>
          <w:tcPr>
            <w:tcW w:w="1866"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r w:rsidRPr="00DD0DDA">
              <w:rPr>
                <w:rStyle w:val="Emphasis"/>
                <w:sz w:val="24"/>
                <w:szCs w:val="24"/>
                <w:lang w:val="en-US"/>
              </w:rPr>
              <w:t>5</w:t>
            </w:r>
          </w:p>
        </w:tc>
        <w:tc>
          <w:tcPr>
            <w:tcW w:w="1867"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r w:rsidRPr="00DD0DDA">
              <w:rPr>
                <w:rStyle w:val="Emphasis"/>
                <w:sz w:val="24"/>
                <w:szCs w:val="24"/>
                <w:lang w:val="en-US"/>
              </w:rPr>
              <w:t>1</w:t>
            </w:r>
          </w:p>
        </w:tc>
        <w:tc>
          <w:tcPr>
            <w:tcW w:w="1867"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r w:rsidRPr="00DD0DDA">
              <w:rPr>
                <w:rStyle w:val="Emphasis"/>
                <w:sz w:val="24"/>
                <w:szCs w:val="24"/>
                <w:lang w:val="en-US"/>
              </w:rPr>
              <w:t>4</w:t>
            </w:r>
          </w:p>
        </w:tc>
      </w:tr>
      <w:tr w:rsidR="005D378B" w:rsidRPr="00DD0DDA" w:rsidTr="007F49EC">
        <w:trPr>
          <w:trHeight w:val="505"/>
        </w:trPr>
        <w:tc>
          <w:tcPr>
            <w:tcW w:w="1866"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r w:rsidRPr="00DD0DDA">
              <w:rPr>
                <w:rStyle w:val="Emphasis"/>
                <w:sz w:val="24"/>
                <w:szCs w:val="24"/>
                <w:lang w:val="en-US"/>
              </w:rPr>
              <w:t>3</w:t>
            </w:r>
            <w:r w:rsidRPr="00DD0DDA">
              <w:rPr>
                <w:rStyle w:val="Emphasis"/>
                <w:sz w:val="24"/>
                <w:szCs w:val="24"/>
                <w:vertAlign w:val="superscript"/>
                <w:lang w:val="en-US"/>
              </w:rPr>
              <w:t>rd</w:t>
            </w:r>
            <w:r w:rsidRPr="00DD0DDA">
              <w:rPr>
                <w:rStyle w:val="Emphasis"/>
                <w:sz w:val="24"/>
                <w:szCs w:val="24"/>
                <w:lang w:val="en-US"/>
              </w:rPr>
              <w:t xml:space="preserve"> pillar</w:t>
            </w:r>
          </w:p>
        </w:tc>
        <w:tc>
          <w:tcPr>
            <w:tcW w:w="1866"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r w:rsidRPr="00DD0DDA">
              <w:rPr>
                <w:rStyle w:val="Emphasis"/>
                <w:sz w:val="24"/>
                <w:szCs w:val="24"/>
                <w:lang w:val="en-US"/>
              </w:rPr>
              <w:t>10</w:t>
            </w:r>
          </w:p>
        </w:tc>
        <w:tc>
          <w:tcPr>
            <w:tcW w:w="1866"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r w:rsidRPr="00DD0DDA">
              <w:rPr>
                <w:rStyle w:val="Emphasis"/>
                <w:sz w:val="24"/>
                <w:szCs w:val="24"/>
                <w:lang w:val="en-US"/>
              </w:rPr>
              <w:t>10</w:t>
            </w:r>
          </w:p>
        </w:tc>
        <w:tc>
          <w:tcPr>
            <w:tcW w:w="1867"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r w:rsidRPr="00DD0DDA">
              <w:rPr>
                <w:rStyle w:val="Emphasis"/>
                <w:sz w:val="24"/>
                <w:szCs w:val="24"/>
                <w:lang w:val="en-US"/>
              </w:rPr>
              <w:t>25</w:t>
            </w:r>
          </w:p>
        </w:tc>
        <w:tc>
          <w:tcPr>
            <w:tcW w:w="1867" w:type="dxa"/>
          </w:tcPr>
          <w:p w:rsidR="005D378B" w:rsidRPr="00DD0DDA" w:rsidRDefault="005D378B" w:rsidP="007F49EC">
            <w:pPr>
              <w:autoSpaceDE w:val="0"/>
              <w:autoSpaceDN w:val="0"/>
              <w:adjustRightInd w:val="0"/>
              <w:spacing w:line="360" w:lineRule="auto"/>
              <w:jc w:val="center"/>
              <w:rPr>
                <w:rStyle w:val="Emphasis"/>
                <w:i w:val="0"/>
                <w:sz w:val="24"/>
                <w:szCs w:val="24"/>
                <w:lang w:val="en-US"/>
              </w:rPr>
            </w:pPr>
            <w:r w:rsidRPr="00DD0DDA">
              <w:rPr>
                <w:rStyle w:val="Emphasis"/>
                <w:sz w:val="24"/>
                <w:szCs w:val="24"/>
                <w:lang w:val="en-US"/>
              </w:rPr>
              <w:t>4</w:t>
            </w:r>
          </w:p>
        </w:tc>
      </w:tr>
    </w:tbl>
    <w:p w:rsidR="005D378B" w:rsidRDefault="005D378B" w:rsidP="005D378B">
      <w:pPr>
        <w:autoSpaceDE w:val="0"/>
        <w:autoSpaceDN w:val="0"/>
        <w:adjustRightInd w:val="0"/>
        <w:rPr>
          <w:rFonts w:eastAsiaTheme="minorHAnsi"/>
          <w:lang w:val="en-US"/>
        </w:rPr>
      </w:pPr>
      <w:r>
        <w:rPr>
          <w:rFonts w:eastAsiaTheme="minorHAnsi"/>
          <w:lang w:val="en-US"/>
        </w:rPr>
        <w:t xml:space="preserve">Source: </w:t>
      </w:r>
      <w:proofErr w:type="spellStart"/>
      <w:r w:rsidRPr="006A1254">
        <w:rPr>
          <w:rFonts w:eastAsiaTheme="minorHAnsi"/>
          <w:lang w:val="en-US"/>
        </w:rPr>
        <w:t>Börsch-Supan</w:t>
      </w:r>
      <w:proofErr w:type="spellEnd"/>
      <w:r w:rsidRPr="006A1254">
        <w:rPr>
          <w:rFonts w:eastAsiaTheme="minorHAnsi"/>
          <w:lang w:val="en-US"/>
        </w:rPr>
        <w:t xml:space="preserve"> (2004)</w:t>
      </w:r>
    </w:p>
    <w:p w:rsidR="005D378B" w:rsidRPr="002B3F76" w:rsidRDefault="005D378B" w:rsidP="005D378B">
      <w:pPr>
        <w:autoSpaceDE w:val="0"/>
        <w:autoSpaceDN w:val="0"/>
        <w:adjustRightInd w:val="0"/>
        <w:rPr>
          <w:rFonts w:eastAsiaTheme="minorHAnsi"/>
          <w:lang w:val="en-US"/>
        </w:rPr>
      </w:pPr>
    </w:p>
    <w:p w:rsidR="00050091" w:rsidRDefault="00050091" w:rsidP="005D378B">
      <w:pPr>
        <w:autoSpaceDE w:val="0"/>
        <w:autoSpaceDN w:val="0"/>
        <w:adjustRightInd w:val="0"/>
        <w:spacing w:before="240" w:line="360" w:lineRule="auto"/>
        <w:rPr>
          <w:i/>
          <w:color w:val="000000"/>
          <w:lang w:val="en-US" w:eastAsia="bg-BG"/>
        </w:rPr>
      </w:pPr>
    </w:p>
    <w:p w:rsidR="005D378B" w:rsidRDefault="005D378B" w:rsidP="005D378B">
      <w:pPr>
        <w:autoSpaceDE w:val="0"/>
        <w:autoSpaceDN w:val="0"/>
        <w:adjustRightInd w:val="0"/>
        <w:spacing w:before="240" w:line="360" w:lineRule="auto"/>
        <w:rPr>
          <w:i/>
          <w:color w:val="000000"/>
          <w:lang w:val="en-US" w:eastAsia="bg-BG"/>
        </w:rPr>
      </w:pPr>
      <w:bookmarkStart w:id="1" w:name="OLE_LINK1"/>
      <w:bookmarkStart w:id="2" w:name="OLE_LINK2"/>
      <w:r w:rsidRPr="00B72096">
        <w:rPr>
          <w:i/>
          <w:color w:val="000000"/>
          <w:lang w:val="en-US" w:eastAsia="bg-BG"/>
        </w:rPr>
        <w:lastRenderedPageBreak/>
        <w:t xml:space="preserve">The Netherlands: </w:t>
      </w:r>
    </w:p>
    <w:p w:rsidR="005D378B" w:rsidRPr="000A715E" w:rsidRDefault="005D378B" w:rsidP="005D378B">
      <w:pPr>
        <w:autoSpaceDE w:val="0"/>
        <w:autoSpaceDN w:val="0"/>
        <w:adjustRightInd w:val="0"/>
        <w:spacing w:before="120" w:line="360" w:lineRule="auto"/>
        <w:jc w:val="both"/>
        <w:rPr>
          <w:lang w:val="en-US" w:eastAsia="bg-BG"/>
        </w:rPr>
      </w:pPr>
      <w:r w:rsidRPr="000D273C">
        <w:rPr>
          <w:color w:val="000000"/>
          <w:lang w:val="en-US" w:eastAsia="bg-BG"/>
        </w:rPr>
        <w:t>T</w:t>
      </w:r>
      <w:r w:rsidRPr="000D273C">
        <w:rPr>
          <w:color w:val="000000"/>
          <w:lang w:val="bg-BG" w:eastAsia="bg-BG"/>
        </w:rPr>
        <w:t xml:space="preserve">he </w:t>
      </w:r>
      <w:r>
        <w:rPr>
          <w:color w:val="000000"/>
          <w:lang w:val="en-US" w:eastAsia="bg-BG"/>
        </w:rPr>
        <w:t>set up of the pension system in Netherlands is as follows. It is a fully-fledged multi-tiered pension system with a strong funded component.</w:t>
      </w:r>
      <w:r w:rsidRPr="000D273C">
        <w:rPr>
          <w:color w:val="000000"/>
          <w:lang w:val="bg-BG" w:eastAsia="bg-BG"/>
        </w:rPr>
        <w:t xml:space="preserve"> </w:t>
      </w:r>
      <w:r>
        <w:rPr>
          <w:color w:val="000000"/>
          <w:lang w:val="en-US" w:eastAsia="bg-BG"/>
        </w:rPr>
        <w:t xml:space="preserve">This </w:t>
      </w:r>
      <w:r>
        <w:rPr>
          <w:color w:val="000000"/>
          <w:lang w:val="bg-BG" w:eastAsia="bg-BG"/>
        </w:rPr>
        <w:t xml:space="preserve">pension </w:t>
      </w:r>
      <w:r>
        <w:rPr>
          <w:color w:val="000000"/>
          <w:lang w:val="en-US" w:eastAsia="bg-BG"/>
        </w:rPr>
        <w:t xml:space="preserve">scheme has been </w:t>
      </w:r>
      <w:r w:rsidRPr="000D273C">
        <w:rPr>
          <w:color w:val="000000"/>
          <w:lang w:val="en-US" w:eastAsia="bg-BG"/>
        </w:rPr>
        <w:t>of great interest to countries seeking a pension reform</w:t>
      </w:r>
      <w:r>
        <w:rPr>
          <w:color w:val="000000"/>
          <w:lang w:val="en-US" w:eastAsia="bg-BG"/>
        </w:rPr>
        <w:t xml:space="preserve"> as it provides the best example, in practice, that a hybrid system can be efficient regarding the current demographic movements. </w:t>
      </w:r>
      <w:r w:rsidRPr="00777303">
        <w:rPr>
          <w:lang w:val="en-US" w:eastAsia="bg-BG"/>
        </w:rPr>
        <w:t>It seems appealing, as it offers a possible solution to many of the issues</w:t>
      </w:r>
      <w:r>
        <w:rPr>
          <w:lang w:val="en-US" w:eastAsia="bg-BG"/>
        </w:rPr>
        <w:t xml:space="preserve"> concerning the sustainability</w:t>
      </w:r>
      <w:r w:rsidRPr="00777303">
        <w:rPr>
          <w:lang w:val="en-US" w:eastAsia="bg-BG"/>
        </w:rPr>
        <w:t xml:space="preserve"> of </w:t>
      </w:r>
      <w:r w:rsidRPr="00777303">
        <w:rPr>
          <w:lang w:val="bg-BG" w:eastAsia="bg-BG"/>
        </w:rPr>
        <w:t xml:space="preserve">the traditional </w:t>
      </w:r>
      <w:r>
        <w:rPr>
          <w:lang w:val="en-US" w:eastAsia="bg-BG"/>
        </w:rPr>
        <w:t>public</w:t>
      </w:r>
      <w:r w:rsidRPr="00777303">
        <w:rPr>
          <w:lang w:val="bg-BG" w:eastAsia="bg-BG"/>
        </w:rPr>
        <w:t xml:space="preserve"> defined-benefit schemes</w:t>
      </w:r>
      <w:r w:rsidRPr="00777303">
        <w:rPr>
          <w:lang w:val="en-US" w:eastAsia="bg-BG"/>
        </w:rPr>
        <w:t xml:space="preserve"> </w:t>
      </w:r>
      <w:r>
        <w:rPr>
          <w:lang w:val="en-US" w:eastAsia="bg-BG"/>
        </w:rPr>
        <w:t xml:space="preserve">where workers and future participants are reluctant to provide the current generous pensions. According to OECD report of 2011, the Netherlands is one of the only European countries which </w:t>
      </w:r>
      <w:proofErr w:type="gramStart"/>
      <w:r>
        <w:rPr>
          <w:lang w:val="en-US" w:eastAsia="bg-BG"/>
        </w:rPr>
        <w:t>spend</w:t>
      </w:r>
      <w:r w:rsidR="000A715E">
        <w:rPr>
          <w:lang w:val="en-US" w:eastAsia="bg-BG"/>
        </w:rPr>
        <w:t>s</w:t>
      </w:r>
      <w:proofErr w:type="gramEnd"/>
      <w:r>
        <w:rPr>
          <w:lang w:val="en-US" w:eastAsia="bg-BG"/>
        </w:rPr>
        <w:t xml:space="preserve"> such a small share of the national income on public pensions. </w:t>
      </w:r>
      <w:r>
        <w:rPr>
          <w:lang w:val="bg-BG" w:eastAsia="bg-BG"/>
        </w:rPr>
        <w:t>The current Dutch pension plan</w:t>
      </w:r>
      <w:r>
        <w:rPr>
          <w:lang w:val="en-US" w:eastAsia="bg-BG"/>
        </w:rPr>
        <w:t xml:space="preserve">, </w:t>
      </w:r>
      <w:r w:rsidRPr="00777303">
        <w:rPr>
          <w:lang w:val="bg-BG" w:eastAsia="bg-BG"/>
        </w:rPr>
        <w:t>regarded as a hybrid DB-DC plan</w:t>
      </w:r>
      <w:r w:rsidRPr="00777303">
        <w:rPr>
          <w:lang w:val="en-US" w:eastAsia="bg-BG"/>
        </w:rPr>
        <w:t xml:space="preserve"> </w:t>
      </w:r>
      <w:r w:rsidRPr="00777303">
        <w:rPr>
          <w:lang w:val="bg-BG" w:eastAsia="bg-BG"/>
        </w:rPr>
        <w:t>consists of three pillars. The first</w:t>
      </w:r>
      <w:r w:rsidRPr="00777303">
        <w:rPr>
          <w:lang w:val="en-US" w:eastAsia="bg-BG"/>
        </w:rPr>
        <w:t xml:space="preserve"> </w:t>
      </w:r>
      <w:r w:rsidRPr="00777303">
        <w:rPr>
          <w:lang w:val="bg-BG" w:eastAsia="bg-BG"/>
        </w:rPr>
        <w:t>pillar is a pay-as-you-go public pension scheme</w:t>
      </w:r>
      <w:r w:rsidRPr="00777303">
        <w:rPr>
          <w:lang w:val="en-US" w:eastAsia="bg-BG"/>
        </w:rPr>
        <w:t xml:space="preserve">, </w:t>
      </w:r>
      <w:r>
        <w:rPr>
          <w:lang w:val="en-US" w:eastAsia="bg-BG"/>
        </w:rPr>
        <w:t xml:space="preserve">under the abbreviation </w:t>
      </w:r>
      <w:r w:rsidRPr="00777303">
        <w:rPr>
          <w:lang w:val="en-US" w:eastAsia="bg-BG"/>
        </w:rPr>
        <w:t>AOW</w:t>
      </w:r>
      <w:r>
        <w:rPr>
          <w:lang w:val="bg-BG" w:eastAsia="bg-BG"/>
        </w:rPr>
        <w:t>. I</w:t>
      </w:r>
      <w:r>
        <w:rPr>
          <w:lang w:val="en-US" w:eastAsia="bg-BG"/>
        </w:rPr>
        <w:t>n its essence</w:t>
      </w:r>
      <w:r w:rsidR="000A715E">
        <w:rPr>
          <w:lang w:val="en-US" w:eastAsia="bg-BG"/>
        </w:rPr>
        <w:t>,</w:t>
      </w:r>
      <w:r>
        <w:rPr>
          <w:lang w:val="en-US" w:eastAsia="bg-BG"/>
        </w:rPr>
        <w:t xml:space="preserve"> it is </w:t>
      </w:r>
      <w:r w:rsidRPr="00777303">
        <w:rPr>
          <w:lang w:val="bg-BG" w:eastAsia="bg-BG"/>
        </w:rPr>
        <w:t>a basic pension</w:t>
      </w:r>
      <w:r>
        <w:rPr>
          <w:lang w:val="en-US" w:eastAsia="bg-BG"/>
        </w:rPr>
        <w:t xml:space="preserve"> with</w:t>
      </w:r>
      <w:r w:rsidRPr="00777303">
        <w:rPr>
          <w:lang w:val="en-US" w:eastAsia="bg-BG"/>
        </w:rPr>
        <w:t xml:space="preserve"> universal coverage to</w:t>
      </w:r>
      <w:r w:rsidRPr="00777303">
        <w:rPr>
          <w:lang w:val="bg-BG" w:eastAsia="bg-BG"/>
        </w:rPr>
        <w:t xml:space="preserve"> all</w:t>
      </w:r>
      <w:r w:rsidRPr="00777303">
        <w:rPr>
          <w:lang w:val="en-US" w:eastAsia="bg-BG"/>
        </w:rPr>
        <w:t xml:space="preserve"> </w:t>
      </w:r>
      <w:r>
        <w:rPr>
          <w:lang w:val="en-US" w:eastAsia="bg-BG"/>
        </w:rPr>
        <w:t>retirees</w:t>
      </w:r>
      <w:r>
        <w:rPr>
          <w:lang w:val="bg-BG" w:eastAsia="bg-BG"/>
        </w:rPr>
        <w:t xml:space="preserve"> </w:t>
      </w:r>
      <w:r>
        <w:rPr>
          <w:lang w:val="en-US" w:eastAsia="bg-BG"/>
        </w:rPr>
        <w:t>which is</w:t>
      </w:r>
      <w:r w:rsidRPr="00777303">
        <w:rPr>
          <w:lang w:val="bg-BG" w:eastAsia="bg-BG"/>
        </w:rPr>
        <w:t xml:space="preserve"> </w:t>
      </w:r>
      <w:r>
        <w:rPr>
          <w:lang w:val="en-US" w:eastAsia="bg-BG"/>
        </w:rPr>
        <w:t>close to the</w:t>
      </w:r>
      <w:r w:rsidR="000A715E">
        <w:rPr>
          <w:lang w:val="en-US" w:eastAsia="bg-BG"/>
        </w:rPr>
        <w:t xml:space="preserve"> official</w:t>
      </w:r>
      <w:r>
        <w:rPr>
          <w:lang w:val="en-US" w:eastAsia="bg-BG"/>
        </w:rPr>
        <w:t xml:space="preserve"> minimum wag</w:t>
      </w:r>
      <w:r w:rsidRPr="00777303">
        <w:rPr>
          <w:lang w:val="bg-BG" w:eastAsia="bg-BG"/>
        </w:rPr>
        <w:t>e.</w:t>
      </w:r>
      <w:r>
        <w:rPr>
          <w:lang w:val="en-US" w:eastAsia="bg-BG"/>
        </w:rPr>
        <w:t xml:space="preserve"> As in the theoretical setting, this pillar is mainly aiming to provide a level of living standard such that it ensures to alleviate poverty among the elderly.</w:t>
      </w:r>
      <w:r w:rsidRPr="00777303">
        <w:rPr>
          <w:lang w:val="bg-BG" w:eastAsia="bg-BG"/>
        </w:rPr>
        <w:t xml:space="preserve"> </w:t>
      </w:r>
      <w:r w:rsidRPr="00777303">
        <w:rPr>
          <w:lang w:val="en-US" w:eastAsia="bg-BG"/>
        </w:rPr>
        <w:t xml:space="preserve">A major difference with </w:t>
      </w:r>
      <w:r>
        <w:rPr>
          <w:lang w:val="en-US" w:eastAsia="bg-BG"/>
        </w:rPr>
        <w:t>Germany and many other European countries</w:t>
      </w:r>
      <w:r w:rsidRPr="00777303">
        <w:rPr>
          <w:lang w:val="en-US" w:eastAsia="bg-BG"/>
        </w:rPr>
        <w:t xml:space="preserve"> is that</w:t>
      </w:r>
      <w:r w:rsidRPr="00777303">
        <w:rPr>
          <w:lang w:val="bg-BG" w:eastAsia="bg-BG"/>
        </w:rPr>
        <w:t>, the state pension in</w:t>
      </w:r>
      <w:r>
        <w:rPr>
          <w:lang w:val="bg-BG" w:eastAsia="bg-BG"/>
        </w:rPr>
        <w:t xml:space="preserve"> the Netherlands provides only</w:t>
      </w:r>
      <w:r w:rsidRPr="00777303">
        <w:rPr>
          <w:lang w:val="bg-BG" w:eastAsia="bg-BG"/>
        </w:rPr>
        <w:t xml:space="preserve"> small part</w:t>
      </w:r>
      <w:r w:rsidRPr="00777303">
        <w:rPr>
          <w:lang w:val="en-US" w:eastAsia="bg-BG"/>
        </w:rPr>
        <w:t xml:space="preserve"> </w:t>
      </w:r>
      <w:r w:rsidRPr="00777303">
        <w:rPr>
          <w:lang w:val="bg-BG" w:eastAsia="bg-BG"/>
        </w:rPr>
        <w:t xml:space="preserve">of pension income for </w:t>
      </w:r>
      <w:r w:rsidRPr="00777303">
        <w:rPr>
          <w:lang w:val="en-US" w:eastAsia="bg-BG"/>
        </w:rPr>
        <w:t>the</w:t>
      </w:r>
      <w:r w:rsidRPr="00777303">
        <w:rPr>
          <w:lang w:val="bg-BG" w:eastAsia="bg-BG"/>
        </w:rPr>
        <w:t xml:space="preserve"> </w:t>
      </w:r>
      <w:r>
        <w:rPr>
          <w:lang w:val="en-US" w:eastAsia="bg-BG"/>
        </w:rPr>
        <w:t>individuals</w:t>
      </w:r>
      <w:r w:rsidRPr="00777303">
        <w:rPr>
          <w:lang w:val="bg-BG" w:eastAsia="bg-BG"/>
        </w:rPr>
        <w:t xml:space="preserve"> </w:t>
      </w:r>
      <w:r>
        <w:rPr>
          <w:lang w:val="en-US" w:eastAsia="bg-BG"/>
        </w:rPr>
        <w:t>that fall</w:t>
      </w:r>
      <w:r w:rsidRPr="00777303">
        <w:rPr>
          <w:lang w:val="en-US" w:eastAsia="bg-BG"/>
        </w:rPr>
        <w:t xml:space="preserve"> within the</w:t>
      </w:r>
      <w:r>
        <w:rPr>
          <w:lang w:val="bg-BG" w:eastAsia="bg-BG"/>
        </w:rPr>
        <w:t xml:space="preserve"> middle and higher income</w:t>
      </w:r>
      <w:r>
        <w:rPr>
          <w:lang w:val="en-US" w:eastAsia="bg-BG"/>
        </w:rPr>
        <w:t xml:space="preserve"> classes</w:t>
      </w:r>
      <w:r w:rsidRPr="00777303">
        <w:rPr>
          <w:lang w:val="bg-BG" w:eastAsia="bg-BG"/>
        </w:rPr>
        <w:t>. If these</w:t>
      </w:r>
      <w:r w:rsidRPr="00777303">
        <w:rPr>
          <w:lang w:val="en-US" w:eastAsia="bg-BG"/>
        </w:rPr>
        <w:t xml:space="preserve"> </w:t>
      </w:r>
      <w:r w:rsidRPr="00777303">
        <w:rPr>
          <w:lang w:val="bg-BG" w:eastAsia="bg-BG"/>
        </w:rPr>
        <w:t xml:space="preserve">workers want to </w:t>
      </w:r>
      <w:r>
        <w:rPr>
          <w:lang w:val="en-US" w:eastAsia="bg-BG"/>
        </w:rPr>
        <w:t>keep</w:t>
      </w:r>
      <w:r w:rsidRPr="00777303">
        <w:rPr>
          <w:lang w:val="bg-BG" w:eastAsia="bg-BG"/>
        </w:rPr>
        <w:t xml:space="preserve"> their standard of living </w:t>
      </w:r>
      <w:r>
        <w:rPr>
          <w:lang w:val="en-US" w:eastAsia="bg-BG"/>
        </w:rPr>
        <w:t>after</w:t>
      </w:r>
      <w:r w:rsidRPr="00777303">
        <w:rPr>
          <w:lang w:val="bg-BG" w:eastAsia="bg-BG"/>
        </w:rPr>
        <w:t xml:space="preserve"> retirement, they need</w:t>
      </w:r>
      <w:r w:rsidR="000A715E">
        <w:rPr>
          <w:lang w:eastAsia="bg-BG"/>
        </w:rPr>
        <w:t xml:space="preserve"> an</w:t>
      </w:r>
      <w:r w:rsidRPr="00777303">
        <w:rPr>
          <w:lang w:val="bg-BG" w:eastAsia="bg-BG"/>
        </w:rPr>
        <w:t xml:space="preserve"> additional</w:t>
      </w:r>
      <w:r w:rsidRPr="00777303">
        <w:rPr>
          <w:lang w:val="en-US" w:eastAsia="bg-BG"/>
        </w:rPr>
        <w:t xml:space="preserve"> </w:t>
      </w:r>
      <w:r w:rsidRPr="00777303">
        <w:rPr>
          <w:lang w:val="bg-BG" w:eastAsia="bg-BG"/>
        </w:rPr>
        <w:t xml:space="preserve">pension </w:t>
      </w:r>
      <w:r>
        <w:rPr>
          <w:lang w:val="en-US" w:eastAsia="bg-BG"/>
        </w:rPr>
        <w:t>provision</w:t>
      </w:r>
      <w:r w:rsidRPr="00777303">
        <w:rPr>
          <w:lang w:val="bg-BG" w:eastAsia="bg-BG"/>
        </w:rPr>
        <w:t xml:space="preserve">. </w:t>
      </w:r>
      <w:r>
        <w:rPr>
          <w:lang w:val="en-US" w:eastAsia="bg-BG"/>
        </w:rPr>
        <w:t>Here is the place where the second pillar comes into practice. It</w:t>
      </w:r>
      <w:r w:rsidRPr="00777303">
        <w:rPr>
          <w:lang w:val="bg-BG" w:eastAsia="bg-BG"/>
        </w:rPr>
        <w:t xml:space="preserve"> consists of the collective</w:t>
      </w:r>
      <w:r>
        <w:rPr>
          <w:lang w:val="en-US" w:eastAsia="bg-BG"/>
        </w:rPr>
        <w:t xml:space="preserve"> private</w:t>
      </w:r>
      <w:r w:rsidRPr="00777303">
        <w:rPr>
          <w:lang w:val="bg-BG" w:eastAsia="bg-BG"/>
        </w:rPr>
        <w:t xml:space="preserve"> pension schemes. These pension</w:t>
      </w:r>
      <w:r w:rsidRPr="00777303">
        <w:rPr>
          <w:lang w:val="en-US" w:eastAsia="bg-BG"/>
        </w:rPr>
        <w:t xml:space="preserve"> </w:t>
      </w:r>
      <w:r w:rsidRPr="00777303">
        <w:rPr>
          <w:lang w:val="bg-BG" w:eastAsia="bg-BG"/>
        </w:rPr>
        <w:t xml:space="preserve">schemes are administered by a </w:t>
      </w:r>
      <w:r>
        <w:rPr>
          <w:lang w:val="bg-BG" w:eastAsia="bg-BG"/>
        </w:rPr>
        <w:t>pension fund or by a</w:t>
      </w:r>
      <w:r>
        <w:rPr>
          <w:lang w:val="en-US" w:eastAsia="bg-BG"/>
        </w:rPr>
        <w:t xml:space="preserve"> financial intermediary </w:t>
      </w:r>
      <w:r w:rsidRPr="00777303">
        <w:rPr>
          <w:lang w:val="bg-BG" w:eastAsia="bg-BG"/>
        </w:rPr>
        <w:t>company</w:t>
      </w:r>
      <w:r>
        <w:rPr>
          <w:lang w:val="en-US" w:eastAsia="bg-BG"/>
        </w:rPr>
        <w:t xml:space="preserve"> and are financed on the principle of</w:t>
      </w:r>
      <w:r w:rsidRPr="00777303">
        <w:rPr>
          <w:lang w:val="en-US" w:eastAsia="bg-BG"/>
        </w:rPr>
        <w:t xml:space="preserve"> capital funding</w:t>
      </w:r>
      <w:r w:rsidRPr="00777303">
        <w:rPr>
          <w:lang w:val="bg-BG" w:eastAsia="bg-BG"/>
        </w:rPr>
        <w:t>. The third pillar consists of</w:t>
      </w:r>
      <w:r w:rsidRPr="00777303">
        <w:rPr>
          <w:lang w:val="en-US" w:eastAsia="bg-BG"/>
        </w:rPr>
        <w:t xml:space="preserve"> </w:t>
      </w:r>
      <w:r w:rsidRPr="00777303">
        <w:rPr>
          <w:lang w:val="bg-BG" w:eastAsia="bg-BG"/>
        </w:rPr>
        <w:t xml:space="preserve">voluntary personal savings, which are tax </w:t>
      </w:r>
      <w:r>
        <w:rPr>
          <w:lang w:val="en-US" w:eastAsia="bg-BG"/>
        </w:rPr>
        <w:t>deductible</w:t>
      </w:r>
      <w:r w:rsidRPr="00777303">
        <w:rPr>
          <w:lang w:val="bg-BG" w:eastAsia="bg-BG"/>
        </w:rPr>
        <w:t xml:space="preserve"> up to a </w:t>
      </w:r>
      <w:r>
        <w:rPr>
          <w:lang w:val="en-US" w:eastAsia="bg-BG"/>
        </w:rPr>
        <w:t>certain level set by the state</w:t>
      </w:r>
      <w:r w:rsidRPr="00777303">
        <w:rPr>
          <w:lang w:val="bg-BG" w:eastAsia="bg-BG"/>
        </w:rPr>
        <w:t>. This pillar can be</w:t>
      </w:r>
      <w:r w:rsidRPr="00777303">
        <w:rPr>
          <w:lang w:val="en-US" w:eastAsia="bg-BG"/>
        </w:rPr>
        <w:t xml:space="preserve"> </w:t>
      </w:r>
      <w:r w:rsidRPr="00777303">
        <w:rPr>
          <w:lang w:val="bg-BG" w:eastAsia="bg-BG"/>
        </w:rPr>
        <w:t xml:space="preserve">used to </w:t>
      </w:r>
      <w:r>
        <w:rPr>
          <w:lang w:val="en-US" w:eastAsia="bg-BG"/>
        </w:rPr>
        <w:t xml:space="preserve">provide for the person’s </w:t>
      </w:r>
      <w:r>
        <w:rPr>
          <w:lang w:val="bg-BG" w:eastAsia="bg-BG"/>
        </w:rPr>
        <w:t xml:space="preserve">pension </w:t>
      </w:r>
      <w:r>
        <w:rPr>
          <w:lang w:val="en-US" w:eastAsia="bg-BG"/>
        </w:rPr>
        <w:t>provision, so that it fits the</w:t>
      </w:r>
      <w:r w:rsidRPr="00777303">
        <w:rPr>
          <w:lang w:val="bg-BG" w:eastAsia="bg-BG"/>
        </w:rPr>
        <w:t xml:space="preserve"> individual</w:t>
      </w:r>
      <w:r w:rsidR="000A715E">
        <w:rPr>
          <w:lang w:val="en-US" w:eastAsia="bg-BG"/>
        </w:rPr>
        <w:t>’s choices</w:t>
      </w:r>
      <w:r w:rsidRPr="00777303">
        <w:rPr>
          <w:lang w:val="bg-BG" w:eastAsia="bg-BG"/>
        </w:rPr>
        <w:t>, and</w:t>
      </w:r>
      <w:r w:rsidRPr="00777303">
        <w:rPr>
          <w:lang w:val="en-US" w:eastAsia="bg-BG"/>
        </w:rPr>
        <w:t xml:space="preserve"> </w:t>
      </w:r>
      <w:r w:rsidRPr="00777303">
        <w:rPr>
          <w:lang w:val="bg-BG" w:eastAsia="bg-BG"/>
        </w:rPr>
        <w:t xml:space="preserve">is </w:t>
      </w:r>
      <w:r w:rsidRPr="00777303">
        <w:rPr>
          <w:lang w:val="en-US" w:eastAsia="bg-BG"/>
        </w:rPr>
        <w:t>of great</w:t>
      </w:r>
      <w:r w:rsidRPr="00777303">
        <w:rPr>
          <w:lang w:val="bg-BG" w:eastAsia="bg-BG"/>
        </w:rPr>
        <w:t xml:space="preserve"> </w:t>
      </w:r>
      <w:r>
        <w:rPr>
          <w:lang w:val="en-US" w:eastAsia="bg-BG"/>
        </w:rPr>
        <w:t>importance</w:t>
      </w:r>
      <w:r w:rsidRPr="00777303">
        <w:rPr>
          <w:lang w:val="bg-BG" w:eastAsia="bg-BG"/>
        </w:rPr>
        <w:t xml:space="preserve"> for </w:t>
      </w:r>
      <w:r>
        <w:rPr>
          <w:lang w:val="en-US" w:eastAsia="bg-BG"/>
        </w:rPr>
        <w:t xml:space="preserve">the </w:t>
      </w:r>
      <w:r w:rsidRPr="00777303">
        <w:rPr>
          <w:lang w:val="bg-BG" w:eastAsia="bg-BG"/>
        </w:rPr>
        <w:t>self-employed individuals</w:t>
      </w:r>
      <w:r>
        <w:rPr>
          <w:lang w:val="bg-BG" w:eastAsia="bg-BG"/>
        </w:rPr>
        <w:t xml:space="preserve"> who lack occupational pensio</w:t>
      </w:r>
      <w:r>
        <w:rPr>
          <w:lang w:val="en-US" w:eastAsia="bg-BG"/>
        </w:rPr>
        <w:t>ns</w:t>
      </w:r>
      <w:r w:rsidRPr="00777303">
        <w:rPr>
          <w:lang w:val="bg-BG" w:eastAsia="bg-BG"/>
        </w:rPr>
        <w:t>.</w:t>
      </w:r>
      <w:r w:rsidR="000A715E">
        <w:rPr>
          <w:lang w:val="en-US" w:eastAsia="bg-BG"/>
        </w:rPr>
        <w:t xml:space="preserve"> From Table 3, the difference of the Dutch pension system from the other countries in this study</w:t>
      </w:r>
      <w:r>
        <w:rPr>
          <w:lang w:val="en-US" w:eastAsia="bg-BG"/>
        </w:rPr>
        <w:t xml:space="preserve"> becomes clearly visible</w:t>
      </w:r>
      <w:r w:rsidR="000A715E">
        <w:rPr>
          <w:lang w:val="en-US" w:eastAsia="bg-BG"/>
        </w:rPr>
        <w:t xml:space="preserve">. </w:t>
      </w:r>
      <w:r>
        <w:rPr>
          <w:lang w:val="en-US" w:eastAsia="bg-BG"/>
        </w:rPr>
        <w:t>This is the main reason why its case is curious. Many peop</w:t>
      </w:r>
      <w:r w:rsidR="002F7F28">
        <w:rPr>
          <w:lang w:val="en-US" w:eastAsia="bg-BG"/>
        </w:rPr>
        <w:t>le claim that it is the best</w:t>
      </w:r>
      <w:r>
        <w:rPr>
          <w:lang w:val="en-US" w:eastAsia="bg-BG"/>
        </w:rPr>
        <w:t xml:space="preserve"> </w:t>
      </w:r>
      <w:r w:rsidR="002F7F28">
        <w:rPr>
          <w:lang w:val="en-US" w:eastAsia="bg-BG"/>
        </w:rPr>
        <w:t xml:space="preserve">system </w:t>
      </w:r>
      <w:r>
        <w:rPr>
          <w:lang w:val="en-US" w:eastAsia="bg-BG"/>
        </w:rPr>
        <w:t xml:space="preserve">globally. </w:t>
      </w:r>
      <w:r w:rsidRPr="00777303">
        <w:rPr>
          <w:lang w:val="en-US" w:eastAsia="bg-BG"/>
        </w:rPr>
        <w:t>T</w:t>
      </w:r>
      <w:r>
        <w:rPr>
          <w:lang w:val="en-US" w:eastAsia="bg-BG"/>
        </w:rPr>
        <w:t>he report of OECD (2011) has shown that the Dutch</w:t>
      </w:r>
      <w:r w:rsidRPr="00777303">
        <w:rPr>
          <w:lang w:val="en-US" w:eastAsia="bg-BG"/>
        </w:rPr>
        <w:t xml:space="preserve"> pension system </w:t>
      </w:r>
      <w:r w:rsidR="002F7F28">
        <w:rPr>
          <w:lang w:val="en-US" w:eastAsia="bg-BG"/>
        </w:rPr>
        <w:t>has improved the annual earnings</w:t>
      </w:r>
      <w:r>
        <w:rPr>
          <w:lang w:val="en-US" w:eastAsia="bg-BG"/>
        </w:rPr>
        <w:t xml:space="preserve"> of the av</w:t>
      </w:r>
      <w:r w:rsidR="002F7F28">
        <w:rPr>
          <w:lang w:val="en-US" w:eastAsia="bg-BG"/>
        </w:rPr>
        <w:t>erage participating citizen by around 24%</w:t>
      </w:r>
      <w:r>
        <w:rPr>
          <w:lang w:val="en-US" w:eastAsia="bg-BG"/>
        </w:rPr>
        <w:t xml:space="preserve"> f</w:t>
      </w:r>
      <w:r w:rsidR="002F7F28">
        <w:rPr>
          <w:lang w:val="en-US" w:eastAsia="bg-BG"/>
        </w:rPr>
        <w:t>or each</w:t>
      </w:r>
      <w:r>
        <w:rPr>
          <w:lang w:val="en-US" w:eastAsia="bg-BG"/>
        </w:rPr>
        <w:t xml:space="preserve"> extra year of work. In addition</w:t>
      </w:r>
      <w:r w:rsidR="007E5B1C">
        <w:rPr>
          <w:lang w:val="en-US" w:eastAsia="bg-BG"/>
        </w:rPr>
        <w:t>,</w:t>
      </w:r>
      <w:r>
        <w:rPr>
          <w:lang w:val="en-US" w:eastAsia="bg-BG"/>
        </w:rPr>
        <w:t xml:space="preserve"> it is estimated that it provides a replacement rate between 70-90% which ranks it among the top developed countries in this respect. Unfortunately, despite those facts, there are many issues that have to be taken into account and considered in order to make it sustainable in the long run.</w:t>
      </w:r>
    </w:p>
    <w:p w:rsidR="005D378B" w:rsidRDefault="005D378B" w:rsidP="005D378B">
      <w:pPr>
        <w:autoSpaceDE w:val="0"/>
        <w:autoSpaceDN w:val="0"/>
        <w:adjustRightInd w:val="0"/>
        <w:spacing w:before="120" w:line="360" w:lineRule="auto"/>
        <w:jc w:val="both"/>
        <w:rPr>
          <w:lang w:val="en-US" w:eastAsia="bg-BG"/>
        </w:rPr>
      </w:pPr>
      <w:r>
        <w:rPr>
          <w:lang w:val="en-US" w:eastAsia="bg-BG"/>
        </w:rPr>
        <w:lastRenderedPageBreak/>
        <w:t>It was shown previously that population ageing is less likely to affect funded system</w:t>
      </w:r>
      <w:r w:rsidR="00D20360">
        <w:rPr>
          <w:lang w:val="en-US" w:eastAsia="bg-BG"/>
        </w:rPr>
        <w:t>s</w:t>
      </w:r>
      <w:r>
        <w:rPr>
          <w:lang w:val="en-US" w:eastAsia="bg-BG"/>
        </w:rPr>
        <w:t xml:space="preserve"> than it is with unfunded. However, there are studies which argue that the ageing of population can have adverse effects even on a more funded system such as the Dutch one. </w:t>
      </w:r>
      <w:proofErr w:type="spellStart"/>
      <w:r>
        <w:rPr>
          <w:lang w:val="en-US" w:eastAsia="bg-BG"/>
        </w:rPr>
        <w:t>Bovenberg</w:t>
      </w:r>
      <w:proofErr w:type="spellEnd"/>
      <w:r>
        <w:rPr>
          <w:lang w:val="en-US" w:eastAsia="bg-BG"/>
        </w:rPr>
        <w:t xml:space="preserve"> &amp; </w:t>
      </w:r>
      <w:proofErr w:type="spellStart"/>
      <w:r>
        <w:rPr>
          <w:lang w:val="en-US" w:eastAsia="bg-BG"/>
        </w:rPr>
        <w:t>Knaap</w:t>
      </w:r>
      <w:proofErr w:type="spellEnd"/>
      <w:r>
        <w:rPr>
          <w:lang w:val="en-US" w:eastAsia="bg-BG"/>
        </w:rPr>
        <w:t xml:space="preserve"> (2005), show how during times of intense demographic change, even a system with mature funds such as the Dutch one could be vulnerable to fluctuations on the financial markets. The economic crisis affects funded systems to a large extent. By investigating the real return to the pension fund’s assets the authors demonstrate the interdependence between ageing and the risks induced by the funds’ exposure to economic instability. It would be hard to deny though, that the Dutch economy, despite facing many problems, manages to stay quite robust </w:t>
      </w:r>
      <w:r w:rsidR="00D20360">
        <w:rPr>
          <w:lang w:val="en-US" w:eastAsia="bg-BG"/>
        </w:rPr>
        <w:t>in spite of</w:t>
      </w:r>
      <w:r>
        <w:rPr>
          <w:lang w:val="en-US" w:eastAsia="bg-BG"/>
        </w:rPr>
        <w:t xml:space="preserve"> the consequences of ageing. Some recent developments that the policy makers had introduced helped maintaining the perceived st</w:t>
      </w:r>
      <w:r w:rsidR="00D20360">
        <w:rPr>
          <w:lang w:val="en-US" w:eastAsia="bg-BG"/>
        </w:rPr>
        <w:t>ability of the system</w:t>
      </w:r>
      <w:r>
        <w:rPr>
          <w:lang w:val="en-US" w:eastAsia="bg-BG"/>
        </w:rPr>
        <w:t xml:space="preserve"> by introducing</w:t>
      </w:r>
      <w:r w:rsidR="00D20360">
        <w:rPr>
          <w:lang w:val="en-US" w:eastAsia="bg-BG"/>
        </w:rPr>
        <w:t xml:space="preserve"> some</w:t>
      </w:r>
      <w:r>
        <w:rPr>
          <w:lang w:val="en-US" w:eastAsia="bg-BG"/>
        </w:rPr>
        <w:t xml:space="preserve"> institutional and legislative reforms. The retirement ag</w:t>
      </w:r>
      <w:r w:rsidR="00273E74">
        <w:rPr>
          <w:lang w:val="en-US" w:eastAsia="bg-BG"/>
        </w:rPr>
        <w:t xml:space="preserve">e is one of the issues that </w:t>
      </w:r>
      <w:proofErr w:type="gramStart"/>
      <w:r w:rsidR="00273E74">
        <w:rPr>
          <w:lang w:val="en-US" w:eastAsia="bg-BG"/>
        </w:rPr>
        <w:t>has</w:t>
      </w:r>
      <w:proofErr w:type="gramEnd"/>
      <w:r>
        <w:rPr>
          <w:lang w:val="en-US" w:eastAsia="bg-BG"/>
        </w:rPr>
        <w:t xml:space="preserve"> been widely discussed in the parliament and the media. According to CBS, the Dutch statistics institution, currently the average age of retiring people is 63.1 while prior to 2006 it was 61.</w:t>
      </w:r>
      <w:r w:rsidR="00273E74">
        <w:rPr>
          <w:lang w:val="en-US" w:eastAsia="bg-BG"/>
        </w:rPr>
        <w:t xml:space="preserve"> One of the reasons for this is</w:t>
      </w:r>
      <w:r>
        <w:rPr>
          <w:lang w:val="en-US" w:eastAsia="bg-BG"/>
        </w:rPr>
        <w:t xml:space="preserve"> some legislative measures implemented in 2007 for increase in the retirement age and decrease of benefits for early retirement. This reform led to </w:t>
      </w:r>
      <w:r w:rsidR="00273E74">
        <w:rPr>
          <w:lang w:val="en-US" w:eastAsia="bg-BG"/>
        </w:rPr>
        <w:t xml:space="preserve">the </w:t>
      </w:r>
      <w:r>
        <w:rPr>
          <w:lang w:val="en-US" w:eastAsia="bg-BG"/>
        </w:rPr>
        <w:t xml:space="preserve">increase of the number of people </w:t>
      </w:r>
      <w:r w:rsidR="00273E74">
        <w:rPr>
          <w:lang w:val="en-US" w:eastAsia="bg-BG"/>
        </w:rPr>
        <w:t>retiring after the age of 65 by</w:t>
      </w:r>
      <w:r>
        <w:rPr>
          <w:lang w:val="en-US" w:eastAsia="bg-BG"/>
        </w:rPr>
        <w:t xml:space="preserve"> 2011 as reported by CBS. In </w:t>
      </w:r>
      <w:proofErr w:type="gramStart"/>
      <w:r>
        <w:rPr>
          <w:lang w:val="en-US" w:eastAsia="bg-BG"/>
        </w:rPr>
        <w:t>Spring</w:t>
      </w:r>
      <w:proofErr w:type="gramEnd"/>
      <w:r>
        <w:rPr>
          <w:lang w:val="en-US" w:eastAsia="bg-BG"/>
        </w:rPr>
        <w:t xml:space="preserve"> 2012, after the budget report called Spring Accord</w:t>
      </w:r>
      <w:r w:rsidR="00273E74">
        <w:rPr>
          <w:lang w:val="en-US" w:eastAsia="bg-BG"/>
        </w:rPr>
        <w:t xml:space="preserve"> was released</w:t>
      </w:r>
      <w:r>
        <w:rPr>
          <w:lang w:val="en-US" w:eastAsia="bg-BG"/>
        </w:rPr>
        <w:t>, it was announced that until 2020 the retirement age will increase to 66, and un</w:t>
      </w:r>
      <w:r w:rsidR="00273E74">
        <w:rPr>
          <w:lang w:val="en-US" w:eastAsia="bg-BG"/>
        </w:rPr>
        <w:t>til 2025 even further to 67.</w:t>
      </w:r>
      <w:r w:rsidR="00FD2BDD">
        <w:rPr>
          <w:rStyle w:val="FootnoteReference"/>
          <w:lang w:val="en-US" w:eastAsia="bg-BG"/>
        </w:rPr>
        <w:footnoteReference w:id="9"/>
      </w:r>
      <w:r w:rsidR="00273E74">
        <w:rPr>
          <w:lang w:val="en-US" w:eastAsia="bg-BG"/>
        </w:rPr>
        <w:t xml:space="preserve"> The</w:t>
      </w:r>
      <w:r>
        <w:rPr>
          <w:lang w:val="en-US" w:eastAsia="bg-BG"/>
        </w:rPr>
        <w:t>s</w:t>
      </w:r>
      <w:r w:rsidR="00273E74">
        <w:rPr>
          <w:lang w:val="en-US" w:eastAsia="bg-BG"/>
        </w:rPr>
        <w:t>e</w:t>
      </w:r>
      <w:r>
        <w:rPr>
          <w:lang w:val="en-US" w:eastAsia="bg-BG"/>
        </w:rPr>
        <w:t xml:space="preserve"> changes in eligibility, reflected by the change in retirement age, along with the </w:t>
      </w:r>
      <w:r w:rsidR="00273E74">
        <w:rPr>
          <w:lang w:val="en-US" w:eastAsia="bg-BG"/>
        </w:rPr>
        <w:t>move of</w:t>
      </w:r>
      <w:r>
        <w:rPr>
          <w:lang w:val="en-US" w:eastAsia="bg-BG"/>
        </w:rPr>
        <w:t xml:space="preserve"> the Dutch pension plans towards stand-alone pension funds manage to absorb some of the negative impacts of the uncertainties on the financial markets and the increase in the number of elderly people compared to the number of the active working citizens. </w:t>
      </w:r>
    </w:p>
    <w:p w:rsidR="005D378B" w:rsidRDefault="005D378B" w:rsidP="005D378B">
      <w:pPr>
        <w:autoSpaceDE w:val="0"/>
        <w:autoSpaceDN w:val="0"/>
        <w:adjustRightInd w:val="0"/>
        <w:rPr>
          <w:rFonts w:eastAsiaTheme="minorHAnsi"/>
          <w:lang w:val="en-US"/>
        </w:rPr>
      </w:pPr>
    </w:p>
    <w:p w:rsidR="009B7AFB" w:rsidRDefault="008C6298" w:rsidP="005D378B">
      <w:pPr>
        <w:autoSpaceDE w:val="0"/>
        <w:autoSpaceDN w:val="0"/>
        <w:adjustRightInd w:val="0"/>
        <w:rPr>
          <w:rFonts w:ascii="Times-Roman" w:eastAsiaTheme="minorHAnsi" w:hAnsi="Times-Roman" w:cs="Times-Roman"/>
          <w:sz w:val="20"/>
          <w:szCs w:val="20"/>
          <w:lang w:val="en-US"/>
        </w:rPr>
      </w:pPr>
      <w:r>
        <w:rPr>
          <w:rFonts w:eastAsiaTheme="minorHAnsi"/>
          <w:lang w:val="en-US"/>
        </w:rPr>
        <w:tab/>
      </w:r>
      <w:r>
        <w:rPr>
          <w:rFonts w:eastAsiaTheme="minorHAnsi"/>
          <w:lang w:val="en-US"/>
        </w:rPr>
        <w:tab/>
      </w:r>
    </w:p>
    <w:p w:rsidR="005D378B" w:rsidRPr="001A3A64" w:rsidRDefault="005D378B" w:rsidP="005D378B">
      <w:pPr>
        <w:autoSpaceDE w:val="0"/>
        <w:autoSpaceDN w:val="0"/>
        <w:adjustRightInd w:val="0"/>
        <w:spacing w:before="240"/>
        <w:rPr>
          <w:rFonts w:eastAsiaTheme="minorHAnsi"/>
          <w:sz w:val="22"/>
          <w:szCs w:val="22"/>
          <w:lang w:val="bg-BG"/>
        </w:rPr>
      </w:pPr>
      <w:r w:rsidRPr="0010733D">
        <w:rPr>
          <w:i/>
          <w:lang w:val="en-US" w:eastAsia="bg-BG"/>
        </w:rPr>
        <w:t>Germany</w:t>
      </w:r>
    </w:p>
    <w:p w:rsidR="005D378B" w:rsidRDefault="005D378B" w:rsidP="005D378B">
      <w:pPr>
        <w:autoSpaceDE w:val="0"/>
        <w:autoSpaceDN w:val="0"/>
        <w:adjustRightInd w:val="0"/>
        <w:spacing w:before="240" w:line="360" w:lineRule="auto"/>
        <w:jc w:val="both"/>
        <w:rPr>
          <w:lang w:val="en-US" w:eastAsia="bg-BG"/>
        </w:rPr>
      </w:pPr>
      <w:r>
        <w:rPr>
          <w:lang w:val="en-US" w:eastAsia="bg-BG"/>
        </w:rPr>
        <w:t>The pension system in Germany consists of three pillars as well as the Dutch one</w:t>
      </w:r>
      <w:r w:rsidR="003022DB">
        <w:rPr>
          <w:lang w:val="en-US" w:eastAsia="bg-BG"/>
        </w:rPr>
        <w:t>. However as it can be seen in T</w:t>
      </w:r>
      <w:r>
        <w:rPr>
          <w:lang w:val="en-US" w:eastAsia="bg-BG"/>
        </w:rPr>
        <w:t xml:space="preserve">able 3, the percentage distribution among those pillars of the retirement income differs significantly from the distribution observed in the Netherlands. The retired part of the population is receiving major part of its pensions mainly from the public first pillar, which is financed on a PAYG basis and accounts for about 85 percent. Therefore, the role of the second pillar which was seen in the case of the Netherlands is now shifted to the first </w:t>
      </w:r>
      <w:r>
        <w:rPr>
          <w:lang w:val="en-US" w:eastAsia="bg-BG"/>
        </w:rPr>
        <w:lastRenderedPageBreak/>
        <w:t>pillar. The financing of the second and the third pillar is mostly on a funded basis. Although more than half of the working population is enrolled to voluntary occupational pensions, it supplies only insignificant pa</w:t>
      </w:r>
      <w:r w:rsidR="003022DB">
        <w:rPr>
          <w:lang w:val="en-US" w:eastAsia="bg-BG"/>
        </w:rPr>
        <w:t>rt of the retirement income. These numbers are summarized in T</w:t>
      </w:r>
      <w:r>
        <w:rPr>
          <w:lang w:val="en-US" w:eastAsia="bg-BG"/>
        </w:rPr>
        <w:t>able 3. The public scheme is mandatory for employees and elective for self employed people.</w:t>
      </w:r>
    </w:p>
    <w:p w:rsidR="005D378B" w:rsidRDefault="005D378B" w:rsidP="005D378B">
      <w:pPr>
        <w:autoSpaceDE w:val="0"/>
        <w:autoSpaceDN w:val="0"/>
        <w:adjustRightInd w:val="0"/>
        <w:spacing w:line="360" w:lineRule="auto"/>
        <w:jc w:val="both"/>
        <w:rPr>
          <w:lang w:val="en-US"/>
        </w:rPr>
      </w:pPr>
      <w:r>
        <w:rPr>
          <w:lang w:val="en-US" w:eastAsia="bg-BG"/>
        </w:rPr>
        <w:t>The German welfare state is one of the most generous</w:t>
      </w:r>
      <w:r w:rsidR="003022DB">
        <w:rPr>
          <w:lang w:val="en-US" w:eastAsia="bg-BG"/>
        </w:rPr>
        <w:t xml:space="preserve"> </w:t>
      </w:r>
      <w:r w:rsidR="00E970A0">
        <w:rPr>
          <w:lang w:val="en-US" w:eastAsia="bg-BG"/>
        </w:rPr>
        <w:t>of all systems</w:t>
      </w:r>
      <w:r w:rsidR="003022DB">
        <w:rPr>
          <w:lang w:val="en-US" w:eastAsia="bg-BG"/>
        </w:rPr>
        <w:t xml:space="preserve"> in Europe. This generosity</w:t>
      </w:r>
      <w:r>
        <w:rPr>
          <w:lang w:val="en-US" w:eastAsia="bg-BG"/>
        </w:rPr>
        <w:t xml:space="preserve"> however comes at a price, and this price is its sustainability in the long run. Although many reforms were introduced in the past two decades, starting in 1992 when a sharp increase of the dependency ratio had been not only observed, but also projected for </w:t>
      </w:r>
      <w:r w:rsidR="003022DB">
        <w:rPr>
          <w:lang w:val="en-US" w:eastAsia="bg-BG"/>
        </w:rPr>
        <w:t>t</w:t>
      </w:r>
      <w:r>
        <w:rPr>
          <w:lang w:val="en-US" w:eastAsia="bg-BG"/>
        </w:rPr>
        <w:t xml:space="preserve">he future. The policy response was mainly in the form of an increase of the retirement age and decrease of the incentives for early retirement by offering compensation for prolonged participation on the labor force. Next, </w:t>
      </w:r>
      <w:proofErr w:type="spellStart"/>
      <w:r>
        <w:rPr>
          <w:lang w:val="en-US" w:eastAsia="bg-BG"/>
        </w:rPr>
        <w:t>Börsch</w:t>
      </w:r>
      <w:r w:rsidRPr="00672733">
        <w:rPr>
          <w:lang w:val="en-US"/>
        </w:rPr>
        <w:t>-Supan</w:t>
      </w:r>
      <w:proofErr w:type="spellEnd"/>
      <w:r w:rsidRPr="00672733">
        <w:rPr>
          <w:lang w:val="en-US"/>
        </w:rPr>
        <w:t xml:space="preserve"> </w:t>
      </w:r>
      <w:r>
        <w:rPr>
          <w:lang w:val="en-US"/>
        </w:rPr>
        <w:t>(</w:t>
      </w:r>
      <w:r w:rsidRPr="00672733">
        <w:rPr>
          <w:lang w:val="en-US"/>
        </w:rPr>
        <w:t>1998)</w:t>
      </w:r>
      <w:r>
        <w:rPr>
          <w:lang w:val="en-US"/>
        </w:rPr>
        <w:t xml:space="preserve"> shows how the incentives to early retirement were decreased, but not at all extinguished. </w:t>
      </w:r>
      <w:r w:rsidRPr="00EC0F29">
        <w:rPr>
          <w:lang w:val="en-US"/>
        </w:rPr>
        <w:t>Hans-Werner Sinn</w:t>
      </w:r>
      <w:r w:rsidR="003022DB">
        <w:rPr>
          <w:lang w:val="en-US"/>
        </w:rPr>
        <w:t xml:space="preserve"> (1999)</w:t>
      </w:r>
      <w:r>
        <w:rPr>
          <w:lang w:val="en-US"/>
        </w:rPr>
        <w:t xml:space="preserve"> proposed a reform toward partial funding. The probl</w:t>
      </w:r>
      <w:r w:rsidR="003022DB">
        <w:rPr>
          <w:lang w:val="en-US"/>
        </w:rPr>
        <w:t>ems identified by the author are</w:t>
      </w:r>
      <w:r>
        <w:rPr>
          <w:lang w:val="en-US"/>
        </w:rPr>
        <w:t xml:space="preserve"> many, but he is mostly concerned with the negative effects of either high co</w:t>
      </w:r>
      <w:r w:rsidR="003022DB">
        <w:rPr>
          <w:lang w:val="en-US"/>
        </w:rPr>
        <w:t>ntribution rates which are about</w:t>
      </w:r>
      <w:r>
        <w:rPr>
          <w:lang w:val="en-US"/>
        </w:rPr>
        <w:t xml:space="preserve"> to increase or </w:t>
      </w:r>
      <w:r w:rsidR="003022DB">
        <w:rPr>
          <w:lang w:val="en-US"/>
        </w:rPr>
        <w:t xml:space="preserve">the </w:t>
      </w:r>
      <w:r>
        <w:rPr>
          <w:lang w:val="en-US"/>
        </w:rPr>
        <w:t>decrease in the benefits paid. Both are bound to receive public dislike which should be alarming enough for the government. Sinn concludes that a move in the direction of partial funding could benefit greatly the society as a whole and help stabilizing the situation and the issues that would follow otherwise. The next action that the government undertook in the beginning of this century was to promote and encourage the use of the second and third pillar among working people (</w:t>
      </w:r>
      <w:proofErr w:type="spellStart"/>
      <w:r>
        <w:rPr>
          <w:lang w:val="en-US"/>
        </w:rPr>
        <w:t>Reister</w:t>
      </w:r>
      <w:proofErr w:type="spellEnd"/>
      <w:r>
        <w:rPr>
          <w:lang w:val="en-US"/>
        </w:rPr>
        <w:t xml:space="preserve"> system). This</w:t>
      </w:r>
      <w:r w:rsidR="004C3A97">
        <w:rPr>
          <w:lang w:val="en-US"/>
        </w:rPr>
        <w:t xml:space="preserve"> was</w:t>
      </w:r>
      <w:r>
        <w:rPr>
          <w:lang w:val="en-US"/>
        </w:rPr>
        <w:t xml:space="preserve"> aimed at balancing the future expenditure and deficit levels that may arise because of the increasing number of elderly people in relation to the number of working individuals that have to support them and was promoted by subsidizing</w:t>
      </w:r>
      <w:r w:rsidR="004C3A97">
        <w:rPr>
          <w:lang w:val="en-US"/>
        </w:rPr>
        <w:t xml:space="preserve"> the</w:t>
      </w:r>
      <w:r>
        <w:rPr>
          <w:lang w:val="en-US"/>
        </w:rPr>
        <w:t xml:space="preserve"> participants. Next, in 2005, the formula by which the pensions are calculated was adjusted, with a factor which reflects the changes in the dependency ratio. The most recent reform in Germany was in 2007. It</w:t>
      </w:r>
      <w:r w:rsidR="00547FAA">
        <w:rPr>
          <w:lang w:val="en-US"/>
        </w:rPr>
        <w:t>s major aim wa</w:t>
      </w:r>
      <w:r>
        <w:rPr>
          <w:lang w:val="en-US"/>
        </w:rPr>
        <w:t xml:space="preserve">s to increase the labor force participation of </w:t>
      </w:r>
      <w:r w:rsidR="00547FAA">
        <w:rPr>
          <w:lang w:val="en-US"/>
        </w:rPr>
        <w:t>the elderly, and thus decrease</w:t>
      </w:r>
      <w:r>
        <w:rPr>
          <w:lang w:val="en-US"/>
        </w:rPr>
        <w:t xml:space="preserve"> the impact and discrepancies following the population ageing and the increase in </w:t>
      </w:r>
      <w:r w:rsidR="00547FAA">
        <w:rPr>
          <w:lang w:val="en-US"/>
        </w:rPr>
        <w:t xml:space="preserve">the </w:t>
      </w:r>
      <w:r>
        <w:rPr>
          <w:lang w:val="en-US"/>
        </w:rPr>
        <w:t>dependency ratio. The main feature of the reform, whose transitional period is planned to end in 2029, is again the increase of the retirement age from 65 to 67, but in a more gradual way. The consequences of such a reform still cannot be estimated, but there are both positive and negative supporters of the possible outcomes.</w:t>
      </w:r>
    </w:p>
    <w:p w:rsidR="005D378B" w:rsidRDefault="005D378B" w:rsidP="005D378B">
      <w:pPr>
        <w:autoSpaceDE w:val="0"/>
        <w:autoSpaceDN w:val="0"/>
        <w:adjustRightInd w:val="0"/>
        <w:spacing w:line="360" w:lineRule="auto"/>
        <w:jc w:val="both"/>
        <w:rPr>
          <w:lang w:val="en-US"/>
        </w:rPr>
      </w:pPr>
      <w:r>
        <w:rPr>
          <w:lang w:val="en-US" w:eastAsia="bg-BG"/>
        </w:rPr>
        <w:t>As already shown in previous sections, a system relying so heavily on a PAYG financing is vulnerable to ageing, and many reforms in the German pension system have been introduced</w:t>
      </w:r>
    </w:p>
    <w:p w:rsidR="005D378B" w:rsidRDefault="005D378B" w:rsidP="005D378B">
      <w:pPr>
        <w:autoSpaceDE w:val="0"/>
        <w:autoSpaceDN w:val="0"/>
        <w:adjustRightInd w:val="0"/>
        <w:spacing w:line="360" w:lineRule="auto"/>
        <w:jc w:val="both"/>
        <w:rPr>
          <w:lang w:val="en-US"/>
        </w:rPr>
      </w:pPr>
      <w:r>
        <w:rPr>
          <w:lang w:val="en-US"/>
        </w:rPr>
        <w:lastRenderedPageBreak/>
        <w:t xml:space="preserve">Many are the possible solutions to the problem of a looming demographic crisis. Interestingly, most of the propositions made by authors on the topic revolve around the idea of introducing and then promoting a system which is somewhere between the two farthest cases of full funding and entire reliance on unfunded systems. </w:t>
      </w:r>
    </w:p>
    <w:p w:rsidR="005D378B" w:rsidRPr="00BD2D02" w:rsidRDefault="005D378B" w:rsidP="005D378B">
      <w:pPr>
        <w:spacing w:before="240" w:after="120" w:line="360" w:lineRule="auto"/>
        <w:jc w:val="both"/>
        <w:rPr>
          <w:i/>
          <w:lang w:val="en-US"/>
        </w:rPr>
      </w:pPr>
      <w:r w:rsidRPr="00BD2D02">
        <w:rPr>
          <w:i/>
          <w:lang w:val="en-US"/>
        </w:rPr>
        <w:t>Italy</w:t>
      </w:r>
    </w:p>
    <w:p w:rsidR="005D378B" w:rsidRDefault="005D378B" w:rsidP="005D378B">
      <w:pPr>
        <w:spacing w:before="240" w:line="360" w:lineRule="auto"/>
        <w:jc w:val="both"/>
        <w:rPr>
          <w:lang w:val="en-US"/>
        </w:rPr>
      </w:pPr>
      <w:r w:rsidRPr="00B63D3C">
        <w:rPr>
          <w:lang w:val="en-US"/>
        </w:rPr>
        <w:t xml:space="preserve">The main structure of the Italian pension system does not differ significantly from other European systems that rely heavily on the first pillar to finance the old age income of the population. This first pillar consists of a compulsory PAYG </w:t>
      </w:r>
      <w:r>
        <w:rPr>
          <w:lang w:val="en-US"/>
        </w:rPr>
        <w:t>component</w:t>
      </w:r>
      <w:r w:rsidRPr="00B63D3C">
        <w:rPr>
          <w:lang w:val="en-US"/>
        </w:rPr>
        <w:t>, which is entirely unfunded. It is earnings-related, and therefore highly dependent on the contributions made by the employees. Because of this pillar the Italian system is considered to be on</w:t>
      </w:r>
      <w:r w:rsidR="002C3781">
        <w:rPr>
          <w:lang w:val="en-US"/>
        </w:rPr>
        <w:t>e of the most generous in the w</w:t>
      </w:r>
      <w:r w:rsidRPr="00B63D3C">
        <w:rPr>
          <w:lang w:val="en-US"/>
        </w:rPr>
        <w:t xml:space="preserve">orld among other states like </w:t>
      </w:r>
      <w:r w:rsidR="00F44F8E">
        <w:rPr>
          <w:lang w:val="en-US"/>
        </w:rPr>
        <w:t xml:space="preserve">Germany which was </w:t>
      </w:r>
      <w:r w:rsidRPr="00B63D3C">
        <w:rPr>
          <w:lang w:val="en-US"/>
        </w:rPr>
        <w:t>already discussed</w:t>
      </w:r>
      <w:r>
        <w:rPr>
          <w:lang w:val="en-US"/>
        </w:rPr>
        <w:t>,</w:t>
      </w:r>
      <w:r w:rsidRPr="00B63D3C">
        <w:rPr>
          <w:lang w:val="en-US"/>
        </w:rPr>
        <w:t xml:space="preserve"> providing around 74 percent of the retirement income of people. Because of this generosity and the increasing number of elderly </w:t>
      </w:r>
      <w:r w:rsidR="00F44F8E">
        <w:rPr>
          <w:lang w:val="en-US"/>
        </w:rPr>
        <w:t xml:space="preserve">people </w:t>
      </w:r>
      <w:r w:rsidRPr="00B63D3C">
        <w:rPr>
          <w:lang w:val="en-US"/>
        </w:rPr>
        <w:t>compared to the working population, the public expenditure rose substantially during the years and</w:t>
      </w:r>
      <w:r>
        <w:rPr>
          <w:lang w:val="en-US"/>
        </w:rPr>
        <w:t xml:space="preserve"> at some point a</w:t>
      </w:r>
      <w:r w:rsidRPr="00B63D3C">
        <w:rPr>
          <w:lang w:val="en-US"/>
        </w:rPr>
        <w:t xml:space="preserve"> reform was unavoidable. It is important to note here</w:t>
      </w:r>
      <w:r w:rsidR="008D1337">
        <w:rPr>
          <w:lang w:val="en-US"/>
        </w:rPr>
        <w:t>,</w:t>
      </w:r>
      <w:r w:rsidRPr="00B63D3C">
        <w:rPr>
          <w:lang w:val="en-US"/>
        </w:rPr>
        <w:t xml:space="preserve"> that Italy qualifies also as the country with the lowest fertility rate</w:t>
      </w:r>
      <w:r w:rsidR="008D1337">
        <w:rPr>
          <w:lang w:val="en-US"/>
        </w:rPr>
        <w:t>s</w:t>
      </w:r>
      <w:r w:rsidRPr="00B63D3C">
        <w:rPr>
          <w:lang w:val="en-US"/>
        </w:rPr>
        <w:t xml:space="preserve"> in Europe. The government had to respond to those problems and </w:t>
      </w:r>
      <w:r w:rsidR="002C3781">
        <w:rPr>
          <w:lang w:val="en-US"/>
        </w:rPr>
        <w:t>in the beginning of the 1990s</w:t>
      </w:r>
      <w:r w:rsidRPr="00B63D3C">
        <w:rPr>
          <w:lang w:val="en-US"/>
        </w:rPr>
        <w:t xml:space="preserve"> </w:t>
      </w:r>
      <w:r w:rsidR="002C3781">
        <w:rPr>
          <w:lang w:val="en-US"/>
        </w:rPr>
        <w:t xml:space="preserve">it </w:t>
      </w:r>
      <w:r w:rsidRPr="00B63D3C">
        <w:rPr>
          <w:lang w:val="en-US"/>
        </w:rPr>
        <w:t>started implementing reforms which aimed at decreasing the amount of public expenditure on pensions</w:t>
      </w:r>
      <w:r>
        <w:rPr>
          <w:lang w:val="en-US"/>
        </w:rPr>
        <w:t xml:space="preserve"> by tightening the eligibility criteria. The second</w:t>
      </w:r>
      <w:r w:rsidRPr="00B63D3C">
        <w:rPr>
          <w:lang w:val="en-US"/>
        </w:rPr>
        <w:t xml:space="preserve"> legislative response was to introduce the so called notional defined contribution concept.  Although this was seen as an improvement, the second pillar remained rather poorly developed. The reform process was prolonged in time and therefore reduced the incentives for people to retire later in their life. The problems were far from being resolved. </w:t>
      </w:r>
    </w:p>
    <w:p w:rsidR="005D378B" w:rsidRPr="00952C0A" w:rsidRDefault="005D378B" w:rsidP="00952C0A">
      <w:pPr>
        <w:spacing w:line="360" w:lineRule="auto"/>
        <w:jc w:val="both"/>
        <w:rPr>
          <w:lang w:val="en-US"/>
        </w:rPr>
      </w:pPr>
      <w:r w:rsidRPr="00B63D3C">
        <w:rPr>
          <w:lang w:val="en-US"/>
        </w:rPr>
        <w:t xml:space="preserve">The second pillar accounts for only 1 percent of the average pension received. This clearly indicates a further strengthening of the </w:t>
      </w:r>
      <w:r>
        <w:rPr>
          <w:lang w:val="en-US"/>
        </w:rPr>
        <w:t>issues associated with population ageing. The main features of this second pillar are the so-called contractual or open pension funds. Contractual funds are dealt with by the employers, trade union</w:t>
      </w:r>
      <w:r w:rsidR="002C3781">
        <w:rPr>
          <w:lang w:val="en-US"/>
        </w:rPr>
        <w:t>s</w:t>
      </w:r>
      <w:r>
        <w:rPr>
          <w:lang w:val="en-US"/>
        </w:rPr>
        <w:t>, and the self-e</w:t>
      </w:r>
      <w:r w:rsidR="002C3781">
        <w:rPr>
          <w:lang w:val="en-US"/>
        </w:rPr>
        <w:t>mployed people themselves. The o</w:t>
      </w:r>
      <w:r>
        <w:rPr>
          <w:lang w:val="en-US"/>
        </w:rPr>
        <w:t xml:space="preserve">pen funds can be part either of the second or the third pillar. They can serve to provide additional voluntary old-age insurance, and are run by financial intermediaries. When those open funds are part of the third pillar, the regulations are set in such a way, to promote competition among those institutions with the aim to increase the incentives for better performance on the financial market. </w:t>
      </w:r>
      <w:r w:rsidR="008D1337">
        <w:rPr>
          <w:lang w:val="en-US"/>
        </w:rPr>
        <w:t>The pension system of Italy is still vulnerable to demographic c</w:t>
      </w:r>
      <w:r w:rsidR="006367E1">
        <w:rPr>
          <w:lang w:val="en-US"/>
        </w:rPr>
        <w:t>hanges. It can be concluded that here as in many other cases the problem is the huge unfunded component.</w:t>
      </w:r>
    </w:p>
    <w:p w:rsidR="005D378B" w:rsidRDefault="005D378B" w:rsidP="005D378B">
      <w:pPr>
        <w:autoSpaceDE w:val="0"/>
        <w:autoSpaceDN w:val="0"/>
        <w:adjustRightInd w:val="0"/>
        <w:rPr>
          <w:rFonts w:ascii="AdvPAC5A" w:eastAsiaTheme="minorHAnsi" w:hAnsi="AdvPAC5A" w:cs="AdvPAC5A"/>
          <w:i/>
          <w:color w:val="000000"/>
          <w:lang w:val="en-US"/>
        </w:rPr>
      </w:pPr>
    </w:p>
    <w:p w:rsidR="002C3781" w:rsidRPr="001F784C" w:rsidRDefault="002C3781" w:rsidP="005D378B">
      <w:pPr>
        <w:autoSpaceDE w:val="0"/>
        <w:autoSpaceDN w:val="0"/>
        <w:adjustRightInd w:val="0"/>
        <w:rPr>
          <w:rFonts w:ascii="AdvPAC5A" w:eastAsiaTheme="minorHAnsi" w:hAnsi="AdvPAC5A" w:cs="AdvPAC5A"/>
          <w:i/>
          <w:color w:val="000000"/>
          <w:lang w:val="en-US"/>
        </w:rPr>
      </w:pPr>
    </w:p>
    <w:p w:rsidR="005D378B" w:rsidRPr="00216A34" w:rsidRDefault="005D378B" w:rsidP="005D378B">
      <w:pPr>
        <w:autoSpaceDE w:val="0"/>
        <w:autoSpaceDN w:val="0"/>
        <w:adjustRightInd w:val="0"/>
        <w:rPr>
          <w:rFonts w:eastAsiaTheme="minorHAnsi"/>
          <w:i/>
          <w:color w:val="000000"/>
          <w:lang w:val="en-US"/>
        </w:rPr>
      </w:pPr>
      <w:r w:rsidRPr="00216A34">
        <w:rPr>
          <w:rFonts w:eastAsiaTheme="minorHAnsi"/>
          <w:i/>
          <w:color w:val="000000"/>
          <w:lang w:val="en-US"/>
        </w:rPr>
        <w:t>Spain</w:t>
      </w:r>
    </w:p>
    <w:p w:rsidR="005D378B" w:rsidRDefault="005D378B" w:rsidP="005D378B">
      <w:pPr>
        <w:autoSpaceDE w:val="0"/>
        <w:autoSpaceDN w:val="0"/>
        <w:adjustRightInd w:val="0"/>
        <w:rPr>
          <w:rFonts w:ascii="AdvPAC5A" w:eastAsiaTheme="minorHAnsi" w:hAnsi="AdvPAC5A" w:cs="AdvPAC5A"/>
          <w:color w:val="000000"/>
          <w:lang w:val="en-US"/>
        </w:rPr>
      </w:pPr>
    </w:p>
    <w:p w:rsidR="005D378B" w:rsidRDefault="005D378B" w:rsidP="005D378B">
      <w:pPr>
        <w:spacing w:line="360" w:lineRule="auto"/>
        <w:jc w:val="both"/>
        <w:rPr>
          <w:lang w:val="en-US"/>
        </w:rPr>
      </w:pPr>
      <w:r>
        <w:rPr>
          <w:lang w:val="en-US"/>
        </w:rPr>
        <w:t xml:space="preserve">The Spanish old-age pension system qualifies to be another one of the generous unfunded systems. The first pillar of the retirement scheme is operating on a PAYG basis, with the contributions of the current workers used </w:t>
      </w:r>
      <w:r w:rsidR="00952C0A">
        <w:rPr>
          <w:lang w:val="en-US"/>
        </w:rPr>
        <w:t>for providing</w:t>
      </w:r>
      <w:r>
        <w:rPr>
          <w:lang w:val="en-US"/>
        </w:rPr>
        <w:t xml:space="preserve"> the pensions. The eligibility </w:t>
      </w:r>
      <w:r w:rsidR="00952C0A">
        <w:rPr>
          <w:lang w:val="en-US"/>
        </w:rPr>
        <w:t>criteria are</w:t>
      </w:r>
      <w:r>
        <w:rPr>
          <w:lang w:val="en-US"/>
        </w:rPr>
        <w:t xml:space="preserve"> more relaxed compared to other states like Germany and </w:t>
      </w:r>
      <w:r w:rsidR="002C3781">
        <w:rPr>
          <w:lang w:val="en-US"/>
        </w:rPr>
        <w:t>Italy. The individual has to have had</w:t>
      </w:r>
      <w:r>
        <w:rPr>
          <w:lang w:val="en-US"/>
        </w:rPr>
        <w:t xml:space="preserve"> contributed for at least 15 years, and retire at age 65. Interestingly here, the benefits are c</w:t>
      </w:r>
      <w:r w:rsidR="00F42279">
        <w:rPr>
          <w:lang w:val="en-US"/>
        </w:rPr>
        <w:t xml:space="preserve">alculated by a formula which </w:t>
      </w:r>
      <w:r>
        <w:rPr>
          <w:lang w:val="en-US"/>
        </w:rPr>
        <w:t>uses the wage average of the fifteen years with</w:t>
      </w:r>
      <w:r w:rsidR="00F42279">
        <w:rPr>
          <w:lang w:val="en-US"/>
        </w:rPr>
        <w:t xml:space="preserve"> the </w:t>
      </w:r>
      <w:r>
        <w:rPr>
          <w:lang w:val="en-US"/>
        </w:rPr>
        <w:t>highest income</w:t>
      </w:r>
      <w:r w:rsidR="00F42279">
        <w:rPr>
          <w:lang w:val="en-US"/>
        </w:rPr>
        <w:t xml:space="preserve"> of the individual</w:t>
      </w:r>
      <w:r>
        <w:rPr>
          <w:lang w:val="en-US"/>
        </w:rPr>
        <w:t>. To receive the highest benefits, which accounts to around 90 percent of the previous retirement income, the retiree has to have at least 35 years participat</w:t>
      </w:r>
      <w:r w:rsidR="002C3781">
        <w:rPr>
          <w:lang w:val="en-US"/>
        </w:rPr>
        <w:t xml:space="preserve">ion in the labor force. This </w:t>
      </w:r>
      <w:r>
        <w:rPr>
          <w:lang w:val="en-US"/>
        </w:rPr>
        <w:t>percent</w:t>
      </w:r>
      <w:r w:rsidR="002C3781">
        <w:rPr>
          <w:lang w:val="en-US"/>
        </w:rPr>
        <w:t>age</w:t>
      </w:r>
      <w:r>
        <w:rPr>
          <w:lang w:val="en-US"/>
        </w:rPr>
        <w:t xml:space="preserve"> replacement rate could be considered to </w:t>
      </w:r>
      <w:r w:rsidR="002C3781">
        <w:rPr>
          <w:lang w:val="en-US"/>
        </w:rPr>
        <w:t xml:space="preserve">be </w:t>
      </w:r>
      <w:r>
        <w:rPr>
          <w:lang w:val="en-US"/>
        </w:rPr>
        <w:t>quite generous, and it becomes quite obvious that it reduces the incentives for people to invest in voluntary funded pension schemes. This is the main reason for the low participation of workers in the second and third pillar of the pensi</w:t>
      </w:r>
      <w:r w:rsidR="002C3781">
        <w:rPr>
          <w:lang w:val="en-US"/>
        </w:rPr>
        <w:t>on system. It could be seen in T</w:t>
      </w:r>
      <w:r>
        <w:rPr>
          <w:lang w:val="en-US"/>
        </w:rPr>
        <w:t>able 3 that the ratio of the three pillars is 92-4-4.</w:t>
      </w:r>
    </w:p>
    <w:p w:rsidR="005D378B" w:rsidRDefault="005D378B" w:rsidP="005D378B">
      <w:pPr>
        <w:spacing w:line="360" w:lineRule="auto"/>
        <w:jc w:val="both"/>
        <w:rPr>
          <w:lang w:val="en-US"/>
        </w:rPr>
      </w:pPr>
      <w:r>
        <w:rPr>
          <w:lang w:val="en-US"/>
        </w:rPr>
        <w:t xml:space="preserve">The second pillar is divided into two parts. One is of pensions and the other is collective insurance. Less than one fifth of the working population is covered by those plans. Retirement income concerning this type of social insurance could be either defined contribution or defined benefit, with revealed preference for the second one. This second pillar is referred to as </w:t>
      </w:r>
      <w:r w:rsidR="002C3781">
        <w:rPr>
          <w:lang w:val="en-US"/>
        </w:rPr>
        <w:t xml:space="preserve">the </w:t>
      </w:r>
      <w:r>
        <w:rPr>
          <w:lang w:val="en-US"/>
        </w:rPr>
        <w:t xml:space="preserve">employer retirement plans. </w:t>
      </w:r>
    </w:p>
    <w:p w:rsidR="005D378B" w:rsidRPr="00B63D3C" w:rsidRDefault="005D378B" w:rsidP="005D378B">
      <w:pPr>
        <w:spacing w:line="360" w:lineRule="auto"/>
        <w:jc w:val="both"/>
        <w:rPr>
          <w:lang w:val="en-US"/>
        </w:rPr>
      </w:pPr>
      <w:r>
        <w:rPr>
          <w:lang w:val="en-US"/>
        </w:rPr>
        <w:t xml:space="preserve">The structure of the third pillar is not very different than the second. It provides only 4 percent of the retirement income and is offered again by financial institutions and intermediaries. The interest is not very high mostly because of the low returns on assets, and general performance of the funds. The government intervened by providing legislative design of those pension plans, but increase in the interest of people still hasn’t been observed. </w:t>
      </w:r>
    </w:p>
    <w:p w:rsidR="005D378B" w:rsidRPr="00B63D3C" w:rsidRDefault="005D378B" w:rsidP="005D378B">
      <w:pPr>
        <w:spacing w:line="360" w:lineRule="auto"/>
        <w:jc w:val="both"/>
        <w:rPr>
          <w:lang w:val="en-US"/>
        </w:rPr>
      </w:pPr>
      <w:r>
        <w:rPr>
          <w:lang w:val="en-US"/>
        </w:rPr>
        <w:t>In a country like Spain, which is exposed to a lot of risk because of the demographi</w:t>
      </w:r>
      <w:r w:rsidR="002C3781">
        <w:rPr>
          <w:lang w:val="en-US"/>
        </w:rPr>
        <w:t>c changes already discussed in S</w:t>
      </w:r>
      <w:r>
        <w:rPr>
          <w:lang w:val="en-US"/>
        </w:rPr>
        <w:t xml:space="preserve">ection 3 reform of the social security system is not only required, but also </w:t>
      </w:r>
      <w:r w:rsidR="00101653">
        <w:rPr>
          <w:lang w:val="en-US"/>
        </w:rPr>
        <w:t xml:space="preserve">needed </w:t>
      </w:r>
      <w:r w:rsidR="002C3781">
        <w:rPr>
          <w:lang w:val="en-US"/>
        </w:rPr>
        <w:t>urgently</w:t>
      </w:r>
      <w:r>
        <w:rPr>
          <w:lang w:val="en-US"/>
        </w:rPr>
        <w:t xml:space="preserve">. </w:t>
      </w:r>
      <w:r w:rsidR="000B3003">
        <w:rPr>
          <w:lang w:val="en-US"/>
        </w:rPr>
        <w:t>Although p</w:t>
      </w:r>
      <w:r w:rsidR="002C3781">
        <w:rPr>
          <w:lang w:val="en-US"/>
        </w:rPr>
        <w:t>eople who</w:t>
      </w:r>
      <w:r>
        <w:rPr>
          <w:lang w:val="en-US"/>
        </w:rPr>
        <w:t xml:space="preserve"> are just entering the labor force would have enough time to accumulate assets and avoid a sharp drop in the retirement income</w:t>
      </w:r>
      <w:r w:rsidR="000B3003">
        <w:rPr>
          <w:lang w:val="en-US"/>
        </w:rPr>
        <w:t>, other</w:t>
      </w:r>
      <w:r w:rsidR="002C3781">
        <w:rPr>
          <w:lang w:val="en-US"/>
        </w:rPr>
        <w:t>s</w:t>
      </w:r>
      <w:r w:rsidR="000B3003">
        <w:rPr>
          <w:lang w:val="en-US"/>
        </w:rPr>
        <w:t xml:space="preserve"> that have already contributed </w:t>
      </w:r>
      <w:r w:rsidR="009558AF">
        <w:rPr>
          <w:lang w:val="en-US"/>
        </w:rPr>
        <w:t xml:space="preserve">a </w:t>
      </w:r>
      <w:r w:rsidR="000B3003">
        <w:rPr>
          <w:lang w:val="en-US"/>
        </w:rPr>
        <w:t>substantial amount of time in the curren</w:t>
      </w:r>
      <w:r w:rsidR="009558AF">
        <w:rPr>
          <w:lang w:val="en-US"/>
        </w:rPr>
        <w:t>t system have to be “taken care</w:t>
      </w:r>
      <w:r w:rsidR="002C3781">
        <w:rPr>
          <w:lang w:val="en-US"/>
        </w:rPr>
        <w:t xml:space="preserve"> </w:t>
      </w:r>
      <w:r w:rsidR="009558AF">
        <w:rPr>
          <w:lang w:val="en-US"/>
        </w:rPr>
        <w:t>of”</w:t>
      </w:r>
      <w:r w:rsidR="000B3003">
        <w:rPr>
          <w:lang w:val="en-US"/>
        </w:rPr>
        <w:t xml:space="preserve"> by the legislators</w:t>
      </w:r>
      <w:r>
        <w:rPr>
          <w:lang w:val="en-US"/>
        </w:rPr>
        <w:t>. Those disincentives for private investments should serve as an alarming sign that the consequences of prolonged life and decreased fertility rates may be too severe for the</w:t>
      </w:r>
      <w:r w:rsidR="009558AF">
        <w:rPr>
          <w:lang w:val="en-US"/>
        </w:rPr>
        <w:t xml:space="preserve"> economy to be able to compensate for</w:t>
      </w:r>
      <w:r>
        <w:rPr>
          <w:lang w:val="en-US"/>
        </w:rPr>
        <w:t>.</w:t>
      </w:r>
    </w:p>
    <w:bookmarkEnd w:id="1"/>
    <w:bookmarkEnd w:id="2"/>
    <w:p w:rsidR="005D378B" w:rsidRDefault="005D378B" w:rsidP="005D378B">
      <w:pPr>
        <w:spacing w:after="120" w:line="360" w:lineRule="auto"/>
        <w:jc w:val="both"/>
        <w:rPr>
          <w:lang w:val="en-US"/>
        </w:rPr>
      </w:pPr>
    </w:p>
    <w:p w:rsidR="005D378B" w:rsidRPr="007E4BBC" w:rsidRDefault="005D378B" w:rsidP="005D378B">
      <w:pPr>
        <w:pStyle w:val="Heading2"/>
        <w:spacing w:before="240"/>
        <w:rPr>
          <w:sz w:val="28"/>
          <w:szCs w:val="28"/>
        </w:rPr>
      </w:pPr>
      <w:r>
        <w:rPr>
          <w:sz w:val="28"/>
          <w:szCs w:val="28"/>
        </w:rPr>
        <w:t xml:space="preserve">5. </w:t>
      </w:r>
      <w:r w:rsidRPr="007E4BBC">
        <w:rPr>
          <w:sz w:val="28"/>
          <w:szCs w:val="28"/>
        </w:rPr>
        <w:t>Conclusion</w:t>
      </w:r>
    </w:p>
    <w:p w:rsidR="005D378B" w:rsidRDefault="005D378B" w:rsidP="00AA4587">
      <w:pPr>
        <w:spacing w:before="120" w:line="360" w:lineRule="auto"/>
      </w:pPr>
      <w:r>
        <w:t xml:space="preserve">The ageing of the population in Europe has </w:t>
      </w:r>
      <w:r w:rsidR="000125E9">
        <w:t>its roots in the years after</w:t>
      </w:r>
      <w:r>
        <w:t xml:space="preserve"> World War II. The sharp increase in fertility rates created the so-called baby boom cohort. In addition, the current trend of decrease in the fertility rates and the increase of the life expectancy are changing the shape of the population pyramid in a way that is fundamentally different than the shape </w:t>
      </w:r>
      <w:r w:rsidR="006B0280">
        <w:t>observed when</w:t>
      </w:r>
      <w:r>
        <w:t xml:space="preserve"> the social security systems were designed in the end of the nineteenth century by Otto von Bismarck. However</w:t>
      </w:r>
      <w:r w:rsidR="00414062">
        <w:t>,</w:t>
      </w:r>
      <w:r>
        <w:t xml:space="preserve"> many of the current states rely heavily on the PAYG schemes whose sustainability in the long run is highly dependent on the old-age ratio. This paper</w:t>
      </w:r>
      <w:r w:rsidR="009A179B">
        <w:t>’s</w:t>
      </w:r>
      <w:r>
        <w:t xml:space="preserve"> main aim was to give an overview of the current situation regarding social welfare states and their responsiveness to the demographic developments. The importance of understanding the setup of the old-age pension systems is central to this paper</w:t>
      </w:r>
      <w:r w:rsidR="000125E9">
        <w:t>,</w:t>
      </w:r>
      <w:r>
        <w:t xml:space="preserve"> as by revealing the way different schemes work</w:t>
      </w:r>
      <w:r w:rsidR="000125E9">
        <w:t>,</w:t>
      </w:r>
      <w:r>
        <w:t xml:space="preserve"> it would be easier to anticipate th</w:t>
      </w:r>
      <w:r w:rsidR="001A28D2">
        <w:t>e response of the systems to the</w:t>
      </w:r>
      <w:r>
        <w:t>se inevitable changes. The paper continued by describing the demographic situation and presenting evidence for the demographic crisis in Europe. This was done by using data from official reports and databases of organizations such as the United Nations, Organization for Economic and Co-Operation and Development and European commission. The data used included tables with old-age dependency ratios, life expectancy and fertility rates charts. All the evidence suggests that gover</w:t>
      </w:r>
      <w:r w:rsidR="00F60F69">
        <w:t xml:space="preserve">nments can expect with </w:t>
      </w:r>
      <w:r w:rsidR="00850064">
        <w:t xml:space="preserve">certainty </w:t>
      </w:r>
      <w:r>
        <w:t>serious demographic movements</w:t>
      </w:r>
      <w:r w:rsidR="00F60F69">
        <w:t xml:space="preserve"> in the future.</w:t>
      </w:r>
      <w:r>
        <w:t xml:space="preserve"> </w:t>
      </w:r>
    </w:p>
    <w:p w:rsidR="005D378B" w:rsidRDefault="005D378B" w:rsidP="00AA4587">
      <w:pPr>
        <w:spacing w:before="120" w:line="360" w:lineRule="auto"/>
      </w:pPr>
      <w:r>
        <w:t>The study continued nar</w:t>
      </w:r>
      <w:r w:rsidR="00547951">
        <w:t>rowing down the research to</w:t>
      </w:r>
      <w:r>
        <w:t xml:space="preserve"> European level. The developments of the pension systems in the last couple </w:t>
      </w:r>
      <w:r w:rsidR="00547951">
        <w:t>of decades suggest that a lot has been</w:t>
      </w:r>
      <w:r>
        <w:t xml:space="preserve"> don</w:t>
      </w:r>
      <w:r w:rsidR="00FE0EA2">
        <w:t>e, but a lot more must be done</w:t>
      </w:r>
      <w:r>
        <w:t xml:space="preserve"> in order to avoid severe decreases in the living standard of elderly people. However, there is a clear trend for a decrease in the reliance on public pension benefits although </w:t>
      </w:r>
      <w:r w:rsidR="00547951">
        <w:t xml:space="preserve">the </w:t>
      </w:r>
      <w:r>
        <w:t xml:space="preserve">reforms in this direction seem </w:t>
      </w:r>
      <w:r w:rsidR="00FE0EA2">
        <w:t>to be</w:t>
      </w:r>
      <w:r>
        <w:t xml:space="preserve"> moving</w:t>
      </w:r>
      <w:r w:rsidR="00FE0EA2">
        <w:t xml:space="preserve"> slowly</w:t>
      </w:r>
      <w:r>
        <w:t>.</w:t>
      </w:r>
    </w:p>
    <w:p w:rsidR="005D378B" w:rsidRDefault="005D378B" w:rsidP="00AA4587">
      <w:pPr>
        <w:spacing w:before="120" w:line="360" w:lineRule="auto"/>
      </w:pPr>
      <w:r>
        <w:t>There was a section that dealt with the reform issues, and explored the possible reasons for the reluctance of some governments to take actions against the looming demographic crisis. It could be concluded that there are solutions to the problem of high transition costs and the question about the distribution of risk associated with funded schemes.</w:t>
      </w:r>
    </w:p>
    <w:p w:rsidR="005D378B" w:rsidRDefault="005D378B" w:rsidP="00AA4587">
      <w:pPr>
        <w:spacing w:before="120" w:line="360" w:lineRule="auto"/>
      </w:pPr>
      <w:r>
        <w:t>The case studies provided concrete examples of how developed welfare states are organized and what are the differences in the</w:t>
      </w:r>
      <w:r w:rsidR="005504A0">
        <w:t>ir setting</w:t>
      </w:r>
      <w:r>
        <w:t>. This section ends the r</w:t>
      </w:r>
      <w:r w:rsidR="005504A0">
        <w:t>esearch by showing how</w:t>
      </w:r>
      <w:r>
        <w:t xml:space="preserve"> countries react differently to population ageing depending on their institutional and legislative </w:t>
      </w:r>
      <w:r>
        <w:lastRenderedPageBreak/>
        <w:t xml:space="preserve">setting. The case of </w:t>
      </w:r>
      <w:r w:rsidR="005504A0">
        <w:t xml:space="preserve">the </w:t>
      </w:r>
      <w:r>
        <w:t xml:space="preserve">Netherlands stands in front of the other three, as </w:t>
      </w:r>
      <w:r w:rsidR="005504A0">
        <w:t>it is fundamentally different at</w:t>
      </w:r>
      <w:r>
        <w:t xml:space="preserve"> its core,</w:t>
      </w:r>
      <w:r w:rsidR="00D920E3">
        <w:t xml:space="preserve"> depending</w:t>
      </w:r>
      <w:r>
        <w:t xml:space="preserve"> on the second funded pillar more than any other European country. However, even though many authors in the literature show how important it is for pension systems to move away from unfunded schemes, the Dutch case reveals the problems which have to be considered by policy makers, especially in</w:t>
      </w:r>
      <w:r w:rsidR="005504A0">
        <w:t xml:space="preserve"> the</w:t>
      </w:r>
      <w:r>
        <w:t xml:space="preserve"> times of economic distress as we are experiencing now.</w:t>
      </w:r>
    </w:p>
    <w:p w:rsidR="005D378B" w:rsidRDefault="005D378B" w:rsidP="00AA4587">
      <w:pPr>
        <w:spacing w:before="120" w:line="360" w:lineRule="auto"/>
      </w:pPr>
      <w:r>
        <w:t>Unfortunately, because there is</w:t>
      </w:r>
      <w:r w:rsidR="005114A4">
        <w:t xml:space="preserve"> a</w:t>
      </w:r>
      <w:r>
        <w:t xml:space="preserve"> lack of detailed data on the subject it was impossible to conduct complex empirical research. Despite this drawback, the methodology of the study </w:t>
      </w:r>
      <w:r w:rsidR="00CA7C0A">
        <w:t>was in the form of</w:t>
      </w:r>
      <w:r>
        <w:t xml:space="preserve"> a literature review, introducing the most notable work that is done on the subject. </w:t>
      </w:r>
    </w:p>
    <w:p w:rsidR="005D378B" w:rsidRDefault="005114A4" w:rsidP="00AA4587">
      <w:pPr>
        <w:spacing w:before="120" w:line="360" w:lineRule="auto"/>
      </w:pPr>
      <w:r>
        <w:t>It is extremely difficult</w:t>
      </w:r>
      <w:r w:rsidR="005D378B">
        <w:t xml:space="preserve"> to find a single solution to the problem of population ageing. However, it can be said with </w:t>
      </w:r>
      <w:r>
        <w:t>confidence</w:t>
      </w:r>
      <w:r w:rsidR="005D378B">
        <w:t xml:space="preserve"> that governments and policy makers should avoid extreme cases of pension settings such as fully funded or entirely unfunded schemes, and instead focus on searching for a golden</w:t>
      </w:r>
      <w:r w:rsidR="007F4321">
        <w:t>,</w:t>
      </w:r>
      <w:r w:rsidR="005D378B">
        <w:t xml:space="preserve"> middle point that balances the uncertainty about the risks associated with demographic and economic changes.</w:t>
      </w: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0125E9" w:rsidRDefault="000125E9" w:rsidP="005D378B">
      <w:pPr>
        <w:rPr>
          <w:lang w:val="en-US"/>
        </w:rPr>
      </w:pPr>
    </w:p>
    <w:p w:rsidR="000125E9" w:rsidRDefault="000125E9" w:rsidP="005D378B">
      <w:pPr>
        <w:rPr>
          <w:lang w:val="en-US"/>
        </w:rPr>
      </w:pPr>
    </w:p>
    <w:p w:rsidR="000125E9" w:rsidRDefault="000125E9" w:rsidP="005D378B">
      <w:pPr>
        <w:rPr>
          <w:lang w:val="en-US"/>
        </w:rPr>
      </w:pPr>
    </w:p>
    <w:p w:rsidR="000125E9" w:rsidRDefault="000125E9" w:rsidP="005D378B">
      <w:pPr>
        <w:rPr>
          <w:lang w:val="en-US"/>
        </w:rPr>
      </w:pPr>
    </w:p>
    <w:p w:rsidR="000125E9" w:rsidRDefault="000125E9" w:rsidP="005D378B">
      <w:pPr>
        <w:rPr>
          <w:lang w:val="en-US"/>
        </w:rPr>
      </w:pPr>
    </w:p>
    <w:p w:rsidR="000125E9" w:rsidRDefault="000125E9" w:rsidP="005D378B">
      <w:pPr>
        <w:rPr>
          <w:lang w:val="en-US"/>
        </w:rPr>
      </w:pPr>
    </w:p>
    <w:p w:rsidR="000125E9" w:rsidRDefault="000125E9"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Default="005D378B" w:rsidP="005D378B">
      <w:pPr>
        <w:rPr>
          <w:lang w:val="en-US"/>
        </w:rPr>
      </w:pPr>
    </w:p>
    <w:p w:rsidR="005D378B" w:rsidRPr="005403AE" w:rsidRDefault="005D378B" w:rsidP="005403AE">
      <w:pPr>
        <w:pStyle w:val="Heading3"/>
        <w:spacing w:before="240" w:line="360" w:lineRule="auto"/>
        <w:rPr>
          <w:sz w:val="28"/>
          <w:szCs w:val="28"/>
        </w:rPr>
      </w:pPr>
      <w:r w:rsidRPr="005403AE">
        <w:rPr>
          <w:sz w:val="28"/>
          <w:szCs w:val="28"/>
        </w:rPr>
        <w:lastRenderedPageBreak/>
        <w:t>Bibliography:</w:t>
      </w:r>
    </w:p>
    <w:p w:rsidR="005403AE" w:rsidRPr="00984CC7" w:rsidRDefault="005403AE" w:rsidP="005403AE">
      <w:pPr>
        <w:pStyle w:val="ListParagraph"/>
        <w:numPr>
          <w:ilvl w:val="0"/>
          <w:numId w:val="1"/>
        </w:numPr>
        <w:autoSpaceDE w:val="0"/>
        <w:autoSpaceDN w:val="0"/>
        <w:adjustRightInd w:val="0"/>
        <w:spacing w:before="240" w:line="360" w:lineRule="auto"/>
        <w:rPr>
          <w:rFonts w:eastAsiaTheme="minorHAnsi"/>
          <w:lang w:val="bg-BG"/>
        </w:rPr>
      </w:pPr>
      <w:r w:rsidRPr="00984CC7">
        <w:rPr>
          <w:rFonts w:eastAsiaTheme="minorHAnsi"/>
          <w:lang w:val="bg-BG"/>
        </w:rPr>
        <w:t>Adema, Y. (2008). The international spillover effects of ageing and pensions. CentER.</w:t>
      </w:r>
      <w:r w:rsidRPr="00984CC7">
        <w:rPr>
          <w:rFonts w:eastAsiaTheme="minorHAnsi"/>
          <w:lang w:val="en-US"/>
        </w:rPr>
        <w:t xml:space="preserve">, </w:t>
      </w:r>
      <w:r w:rsidRPr="00984CC7">
        <w:rPr>
          <w:rFonts w:eastAsiaTheme="minorHAnsi"/>
          <w:lang w:val="bg-BG"/>
        </w:rPr>
        <w:t>Tilburg, Universiteit van Tilburg</w:t>
      </w:r>
      <w:r w:rsidRPr="00984CC7">
        <w:rPr>
          <w:rFonts w:eastAsiaTheme="minorHAnsi"/>
          <w:b/>
          <w:bCs/>
          <w:lang w:val="bg-BG"/>
        </w:rPr>
        <w:t xml:space="preserve">: </w:t>
      </w:r>
      <w:r w:rsidRPr="00984CC7">
        <w:rPr>
          <w:rFonts w:eastAsiaTheme="minorHAnsi"/>
          <w:lang w:val="bg-BG"/>
        </w:rPr>
        <w:t>271.</w:t>
      </w:r>
    </w:p>
    <w:p w:rsidR="005D378B" w:rsidRPr="00984CC7" w:rsidRDefault="005D378B" w:rsidP="005403AE">
      <w:pPr>
        <w:pStyle w:val="ListParagraph"/>
        <w:numPr>
          <w:ilvl w:val="0"/>
          <w:numId w:val="1"/>
        </w:numPr>
        <w:spacing w:before="240" w:after="240" w:line="360" w:lineRule="auto"/>
      </w:pPr>
      <w:r w:rsidRPr="00984CC7">
        <w:rPr>
          <w:shd w:val="clear" w:color="auto" w:fill="FFFFFF"/>
        </w:rPr>
        <w:t>Anderson, K. (2001), "European Integration and Pension Policy in the Netherlands and Germany."</w:t>
      </w:r>
      <w:r w:rsidRPr="00984CC7">
        <w:rPr>
          <w:rStyle w:val="apple-converted-space"/>
          <w:shd w:val="clear" w:color="auto" w:fill="FFFFFF"/>
        </w:rPr>
        <w:t> </w:t>
      </w:r>
      <w:r w:rsidRPr="00984CC7">
        <w:rPr>
          <w:iCs/>
          <w:shd w:val="clear" w:color="auto" w:fill="FFFFFF"/>
        </w:rPr>
        <w:t>mimeo</w:t>
      </w:r>
    </w:p>
    <w:p w:rsidR="005D378B" w:rsidRPr="00984CC7" w:rsidRDefault="005D378B" w:rsidP="005403AE">
      <w:pPr>
        <w:pStyle w:val="ListParagraph"/>
        <w:numPr>
          <w:ilvl w:val="0"/>
          <w:numId w:val="1"/>
        </w:numPr>
        <w:autoSpaceDE w:val="0"/>
        <w:autoSpaceDN w:val="0"/>
        <w:adjustRightInd w:val="0"/>
        <w:spacing w:before="240" w:after="240" w:line="360" w:lineRule="auto"/>
        <w:rPr>
          <w:rStyle w:val="apple-converted-space"/>
          <w:bCs/>
        </w:rPr>
      </w:pPr>
      <w:r w:rsidRPr="00984CC7">
        <w:rPr>
          <w:rFonts w:eastAsiaTheme="minorHAnsi"/>
          <w:lang w:val="en-US"/>
        </w:rPr>
        <w:t>Baldwin</w:t>
      </w:r>
      <w:r w:rsidRPr="00984CC7">
        <w:t>,</w:t>
      </w:r>
      <w:r w:rsidRPr="00984CC7">
        <w:rPr>
          <w:rFonts w:eastAsiaTheme="minorHAnsi"/>
          <w:lang w:val="en-US"/>
        </w:rPr>
        <w:t xml:space="preserve"> P. (1990), </w:t>
      </w:r>
      <w:r w:rsidRPr="00984CC7">
        <w:t>“</w:t>
      </w:r>
      <w:r w:rsidRPr="00984CC7">
        <w:rPr>
          <w:rFonts w:eastAsiaTheme="minorHAnsi"/>
          <w:bCs/>
          <w:lang w:val="en-US"/>
        </w:rPr>
        <w:t>The Politics of Social Solidarity: Class Bases of the European Welfare State, 1875–1975</w:t>
      </w:r>
      <w:r w:rsidRPr="00984CC7">
        <w:rPr>
          <w:bCs/>
        </w:rPr>
        <w:t>”</w:t>
      </w:r>
      <w:r w:rsidRPr="00984CC7">
        <w:rPr>
          <w:rFonts w:eastAsiaTheme="minorHAnsi"/>
          <w:lang w:val="en-US"/>
        </w:rPr>
        <w:t>, Cambridge University Press, Cambridge.</w:t>
      </w:r>
    </w:p>
    <w:p w:rsidR="005D378B" w:rsidRPr="00984CC7" w:rsidRDefault="005D378B" w:rsidP="005D378B">
      <w:pPr>
        <w:pStyle w:val="ListParagraph"/>
        <w:numPr>
          <w:ilvl w:val="0"/>
          <w:numId w:val="1"/>
        </w:numPr>
        <w:autoSpaceDE w:val="0"/>
        <w:autoSpaceDN w:val="0"/>
        <w:adjustRightInd w:val="0"/>
        <w:spacing w:before="240" w:after="240" w:line="360" w:lineRule="auto"/>
      </w:pPr>
      <w:r w:rsidRPr="00984CC7">
        <w:rPr>
          <w:shd w:val="clear" w:color="auto" w:fill="FFFFFF"/>
        </w:rPr>
        <w:t>Barr, N. and P. Diamond, (2006), The economics of pensions,</w:t>
      </w:r>
      <w:r w:rsidRPr="00984CC7">
        <w:rPr>
          <w:rStyle w:val="apple-converted-space"/>
          <w:shd w:val="clear" w:color="auto" w:fill="FFFFFF"/>
        </w:rPr>
        <w:t> </w:t>
      </w:r>
      <w:r w:rsidRPr="00984CC7">
        <w:rPr>
          <w:iCs/>
          <w:shd w:val="clear" w:color="auto" w:fill="FFFFFF"/>
        </w:rPr>
        <w:t>Oxford</w:t>
      </w:r>
      <w:r w:rsidRPr="00984CC7">
        <w:rPr>
          <w:rStyle w:val="apple-converted-space"/>
          <w:shd w:val="clear" w:color="auto" w:fill="FFFFFF"/>
        </w:rPr>
        <w:t> </w:t>
      </w:r>
      <w:r w:rsidRPr="00984CC7">
        <w:rPr>
          <w:iCs/>
          <w:shd w:val="clear" w:color="auto" w:fill="FFFFFF"/>
        </w:rPr>
        <w:t>review of economic policy</w:t>
      </w:r>
      <w:r w:rsidRPr="00984CC7">
        <w:rPr>
          <w:shd w:val="clear" w:color="auto" w:fill="FFFFFF"/>
        </w:rPr>
        <w:t>, 22(1), p. 15-39</w:t>
      </w:r>
    </w:p>
    <w:p w:rsidR="005D378B" w:rsidRPr="00984CC7" w:rsidRDefault="005D378B" w:rsidP="005D378B">
      <w:pPr>
        <w:pStyle w:val="ListParagraph"/>
        <w:numPr>
          <w:ilvl w:val="0"/>
          <w:numId w:val="1"/>
        </w:numPr>
        <w:autoSpaceDE w:val="0"/>
        <w:autoSpaceDN w:val="0"/>
        <w:adjustRightInd w:val="0"/>
        <w:spacing w:line="360" w:lineRule="auto"/>
        <w:ind w:left="714" w:hanging="357"/>
        <w:rPr>
          <w:rFonts w:eastAsiaTheme="minorHAnsi"/>
          <w:bCs/>
        </w:rPr>
      </w:pPr>
      <w:r w:rsidRPr="00984CC7">
        <w:rPr>
          <w:rFonts w:eastAsiaTheme="minorHAnsi"/>
          <w:lang w:val="bg-BG"/>
        </w:rPr>
        <w:t>Bodie</w:t>
      </w:r>
      <w:r w:rsidRPr="00984CC7">
        <w:rPr>
          <w:rFonts w:eastAsiaTheme="minorHAnsi"/>
          <w:lang w:val="en-US"/>
        </w:rPr>
        <w:t xml:space="preserve"> Z.</w:t>
      </w:r>
      <w:r w:rsidRPr="00984CC7">
        <w:rPr>
          <w:rFonts w:eastAsiaTheme="minorHAnsi"/>
          <w:lang w:val="bg-BG"/>
        </w:rPr>
        <w:t xml:space="preserve">, </w:t>
      </w:r>
      <w:r w:rsidRPr="00984CC7">
        <w:rPr>
          <w:rFonts w:eastAsiaTheme="minorHAnsi"/>
          <w:lang w:val="en-US"/>
        </w:rPr>
        <w:t>A. J. Marcus, R. C. Merton.</w:t>
      </w:r>
      <w:r w:rsidRPr="00984CC7">
        <w:rPr>
          <w:rFonts w:eastAsiaTheme="minorHAnsi"/>
          <w:lang w:val="bg-BG"/>
        </w:rPr>
        <w:t>,</w:t>
      </w:r>
      <w:r w:rsidRPr="00984CC7">
        <w:rPr>
          <w:rFonts w:eastAsiaTheme="minorHAnsi"/>
          <w:lang w:val="en-US"/>
        </w:rPr>
        <w:t xml:space="preserve"> (1988), “</w:t>
      </w:r>
      <w:r w:rsidRPr="00984CC7">
        <w:rPr>
          <w:rFonts w:eastAsiaTheme="minorHAnsi"/>
          <w:lang w:val="bg-BG"/>
        </w:rPr>
        <w:t>Defined Benefit versus Defined Contribution Pension Plans:</w:t>
      </w:r>
      <w:r w:rsidRPr="00984CC7">
        <w:rPr>
          <w:rFonts w:eastAsiaTheme="minorHAnsi"/>
          <w:lang w:val="en-US"/>
        </w:rPr>
        <w:t xml:space="preserve"> </w:t>
      </w:r>
      <w:r w:rsidRPr="00984CC7">
        <w:rPr>
          <w:rFonts w:eastAsiaTheme="minorHAnsi"/>
          <w:lang w:val="bg-BG"/>
        </w:rPr>
        <w:t>What are the Real Trade-offs?</w:t>
      </w:r>
      <w:r w:rsidRPr="00984CC7">
        <w:rPr>
          <w:rFonts w:eastAsiaTheme="minorHAnsi"/>
          <w:lang w:val="en-US"/>
        </w:rPr>
        <w:t xml:space="preserve">”, Pensions in the U.S. Economy ,(p. 139 - 162), </w:t>
      </w:r>
      <w:r w:rsidRPr="00984CC7">
        <w:rPr>
          <w:rFonts w:eastAsiaTheme="minorHAnsi"/>
          <w:lang w:val="bg-BG"/>
        </w:rPr>
        <w:t>University of Chicago Press</w:t>
      </w:r>
    </w:p>
    <w:p w:rsidR="005D378B" w:rsidRPr="00984CC7" w:rsidRDefault="005D378B" w:rsidP="005D378B">
      <w:pPr>
        <w:pStyle w:val="ListParagraph"/>
        <w:numPr>
          <w:ilvl w:val="0"/>
          <w:numId w:val="1"/>
        </w:numPr>
        <w:autoSpaceDE w:val="0"/>
        <w:autoSpaceDN w:val="0"/>
        <w:adjustRightInd w:val="0"/>
        <w:spacing w:line="360" w:lineRule="auto"/>
        <w:ind w:left="714" w:hanging="357"/>
      </w:pPr>
      <w:proofErr w:type="spellStart"/>
      <w:r w:rsidRPr="00984CC7">
        <w:rPr>
          <w:shd w:val="clear" w:color="auto" w:fill="FFFFFF"/>
        </w:rPr>
        <w:t>Boeri</w:t>
      </w:r>
      <w:proofErr w:type="spellEnd"/>
      <w:r w:rsidRPr="00984CC7">
        <w:rPr>
          <w:shd w:val="clear" w:color="auto" w:fill="FFFFFF"/>
        </w:rPr>
        <w:t xml:space="preserve">, T., A. </w:t>
      </w:r>
      <w:proofErr w:type="spellStart"/>
      <w:r w:rsidRPr="00984CC7">
        <w:rPr>
          <w:shd w:val="clear" w:color="auto" w:fill="FFFFFF"/>
        </w:rPr>
        <w:t>Börsch-Supan</w:t>
      </w:r>
      <w:proofErr w:type="spellEnd"/>
      <w:r w:rsidRPr="00984CC7">
        <w:rPr>
          <w:shd w:val="clear" w:color="auto" w:fill="FFFFFF"/>
        </w:rPr>
        <w:t xml:space="preserve"> and G. </w:t>
      </w:r>
      <w:proofErr w:type="spellStart"/>
      <w:r w:rsidRPr="00984CC7">
        <w:rPr>
          <w:shd w:val="clear" w:color="auto" w:fill="FFFFFF"/>
        </w:rPr>
        <w:t>Tabellini</w:t>
      </w:r>
      <w:proofErr w:type="spellEnd"/>
      <w:r w:rsidRPr="00984CC7">
        <w:rPr>
          <w:shd w:val="clear" w:color="auto" w:fill="FFFFFF"/>
        </w:rPr>
        <w:t xml:space="preserve">, 2001, </w:t>
      </w:r>
      <w:proofErr w:type="gramStart"/>
      <w:r w:rsidRPr="00984CC7">
        <w:rPr>
          <w:shd w:val="clear" w:color="auto" w:fill="FFFFFF"/>
        </w:rPr>
        <w:t>Would</w:t>
      </w:r>
      <w:proofErr w:type="gramEnd"/>
      <w:r w:rsidRPr="00984CC7">
        <w:rPr>
          <w:shd w:val="clear" w:color="auto" w:fill="FFFFFF"/>
        </w:rPr>
        <w:t xml:space="preserve"> you like to shrink the welfare state? A survey of European citizens,</w:t>
      </w:r>
      <w:r w:rsidRPr="00984CC7">
        <w:rPr>
          <w:rStyle w:val="apple-converted-space"/>
          <w:shd w:val="clear" w:color="auto" w:fill="FFFFFF"/>
        </w:rPr>
        <w:t> </w:t>
      </w:r>
      <w:r w:rsidRPr="00984CC7">
        <w:rPr>
          <w:iCs/>
          <w:shd w:val="clear" w:color="auto" w:fill="FFFFFF"/>
        </w:rPr>
        <w:t>Economic Policy</w:t>
      </w:r>
      <w:r w:rsidRPr="00984CC7">
        <w:rPr>
          <w:shd w:val="clear" w:color="auto" w:fill="FFFFFF"/>
        </w:rPr>
        <w:t>, 16, p. 7-50.</w:t>
      </w:r>
    </w:p>
    <w:p w:rsidR="005D378B" w:rsidRPr="00984CC7" w:rsidRDefault="005D378B" w:rsidP="005D378B">
      <w:pPr>
        <w:numPr>
          <w:ilvl w:val="0"/>
          <w:numId w:val="1"/>
        </w:numPr>
        <w:autoSpaceDE w:val="0"/>
        <w:autoSpaceDN w:val="0"/>
        <w:adjustRightInd w:val="0"/>
        <w:spacing w:line="360" w:lineRule="auto"/>
        <w:ind w:left="714" w:hanging="357"/>
        <w:rPr>
          <w:lang w:eastAsia="bg-BG"/>
        </w:rPr>
      </w:pPr>
      <w:proofErr w:type="spellStart"/>
      <w:r w:rsidRPr="00984CC7">
        <w:rPr>
          <w:lang w:eastAsia="bg-BG"/>
        </w:rPr>
        <w:t>Bovengerg</w:t>
      </w:r>
      <w:proofErr w:type="spellEnd"/>
      <w:r w:rsidRPr="00984CC7">
        <w:rPr>
          <w:lang w:eastAsia="bg-BG"/>
        </w:rPr>
        <w:t xml:space="preserve">, L. and T. </w:t>
      </w:r>
      <w:proofErr w:type="spellStart"/>
      <w:r w:rsidRPr="00984CC7">
        <w:rPr>
          <w:lang w:eastAsia="bg-BG"/>
        </w:rPr>
        <w:t>Knaap</w:t>
      </w:r>
      <w:proofErr w:type="spellEnd"/>
      <w:r w:rsidRPr="00984CC7">
        <w:rPr>
          <w:lang w:eastAsia="bg-BG"/>
        </w:rPr>
        <w:t>.,</w:t>
      </w:r>
      <w:r w:rsidRPr="00984CC7">
        <w:rPr>
          <w:lang w:val="en-US" w:eastAsia="bg-BG"/>
        </w:rPr>
        <w:t xml:space="preserve"> (2005),</w:t>
      </w:r>
      <w:r w:rsidRPr="00984CC7">
        <w:rPr>
          <w:lang w:eastAsia="bg-BG"/>
        </w:rPr>
        <w:t xml:space="preserve"> “</w:t>
      </w:r>
      <w:r w:rsidRPr="00984CC7">
        <w:rPr>
          <w:lang w:val="en-US" w:eastAsia="bg-BG"/>
        </w:rPr>
        <w:t>Ageing, funded pensions and the Dutch economy</w:t>
      </w:r>
      <w:r w:rsidRPr="00984CC7">
        <w:rPr>
          <w:lang w:eastAsia="bg-BG"/>
        </w:rPr>
        <w:t>”</w:t>
      </w:r>
      <w:r w:rsidRPr="00984CC7">
        <w:rPr>
          <w:lang w:val="en-US" w:eastAsia="bg-BG"/>
        </w:rPr>
        <w:t>,</w:t>
      </w:r>
      <w:r w:rsidRPr="00984CC7">
        <w:rPr>
          <w:lang w:val="en-US"/>
        </w:rPr>
        <w:t xml:space="preserve"> </w:t>
      </w:r>
      <w:r w:rsidRPr="00984CC7">
        <w:rPr>
          <w:lang w:val="bg-BG" w:eastAsia="bg-BG"/>
        </w:rPr>
        <w:t xml:space="preserve">CESIFO </w:t>
      </w:r>
      <w:r w:rsidRPr="00984CC7">
        <w:rPr>
          <w:lang w:val="en-US" w:eastAsia="bg-BG"/>
        </w:rPr>
        <w:t>Working Paper No</w:t>
      </w:r>
      <w:r w:rsidRPr="00984CC7">
        <w:rPr>
          <w:lang w:val="bg-BG" w:eastAsia="bg-BG"/>
        </w:rPr>
        <w:t>. 1403</w:t>
      </w:r>
    </w:p>
    <w:p w:rsidR="00073DED" w:rsidRPr="00984CC7" w:rsidRDefault="00073DED" w:rsidP="00073DED">
      <w:pPr>
        <w:pStyle w:val="ListParagraph"/>
        <w:numPr>
          <w:ilvl w:val="0"/>
          <w:numId w:val="1"/>
        </w:numPr>
        <w:autoSpaceDE w:val="0"/>
        <w:autoSpaceDN w:val="0"/>
        <w:adjustRightInd w:val="0"/>
        <w:spacing w:line="360" w:lineRule="auto"/>
        <w:rPr>
          <w:rFonts w:eastAsiaTheme="minorHAnsi"/>
          <w:lang w:val="bg-BG"/>
        </w:rPr>
      </w:pPr>
      <w:proofErr w:type="spellStart"/>
      <w:r w:rsidRPr="00984CC7">
        <w:rPr>
          <w:rFonts w:eastAsiaTheme="minorHAnsi"/>
          <w:lang w:val="en-US"/>
        </w:rPr>
        <w:t>Börsch</w:t>
      </w:r>
      <w:proofErr w:type="spellEnd"/>
      <w:r w:rsidRPr="00984CC7">
        <w:rPr>
          <w:rFonts w:eastAsiaTheme="minorHAnsi"/>
          <w:lang w:val="bg-BG"/>
        </w:rPr>
        <w:t xml:space="preserve"> -Supan, A (2004), ‘Mind the Gap: The Effectiveness of Incentives to Boost Retirement</w:t>
      </w:r>
      <w:r w:rsidRPr="00984CC7">
        <w:rPr>
          <w:rFonts w:eastAsiaTheme="minorHAnsi"/>
          <w:lang w:val="en-US"/>
        </w:rPr>
        <w:t xml:space="preserve"> </w:t>
      </w:r>
      <w:r w:rsidRPr="00984CC7">
        <w:rPr>
          <w:rFonts w:eastAsiaTheme="minorHAnsi"/>
          <w:lang w:val="bg-BG"/>
        </w:rPr>
        <w:t>Saving in Europe’, Discussion Paper no. 52–04, Mannheim Research</w:t>
      </w:r>
      <w:r w:rsidRPr="00984CC7">
        <w:rPr>
          <w:rFonts w:eastAsiaTheme="minorHAnsi"/>
          <w:lang w:val="en-US"/>
        </w:rPr>
        <w:t xml:space="preserve"> </w:t>
      </w:r>
      <w:r w:rsidRPr="00984CC7">
        <w:rPr>
          <w:rFonts w:eastAsiaTheme="minorHAnsi"/>
          <w:lang w:val="bg-BG"/>
        </w:rPr>
        <w:t>Institute for the Economics</w:t>
      </w:r>
      <w:r w:rsidRPr="00984CC7">
        <w:rPr>
          <w:rFonts w:eastAsiaTheme="minorHAnsi"/>
          <w:lang w:val="en-US"/>
        </w:rPr>
        <w:t xml:space="preserve"> </w:t>
      </w:r>
      <w:r w:rsidRPr="00984CC7">
        <w:rPr>
          <w:rFonts w:eastAsiaTheme="minorHAnsi"/>
          <w:lang w:val="bg-BG"/>
        </w:rPr>
        <w:t>of Aging.</w:t>
      </w:r>
    </w:p>
    <w:p w:rsidR="005D378B" w:rsidRPr="00984CC7" w:rsidRDefault="005D378B" w:rsidP="00073DED">
      <w:pPr>
        <w:numPr>
          <w:ilvl w:val="0"/>
          <w:numId w:val="1"/>
        </w:numPr>
        <w:autoSpaceDE w:val="0"/>
        <w:autoSpaceDN w:val="0"/>
        <w:adjustRightInd w:val="0"/>
        <w:spacing w:line="360" w:lineRule="auto"/>
        <w:ind w:left="714" w:hanging="357"/>
        <w:rPr>
          <w:lang w:val="en-US" w:eastAsia="bg-BG"/>
        </w:rPr>
      </w:pPr>
      <w:r w:rsidRPr="00984CC7">
        <w:rPr>
          <w:lang w:val="bg-BG" w:eastAsia="bg-BG"/>
        </w:rPr>
        <w:t>B</w:t>
      </w:r>
      <w:r w:rsidR="00073DED" w:rsidRPr="00984CC7">
        <w:rPr>
          <w:rFonts w:eastAsiaTheme="minorHAnsi"/>
          <w:lang w:val="en-US"/>
        </w:rPr>
        <w:t>ö</w:t>
      </w:r>
      <w:r w:rsidRPr="00984CC7">
        <w:rPr>
          <w:lang w:val="bg-BG" w:eastAsia="bg-BG"/>
        </w:rPr>
        <w:t>rsch-Supan, A.</w:t>
      </w:r>
      <w:r w:rsidRPr="00984CC7">
        <w:rPr>
          <w:lang w:eastAsia="bg-BG"/>
        </w:rPr>
        <w:t>,</w:t>
      </w:r>
      <w:r w:rsidRPr="00984CC7">
        <w:rPr>
          <w:lang w:val="bg-BG" w:eastAsia="bg-BG"/>
        </w:rPr>
        <w:t xml:space="preserve"> </w:t>
      </w:r>
      <w:r w:rsidRPr="00984CC7">
        <w:rPr>
          <w:lang w:eastAsia="bg-BG"/>
        </w:rPr>
        <w:t>(</w:t>
      </w:r>
      <w:r w:rsidRPr="00984CC7">
        <w:rPr>
          <w:lang w:val="bg-BG" w:eastAsia="bg-BG"/>
        </w:rPr>
        <w:t>1998</w:t>
      </w:r>
      <w:r w:rsidRPr="00984CC7">
        <w:rPr>
          <w:lang w:eastAsia="bg-BG"/>
        </w:rPr>
        <w:t>)</w:t>
      </w:r>
      <w:r w:rsidRPr="00984CC7">
        <w:rPr>
          <w:lang w:val="bg-BG" w:eastAsia="bg-BG"/>
        </w:rPr>
        <w:t xml:space="preserve">. </w:t>
      </w:r>
      <w:r w:rsidRPr="00984CC7">
        <w:rPr>
          <w:lang w:eastAsia="bg-BG"/>
        </w:rPr>
        <w:t>“</w:t>
      </w:r>
      <w:r w:rsidRPr="00984CC7">
        <w:rPr>
          <w:lang w:val="bg-BG" w:eastAsia="bg-BG"/>
        </w:rPr>
        <w:t>Germany: A social security system on the verge of collapse.</w:t>
      </w:r>
      <w:r w:rsidRPr="00984CC7">
        <w:rPr>
          <w:lang w:val="en-US" w:eastAsia="bg-BG"/>
        </w:rPr>
        <w:t xml:space="preserve"> </w:t>
      </w:r>
      <w:r w:rsidRPr="00984CC7">
        <w:rPr>
          <w:lang w:val="bg-BG" w:eastAsia="bg-BG"/>
        </w:rPr>
        <w:t>In Redesigning social security</w:t>
      </w:r>
      <w:r w:rsidRPr="00984CC7">
        <w:rPr>
          <w:lang w:eastAsia="bg-BG"/>
        </w:rPr>
        <w:t>”</w:t>
      </w:r>
      <w:r w:rsidRPr="00984CC7">
        <w:rPr>
          <w:lang w:val="bg-BG" w:eastAsia="bg-BG"/>
        </w:rPr>
        <w:t xml:space="preserve">, ed. H. Siebert, </w:t>
      </w:r>
      <w:r w:rsidRPr="00984CC7">
        <w:rPr>
          <w:lang w:eastAsia="bg-BG"/>
        </w:rPr>
        <w:t>p.</w:t>
      </w:r>
      <w:r w:rsidRPr="00984CC7">
        <w:rPr>
          <w:lang w:val="bg-BG" w:eastAsia="bg-BG"/>
        </w:rPr>
        <w:t xml:space="preserve">129–59. </w:t>
      </w:r>
    </w:p>
    <w:p w:rsidR="005D378B" w:rsidRPr="00984CC7" w:rsidRDefault="005D378B" w:rsidP="00073DED">
      <w:pPr>
        <w:pStyle w:val="ListParagraph"/>
        <w:numPr>
          <w:ilvl w:val="0"/>
          <w:numId w:val="1"/>
        </w:numPr>
        <w:autoSpaceDE w:val="0"/>
        <w:autoSpaceDN w:val="0"/>
        <w:adjustRightInd w:val="0"/>
        <w:spacing w:line="360" w:lineRule="auto"/>
        <w:ind w:left="714" w:hanging="357"/>
        <w:rPr>
          <w:rFonts w:eastAsiaTheme="minorHAnsi"/>
          <w:lang w:val="bg-BG" w:eastAsia="bg-BG"/>
        </w:rPr>
      </w:pPr>
      <w:proofErr w:type="spellStart"/>
      <w:r w:rsidRPr="00984CC7">
        <w:rPr>
          <w:lang w:eastAsia="bg-BG"/>
        </w:rPr>
        <w:t>Carone</w:t>
      </w:r>
      <w:proofErr w:type="spellEnd"/>
      <w:r w:rsidRPr="00984CC7">
        <w:rPr>
          <w:lang w:eastAsia="bg-BG"/>
        </w:rPr>
        <w:t xml:space="preserve">, G. and P. </w:t>
      </w:r>
      <w:proofErr w:type="spellStart"/>
      <w:r w:rsidRPr="00984CC7">
        <w:rPr>
          <w:lang w:eastAsia="bg-BG"/>
        </w:rPr>
        <w:t>Eckefeldt</w:t>
      </w:r>
      <w:proofErr w:type="spellEnd"/>
      <w:r w:rsidRPr="00984CC7">
        <w:rPr>
          <w:lang w:eastAsia="bg-BG"/>
        </w:rPr>
        <w:t>, (2009), “Economic and Budgetary Effects of Pension Reforms in EU Member States, EU commission</w:t>
      </w:r>
    </w:p>
    <w:p w:rsidR="005D378B" w:rsidRPr="00984CC7" w:rsidRDefault="005D378B" w:rsidP="00073DED">
      <w:pPr>
        <w:pStyle w:val="ListParagraph"/>
        <w:numPr>
          <w:ilvl w:val="0"/>
          <w:numId w:val="1"/>
        </w:numPr>
        <w:spacing w:line="360" w:lineRule="auto"/>
        <w:jc w:val="both"/>
        <w:rPr>
          <w:color w:val="000000" w:themeColor="text1"/>
          <w:lang w:val="en-US"/>
        </w:rPr>
      </w:pPr>
      <w:proofErr w:type="spellStart"/>
      <w:r w:rsidRPr="00984CC7">
        <w:rPr>
          <w:rStyle w:val="surname"/>
          <w:color w:val="000000" w:themeColor="text1"/>
        </w:rPr>
        <w:t>Cichon</w:t>
      </w:r>
      <w:proofErr w:type="spellEnd"/>
      <w:r w:rsidRPr="00984CC7">
        <w:rPr>
          <w:rStyle w:val="citation"/>
          <w:color w:val="000000" w:themeColor="text1"/>
        </w:rPr>
        <w:t xml:space="preserve">, </w:t>
      </w:r>
      <w:r w:rsidRPr="00984CC7">
        <w:rPr>
          <w:rStyle w:val="firstname"/>
          <w:color w:val="000000" w:themeColor="text1"/>
        </w:rPr>
        <w:t>M.</w:t>
      </w:r>
      <w:r w:rsidRPr="00984CC7">
        <w:rPr>
          <w:rStyle w:val="citation"/>
          <w:color w:val="000000" w:themeColor="text1"/>
        </w:rPr>
        <w:t xml:space="preserve">, (1999), “Notional Defined-Contribution Schemes,” </w:t>
      </w:r>
      <w:r w:rsidRPr="00984CC7">
        <w:rPr>
          <w:rStyle w:val="source"/>
          <w:rFonts w:eastAsiaTheme="majorEastAsia"/>
          <w:color w:val="000000" w:themeColor="text1"/>
        </w:rPr>
        <w:t>International Social Security Review</w:t>
      </w:r>
      <w:r w:rsidRPr="00984CC7">
        <w:rPr>
          <w:rStyle w:val="citation"/>
          <w:color w:val="000000" w:themeColor="text1"/>
        </w:rPr>
        <w:t xml:space="preserve"> 52</w:t>
      </w:r>
    </w:p>
    <w:p w:rsidR="005D378B" w:rsidRPr="00984CC7" w:rsidRDefault="005D378B" w:rsidP="00073DED">
      <w:pPr>
        <w:pStyle w:val="ListParagraph"/>
        <w:numPr>
          <w:ilvl w:val="0"/>
          <w:numId w:val="1"/>
        </w:numPr>
        <w:spacing w:before="240" w:after="240" w:line="360" w:lineRule="auto"/>
      </w:pPr>
      <w:r w:rsidRPr="00984CC7">
        <w:t xml:space="preserve">Davis, E. P., (1998), “Pension Fund Reform and European Financial Markets: a reappraisal of </w:t>
      </w:r>
      <w:proofErr w:type="spellStart"/>
      <w:r w:rsidRPr="00984CC7">
        <w:t>potentioa</w:t>
      </w:r>
      <w:proofErr w:type="spellEnd"/>
      <w:r w:rsidRPr="00984CC7">
        <w:t xml:space="preserve"> effects in the wake of EMU”, Financial Markets Group, London School of Economics</w:t>
      </w:r>
    </w:p>
    <w:p w:rsidR="005D378B" w:rsidRPr="00984CC7" w:rsidRDefault="005D378B" w:rsidP="00073DED">
      <w:pPr>
        <w:pStyle w:val="ListParagraph"/>
        <w:numPr>
          <w:ilvl w:val="0"/>
          <w:numId w:val="1"/>
        </w:numPr>
        <w:spacing w:before="240" w:after="240" w:line="360" w:lineRule="auto"/>
      </w:pPr>
      <w:r w:rsidRPr="00984CC7">
        <w:t>EU commission</w:t>
      </w:r>
      <w:r w:rsidRPr="00984CC7">
        <w:rPr>
          <w:lang w:val="en-US"/>
        </w:rPr>
        <w:t xml:space="preserve">, </w:t>
      </w:r>
      <w:r w:rsidRPr="00984CC7">
        <w:t>(</w:t>
      </w:r>
      <w:r w:rsidRPr="00984CC7">
        <w:rPr>
          <w:lang w:val="en-US"/>
        </w:rPr>
        <w:t>2009</w:t>
      </w:r>
      <w:r w:rsidRPr="00984CC7">
        <w:t>)</w:t>
      </w:r>
      <w:r w:rsidRPr="00984CC7">
        <w:rPr>
          <w:lang w:val="en-US"/>
        </w:rPr>
        <w:t xml:space="preserve">, </w:t>
      </w:r>
      <w:r w:rsidRPr="00984CC7">
        <w:t xml:space="preserve">“2009 </w:t>
      </w:r>
      <w:r w:rsidRPr="00984CC7">
        <w:rPr>
          <w:lang w:val="en-US"/>
        </w:rPr>
        <w:t>Ageing report</w:t>
      </w:r>
      <w:r w:rsidRPr="00984CC7">
        <w:t>: Economic and budgetary projections for the EU-27 Member States (2008-2060)”</w:t>
      </w:r>
    </w:p>
    <w:p w:rsidR="00A26A91" w:rsidRPr="00984CC7" w:rsidRDefault="008E0C66" w:rsidP="006A73A5">
      <w:pPr>
        <w:pStyle w:val="ListParagraph"/>
        <w:numPr>
          <w:ilvl w:val="0"/>
          <w:numId w:val="1"/>
        </w:numPr>
        <w:autoSpaceDE w:val="0"/>
        <w:autoSpaceDN w:val="0"/>
        <w:adjustRightInd w:val="0"/>
        <w:spacing w:line="360" w:lineRule="auto"/>
        <w:ind w:left="714" w:hanging="357"/>
        <w:rPr>
          <w:bCs/>
          <w:color w:val="000000" w:themeColor="text1"/>
        </w:rPr>
      </w:pPr>
      <w:r w:rsidRPr="00984CC7">
        <w:t>F</w:t>
      </w:r>
      <w:proofErr w:type="spellStart"/>
      <w:r w:rsidRPr="00984CC7">
        <w:rPr>
          <w:rFonts w:eastAsiaTheme="minorHAnsi"/>
          <w:lang w:val="en-US"/>
        </w:rPr>
        <w:t>eldstein</w:t>
      </w:r>
      <w:proofErr w:type="spellEnd"/>
      <w:r w:rsidRPr="00984CC7">
        <w:rPr>
          <w:rFonts w:eastAsiaTheme="minorHAnsi"/>
          <w:lang w:val="en-US"/>
        </w:rPr>
        <w:t>,</w:t>
      </w:r>
      <w:r w:rsidRPr="00984CC7">
        <w:t xml:space="preserve"> M.</w:t>
      </w:r>
      <w:r w:rsidR="006A73A5" w:rsidRPr="00984CC7">
        <w:t>,</w:t>
      </w:r>
      <w:r w:rsidRPr="00984CC7">
        <w:rPr>
          <w:rFonts w:eastAsiaTheme="minorHAnsi"/>
          <w:lang w:val="en-US"/>
        </w:rPr>
        <w:t xml:space="preserve"> </w:t>
      </w:r>
      <w:r w:rsidRPr="00984CC7">
        <w:t>(</w:t>
      </w:r>
      <w:r w:rsidRPr="00984CC7">
        <w:rPr>
          <w:rFonts w:eastAsiaTheme="minorHAnsi"/>
          <w:lang w:val="en-US"/>
        </w:rPr>
        <w:t>1997</w:t>
      </w:r>
      <w:r w:rsidRPr="00984CC7">
        <w:t>), “</w:t>
      </w:r>
      <w:r w:rsidRPr="00984CC7">
        <w:rPr>
          <w:rFonts w:eastAsiaTheme="minorHAnsi"/>
          <w:lang w:val="en-US"/>
        </w:rPr>
        <w:t>The Missing Piece in Policy Analysis: Social Security Reform</w:t>
      </w:r>
      <w:r w:rsidRPr="00984CC7">
        <w:t>”</w:t>
      </w:r>
      <w:r w:rsidRPr="00984CC7">
        <w:rPr>
          <w:rFonts w:eastAsiaTheme="minorHAnsi"/>
          <w:lang w:val="en-US"/>
        </w:rPr>
        <w:t>, American Economic Review</w:t>
      </w:r>
      <w:r w:rsidR="006A73A5" w:rsidRPr="00984CC7">
        <w:rPr>
          <w:rFonts w:eastAsiaTheme="minorHAnsi"/>
          <w:lang w:val="en-US"/>
        </w:rPr>
        <w:t xml:space="preserve"> 86 (2)</w:t>
      </w:r>
    </w:p>
    <w:p w:rsidR="004552A8" w:rsidRPr="00984CC7" w:rsidRDefault="005D378B" w:rsidP="002C2F4E">
      <w:pPr>
        <w:pStyle w:val="ListParagraph"/>
        <w:numPr>
          <w:ilvl w:val="0"/>
          <w:numId w:val="1"/>
        </w:numPr>
        <w:autoSpaceDE w:val="0"/>
        <w:autoSpaceDN w:val="0"/>
        <w:adjustRightInd w:val="0"/>
        <w:spacing w:line="360" w:lineRule="auto"/>
        <w:rPr>
          <w:bCs/>
          <w:color w:val="000000" w:themeColor="text1"/>
        </w:rPr>
      </w:pPr>
      <w:r w:rsidRPr="00984CC7">
        <w:rPr>
          <w:rFonts w:eastAsiaTheme="minorHAnsi"/>
          <w:lang w:val="en-US"/>
        </w:rPr>
        <w:lastRenderedPageBreak/>
        <w:t xml:space="preserve">Feldstein, M. and E. </w:t>
      </w:r>
      <w:proofErr w:type="spellStart"/>
      <w:r w:rsidRPr="00984CC7">
        <w:rPr>
          <w:rFonts w:eastAsiaTheme="minorHAnsi"/>
          <w:lang w:val="en-US"/>
        </w:rPr>
        <w:t>Ranguelova</w:t>
      </w:r>
      <w:proofErr w:type="spellEnd"/>
      <w:r w:rsidRPr="00984CC7">
        <w:t>,</w:t>
      </w:r>
      <w:r w:rsidRPr="00984CC7">
        <w:rPr>
          <w:rFonts w:eastAsiaTheme="minorHAnsi"/>
          <w:lang w:val="en-US"/>
        </w:rPr>
        <w:t xml:space="preserve"> (1998). </w:t>
      </w:r>
      <w:r w:rsidRPr="00984CC7">
        <w:t>“</w:t>
      </w:r>
      <w:r w:rsidRPr="00984CC7">
        <w:rPr>
          <w:rFonts w:eastAsiaTheme="minorHAnsi"/>
          <w:lang w:val="en-US"/>
        </w:rPr>
        <w:t>Individual risk sharing and intergenerational risk sharing</w:t>
      </w:r>
      <w:r w:rsidRPr="00984CC7">
        <w:t xml:space="preserve"> </w:t>
      </w:r>
      <w:r w:rsidRPr="00984CC7">
        <w:rPr>
          <w:rFonts w:eastAsiaTheme="minorHAnsi"/>
        </w:rPr>
        <w:t>in an investment based social security system</w:t>
      </w:r>
      <w:r w:rsidRPr="00984CC7">
        <w:t>”</w:t>
      </w:r>
      <w:r w:rsidR="00902A48" w:rsidRPr="00984CC7">
        <w:t>, Cambridge, Mass.: National Bureau of Economic Research</w:t>
      </w:r>
      <w:r w:rsidRPr="00984CC7">
        <w:t xml:space="preserve"> </w:t>
      </w:r>
    </w:p>
    <w:p w:rsidR="008E0C66" w:rsidRPr="00984CC7" w:rsidRDefault="008E0C66" w:rsidP="002C2F4E">
      <w:pPr>
        <w:numPr>
          <w:ilvl w:val="0"/>
          <w:numId w:val="1"/>
        </w:numPr>
        <w:autoSpaceDE w:val="0"/>
        <w:autoSpaceDN w:val="0"/>
        <w:adjustRightInd w:val="0"/>
        <w:spacing w:line="360" w:lineRule="auto"/>
        <w:ind w:left="714" w:hanging="357"/>
        <w:rPr>
          <w:lang w:val="bg-BG" w:eastAsia="bg-BG"/>
        </w:rPr>
      </w:pPr>
      <w:r w:rsidRPr="00984CC7">
        <w:rPr>
          <w:lang w:val="bg-BG" w:eastAsia="bg-BG"/>
        </w:rPr>
        <w:t xml:space="preserve">Feldstein, M. and A. Samwick (1998). </w:t>
      </w:r>
      <w:r w:rsidRPr="00984CC7">
        <w:rPr>
          <w:lang w:val="en-US" w:eastAsia="bg-BG"/>
        </w:rPr>
        <w:t xml:space="preserve"> “</w:t>
      </w:r>
      <w:r w:rsidRPr="00984CC7">
        <w:rPr>
          <w:lang w:val="bg-BG" w:eastAsia="bg-BG"/>
        </w:rPr>
        <w:t>The transition path in privatizing social security</w:t>
      </w:r>
      <w:r w:rsidRPr="00984CC7">
        <w:rPr>
          <w:lang w:val="en-US" w:eastAsia="bg-BG"/>
        </w:rPr>
        <w:t>”</w:t>
      </w:r>
      <w:r w:rsidRPr="00984CC7">
        <w:rPr>
          <w:lang w:val="bg-BG" w:eastAsia="bg-BG"/>
        </w:rPr>
        <w:t>. Privatizing Social Security, University of Chicago Press, Chicago, IL.</w:t>
      </w:r>
    </w:p>
    <w:p w:rsidR="005D378B" w:rsidRPr="00984CC7" w:rsidRDefault="005D378B" w:rsidP="008E0C66">
      <w:pPr>
        <w:pStyle w:val="ListParagraph"/>
        <w:numPr>
          <w:ilvl w:val="0"/>
          <w:numId w:val="1"/>
        </w:numPr>
        <w:spacing w:line="360" w:lineRule="auto"/>
        <w:ind w:left="714" w:hanging="357"/>
      </w:pPr>
      <w:proofErr w:type="spellStart"/>
      <w:r w:rsidRPr="00984CC7">
        <w:rPr>
          <w:color w:val="000000" w:themeColor="text1"/>
        </w:rPr>
        <w:t>Gustman</w:t>
      </w:r>
      <w:proofErr w:type="spellEnd"/>
      <w:r w:rsidRPr="00984CC7">
        <w:rPr>
          <w:color w:val="000000" w:themeColor="text1"/>
        </w:rPr>
        <w:t xml:space="preserve">, A. &amp; T. </w:t>
      </w:r>
      <w:proofErr w:type="spellStart"/>
      <w:r w:rsidRPr="00984CC7">
        <w:rPr>
          <w:color w:val="000000" w:themeColor="text1"/>
        </w:rPr>
        <w:t>Steinmeir</w:t>
      </w:r>
      <w:proofErr w:type="spellEnd"/>
      <w:r w:rsidRPr="00984CC7">
        <w:rPr>
          <w:color w:val="000000" w:themeColor="text1"/>
        </w:rPr>
        <w:t xml:space="preserve">, (1992), </w:t>
      </w:r>
      <w:r w:rsidRPr="00984CC7">
        <w:rPr>
          <w:rFonts w:eastAsiaTheme="minorHAnsi"/>
          <w:color w:val="000000" w:themeColor="text1"/>
          <w:lang w:val="bg-BG"/>
        </w:rPr>
        <w:t>“</w:t>
      </w:r>
      <w:r w:rsidRPr="00984CC7">
        <w:rPr>
          <w:rFonts w:eastAsiaTheme="minorHAnsi"/>
          <w:lang w:val="bg-BG"/>
        </w:rPr>
        <w:t>The Stampede Toward Defined Contributio</w:t>
      </w:r>
      <w:r w:rsidRPr="00984CC7">
        <w:rPr>
          <w:rFonts w:eastAsiaTheme="minorHAnsi"/>
          <w:lang w:val="en-US"/>
        </w:rPr>
        <w:t>n</w:t>
      </w:r>
      <w:r w:rsidRPr="00984CC7">
        <w:rPr>
          <w:rFonts w:eastAsiaTheme="minorHAnsi"/>
          <w:lang w:val="bg-BG"/>
        </w:rPr>
        <w:t xml:space="preserve"> Pension Plans: Fact o</w:t>
      </w:r>
      <w:r w:rsidRPr="00984CC7">
        <w:rPr>
          <w:rFonts w:eastAsiaTheme="minorHAnsi"/>
          <w:lang w:val="en-US"/>
        </w:rPr>
        <w:t>r</w:t>
      </w:r>
      <w:r w:rsidRPr="00984CC7">
        <w:rPr>
          <w:rFonts w:eastAsiaTheme="minorHAnsi"/>
          <w:lang w:val="bg-BG"/>
        </w:rPr>
        <w:t xml:space="preserve"> Fiction</w:t>
      </w:r>
      <w:r w:rsidRPr="00984CC7">
        <w:rPr>
          <w:rFonts w:eastAsiaTheme="minorHAnsi"/>
          <w:lang w:val="en-US"/>
        </w:rPr>
        <w:t>?</w:t>
      </w:r>
      <w:proofErr w:type="gramStart"/>
      <w:r w:rsidRPr="00984CC7">
        <w:rPr>
          <w:rFonts w:eastAsiaTheme="minorHAnsi"/>
          <w:lang w:val="en-US"/>
        </w:rPr>
        <w:t>”,</w:t>
      </w:r>
      <w:proofErr w:type="gramEnd"/>
      <w:r w:rsidRPr="00984CC7">
        <w:rPr>
          <w:rFonts w:ascii="TimesNewRoman,Italic" w:eastAsiaTheme="minorHAnsi" w:hAnsi="TimesNewRoman,Italic" w:cs="TimesNewRoman,Italic"/>
          <w:iCs/>
          <w:lang w:val="bg-BG"/>
        </w:rPr>
        <w:t xml:space="preserve"> Industrial Relations</w:t>
      </w:r>
      <w:r w:rsidRPr="00984CC7">
        <w:rPr>
          <w:rFonts w:ascii="TimesNewRoman" w:eastAsiaTheme="minorHAnsi" w:hAnsi="TimesNewRoman" w:cs="TimesNewRoman"/>
          <w:iCs/>
          <w:lang w:val="bg-BG"/>
        </w:rPr>
        <w:t xml:space="preserve"> </w:t>
      </w:r>
      <w:r w:rsidRPr="00984CC7">
        <w:rPr>
          <w:rFonts w:ascii="TimesNewRoman" w:eastAsiaTheme="minorHAnsi" w:hAnsi="TimesNewRoman" w:cs="TimesNewRoman"/>
          <w:lang w:val="bg-BG"/>
        </w:rPr>
        <w:t>31 (2): 361-369.</w:t>
      </w:r>
    </w:p>
    <w:p w:rsidR="00282D45" w:rsidRPr="00984CC7" w:rsidRDefault="00282D45" w:rsidP="00282D45">
      <w:pPr>
        <w:pStyle w:val="ListParagraph"/>
        <w:numPr>
          <w:ilvl w:val="0"/>
          <w:numId w:val="1"/>
        </w:numPr>
        <w:autoSpaceDE w:val="0"/>
        <w:autoSpaceDN w:val="0"/>
        <w:adjustRightInd w:val="0"/>
        <w:spacing w:before="240" w:after="240" w:line="360" w:lineRule="auto"/>
        <w:ind w:left="714" w:hanging="357"/>
        <w:rPr>
          <w:bCs/>
        </w:rPr>
      </w:pPr>
      <w:proofErr w:type="spellStart"/>
      <w:r w:rsidRPr="00984CC7">
        <w:rPr>
          <w:bCs/>
        </w:rPr>
        <w:t>Gern</w:t>
      </w:r>
      <w:proofErr w:type="spellEnd"/>
      <w:r w:rsidRPr="00984CC7">
        <w:rPr>
          <w:bCs/>
        </w:rPr>
        <w:t>, K.-J., (2002), “Recent Developments in Old Age Pension Systems: An International Overview”, in M. Feldstein and H. Siebert (ed.) Social Security Pension Reform in Europe. Chicago, IL: University of Chicago Press.</w:t>
      </w:r>
    </w:p>
    <w:p w:rsidR="00282D45" w:rsidRPr="00984CC7" w:rsidRDefault="00282D45" w:rsidP="00282D45">
      <w:pPr>
        <w:pStyle w:val="ListParagraph"/>
        <w:numPr>
          <w:ilvl w:val="0"/>
          <w:numId w:val="1"/>
        </w:numPr>
        <w:spacing w:before="240" w:after="240" w:line="360" w:lineRule="auto"/>
      </w:pPr>
      <w:proofErr w:type="spellStart"/>
      <w:r w:rsidRPr="00984CC7">
        <w:t>Haverland</w:t>
      </w:r>
      <w:proofErr w:type="spellEnd"/>
      <w:r w:rsidRPr="00984CC7">
        <w:t>, M., (2001), “Another Dutch Miracle? Explaining Dutch and German Pension Trajectories’, Journal of European Social Policy 11 (4): 308–23.</w:t>
      </w:r>
    </w:p>
    <w:p w:rsidR="005D378B" w:rsidRPr="00984CC7" w:rsidRDefault="005D378B" w:rsidP="00073DED">
      <w:pPr>
        <w:pStyle w:val="ListParagraph"/>
        <w:numPr>
          <w:ilvl w:val="0"/>
          <w:numId w:val="1"/>
        </w:numPr>
        <w:spacing w:before="240" w:after="240" w:line="360" w:lineRule="auto"/>
      </w:pPr>
      <w:proofErr w:type="spellStart"/>
      <w:r w:rsidRPr="00984CC7">
        <w:t>Haverland</w:t>
      </w:r>
      <w:proofErr w:type="spellEnd"/>
      <w:r w:rsidRPr="00984CC7">
        <w:t xml:space="preserve">, M., (2006). “Does the EU Cause Domestic Developments? Improving Case Selection in </w:t>
      </w:r>
      <w:proofErr w:type="spellStart"/>
      <w:r w:rsidRPr="00984CC7">
        <w:t>Europeanisation</w:t>
      </w:r>
      <w:proofErr w:type="spellEnd"/>
      <w:r w:rsidRPr="00984CC7">
        <w:t xml:space="preserve">”. West European Politics, 29 (1), 134–146. </w:t>
      </w:r>
    </w:p>
    <w:p w:rsidR="005D378B" w:rsidRPr="00984CC7" w:rsidRDefault="005D378B" w:rsidP="00073DED">
      <w:pPr>
        <w:pStyle w:val="ListParagraph"/>
        <w:numPr>
          <w:ilvl w:val="0"/>
          <w:numId w:val="1"/>
        </w:numPr>
        <w:spacing w:line="360" w:lineRule="auto"/>
        <w:ind w:left="714" w:hanging="357"/>
        <w:rPr>
          <w:color w:val="000000" w:themeColor="text1"/>
        </w:rPr>
      </w:pPr>
      <w:r w:rsidRPr="00984CC7">
        <w:rPr>
          <w:color w:val="000000" w:themeColor="text1"/>
        </w:rPr>
        <w:t>Kolmar, M., (2001). “Optimal intergenerational redistribution in a two-country model with endogenous fertility”, Public Choice 106, 23–51.</w:t>
      </w:r>
    </w:p>
    <w:p w:rsidR="005D378B" w:rsidRPr="00984CC7" w:rsidRDefault="005D378B" w:rsidP="00073DED">
      <w:pPr>
        <w:pStyle w:val="ListParagraph"/>
        <w:numPr>
          <w:ilvl w:val="0"/>
          <w:numId w:val="1"/>
        </w:numPr>
        <w:autoSpaceDE w:val="0"/>
        <w:autoSpaceDN w:val="0"/>
        <w:adjustRightInd w:val="0"/>
        <w:spacing w:before="240" w:after="240" w:line="360" w:lineRule="auto"/>
        <w:ind w:left="714" w:hanging="357"/>
        <w:rPr>
          <w:bCs/>
        </w:rPr>
      </w:pPr>
      <w:r w:rsidRPr="00984CC7">
        <w:t>Kolmar, M., (2007) “</w:t>
      </w:r>
      <w:proofErr w:type="spellStart"/>
      <w:r w:rsidRPr="00984CC7">
        <w:t>Beveridge</w:t>
      </w:r>
      <w:proofErr w:type="spellEnd"/>
      <w:r w:rsidRPr="00984CC7">
        <w:t xml:space="preserve"> versus Bismarck public-pension systems in integrated markets”, </w:t>
      </w:r>
      <w:r w:rsidRPr="00984CC7">
        <w:rPr>
          <w:iCs/>
        </w:rPr>
        <w:t>Regional Science and Urban Economics</w:t>
      </w:r>
      <w:r w:rsidRPr="00984CC7">
        <w:t>, 37, 6, 649–69.</w:t>
      </w:r>
    </w:p>
    <w:p w:rsidR="005D378B" w:rsidRPr="00984CC7" w:rsidRDefault="005D378B" w:rsidP="00073DED">
      <w:pPr>
        <w:pStyle w:val="ListParagraph"/>
        <w:numPr>
          <w:ilvl w:val="0"/>
          <w:numId w:val="1"/>
        </w:numPr>
        <w:autoSpaceDE w:val="0"/>
        <w:autoSpaceDN w:val="0"/>
        <w:adjustRightInd w:val="0"/>
        <w:spacing w:before="240" w:after="240" w:line="360" w:lineRule="auto"/>
        <w:ind w:left="714" w:hanging="357"/>
        <w:rPr>
          <w:bCs/>
        </w:rPr>
      </w:pPr>
      <w:proofErr w:type="spellStart"/>
      <w:r w:rsidRPr="00984CC7">
        <w:t>Legros</w:t>
      </w:r>
      <w:proofErr w:type="spellEnd"/>
      <w:r w:rsidRPr="00984CC7">
        <w:t>, F., (2001), “Has Bismarck been sunk?”</w:t>
      </w:r>
      <w:proofErr w:type="gramStart"/>
      <w:r w:rsidRPr="00984CC7">
        <w:t>,  La</w:t>
      </w:r>
      <w:proofErr w:type="gramEnd"/>
      <w:r w:rsidRPr="00984CC7">
        <w:t xml:space="preserve"> letter du </w:t>
      </w:r>
      <w:proofErr w:type="spellStart"/>
      <w:r w:rsidRPr="00984CC7">
        <w:t>centred’etudes</w:t>
      </w:r>
      <w:proofErr w:type="spellEnd"/>
      <w:r w:rsidRPr="00984CC7">
        <w:t xml:space="preserve"> prospective et </w:t>
      </w:r>
      <w:proofErr w:type="spellStart"/>
      <w:r w:rsidRPr="00984CC7">
        <w:t>d’informations</w:t>
      </w:r>
      <w:proofErr w:type="spellEnd"/>
      <w:r w:rsidRPr="00984CC7">
        <w:t xml:space="preserve"> internationals, NO. 201.</w:t>
      </w:r>
    </w:p>
    <w:p w:rsidR="005D378B" w:rsidRPr="00984CC7" w:rsidRDefault="005D378B" w:rsidP="00073DED">
      <w:pPr>
        <w:pStyle w:val="ListParagraph"/>
        <w:numPr>
          <w:ilvl w:val="0"/>
          <w:numId w:val="1"/>
        </w:numPr>
        <w:autoSpaceDE w:val="0"/>
        <w:autoSpaceDN w:val="0"/>
        <w:adjustRightInd w:val="0"/>
        <w:spacing w:before="240" w:after="240" w:line="360" w:lineRule="auto"/>
        <w:rPr>
          <w:bCs/>
        </w:rPr>
      </w:pPr>
      <w:proofErr w:type="spellStart"/>
      <w:r w:rsidRPr="00984CC7">
        <w:t>Leimgruber</w:t>
      </w:r>
      <w:proofErr w:type="spellEnd"/>
      <w:r w:rsidRPr="00984CC7">
        <w:t>, M. (2012), “The Historical Roots of a Diffusion Process: The Three-Pillar Doctrine and European Pension Debates, 1972–1994”, Global Social Policy, 12, p. 24–44</w:t>
      </w:r>
    </w:p>
    <w:p w:rsidR="005D378B" w:rsidRPr="00984CC7" w:rsidRDefault="005D378B" w:rsidP="00073DED">
      <w:pPr>
        <w:pStyle w:val="ListParagraph"/>
        <w:numPr>
          <w:ilvl w:val="0"/>
          <w:numId w:val="1"/>
        </w:numPr>
        <w:autoSpaceDE w:val="0"/>
        <w:autoSpaceDN w:val="0"/>
        <w:adjustRightInd w:val="0"/>
        <w:spacing w:before="240" w:after="240" w:line="360" w:lineRule="auto"/>
        <w:rPr>
          <w:bCs/>
        </w:rPr>
      </w:pPr>
      <w:proofErr w:type="spellStart"/>
      <w:r w:rsidRPr="00984CC7">
        <w:t>Lindbeck</w:t>
      </w:r>
      <w:proofErr w:type="spellEnd"/>
      <w:r w:rsidRPr="00984CC7">
        <w:t xml:space="preserve">, A. and M. </w:t>
      </w:r>
      <w:proofErr w:type="spellStart"/>
      <w:r w:rsidRPr="00984CC7">
        <w:t>Persson</w:t>
      </w:r>
      <w:proofErr w:type="spellEnd"/>
      <w:r w:rsidRPr="00984CC7">
        <w:t>,</w:t>
      </w:r>
      <w:r w:rsidRPr="00984CC7">
        <w:rPr>
          <w:rFonts w:eastAsiaTheme="minorHAnsi"/>
        </w:rPr>
        <w:t xml:space="preserve"> (2003), </w:t>
      </w:r>
      <w:r w:rsidRPr="00984CC7">
        <w:t>“</w:t>
      </w:r>
      <w:r w:rsidRPr="00984CC7">
        <w:rPr>
          <w:rFonts w:eastAsiaTheme="minorHAnsi"/>
        </w:rPr>
        <w:t>The gains from pension reform</w:t>
      </w:r>
      <w:r w:rsidRPr="00984CC7">
        <w:t>”</w:t>
      </w:r>
      <w:r w:rsidRPr="00984CC7">
        <w:rPr>
          <w:rFonts w:eastAsiaTheme="minorHAnsi"/>
        </w:rPr>
        <w:t xml:space="preserve">. </w:t>
      </w:r>
      <w:r w:rsidRPr="00984CC7">
        <w:rPr>
          <w:rFonts w:eastAsiaTheme="minorHAnsi"/>
          <w:iCs/>
        </w:rPr>
        <w:t>Journal of Economic</w:t>
      </w:r>
      <w:r w:rsidRPr="00984CC7">
        <w:rPr>
          <w:iCs/>
        </w:rPr>
        <w:t xml:space="preserve"> </w:t>
      </w:r>
      <w:r w:rsidRPr="00984CC7">
        <w:rPr>
          <w:rFonts w:eastAsiaTheme="minorHAnsi"/>
          <w:iCs/>
        </w:rPr>
        <w:t>Literature</w:t>
      </w:r>
      <w:r w:rsidRPr="00984CC7">
        <w:rPr>
          <w:iCs/>
        </w:rPr>
        <w:t>,</w:t>
      </w:r>
      <w:r w:rsidRPr="00984CC7">
        <w:rPr>
          <w:rFonts w:eastAsiaTheme="minorHAnsi"/>
          <w:iCs/>
        </w:rPr>
        <w:t xml:space="preserve"> </w:t>
      </w:r>
      <w:r w:rsidRPr="00984CC7">
        <w:rPr>
          <w:rFonts w:eastAsiaTheme="minorHAnsi"/>
        </w:rPr>
        <w:t>41, 74-112.</w:t>
      </w:r>
    </w:p>
    <w:p w:rsidR="005D378B" w:rsidRPr="00984CC7" w:rsidRDefault="005D378B" w:rsidP="00073DED">
      <w:pPr>
        <w:pStyle w:val="ListParagraph"/>
        <w:numPr>
          <w:ilvl w:val="0"/>
          <w:numId w:val="1"/>
        </w:numPr>
        <w:autoSpaceDE w:val="0"/>
        <w:autoSpaceDN w:val="0"/>
        <w:adjustRightInd w:val="0"/>
        <w:spacing w:before="240" w:after="240" w:line="360" w:lineRule="auto"/>
        <w:rPr>
          <w:rStyle w:val="apple-converted-space"/>
          <w:bCs/>
        </w:rPr>
      </w:pPr>
      <w:r w:rsidRPr="00984CC7">
        <w:rPr>
          <w:shd w:val="clear" w:color="auto" w:fill="FFFFFF"/>
        </w:rPr>
        <w:t xml:space="preserve">Miles, D. and A. </w:t>
      </w:r>
      <w:proofErr w:type="spellStart"/>
      <w:r w:rsidRPr="00984CC7">
        <w:rPr>
          <w:shd w:val="clear" w:color="auto" w:fill="FFFFFF"/>
        </w:rPr>
        <w:t>Timmermann</w:t>
      </w:r>
      <w:proofErr w:type="spellEnd"/>
      <w:r w:rsidRPr="00984CC7">
        <w:rPr>
          <w:shd w:val="clear" w:color="auto" w:fill="FFFFFF"/>
        </w:rPr>
        <w:t>, 1999, “Risk sharing and transition costs in the reform of pension systems in Europe”,</w:t>
      </w:r>
      <w:r w:rsidRPr="00984CC7">
        <w:rPr>
          <w:rStyle w:val="apple-converted-space"/>
          <w:shd w:val="clear" w:color="auto" w:fill="FFFFFF"/>
        </w:rPr>
        <w:t> </w:t>
      </w:r>
      <w:r w:rsidRPr="00984CC7">
        <w:rPr>
          <w:iCs/>
          <w:shd w:val="clear" w:color="auto" w:fill="FFFFFF"/>
        </w:rPr>
        <w:t>Economic Policy</w:t>
      </w:r>
      <w:r w:rsidRPr="00984CC7">
        <w:rPr>
          <w:shd w:val="clear" w:color="auto" w:fill="FFFFFF"/>
        </w:rPr>
        <w:t>, 14, 251-286.</w:t>
      </w:r>
      <w:r w:rsidRPr="00984CC7">
        <w:rPr>
          <w:rStyle w:val="apple-converted-space"/>
          <w:shd w:val="clear" w:color="auto" w:fill="FFFFFF"/>
        </w:rPr>
        <w:t> </w:t>
      </w:r>
    </w:p>
    <w:p w:rsidR="005D378B" w:rsidRPr="00984CC7" w:rsidRDefault="005D378B" w:rsidP="00073DED">
      <w:pPr>
        <w:pStyle w:val="ListParagraph"/>
        <w:numPr>
          <w:ilvl w:val="0"/>
          <w:numId w:val="1"/>
        </w:numPr>
        <w:autoSpaceDE w:val="0"/>
        <w:autoSpaceDN w:val="0"/>
        <w:adjustRightInd w:val="0"/>
        <w:spacing w:before="240" w:after="240" w:line="360" w:lineRule="auto"/>
        <w:rPr>
          <w:bCs/>
        </w:rPr>
      </w:pPr>
      <w:r w:rsidRPr="00984CC7">
        <w:t xml:space="preserve">Modigliani, F. and R. </w:t>
      </w:r>
      <w:proofErr w:type="spellStart"/>
      <w:r w:rsidRPr="00984CC7">
        <w:t>Brumberg</w:t>
      </w:r>
      <w:proofErr w:type="spellEnd"/>
      <w:r w:rsidRPr="00984CC7">
        <w:t xml:space="preserve">, (1954), “Utility analysis and the consumption function: An interpretation of cross-section data”. In: </w:t>
      </w:r>
      <w:proofErr w:type="spellStart"/>
      <w:r w:rsidRPr="00984CC7">
        <w:t>Kurihara</w:t>
      </w:r>
      <w:proofErr w:type="spellEnd"/>
      <w:r w:rsidRPr="00984CC7">
        <w:t>, K.K (ed.): Post-Keynesian Economics. New Brunswick, NJ: Rutgers University press.</w:t>
      </w:r>
    </w:p>
    <w:p w:rsidR="005D378B" w:rsidRPr="00984CC7" w:rsidRDefault="005D378B" w:rsidP="00073DED">
      <w:pPr>
        <w:pStyle w:val="ListParagraph"/>
        <w:numPr>
          <w:ilvl w:val="0"/>
          <w:numId w:val="1"/>
        </w:numPr>
        <w:autoSpaceDE w:val="0"/>
        <w:autoSpaceDN w:val="0"/>
        <w:adjustRightInd w:val="0"/>
        <w:spacing w:before="240" w:after="240" w:line="360" w:lineRule="auto"/>
        <w:rPr>
          <w:bCs/>
        </w:rPr>
      </w:pPr>
      <w:r w:rsidRPr="00984CC7">
        <w:rPr>
          <w:rStyle w:val="apple-converted-space"/>
          <w:bCs/>
        </w:rPr>
        <w:t> </w:t>
      </w:r>
      <w:r w:rsidRPr="00984CC7">
        <w:rPr>
          <w:bCs/>
        </w:rPr>
        <w:t>Murray, R., (1968),  “Economic Aspects of Pensions: A Summary Report”, UMI,</w:t>
      </w:r>
      <w:r w:rsidRPr="00984CC7">
        <w:rPr>
          <w:rStyle w:val="apple-converted-space"/>
          <w:bCs/>
        </w:rPr>
        <w:t> </w:t>
      </w:r>
      <w:r w:rsidRPr="00984CC7">
        <w:rPr>
          <w:bCs/>
        </w:rPr>
        <w:t>(p. 34 - 52)</w:t>
      </w:r>
    </w:p>
    <w:p w:rsidR="00282D45" w:rsidRPr="00984CC7" w:rsidRDefault="00282D45" w:rsidP="00282D45">
      <w:pPr>
        <w:pStyle w:val="ListParagraph"/>
        <w:numPr>
          <w:ilvl w:val="0"/>
          <w:numId w:val="1"/>
        </w:numPr>
        <w:autoSpaceDE w:val="0"/>
        <w:autoSpaceDN w:val="0"/>
        <w:adjustRightInd w:val="0"/>
        <w:spacing w:before="240" w:after="240" w:line="360" w:lineRule="auto"/>
        <w:rPr>
          <w:rFonts w:eastAsiaTheme="minorHAnsi"/>
          <w:bCs/>
        </w:rPr>
      </w:pPr>
      <w:proofErr w:type="spellStart"/>
      <w:r w:rsidRPr="00984CC7">
        <w:rPr>
          <w:rFonts w:eastAsiaTheme="minorHAnsi"/>
        </w:rPr>
        <w:t>Queisser</w:t>
      </w:r>
      <w:proofErr w:type="spellEnd"/>
      <w:r w:rsidRPr="00984CC7">
        <w:rPr>
          <w:rFonts w:eastAsiaTheme="minorHAnsi"/>
        </w:rPr>
        <w:t xml:space="preserve">, M. (2000), </w:t>
      </w:r>
      <w:r w:rsidRPr="00984CC7">
        <w:t>“</w:t>
      </w:r>
      <w:r w:rsidRPr="00984CC7">
        <w:rPr>
          <w:rFonts w:eastAsiaTheme="minorHAnsi"/>
        </w:rPr>
        <w:t>Pension reform and international organizations: From conflict to</w:t>
      </w:r>
      <w:r w:rsidRPr="00984CC7">
        <w:t xml:space="preserve"> </w:t>
      </w:r>
      <w:r w:rsidRPr="00984CC7">
        <w:rPr>
          <w:rFonts w:eastAsiaTheme="minorHAnsi"/>
        </w:rPr>
        <w:t>convergence</w:t>
      </w:r>
      <w:r w:rsidRPr="00984CC7">
        <w:t>”</w:t>
      </w:r>
      <w:r w:rsidRPr="00984CC7">
        <w:rPr>
          <w:rFonts w:eastAsiaTheme="minorHAnsi"/>
        </w:rPr>
        <w:t xml:space="preserve">. </w:t>
      </w:r>
      <w:r w:rsidRPr="00984CC7">
        <w:rPr>
          <w:rFonts w:eastAsiaTheme="minorHAnsi"/>
          <w:iCs/>
        </w:rPr>
        <w:t xml:space="preserve">International Social Security Review </w:t>
      </w:r>
      <w:r w:rsidRPr="00984CC7">
        <w:rPr>
          <w:rFonts w:eastAsiaTheme="minorHAnsi"/>
        </w:rPr>
        <w:t xml:space="preserve">53, </w:t>
      </w:r>
      <w:r w:rsidRPr="00984CC7">
        <w:t xml:space="preserve">p. </w:t>
      </w:r>
      <w:r w:rsidRPr="00984CC7">
        <w:rPr>
          <w:rFonts w:eastAsiaTheme="minorHAnsi"/>
        </w:rPr>
        <w:t xml:space="preserve">31-45. </w:t>
      </w:r>
    </w:p>
    <w:p w:rsidR="005D378B" w:rsidRPr="00984CC7" w:rsidRDefault="005D378B" w:rsidP="00073DED">
      <w:pPr>
        <w:pStyle w:val="ListParagraph"/>
        <w:numPr>
          <w:ilvl w:val="0"/>
          <w:numId w:val="1"/>
        </w:numPr>
        <w:autoSpaceDE w:val="0"/>
        <w:autoSpaceDN w:val="0"/>
        <w:adjustRightInd w:val="0"/>
        <w:spacing w:before="240" w:after="240" w:line="360" w:lineRule="auto"/>
        <w:rPr>
          <w:bCs/>
        </w:rPr>
      </w:pPr>
      <w:r w:rsidRPr="00984CC7">
        <w:rPr>
          <w:lang w:val="bg-BG" w:eastAsia="bg-BG"/>
        </w:rPr>
        <w:lastRenderedPageBreak/>
        <w:t>OECD</w:t>
      </w:r>
      <w:r w:rsidRPr="00984CC7">
        <w:rPr>
          <w:lang w:eastAsia="bg-BG"/>
        </w:rPr>
        <w:t>,</w:t>
      </w:r>
      <w:r w:rsidRPr="00984CC7">
        <w:rPr>
          <w:lang w:val="bg-BG" w:eastAsia="bg-BG"/>
        </w:rPr>
        <w:t xml:space="preserve"> (2011), </w:t>
      </w:r>
      <w:r w:rsidRPr="00984CC7">
        <w:rPr>
          <w:lang w:eastAsia="bg-BG"/>
        </w:rPr>
        <w:t>“</w:t>
      </w:r>
      <w:r w:rsidRPr="00984CC7">
        <w:rPr>
          <w:iCs/>
          <w:lang w:val="bg-BG" w:eastAsia="bg-BG"/>
        </w:rPr>
        <w:t>Pensions at a Glance 2011: Retirement-income Systems in OECD and G20 Countries</w:t>
      </w:r>
      <w:r w:rsidRPr="00984CC7">
        <w:rPr>
          <w:iCs/>
          <w:lang w:eastAsia="bg-BG"/>
        </w:rPr>
        <w:t>”</w:t>
      </w:r>
      <w:r w:rsidRPr="00984CC7">
        <w:rPr>
          <w:lang w:val="bg-BG" w:eastAsia="bg-BG"/>
        </w:rPr>
        <w:t>,</w:t>
      </w:r>
      <w:r w:rsidRPr="00984CC7">
        <w:rPr>
          <w:lang w:eastAsia="bg-BG"/>
        </w:rPr>
        <w:t xml:space="preserve"> </w:t>
      </w:r>
      <w:r w:rsidRPr="00984CC7">
        <w:rPr>
          <w:lang w:val="bg-BG" w:eastAsia="bg-BG"/>
        </w:rPr>
        <w:t>OECD Publishing.</w:t>
      </w:r>
      <w:r w:rsidRPr="00984CC7">
        <w:rPr>
          <w:bdr w:val="none" w:sz="0" w:space="0" w:color="auto" w:frame="1"/>
        </w:rPr>
        <w:t>.</w:t>
      </w:r>
    </w:p>
    <w:p w:rsidR="005D378B" w:rsidRPr="00984CC7" w:rsidRDefault="005D378B" w:rsidP="00073DED">
      <w:pPr>
        <w:pStyle w:val="ListParagraph"/>
        <w:numPr>
          <w:ilvl w:val="0"/>
          <w:numId w:val="1"/>
        </w:numPr>
        <w:autoSpaceDE w:val="0"/>
        <w:autoSpaceDN w:val="0"/>
        <w:adjustRightInd w:val="0"/>
        <w:spacing w:line="360" w:lineRule="auto"/>
        <w:ind w:left="714" w:hanging="357"/>
        <w:rPr>
          <w:rFonts w:eastAsiaTheme="minorHAnsi"/>
          <w:lang w:val="bg-BG"/>
        </w:rPr>
      </w:pPr>
      <w:r w:rsidRPr="00984CC7">
        <w:rPr>
          <w:shd w:val="clear" w:color="auto" w:fill="FFFFFF"/>
        </w:rPr>
        <w:t xml:space="preserve">Sinn, H.W., </w:t>
      </w:r>
      <w:r w:rsidRPr="00984CC7">
        <w:rPr>
          <w:rFonts w:ascii="AdvSTSerif-R" w:eastAsiaTheme="minorHAnsi" w:hAnsi="AdvSTSerif-R" w:cs="AdvSTSerif-R"/>
          <w:lang w:val="bg-BG"/>
        </w:rPr>
        <w:t>(1999), ‘The Crisis of Germany’s Pension Insurance System and How It</w:t>
      </w:r>
      <w:r w:rsidRPr="00984CC7">
        <w:rPr>
          <w:rFonts w:ascii="AdvSTSerif-R" w:eastAsiaTheme="minorHAnsi" w:hAnsi="AdvSTSerif-R" w:cs="AdvSTSerif-R"/>
          <w:lang w:val="en-US"/>
        </w:rPr>
        <w:t xml:space="preserve"> </w:t>
      </w:r>
      <w:r w:rsidRPr="00984CC7">
        <w:rPr>
          <w:rFonts w:ascii="AdvSTSerif-R" w:eastAsiaTheme="minorHAnsi" w:hAnsi="AdvSTSerif-R" w:cs="AdvSTSerif-R"/>
          <w:lang w:val="bg-BG"/>
        </w:rPr>
        <w:t>Can Be Resolved’, Working Paper No. 191, I</w:t>
      </w:r>
      <w:r w:rsidRPr="00984CC7">
        <w:rPr>
          <w:rFonts w:ascii="AdvSTSerif-R" w:eastAsiaTheme="minorHAnsi" w:hAnsi="AdvSTSerif-R" w:cs="AdvSTSerif-R"/>
          <w:lang w:val="en-US"/>
        </w:rPr>
        <w:t>FO</w:t>
      </w:r>
      <w:r w:rsidRPr="00984CC7">
        <w:rPr>
          <w:rFonts w:ascii="AdvSTSerif-R" w:eastAsiaTheme="minorHAnsi" w:hAnsi="AdvSTSerif-R" w:cs="AdvSTSerif-R"/>
          <w:lang w:val="bg-BG"/>
        </w:rPr>
        <w:t xml:space="preserve"> Institut fur Wirtschaftsforschung,</w:t>
      </w:r>
      <w:r w:rsidRPr="00984CC7">
        <w:rPr>
          <w:rFonts w:ascii="AdvSTSerif-R" w:eastAsiaTheme="minorHAnsi" w:hAnsi="AdvSTSerif-R" w:cs="AdvSTSerif-R"/>
          <w:lang w:val="en-US"/>
        </w:rPr>
        <w:t xml:space="preserve"> </w:t>
      </w:r>
      <w:r w:rsidRPr="00984CC7">
        <w:rPr>
          <w:rFonts w:ascii="AdvSTSerif-R" w:eastAsiaTheme="minorHAnsi" w:hAnsi="AdvSTSerif-R" w:cs="AdvSTSerif-R"/>
          <w:lang w:val="bg-BG"/>
        </w:rPr>
        <w:t>Munchen.</w:t>
      </w:r>
    </w:p>
    <w:p w:rsidR="005D378B" w:rsidRPr="00984CC7" w:rsidRDefault="005D378B" w:rsidP="00073DED">
      <w:pPr>
        <w:pStyle w:val="ListParagraph"/>
        <w:numPr>
          <w:ilvl w:val="0"/>
          <w:numId w:val="1"/>
        </w:numPr>
        <w:autoSpaceDE w:val="0"/>
        <w:autoSpaceDN w:val="0"/>
        <w:adjustRightInd w:val="0"/>
        <w:spacing w:before="240" w:after="240" w:line="360" w:lineRule="auto"/>
        <w:ind w:left="714" w:hanging="357"/>
        <w:rPr>
          <w:bCs/>
        </w:rPr>
      </w:pPr>
      <w:r w:rsidRPr="00984CC7">
        <w:rPr>
          <w:shd w:val="clear" w:color="auto" w:fill="FFFFFF"/>
        </w:rPr>
        <w:t>Sinn, H.W., (2005)</w:t>
      </w:r>
      <w:proofErr w:type="gramStart"/>
      <w:r w:rsidRPr="00984CC7">
        <w:rPr>
          <w:shd w:val="clear" w:color="auto" w:fill="FFFFFF"/>
        </w:rPr>
        <w:t>, ”</w:t>
      </w:r>
      <w:proofErr w:type="gramEnd"/>
      <w:r w:rsidRPr="00984CC7">
        <w:rPr>
          <w:shd w:val="clear" w:color="auto" w:fill="FFFFFF"/>
        </w:rPr>
        <w:t>Europe's demographic deficit: A plea for a child pension system”,</w:t>
      </w:r>
      <w:r w:rsidRPr="00984CC7">
        <w:rPr>
          <w:rStyle w:val="apple-converted-space"/>
          <w:shd w:val="clear" w:color="auto" w:fill="FFFFFF"/>
        </w:rPr>
        <w:t> </w:t>
      </w:r>
      <w:r w:rsidRPr="00984CC7">
        <w:rPr>
          <w:rStyle w:val="Emphasis"/>
          <w:i w:val="0"/>
          <w:bdr w:val="none" w:sz="0" w:space="0" w:color="auto" w:frame="1"/>
          <w:shd w:val="clear" w:color="auto" w:fill="FFFFFF"/>
        </w:rPr>
        <w:t>De Economist</w:t>
      </w:r>
      <w:r w:rsidRPr="00984CC7">
        <w:rPr>
          <w:shd w:val="clear" w:color="auto" w:fill="FFFFFF"/>
        </w:rPr>
        <w:t>, 153, p.1-45.</w:t>
      </w:r>
    </w:p>
    <w:p w:rsidR="005D378B" w:rsidRPr="00984CC7" w:rsidRDefault="005D378B" w:rsidP="00073DED">
      <w:pPr>
        <w:pStyle w:val="ListParagraph"/>
        <w:numPr>
          <w:ilvl w:val="0"/>
          <w:numId w:val="1"/>
        </w:numPr>
        <w:spacing w:line="360" w:lineRule="auto"/>
        <w:ind w:left="714" w:hanging="357"/>
        <w:jc w:val="both"/>
        <w:rPr>
          <w:color w:val="000000" w:themeColor="text1"/>
          <w:lang w:val="en-US"/>
        </w:rPr>
      </w:pPr>
      <w:r w:rsidRPr="00984CC7">
        <w:rPr>
          <w:color w:val="000000" w:themeColor="text1"/>
          <w:lang w:val="en-US"/>
        </w:rPr>
        <w:t>United Nations, (2011), World Population Prospects: The 2010 Revision. Department of Economic and Social Affairs, Population Division.</w:t>
      </w:r>
    </w:p>
    <w:p w:rsidR="005D378B" w:rsidRPr="00984CC7" w:rsidRDefault="005D378B" w:rsidP="00073DED">
      <w:pPr>
        <w:pStyle w:val="ListParagraph"/>
        <w:numPr>
          <w:ilvl w:val="0"/>
          <w:numId w:val="1"/>
        </w:numPr>
        <w:autoSpaceDE w:val="0"/>
        <w:autoSpaceDN w:val="0"/>
        <w:adjustRightInd w:val="0"/>
        <w:spacing w:before="240" w:after="240" w:line="360" w:lineRule="auto"/>
        <w:rPr>
          <w:bCs/>
        </w:rPr>
      </w:pPr>
      <w:proofErr w:type="spellStart"/>
      <w:r w:rsidRPr="00984CC7">
        <w:rPr>
          <w:rFonts w:eastAsiaTheme="minorHAnsi"/>
        </w:rPr>
        <w:t>Werding</w:t>
      </w:r>
      <w:proofErr w:type="spellEnd"/>
      <w:r w:rsidRPr="00984CC7">
        <w:rPr>
          <w:rFonts w:eastAsiaTheme="minorHAnsi"/>
        </w:rPr>
        <w:t>, M. (2003),</w:t>
      </w:r>
      <w:r w:rsidRPr="00984CC7">
        <w:t xml:space="preserve"> “</w:t>
      </w:r>
      <w:r w:rsidRPr="00984CC7">
        <w:rPr>
          <w:rFonts w:eastAsiaTheme="minorHAnsi"/>
        </w:rPr>
        <w:t xml:space="preserve">After another decade of reform: Do pension systems in </w:t>
      </w:r>
      <w:proofErr w:type="spellStart"/>
      <w:r w:rsidRPr="00984CC7">
        <w:rPr>
          <w:rFonts w:eastAsiaTheme="minorHAnsi"/>
        </w:rPr>
        <w:t>Europeconverge</w:t>
      </w:r>
      <w:proofErr w:type="spellEnd"/>
      <w:r w:rsidRPr="00984CC7">
        <w:rPr>
          <w:rFonts w:eastAsiaTheme="minorHAnsi"/>
        </w:rPr>
        <w:t>?</w:t>
      </w:r>
      <w:r w:rsidRPr="00984CC7">
        <w:t>”</w:t>
      </w:r>
      <w:r w:rsidRPr="00984CC7">
        <w:rPr>
          <w:rFonts w:eastAsiaTheme="minorHAnsi"/>
        </w:rPr>
        <w:t xml:space="preserve"> </w:t>
      </w:r>
      <w:r w:rsidRPr="00984CC7">
        <w:rPr>
          <w:rFonts w:eastAsiaTheme="minorHAnsi"/>
          <w:iCs/>
        </w:rPr>
        <w:t xml:space="preserve">DICE Report: Journal of Institutional Comparisons </w:t>
      </w:r>
      <w:r w:rsidRPr="00984CC7">
        <w:rPr>
          <w:rFonts w:eastAsiaTheme="minorHAnsi"/>
        </w:rPr>
        <w:t xml:space="preserve">1, </w:t>
      </w:r>
      <w:r w:rsidRPr="00984CC7">
        <w:t>p.</w:t>
      </w:r>
      <w:r w:rsidRPr="00984CC7">
        <w:rPr>
          <w:rFonts w:eastAsiaTheme="minorHAnsi"/>
        </w:rPr>
        <w:t>11-16.</w:t>
      </w:r>
    </w:p>
    <w:p w:rsidR="005D378B" w:rsidRPr="00984CC7" w:rsidRDefault="005D378B" w:rsidP="00073DED">
      <w:pPr>
        <w:pStyle w:val="ListParagraph"/>
        <w:numPr>
          <w:ilvl w:val="0"/>
          <w:numId w:val="1"/>
        </w:numPr>
        <w:autoSpaceDE w:val="0"/>
        <w:autoSpaceDN w:val="0"/>
        <w:adjustRightInd w:val="0"/>
        <w:spacing w:before="240" w:after="240" w:line="360" w:lineRule="auto"/>
        <w:rPr>
          <w:bCs/>
        </w:rPr>
      </w:pPr>
      <w:r w:rsidRPr="00984CC7">
        <w:t>World Bank, (1994), “</w:t>
      </w:r>
      <w:r w:rsidRPr="00984CC7">
        <w:rPr>
          <w:rFonts w:eastAsiaTheme="minorHAnsi"/>
        </w:rPr>
        <w:t>Averting the Old Age Crisis</w:t>
      </w:r>
      <w:r w:rsidRPr="00984CC7">
        <w:t>”. Oxford University Press</w:t>
      </w:r>
      <w:r w:rsidRPr="00984CC7">
        <w:rPr>
          <w:rFonts w:eastAsiaTheme="minorHAnsi"/>
        </w:rPr>
        <w:t>.</w:t>
      </w:r>
    </w:p>
    <w:p w:rsidR="005D378B" w:rsidRPr="00984CC7" w:rsidRDefault="005D378B" w:rsidP="005D378B">
      <w:pPr>
        <w:rPr>
          <w:lang w:val="en-US"/>
        </w:rPr>
      </w:pPr>
    </w:p>
    <w:p w:rsidR="005D378B" w:rsidRPr="00984CC7" w:rsidRDefault="005D378B">
      <w:pPr>
        <w:rPr>
          <w:b/>
        </w:rPr>
      </w:pPr>
    </w:p>
    <w:sectPr w:rsidR="005D378B" w:rsidRPr="00984CC7" w:rsidSect="00B402DF">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3BD" w:rsidRDefault="009223BD" w:rsidP="005D378B">
      <w:r>
        <w:separator/>
      </w:r>
    </w:p>
  </w:endnote>
  <w:endnote w:type="continuationSeparator" w:id="0">
    <w:p w:rsidR="009223BD" w:rsidRDefault="009223BD" w:rsidP="005D37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PAC5A">
    <w:altName w:val="Arial"/>
    <w:panose1 w:val="00000000000000000000"/>
    <w:charset w:val="00"/>
    <w:family w:val="swiss"/>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AdvSTSerif-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51027"/>
      <w:docPartObj>
        <w:docPartGallery w:val="Page Numbers (Bottom of Page)"/>
        <w:docPartUnique/>
      </w:docPartObj>
    </w:sdtPr>
    <w:sdtContent>
      <w:p w:rsidR="00507444" w:rsidRDefault="003166C9">
        <w:pPr>
          <w:pStyle w:val="Footer"/>
          <w:jc w:val="right"/>
        </w:pPr>
        <w:fldSimple w:instr=" PAGE   \* MERGEFORMAT ">
          <w:r w:rsidR="0086302D">
            <w:rPr>
              <w:noProof/>
            </w:rPr>
            <w:t>33</w:t>
          </w:r>
        </w:fldSimple>
      </w:p>
    </w:sdtContent>
  </w:sdt>
  <w:p w:rsidR="00507444" w:rsidRDefault="005074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3BD" w:rsidRDefault="009223BD" w:rsidP="005D378B">
      <w:r>
        <w:separator/>
      </w:r>
    </w:p>
  </w:footnote>
  <w:footnote w:type="continuationSeparator" w:id="0">
    <w:p w:rsidR="009223BD" w:rsidRDefault="009223BD" w:rsidP="005D378B">
      <w:r>
        <w:continuationSeparator/>
      </w:r>
    </w:p>
  </w:footnote>
  <w:footnote w:id="1">
    <w:p w:rsidR="009B4831" w:rsidRDefault="009B4831">
      <w:pPr>
        <w:pStyle w:val="FootnoteText"/>
      </w:pPr>
      <w:r>
        <w:rPr>
          <w:rStyle w:val="FootnoteReference"/>
        </w:rPr>
        <w:footnoteRef/>
      </w:r>
      <w:r>
        <w:t xml:space="preserve"> </w:t>
      </w:r>
      <w:proofErr w:type="spellStart"/>
      <w:r>
        <w:t>L</w:t>
      </w:r>
      <w:r w:rsidR="00830C1D">
        <w:t>e</w:t>
      </w:r>
      <w:r>
        <w:t>gros</w:t>
      </w:r>
      <w:proofErr w:type="spellEnd"/>
      <w:r>
        <w:t xml:space="preserve"> 2001</w:t>
      </w:r>
    </w:p>
  </w:footnote>
  <w:footnote w:id="2">
    <w:p w:rsidR="00507444" w:rsidRPr="000443DC" w:rsidRDefault="00507444" w:rsidP="005D378B">
      <w:pPr>
        <w:pStyle w:val="FootnoteText"/>
        <w:rPr>
          <w:lang w:val="en-US"/>
        </w:rPr>
      </w:pPr>
      <w:r>
        <w:rPr>
          <w:rStyle w:val="FootnoteReference"/>
        </w:rPr>
        <w:footnoteRef/>
      </w:r>
      <w:r>
        <w:t xml:space="preserve"> This refers to the term replacement rate that is, in the context of the example, defined as the percentage of the average lifetime income of an individual, with at least 45 years participation in the working force, to the pension that is received upon retirement.</w:t>
      </w:r>
    </w:p>
  </w:footnote>
  <w:footnote w:id="3">
    <w:p w:rsidR="00507444" w:rsidRPr="00F93634" w:rsidRDefault="00507444" w:rsidP="005D378B">
      <w:pPr>
        <w:pStyle w:val="FootnoteText"/>
        <w:rPr>
          <w:lang w:val="en-US"/>
        </w:rPr>
      </w:pPr>
      <w:r w:rsidRPr="00F93634">
        <w:rPr>
          <w:rStyle w:val="FootnoteReference"/>
        </w:rPr>
        <w:footnoteRef/>
      </w:r>
      <w:r>
        <w:t xml:space="preserve">An </w:t>
      </w:r>
      <w:proofErr w:type="gramStart"/>
      <w:r>
        <w:t>exception  is</w:t>
      </w:r>
      <w:proofErr w:type="gramEnd"/>
      <w:r>
        <w:t xml:space="preserve"> </w:t>
      </w:r>
      <w:r w:rsidRPr="00F93634">
        <w:t>the case of Japan</w:t>
      </w:r>
      <w:r>
        <w:t xml:space="preserve"> </w:t>
      </w:r>
      <w:r w:rsidRPr="00F93634">
        <w:t xml:space="preserve">which </w:t>
      </w:r>
      <w:r>
        <w:t>has, on average, the oldest population.</w:t>
      </w:r>
    </w:p>
  </w:footnote>
  <w:footnote w:id="4">
    <w:p w:rsidR="00507444" w:rsidRPr="00293FCB" w:rsidRDefault="00507444" w:rsidP="005D378B">
      <w:pPr>
        <w:pStyle w:val="FootnoteText"/>
        <w:rPr>
          <w:lang w:val="en-US"/>
        </w:rPr>
      </w:pPr>
      <w:r>
        <w:rPr>
          <w:rStyle w:val="FootnoteReference"/>
        </w:rPr>
        <w:footnoteRef/>
      </w:r>
      <w:r>
        <w:t xml:space="preserve"> It is important to mention here, that </w:t>
      </w:r>
      <w:r>
        <w:rPr>
          <w:lang w:val="en-US"/>
        </w:rPr>
        <w:t>Baldwin stresses also the importance in the strong social class division in present in Europe.</w:t>
      </w:r>
    </w:p>
  </w:footnote>
  <w:footnote w:id="5">
    <w:p w:rsidR="00507444" w:rsidRPr="000927F7" w:rsidRDefault="00507444" w:rsidP="005D378B">
      <w:pPr>
        <w:pStyle w:val="FootnoteText"/>
        <w:rPr>
          <w:lang w:val="en-US"/>
        </w:rPr>
      </w:pPr>
      <w:r>
        <w:rPr>
          <w:rStyle w:val="FootnoteReference"/>
        </w:rPr>
        <w:footnoteRef/>
      </w:r>
      <w:r>
        <w:t xml:space="preserve"> </w:t>
      </w:r>
      <w:proofErr w:type="spellStart"/>
      <w:r>
        <w:t>Clichon</w:t>
      </w:r>
      <w:proofErr w:type="spellEnd"/>
      <w:r>
        <w:t>, M. (1999)</w:t>
      </w:r>
    </w:p>
  </w:footnote>
  <w:footnote w:id="6">
    <w:p w:rsidR="00507444" w:rsidRPr="002546DE" w:rsidRDefault="00507444" w:rsidP="005D378B">
      <w:pPr>
        <w:pStyle w:val="FootnoteText"/>
        <w:rPr>
          <w:lang w:val="en-US"/>
        </w:rPr>
      </w:pPr>
      <w:r>
        <w:rPr>
          <w:rStyle w:val="FootnoteReference"/>
        </w:rPr>
        <w:footnoteRef/>
      </w:r>
      <w:r>
        <w:rPr>
          <w:lang w:val="en-US"/>
        </w:rPr>
        <w:t xml:space="preserve">Source: </w:t>
      </w:r>
      <w:hyperlink r:id="rId1" w:history="1">
        <w:r w:rsidRPr="002546DE">
          <w:rPr>
            <w:rStyle w:val="Hyperlink"/>
            <w:lang w:val="en-US"/>
          </w:rPr>
          <w:t>http://epp.eurostat.ec.europa.eu/tgm/table.do?tab=table&amp;init=1&amp;plugin=1&amp;language=en&amp;pcode=tsdde510</w:t>
        </w:r>
      </w:hyperlink>
    </w:p>
  </w:footnote>
  <w:footnote w:id="7">
    <w:p w:rsidR="00507444" w:rsidRDefault="00507444" w:rsidP="005D378B">
      <w:pPr>
        <w:pStyle w:val="FootnoteText"/>
      </w:pPr>
    </w:p>
    <w:p w:rsidR="00507444" w:rsidRPr="00811FD3" w:rsidRDefault="00507444" w:rsidP="005D378B">
      <w:pPr>
        <w:pStyle w:val="FootnoteText"/>
        <w:rPr>
          <w:lang w:val="en-US"/>
        </w:rPr>
      </w:pPr>
      <w:r>
        <w:rPr>
          <w:rStyle w:val="FootnoteReference"/>
        </w:rPr>
        <w:footnoteRef/>
      </w:r>
      <w:r>
        <w:t xml:space="preserve"> </w:t>
      </w:r>
      <w:r>
        <w:rPr>
          <w:lang w:val="en-US"/>
        </w:rPr>
        <w:t xml:space="preserve">The thesis is investigating the international spillover effects of population ageing and pensions, studying how the global phenomenon of population ageing is spreading the effects of policy changes from one country to other through the increased integration and globalization of capital markets. For reference see Adema, 2008 </w:t>
      </w:r>
    </w:p>
  </w:footnote>
  <w:footnote w:id="8">
    <w:p w:rsidR="00507444" w:rsidRPr="00F606AC" w:rsidRDefault="00507444" w:rsidP="005D378B">
      <w:pPr>
        <w:pStyle w:val="FootnoteText"/>
        <w:rPr>
          <w:lang w:val="en-US"/>
        </w:rPr>
      </w:pPr>
      <w:r>
        <w:rPr>
          <w:rStyle w:val="FootnoteReference"/>
        </w:rPr>
        <w:footnoteRef/>
      </w:r>
      <w:r>
        <w:t xml:space="preserve"> </w:t>
      </w:r>
      <w:r>
        <w:rPr>
          <w:lang w:val="en-US"/>
        </w:rPr>
        <w:t xml:space="preserve">Feldstein &amp; </w:t>
      </w:r>
      <w:proofErr w:type="spellStart"/>
      <w:r>
        <w:rPr>
          <w:lang w:val="en-US"/>
        </w:rPr>
        <w:t>Ranguelova</w:t>
      </w:r>
      <w:proofErr w:type="spellEnd"/>
      <w:r>
        <w:rPr>
          <w:lang w:val="en-US"/>
        </w:rPr>
        <w:t xml:space="preserve"> (1998)</w:t>
      </w:r>
    </w:p>
  </w:footnote>
  <w:footnote w:id="9">
    <w:p w:rsidR="00FD2BDD" w:rsidRPr="00FD2BDD" w:rsidRDefault="00FD2BDD">
      <w:pPr>
        <w:pStyle w:val="FootnoteText"/>
        <w:rPr>
          <w:lang w:val="en-IE"/>
        </w:rPr>
      </w:pPr>
      <w:r>
        <w:rPr>
          <w:rStyle w:val="FootnoteReference"/>
        </w:rPr>
        <w:footnoteRef/>
      </w:r>
      <w:r>
        <w:t xml:space="preserve"> </w:t>
      </w:r>
      <w:r>
        <w:rPr>
          <w:lang w:val="en-IE"/>
        </w:rPr>
        <w:t>Source: Statistics Ne</w:t>
      </w:r>
      <w:r w:rsidR="003A3EE1">
        <w:rPr>
          <w:lang w:val="en-IE"/>
        </w:rPr>
        <w:t>th</w:t>
      </w:r>
      <w:r>
        <w:rPr>
          <w:lang w:val="en-IE"/>
        </w:rPr>
        <w:t>erland</w:t>
      </w:r>
      <w:r w:rsidR="003A3EE1">
        <w:rPr>
          <w:lang w:val="en-IE"/>
        </w:rPr>
        <w:t>s</w:t>
      </w:r>
      <w:r>
        <w:rPr>
          <w:lang w:val="en-IE"/>
        </w:rPr>
        <w:t xml:space="preserve"> -  </w:t>
      </w:r>
      <w:hyperlink r:id="rId2" w:history="1">
        <w:r>
          <w:rPr>
            <w:rStyle w:val="Hyperlink"/>
          </w:rPr>
          <w:t>http://www.cbs.nl/en-GB/menu/themas/arbeid-sociale-zekerheid/publicaties/artikelen/archief/2012/2012-3557-wm.htm</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96A84"/>
    <w:multiLevelType w:val="hybridMultilevel"/>
    <w:tmpl w:val="7FD474FE"/>
    <w:lvl w:ilvl="0" w:tplc="3A1E22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129B3"/>
    <w:multiLevelType w:val="hybridMultilevel"/>
    <w:tmpl w:val="610216BC"/>
    <w:lvl w:ilvl="0" w:tplc="E7D207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31192"/>
    <w:multiLevelType w:val="multilevel"/>
    <w:tmpl w:val="3118B138"/>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nsid w:val="0AF3495D"/>
    <w:multiLevelType w:val="hybridMultilevel"/>
    <w:tmpl w:val="7A6E5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0004E"/>
    <w:multiLevelType w:val="hybridMultilevel"/>
    <w:tmpl w:val="61DEEFFA"/>
    <w:lvl w:ilvl="0" w:tplc="867E3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12FB7"/>
    <w:multiLevelType w:val="multilevel"/>
    <w:tmpl w:val="AA6C672C"/>
    <w:lvl w:ilvl="0">
      <w:start w:val="1"/>
      <w:numFmt w:val="decimal"/>
      <w:lvlText w:val="%1"/>
      <w:lvlJc w:val="left"/>
      <w:pPr>
        <w:ind w:left="390" w:hanging="390"/>
      </w:pPr>
      <w:rPr>
        <w:rFonts w:hint="default"/>
      </w:rPr>
    </w:lvl>
    <w:lvl w:ilvl="1">
      <w:start w:val="1"/>
      <w:numFmt w:val="decimal"/>
      <w:lvlText w:val="%1.%2"/>
      <w:lvlJc w:val="left"/>
      <w:pPr>
        <w:ind w:left="1020" w:hanging="39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73331A9"/>
    <w:multiLevelType w:val="multilevel"/>
    <w:tmpl w:val="AA6C672C"/>
    <w:lvl w:ilvl="0">
      <w:start w:val="1"/>
      <w:numFmt w:val="decimal"/>
      <w:lvlText w:val="%1"/>
      <w:lvlJc w:val="left"/>
      <w:pPr>
        <w:ind w:left="390" w:hanging="390"/>
      </w:pPr>
      <w:rPr>
        <w:rFonts w:hint="default"/>
      </w:rPr>
    </w:lvl>
    <w:lvl w:ilvl="1">
      <w:start w:val="1"/>
      <w:numFmt w:val="decimal"/>
      <w:lvlText w:val="%1.%2"/>
      <w:lvlJc w:val="left"/>
      <w:pPr>
        <w:ind w:left="1020" w:hanging="39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4690258"/>
    <w:multiLevelType w:val="hybridMultilevel"/>
    <w:tmpl w:val="BDE2395C"/>
    <w:lvl w:ilvl="0" w:tplc="EF5AD43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C542ED"/>
    <w:multiLevelType w:val="hybridMultilevel"/>
    <w:tmpl w:val="965E2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5824F8"/>
    <w:multiLevelType w:val="hybridMultilevel"/>
    <w:tmpl w:val="ED081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5719A"/>
    <w:multiLevelType w:val="hybridMultilevel"/>
    <w:tmpl w:val="7A6E5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00047C"/>
    <w:multiLevelType w:val="multilevel"/>
    <w:tmpl w:val="6CDCA2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E91201C"/>
    <w:multiLevelType w:val="hybridMultilevel"/>
    <w:tmpl w:val="FD42842A"/>
    <w:lvl w:ilvl="0" w:tplc="E4F2D272">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F408F3"/>
    <w:multiLevelType w:val="hybridMultilevel"/>
    <w:tmpl w:val="637AACD6"/>
    <w:lvl w:ilvl="0" w:tplc="332A19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2CF7DFA"/>
    <w:multiLevelType w:val="multilevel"/>
    <w:tmpl w:val="DCD0A7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3D0F38F4"/>
    <w:multiLevelType w:val="hybridMultilevel"/>
    <w:tmpl w:val="DE76D6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3F247936"/>
    <w:multiLevelType w:val="hybridMultilevel"/>
    <w:tmpl w:val="166224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F294B90"/>
    <w:multiLevelType w:val="hybridMultilevel"/>
    <w:tmpl w:val="32FAE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074D5A"/>
    <w:multiLevelType w:val="hybridMultilevel"/>
    <w:tmpl w:val="0114AFD4"/>
    <w:lvl w:ilvl="0" w:tplc="F12E1D44">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4A4D3255"/>
    <w:multiLevelType w:val="hybridMultilevel"/>
    <w:tmpl w:val="F5984DF0"/>
    <w:lvl w:ilvl="0" w:tplc="EA16F07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EE3D8E"/>
    <w:multiLevelType w:val="multilevel"/>
    <w:tmpl w:val="B0D2F2C2"/>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nsid w:val="4E170041"/>
    <w:multiLevelType w:val="multilevel"/>
    <w:tmpl w:val="C65890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nsid w:val="508F4549"/>
    <w:multiLevelType w:val="hybridMultilevel"/>
    <w:tmpl w:val="BDE2395C"/>
    <w:lvl w:ilvl="0" w:tplc="EF5AD43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2758C5"/>
    <w:multiLevelType w:val="hybridMultilevel"/>
    <w:tmpl w:val="7A6E5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F65215"/>
    <w:multiLevelType w:val="hybridMultilevel"/>
    <w:tmpl w:val="7A6E5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5F460B"/>
    <w:multiLevelType w:val="hybridMultilevel"/>
    <w:tmpl w:val="C598E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554C79"/>
    <w:multiLevelType w:val="hybridMultilevel"/>
    <w:tmpl w:val="BE9CF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5C2466"/>
    <w:multiLevelType w:val="hybridMultilevel"/>
    <w:tmpl w:val="3EF83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D8707F"/>
    <w:multiLevelType w:val="multilevel"/>
    <w:tmpl w:val="F3FA7F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43561D3"/>
    <w:multiLevelType w:val="hybridMultilevel"/>
    <w:tmpl w:val="02B06674"/>
    <w:lvl w:ilvl="0" w:tplc="0BF03B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58F4D29"/>
    <w:multiLevelType w:val="multilevel"/>
    <w:tmpl w:val="C116EF3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nsid w:val="780B0595"/>
    <w:multiLevelType w:val="multilevel"/>
    <w:tmpl w:val="DCD0A7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20"/>
  </w:num>
  <w:num w:numId="3">
    <w:abstractNumId w:val="16"/>
  </w:num>
  <w:num w:numId="4">
    <w:abstractNumId w:val="23"/>
  </w:num>
  <w:num w:numId="5">
    <w:abstractNumId w:val="24"/>
  </w:num>
  <w:num w:numId="6">
    <w:abstractNumId w:val="10"/>
  </w:num>
  <w:num w:numId="7">
    <w:abstractNumId w:val="26"/>
  </w:num>
  <w:num w:numId="8">
    <w:abstractNumId w:val="14"/>
  </w:num>
  <w:num w:numId="9">
    <w:abstractNumId w:val="29"/>
  </w:num>
  <w:num w:numId="10">
    <w:abstractNumId w:val="0"/>
  </w:num>
  <w:num w:numId="11">
    <w:abstractNumId w:val="25"/>
  </w:num>
  <w:num w:numId="12">
    <w:abstractNumId w:val="2"/>
  </w:num>
  <w:num w:numId="13">
    <w:abstractNumId w:val="8"/>
  </w:num>
  <w:num w:numId="14">
    <w:abstractNumId w:val="21"/>
  </w:num>
  <w:num w:numId="15">
    <w:abstractNumId w:val="11"/>
  </w:num>
  <w:num w:numId="16">
    <w:abstractNumId w:val="5"/>
  </w:num>
  <w:num w:numId="17">
    <w:abstractNumId w:val="6"/>
  </w:num>
  <w:num w:numId="18">
    <w:abstractNumId w:val="13"/>
  </w:num>
  <w:num w:numId="19">
    <w:abstractNumId w:val="27"/>
  </w:num>
  <w:num w:numId="20">
    <w:abstractNumId w:val="4"/>
  </w:num>
  <w:num w:numId="21">
    <w:abstractNumId w:val="31"/>
  </w:num>
  <w:num w:numId="22">
    <w:abstractNumId w:val="17"/>
  </w:num>
  <w:num w:numId="23">
    <w:abstractNumId w:val="30"/>
  </w:num>
  <w:num w:numId="24">
    <w:abstractNumId w:val="12"/>
  </w:num>
  <w:num w:numId="25">
    <w:abstractNumId w:val="19"/>
  </w:num>
  <w:num w:numId="26">
    <w:abstractNumId w:val="9"/>
  </w:num>
  <w:num w:numId="27">
    <w:abstractNumId w:val="3"/>
  </w:num>
  <w:num w:numId="28">
    <w:abstractNumId w:val="1"/>
  </w:num>
  <w:num w:numId="29">
    <w:abstractNumId w:val="15"/>
  </w:num>
  <w:num w:numId="30">
    <w:abstractNumId w:val="28"/>
  </w:num>
  <w:num w:numId="31">
    <w:abstractNumId w:val="22"/>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hyphenationZone w:val="425"/>
  <w:characterSpacingControl w:val="doNotCompress"/>
  <w:footnotePr>
    <w:footnote w:id="-1"/>
    <w:footnote w:id="0"/>
  </w:footnotePr>
  <w:endnotePr>
    <w:endnote w:id="-1"/>
    <w:endnote w:id="0"/>
  </w:endnotePr>
  <w:compat/>
  <w:rsids>
    <w:rsidRoot w:val="006E2EE7"/>
    <w:rsid w:val="00002F02"/>
    <w:rsid w:val="000125E9"/>
    <w:rsid w:val="00021491"/>
    <w:rsid w:val="00021ED5"/>
    <w:rsid w:val="00027671"/>
    <w:rsid w:val="00050091"/>
    <w:rsid w:val="0005158F"/>
    <w:rsid w:val="00070519"/>
    <w:rsid w:val="00073DED"/>
    <w:rsid w:val="0008047D"/>
    <w:rsid w:val="000831CD"/>
    <w:rsid w:val="000A5791"/>
    <w:rsid w:val="000A715E"/>
    <w:rsid w:val="000B3003"/>
    <w:rsid w:val="000B7323"/>
    <w:rsid w:val="000C5954"/>
    <w:rsid w:val="000E13A1"/>
    <w:rsid w:val="000F35EB"/>
    <w:rsid w:val="00101653"/>
    <w:rsid w:val="0012178F"/>
    <w:rsid w:val="001252CA"/>
    <w:rsid w:val="0013334D"/>
    <w:rsid w:val="00136359"/>
    <w:rsid w:val="00142684"/>
    <w:rsid w:val="00142C2E"/>
    <w:rsid w:val="00147495"/>
    <w:rsid w:val="00153905"/>
    <w:rsid w:val="00156897"/>
    <w:rsid w:val="00163385"/>
    <w:rsid w:val="001A28D2"/>
    <w:rsid w:val="001F7694"/>
    <w:rsid w:val="00273E74"/>
    <w:rsid w:val="002766B6"/>
    <w:rsid w:val="00282D45"/>
    <w:rsid w:val="00294F82"/>
    <w:rsid w:val="002C01B9"/>
    <w:rsid w:val="002C2F4E"/>
    <w:rsid w:val="002C3781"/>
    <w:rsid w:val="002C6813"/>
    <w:rsid w:val="002C6F02"/>
    <w:rsid w:val="002E4A28"/>
    <w:rsid w:val="002F7F28"/>
    <w:rsid w:val="003007E0"/>
    <w:rsid w:val="003022DB"/>
    <w:rsid w:val="003166C9"/>
    <w:rsid w:val="0032505A"/>
    <w:rsid w:val="00345DA8"/>
    <w:rsid w:val="0036432D"/>
    <w:rsid w:val="003675D5"/>
    <w:rsid w:val="003A3EE1"/>
    <w:rsid w:val="003B4BA8"/>
    <w:rsid w:val="00414062"/>
    <w:rsid w:val="004552A8"/>
    <w:rsid w:val="004923CB"/>
    <w:rsid w:val="00496D83"/>
    <w:rsid w:val="00497E43"/>
    <w:rsid w:val="004C3A97"/>
    <w:rsid w:val="004C6B87"/>
    <w:rsid w:val="00507444"/>
    <w:rsid w:val="005114A4"/>
    <w:rsid w:val="00534B77"/>
    <w:rsid w:val="00537C2B"/>
    <w:rsid w:val="005403AE"/>
    <w:rsid w:val="00547951"/>
    <w:rsid w:val="00547FAA"/>
    <w:rsid w:val="005504A0"/>
    <w:rsid w:val="00583785"/>
    <w:rsid w:val="005979FE"/>
    <w:rsid w:val="005B1A7A"/>
    <w:rsid w:val="005C03AE"/>
    <w:rsid w:val="005C3DAC"/>
    <w:rsid w:val="005D0006"/>
    <w:rsid w:val="005D378B"/>
    <w:rsid w:val="005D6AFF"/>
    <w:rsid w:val="005D6CA1"/>
    <w:rsid w:val="005E4374"/>
    <w:rsid w:val="005F6085"/>
    <w:rsid w:val="006015B8"/>
    <w:rsid w:val="00603B0B"/>
    <w:rsid w:val="006259C0"/>
    <w:rsid w:val="006300FF"/>
    <w:rsid w:val="00633B98"/>
    <w:rsid w:val="006367E1"/>
    <w:rsid w:val="0069577C"/>
    <w:rsid w:val="006A73A5"/>
    <w:rsid w:val="006B0280"/>
    <w:rsid w:val="006B54F1"/>
    <w:rsid w:val="006C1679"/>
    <w:rsid w:val="006E2EE7"/>
    <w:rsid w:val="006F36B8"/>
    <w:rsid w:val="0074066B"/>
    <w:rsid w:val="0075045F"/>
    <w:rsid w:val="007B57A9"/>
    <w:rsid w:val="007D7A40"/>
    <w:rsid w:val="007E3A78"/>
    <w:rsid w:val="007E5B1C"/>
    <w:rsid w:val="007F4321"/>
    <w:rsid w:val="007F49EC"/>
    <w:rsid w:val="007F553F"/>
    <w:rsid w:val="0081035A"/>
    <w:rsid w:val="00827759"/>
    <w:rsid w:val="00830C1D"/>
    <w:rsid w:val="00850064"/>
    <w:rsid w:val="008549E6"/>
    <w:rsid w:val="008554ED"/>
    <w:rsid w:val="00861F89"/>
    <w:rsid w:val="0086302D"/>
    <w:rsid w:val="0086729F"/>
    <w:rsid w:val="008975C6"/>
    <w:rsid w:val="008C6298"/>
    <w:rsid w:val="008D1337"/>
    <w:rsid w:val="008D5853"/>
    <w:rsid w:val="008E0C66"/>
    <w:rsid w:val="00902A48"/>
    <w:rsid w:val="00914032"/>
    <w:rsid w:val="009223BD"/>
    <w:rsid w:val="00952C0A"/>
    <w:rsid w:val="009558AF"/>
    <w:rsid w:val="00972B69"/>
    <w:rsid w:val="0098390C"/>
    <w:rsid w:val="00984CC7"/>
    <w:rsid w:val="009A179B"/>
    <w:rsid w:val="009B4831"/>
    <w:rsid w:val="009B7AFB"/>
    <w:rsid w:val="009D55B1"/>
    <w:rsid w:val="009E1B8B"/>
    <w:rsid w:val="009E541E"/>
    <w:rsid w:val="009E57A7"/>
    <w:rsid w:val="00A260BE"/>
    <w:rsid w:val="00A26A91"/>
    <w:rsid w:val="00A6624D"/>
    <w:rsid w:val="00AA4587"/>
    <w:rsid w:val="00AB4210"/>
    <w:rsid w:val="00AC0CA9"/>
    <w:rsid w:val="00B01904"/>
    <w:rsid w:val="00B402DF"/>
    <w:rsid w:val="00B65975"/>
    <w:rsid w:val="00B941FC"/>
    <w:rsid w:val="00BF4A4F"/>
    <w:rsid w:val="00C25034"/>
    <w:rsid w:val="00C3262D"/>
    <w:rsid w:val="00C465BB"/>
    <w:rsid w:val="00C5343F"/>
    <w:rsid w:val="00C76228"/>
    <w:rsid w:val="00CA1967"/>
    <w:rsid w:val="00CA7C0A"/>
    <w:rsid w:val="00CE755F"/>
    <w:rsid w:val="00D20360"/>
    <w:rsid w:val="00D533E9"/>
    <w:rsid w:val="00D54B4B"/>
    <w:rsid w:val="00D6594D"/>
    <w:rsid w:val="00D70B29"/>
    <w:rsid w:val="00D76E11"/>
    <w:rsid w:val="00D920E3"/>
    <w:rsid w:val="00DA107B"/>
    <w:rsid w:val="00DA40D3"/>
    <w:rsid w:val="00DB0C11"/>
    <w:rsid w:val="00DB3E84"/>
    <w:rsid w:val="00DC1092"/>
    <w:rsid w:val="00DC4B78"/>
    <w:rsid w:val="00E30491"/>
    <w:rsid w:val="00E32B43"/>
    <w:rsid w:val="00E344EC"/>
    <w:rsid w:val="00E970A0"/>
    <w:rsid w:val="00EA0AD5"/>
    <w:rsid w:val="00EA1EA2"/>
    <w:rsid w:val="00EA2E0B"/>
    <w:rsid w:val="00EB463F"/>
    <w:rsid w:val="00EC3B02"/>
    <w:rsid w:val="00ED355D"/>
    <w:rsid w:val="00EE7953"/>
    <w:rsid w:val="00EF583D"/>
    <w:rsid w:val="00F14CD3"/>
    <w:rsid w:val="00F16C14"/>
    <w:rsid w:val="00F21E3B"/>
    <w:rsid w:val="00F40F4D"/>
    <w:rsid w:val="00F42279"/>
    <w:rsid w:val="00F44F8E"/>
    <w:rsid w:val="00F5458A"/>
    <w:rsid w:val="00F60F69"/>
    <w:rsid w:val="00F67654"/>
    <w:rsid w:val="00F70A5A"/>
    <w:rsid w:val="00F825F1"/>
    <w:rsid w:val="00FA6819"/>
    <w:rsid w:val="00FD2BDD"/>
    <w:rsid w:val="00FD3D53"/>
    <w:rsid w:val="00FD460D"/>
    <w:rsid w:val="00FE0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EE7"/>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294F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37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378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EE7"/>
    <w:pPr>
      <w:ind w:left="720"/>
      <w:contextualSpacing/>
    </w:pPr>
  </w:style>
  <w:style w:type="character" w:customStyle="1" w:styleId="apple-converted-space">
    <w:name w:val="apple-converted-space"/>
    <w:basedOn w:val="DefaultParagraphFont"/>
    <w:rsid w:val="006E2EE7"/>
  </w:style>
  <w:style w:type="character" w:styleId="Emphasis">
    <w:name w:val="Emphasis"/>
    <w:basedOn w:val="DefaultParagraphFont"/>
    <w:uiPriority w:val="20"/>
    <w:qFormat/>
    <w:rsid w:val="006E2EE7"/>
    <w:rPr>
      <w:i/>
      <w:iCs/>
    </w:rPr>
  </w:style>
  <w:style w:type="character" w:customStyle="1" w:styleId="Heading1Char">
    <w:name w:val="Heading 1 Char"/>
    <w:basedOn w:val="DefaultParagraphFont"/>
    <w:link w:val="Heading1"/>
    <w:uiPriority w:val="9"/>
    <w:rsid w:val="00294F82"/>
    <w:rPr>
      <w:rFonts w:asciiTheme="majorHAnsi" w:eastAsiaTheme="majorEastAsia" w:hAnsiTheme="majorHAnsi" w:cstheme="majorBidi"/>
      <w:b/>
      <w:bCs/>
      <w:color w:val="365F91" w:themeColor="accent1" w:themeShade="BF"/>
      <w:sz w:val="28"/>
      <w:szCs w:val="28"/>
      <w:lang w:val="en-GB"/>
    </w:rPr>
  </w:style>
  <w:style w:type="paragraph" w:styleId="NoSpacing">
    <w:name w:val="No Spacing"/>
    <w:uiPriority w:val="1"/>
    <w:qFormat/>
    <w:rsid w:val="00294F82"/>
    <w:pPr>
      <w:spacing w:after="0" w:line="240" w:lineRule="auto"/>
    </w:pPr>
    <w:rPr>
      <w:lang w:val="nl-NL"/>
    </w:rPr>
  </w:style>
  <w:style w:type="character" w:customStyle="1" w:styleId="citation">
    <w:name w:val="citation"/>
    <w:basedOn w:val="DefaultParagraphFont"/>
    <w:rsid w:val="009E57A7"/>
  </w:style>
  <w:style w:type="character" w:customStyle="1" w:styleId="surname">
    <w:name w:val="surname"/>
    <w:basedOn w:val="DefaultParagraphFont"/>
    <w:rsid w:val="009E57A7"/>
  </w:style>
  <w:style w:type="character" w:customStyle="1" w:styleId="firstname">
    <w:name w:val="firstname"/>
    <w:basedOn w:val="DefaultParagraphFont"/>
    <w:rsid w:val="009E57A7"/>
  </w:style>
  <w:style w:type="character" w:customStyle="1" w:styleId="source">
    <w:name w:val="source"/>
    <w:basedOn w:val="DefaultParagraphFont"/>
    <w:rsid w:val="009E57A7"/>
  </w:style>
  <w:style w:type="character" w:customStyle="1" w:styleId="z3988">
    <w:name w:val="z3988"/>
    <w:basedOn w:val="DefaultParagraphFont"/>
    <w:rsid w:val="009E57A7"/>
  </w:style>
  <w:style w:type="character" w:styleId="Hyperlink">
    <w:name w:val="Hyperlink"/>
    <w:basedOn w:val="DefaultParagraphFont"/>
    <w:uiPriority w:val="99"/>
    <w:unhideWhenUsed/>
    <w:rsid w:val="009E57A7"/>
    <w:rPr>
      <w:color w:val="0000FF"/>
      <w:u w:val="single"/>
    </w:rPr>
  </w:style>
  <w:style w:type="character" w:styleId="FollowedHyperlink">
    <w:name w:val="FollowedHyperlink"/>
    <w:basedOn w:val="DefaultParagraphFont"/>
    <w:uiPriority w:val="99"/>
    <w:semiHidden/>
    <w:unhideWhenUsed/>
    <w:rsid w:val="009E57A7"/>
    <w:rPr>
      <w:color w:val="800080" w:themeColor="followedHyperlink"/>
      <w:u w:val="single"/>
    </w:rPr>
  </w:style>
  <w:style w:type="character" w:customStyle="1" w:styleId="Heading2Char">
    <w:name w:val="Heading 2 Char"/>
    <w:basedOn w:val="DefaultParagraphFont"/>
    <w:link w:val="Heading2"/>
    <w:uiPriority w:val="9"/>
    <w:rsid w:val="005D378B"/>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5D378B"/>
    <w:rPr>
      <w:rFonts w:asciiTheme="majorHAnsi" w:eastAsiaTheme="majorEastAsia" w:hAnsiTheme="majorHAnsi" w:cstheme="majorBidi"/>
      <w:b/>
      <w:bCs/>
      <w:color w:val="4F81BD" w:themeColor="accent1"/>
      <w:sz w:val="24"/>
      <w:szCs w:val="24"/>
      <w:lang w:val="en-GB"/>
    </w:rPr>
  </w:style>
  <w:style w:type="paragraph" w:customStyle="1" w:styleId="Default">
    <w:name w:val="Default"/>
    <w:rsid w:val="005D378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5D378B"/>
    <w:rPr>
      <w:rFonts w:ascii="Tahoma" w:hAnsi="Tahoma" w:cs="Tahoma"/>
      <w:sz w:val="16"/>
      <w:szCs w:val="16"/>
    </w:rPr>
  </w:style>
  <w:style w:type="character" w:customStyle="1" w:styleId="BalloonTextChar">
    <w:name w:val="Balloon Text Char"/>
    <w:basedOn w:val="DefaultParagraphFont"/>
    <w:link w:val="BalloonText"/>
    <w:uiPriority w:val="99"/>
    <w:semiHidden/>
    <w:rsid w:val="005D378B"/>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5D378B"/>
    <w:pPr>
      <w:tabs>
        <w:tab w:val="center" w:pos="4703"/>
        <w:tab w:val="right" w:pos="9406"/>
      </w:tabs>
    </w:pPr>
  </w:style>
  <w:style w:type="character" w:customStyle="1" w:styleId="HeaderChar">
    <w:name w:val="Header Char"/>
    <w:basedOn w:val="DefaultParagraphFont"/>
    <w:link w:val="Header"/>
    <w:uiPriority w:val="99"/>
    <w:semiHidden/>
    <w:rsid w:val="005D378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D378B"/>
    <w:pPr>
      <w:tabs>
        <w:tab w:val="center" w:pos="4703"/>
        <w:tab w:val="right" w:pos="9406"/>
      </w:tabs>
    </w:pPr>
  </w:style>
  <w:style w:type="character" w:customStyle="1" w:styleId="FooterChar">
    <w:name w:val="Footer Char"/>
    <w:basedOn w:val="DefaultParagraphFont"/>
    <w:link w:val="Footer"/>
    <w:uiPriority w:val="99"/>
    <w:rsid w:val="005D378B"/>
    <w:rPr>
      <w:rFonts w:ascii="Times New Roman" w:eastAsia="Times New Roman" w:hAnsi="Times New Roman" w:cs="Times New Roman"/>
      <w:sz w:val="24"/>
      <w:szCs w:val="24"/>
      <w:lang w:val="en-GB"/>
    </w:rPr>
  </w:style>
  <w:style w:type="paragraph" w:styleId="EndnoteText">
    <w:name w:val="endnote text"/>
    <w:basedOn w:val="Normal"/>
    <w:link w:val="EndnoteTextChar"/>
    <w:uiPriority w:val="99"/>
    <w:semiHidden/>
    <w:unhideWhenUsed/>
    <w:rsid w:val="005D378B"/>
    <w:rPr>
      <w:sz w:val="20"/>
      <w:szCs w:val="20"/>
    </w:rPr>
  </w:style>
  <w:style w:type="character" w:customStyle="1" w:styleId="EndnoteTextChar">
    <w:name w:val="Endnote Text Char"/>
    <w:basedOn w:val="DefaultParagraphFont"/>
    <w:link w:val="EndnoteText"/>
    <w:uiPriority w:val="99"/>
    <w:semiHidden/>
    <w:rsid w:val="005D378B"/>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5D378B"/>
    <w:rPr>
      <w:vertAlign w:val="superscript"/>
    </w:rPr>
  </w:style>
  <w:style w:type="paragraph" w:styleId="FootnoteText">
    <w:name w:val="footnote text"/>
    <w:basedOn w:val="Normal"/>
    <w:link w:val="FootnoteTextChar"/>
    <w:uiPriority w:val="99"/>
    <w:semiHidden/>
    <w:unhideWhenUsed/>
    <w:rsid w:val="005D378B"/>
    <w:rPr>
      <w:sz w:val="20"/>
      <w:szCs w:val="20"/>
    </w:rPr>
  </w:style>
  <w:style w:type="character" w:customStyle="1" w:styleId="FootnoteTextChar">
    <w:name w:val="Footnote Text Char"/>
    <w:basedOn w:val="DefaultParagraphFont"/>
    <w:link w:val="FootnoteText"/>
    <w:uiPriority w:val="99"/>
    <w:semiHidden/>
    <w:rsid w:val="005D378B"/>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5D378B"/>
    <w:rPr>
      <w:vertAlign w:val="superscript"/>
    </w:rPr>
  </w:style>
  <w:style w:type="character" w:customStyle="1" w:styleId="words">
    <w:name w:val="words"/>
    <w:basedOn w:val="DefaultParagraphFont"/>
    <w:rsid w:val="005D378B"/>
  </w:style>
  <w:style w:type="character" w:customStyle="1" w:styleId="punctuation">
    <w:name w:val="punctuation"/>
    <w:basedOn w:val="DefaultParagraphFont"/>
    <w:rsid w:val="005D378B"/>
  </w:style>
  <w:style w:type="character" w:customStyle="1" w:styleId="modif">
    <w:name w:val="modif"/>
    <w:basedOn w:val="DefaultParagraphFont"/>
    <w:rsid w:val="005D378B"/>
  </w:style>
  <w:style w:type="character" w:customStyle="1" w:styleId="wordbooster">
    <w:name w:val="wordbooster"/>
    <w:basedOn w:val="DefaultParagraphFont"/>
    <w:rsid w:val="005D378B"/>
  </w:style>
  <w:style w:type="character" w:customStyle="1" w:styleId="passivevoice">
    <w:name w:val="passivevoice"/>
    <w:basedOn w:val="DefaultParagraphFont"/>
    <w:rsid w:val="005D378B"/>
  </w:style>
  <w:style w:type="character" w:customStyle="1" w:styleId="personname">
    <w:name w:val="person_name"/>
    <w:basedOn w:val="DefaultParagraphFont"/>
    <w:rsid w:val="005D378B"/>
  </w:style>
  <w:style w:type="character" w:customStyle="1" w:styleId="journalname">
    <w:name w:val="journalname"/>
    <w:basedOn w:val="DefaultParagraphFont"/>
    <w:rsid w:val="005D378B"/>
  </w:style>
  <w:style w:type="character" w:customStyle="1" w:styleId="volume">
    <w:name w:val="volume"/>
    <w:basedOn w:val="DefaultParagraphFont"/>
    <w:rsid w:val="005D378B"/>
  </w:style>
  <w:style w:type="character" w:customStyle="1" w:styleId="issue">
    <w:name w:val="issue"/>
    <w:basedOn w:val="DefaultParagraphFont"/>
    <w:rsid w:val="005D378B"/>
  </w:style>
  <w:style w:type="character" w:customStyle="1" w:styleId="year">
    <w:name w:val="year"/>
    <w:basedOn w:val="DefaultParagraphFont"/>
    <w:rsid w:val="005D378B"/>
  </w:style>
  <w:style w:type="character" w:customStyle="1" w:styleId="othergrammar">
    <w:name w:val="othergrammar"/>
    <w:basedOn w:val="DefaultParagraphFont"/>
    <w:rsid w:val="005D378B"/>
  </w:style>
  <w:style w:type="character" w:customStyle="1" w:styleId="articleuse">
    <w:name w:val="articleuse"/>
    <w:basedOn w:val="DefaultParagraphFont"/>
    <w:rsid w:val="005D378B"/>
  </w:style>
  <w:style w:type="character" w:customStyle="1" w:styleId="confusedwords">
    <w:name w:val="confusedwords"/>
    <w:basedOn w:val="DefaultParagraphFont"/>
    <w:rsid w:val="005D378B"/>
  </w:style>
  <w:style w:type="paragraph" w:styleId="Subtitle">
    <w:name w:val="Subtitle"/>
    <w:basedOn w:val="Normal"/>
    <w:next w:val="Normal"/>
    <w:link w:val="SubtitleChar"/>
    <w:uiPriority w:val="11"/>
    <w:qFormat/>
    <w:rsid w:val="005D378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D378B"/>
    <w:rPr>
      <w:rFonts w:asciiTheme="majorHAnsi" w:eastAsiaTheme="majorEastAsia" w:hAnsiTheme="majorHAnsi" w:cstheme="majorBidi"/>
      <w:i/>
      <w:iCs/>
      <w:color w:val="4F81BD" w:themeColor="accent1"/>
      <w:spacing w:val="15"/>
      <w:sz w:val="24"/>
      <w:szCs w:val="24"/>
      <w:lang w:val="en-GB"/>
    </w:rPr>
  </w:style>
  <w:style w:type="table" w:styleId="TableGrid">
    <w:name w:val="Table Grid"/>
    <w:basedOn w:val="TableNormal"/>
    <w:rsid w:val="005D378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5D378B"/>
    <w:rPr>
      <w:b/>
      <w:bCs/>
      <w:i/>
      <w:iCs/>
      <w:color w:val="4F81BD" w:themeColor="accent1"/>
    </w:rPr>
  </w:style>
  <w:style w:type="paragraph" w:styleId="NormalWeb">
    <w:name w:val="Normal (Web)"/>
    <w:basedOn w:val="Normal"/>
    <w:uiPriority w:val="99"/>
    <w:unhideWhenUsed/>
    <w:rsid w:val="005D378B"/>
    <w:pPr>
      <w:spacing w:before="100" w:beforeAutospacing="1" w:after="100" w:afterAutospacing="1"/>
    </w:pPr>
    <w:rPr>
      <w:lang w:val="bg-BG" w:eastAsia="bg-BG"/>
    </w:rPr>
  </w:style>
  <w:style w:type="character" w:styleId="PlaceholderText">
    <w:name w:val="Placeholder Text"/>
    <w:basedOn w:val="DefaultParagraphFont"/>
    <w:uiPriority w:val="99"/>
    <w:semiHidden/>
    <w:rsid w:val="005D378B"/>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2" Type="http://schemas.openxmlformats.org/officeDocument/2006/relationships/hyperlink" Target="http://www.cbs.nl/en-GB/menu/themas/arbeid-sociale-zekerheid/publicaties/artikelen/archief/2012/2012-3557-wm.htm" TargetMode="External"/><Relationship Id="rId1" Type="http://schemas.openxmlformats.org/officeDocument/2006/relationships/hyperlink" Target="http://epp.eurostat.ec.europa.eu/tgm/table.do?tab=table&amp;init=1&amp;plugin=1&amp;language=en&amp;pcode=tsdde51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OSIO\AppData\Local\Temp\WPP2010_DB1_F03_CRUDE_BIRTH_RATE-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OSIO\AppData\Local\Temp\WPP2010_DB1_F05_1_LIFE_EXPECTANCY_0_BOTH_SEXE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chart>
    <c:plotArea>
      <c:layout/>
      <c:lineChart>
        <c:grouping val="standard"/>
        <c:ser>
          <c:idx val="0"/>
          <c:order val="0"/>
          <c:tx>
            <c:strRef>
              <c:f>Sheet1!$A$2</c:f>
              <c:strCache>
                <c:ptCount val="1"/>
                <c:pt idx="0">
                  <c:v>EUROPE</c:v>
                </c:pt>
              </c:strCache>
            </c:strRef>
          </c:tx>
          <c:marker>
            <c:symbol val="none"/>
          </c:marker>
          <c:cat>
            <c:strRef>
              <c:f>Sheet1!$B$1:$M$1</c:f>
              <c:strCache>
                <c:ptCount val="12"/>
                <c:pt idx="0">
                  <c:v>1950-1955</c:v>
                </c:pt>
                <c:pt idx="1">
                  <c:v>1955-1960</c:v>
                </c:pt>
                <c:pt idx="2">
                  <c:v>1960-1965</c:v>
                </c:pt>
                <c:pt idx="3">
                  <c:v>1965-1970</c:v>
                </c:pt>
                <c:pt idx="4">
                  <c:v>1970-1975</c:v>
                </c:pt>
                <c:pt idx="5">
                  <c:v>1975-1980</c:v>
                </c:pt>
                <c:pt idx="6">
                  <c:v>1980-1985</c:v>
                </c:pt>
                <c:pt idx="7">
                  <c:v>1985-1990</c:v>
                </c:pt>
                <c:pt idx="8">
                  <c:v>1990-1995</c:v>
                </c:pt>
                <c:pt idx="9">
                  <c:v>1995-2000</c:v>
                </c:pt>
                <c:pt idx="10">
                  <c:v>2000-2005</c:v>
                </c:pt>
                <c:pt idx="11">
                  <c:v>2005-2010</c:v>
                </c:pt>
              </c:strCache>
            </c:strRef>
          </c:cat>
          <c:val>
            <c:numRef>
              <c:f>Sheet1!$B$2:$M$2</c:f>
              <c:numCache>
                <c:formatCode>#\ ###\ ###\ ##0;\-#\ ###\ ###\ ##0;0</c:formatCode>
                <c:ptCount val="12"/>
                <c:pt idx="0">
                  <c:v>21.441999999999986</c:v>
                </c:pt>
                <c:pt idx="1">
                  <c:v>20.722999999999942</c:v>
                </c:pt>
                <c:pt idx="2">
                  <c:v>19.077000000000005</c:v>
                </c:pt>
                <c:pt idx="3">
                  <c:v>16.716000000000001</c:v>
                </c:pt>
                <c:pt idx="4">
                  <c:v>15.588000000000001</c:v>
                </c:pt>
                <c:pt idx="5">
                  <c:v>14.757</c:v>
                </c:pt>
                <c:pt idx="6">
                  <c:v>14.339</c:v>
                </c:pt>
                <c:pt idx="7">
                  <c:v>13.704000000000001</c:v>
                </c:pt>
                <c:pt idx="8">
                  <c:v>11.51</c:v>
                </c:pt>
                <c:pt idx="9">
                  <c:v>10.237999999999998</c:v>
                </c:pt>
                <c:pt idx="10">
                  <c:v>10.153</c:v>
                </c:pt>
                <c:pt idx="11">
                  <c:v>10.757</c:v>
                </c:pt>
              </c:numCache>
            </c:numRef>
          </c:val>
        </c:ser>
        <c:ser>
          <c:idx val="1"/>
          <c:order val="1"/>
          <c:tx>
            <c:strRef>
              <c:f>Sheet1!$A$3</c:f>
              <c:strCache>
                <c:ptCount val="1"/>
                <c:pt idx="0">
                  <c:v>Netherlands</c:v>
                </c:pt>
              </c:strCache>
            </c:strRef>
          </c:tx>
          <c:marker>
            <c:symbol val="none"/>
          </c:marker>
          <c:cat>
            <c:strRef>
              <c:f>Sheet1!$B$1:$M$1</c:f>
              <c:strCache>
                <c:ptCount val="12"/>
                <c:pt idx="0">
                  <c:v>1950-1955</c:v>
                </c:pt>
                <c:pt idx="1">
                  <c:v>1955-1960</c:v>
                </c:pt>
                <c:pt idx="2">
                  <c:v>1960-1965</c:v>
                </c:pt>
                <c:pt idx="3">
                  <c:v>1965-1970</c:v>
                </c:pt>
                <c:pt idx="4">
                  <c:v>1970-1975</c:v>
                </c:pt>
                <c:pt idx="5">
                  <c:v>1975-1980</c:v>
                </c:pt>
                <c:pt idx="6">
                  <c:v>1980-1985</c:v>
                </c:pt>
                <c:pt idx="7">
                  <c:v>1985-1990</c:v>
                </c:pt>
                <c:pt idx="8">
                  <c:v>1990-1995</c:v>
                </c:pt>
                <c:pt idx="9">
                  <c:v>1995-2000</c:v>
                </c:pt>
                <c:pt idx="10">
                  <c:v>2000-2005</c:v>
                </c:pt>
                <c:pt idx="11">
                  <c:v>2005-2010</c:v>
                </c:pt>
              </c:strCache>
            </c:strRef>
          </c:cat>
          <c:val>
            <c:numRef>
              <c:f>Sheet1!$B$3:$M$3</c:f>
              <c:numCache>
                <c:formatCode>#\ ###\ ###\ ##0;\-#\ ###\ ###\ ##0;0</c:formatCode>
                <c:ptCount val="12"/>
                <c:pt idx="0">
                  <c:v>21.985999999999919</c:v>
                </c:pt>
                <c:pt idx="1">
                  <c:v>21.353999999999999</c:v>
                </c:pt>
                <c:pt idx="2">
                  <c:v>21.06</c:v>
                </c:pt>
                <c:pt idx="3">
                  <c:v>19.114000000000061</c:v>
                </c:pt>
                <c:pt idx="4">
                  <c:v>15.273</c:v>
                </c:pt>
                <c:pt idx="5">
                  <c:v>12.578000000000001</c:v>
                </c:pt>
                <c:pt idx="6">
                  <c:v>12.197000000000001</c:v>
                </c:pt>
                <c:pt idx="7">
                  <c:v>12.646999999999998</c:v>
                </c:pt>
                <c:pt idx="8">
                  <c:v>12.787999999999998</c:v>
                </c:pt>
                <c:pt idx="9">
                  <c:v>12.450000000000006</c:v>
                </c:pt>
                <c:pt idx="10">
                  <c:v>12.385000000000026</c:v>
                </c:pt>
                <c:pt idx="11">
                  <c:v>11.341000000000001</c:v>
                </c:pt>
              </c:numCache>
            </c:numRef>
          </c:val>
        </c:ser>
        <c:ser>
          <c:idx val="2"/>
          <c:order val="2"/>
          <c:tx>
            <c:strRef>
              <c:f>Sheet1!$A$4</c:f>
              <c:strCache>
                <c:ptCount val="1"/>
                <c:pt idx="0">
                  <c:v>Germany</c:v>
                </c:pt>
              </c:strCache>
            </c:strRef>
          </c:tx>
          <c:marker>
            <c:symbol val="none"/>
          </c:marker>
          <c:cat>
            <c:strRef>
              <c:f>Sheet1!$B$1:$M$1</c:f>
              <c:strCache>
                <c:ptCount val="12"/>
                <c:pt idx="0">
                  <c:v>1950-1955</c:v>
                </c:pt>
                <c:pt idx="1">
                  <c:v>1955-1960</c:v>
                </c:pt>
                <c:pt idx="2">
                  <c:v>1960-1965</c:v>
                </c:pt>
                <c:pt idx="3">
                  <c:v>1965-1970</c:v>
                </c:pt>
                <c:pt idx="4">
                  <c:v>1970-1975</c:v>
                </c:pt>
                <c:pt idx="5">
                  <c:v>1975-1980</c:v>
                </c:pt>
                <c:pt idx="6">
                  <c:v>1980-1985</c:v>
                </c:pt>
                <c:pt idx="7">
                  <c:v>1985-1990</c:v>
                </c:pt>
                <c:pt idx="8">
                  <c:v>1990-1995</c:v>
                </c:pt>
                <c:pt idx="9">
                  <c:v>1995-2000</c:v>
                </c:pt>
                <c:pt idx="10">
                  <c:v>2000-2005</c:v>
                </c:pt>
                <c:pt idx="11">
                  <c:v>2005-2010</c:v>
                </c:pt>
              </c:strCache>
            </c:strRef>
          </c:cat>
          <c:val>
            <c:numRef>
              <c:f>Sheet1!$B$4:$M$4</c:f>
              <c:numCache>
                <c:formatCode>#\ ###\ ###\ ##0;\-#\ ###\ ###\ ##0;0</c:formatCode>
                <c:ptCount val="12"/>
                <c:pt idx="0">
                  <c:v>15.950000000000006</c:v>
                </c:pt>
                <c:pt idx="1">
                  <c:v>16.54</c:v>
                </c:pt>
                <c:pt idx="2">
                  <c:v>17.84</c:v>
                </c:pt>
                <c:pt idx="3">
                  <c:v>15.92</c:v>
                </c:pt>
                <c:pt idx="4">
                  <c:v>11.350000000000026</c:v>
                </c:pt>
                <c:pt idx="5">
                  <c:v>10.33</c:v>
                </c:pt>
                <c:pt idx="6">
                  <c:v>10.78</c:v>
                </c:pt>
                <c:pt idx="7">
                  <c:v>11.07</c:v>
                </c:pt>
                <c:pt idx="8">
                  <c:v>9.907</c:v>
                </c:pt>
                <c:pt idx="9">
                  <c:v>9.5510000000000002</c:v>
                </c:pt>
                <c:pt idx="10">
                  <c:v>8.8280000000000012</c:v>
                </c:pt>
                <c:pt idx="11">
                  <c:v>8.3640000000000008</c:v>
                </c:pt>
              </c:numCache>
            </c:numRef>
          </c:val>
        </c:ser>
        <c:ser>
          <c:idx val="3"/>
          <c:order val="3"/>
          <c:tx>
            <c:strRef>
              <c:f>Sheet1!$A$5</c:f>
              <c:strCache>
                <c:ptCount val="1"/>
                <c:pt idx="0">
                  <c:v>Italy</c:v>
                </c:pt>
              </c:strCache>
            </c:strRef>
          </c:tx>
          <c:marker>
            <c:symbol val="none"/>
          </c:marker>
          <c:cat>
            <c:strRef>
              <c:f>Sheet1!$B$1:$M$1</c:f>
              <c:strCache>
                <c:ptCount val="12"/>
                <c:pt idx="0">
                  <c:v>1950-1955</c:v>
                </c:pt>
                <c:pt idx="1">
                  <c:v>1955-1960</c:v>
                </c:pt>
                <c:pt idx="2">
                  <c:v>1960-1965</c:v>
                </c:pt>
                <c:pt idx="3">
                  <c:v>1965-1970</c:v>
                </c:pt>
                <c:pt idx="4">
                  <c:v>1970-1975</c:v>
                </c:pt>
                <c:pt idx="5">
                  <c:v>1975-1980</c:v>
                </c:pt>
                <c:pt idx="6">
                  <c:v>1980-1985</c:v>
                </c:pt>
                <c:pt idx="7">
                  <c:v>1985-1990</c:v>
                </c:pt>
                <c:pt idx="8">
                  <c:v>1990-1995</c:v>
                </c:pt>
                <c:pt idx="9">
                  <c:v>1995-2000</c:v>
                </c:pt>
                <c:pt idx="10">
                  <c:v>2000-2005</c:v>
                </c:pt>
                <c:pt idx="11">
                  <c:v>2005-2010</c:v>
                </c:pt>
              </c:strCache>
            </c:strRef>
          </c:cat>
          <c:val>
            <c:numRef>
              <c:f>Sheet1!$B$5:$M$5</c:f>
              <c:numCache>
                <c:formatCode>#\ ###\ ###\ ##0;\-#\ ###\ ###\ ##0;0</c:formatCode>
                <c:ptCount val="12"/>
                <c:pt idx="0">
                  <c:v>18.238</c:v>
                </c:pt>
                <c:pt idx="1">
                  <c:v>17.664000000000001</c:v>
                </c:pt>
                <c:pt idx="2">
                  <c:v>18.441999999999986</c:v>
                </c:pt>
                <c:pt idx="3">
                  <c:v>18.012</c:v>
                </c:pt>
                <c:pt idx="4">
                  <c:v>16.315999999999999</c:v>
                </c:pt>
                <c:pt idx="5">
                  <c:v>13.379000000000024</c:v>
                </c:pt>
                <c:pt idx="6">
                  <c:v>10.87500000000003</c:v>
                </c:pt>
                <c:pt idx="7">
                  <c:v>9.8890000000000047</c:v>
                </c:pt>
                <c:pt idx="8">
                  <c:v>9.7260000000000009</c:v>
                </c:pt>
                <c:pt idx="9">
                  <c:v>9.2289999999999992</c:v>
                </c:pt>
                <c:pt idx="10">
                  <c:v>9.1650000000000027</c:v>
                </c:pt>
                <c:pt idx="11">
                  <c:v>9.3630000000000067</c:v>
                </c:pt>
              </c:numCache>
            </c:numRef>
          </c:val>
        </c:ser>
        <c:ser>
          <c:idx val="4"/>
          <c:order val="4"/>
          <c:tx>
            <c:strRef>
              <c:f>Sheet1!$A$6</c:f>
              <c:strCache>
                <c:ptCount val="1"/>
                <c:pt idx="0">
                  <c:v>Spain</c:v>
                </c:pt>
              </c:strCache>
            </c:strRef>
          </c:tx>
          <c:marker>
            <c:symbol val="none"/>
          </c:marker>
          <c:cat>
            <c:strRef>
              <c:f>Sheet1!$B$1:$M$1</c:f>
              <c:strCache>
                <c:ptCount val="12"/>
                <c:pt idx="0">
                  <c:v>1950-1955</c:v>
                </c:pt>
                <c:pt idx="1">
                  <c:v>1955-1960</c:v>
                </c:pt>
                <c:pt idx="2">
                  <c:v>1960-1965</c:v>
                </c:pt>
                <c:pt idx="3">
                  <c:v>1965-1970</c:v>
                </c:pt>
                <c:pt idx="4">
                  <c:v>1970-1975</c:v>
                </c:pt>
                <c:pt idx="5">
                  <c:v>1975-1980</c:v>
                </c:pt>
                <c:pt idx="6">
                  <c:v>1980-1985</c:v>
                </c:pt>
                <c:pt idx="7">
                  <c:v>1985-1990</c:v>
                </c:pt>
                <c:pt idx="8">
                  <c:v>1990-1995</c:v>
                </c:pt>
                <c:pt idx="9">
                  <c:v>1995-2000</c:v>
                </c:pt>
                <c:pt idx="10">
                  <c:v>2000-2005</c:v>
                </c:pt>
                <c:pt idx="11">
                  <c:v>2005-2010</c:v>
                </c:pt>
              </c:strCache>
            </c:strRef>
          </c:cat>
          <c:val>
            <c:numRef>
              <c:f>Sheet1!$B$6:$M$6</c:f>
              <c:numCache>
                <c:formatCode>#\ ###\ ###\ ##0;\-#\ ###\ ###\ ##0;0</c:formatCode>
                <c:ptCount val="12"/>
                <c:pt idx="0">
                  <c:v>20.564</c:v>
                </c:pt>
                <c:pt idx="1">
                  <c:v>21.463999999999938</c:v>
                </c:pt>
                <c:pt idx="2">
                  <c:v>20.913</c:v>
                </c:pt>
                <c:pt idx="3">
                  <c:v>19.768999999999931</c:v>
                </c:pt>
                <c:pt idx="4">
                  <c:v>19.260000000000002</c:v>
                </c:pt>
                <c:pt idx="5">
                  <c:v>17.393999999999988</c:v>
                </c:pt>
                <c:pt idx="6">
                  <c:v>13.272</c:v>
                </c:pt>
                <c:pt idx="7">
                  <c:v>10.785</c:v>
                </c:pt>
                <c:pt idx="8">
                  <c:v>9.838000000000001</c:v>
                </c:pt>
                <c:pt idx="9">
                  <c:v>9.3890000000000047</c:v>
                </c:pt>
                <c:pt idx="10">
                  <c:v>10.264000000000001</c:v>
                </c:pt>
                <c:pt idx="11">
                  <c:v>10.87200000000003</c:v>
                </c:pt>
              </c:numCache>
            </c:numRef>
          </c:val>
        </c:ser>
        <c:marker val="1"/>
        <c:axId val="119412608"/>
        <c:axId val="119414144"/>
      </c:lineChart>
      <c:catAx>
        <c:axId val="119412608"/>
        <c:scaling>
          <c:orientation val="minMax"/>
        </c:scaling>
        <c:axPos val="b"/>
        <c:tickLblPos val="nextTo"/>
        <c:txPr>
          <a:bodyPr/>
          <a:lstStyle/>
          <a:p>
            <a:pPr>
              <a:defRPr lang="en-GB"/>
            </a:pPr>
            <a:endParaRPr lang="en-US"/>
          </a:p>
        </c:txPr>
        <c:crossAx val="119414144"/>
        <c:crosses val="autoZero"/>
        <c:auto val="1"/>
        <c:lblAlgn val="ctr"/>
        <c:lblOffset val="100"/>
      </c:catAx>
      <c:valAx>
        <c:axId val="119414144"/>
        <c:scaling>
          <c:orientation val="minMax"/>
        </c:scaling>
        <c:axPos val="l"/>
        <c:majorGridlines/>
        <c:numFmt formatCode="#\ ###\ ###\ ##0;\-#\ ###\ ###\ ##0;0" sourceLinked="1"/>
        <c:tickLblPos val="nextTo"/>
        <c:txPr>
          <a:bodyPr/>
          <a:lstStyle/>
          <a:p>
            <a:pPr>
              <a:defRPr lang="en-GB"/>
            </a:pPr>
            <a:endParaRPr lang="en-US"/>
          </a:p>
        </c:txPr>
        <c:crossAx val="119412608"/>
        <c:crosses val="autoZero"/>
        <c:crossBetween val="between"/>
      </c:valAx>
    </c:plotArea>
    <c:legend>
      <c:legendPos val="r"/>
      <c:txPr>
        <a:bodyPr/>
        <a:lstStyle/>
        <a:p>
          <a:pPr>
            <a:defRPr lang="en-GB"/>
          </a:pPr>
          <a:endParaRPr lang="en-US"/>
        </a:p>
      </c:txPr>
    </c:legend>
    <c:plotVisOnly val="1"/>
  </c:chart>
  <c:spPr>
    <a:noFill/>
    <a:ln w="15875" cmpd="thickThin">
      <a:solidFill>
        <a:schemeClr val="tx1"/>
      </a:solidFill>
    </a:ln>
    <a:effectLst>
      <a:outerShdw blurRad="50800" dist="50800" dir="5400000" algn="ctr" rotWithShape="0">
        <a:schemeClr val="bg1"/>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1"/>
  <c:chart>
    <c:plotArea>
      <c:layout/>
      <c:lineChart>
        <c:grouping val="standard"/>
        <c:ser>
          <c:idx val="0"/>
          <c:order val="0"/>
          <c:tx>
            <c:strRef>
              <c:f>Sheet1!$A$2</c:f>
              <c:strCache>
                <c:ptCount val="1"/>
                <c:pt idx="0">
                  <c:v>EUROPE</c:v>
                </c:pt>
              </c:strCache>
            </c:strRef>
          </c:tx>
          <c:marker>
            <c:symbol val="none"/>
          </c:marker>
          <c:cat>
            <c:strRef>
              <c:f>Sheet1!$B$1:$M$1</c:f>
              <c:strCache>
                <c:ptCount val="12"/>
                <c:pt idx="0">
                  <c:v>1950-1955</c:v>
                </c:pt>
                <c:pt idx="1">
                  <c:v>1955-1960</c:v>
                </c:pt>
                <c:pt idx="2">
                  <c:v>1960-1965</c:v>
                </c:pt>
                <c:pt idx="3">
                  <c:v>1965-1970</c:v>
                </c:pt>
                <c:pt idx="4">
                  <c:v>1970-1975</c:v>
                </c:pt>
                <c:pt idx="5">
                  <c:v>1975-1980</c:v>
                </c:pt>
                <c:pt idx="6">
                  <c:v>1980-1985</c:v>
                </c:pt>
                <c:pt idx="7">
                  <c:v>1985-1990</c:v>
                </c:pt>
                <c:pt idx="8">
                  <c:v>1990-1995</c:v>
                </c:pt>
                <c:pt idx="9">
                  <c:v>1995-2000</c:v>
                </c:pt>
                <c:pt idx="10">
                  <c:v>2000-2005</c:v>
                </c:pt>
                <c:pt idx="11">
                  <c:v>2005-2010</c:v>
                </c:pt>
              </c:strCache>
            </c:strRef>
          </c:cat>
          <c:val>
            <c:numRef>
              <c:f>Sheet1!$B$2:$M$2</c:f>
              <c:numCache>
                <c:formatCode>##0.00;\-##0.00;0</c:formatCode>
                <c:ptCount val="12"/>
                <c:pt idx="0">
                  <c:v>65.575000000000003</c:v>
                </c:pt>
                <c:pt idx="1">
                  <c:v>67.968999999999994</c:v>
                </c:pt>
                <c:pt idx="2">
                  <c:v>69.632999999999981</c:v>
                </c:pt>
                <c:pt idx="3">
                  <c:v>70.345000000000013</c:v>
                </c:pt>
                <c:pt idx="4">
                  <c:v>70.790000000000006</c:v>
                </c:pt>
                <c:pt idx="5">
                  <c:v>71.211000000000027</c:v>
                </c:pt>
                <c:pt idx="6">
                  <c:v>71.725999999999999</c:v>
                </c:pt>
                <c:pt idx="7">
                  <c:v>72.867000000000004</c:v>
                </c:pt>
                <c:pt idx="8">
                  <c:v>72.58</c:v>
                </c:pt>
                <c:pt idx="9">
                  <c:v>73.096000000000004</c:v>
                </c:pt>
                <c:pt idx="10">
                  <c:v>73.784999999999997</c:v>
                </c:pt>
                <c:pt idx="11">
                  <c:v>75.361999999999995</c:v>
                </c:pt>
              </c:numCache>
            </c:numRef>
          </c:val>
        </c:ser>
        <c:ser>
          <c:idx val="1"/>
          <c:order val="1"/>
          <c:tx>
            <c:strRef>
              <c:f>Sheet1!$A$3</c:f>
              <c:strCache>
                <c:ptCount val="1"/>
                <c:pt idx="0">
                  <c:v>Netherlands</c:v>
                </c:pt>
              </c:strCache>
            </c:strRef>
          </c:tx>
          <c:marker>
            <c:symbol val="none"/>
          </c:marker>
          <c:cat>
            <c:strRef>
              <c:f>Sheet1!$B$1:$M$1</c:f>
              <c:strCache>
                <c:ptCount val="12"/>
                <c:pt idx="0">
                  <c:v>1950-1955</c:v>
                </c:pt>
                <c:pt idx="1">
                  <c:v>1955-1960</c:v>
                </c:pt>
                <c:pt idx="2">
                  <c:v>1960-1965</c:v>
                </c:pt>
                <c:pt idx="3">
                  <c:v>1965-1970</c:v>
                </c:pt>
                <c:pt idx="4">
                  <c:v>1970-1975</c:v>
                </c:pt>
                <c:pt idx="5">
                  <c:v>1975-1980</c:v>
                </c:pt>
                <c:pt idx="6">
                  <c:v>1980-1985</c:v>
                </c:pt>
                <c:pt idx="7">
                  <c:v>1985-1990</c:v>
                </c:pt>
                <c:pt idx="8">
                  <c:v>1990-1995</c:v>
                </c:pt>
                <c:pt idx="9">
                  <c:v>1995-2000</c:v>
                </c:pt>
                <c:pt idx="10">
                  <c:v>2000-2005</c:v>
                </c:pt>
                <c:pt idx="11">
                  <c:v>2005-2010</c:v>
                </c:pt>
              </c:strCache>
            </c:strRef>
          </c:cat>
          <c:val>
            <c:numRef>
              <c:f>Sheet1!$B$3:$M$3</c:f>
              <c:numCache>
                <c:formatCode>##0.00;\-##0.00;0</c:formatCode>
                <c:ptCount val="12"/>
                <c:pt idx="0">
                  <c:v>71.930000000000007</c:v>
                </c:pt>
                <c:pt idx="1">
                  <c:v>72.942000000000007</c:v>
                </c:pt>
                <c:pt idx="2">
                  <c:v>73.462999999999994</c:v>
                </c:pt>
                <c:pt idx="3">
                  <c:v>73.637</c:v>
                </c:pt>
                <c:pt idx="4">
                  <c:v>74.10799999999999</c:v>
                </c:pt>
                <c:pt idx="5">
                  <c:v>75.171999999999983</c:v>
                </c:pt>
                <c:pt idx="6">
                  <c:v>76.134</c:v>
                </c:pt>
                <c:pt idx="7">
                  <c:v>76.724999999999994</c:v>
                </c:pt>
                <c:pt idx="8">
                  <c:v>77.263000000000005</c:v>
                </c:pt>
                <c:pt idx="9">
                  <c:v>77.850999999999999</c:v>
                </c:pt>
                <c:pt idx="10">
                  <c:v>78.678999999999988</c:v>
                </c:pt>
                <c:pt idx="11">
                  <c:v>80.197999999999993</c:v>
                </c:pt>
              </c:numCache>
            </c:numRef>
          </c:val>
        </c:ser>
        <c:ser>
          <c:idx val="2"/>
          <c:order val="2"/>
          <c:tx>
            <c:strRef>
              <c:f>Sheet1!$A$4</c:f>
              <c:strCache>
                <c:ptCount val="1"/>
                <c:pt idx="0">
                  <c:v>Germany</c:v>
                </c:pt>
              </c:strCache>
            </c:strRef>
          </c:tx>
          <c:marker>
            <c:symbol val="none"/>
          </c:marker>
          <c:cat>
            <c:strRef>
              <c:f>Sheet1!$B$1:$M$1</c:f>
              <c:strCache>
                <c:ptCount val="12"/>
                <c:pt idx="0">
                  <c:v>1950-1955</c:v>
                </c:pt>
                <c:pt idx="1">
                  <c:v>1955-1960</c:v>
                </c:pt>
                <c:pt idx="2">
                  <c:v>1960-1965</c:v>
                </c:pt>
                <c:pt idx="3">
                  <c:v>1965-1970</c:v>
                </c:pt>
                <c:pt idx="4">
                  <c:v>1970-1975</c:v>
                </c:pt>
                <c:pt idx="5">
                  <c:v>1975-1980</c:v>
                </c:pt>
                <c:pt idx="6">
                  <c:v>1980-1985</c:v>
                </c:pt>
                <c:pt idx="7">
                  <c:v>1985-1990</c:v>
                </c:pt>
                <c:pt idx="8">
                  <c:v>1990-1995</c:v>
                </c:pt>
                <c:pt idx="9">
                  <c:v>1995-2000</c:v>
                </c:pt>
                <c:pt idx="10">
                  <c:v>2000-2005</c:v>
                </c:pt>
                <c:pt idx="11">
                  <c:v>2005-2010</c:v>
                </c:pt>
              </c:strCache>
            </c:strRef>
          </c:cat>
          <c:val>
            <c:numRef>
              <c:f>Sheet1!$B$4:$M$4</c:f>
              <c:numCache>
                <c:formatCode>##0.00;\-##0.00;0</c:formatCode>
                <c:ptCount val="12"/>
                <c:pt idx="0">
                  <c:v>67.5</c:v>
                </c:pt>
                <c:pt idx="1">
                  <c:v>69.099999999999994</c:v>
                </c:pt>
                <c:pt idx="2">
                  <c:v>70.3</c:v>
                </c:pt>
                <c:pt idx="3">
                  <c:v>70.8</c:v>
                </c:pt>
                <c:pt idx="4">
                  <c:v>71</c:v>
                </c:pt>
                <c:pt idx="5">
                  <c:v>72.5</c:v>
                </c:pt>
                <c:pt idx="6">
                  <c:v>73.8</c:v>
                </c:pt>
                <c:pt idx="7">
                  <c:v>74.846999999999994</c:v>
                </c:pt>
                <c:pt idx="8">
                  <c:v>76.024000000000001</c:v>
                </c:pt>
                <c:pt idx="9">
                  <c:v>77.364000000000004</c:v>
                </c:pt>
                <c:pt idx="10">
                  <c:v>78.694000000000003</c:v>
                </c:pt>
                <c:pt idx="11">
                  <c:v>79.848000000000013</c:v>
                </c:pt>
              </c:numCache>
            </c:numRef>
          </c:val>
        </c:ser>
        <c:ser>
          <c:idx val="3"/>
          <c:order val="3"/>
          <c:tx>
            <c:strRef>
              <c:f>Sheet1!$A$5</c:f>
              <c:strCache>
                <c:ptCount val="1"/>
                <c:pt idx="0">
                  <c:v>Italy</c:v>
                </c:pt>
              </c:strCache>
            </c:strRef>
          </c:tx>
          <c:marker>
            <c:symbol val="none"/>
          </c:marker>
          <c:cat>
            <c:strRef>
              <c:f>Sheet1!$B$1:$M$1</c:f>
              <c:strCache>
                <c:ptCount val="12"/>
                <c:pt idx="0">
                  <c:v>1950-1955</c:v>
                </c:pt>
                <c:pt idx="1">
                  <c:v>1955-1960</c:v>
                </c:pt>
                <c:pt idx="2">
                  <c:v>1960-1965</c:v>
                </c:pt>
                <c:pt idx="3">
                  <c:v>1965-1970</c:v>
                </c:pt>
                <c:pt idx="4">
                  <c:v>1970-1975</c:v>
                </c:pt>
                <c:pt idx="5">
                  <c:v>1975-1980</c:v>
                </c:pt>
                <c:pt idx="6">
                  <c:v>1980-1985</c:v>
                </c:pt>
                <c:pt idx="7">
                  <c:v>1985-1990</c:v>
                </c:pt>
                <c:pt idx="8">
                  <c:v>1990-1995</c:v>
                </c:pt>
                <c:pt idx="9">
                  <c:v>1995-2000</c:v>
                </c:pt>
                <c:pt idx="10">
                  <c:v>2000-2005</c:v>
                </c:pt>
                <c:pt idx="11">
                  <c:v>2005-2010</c:v>
                </c:pt>
              </c:strCache>
            </c:strRef>
          </c:cat>
          <c:val>
            <c:numRef>
              <c:f>Sheet1!$B$5:$M$5</c:f>
              <c:numCache>
                <c:formatCode>##0.00;\-##0.00;0</c:formatCode>
                <c:ptCount val="12"/>
                <c:pt idx="0">
                  <c:v>66.319999999999993</c:v>
                </c:pt>
                <c:pt idx="1">
                  <c:v>68.391000000000005</c:v>
                </c:pt>
                <c:pt idx="2">
                  <c:v>69.617999999999995</c:v>
                </c:pt>
                <c:pt idx="3">
                  <c:v>70.825000000000003</c:v>
                </c:pt>
                <c:pt idx="4">
                  <c:v>72.143000000000001</c:v>
                </c:pt>
                <c:pt idx="5">
                  <c:v>73.444000000000244</c:v>
                </c:pt>
                <c:pt idx="6">
                  <c:v>74.762</c:v>
                </c:pt>
                <c:pt idx="7">
                  <c:v>76.293000000000006</c:v>
                </c:pt>
                <c:pt idx="8">
                  <c:v>77.387</c:v>
                </c:pt>
                <c:pt idx="9">
                  <c:v>78.678999999999988</c:v>
                </c:pt>
                <c:pt idx="10">
                  <c:v>80.203999999999994</c:v>
                </c:pt>
                <c:pt idx="11">
                  <c:v>81.373999999999981</c:v>
                </c:pt>
              </c:numCache>
            </c:numRef>
          </c:val>
        </c:ser>
        <c:ser>
          <c:idx val="4"/>
          <c:order val="4"/>
          <c:tx>
            <c:strRef>
              <c:f>Sheet1!$A$6</c:f>
              <c:strCache>
                <c:ptCount val="1"/>
                <c:pt idx="0">
                  <c:v>Spain</c:v>
                </c:pt>
              </c:strCache>
            </c:strRef>
          </c:tx>
          <c:marker>
            <c:symbol val="none"/>
          </c:marker>
          <c:cat>
            <c:strRef>
              <c:f>Sheet1!$B$1:$M$1</c:f>
              <c:strCache>
                <c:ptCount val="12"/>
                <c:pt idx="0">
                  <c:v>1950-1955</c:v>
                </c:pt>
                <c:pt idx="1">
                  <c:v>1955-1960</c:v>
                </c:pt>
                <c:pt idx="2">
                  <c:v>1960-1965</c:v>
                </c:pt>
                <c:pt idx="3">
                  <c:v>1965-1970</c:v>
                </c:pt>
                <c:pt idx="4">
                  <c:v>1970-1975</c:v>
                </c:pt>
                <c:pt idx="5">
                  <c:v>1975-1980</c:v>
                </c:pt>
                <c:pt idx="6">
                  <c:v>1980-1985</c:v>
                </c:pt>
                <c:pt idx="7">
                  <c:v>1985-1990</c:v>
                </c:pt>
                <c:pt idx="8">
                  <c:v>1990-1995</c:v>
                </c:pt>
                <c:pt idx="9">
                  <c:v>1995-2000</c:v>
                </c:pt>
                <c:pt idx="10">
                  <c:v>2000-2005</c:v>
                </c:pt>
                <c:pt idx="11">
                  <c:v>2005-2010</c:v>
                </c:pt>
              </c:strCache>
            </c:strRef>
          </c:cat>
          <c:val>
            <c:numRef>
              <c:f>Sheet1!$B$6:$M$6</c:f>
              <c:numCache>
                <c:formatCode>##0.00;\-##0.00;0</c:formatCode>
                <c:ptCount val="12"/>
                <c:pt idx="0">
                  <c:v>64.119</c:v>
                </c:pt>
                <c:pt idx="1">
                  <c:v>67.485000000000014</c:v>
                </c:pt>
                <c:pt idx="2">
                  <c:v>69.703999999999994</c:v>
                </c:pt>
                <c:pt idx="3">
                  <c:v>71.218999999999994</c:v>
                </c:pt>
                <c:pt idx="4">
                  <c:v>72.512</c:v>
                </c:pt>
                <c:pt idx="5">
                  <c:v>74.14</c:v>
                </c:pt>
                <c:pt idx="6">
                  <c:v>75.949000000000026</c:v>
                </c:pt>
                <c:pt idx="7">
                  <c:v>76.703000000000003</c:v>
                </c:pt>
                <c:pt idx="8">
                  <c:v>77.410000000000025</c:v>
                </c:pt>
                <c:pt idx="9">
                  <c:v>78.48</c:v>
                </c:pt>
                <c:pt idx="10">
                  <c:v>79.637999999999991</c:v>
                </c:pt>
                <c:pt idx="11">
                  <c:v>80.477999999999994</c:v>
                </c:pt>
              </c:numCache>
            </c:numRef>
          </c:val>
        </c:ser>
        <c:marker val="1"/>
        <c:axId val="119441280"/>
        <c:axId val="119442816"/>
      </c:lineChart>
      <c:catAx>
        <c:axId val="119441280"/>
        <c:scaling>
          <c:orientation val="minMax"/>
        </c:scaling>
        <c:axPos val="b"/>
        <c:tickLblPos val="nextTo"/>
        <c:txPr>
          <a:bodyPr/>
          <a:lstStyle/>
          <a:p>
            <a:pPr>
              <a:defRPr lang="en-GB"/>
            </a:pPr>
            <a:endParaRPr lang="en-US"/>
          </a:p>
        </c:txPr>
        <c:crossAx val="119442816"/>
        <c:crossesAt val="0"/>
        <c:auto val="1"/>
        <c:lblAlgn val="ctr"/>
        <c:lblOffset val="100"/>
      </c:catAx>
      <c:valAx>
        <c:axId val="119442816"/>
        <c:scaling>
          <c:orientation val="minMax"/>
          <c:max val="90"/>
          <c:min val="50"/>
        </c:scaling>
        <c:axPos val="l"/>
        <c:majorGridlines>
          <c:spPr>
            <a:ln>
              <a:solidFill>
                <a:schemeClr val="accent1"/>
              </a:solidFill>
            </a:ln>
          </c:spPr>
        </c:majorGridlines>
        <c:minorGridlines>
          <c:spPr>
            <a:ln>
              <a:solidFill>
                <a:srgbClr val="4F81BD"/>
              </a:solidFill>
            </a:ln>
          </c:spPr>
        </c:minorGridlines>
        <c:numFmt formatCode="##0.00;\-##0.00;0" sourceLinked="0"/>
        <c:tickLblPos val="nextTo"/>
        <c:txPr>
          <a:bodyPr/>
          <a:lstStyle/>
          <a:p>
            <a:pPr>
              <a:defRPr lang="en-GB"/>
            </a:pPr>
            <a:endParaRPr lang="en-US"/>
          </a:p>
        </c:txPr>
        <c:crossAx val="119441280"/>
        <c:crosses val="autoZero"/>
        <c:crossBetween val="between"/>
        <c:majorUnit val="10"/>
        <c:minorUnit val="2"/>
      </c:valAx>
    </c:plotArea>
    <c:legend>
      <c:legendPos val="r"/>
      <c:txPr>
        <a:bodyPr/>
        <a:lstStyle/>
        <a:p>
          <a:pPr>
            <a:defRPr lang="en-GB"/>
          </a:pPr>
          <a:endParaRPr lang="en-US"/>
        </a:p>
      </c:txPr>
    </c:legend>
    <c:plotVisOnly val="1"/>
  </c:chart>
  <c:spPr>
    <a:noFill/>
    <a:ln w="15875">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28FC8-8704-4AE5-9BAF-2EE0DE5B4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10989</Words>
  <Characters>62643</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
    </vt:vector>
  </TitlesOfParts>
  <Company>Erasmus Universiteit Rotterdam</Company>
  <LinksUpToDate>false</LinksUpToDate>
  <CharactersWithSpaces>73486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KOSIO</dc:creator>
  <cp:lastModifiedBy>Milky Viola Gonzalez</cp:lastModifiedBy>
  <cp:revision>2</cp:revision>
  <dcterms:created xsi:type="dcterms:W3CDTF">2012-08-23T09:09:00Z</dcterms:created>
  <dcterms:modified xsi:type="dcterms:W3CDTF">2012-08-23T09:09:00Z</dcterms:modified>
</cp:coreProperties>
</file>